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F18D" w14:textId="77777777" w:rsidR="002A3E9F" w:rsidRPr="002A3E9F" w:rsidRDefault="002A3E9F" w:rsidP="002A3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Dekret nr 2022-539 z dnia 13 kwietnia 2022 r. w sprawie kompensacji emisji dwutlenku węgla i stwierdzeń dotyczących neutralności pod względem emisji dwutlenku węgla w reklamie</w:t>
      </w:r>
    </w:p>
    <w:p w14:paraId="5A618AAF" w14:textId="77777777" w:rsidR="002A3E9F" w:rsidRPr="002A3E9F" w:rsidRDefault="002A3E9F" w:rsidP="002A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REPREZENTANT POWIADAMIAJĄCY: TRER2209794D</w:t>
      </w:r>
      <w:r>
        <w:rPr>
          <w:rFonts w:ascii="Times New Roman" w:hAnsi="Times New Roman"/>
          <w:sz w:val="24"/>
        </w:rPr>
        <w:br/>
        <w:t>ELI: https://www.legifrance.gouv.fr/eli/decret/2022/4/13/TRER2209794D/jo/texte</w:t>
      </w:r>
      <w:r>
        <w:rPr>
          <w:rFonts w:ascii="Times New Roman" w:hAnsi="Times New Roman"/>
          <w:sz w:val="24"/>
        </w:rPr>
        <w:br/>
        <w:t>Alias: https://www.legifrance.gouv.fr/eli/decret/2022/4/13/2022-539/jo/texte</w:t>
      </w:r>
      <w:r>
        <w:rPr>
          <w:rFonts w:ascii="Times New Roman" w:hAnsi="Times New Roman"/>
          <w:sz w:val="24"/>
        </w:rPr>
        <w:br/>
        <w:t>Dz. U. Republiki Francuskiej nr 0088 z dnia 14 kwietnia 2022 r.</w:t>
      </w:r>
      <w:r>
        <w:rPr>
          <w:rFonts w:ascii="Times New Roman" w:hAnsi="Times New Roman"/>
          <w:sz w:val="24"/>
        </w:rPr>
        <w:br/>
        <w:t>Tekst nr 17</w:t>
      </w:r>
    </w:p>
    <w:p w14:paraId="6B123AF5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Grupa docelowa: reklamodawcy. </w:t>
      </w:r>
      <w:r>
        <w:rPr>
          <w:rFonts w:ascii="Times New Roman" w:hAnsi="Times New Roman"/>
          <w:sz w:val="24"/>
        </w:rPr>
        <w:br/>
        <w:t xml:space="preserve">Przedmiot: szczegółowe zasady wdrażania przekazywania przez reklamodawców informacji o neutralności pod względem emisji dwutlenku węgla produktów i usług, o których mowa w art. 12 ustawy nr 2021-1104 z dnia 22 sierpnia 2021 r. o zwalczaniu zmiany klimatu i wzmacniania odporności na jej skutki. </w:t>
      </w:r>
      <w:r>
        <w:rPr>
          <w:rFonts w:ascii="Times New Roman" w:hAnsi="Times New Roman"/>
          <w:sz w:val="24"/>
        </w:rPr>
        <w:br/>
        <w:t xml:space="preserve">Wejście w życie: tekst wchodzi w życie z dniem 1 stycznia 2023 r. </w:t>
      </w:r>
      <w:r>
        <w:rPr>
          <w:rFonts w:ascii="Times New Roman" w:hAnsi="Times New Roman"/>
          <w:sz w:val="24"/>
        </w:rPr>
        <w:br/>
        <w:t xml:space="preserve">Uwaga: dekret określa szczegółowe zasady przekazywania przez reklamodawców informacji na temat neutralności pod względem emisji dwutlenku węgla ich produktów lub usług. Przewiduje on również roszczenia wzajemne w odniesieniu do tych roszczeń, aby zapewnić przejrzystość wobec społeczeństwa i zapobiec ryzyku pseudoekologicznego marketingu. Ma ona zastosowanie do wszystkich reklam emitowanych po wejściu w życie tekstu. </w:t>
      </w:r>
      <w:r>
        <w:rPr>
          <w:rFonts w:ascii="Times New Roman" w:hAnsi="Times New Roman"/>
          <w:sz w:val="24"/>
        </w:rPr>
        <w:br/>
        <w:t xml:space="preserve">Odniesienia: kodeks środowiskowy zmieniony dekretem, w wersji wynikającej z tej zmiany, jest dostępny do wglądu na stronie internetowej (http://www.legifrance.gouv.fr). </w:t>
      </w:r>
    </w:p>
    <w:p w14:paraId="356CAB9C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Premier,</w:t>
      </w:r>
      <w:r>
        <w:rPr>
          <w:rFonts w:ascii="Times New Roman" w:hAnsi="Times New Roman"/>
          <w:sz w:val="24"/>
        </w:rPr>
        <w:br/>
        <w:t>na podstawie sprawozdania Minister Transformacji Ekologicznej,</w:t>
      </w:r>
      <w:r>
        <w:rPr>
          <w:rFonts w:ascii="Times New Roman" w:hAnsi="Times New Roman"/>
          <w:sz w:val="24"/>
        </w:rPr>
        <w:br/>
        <w:t>uwzględniając dyrektywę Parlamentu Europejskiego i Rady (UE) 2015/1535 z dnia 9 września 2015 r. ustanawiającą procedurę udzielania informacji w dziedzinie przepisów technicznych oraz zasad dotyczących usług społeczeństwa informacyjnego, w szczególności zgłoszenie nr 2021/904/F,</w:t>
      </w:r>
      <w:r>
        <w:rPr>
          <w:rFonts w:ascii="Times New Roman" w:hAnsi="Times New Roman"/>
          <w:sz w:val="24"/>
        </w:rPr>
        <w:br/>
        <w:t>uwzględniając kodeks środowiskowy,</w:t>
      </w:r>
      <w:r>
        <w:rPr>
          <w:rFonts w:ascii="Times New Roman" w:hAnsi="Times New Roman"/>
          <w:sz w:val="24"/>
        </w:rPr>
        <w:br/>
        <w:t>uwzględniając ustawę nr 2021-1104 z dnia 22 sierpnia 2021 r. w sprawie przeciwdziałania zmianie klimatu i wzmocnienia odporności na jej skutki, w szczególności jej art. 12 i 147,</w:t>
      </w:r>
      <w:r>
        <w:rPr>
          <w:rFonts w:ascii="Times New Roman" w:hAnsi="Times New Roman"/>
          <w:sz w:val="24"/>
        </w:rPr>
        <w:br/>
        <w:t>uwzględniając dekret nr 97-1198 z dnia 19 grudnia 1997 r. wdrażający art. 2 akapit pierwszy dekretu nr 97-34 z dnia 15 stycznia 1997 r. w sprawie dekoncentracji indywidualnych decyzji administracyjnych na rzecz ministrów odpowiedzialnych za transformację ekologiczną i solidarną, spójność terytorialną oraz stosunki z władzami lokalnymi i regionalnymi,</w:t>
      </w:r>
      <w:r>
        <w:rPr>
          <w:rFonts w:ascii="Times New Roman" w:hAnsi="Times New Roman"/>
          <w:sz w:val="24"/>
        </w:rPr>
        <w:br/>
        <w:t>uwzględniając dekret nr 2020-457 z dnia 21 kwietnia 2020 r. w sprawie krajowych budżetów emisji dwutlenku węgla i krajowej strategii niskoemisyjnej,</w:t>
      </w:r>
      <w:r>
        <w:rPr>
          <w:rFonts w:ascii="Times New Roman" w:hAnsi="Times New Roman"/>
          <w:sz w:val="24"/>
        </w:rPr>
        <w:br/>
        <w:t>uwzględniając uwagi zgłoszone podczas konsultacji społecznych przeprowadzonych między 20 stycznia 2022 r. i 10 lutego 2022 r., zgodnie z art. L. 123-19-1 kodeksu ochrony środowiska,</w:t>
      </w:r>
      <w:r>
        <w:rPr>
          <w:rFonts w:ascii="Times New Roman" w:hAnsi="Times New Roman"/>
          <w:sz w:val="24"/>
        </w:rPr>
        <w:br/>
        <w:t>Postanawia, co następuje:</w:t>
      </w:r>
    </w:p>
    <w:p w14:paraId="25005B03" w14:textId="77777777" w:rsidR="002A3E9F" w:rsidRPr="002A3E9F" w:rsidRDefault="002A3E9F" w:rsidP="000904F0">
      <w:pPr>
        <w:keepNext/>
        <w:spacing w:before="100" w:beforeAutospacing="1" w:after="100" w:afterAutospacing="1" w:line="240" w:lineRule="auto"/>
        <w:ind w:left="44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Artykuł 1</w:t>
      </w:r>
    </w:p>
    <w:p w14:paraId="19B045AE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Rozdział IX tytułu II księgi II kodeksu ochrony środowiska uzupełnia się sekcją 9 w następujący sposób:</w:t>
      </w:r>
    </w:p>
    <w:p w14:paraId="1A6DD18C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„Sekcja 9 „Stwierdzenia dotyczące ochrony środowiska”</w:t>
      </w:r>
    </w:p>
    <w:p w14:paraId="020C9738" w14:textId="2753CD71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 „Artykuł D. 229-106. - Reklamodawca, który twierdzi w reklamie, że produkt lub usługa są „neutralne pod względem emisji dwutlenku węgla”, „o zerowej emisji dwutlenku węgla”, „o zerowym śladzie węglowym”, „neutralne dla klimatu”, „w pełni skompensowane” lub „w 100 % skompensowane” lub używa jakiegokolwiek sformułowania o równoważnym znaczeniu lub zakresie, stosuje się do postanowień niniejszej sekcji.</w:t>
      </w:r>
      <w:r>
        <w:rPr>
          <w:rFonts w:ascii="Times New Roman" w:hAnsi="Times New Roman"/>
          <w:sz w:val="24"/>
        </w:rPr>
        <w:br/>
      </w:r>
      <w:r w:rsidR="00A716D6" w:rsidRPr="00A716D6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Niniejsza sekcja dotyczy korespondencji reklamowej i drukowanych materiałów reklamowych, plakatów reklamowych, reklam w publikacjach prasowych, reklam w kinie, reklam emitowanych przez telewizję lub radio oraz za pośrednictwem usług komunikacji internetowej, a także stwierdzeń na opakowaniach produktów.</w:t>
      </w:r>
    </w:p>
    <w:p w14:paraId="3811EB07" w14:textId="1EFCC993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„Artykuł D. 229-107. - Reklamodawca, o którym mowa w art. D. 229-106, sporządza bilans emisji gazów cieplarnianych dla danego produktu lub usługi obejmujący cały jego cykl życia. Bilans ten jest aktualizowany corocznie.</w:t>
      </w:r>
      <w:r>
        <w:rPr>
          <w:rFonts w:ascii="Times New Roman" w:hAnsi="Times New Roman"/>
          <w:sz w:val="24"/>
        </w:rPr>
        <w:br/>
      </w:r>
      <w:r w:rsidR="00A716D6" w:rsidRPr="00A716D6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Bilans ten sporządza się zgodnie z wymogami normy NF EN ISO 14067 lub jakiejkolwiek innej normy równoważnej z wymogami tej normy. Zarządzenie ministra właściwego do spraw środowiska może uzupełnić te wymogi w celu dostosowania metodologii bilansu emisji do metodyki oznakowania ekologicznego, o której mowa w art. L. 541-9-11 niniejszego kodeksu.</w:t>
      </w:r>
    </w:p>
    <w:p w14:paraId="2272416A" w14:textId="12C178EF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„Artykuł D. 229-108. - Reklamodawca, o którym mowa w art. D. 229-106, publikuje na swojej stronie internetowej publicznego przekazu lub, w przypadku jej braku, w aplikacji mobilnej sprawozdanie podsumowujące ślad węglowy reklamowanego produktu lub usługi oraz środki, za pomocą których przede wszystkim unika się emisji gazów cieplarnianych, a następnie zmniejsza się ją i ostatecznie kompensuje. Sprawozdanie to zawiera trzy załączniki szczegółowo określające jego treść i przedstawione w następującej kolejności:</w:t>
      </w:r>
      <w:r>
        <w:rPr>
          <w:rFonts w:ascii="Times New Roman" w:hAnsi="Times New Roman"/>
          <w:sz w:val="24"/>
        </w:rPr>
        <w:br/>
        <w:t>„(1) Załącznik określający wyniki bilansu przewidzianego w art. D. 229-107 oraz podsumowanie metodyki stosowanej do sporządzania tego bilansu. W podsumowaniu tym określa się w szczególności zakres definicji danego produktu lub usługi, wykorzystywane jednostki funkcjonalne lub deklarowane, granice danego systemu, metodę przetwarzania etapu wycofania z eksploatacji, dane dotyczące emisji uwzględnione w odniesieniu do energii elektrycznej lub gazu zużytego z sieci. Określa się w nim kraj lub obszary geograficzne, w których mają miejsce emisje i emisje z transportu międzynarodowego, w zakresie, w jakim dane te są dostępne,</w:t>
      </w:r>
      <w:r>
        <w:rPr>
          <w:rFonts w:ascii="Times New Roman" w:hAnsi="Times New Roman"/>
          <w:sz w:val="24"/>
        </w:rPr>
        <w:br/>
        <w:t xml:space="preserve">„(2) Załącznik określający docelową ścieżkę redukcji emisji gazów cieplarnianych związanych z reklamowanym produktem lub usługą, wraz z określonymi ilościowo rocznymi celami w zakresie postępów, obejmującą co najmniej dziesięć lat po </w:t>
      </w:r>
      <w:r>
        <w:rPr>
          <w:rFonts w:ascii="Times New Roman" w:hAnsi="Times New Roman"/>
          <w:sz w:val="24"/>
        </w:rPr>
        <w:lastRenderedPageBreak/>
        <w:t>opublikowaniu sprawozdania na podstawie niniejszej sekcji. Co pięć lat po opublikowaniu pierwszego sprawozdania zgodnie z niniejszą sekcją ustala się zaktualizowaną ścieżkę obejmującą kolejny okres 10 lat;</w:t>
      </w:r>
      <w:r>
        <w:rPr>
          <w:rFonts w:ascii="Times New Roman" w:hAnsi="Times New Roman"/>
          <w:sz w:val="24"/>
        </w:rPr>
        <w:br/>
      </w:r>
      <w:r w:rsidR="00A716D6" w:rsidRPr="00A716D6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(3) załącznik wyszczególniający procedury kompensacji emisji resztkowych, określający w szczególności charakter i opis projektów kompensacyjnych.  W załączniku tym przedstawiono również informacje na temat ich kosztu, dzieląc je na następujące kategorie: poniżej 10 EUR/tCO2, od 10 do 40 EUR/tCO2 lub powyżej 40 EUR/tCO2. W załączniku wykazuje się, że wielkość emisji, którą zredukowano lub wychwycono dzięki tej kompensacji, odpowiada emisjom resztkowym wszystkich sprzedawanych produktów lub usług objętych reklamą. W załączniku określa się również środki wdrożone przez reklamodawcę w celu zapewnienia, że nie będzie on podwójnie odliczał rekompensaty wynikającej z tych projektów. W szczególności określono w nim metody usuwania z rynku redukcji i wychwytywania emisji w przypadku stosowania kompensacji jednostek emisji. Ponadto w załączniku wyszczególnia się wysiłki podjęte w celu zapewnienia jak największej spójności między obszarami geograficznymi, na których realizowane są projekty, a obszarami, na których realizowane są emisje.</w:t>
      </w:r>
      <w:r>
        <w:rPr>
          <w:rFonts w:ascii="Times New Roman" w:hAnsi="Times New Roman"/>
          <w:sz w:val="24"/>
        </w:rPr>
        <w:br/>
      </w:r>
      <w:r w:rsidR="00A716D6" w:rsidRPr="00A716D6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Publikacja ta jest aktualizowana corocznie przez cały okres wprowadzania produktu lub usługi do obrotu, w którym reklamodawca twierdzi w reklamie, że ten sam produkt lub usługa są neutralne pod względem emisji dwutlenku węgla lub używa sformułowań o równoważnym znaczeniu lub zakresie. W szczególności aktualizacja umożliwia monitorowanie ewolucji emisji związanych z produktem lub usługą w porównaniu ze ścieżką redukcji, o której mowa powyżej. Reklamodawca będzie musiał wycofać stwierdzenie, o którym mowa w art. D. 229-106, jeżeli okaże się, że emisja jednostkowa związana z produktem lub usługą przed kompensacją wzrosła przez dwa kolejne lata.</w:t>
      </w:r>
      <w:r>
        <w:rPr>
          <w:rFonts w:ascii="Times New Roman" w:hAnsi="Times New Roman"/>
          <w:sz w:val="24"/>
        </w:rPr>
        <w:br/>
        <w:t xml:space="preserve">Łącze do strony internetowej lub kod szybkiego reagowania (kod QR) umożliwiający dostęp do tej publikacji jest podany na reklamie lub opakowaniu z informacją o neutralności pod względem emisji dwutlenku węgla. </w:t>
      </w:r>
    </w:p>
    <w:p w14:paraId="14445022" w14:textId="35CD9AA8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„Artykuł D. 229-109. - Redukcje i wychwytywanie emisji wynikające z projektów kompensacyjnych wykorzystywanych przez reklamodawcę, o których mowa w art. D. 229-106, muszą być zgodne z zasadami ustanowionymi w art. L. 229-55 i jego tekstach wykonawczych.</w:t>
      </w:r>
      <w:r>
        <w:rPr>
          <w:rFonts w:ascii="Times New Roman" w:hAnsi="Times New Roman"/>
          <w:sz w:val="24"/>
        </w:rPr>
        <w:br/>
        <w:t xml:space="preserve">Projekty kompensacyjne nie mogą mieć negatywnego wpływu na zachowanie i odtworzenie naturalnych ekosystemów i ich funkcjonalności. </w:t>
      </w:r>
      <w:r>
        <w:rPr>
          <w:rFonts w:ascii="Times New Roman" w:hAnsi="Times New Roman"/>
          <w:sz w:val="24"/>
        </w:rPr>
        <w:br/>
      </w:r>
      <w:r w:rsidR="00A716D6" w:rsidRPr="00A716D6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Ograniczenia emisji uznane na mocy dekretu nr 2018-1043 z dnia 28 listopada 2018 r. ustanawiającego oznakowanie „niskoemisyjne” (Bas Carbone) uznaje się za zgodne z dwoma poprzednimi ustępami.</w:t>
      </w:r>
      <w:r>
        <w:rPr>
          <w:rFonts w:ascii="Times New Roman" w:hAnsi="Times New Roman"/>
          <w:sz w:val="24"/>
        </w:rPr>
        <w:br/>
      </w:r>
      <w:r w:rsidR="00A716D6" w:rsidRPr="00A716D6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Reklamodawcy mogą umieszczać słowa „Kompensacja zrealizowana we Francji” lub jakiekolwiek wzmianki o równoważnym znaczeniu lub zakresie tylko wtedy, gdy wszystkie projekty kompensacyjne są realizowane we Francji.”</w:t>
      </w:r>
    </w:p>
    <w:p w14:paraId="1BC2ECEA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2</w:t>
      </w:r>
    </w:p>
    <w:p w14:paraId="20078834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Niniejszy dekret wchodzi w życie z dniem 1 stycznia 2023 r.</w:t>
      </w:r>
      <w:r>
        <w:rPr>
          <w:rFonts w:ascii="Times New Roman" w:hAnsi="Times New Roman"/>
          <w:sz w:val="24"/>
        </w:rPr>
        <w:br/>
        <w:t xml:space="preserve">Do dnia 31 grudnia 2025 r. finansowanie projektów w państwach członkowskich UE jest równoznaczne z przydziałem dla reklamodawcy redukcji i wychwytywania emisji zgodnie z przepisami art. D. 229-109, jeżeli reklamodawca może uzasadnić w drodze umowy ostateczne uznanie korzyści ze sprawdzonych i zatwierdzonych redukcji </w:t>
      </w:r>
      <w:r>
        <w:rPr>
          <w:rFonts w:ascii="Times New Roman" w:hAnsi="Times New Roman"/>
          <w:sz w:val="24"/>
        </w:rPr>
        <w:lastRenderedPageBreak/>
        <w:t>i wychwytywania emisji w ramach tego projektu. Reklamodawca zapewnia przestrzeganie swoich obowiązków w zakresie kompensacji emisji, w stosownych przypadkach poprzez nabycie dodatkowych jednostek emisji odpowiadających różnicy między sprawdzonymi i zatwierdzonymi ograniczeniami i wychwytywaniem emisji w ramach projektu a tymi, które są finansowane.</w:t>
      </w:r>
    </w:p>
    <w:p w14:paraId="5C00F966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 3</w:t>
      </w:r>
    </w:p>
    <w:p w14:paraId="2C6C94F9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Francuski minister ds. transformacji ekologicznej jest odpowiedzialny za wykonanie niniejszego dekretu, który zostanie opublikowany w Dzienniku Urzędowym Republiki Francuskiej.</w:t>
      </w:r>
    </w:p>
    <w:p w14:paraId="5C9BE2E8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Sporządzono dnia 13 kwietnia 2022 r.</w:t>
      </w:r>
    </w:p>
    <w:p w14:paraId="635CBEF0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Z upoważnienia Premiera:</w:t>
      </w:r>
    </w:p>
    <w:p w14:paraId="7815E329" w14:textId="50C8525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Transformacji Ekologicznej,</w:t>
      </w:r>
      <w:r>
        <w:rPr>
          <w:rFonts w:ascii="Times New Roman" w:hAnsi="Times New Roman"/>
          <w:sz w:val="24"/>
        </w:rPr>
        <w:br/>
        <w:t xml:space="preserve">Barbara </w:t>
      </w:r>
      <w:r w:rsidR="000904F0">
        <w:rPr>
          <w:rFonts w:ascii="Times New Roman" w:hAnsi="Times New Roman"/>
          <w:sz w:val="24"/>
        </w:rPr>
        <w:t>Pompili</w:t>
      </w:r>
    </w:p>
    <w:p w14:paraId="7AB8A443" w14:textId="77777777" w:rsidR="001A38BC" w:rsidRDefault="001A38BC"/>
    <w:sectPr w:rsidR="001A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9F"/>
    <w:rsid w:val="000904F0"/>
    <w:rsid w:val="001A38BC"/>
    <w:rsid w:val="002A3E9F"/>
    <w:rsid w:val="00A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D610"/>
  <w15:chartTrackingRefBased/>
  <w15:docId w15:val="{D727B5B7-DCF1-4F0A-896C-F06962F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Liana Brili</cp:lastModifiedBy>
  <cp:revision>3</cp:revision>
  <dcterms:created xsi:type="dcterms:W3CDTF">2022-08-01T13:00:00Z</dcterms:created>
  <dcterms:modified xsi:type="dcterms:W3CDTF">2022-08-02T15:11:00Z</dcterms:modified>
</cp:coreProperties>
</file>