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97B08" w14:textId="6A7C4BDF" w:rsidR="00D622B7" w:rsidRPr="00035F12" w:rsidRDefault="00D622B7" w:rsidP="00496CD6">
      <w:pPr>
        <w:pStyle w:val="Bezeichnungnderungsdokument"/>
        <w:rPr>
          <w:b w:val="0"/>
        </w:rPr>
      </w:pPr>
      <w:r w:rsidRPr="00035F12">
        <w:rPr>
          <w:rFonts w:ascii="Courier New" w:hAnsi="Courier New"/>
          <w:b w:val="0"/>
          <w:sz w:val="20"/>
        </w:rPr>
        <w:t>1. ------IND- 2020 0111 D-- PT- ------ 20210114 --- --- FINAL</w:t>
      </w:r>
    </w:p>
    <w:p w14:paraId="62D56DB5" w14:textId="50129E23" w:rsidR="00AB116C" w:rsidRPr="00035F12" w:rsidRDefault="00AB116C" w:rsidP="00496CD6">
      <w:pPr>
        <w:pStyle w:val="Bezeichnungnderungsdokument"/>
      </w:pPr>
      <w:r w:rsidRPr="00035F12">
        <w:t>Primeiro decreto de alteração do decreto de execução relativo à informação sobre os géneros alimentícios</w:t>
      </w:r>
      <w:r w:rsidRPr="00035F12">
        <w:rPr>
          <w:rStyle w:val="FootnoteReference"/>
        </w:rPr>
        <w:footnoteReference w:customMarkFollows="1" w:id="1"/>
        <w:t>*)</w:t>
      </w:r>
    </w:p>
    <w:p w14:paraId="30DEB729" w14:textId="6C02951A" w:rsidR="00AB116C" w:rsidRPr="00035F12" w:rsidRDefault="00871F85" w:rsidP="00496CD6">
      <w:pPr>
        <w:pStyle w:val="Ausfertigungsdatumnderungsdokument"/>
      </w:pPr>
      <w:r w:rsidRPr="00035F12">
        <w:t>de 21 de outubro de 2020</w:t>
      </w:r>
    </w:p>
    <w:p w14:paraId="6B2563C7" w14:textId="04F004E3" w:rsidR="00AB116C" w:rsidRPr="00035F12" w:rsidRDefault="00AB116C" w:rsidP="00496CD6">
      <w:pPr>
        <w:pStyle w:val="EingangsformelStandardnderungsdokument"/>
      </w:pPr>
      <w:r w:rsidRPr="00035F12">
        <w:t>Com base no artigo 35.º, ponto 1, do Código dos géneros alimentícios e dos alimentos para animais, na versão da publicação de 3 de junho de 2013 (DO Federal I p. 1426), alterado pelo artigo 67.º, ponto 6, do Decreto de 31 de agosto de 2015 (DO Federal I p. 1474), o Ministério Federal da Alimentação e da Agricultura, em concertação com o Ministério Federal da Economia e da Energia, decreta o seguinte:</w:t>
      </w:r>
    </w:p>
    <w:p w14:paraId="1471B8DD" w14:textId="21E582FA" w:rsidR="00AB116C" w:rsidRPr="00035F12" w:rsidRDefault="00496CD6" w:rsidP="00496CD6">
      <w:pPr>
        <w:pStyle w:val="ArtikelBezeichner"/>
        <w:keepLines/>
        <w:numPr>
          <w:ilvl w:val="0"/>
          <w:numId w:val="0"/>
        </w:numPr>
      </w:pPr>
      <w:r w:rsidRPr="00035F12">
        <w:t>Artigo 1.º</w:t>
      </w:r>
    </w:p>
    <w:p w14:paraId="69CDBB97" w14:textId="77777777" w:rsidR="00AB116C" w:rsidRPr="00035F12" w:rsidRDefault="00AB116C" w:rsidP="00496CD6">
      <w:pPr>
        <w:pStyle w:val="Artikelberschrift"/>
        <w:keepLines/>
      </w:pPr>
      <w:bookmarkStart w:id="0" w:name="_Toc20911408"/>
      <w:r w:rsidRPr="00035F12">
        <w:t>Alteração do decreto de execução relativo à informação sobre os géneros alimentícios</w:t>
      </w:r>
      <w:bookmarkEnd w:id="0"/>
    </w:p>
    <w:p w14:paraId="14A290BC" w14:textId="77777777" w:rsidR="00AB116C" w:rsidRPr="00035F12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035F12">
        <w:rPr>
          <w:rStyle w:val="Marker"/>
          <w:color w:val="auto"/>
        </w:rPr>
        <w:t xml:space="preserve">O Decreto de execução relativo à informação sobre os géneros alimentícios, de 5 de julho de 2017 (DO Federal I, p. 2272), é alterado do seguinte modo: </w:t>
      </w:r>
    </w:p>
    <w:p w14:paraId="3B973FF5" w14:textId="77777777" w:rsidR="00AB116C" w:rsidRPr="00035F12" w:rsidRDefault="00AB116C" w:rsidP="007432BD">
      <w:pPr>
        <w:pStyle w:val="NummerierungStufe1"/>
        <w:rPr>
          <w:rStyle w:val="Marker"/>
          <w:color w:val="auto"/>
        </w:rPr>
      </w:pPr>
      <w:r w:rsidRPr="00035F12">
        <w:rPr>
          <w:rStyle w:val="Marker"/>
          <w:color w:val="auto"/>
        </w:rPr>
        <w:t>Após o artigo 4.º, é aditado o seguinte artigo 4.º-A:</w:t>
      </w:r>
    </w:p>
    <w:p w14:paraId="347D74AB" w14:textId="77777777" w:rsidR="00AB116C" w:rsidRPr="00035F12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035F12">
        <w:rPr>
          <w:rStyle w:val="Marker"/>
          <w:color w:val="auto"/>
        </w:rPr>
        <w:t>«Artigo 4.º-A</w:t>
      </w:r>
    </w:p>
    <w:p w14:paraId="4BF195B8" w14:textId="77777777" w:rsidR="00AB116C" w:rsidRPr="00035F12" w:rsidRDefault="00AB116C" w:rsidP="00496CD6">
      <w:pPr>
        <w:pStyle w:val="RevisionParagraphberschrift"/>
        <w:keepLines/>
        <w:ind w:left="425"/>
        <w:rPr>
          <w:color w:val="auto"/>
        </w:rPr>
      </w:pPr>
      <w:r w:rsidRPr="00035F12">
        <w:rPr>
          <w:rStyle w:val="Marker"/>
          <w:color w:val="auto"/>
        </w:rPr>
        <w:t>Rotulagem nutricional alargada</w:t>
      </w:r>
    </w:p>
    <w:p w14:paraId="0E098645" w14:textId="77777777" w:rsidR="00AB116C" w:rsidRPr="00035F12" w:rsidRDefault="00AB116C" w:rsidP="007432BD">
      <w:pPr>
        <w:pStyle w:val="RevisionJuristischerAbsatz"/>
        <w:ind w:left="450"/>
        <w:rPr>
          <w:color w:val="auto"/>
        </w:rPr>
      </w:pPr>
      <w:r w:rsidRPr="00035F12">
        <w:rPr>
          <w:color w:val="auto"/>
        </w:rPr>
        <w:t>O responsável nos termos do artigo 8.º, n.º 1, ou n.º 4, segundo período, do Regulamento (UE) n.º 1169/2011 pode comercializar géneros alimentícios com o rótulo Nutri-Score, ilustrado no anexo, que se encontra registado como marca coletiva da UE junto do Instituto da Propriedade Intelectual da União Europeia.</w:t>
      </w:r>
    </w:p>
    <w:p w14:paraId="1E70B10D" w14:textId="77777777" w:rsidR="00AB116C" w:rsidRPr="00035F12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35F12">
        <w:rPr>
          <w:color w:val="auto"/>
        </w:rPr>
        <w:t xml:space="preserve">A utilização do rótulo Nutri-Score é voluntária. </w:t>
      </w:r>
    </w:p>
    <w:p w14:paraId="64450B19" w14:textId="77777777" w:rsidR="00AB116C" w:rsidRPr="00035F12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35F12">
        <w:rPr>
          <w:color w:val="auto"/>
        </w:rPr>
        <w:t xml:space="preserve">A utilização do rótulo Nutri-Score implica nomeadamente que o responsável nos termos do artigo 8.º, n.º 1, ou n.º 4, segundo período, do Regulamento (UE) n.º 1169/2011: </w:t>
      </w:r>
    </w:p>
    <w:p w14:paraId="47C7B3F2" w14:textId="77777777" w:rsidR="00AB116C" w:rsidRPr="00035F12" w:rsidRDefault="00AB116C" w:rsidP="007432BD">
      <w:pPr>
        <w:pStyle w:val="RevisionNummerierungStufe1"/>
        <w:tabs>
          <w:tab w:val="clear" w:pos="425"/>
          <w:tab w:val="num" w:pos="810"/>
        </w:tabs>
        <w:ind w:firstLine="25"/>
        <w:rPr>
          <w:color w:val="auto"/>
        </w:rPr>
      </w:pPr>
      <w:r w:rsidRPr="00035F12">
        <w:rPr>
          <w:color w:val="auto"/>
        </w:rPr>
        <w:t>obteve as permissões necessárias do proprietário da marca registada; e</w:t>
      </w:r>
    </w:p>
    <w:p w14:paraId="534F1A0A" w14:textId="77777777" w:rsidR="00AB116C" w:rsidRPr="00035F12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35F12">
        <w:rPr>
          <w:color w:val="auto"/>
        </w:rPr>
        <w:t>cumpre as condições do proprietário da marca registada para a utilização da marca registada.</w:t>
      </w:r>
    </w:p>
    <w:p w14:paraId="1CA6C448" w14:textId="7DDAF38D" w:rsidR="004E3C6A" w:rsidRPr="00035F12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035F12">
        <w:rPr>
          <w:color w:val="auto"/>
        </w:rPr>
        <w:t>Para a obtenção das permissões nos termos do n.º 3, ponto 1, o Ministério Federal da Alimentação e Agricultura pode publicar o seguinte no Boletim Federal:</w:t>
      </w:r>
    </w:p>
    <w:p w14:paraId="44C4BF0B" w14:textId="2C205313" w:rsidR="004E3C6A" w:rsidRPr="00035F12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35F12">
        <w:rPr>
          <w:color w:val="auto"/>
        </w:rPr>
        <w:t>Modelos de formulários em língua alemã;</w:t>
      </w:r>
    </w:p>
    <w:p w14:paraId="4AE1EE60" w14:textId="6F1FD039" w:rsidR="004E3C6A" w:rsidRPr="00035F12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035F12">
        <w:rPr>
          <w:color w:val="auto"/>
        </w:rPr>
        <w:t>Dados de entrada em língua alemã e um endereço de correio eletrónico estabelecido de tal modo que as mensagens de correio eletrónico aí recebidas sejam automaticamente reencaminhadas para o proprietário da marca.»;</w:t>
      </w:r>
    </w:p>
    <w:p w14:paraId="7784283B" w14:textId="77777777" w:rsidR="00C74E1B" w:rsidRPr="00035F12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035F12">
        <w:rPr>
          <w:rStyle w:val="Marker"/>
          <w:color w:val="auto"/>
        </w:rPr>
        <w:lastRenderedPageBreak/>
        <w:t>É aditado o seguinte anexo:</w:t>
      </w:r>
    </w:p>
    <w:p w14:paraId="6FD9A6EE" w14:textId="77777777" w:rsidR="00AB116C" w:rsidRPr="00035F12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035F12">
        <w:rPr>
          <w:b/>
          <w:color w:val="auto"/>
        </w:rPr>
        <w:t>«Anexo</w:t>
      </w:r>
    </w:p>
    <w:p w14:paraId="0BE5D91F" w14:textId="77777777" w:rsidR="00AB116C" w:rsidRPr="00035F12" w:rsidRDefault="00AB116C" w:rsidP="00496CD6">
      <w:pPr>
        <w:pStyle w:val="RevisionAnlageVerweis"/>
        <w:keepNext/>
        <w:keepLines/>
        <w:rPr>
          <w:color w:val="auto"/>
        </w:rPr>
      </w:pPr>
      <w:r w:rsidRPr="00035F12">
        <w:rPr>
          <w:color w:val="auto"/>
        </w:rPr>
        <w:t>(relativamente ao artigo 4.º-A, n.º 1)</w:t>
      </w:r>
    </w:p>
    <w:p w14:paraId="0BC73A07" w14:textId="77777777" w:rsidR="00AB116C" w:rsidRPr="00035F12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035F12">
        <w:rPr>
          <w:b/>
          <w:color w:val="auto"/>
        </w:rPr>
        <w:t>Ilustração do rótulo Nutri-Score</w:t>
      </w:r>
    </w:p>
    <w:p w14:paraId="7509E81F" w14:textId="77777777" w:rsidR="00AB116C" w:rsidRPr="00035F12" w:rsidRDefault="00AB116C" w:rsidP="00496CD6">
      <w:pPr>
        <w:pStyle w:val="RevisionAnlageberschrift"/>
        <w:rPr>
          <w:color w:val="auto"/>
        </w:rPr>
      </w:pPr>
      <w:r w:rsidRPr="00035F12">
        <w:rPr>
          <w:noProof/>
          <w:lang w:bidi="hi-IN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F12">
        <w:rPr>
          <w:rStyle w:val="RevisionText"/>
          <w:b/>
          <w:color w:val="auto"/>
        </w:rPr>
        <w:t>».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035F12" w14:paraId="1995BFF6" w14:textId="77777777" w:rsidTr="005346D9">
        <w:tc>
          <w:tcPr>
            <w:tcW w:w="2493" w:type="pct"/>
          </w:tcPr>
          <w:p w14:paraId="33A5DAE4" w14:textId="77777777" w:rsidR="005346D9" w:rsidRPr="00035F12" w:rsidRDefault="005346D9" w:rsidP="005346D9">
            <w:pPr>
              <w:spacing w:before="20" w:after="20"/>
            </w:pPr>
            <w:r w:rsidRPr="00035F12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035F12" w:rsidRDefault="005346D9" w:rsidP="005346D9">
            <w:pPr>
              <w:spacing w:before="20" w:after="20"/>
            </w:pPr>
            <w:r w:rsidRPr="00035F12">
              <w:t>NUTRI-SCORE</w:t>
            </w:r>
          </w:p>
        </w:tc>
      </w:tr>
    </w:tbl>
    <w:p w14:paraId="181AD557" w14:textId="24C7D93B" w:rsidR="00AB116C" w:rsidRPr="00035F12" w:rsidRDefault="00496CD6" w:rsidP="00496CD6">
      <w:pPr>
        <w:pStyle w:val="ArtikelBezeichner"/>
        <w:keepLines/>
        <w:numPr>
          <w:ilvl w:val="0"/>
          <w:numId w:val="0"/>
        </w:numPr>
      </w:pPr>
      <w:r w:rsidRPr="00035F12">
        <w:t>Artigo 2.º</w:t>
      </w:r>
    </w:p>
    <w:p w14:paraId="5877299E" w14:textId="77777777" w:rsidR="00AB116C" w:rsidRPr="00035F12" w:rsidRDefault="00AB116C" w:rsidP="00496CD6">
      <w:pPr>
        <w:pStyle w:val="Artikelberschrift"/>
        <w:keepLines/>
      </w:pPr>
      <w:bookmarkStart w:id="1" w:name="_Toc20911410"/>
      <w:r w:rsidRPr="00035F12">
        <w:rPr>
          <w:rStyle w:val="Marker"/>
          <w:color w:val="auto"/>
        </w:rPr>
        <w:t>Entrada em vigor</w:t>
      </w:r>
      <w:bookmarkEnd w:id="1"/>
    </w:p>
    <w:p w14:paraId="6E848962" w14:textId="77777777" w:rsidR="00AB116C" w:rsidRPr="00035F12" w:rsidRDefault="00AB116C" w:rsidP="00496CD6">
      <w:pPr>
        <w:pStyle w:val="JuristischerAbsatznichtnummeriert"/>
      </w:pPr>
      <w:r w:rsidRPr="00035F12">
        <w:rPr>
          <w:rStyle w:val="Marker"/>
          <w:color w:val="auto"/>
        </w:rPr>
        <w:t xml:space="preserve">O presente decreto entra em vigor no dia seguinte ao da sua promulgação. </w:t>
      </w:r>
    </w:p>
    <w:p w14:paraId="6D975F86" w14:textId="77777777" w:rsidR="00AB116C" w:rsidRPr="00035F12" w:rsidRDefault="00AB116C" w:rsidP="00496CD6">
      <w:pPr>
        <w:pStyle w:val="Hinweistext"/>
        <w:rPr>
          <w:color w:val="auto"/>
        </w:rPr>
      </w:pPr>
    </w:p>
    <w:p w14:paraId="0892BF9E" w14:textId="6B4ACE7D" w:rsidR="00AB116C" w:rsidRPr="00035F12" w:rsidRDefault="00AB116C" w:rsidP="00496CD6">
      <w:pPr>
        <w:pStyle w:val="Schlussformel"/>
        <w:rPr>
          <w:rStyle w:val="Marker"/>
          <w:color w:val="auto"/>
        </w:rPr>
      </w:pPr>
      <w:r w:rsidRPr="00035F12">
        <w:rPr>
          <w:rStyle w:val="Marker"/>
          <w:color w:val="auto"/>
        </w:rPr>
        <w:t>Aprovado pelo Conselho Federal.</w:t>
      </w:r>
    </w:p>
    <w:p w14:paraId="2FE06F99" w14:textId="2CA9E981" w:rsidR="008855F9" w:rsidRPr="00035F12" w:rsidRDefault="008855F9" w:rsidP="00496CD6">
      <w:bookmarkStart w:id="2" w:name="_GoBack"/>
      <w:bookmarkEnd w:id="2"/>
    </w:p>
    <w:p w14:paraId="655F048A" w14:textId="6D8BE5BC" w:rsidR="002728DE" w:rsidRPr="00035F12" w:rsidRDefault="008855F9" w:rsidP="00496CD6">
      <w:r w:rsidRPr="00035F12">
        <w:t>Bona, 21 de outubro de 2020</w:t>
      </w:r>
    </w:p>
    <w:p w14:paraId="2AF943A7" w14:textId="77777777" w:rsidR="008855F9" w:rsidRPr="00035F12" w:rsidRDefault="008855F9" w:rsidP="00496CD6"/>
    <w:p w14:paraId="3E07F4DF" w14:textId="0F6B4104" w:rsidR="008855F9" w:rsidRPr="00035F12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035F12">
        <w:rPr>
          <w:spacing w:val="40"/>
        </w:rPr>
        <w:t>A ministra federal</w:t>
      </w:r>
    </w:p>
    <w:p w14:paraId="542D86FB" w14:textId="3B6837C1" w:rsidR="008855F9" w:rsidRPr="00035F12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035F12">
        <w:rPr>
          <w:spacing w:val="40"/>
        </w:rPr>
        <w:t>da Alimentação e da Agricultura</w:t>
      </w:r>
    </w:p>
    <w:p w14:paraId="67F973D0" w14:textId="045F75E8" w:rsidR="008855F9" w:rsidRPr="00035F12" w:rsidRDefault="008855F9" w:rsidP="007432BD">
      <w:pPr>
        <w:keepNext/>
        <w:keepLines/>
        <w:spacing w:before="0" w:after="0"/>
        <w:jc w:val="center"/>
        <w:rPr>
          <w:spacing w:val="40"/>
        </w:rPr>
      </w:pPr>
      <w:proofErr w:type="spellStart"/>
      <w:r w:rsidRPr="00035F12">
        <w:rPr>
          <w:spacing w:val="40"/>
        </w:rPr>
        <w:t>Julia</w:t>
      </w:r>
      <w:proofErr w:type="spellEnd"/>
      <w:r w:rsidRPr="00035F12">
        <w:rPr>
          <w:spacing w:val="40"/>
        </w:rPr>
        <w:t xml:space="preserve"> </w:t>
      </w:r>
      <w:proofErr w:type="spellStart"/>
      <w:r w:rsidRPr="00035F12">
        <w:rPr>
          <w:spacing w:val="40"/>
        </w:rPr>
        <w:t>Klöckner</w:t>
      </w:r>
      <w:proofErr w:type="spellEnd"/>
    </w:p>
    <w:sectPr w:rsidR="008855F9" w:rsidRPr="00035F12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2C0A9" w14:textId="77777777" w:rsidR="00F11A11" w:rsidRDefault="00F11A11" w:rsidP="00AB116C">
      <w:pPr>
        <w:spacing w:before="0" w:after="0"/>
      </w:pPr>
      <w:r>
        <w:separator/>
      </w:r>
    </w:p>
  </w:endnote>
  <w:endnote w:type="continuationSeparator" w:id="0">
    <w:p w14:paraId="0DF93D6C" w14:textId="77777777" w:rsidR="00F11A11" w:rsidRDefault="00F11A11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04C3C" w14:textId="77777777" w:rsidR="00F11A11" w:rsidRDefault="00F11A11" w:rsidP="00AB116C">
      <w:pPr>
        <w:spacing w:before="0" w:after="0"/>
      </w:pPr>
      <w:r>
        <w:separator/>
      </w:r>
    </w:p>
  </w:footnote>
  <w:footnote w:type="continuationSeparator" w:id="0">
    <w:p w14:paraId="5D84E7C5" w14:textId="77777777" w:rsidR="00F11A11" w:rsidRDefault="00F11A11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*)</w:t>
      </w:r>
      <w:r>
        <w:tab/>
      </w:r>
      <w:r>
        <w:rPr>
          <w:sz w:val="18"/>
        </w:rPr>
        <w:t xml:space="preserve">Notificado em conformidade com a Diretiva (UE) 2015/1535 do Parlamento Europeu e do Conselho, de 9 de setembro de 2015, relativa a um procedimento de informação no domínio das regulamentações técnicas e das regras relativas aos serviços da sociedade da informação (JO L 241 de 17.9.2015, p.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35F12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6A0A6932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08C6D3C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%3."/>
      <w:lvlJc w:val="left"/>
      <w:pPr>
        <w:tabs>
          <w:tab w:val="num" w:pos="4475"/>
        </w:tabs>
        <w:ind w:left="3625" w:firstLine="425"/>
      </w:pPr>
    </w:lvl>
    <w:lvl w:ilvl="3">
      <w:start w:val="1"/>
      <w:numFmt w:val="decimal"/>
      <w:pStyle w:val="RevisionNummerierungStufe1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6C"/>
    <w:rsid w:val="00035F12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432BD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11A11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  <w:tabs>
        <w:tab w:val="clear" w:pos="4475"/>
        <w:tab w:val="num" w:pos="850"/>
      </w:tabs>
      <w:ind w:left="0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Ke, Tingting</cp:lastModifiedBy>
  <cp:revision>5</cp:revision>
  <cp:lastPrinted>2020-03-04T10:36:00Z</cp:lastPrinted>
  <dcterms:created xsi:type="dcterms:W3CDTF">2020-12-02T10:29:00Z</dcterms:created>
  <dcterms:modified xsi:type="dcterms:W3CDTF">2021-01-14T01:51:00Z</dcterms:modified>
</cp:coreProperties>
</file>