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8C258" w14:textId="77777777" w:rsidR="002D4E30" w:rsidRPr="002D4E30" w:rsidRDefault="002D4E30" w:rsidP="002D4E30">
      <w:pPr>
        <w:spacing w:before="100" w:beforeAutospacing="1" w:after="100" w:afterAutospacing="1" w:line="240" w:lineRule="auto"/>
        <w:outlineLvl w:val="1"/>
        <w:rPr>
          <w:b/>
          <w:bCs/>
          <w:color w:val="000000"/>
          <w:sz w:val="36"/>
          <w:szCs w:val="36"/>
          <w:rFonts w:ascii="Times New Roman" w:eastAsia="Times New Roman" w:hAnsi="Times New Roman" w:cs="Times New Roman"/>
        </w:rPr>
      </w:pPr>
      <w:r>
        <w:rPr>
          <w:b/>
          <w:color w:val="000000"/>
          <w:sz w:val="36"/>
          <w:rFonts w:ascii="Times New Roman" w:hAnsi="Times New Roman"/>
        </w:rPr>
        <w:t xml:space="preserve">Vyhláška ze dne 10. května 2019, kterou se mění vyhláška ze dne 30. prosince 2011, kterou se stanoví bezpečnostní předpis pro výstavbu výškových budov a jejich ochranu před nebezpečím požáru a propuknutím paniky</w:t>
      </w:r>
    </w:p>
    <w:p w14:paraId="3A3496B1" w14:textId="77777777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Dotčené skupiny veřejnosti: provozovatelé a majitelé objektů přístupných veřejnosti, investoři, zhotovitelé, architekti, členové bezpečnostních komisí, vykonavatelé technického dozoru, výrobci a subjekty provádějící instalaci zařízení, která využívají chladivo.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Předmět: změna ustanovení týkajícího se vlastností elektrických zařízení pro výrobu chladu ve výškových budovách.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Vstoupení v platnost: den po zveřejnění v Úředním věstníku Francouzské republiky.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Poznámka: nařízení o požární bezpečnosti ve veřejně přístupných objektech bylo změněno tak, aby umožňovalo používání dříve zakázaných hořlavých chladiv, zejména jeho článek CH 35.</w:t>
      </w:r>
      <w:r>
        <w:rPr>
          <w:color w:val="000000"/>
          <w:sz w:val="27"/>
          <w:rFonts w:ascii="Times New Roman" w:hAnsi="Times New Roman"/>
        </w:rPr>
        <w:t xml:space="preserve"> </w:t>
      </w:r>
      <w:r>
        <w:rPr>
          <w:color w:val="000000"/>
          <w:sz w:val="27"/>
          <w:rFonts w:ascii="Times New Roman" w:hAnsi="Times New Roman"/>
        </w:rPr>
        <w:t xml:space="preserve">Ustanovení čl. GH 37 odst. 2 nařízení o požární bezpečnosti v případě výškových budov odkazuje na ustanovení článku CH 35.</w:t>
      </w:r>
      <w:r>
        <w:rPr>
          <w:color w:val="000000"/>
          <w:sz w:val="27"/>
          <w:rFonts w:ascii="Times New Roman" w:hAnsi="Times New Roman"/>
        </w:rPr>
        <w:t xml:space="preserve"> </w:t>
      </w:r>
      <w:r>
        <w:rPr>
          <w:color w:val="000000"/>
          <w:sz w:val="27"/>
          <w:rFonts w:ascii="Times New Roman" w:hAnsi="Times New Roman"/>
        </w:rPr>
        <w:t xml:space="preserve">Až do provedení konkrétní analýzy rizik je nezbytné zachovat omezení používání hořlavých kapalin ve výškových budovách a zabránit nežádoucímu uvolnění s odkazem na články GH 37 až CH 35.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Odkazy: text ve znění úprav provedených touto vyhláškou je k dispozici k nahlédnutí na internetové stránce Légifrance(http://legifrance.gouv.fr).</w:t>
      </w:r>
    </w:p>
    <w:p w14:paraId="0E85CD49" w14:textId="77777777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Státní ministr pro ekologický a solidární přechod, strážce pečetí, ministr spravedlnosti, ministr hospodářství a financí, ministr práce, ministr vnitra, ministr vysokého školství, výzkumu a inovací, ministr pro územní soudržnost a vztahy s místními a regionálními samosprávami a ministr kultury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s ohledem na směrnici Evropského parlamentu a Rady (EU) 2015/1535 ze dne 9. září 2015 o postupu při poskytování informací v oblasti technických předpisů a předpisů pro služby informační společnosti, především oznámení č. 2018/469/F;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s ohledem na zákoník výstavby a bydlení, především jeho článek R 122-4;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s ohledem na vyhlášku ze dne 30. prosince 2011, kterou se stanoví bezpečnostní nařízení pro výstavbu výškových budov a jejich ochranu před nebezpečím požáru a propuknutím paniky,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s ohledem na stanovisko Vrchní rady pro výstavbu a energetickou účinnosti ze dne 16. října 2018;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s ohledem na stanovisko Národní rady pro hodnocení norem ze dne 11. října 2018 podle tohoto usnesení:</w:t>
      </w:r>
    </w:p>
    <w:p w14:paraId="3E2119D9" w14:textId="77777777" w:rsidR="002D4E30" w:rsidRPr="002D4E30" w:rsidRDefault="002D4E30" w:rsidP="002D4E30">
      <w:pPr>
        <w:spacing w:before="100" w:beforeAutospacing="1" w:after="100" w:afterAutospacing="1" w:line="240" w:lineRule="auto"/>
        <w:ind w:left="450"/>
        <w:outlineLvl w:val="3"/>
        <w:rPr>
          <w:b/>
          <w:bCs/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b/>
          <w:color w:val="000000"/>
          <w:sz w:val="27"/>
          <w:rFonts w:ascii="Times New Roman" w:hAnsi="Times New Roman"/>
        </w:rPr>
        <w:t xml:space="preserve">Článek 1</w:t>
      </w:r>
    </w:p>
    <w:p w14:paraId="16E979BE" w14:textId="77777777" w:rsidR="002D4E30" w:rsidRPr="002D4E30" w:rsidRDefault="002D4E30" w:rsidP="002D4E30">
      <w:pPr>
        <w:spacing w:before="100" w:beforeAutospacing="1" w:after="100" w:afterAutospacing="1" w:line="240" w:lineRule="auto"/>
        <w:ind w:left="450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Oddíl VII kapitoly II hlavy 1 nařízení o bezpečnosti pro výstavbu výškových budov a jejich ochranu proti požárům a riziku propuknutí paniky, schválený výše uvedenou vyhláškou ze dne 30. prosince 2011, se mění v souladu s článkem 2.</w:t>
      </w:r>
    </w:p>
    <w:p w14:paraId="15F034AF" w14:textId="77777777" w:rsidR="002D4E30" w:rsidRPr="002D4E30" w:rsidRDefault="002D4E30" w:rsidP="002D4E30">
      <w:pPr>
        <w:spacing w:before="100" w:beforeAutospacing="1" w:after="100" w:afterAutospacing="1" w:line="240" w:lineRule="auto"/>
        <w:ind w:left="450"/>
        <w:outlineLvl w:val="3"/>
        <w:rPr>
          <w:b/>
          <w:bCs/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b/>
          <w:color w:val="000000"/>
          <w:sz w:val="27"/>
          <w:rFonts w:ascii="Times New Roman" w:hAnsi="Times New Roman"/>
        </w:rPr>
        <w:t xml:space="preserve">Článek 2</w:t>
      </w:r>
    </w:p>
    <w:p w14:paraId="3B21DC11" w14:textId="77777777" w:rsidR="002D4E30" w:rsidRPr="002D4E30" w:rsidRDefault="002D4E30" w:rsidP="002D4E30">
      <w:pPr>
        <w:spacing w:before="100" w:beforeAutospacing="1" w:after="100" w:afterAutospacing="1" w:line="240" w:lineRule="auto"/>
        <w:ind w:left="450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V článku GH 37 se za slova:</w:t>
      </w:r>
      <w:r>
        <w:rPr>
          <w:color w:val="000000"/>
          <w:sz w:val="27"/>
          <w:rFonts w:ascii="Times New Roman" w:hAnsi="Times New Roman"/>
        </w:rPr>
        <w:t xml:space="preserve"> </w:t>
      </w:r>
      <w:r>
        <w:rPr>
          <w:color w:val="000000"/>
          <w:sz w:val="27"/>
          <w:rFonts w:ascii="Times New Roman" w:hAnsi="Times New Roman"/>
        </w:rPr>
        <w:t xml:space="preserve">„appareils électriques de production de froid“ („elektrická zařízení pro výrobu chladu“) vkládají slova:</w:t>
      </w:r>
      <w:r>
        <w:rPr>
          <w:color w:val="000000"/>
          <w:sz w:val="27"/>
          <w:rFonts w:ascii="Times New Roman" w:hAnsi="Times New Roman"/>
        </w:rPr>
        <w:t xml:space="preserve"> </w:t>
      </w:r>
      <w:r>
        <w:rPr>
          <w:color w:val="000000"/>
          <w:sz w:val="27"/>
          <w:rFonts w:ascii="Times New Roman" w:hAnsi="Times New Roman"/>
        </w:rPr>
        <w:t xml:space="preserve">„, n’utilisant pas de fluides frigorigènes inflammables,“ („, nepoužívá hořlavá chladiva,“).</w:t>
      </w:r>
    </w:p>
    <w:p w14:paraId="1D043E63" w14:textId="77777777" w:rsidR="002D4E30" w:rsidRPr="002D4E30" w:rsidRDefault="002D4E30" w:rsidP="002D4E30">
      <w:pPr>
        <w:spacing w:before="100" w:beforeAutospacing="1" w:after="100" w:afterAutospacing="1" w:line="240" w:lineRule="auto"/>
        <w:ind w:left="450"/>
        <w:outlineLvl w:val="3"/>
        <w:rPr>
          <w:b/>
          <w:bCs/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b/>
          <w:color w:val="000000"/>
          <w:sz w:val="27"/>
          <w:rFonts w:ascii="Times New Roman" w:hAnsi="Times New Roman"/>
        </w:rPr>
        <w:t xml:space="preserve">Článek 3</w:t>
      </w:r>
    </w:p>
    <w:p w14:paraId="46DA1702" w14:textId="77777777" w:rsidR="002D4E30" w:rsidRPr="002D4E30" w:rsidRDefault="002D4E30" w:rsidP="002D4E30">
      <w:pPr>
        <w:spacing w:before="100" w:beforeAutospacing="1" w:after="100" w:afterAutospacing="1" w:line="240" w:lineRule="auto"/>
        <w:ind w:left="450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Tato vyhláška vstupuje v platnost den po jejím zveřejnění v Úředním věstníku Francouzské republiky.</w:t>
      </w:r>
    </w:p>
    <w:p w14:paraId="37B186A9" w14:textId="77777777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Dne 10. května 2019.</w:t>
      </w:r>
    </w:p>
    <w:p w14:paraId="3087E08E" w14:textId="2E422699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Ministr vnitra,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za ministra a na základě jeho pověření: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Vedoucí útvaru, zástupce generálního ředitele pro civilní bezpečnost a řešení krizí, odpovědný za ředitelství hasičů,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M. Marquer</w:t>
      </w:r>
    </w:p>
    <w:p w14:paraId="67BE7549" w14:textId="77777777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Státní ministr pro ekologický a solidární přechod,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za ministra a na základě jeho pověření: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Ředitel pro bydlení, městské plánování a krajinu,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F. Adam</w:t>
      </w:r>
    </w:p>
    <w:p w14:paraId="10A65939" w14:textId="77777777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Strážce pečetí, ministr spravedlnosti,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za ministra a na základě jeho pověření: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Generální tajemník,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V. Malbec</w:t>
      </w:r>
    </w:p>
    <w:p w14:paraId="58B9A22B" w14:textId="77777777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Ministr hospodářství a financí,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za ministryni a na základě jeho pověření: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Vedoucí oddělení průmyslu,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J. Tognola</w:t>
      </w:r>
    </w:p>
    <w:p w14:paraId="648F29E1" w14:textId="77777777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Ministryně práce,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Za ministryni a na základě pověření: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Generální ředitel práce,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Y. Struillou</w:t>
      </w:r>
    </w:p>
    <w:p w14:paraId="634689E8" w14:textId="77777777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Ministryně pro vysoké školství,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výzkum a inovace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Za ministryni a na základě pověření: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Generální ředitel pro vysokoškolské vzdělávání a odbornou integraci,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B. Plateau</w:t>
      </w:r>
    </w:p>
    <w:p w14:paraId="24257C13" w14:textId="77777777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Ministr pro územní soudržnost a vztahy s místními a regionálními orgány,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za ministra a na základě jeho pověření: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Ředitel pro bydlení, městské plánování a krajinu,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F. Adam</w:t>
      </w:r>
    </w:p>
    <w:p w14:paraId="4D15A2DE" w14:textId="77777777" w:rsidR="002D4E30" w:rsidRPr="002D4E30" w:rsidRDefault="002D4E30" w:rsidP="002D4E30">
      <w:pPr>
        <w:spacing w:before="100" w:beforeAutospacing="1" w:after="100" w:afterAutospacing="1" w:line="240" w:lineRule="auto"/>
        <w:rPr>
          <w:color w:val="000000"/>
          <w:sz w:val="27"/>
          <w:szCs w:val="27"/>
          <w:rFonts w:ascii="Times New Roman" w:eastAsia="Times New Roman" w:hAnsi="Times New Roman" w:cs="Times New Roman"/>
        </w:rPr>
      </w:pP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Ministr kultury,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za ministra a na základě jeho pověření: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Generální ředitel pro dědictví,</w:t>
      </w:r>
      <w:r>
        <w:rPr>
          <w:color w:val="000000"/>
          <w:sz w:val="27"/>
          <w:rFonts w:ascii="Times New Roman" w:hAnsi="Times New Roman"/>
        </w:rPr>
        <w:br/>
      </w:r>
      <w:r>
        <w:rPr>
          <w:color w:val="000000"/>
          <w:sz w:val="27"/>
          <w:rFonts w:ascii="Times New Roman" w:hAnsi="Times New Roman"/>
        </w:rPr>
        <w:t xml:space="preserve">P. Barbat</w:t>
      </w:r>
    </w:p>
    <w:p w14:paraId="521600CE" w14:textId="77777777" w:rsidR="00A44B5B" w:rsidRDefault="00A44B5B"/>
    <w:sectPr w:rsidR="00A44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E30"/>
    <w:rsid w:val="002D4E30"/>
    <w:rsid w:val="007A46F7"/>
    <w:rsid w:val="00A4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D9E2"/>
  <w15:chartTrackingRefBased/>
  <w15:docId w15:val="{BDDE6BE2-9B6C-44E7-AEA4-892EE1BE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Dimitris Dimitriadis</cp:lastModifiedBy>
  <cp:revision>2</cp:revision>
  <dcterms:created xsi:type="dcterms:W3CDTF">2021-08-25T12:30:00Z</dcterms:created>
  <dcterms:modified xsi:type="dcterms:W3CDTF">2021-11-21T13:25:00Z</dcterms:modified>
</cp:coreProperties>
</file>