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I henhold til artikel 64, stk. 4, i landbrugsloven (Republikken Sloveniens officielle tidende nr. 45/08, 57/12, 90/12 — ZdZPVHVVR, 26/14 og 32/15, 27/17 </w:t>
      </w:r>
      <w:hyperlink r:id="rId8" w:tgtFrame="_blank" w:tooltip="Lov om ændring af landbrugsloven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22/18</w:t>
        </w:r>
      </w:hyperlink>
      <w:r>
        <w:rPr>
          <w:b/>
          <w:shd w:val="clear" w:color="auto" w:fill="FFFFFF"/>
        </w:rPr>
        <w:t xml:space="preserve">, </w:t>
      </w:r>
      <w:hyperlink r:id="rId9" w:tgtFrame="_blank" w:tooltip="Afgørelse om delvis ophævelse af landbrugslovens artikel 61, litra f)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86/21</w:t>
        </w:r>
      </w:hyperlink>
      <w:r>
        <w:rPr>
          <w:shd w:val="clear" w:color="auto" w:fill="FFFFFF"/>
          <w:b/>
        </w:rPr>
        <w:t xml:space="preserve"> 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Forfatningsdomstolens afgørelser</w:t>
      </w:r>
      <w:r>
        <w:rPr>
          <w:shd w:val="clear" w:color="auto" w:fill="FFFFFF"/>
          <w:b/>
        </w:rPr>
        <w:t xml:space="preserve"> </w:t>
      </w:r>
      <w:hyperlink r:id="rId10" w:tgtFrame="_blank" w:tooltip="Lov om ændring af landbrugsloven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123/21</w:t>
        </w:r>
      </w:hyperlink>
      <w:r>
        <w:t xml:space="preserve"> og 44/22) Minister for landbrug, skovbrug og fødevarer</w:t>
      </w:r>
    </w:p>
    <w:p w14:paraId="5DE339B3" w14:textId="77777777" w:rsidR="00E549B4" w:rsidRDefault="00E549B4" w:rsidP="00E549B4">
      <w:pPr>
        <w:pStyle w:val="Vrstapredpisa"/>
      </w:pPr>
      <w:r>
        <w:t xml:space="preserve">REGLER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om kvaliteten af </w:t>
      </w:r>
      <w:bookmarkStart w:id="0" w:name="_Hlk80263497"/>
      <w:r>
        <w:t xml:space="preserve">øl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 xml:space="preserve">I. GENERELLE BESTEMMELSER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 xml:space="preserve">Artikel 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(Indhold)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Disse regler regulerer betingelserne for den minimumskvalitet, klassificering og mærkning, som øl skal opfylde på markedet.</w:t>
      </w:r>
      <w:r>
        <w:t xml:space="preserve">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 xml:space="preserve">Artikel 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 xml:space="preserve">(Informationsprocedure og -klausul)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 xml:space="preserve">(1)</w:t>
      </w:r>
      <w:r>
        <w:t xml:space="preserve"> </w:t>
      </w:r>
      <w:r>
        <w:t xml:space="preserve">Disse regler er blevet udstedt under hensyntagen til informationsproceduren i Europa-Parlamentets og Rådets direktiv (EU) 2015/1535 af 9. september 2015 om en informationsprocedure med hensyn til tekniske forskrifter samt forskrifter for informationssamfundets tjenester (EUT L 241 af 17.</w:t>
      </w:r>
      <w:r>
        <w:t xml:space="preserve"> </w:t>
      </w:r>
      <w:r>
        <w:t xml:space="preserve">9.</w:t>
      </w:r>
      <w:r>
        <w:t xml:space="preserve"> </w:t>
      </w:r>
      <w:r>
        <w:t xml:space="preserve">2015, s.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 xml:space="preserve">(2)</w:t>
      </w:r>
      <w:r>
        <w:t xml:space="preserve"> </w:t>
      </w:r>
      <w:r>
        <w:t xml:space="preserve">Bestemmelserne i disse regler finder ikke anvendelse på produkter, der i overensstemmelse med national lovgivning sikrer et tilsvarende beskyttelsesniveau af almenvellet som fastsat i Republikken Sloveniens lovgivning, lovligt:</w:t>
      </w:r>
    </w:p>
    <w:p w14:paraId="311CA9A6" w14:textId="77777777" w:rsidR="009B2E64" w:rsidRDefault="00A75091" w:rsidP="009B2E64">
      <w:r>
        <w:t xml:space="preserve">—</w:t>
      </w:r>
      <w:r>
        <w:tab/>
      </w:r>
      <w:r>
        <w:t xml:space="preserve">produceres eller markedsføres i andre EU-medlemsstater og Tyrkiet, eller</w:t>
      </w:r>
    </w:p>
    <w:p w14:paraId="33A5163A" w14:textId="77777777" w:rsidR="009B2E64" w:rsidRDefault="00A75091" w:rsidP="009B2E64">
      <w:r>
        <w:t xml:space="preserve">—</w:t>
      </w:r>
      <w:r>
        <w:tab/>
      </w:r>
      <w:r>
        <w:t xml:space="preserve">produceres i lande i Den Europæiske Frihandelssammenslutning (EFTA), der også er medlem af Det Europæiske Økonomiske Samarbejdsområde.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 xml:space="preserve"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Disse regler skal gennemføres i overensstemmelse med Europa-Parlamentets og Rådets forordning (EU) 2019/515 af 19. marts 2019 om gensidig anerkendelse af varer, der lovligt markedsføres i en anden medlemsstat, og om ophævelse af forordning (EF) nr. 764/2008 (EUT L 91 af 29.</w:t>
      </w:r>
      <w:r>
        <w:rPr>
          <w:color w:val="000000"/>
        </w:rPr>
        <w:t xml:space="preserve"> </w:t>
      </w:r>
      <w:r>
        <w:rPr>
          <w:color w:val="000000"/>
        </w:rPr>
        <w:t xml:space="preserve">3.</w:t>
      </w:r>
      <w:r>
        <w:rPr>
          <w:color w:val="000000"/>
        </w:rPr>
        <w:t xml:space="preserve"> 2019, s. 1)</w:t>
      </w:r>
      <w:r>
        <w:t xml:space="preserve">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Artikel 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(Betydning af termer)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 xml:space="preserve">De termer, der anvendes i disse regler, betyder: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 xml:space="preserve">øl er en gæret alkoholholdig drikkevare, hvori al ethanol og i det mindste en del af kuldioxiden dannes under gæringen af de ingredienser, der er omhandlet i artikel 4 i disse regler, og som fremstilles ved en teknologisk brygningsproces efterfulgt af gæring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 xml:space="preserve">ekstrakt i basisurten er indholdet af opløselige stoffer i urten før gæring udtrykt i % (m/m)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t xml:space="preserve">alkoholindhold udtrykt i volumenprocent (% vol) er ethanolindholdet ved 20 °C udtrykt i volumenprocent</w:t>
      </w:r>
      <w:bookmarkEnd w:id="1"/>
      <w:r>
        <w:rPr>
          <w:b w:val="0"/>
        </w:rPr>
        <w:t xml:space="preserve">.</w:t>
      </w:r>
      <w:r>
        <w:rPr>
          <w:b w:val="0"/>
        </w:rPr>
        <w:t xml:space="preserve">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ØL PÅ MARKEDET</w:t>
      </w:r>
      <w:r>
        <w:t xml:space="preserve">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 xml:space="preserve">Artikel 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 xml:space="preserve">(Råvarer)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Råvarerne til fremstilling af øl er: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vand, der skal opfylde betingelserne i reglerne for drikkevand med henblik på fremstilling af procesvand</w:t>
      </w:r>
      <w:r>
        <w:rPr>
          <w:sz w:val="22"/>
        </w:rPr>
        <w:t xml:space="preserve">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bygmalt eller andet sødet eller usødet korn eller produkter fremstillet af korn og kornlignende råvarer, afgrøder og andre råvarer på basis af stivelse og sukker</w:t>
      </w:r>
      <w:r>
        <w:rPr>
          <w:sz w:val="22"/>
        </w:rPr>
        <w:t xml:space="preserve"> </w:t>
      </w:r>
    </w:p>
    <w:p w14:paraId="08A27911" w14:textId="4338E20D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– humle og humleprodukter i overensstemmelse med reglerne for certificering af humleafgrøder og humleprodukter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mikrobielle kulturer, hvor der anvendes ølgær eller andre mikroorganismer eller mikrobielle samfund til gæring af øl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</w:t>
      </w:r>
      <w:r>
        <w:t xml:space="preserve"> </w:t>
      </w:r>
      <w:r>
        <w:rPr>
          <w:sz w:val="22"/>
        </w:rPr>
        <w:t xml:space="preserve">andre råvarer.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Artikel 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(Klassifikation af øl)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 xml:space="preserve">Øl er klassificeret i henhold til: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ekstraktindhold af basisurten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alkoholindhold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farve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teknologisk forarbejdning.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 xml:space="preserve">Artikel 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 xml:space="preserve">(Mærkning af øl)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</w:t>
      </w:r>
      <w:r>
        <w:t xml:space="preserve"> </w:t>
      </w:r>
      <w:r>
        <w:t xml:space="preserve">Øl skal mærkes i henhold til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Europa-Parlamentets og Rådets forordning (EU) nr. 1169/2011 af 25. oktober 2011 om fødevareinformation til forbrugerne, om ændring af Europa-Parlamentets og Rådets forordning (EF) nr. 1924/2006 og (EF) nr. 1925/2006 og om ophævelse af Kommissionens direktiv 87/250/EØF, Rådets direktiv 90/496/EØF, Kommissionens direktiv 1999/10/EF, Europa-Parlamentets og Rådets direktiv 2000/13/EF, Kommissionens direktiv 2002/67/EF og 2008/5/EF og Kommissionens forordning (EF) nr. 608/2004.</w:t>
      </w:r>
      <w:r>
        <w:t xml:space="preserve"> </w:t>
      </w:r>
      <w:r w:rsidR="004E29FE" w:rsidRPr="00426EB6">
        <w:rPr>
          <w:rFonts w:cs="Arial"/>
        </w:rPr>
        <w:fldChar w:fldCharType="end"/>
      </w:r>
      <w:bookmarkEnd w:id="2"/>
      <w:r>
        <w:t xml:space="preserve">(EUT L 304 af 22.</w:t>
      </w:r>
      <w:r>
        <w:t xml:space="preserve"> </w:t>
      </w:r>
      <w:r>
        <w:t xml:space="preserve">11.</w:t>
      </w:r>
      <w:r>
        <w:t xml:space="preserve"> </w:t>
      </w:r>
      <w:r>
        <w:t xml:space="preserve">2011, s. 18), senest ændret ved </w:t>
      </w:r>
      <w:r>
        <w:rPr>
          <w:shd w:val="clear" w:color="auto" w:fill="FFFFFF"/>
        </w:rPr>
        <w:t xml:space="preserve">Europa-Parlamentets og Rådets forordning (EU) 2015/2283 af 25. november 2015 om nye fødevarer, om ændring af Europa-Parlamentets og Rådets forordning (EU) nr. 1169/2011 og om ophævelse af Europa-Parlamentets og Rådets forordning (EF) nr. 258/97 og Kommissionens forordning (EF) nr. 1852/2001 </w:t>
      </w:r>
      <w:r>
        <w:rPr>
          <w:shd w:val="clear" w:color="auto" w:fill="FFFFFF"/>
          <w:i/>
        </w:rPr>
        <w:t xml:space="preserve">(</w:t>
      </w:r>
      <w:r>
        <w:rPr>
          <w:shd w:val="clear" w:color="auto" w:fill="FFFFFF"/>
          <w:rStyle w:val="Emphasis"/>
          <w:i w:val="0"/>
        </w:rPr>
        <w:t xml:space="preserve">EUT L 327 af 11.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12.</w:t>
      </w:r>
      <w:r>
        <w:rPr>
          <w:shd w:val="clear" w:color="auto" w:fill="FFFFFF"/>
          <w:rStyle w:val="Emphasis"/>
          <w:i w:val="0"/>
        </w:rPr>
        <w:t xml:space="preserve"> </w:t>
      </w:r>
      <w:r>
        <w:rPr>
          <w:shd w:val="clear" w:color="auto" w:fill="FFFFFF"/>
          <w:rStyle w:val="Emphasis"/>
          <w:i w:val="0"/>
        </w:rPr>
        <w:t xml:space="preserve">2015, s. 1)</w:t>
      </w:r>
      <w:r>
        <w:t xml:space="preserve">, og i henhold til disse regler.</w:t>
      </w:r>
      <w:r>
        <w:t xml:space="preserve">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</w:t>
      </w:r>
      <w:r>
        <w:t xml:space="preserve"> </w:t>
      </w:r>
      <w:r>
        <w:t xml:space="preserve">Afhængigt af værdien af ekstraktet i basisurten skal øl mærkes som:</w:t>
      </w:r>
      <w:r>
        <w:t xml:space="preserve">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øl, hvis det indeholder op til 13,5 % (m/m) ekstrakt i basisurten</w:t>
      </w:r>
      <w:r>
        <w:t xml:space="preserve">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specialøl, hvis det indeholder mere end 13,5 % indtil 16 % (m/m) af ekstraktet i basisurten</w:t>
      </w:r>
      <w:r>
        <w:t xml:space="preserve">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stærkt øl, hvis det indeholder mere end 16 % (m/m) ekstrakt i basisurten.</w:t>
      </w:r>
      <w:r>
        <w:t xml:space="preserve">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 xml:space="preserve">(3)</w:t>
      </w:r>
      <w:r>
        <w:t xml:space="preserve"> </w:t>
      </w:r>
      <w:r>
        <w:t xml:space="preserve">På grund af det lavere alkoholindhold skal øl mærkes som: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lyst øl, hvis det indeholder højst 3,5 volumenprocent alkohol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alkoholfrit øl, hvis det indeholder højst 0,5 % volumen alkohol.</w:t>
      </w:r>
      <w:r>
        <w:t xml:space="preserve">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</w:t>
      </w:r>
      <w:r>
        <w:t xml:space="preserve"> </w:t>
      </w:r>
      <w:r>
        <w:t xml:space="preserve">Afhængigt af farven skal øl mærkes som:</w:t>
      </w:r>
      <w:r>
        <w:t xml:space="preserve">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lyst øl, hvis farvens intensitet ikke er over 30 EBC-enheder</w:t>
      </w:r>
      <w:r>
        <w:t xml:space="preserve">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 xml:space="preserve">mørkt øl, hvis farvens intensitet er over 30 EBC-enheder.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(5)</w:t>
      </w:r>
      <w:r>
        <w:t xml:space="preserve"> </w:t>
      </w:r>
      <w:r>
        <w:t xml:space="preserve">Øl skal mærkes som uigennemsigtig øl, hvis uigennemsigtigheden er resultatet af særlige teknologiske procedurer.</w:t>
      </w:r>
      <w:r>
        <w:t xml:space="preserve">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 xml:space="preserve">(6)</w:t>
      </w:r>
      <w:r>
        <w:t xml:space="preserve"> </w:t>
      </w:r>
      <w:r>
        <w:t xml:space="preserve">Øl, der er lagret i mindst seks måneder, mærkes som modnet øl.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 xml:space="preserve">(7)</w:t>
      </w:r>
      <w:r>
        <w:t xml:space="preserve"> </w:t>
      </w:r>
      <w:r>
        <w:t xml:space="preserve">Øl, der ikke er filtreret, mærkes som ufiltreret øl.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 xml:space="preserve">(8)</w:t>
      </w:r>
      <w:r>
        <w:t xml:space="preserve"> </w:t>
      </w:r>
      <w:r>
        <w:t xml:space="preserve">Øl, der ikke er pasteuriseret, mærkes som upasteuriseret øl.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 xml:space="preserve">(9)</w:t>
      </w:r>
      <w:r>
        <w:t xml:space="preserve"> </w:t>
      </w:r>
      <w:r>
        <w:t xml:space="preserve">Øl, der er fremstillet af mindst 30 % (m/m) hvedemalt, mærkes som hvedeøl.</w:t>
      </w:r>
      <w:r>
        <w:t xml:space="preserve"> </w:t>
      </w:r>
      <w:r>
        <w:t xml:space="preserve">Hvis øl er fremstillet af andet korn eller kornprodukter og kornlignende råvarer, skal produktets navn angive navnet på den anvendte råvare, hvis den repræsenterer mindst 30 % af basisråvaren (f.eks. boghvedeøl).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 xml:space="preserve">(10)</w:t>
      </w:r>
      <w:r>
        <w:t xml:space="preserve"> </w:t>
      </w:r>
      <w:r>
        <w:t xml:space="preserve">Øl med lavere CO</w:t>
      </w:r>
      <w:r>
        <w:rPr>
          <w:vertAlign w:val="subscript"/>
        </w:rPr>
        <w:t xml:space="preserve">2</w:t>
      </w:r>
      <w:r>
        <w:t xml:space="preserve">-indhold skal mærkes som øl, der indeholder en lavere værdi af CO</w:t>
      </w:r>
      <w:r>
        <w:rPr>
          <w:vertAlign w:val="subscript"/>
        </w:rPr>
        <w:t xml:space="preserve">2</w:t>
      </w:r>
      <w:r>
        <w:t xml:space="preserve"> som defineret i artikel 6 i disse regler.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 xml:space="preserve">(11)</w:t>
      </w:r>
      <w:r>
        <w:t xml:space="preserve"> </w:t>
      </w:r>
      <w:r>
        <w:t xml:space="preserve">Øl uden humle mærkes som øl, hvortil der ikke tilsættes humle og humleprodukter.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Der kan også angives andre egenskaber ved øllet (f.eks. lagret på fad, øvre gæringsøl).</w:t>
      </w:r>
      <w:r>
        <w:rPr>
          <w:color w:val="000000"/>
          <w:shd w:val="clear" w:color="auto" w:fill="FFFFFF"/>
        </w:rPr>
        <w:t xml:space="preserve">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Artikel 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(Minimumskvalitet)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Øl på markedet skal opfylde følgende mindstekrav til kvalitet:</w:t>
      </w:r>
      <w:r>
        <w:t xml:space="preserve">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det er klart og frit for sediment, bortset fra uigennemsigtigt og ufiltreret øl</w:t>
      </w:r>
      <w:r>
        <w:t xml:space="preserve">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det indeholder mindst 3 g/l kuldioxid, bortset fra øl fra foregående artikels stk. 10</w:t>
      </w:r>
      <w:r>
        <w:t xml:space="preserve">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pH-værdi på op til 5,5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 xml:space="preserve">øllets organoleptiske egenskaber skal opfylde definitionen i varespecifikationen.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 xml:space="preserve">Artikel 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 xml:space="preserve">(Lagring)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Øl skal oplagres efter produktion og under salget i overensstemmelse med fabrikantens anvisninger.</w:t>
      </w:r>
      <w:r>
        <w:t xml:space="preserve"> </w:t>
      </w:r>
    </w:p>
    <w:p w14:paraId="457D85A2" w14:textId="77777777" w:rsidR="00E549B4" w:rsidRPr="00E549B4" w:rsidRDefault="002F0F1C" w:rsidP="00E549B4">
      <w:pPr>
        <w:pStyle w:val="Poglavje"/>
      </w:pPr>
      <w:r>
        <w:t xml:space="preserve">III. OVERGANGSBESTEMMELSER OG AFSLUTTENDE BESTEMMELSER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Artikel 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(Overgangsbestemmelse)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 xml:space="preserve">(1)</w:t>
      </w:r>
      <w:r>
        <w:t xml:space="preserve"> </w:t>
      </w:r>
      <w:r>
        <w:t xml:space="preserve">Øl, der bringes i omsætning, skal opfylde kravene og mærkes i overensstemmelse med bestemmelserne i disse regler senest to år efter disse reglers ikrafttræden.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 xml:space="preserve">(2)</w:t>
      </w:r>
      <w:r>
        <w:t xml:space="preserve"> </w:t>
      </w:r>
      <w:r>
        <w:t xml:space="preserve">Uanset bestemmelsen i det foregående stykke kan øl, der er produceret og mærket i overensstemmelse med reglerne om ølkvalitet (Republikken Sloveniens officielle tidende, nr. 3/03 og 45/08 — ZKme-1), markedsføres inden den i foregående stykke omhandlede frist, indtil lagrene er opbrugt.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Artikel 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(Udløb)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 xml:space="preserve">Reglerne om øls kvalitet (Republikken Sloveniens officielle tidende, nr. 3/03 og 45/08 – ZKme-1) ophører med at finde anvendelse på den dato, hvor disse regler træder i kraft og forbliver i kraft i to år fra disse reglers ikrafttræden.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 xml:space="preserve">Artikel 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(Ikrafttræden)</w:t>
      </w:r>
    </w:p>
    <w:p w14:paraId="3C22B836" w14:textId="77777777" w:rsidR="00E549B4" w:rsidRDefault="00E549B4" w:rsidP="006B7A6F">
      <w:pPr>
        <w:pStyle w:val="Odstavek"/>
        <w:ind w:firstLine="0"/>
      </w:pPr>
      <w:r>
        <w:t xml:space="preserve">Disse regler træder i kraft på den femtende dag efter deres offentliggørelse i Republikken Sloveniens officielle tidende.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 xml:space="preserve">Nr. 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Ljubljana, dato</w:t>
      </w:r>
      <w:r>
        <w:t xml:space="preserve"> </w:t>
      </w:r>
    </w:p>
    <w:p w14:paraId="7AD8A225" w14:textId="77777777" w:rsidR="00BC6859" w:rsidRPr="00E549B4" w:rsidRDefault="00BC6859" w:rsidP="00E549B4">
      <w:pPr>
        <w:pStyle w:val="Datumsprejetja"/>
      </w:pPr>
      <w:r>
        <w:t xml:space="preserve"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 xml:space="preserve">Minister for landbrug, skovbrug og fødevarer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5AE" w14:textId="77777777" w:rsidR="007E3C9E" w:rsidRDefault="007E3C9E" w:rsidP="00443548">
      <w:r>
        <w:separator/>
      </w:r>
    </w:p>
  </w:endnote>
  <w:endnote w:type="continuationSeparator" w:id="0">
    <w:p w14:paraId="0B190E5A" w14:textId="77777777" w:rsidR="007E3C9E" w:rsidRDefault="007E3C9E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6CC" w14:textId="77777777" w:rsidR="007E3C9E" w:rsidRDefault="007E3C9E" w:rsidP="00443548">
      <w:r>
        <w:separator/>
      </w:r>
    </w:p>
  </w:footnote>
  <w:footnote w:type="continuationSeparator" w:id="0">
    <w:p w14:paraId="47F5698F" w14:textId="77777777" w:rsidR="007E3C9E" w:rsidRDefault="007E3C9E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pStyle w:val="Alinejazarkovnotoko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dirty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da-DK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da-DK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7963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2022-06-01T07:18:00Z</dcterms:modified>
</cp:coreProperties>
</file>