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E98F" w14:textId="730BB34C" w:rsidR="004D73A6" w:rsidRPr="00DE2474" w:rsidRDefault="004D73A6" w:rsidP="004D73A6">
      <w:pPr>
        <w:ind w:right="-755"/>
        <w:jc w:val="left"/>
        <w:rPr>
          <w:rFonts w:ascii="Courier New" w:hAnsi="Courier New"/>
          <w:sz w:val="20"/>
        </w:rPr>
      </w:pPr>
      <w:bookmarkStart w:id="0" w:name="_GoBack"/>
      <w:bookmarkEnd w:id="0"/>
      <w:r>
        <w:rPr>
          <w:rFonts w:ascii="Courier New" w:hAnsi="Courier New"/>
          <w:sz w:val="20"/>
        </w:rPr>
        <w:t>1. ------IND- 2021 0045 D-- SL- ------ 20210210 --- --- PROJET</w:t>
      </w:r>
    </w:p>
    <w:p w14:paraId="2A1D7EB4" w14:textId="77777777" w:rsidR="00A1618A" w:rsidRPr="0018171E" w:rsidRDefault="00A1618A" w:rsidP="00E5776A">
      <w:pPr>
        <w:spacing w:after="240" w:line="360" w:lineRule="auto"/>
        <w:rPr>
          <w:rFonts w:ascii="Arial" w:hAnsi="Arial" w:cs="Arial"/>
          <w:sz w:val="26"/>
          <w:szCs w:val="26"/>
        </w:rPr>
      </w:pPr>
      <w:r>
        <w:rPr>
          <w:rFonts w:ascii="Arial" w:hAnsi="Arial"/>
          <w:sz w:val="26"/>
        </w:rPr>
        <w:t>Zvezno ministrstvo za pravosodje in varstvo potrošnikov</w:t>
      </w:r>
    </w:p>
    <w:p w14:paraId="4892787C" w14:textId="77777777" w:rsidR="00A1618A" w:rsidRPr="0018171E" w:rsidRDefault="00A1618A" w:rsidP="00E5776A">
      <w:pPr>
        <w:spacing w:after="360" w:line="360" w:lineRule="auto"/>
        <w:jc w:val="center"/>
        <w:rPr>
          <w:rFonts w:ascii="Arial Fett" w:hAnsi="Arial Fett" w:cs="Arial"/>
          <w:b/>
          <w:sz w:val="30"/>
          <w:szCs w:val="30"/>
        </w:rPr>
      </w:pPr>
      <w:r>
        <w:rPr>
          <w:rFonts w:ascii="Arial Fett" w:hAnsi="Arial Fett"/>
          <w:b/>
          <w:sz w:val="30"/>
        </w:rPr>
        <w:t>Predlog spremembe</w:t>
      </w:r>
    </w:p>
    <w:p w14:paraId="3625169F" w14:textId="77777777" w:rsidR="00A1618A" w:rsidRPr="0018171E" w:rsidRDefault="00A1618A" w:rsidP="00E5776A">
      <w:pPr>
        <w:spacing w:line="360" w:lineRule="auto"/>
        <w:rPr>
          <w:rFonts w:ascii="Arial" w:hAnsi="Arial" w:cs="Arial"/>
          <w:b/>
          <w:sz w:val="26"/>
          <w:szCs w:val="26"/>
        </w:rPr>
      </w:pPr>
      <w:r>
        <w:rPr>
          <w:rFonts w:ascii="Arial" w:hAnsi="Arial"/>
          <w:b/>
          <w:sz w:val="26"/>
        </w:rPr>
        <w:t>k osnutku zakona zvezne vlade</w:t>
      </w:r>
    </w:p>
    <w:p w14:paraId="47E1A8FA" w14:textId="77777777" w:rsidR="00A1618A" w:rsidRPr="0018171E" w:rsidRDefault="00A1618A" w:rsidP="00E5776A">
      <w:pPr>
        <w:spacing w:after="240" w:line="360" w:lineRule="auto"/>
        <w:rPr>
          <w:rFonts w:ascii="Arial" w:hAnsi="Arial" w:cs="Arial"/>
          <w:b/>
          <w:sz w:val="26"/>
          <w:szCs w:val="26"/>
        </w:rPr>
      </w:pPr>
      <w:r>
        <w:rPr>
          <w:rFonts w:ascii="Arial" w:hAnsi="Arial"/>
          <w:b/>
          <w:sz w:val="26"/>
        </w:rPr>
        <w:t xml:space="preserve">– Tiskovina </w:t>
      </w:r>
      <w:r>
        <w:rPr>
          <w:rStyle w:val="Marker"/>
          <w:b/>
        </w:rPr>
        <w:t>[…]</w:t>
      </w:r>
      <w:r>
        <w:rPr>
          <w:rFonts w:ascii="Arial" w:hAnsi="Arial"/>
          <w:b/>
          <w:sz w:val="26"/>
        </w:rPr>
        <w:t xml:space="preserve"> –</w:t>
      </w:r>
    </w:p>
    <w:p w14:paraId="371C6925" w14:textId="77777777" w:rsidR="00A1618A" w:rsidRPr="0018171E" w:rsidRDefault="00A1618A" w:rsidP="00E5776A">
      <w:pPr>
        <w:spacing w:after="480" w:line="360" w:lineRule="auto"/>
        <w:rPr>
          <w:rStyle w:val="Marker"/>
        </w:rPr>
      </w:pPr>
      <w:r>
        <w:rPr>
          <w:rStyle w:val="Marker"/>
        </w:rPr>
        <w:t>[…]</w:t>
      </w:r>
    </w:p>
    <w:p w14:paraId="57FA809D" w14:textId="77777777" w:rsidR="00A1618A" w:rsidRPr="0018171E" w:rsidRDefault="00A1618A" w:rsidP="00E5776A">
      <w:pPr>
        <w:spacing w:line="360" w:lineRule="auto"/>
        <w:rPr>
          <w:rFonts w:ascii="Arial" w:hAnsi="Arial" w:cs="Arial"/>
          <w:sz w:val="22"/>
        </w:rPr>
      </w:pPr>
      <w:r>
        <w:rPr>
          <w:rFonts w:ascii="Arial" w:hAnsi="Arial"/>
          <w:sz w:val="22"/>
        </w:rPr>
        <w:t>Zvezni parlament se bo odločil:</w:t>
      </w:r>
    </w:p>
    <w:p w14:paraId="7B2A7215" w14:textId="5911DA34" w:rsidR="0063228E" w:rsidRPr="0018171E" w:rsidRDefault="00A1618A" w:rsidP="00E5776A">
      <w:pPr>
        <w:spacing w:line="360" w:lineRule="auto"/>
        <w:rPr>
          <w:rFonts w:ascii="Arial" w:hAnsi="Arial" w:cs="Arial"/>
          <w:sz w:val="22"/>
        </w:rPr>
      </w:pPr>
      <w:r>
        <w:rPr>
          <w:rFonts w:ascii="Arial" w:hAnsi="Arial"/>
          <w:sz w:val="22"/>
        </w:rPr>
        <w:t xml:space="preserve">sprejeti osnutek zakona o tiskovini </w:t>
      </w:r>
      <w:r>
        <w:rPr>
          <w:rStyle w:val="Marker"/>
          <w:rFonts w:ascii="Arial" w:hAnsi="Arial"/>
          <w:sz w:val="22"/>
        </w:rPr>
        <w:t>[…]</w:t>
      </w:r>
      <w:r>
        <w:rPr>
          <w:rFonts w:ascii="Arial" w:hAnsi="Arial"/>
          <w:sz w:val="22"/>
        </w:rPr>
        <w:t xml:space="preserve"> z naslednjimi pogoji, in sicer nespremenjenimi:</w:t>
      </w:r>
    </w:p>
    <w:p w14:paraId="63DEEB82" w14:textId="3780495D" w:rsidR="00A1618A" w:rsidRPr="0018171E" w:rsidRDefault="00A1618A" w:rsidP="00A1618A">
      <w:pPr>
        <w:pStyle w:val="EmpfehlungNummerierungStufe1"/>
      </w:pPr>
      <w:r>
        <w:t>Za členom […] se vstavi naslednji člen […]:</w:t>
      </w:r>
    </w:p>
    <w:p w14:paraId="299BD583" w14:textId="5B63D453" w:rsidR="00E5776A" w:rsidRPr="0018171E" w:rsidRDefault="00E5776A" w:rsidP="009C727B">
      <w:pPr>
        <w:pStyle w:val="RevisionArtikelBezeichnermanuell"/>
        <w:ind w:left="425" w:hanging="70"/>
      </w:pPr>
      <w:r>
        <w:t xml:space="preserve">„Člen </w:t>
      </w:r>
      <w:r>
        <w:rPr>
          <w:rStyle w:val="Marker"/>
        </w:rPr>
        <w:t>[…]</w:t>
      </w:r>
      <w:r>
        <w:rPr>
          <w:rStyle w:val="FootnoteReference"/>
          <w:color w:val="0000FF"/>
        </w:rPr>
        <w:footnoteReference w:customMarkFollows="1" w:id="1"/>
        <w:t>*</w:t>
      </w:r>
      <w:r>
        <w:rPr>
          <w:rStyle w:val="FootnoteReference"/>
          <w:color w:val="0000FF"/>
          <w:vertAlign w:val="baseline"/>
        </w:rPr>
        <w:t>)</w:t>
      </w:r>
      <w:r>
        <w:rPr>
          <w:rStyle w:val="Marker"/>
        </w:rPr>
        <w:t xml:space="preserve"> </w:t>
      </w:r>
    </w:p>
    <w:p w14:paraId="0353C7F8" w14:textId="06DB94DE" w:rsidR="00D879BF" w:rsidRPr="0018171E" w:rsidRDefault="00D879BF" w:rsidP="009C727B">
      <w:pPr>
        <w:pStyle w:val="RevisionArtikelberschrift"/>
        <w:ind w:left="425"/>
      </w:pPr>
      <w:r>
        <w:rPr>
          <w:b/>
        </w:rPr>
        <w:t>Sprememba Zakona o izvrševanju omrežij</w:t>
      </w:r>
    </w:p>
    <w:p w14:paraId="17D06E04" w14:textId="5B964C24" w:rsidR="00A1618A" w:rsidRPr="0018171E" w:rsidRDefault="00A1618A" w:rsidP="0018171E">
      <w:pPr>
        <w:pStyle w:val="RevisionJuristischerAbsatzmanuell"/>
        <w:keepNext/>
        <w:tabs>
          <w:tab w:val="clear" w:pos="850"/>
          <w:tab w:val="left" w:pos="1275"/>
        </w:tabs>
        <w:ind w:left="425"/>
      </w:pPr>
      <w:r>
        <w:t>Zakon o izvrševanju omrežij z dne 1. septembra 2017 (Zvezni UL I, str. 3352), kakor je bil nazadnje spremenjen s ... [člen 1 osnutka zakona o spremembi Zakona o izvrševanju omrežij, tiskovina Zveznega parlamenta 19/18792], se spremeni:</w:t>
      </w:r>
    </w:p>
    <w:p w14:paraId="32195031" w14:textId="1AAB2113" w:rsidR="00A1618A" w:rsidRPr="0018171E" w:rsidRDefault="00A1618A" w:rsidP="009C727B">
      <w:pPr>
        <w:pStyle w:val="RevisionNummerierungStufe1"/>
        <w:numPr>
          <w:ilvl w:val="3"/>
          <w:numId w:val="2"/>
        </w:numPr>
        <w:tabs>
          <w:tab w:val="clear" w:pos="425"/>
          <w:tab w:val="num" w:pos="850"/>
        </w:tabs>
        <w:ind w:left="850"/>
      </w:pPr>
      <w:r>
        <w:t xml:space="preserve">V oddelku 1(2) se besedilo </w:t>
      </w:r>
      <w:r>
        <w:rPr>
          <w:rStyle w:val="RevisionText"/>
        </w:rPr>
        <w:t>‚oddelki od 2 do 3b‘</w:t>
      </w:r>
      <w:r>
        <w:t xml:space="preserve"> nadomesti z besedilom </w:t>
      </w:r>
      <w:r>
        <w:rPr>
          <w:rStyle w:val="RevisionText"/>
        </w:rPr>
        <w:t>‚oddelki od 2 do 3b in 5a‘</w:t>
      </w:r>
      <w:r>
        <w:t>.</w:t>
      </w:r>
    </w:p>
    <w:p w14:paraId="10263F3F" w14:textId="69008FC4" w:rsidR="00A1618A" w:rsidRPr="0018171E" w:rsidRDefault="00A1618A" w:rsidP="009C727B">
      <w:pPr>
        <w:pStyle w:val="RevisionNummerierungStufe1"/>
        <w:tabs>
          <w:tab w:val="clear" w:pos="425"/>
          <w:tab w:val="num" w:pos="850"/>
        </w:tabs>
        <w:ind w:left="850"/>
      </w:pPr>
      <w:r>
        <w:t xml:space="preserve">V oddelku 2(2)(2) se za besedo </w:t>
      </w:r>
      <w:r>
        <w:rPr>
          <w:rStyle w:val="RevisionText"/>
        </w:rPr>
        <w:t>‚podprte‘</w:t>
      </w:r>
      <w:r>
        <w:t xml:space="preserve"> vstavi besedilo </w:t>
      </w:r>
      <w:r>
        <w:rPr>
          <w:rStyle w:val="RevisionText"/>
        </w:rPr>
        <w:t>‚in tem je bil v ta namen omogočen dostop do informacij ponudnika‘</w:t>
      </w:r>
      <w:r>
        <w:t>.</w:t>
      </w:r>
    </w:p>
    <w:p w14:paraId="26550664" w14:textId="0FE945BB" w:rsidR="00A1618A" w:rsidRPr="0018171E" w:rsidRDefault="00A1618A" w:rsidP="0018171E">
      <w:pPr>
        <w:pStyle w:val="RevisionNummerierungStufe1"/>
        <w:keepNext/>
        <w:tabs>
          <w:tab w:val="clear" w:pos="425"/>
          <w:tab w:val="num" w:pos="850"/>
        </w:tabs>
        <w:ind w:left="850"/>
      </w:pPr>
      <w:r>
        <w:t>Za oddelkom 5 se vstavi naslednji oddelek 5a:</w:t>
      </w:r>
    </w:p>
    <w:p w14:paraId="0324CC36" w14:textId="2F7FB129" w:rsidR="00D879BF" w:rsidRPr="0018171E" w:rsidRDefault="00D879BF" w:rsidP="009C727B">
      <w:pPr>
        <w:pStyle w:val="RevisionParagraphBezeichnermanuell"/>
        <w:ind w:left="850" w:hanging="90"/>
      </w:pPr>
      <w:r>
        <w:t>,Oddelek 5a</w:t>
      </w:r>
    </w:p>
    <w:p w14:paraId="726DC658" w14:textId="39CB7E5F" w:rsidR="00D879BF" w:rsidRPr="0018171E" w:rsidRDefault="00D879BF" w:rsidP="009C727B">
      <w:pPr>
        <w:pStyle w:val="RevisionParagraphberschrift"/>
        <w:ind w:left="850"/>
      </w:pPr>
      <w:r>
        <w:t>Informacije za znanstvene raziskave</w:t>
      </w:r>
    </w:p>
    <w:p w14:paraId="6AD69D50" w14:textId="559832DC" w:rsidR="003E7797" w:rsidRPr="0018171E" w:rsidRDefault="00792014" w:rsidP="009C727B">
      <w:pPr>
        <w:pStyle w:val="RevisionJuristischerAbsatz"/>
        <w:numPr>
          <w:ilvl w:val="2"/>
          <w:numId w:val="1"/>
        </w:numPr>
        <w:tabs>
          <w:tab w:val="clear" w:pos="850"/>
          <w:tab w:val="num" w:pos="1700"/>
        </w:tabs>
        <w:ind w:left="850"/>
      </w:pPr>
      <w:r>
        <w:t>Raziskovalec v smislu te določbe je katera koli fizična ali pravna oseba, ki izvaja znanstvene raziskave.</w:t>
      </w:r>
    </w:p>
    <w:p w14:paraId="465DF5C8" w14:textId="2D2C57F4" w:rsidR="003E7797" w:rsidRPr="0018171E" w:rsidRDefault="003E7797" w:rsidP="0018171E">
      <w:pPr>
        <w:pStyle w:val="RevisionJuristischerAbsatz"/>
        <w:keepNext/>
        <w:tabs>
          <w:tab w:val="clear" w:pos="850"/>
          <w:tab w:val="num" w:pos="1700"/>
        </w:tabs>
        <w:ind w:left="850"/>
      </w:pPr>
      <w:r>
        <w:t>Raziskovalec lahko od ponudnika družbenega omrežja zahteva kvalificirane informacije o:</w:t>
      </w:r>
    </w:p>
    <w:p w14:paraId="1DAACCE7" w14:textId="576C75C0" w:rsidR="003E7797" w:rsidRPr="0018171E" w:rsidRDefault="003E7797" w:rsidP="009C727B">
      <w:pPr>
        <w:pStyle w:val="RevisionNummerierungStufe1"/>
        <w:tabs>
          <w:tab w:val="clear" w:pos="425"/>
          <w:tab w:val="num" w:pos="1275"/>
        </w:tabs>
        <w:ind w:left="1275"/>
      </w:pPr>
      <w:r>
        <w:t xml:space="preserve">uporabi in konkretnem načinu delovanja postopkov za avtomatizirano zaznavanje vsebine, ki jo je treba odstraniti ali blokirati, zlasti glede vrste in obsega uporabljenih tehnologij ter </w:t>
      </w:r>
      <w:r>
        <w:lastRenderedPageBreak/>
        <w:t>namenov, meril in parametrov za njihovo programiranje ter uporabljenih podatkov,</w:t>
      </w:r>
    </w:p>
    <w:p w14:paraId="3C838C31" w14:textId="4AE407E6" w:rsidR="003E7797" w:rsidRPr="0018171E" w:rsidRDefault="003E7797" w:rsidP="009C727B">
      <w:pPr>
        <w:pStyle w:val="RevisionNummerierungStufe1"/>
        <w:tabs>
          <w:tab w:val="clear" w:pos="425"/>
          <w:tab w:val="num" w:pos="1275"/>
        </w:tabs>
        <w:ind w:left="1275"/>
      </w:pPr>
      <w:r>
        <w:t>razširjanju vsebine, ki je predmet pritožb zaradi nezakonite vsebine ali ki jo je ponudnik odstranil ali blokiral, zlasti ustrezne vsebine in informacij o tem, kateri prejemniki storitve so z vsebino komunicirali in na kakšen način.</w:t>
      </w:r>
    </w:p>
    <w:p w14:paraId="1DA5F836" w14:textId="25553F42" w:rsidR="003E7797" w:rsidRPr="0018171E" w:rsidRDefault="003E7797" w:rsidP="009C727B">
      <w:pPr>
        <w:pStyle w:val="RevisionJuristischerAbsatz"/>
        <w:tabs>
          <w:tab w:val="clear" w:pos="850"/>
          <w:tab w:val="num" w:pos="1700"/>
        </w:tabs>
        <w:ind w:left="850"/>
      </w:pPr>
      <w:r>
        <w:t>Informacije v skladu z odstavkom 2 se lahko zahtevajo le, če so potrebne za projekte znanstvenega raziskovanja v javnem interesu o vrsti, obsegu, vzrokih in učinkih javnega komuniciranja na družbenih omrežjih in o tem, kako ponudniki ravnajo v zvezi s tem.</w:t>
      </w:r>
    </w:p>
    <w:p w14:paraId="0D5D8322" w14:textId="118F9361" w:rsidR="003B0970" w:rsidRPr="0018171E" w:rsidRDefault="003B0970" w:rsidP="0018171E">
      <w:pPr>
        <w:pStyle w:val="RevisionJuristischerAbsatz"/>
        <w:keepNext/>
        <w:tabs>
          <w:tab w:val="clear" w:pos="850"/>
          <w:tab w:val="num" w:pos="1700"/>
        </w:tabs>
        <w:ind w:left="850"/>
      </w:pPr>
      <w:r>
        <w:t>Informacije se lahko posredujejo le, če raziskovalec ponudniku družbenega omrežja predloži koncept varnosti. Koncept varnosti vključuje:</w:t>
      </w:r>
    </w:p>
    <w:p w14:paraId="577C67EC" w14:textId="4C15A74F" w:rsidR="003B0970" w:rsidRPr="0018171E" w:rsidRDefault="003B0970" w:rsidP="009C727B">
      <w:pPr>
        <w:pStyle w:val="RevisionNummerierungStufe1"/>
        <w:tabs>
          <w:tab w:val="clear" w:pos="425"/>
          <w:tab w:val="num" w:pos="1275"/>
        </w:tabs>
        <w:ind w:left="1275"/>
      </w:pPr>
      <w:r>
        <w:t>opis informacij, potrebnih za raziskovalne namene v skladu z odstavkom 3,</w:t>
      </w:r>
    </w:p>
    <w:p w14:paraId="5AABA7E4" w14:textId="3A66C314" w:rsidR="003B0970" w:rsidRPr="0018171E" w:rsidRDefault="003B0970" w:rsidP="009C727B">
      <w:pPr>
        <w:pStyle w:val="RevisionNummerierungStufe1"/>
        <w:tabs>
          <w:tab w:val="clear" w:pos="425"/>
          <w:tab w:val="num" w:pos="1275"/>
        </w:tabs>
        <w:ind w:left="1275"/>
      </w:pPr>
      <w:r>
        <w:t>opis predvidene uporabe informacij,</w:t>
      </w:r>
    </w:p>
    <w:p w14:paraId="0654C9E5" w14:textId="75C06EF1" w:rsidR="003B0970" w:rsidRPr="0018171E" w:rsidRDefault="009A5C22" w:rsidP="009C727B">
      <w:pPr>
        <w:pStyle w:val="RevisionNummerierungStufe1"/>
        <w:tabs>
          <w:tab w:val="clear" w:pos="425"/>
          <w:tab w:val="num" w:pos="1275"/>
        </w:tabs>
        <w:ind w:left="1275"/>
      </w:pPr>
      <w:r>
        <w:t>opis ukrepov, sprejetih za preprečevanje zlorabe informacij,</w:t>
      </w:r>
    </w:p>
    <w:p w14:paraId="7DD21787" w14:textId="65E2C567" w:rsidR="003B0970" w:rsidRPr="0018171E" w:rsidRDefault="009A5C22" w:rsidP="009C727B">
      <w:pPr>
        <w:pStyle w:val="RevisionNummerierungStufe1"/>
        <w:tabs>
          <w:tab w:val="clear" w:pos="425"/>
          <w:tab w:val="num" w:pos="1275"/>
        </w:tabs>
        <w:ind w:left="1275"/>
      </w:pPr>
      <w:r>
        <w:t>opis ukrepov za zaščito zakonitih interesov ponudnika in</w:t>
      </w:r>
    </w:p>
    <w:p w14:paraId="7FDD7EDD" w14:textId="6C7443DB" w:rsidR="003B0970" w:rsidRPr="0018171E" w:rsidRDefault="003B0970" w:rsidP="009C727B">
      <w:pPr>
        <w:pStyle w:val="RevisionNummerierungStufe1"/>
        <w:tabs>
          <w:tab w:val="clear" w:pos="425"/>
          <w:tab w:val="num" w:pos="1275"/>
        </w:tabs>
        <w:ind w:left="1275"/>
      </w:pPr>
      <w:r>
        <w:t>opis tehničnih in organizacijskih ukrepov, ki zagotavljajo varstvo osebnih podatkov.</w:t>
      </w:r>
    </w:p>
    <w:p w14:paraId="6F58E8FB" w14:textId="726D0D4E" w:rsidR="003B0970" w:rsidRPr="0018171E" w:rsidRDefault="003B0970" w:rsidP="009C727B">
      <w:pPr>
        <w:pStyle w:val="RevisionJuristischerAbsatzFolgeabsatz"/>
        <w:ind w:left="850"/>
      </w:pPr>
      <w:r>
        <w:t>Koncept varnosti je treba hkrati z zahtevo za informacije poslati odgovornemu nadzornemu organu za varstvo podatkov.</w:t>
      </w:r>
    </w:p>
    <w:p w14:paraId="4D175D2B" w14:textId="0B4186A8" w:rsidR="009C0AFB" w:rsidRPr="0018171E" w:rsidRDefault="003E7797" w:rsidP="0018171E">
      <w:pPr>
        <w:pStyle w:val="RevisionJuristischerAbsatz"/>
        <w:keepNext/>
        <w:tabs>
          <w:tab w:val="clear" w:pos="850"/>
          <w:tab w:val="num" w:pos="1700"/>
        </w:tabs>
        <w:ind w:left="850"/>
      </w:pPr>
      <w:r>
        <w:t>Ponudnik družbenega omrežja lahko zavrne posredovanje informacij, če</w:t>
      </w:r>
    </w:p>
    <w:p w14:paraId="20E7290B" w14:textId="5CA46FFB" w:rsidR="009C0AFB" w:rsidRPr="0018171E" w:rsidRDefault="003E7797" w:rsidP="009C727B">
      <w:pPr>
        <w:pStyle w:val="RevisionNummerierungStufe1"/>
        <w:tabs>
          <w:tab w:val="clear" w:pos="425"/>
          <w:tab w:val="num" w:pos="1275"/>
        </w:tabs>
        <w:ind w:left="1275"/>
      </w:pPr>
      <w:r>
        <w:t>njegovi zakoniti interesi znatno presegajo javni interes za raziskave, ali</w:t>
      </w:r>
    </w:p>
    <w:p w14:paraId="0330033E" w14:textId="0C99A860" w:rsidR="003E7797" w:rsidRPr="0018171E" w:rsidRDefault="003E7797" w:rsidP="009C727B">
      <w:pPr>
        <w:pStyle w:val="RevisionNummerierungStufe1"/>
        <w:tabs>
          <w:tab w:val="clear" w:pos="425"/>
          <w:tab w:val="num" w:pos="1275"/>
        </w:tabs>
        <w:ind w:left="1275"/>
      </w:pPr>
      <w:r>
        <w:t>so zakoniti interesi oseb, na katere se nanašajo osebni podatki, oslabljeni in javni interes za raziskave ne odtehta interesov oseb, na katere se nanašajo osebni podatki, da ohranijo zaupnost.</w:t>
      </w:r>
    </w:p>
    <w:p w14:paraId="63F909E8" w14:textId="7DDD32F4" w:rsidR="00D969A6" w:rsidRPr="0018171E" w:rsidRDefault="00D969A6" w:rsidP="0018171E">
      <w:pPr>
        <w:pStyle w:val="RevisionJuristischerAbsatz"/>
        <w:keepNext/>
        <w:tabs>
          <w:tab w:val="clear" w:pos="850"/>
          <w:tab w:val="num" w:pos="1700"/>
        </w:tabs>
        <w:ind w:left="850"/>
      </w:pPr>
      <w:r>
        <w:t>Ponudnik družbenega omrežja lahko za zagotavljanje informacij v skladu z odstavkom 2 posreduje naslednje osebne podatke:</w:t>
      </w:r>
    </w:p>
    <w:p w14:paraId="63FE05D0" w14:textId="29F8B0CE" w:rsidR="00D969A6" w:rsidRPr="0018171E" w:rsidRDefault="00D969A6" w:rsidP="009C727B">
      <w:pPr>
        <w:pStyle w:val="RevisionNummerierungStufe1"/>
        <w:tabs>
          <w:tab w:val="clear" w:pos="425"/>
          <w:tab w:val="num" w:pos="1275"/>
        </w:tabs>
        <w:ind w:left="1275"/>
      </w:pPr>
      <w:r>
        <w:t>razširjene vsebine,</w:t>
      </w:r>
    </w:p>
    <w:p w14:paraId="2331E910" w14:textId="7E2B248A" w:rsidR="00D969A6" w:rsidRPr="0018171E" w:rsidRDefault="00D969A6" w:rsidP="009C727B">
      <w:pPr>
        <w:pStyle w:val="RevisionNummerierungStufe1"/>
        <w:tabs>
          <w:tab w:val="clear" w:pos="425"/>
          <w:tab w:val="num" w:pos="1275"/>
        </w:tabs>
        <w:ind w:left="1275"/>
      </w:pPr>
      <w:r>
        <w:t>pritožbe zaradi nezakonite vsebine,</w:t>
      </w:r>
    </w:p>
    <w:p w14:paraId="4CC6BEE3" w14:textId="52602AFD" w:rsidR="00D969A6" w:rsidRPr="0018171E" w:rsidRDefault="00D969A6" w:rsidP="009C727B">
      <w:pPr>
        <w:pStyle w:val="RevisionNummerierungStufe1"/>
        <w:tabs>
          <w:tab w:val="clear" w:pos="425"/>
          <w:tab w:val="num" w:pos="1275"/>
        </w:tabs>
        <w:ind w:left="1275"/>
      </w:pPr>
      <w:r>
        <w:t>uporabniška imena oseb, ki sodelujejo pri razširjanju,</w:t>
      </w:r>
    </w:p>
    <w:p w14:paraId="7F95ED84" w14:textId="4E5E108A" w:rsidR="00D969A6" w:rsidRPr="0018171E" w:rsidRDefault="00D969A6" w:rsidP="009C727B">
      <w:pPr>
        <w:pStyle w:val="RevisionNummerierungStufe1"/>
        <w:tabs>
          <w:tab w:val="clear" w:pos="425"/>
          <w:tab w:val="num" w:pos="1275"/>
        </w:tabs>
        <w:ind w:left="1275"/>
      </w:pPr>
      <w:r>
        <w:t>podrobnosti o okoliščinah interakcij oseb, ki sodelujejo pri razširjanju, glede na njihovo vsebino in</w:t>
      </w:r>
    </w:p>
    <w:p w14:paraId="35C5E61A" w14:textId="6AAE758C" w:rsidR="00D969A6" w:rsidRPr="0018171E" w:rsidRDefault="00D969A6" w:rsidP="009C727B">
      <w:pPr>
        <w:pStyle w:val="RevisionNummerierungStufe1"/>
        <w:tabs>
          <w:tab w:val="clear" w:pos="425"/>
          <w:tab w:val="num" w:pos="1275"/>
        </w:tabs>
        <w:ind w:left="1275"/>
      </w:pPr>
      <w:r>
        <w:t>podatki o usposabljanju o procesih za avtomatizirano prepoznavanje vsebine, ki jo je treba odstraniti ali blokirati, pa tudi informacije o načinu delovanja, namenih, merilih in parametrih za programiranje teh procesov.</w:t>
      </w:r>
    </w:p>
    <w:p w14:paraId="041944BF" w14:textId="243E2B16" w:rsidR="00D969A6" w:rsidRPr="0018171E" w:rsidRDefault="00D969A6" w:rsidP="009C727B">
      <w:pPr>
        <w:pStyle w:val="RevisionJuristischerAbsatzFolgeabsatz"/>
        <w:ind w:left="850"/>
      </w:pPr>
      <w:r>
        <w:t>Podatki se posredujejo anonimno ali vsaj psevdonimizirajo, če je to mogoče, ne da bi ogrozili namen raziskave.</w:t>
      </w:r>
    </w:p>
    <w:p w14:paraId="586F09EF" w14:textId="3BE2811C" w:rsidR="00D969A6" w:rsidRPr="0018171E" w:rsidRDefault="00D969A6" w:rsidP="009C727B">
      <w:pPr>
        <w:pStyle w:val="RevisionJuristischerAbsatz"/>
        <w:tabs>
          <w:tab w:val="clear" w:pos="850"/>
          <w:tab w:val="num" w:pos="1700"/>
        </w:tabs>
        <w:ind w:left="850"/>
      </w:pPr>
      <w:r>
        <w:t xml:space="preserve">Raziskovalec lahko podatke obdeluje samo za namene znanstvenega raziskovanja v skladu z odstavkom 3. V primeru obdelave posebnih vrst podatkov v smislu člena 9(1) Uredbe (EU) 2016/679 Evropskega parlamenta in Sveta z dne 27. aprila 2016 o </w:t>
      </w:r>
      <w:r>
        <w:lastRenderedPageBreak/>
        <w:t>varstvu posameznikov pri obdelavi osebnih podatkov in o prostem pretoku takih podatkov ter o razveljavitvi Direktive 95/46/ES (Splošna uredba o varstvu podatkov) (UL L 119, 4.5.2016, str. 1; L 314, 22.11.2016, str. 72; L 127, 23.5.2018, str. 2), kakor je bila spremenjena, mora raziskovalec sprejeti ustrezne in posebne ukrepe za zaščito interesov zadevne osebe v skladu z drugim stavkom oddelka 22(2) Zveznega zakona o varstvu podatkov. Poleg ukrepov iz navedenega zakona se podatki v smislu člena 9(1) Uredbe (EU) 2016/679 anonimizirajo, takoj ko je to mogoče glede na namen raziskave. Vse zahteve glede varstva podatkov, ki to presegajo, ostajajo nespremenjene.</w:t>
      </w:r>
    </w:p>
    <w:p w14:paraId="1627C846" w14:textId="2A481947" w:rsidR="0063228E" w:rsidRPr="0018171E" w:rsidRDefault="00D969A6" w:rsidP="00301E30">
      <w:pPr>
        <w:pStyle w:val="RevisionJuristischerAbsatz"/>
        <w:tabs>
          <w:tab w:val="clear" w:pos="850"/>
          <w:tab w:val="num" w:pos="1700"/>
        </w:tabs>
        <w:ind w:left="850"/>
      </w:pPr>
      <w:r>
        <w:t>Ponudnik družbenega omrežja je upravičen do povračila stroškov, nastalih pri zagotavljanju informacij v skladu z odstavkom 2, s strani raziskovalca v razumnem znesku. Pri določanju razumnega zneska je treba upoštevati, da stroški ne smejo predstavljati bistvene ovire pri uporabi pravice do pridobitve informacij. Ustrezno se uporablja oddelek 287(1) Zakona o pravdnem postopku. Znesek povračljivih stroškov lahko znaša do 5 000 EUR. Ta znesek se lahko preseže le, če zagotavljanje informacij povzroči izjemno velik vložek. Po predložitvi koncepta varnosti v skladu z odstavkom 4 lahko raziskovalec od ponudnika zahteva, da v razumnem roku brezplačno predloži oceno stroškov.‘“</w:t>
      </w:r>
    </w:p>
    <w:p w14:paraId="36342A1E" w14:textId="099F92EE" w:rsidR="0063228E" w:rsidRPr="0018171E" w:rsidRDefault="00482E04" w:rsidP="0018171E">
      <w:pPr>
        <w:pStyle w:val="EmpfehlungNummerierungStufe1"/>
        <w:keepNext/>
      </w:pPr>
      <w:r>
        <w:t xml:space="preserve">Člen </w:t>
      </w:r>
      <w:r>
        <w:rPr>
          <w:rStyle w:val="Marker"/>
        </w:rPr>
        <w:t>[…]</w:t>
      </w:r>
      <w:r>
        <w:t xml:space="preserve"> se glasi:</w:t>
      </w:r>
    </w:p>
    <w:p w14:paraId="49D47905" w14:textId="31CE6EC1" w:rsidR="00173C16" w:rsidRPr="0018171E" w:rsidRDefault="00173C16" w:rsidP="009C727B">
      <w:pPr>
        <w:pStyle w:val="RevisionArtikelBezeichnermanuell"/>
        <w:ind w:left="425" w:hanging="90"/>
      </w:pPr>
      <w:r>
        <w:t xml:space="preserve">„Člen </w:t>
      </w:r>
      <w:r>
        <w:rPr>
          <w:rStyle w:val="Marker"/>
        </w:rPr>
        <w:t>[…]</w:t>
      </w:r>
    </w:p>
    <w:p w14:paraId="577BA21A" w14:textId="3EB5AE99" w:rsidR="00173C16" w:rsidRPr="0018171E" w:rsidRDefault="00173C16" w:rsidP="009C727B">
      <w:pPr>
        <w:pStyle w:val="RevisionArtikelberschrift"/>
        <w:ind w:left="425"/>
      </w:pPr>
      <w:r>
        <w:rPr>
          <w:rStyle w:val="Marker"/>
        </w:rPr>
        <w:t>[…]</w:t>
      </w:r>
    </w:p>
    <w:p w14:paraId="5AF7FB2C" w14:textId="02FBA626" w:rsidR="00173C16" w:rsidRPr="0018171E" w:rsidRDefault="00173C16" w:rsidP="009C727B">
      <w:pPr>
        <w:pStyle w:val="RevisionJuristischerAbsatzmanuell"/>
        <w:tabs>
          <w:tab w:val="clear" w:pos="850"/>
          <w:tab w:val="left" w:pos="1275"/>
        </w:tabs>
        <w:ind w:left="425"/>
      </w:pPr>
      <w:r>
        <w:t xml:space="preserve">… </w:t>
      </w:r>
      <w:r>
        <w:rPr>
          <w:rStyle w:val="Marker"/>
        </w:rPr>
        <w:t>[različni datumi začetka veljavnosti, kot je ustrezno]</w:t>
      </w:r>
      <w:r>
        <w:t xml:space="preserve"> …“</w:t>
      </w:r>
      <w:r>
        <w:rPr>
          <w:color w:val="auto"/>
        </w:rPr>
        <w:t>.</w:t>
      </w:r>
    </w:p>
    <w:p w14:paraId="2CDAA614" w14:textId="1C885BBD" w:rsidR="00A1618A" w:rsidRPr="0018171E" w:rsidRDefault="00A1618A" w:rsidP="009F08C0">
      <w:pPr>
        <w:pStyle w:val="EinzelbegrndungTitel"/>
      </w:pPr>
      <w:r>
        <w:t>Utemeljitev</w:t>
      </w:r>
    </w:p>
    <w:p w14:paraId="5B2223BB" w14:textId="271DB07E" w:rsidR="009F08C0" w:rsidRPr="0018171E" w:rsidRDefault="009F08C0" w:rsidP="0018171E">
      <w:pPr>
        <w:pStyle w:val="Text"/>
        <w:keepNext/>
        <w:rPr>
          <w:rStyle w:val="Marker"/>
          <w:b/>
          <w:color w:val="auto"/>
        </w:rPr>
      </w:pPr>
      <w:r>
        <w:rPr>
          <w:rStyle w:val="Marker"/>
          <w:b/>
          <w:color w:val="auto"/>
        </w:rPr>
        <w:t xml:space="preserve">K točki 1 </w:t>
      </w:r>
    </w:p>
    <w:p w14:paraId="47C1AE4D" w14:textId="5D5B2169" w:rsidR="00D969A6" w:rsidRPr="0018171E" w:rsidRDefault="00D969A6" w:rsidP="00D969A6">
      <w:pPr>
        <w:pStyle w:val="Text"/>
        <w:rPr>
          <w:rStyle w:val="Marker"/>
          <w:color w:val="auto"/>
        </w:rPr>
      </w:pPr>
      <w:r>
        <w:rPr>
          <w:rStyle w:val="Marker"/>
          <w:color w:val="auto"/>
        </w:rPr>
        <w:t>Politične razprave in procesi oblikovanja mnenja se vse pogosteje odvijajo v digitalnem prostoru in na družbenih omrežjih. Komunikacijski procesi na teh platformah so postali zelo pomembni za oblikovanje javnega mnenja. Za razširjanje političnih programov in idej je lahko na primer dostop do nekaterih družbenih medijev, ki so zaradi svoje pomembnosti postali nekakšen steber družbe, izredno pomemben (glej nemško zvezno ustavno sodišče, začasna odredba z dne 22. maja 2019 – 1 BvQ 42/19 –, Rn. 19).</w:t>
      </w:r>
    </w:p>
    <w:p w14:paraId="6C4892FE" w14:textId="677CA99F" w:rsidR="00D969A6" w:rsidRPr="0018171E" w:rsidRDefault="00D969A6" w:rsidP="00D969A6">
      <w:pPr>
        <w:pStyle w:val="Text"/>
        <w:rPr>
          <w:rStyle w:val="Marker"/>
          <w:color w:val="auto"/>
        </w:rPr>
      </w:pPr>
      <w:r>
        <w:rPr>
          <w:rStyle w:val="Marker"/>
          <w:color w:val="auto"/>
        </w:rPr>
        <w:t>Zaradi tega obstaja velik javni interes za ustvarjanje večje preglednosti delovanja teh platform in postopka razširjanja vsebin na njih ter omogočanje neodvisnih raziskav o tem.</w:t>
      </w:r>
    </w:p>
    <w:p w14:paraId="373BFE01" w14:textId="60778D3F" w:rsidR="00D969A6" w:rsidRPr="0018171E" w:rsidRDefault="00D969A6" w:rsidP="00D969A6">
      <w:pPr>
        <w:pStyle w:val="Text"/>
        <w:rPr>
          <w:rStyle w:val="Marker"/>
          <w:color w:val="auto"/>
        </w:rPr>
      </w:pPr>
      <w:r>
        <w:rPr>
          <w:rStyle w:val="Marker"/>
          <w:color w:val="auto"/>
        </w:rPr>
        <w:t xml:space="preserve">To se zlasti nanaša na merila, na podlagi katerih se ponudniki odločajo, kdo lahko uporablja njihovo platformo in v kakšnem obsegu dovoliti ali omejiti možnost razširjanja vsebin na platformi. Vprašanje, kako se veliki ponudniki, pomembni za javni diskurz, na primer ukvarjajo s pritožbami glede nezakonite vsebine in kako sprejemajo odločitve o omejitvah razširjanja vsebine, zaradi pomena velikih ponudnikov povzroča veliko zaskrbljenost v javnosti (glej predhodno tiskovino Zveznega parlamenta 19/18792, str. 42). Šele ob primerni preglednosti lahko širša javnost razume, zakaj in na kakšen način so nekatere vsebine omejene pri njihovemu razširjanju. Upoštevati je treba, da se ustrezne odločitve o moderiranju </w:t>
      </w:r>
      <w:r>
        <w:rPr>
          <w:rStyle w:val="Marker"/>
          <w:color w:val="auto"/>
        </w:rPr>
        <w:lastRenderedPageBreak/>
        <w:t>danes pogosto sprejemajo s pomočjo zapletenih avtomatiziranih procesov. Facebook na primer poroča, da vsebino, zabeleženo kot „sovražni govor“, v smislu tako imenovanih standardov Skupnosti, pretežno najde ponudnik sam s pomočjo tehnoloških rešitev (glej https://transparency.facebook.com/community-standards-enforcement#hate-speech; pridobljeno 12.  oktobra2020). Da bi lahko ustvarili preglednost osnovnih, včasih tehnično zapletenih procesov za splošno javnost, je zato za znanost in raziskave ključnega pomena, da lahko razumejo uporabo postopkov za avtomatizirano prepoznavanje vsebine, če je treba to po potrebi odstraniti ali blokirati (glej tiskovino Zveznega parlamenta 19/18792, str. 43). V zvezi s tem se znanost in raziskave ne morejo opirati le na splošne informacije v poročilih o preglednosti v skladu z oddelkom 2 Zakona o izvrševanju omrežij, ki služijo obveščanju širše javnosti. Za znanstvene in raziskovalne namene so namreč potrebne ne le takšne splošne oziroma združene informacije, temveč tudi podrobnejše informacije in neobdelani podatki (npr. vsebina, ki je izrecno navedena v odstavku 6, njen kontekst in podatki o usposabljanju za avtomatizirane procese), da bi lahko samostojno zagotavljali znanstveno utemeljeno pridobivanje znanja o zadevnih procesih za avtomatizirano prepoznavanje vsebine.</w:t>
      </w:r>
    </w:p>
    <w:p w14:paraId="138C3D37" w14:textId="69DC85FA" w:rsidR="00D969A6" w:rsidRPr="0018171E" w:rsidRDefault="00D969A6" w:rsidP="00D969A6">
      <w:pPr>
        <w:pStyle w:val="Text"/>
        <w:rPr>
          <w:rStyle w:val="Marker"/>
          <w:color w:val="auto"/>
        </w:rPr>
      </w:pPr>
      <w:r>
        <w:rPr>
          <w:rStyle w:val="Marker"/>
          <w:color w:val="auto"/>
        </w:rPr>
        <w:t>Drugo pomembno vprašanje se nanaša na sledljivost razširjanja nezakonite vsebine. Glede na trenutno pravno situacijo se upravljanje pritožb v skladu z Zakonom o izvrševanju omrežij nanaša na določeno sporno vsebino, zoper katero se ugovarja s pritožbo zaradi nezakonite vsebine. Vsebino na družbenih omrežjih pa je mogoče deloma s precejšnjo hitrostjo in v precejšnji meri prerazporediti med najrazličnejše prejemnike storitve. Na ta način se lahko ponovijo kršitve zakona in vpliv širjenja nezakonite vsebine se lahko znatno poveča. Zaradi velikega splošnega družbenega pomena komunikacijskih procesov, ki potekajo na velikih družbenih omrežjih za oblikovanje javnega mnenja, je pomembno razumeti, kako se vsebina, ki jo je ponudnik na koncu odstranil ali ki jo je ponudnik zavrnil kot nezakonito, širi ali se je širila na družbenih omrežjih, tudi zato, da lahko vpleteni krogi učinkoviteje delujejo proti razširjanju nezakonite vsebine na podlagi globljega razumevanja mehanizmov razširjanja.</w:t>
      </w:r>
    </w:p>
    <w:p w14:paraId="06151A16" w14:textId="4C0CAD46" w:rsidR="00D969A6" w:rsidRPr="0018171E" w:rsidRDefault="00D969A6" w:rsidP="00D969A6">
      <w:pPr>
        <w:pStyle w:val="Text"/>
        <w:rPr>
          <w:rStyle w:val="Marker"/>
          <w:color w:val="auto"/>
        </w:rPr>
      </w:pPr>
      <w:r>
        <w:rPr>
          <w:rStyle w:val="Marker"/>
          <w:color w:val="auto"/>
        </w:rPr>
        <w:t>Oddelek 5a Zakona o izvrševanju omrežij zagotavlja, da raziskovalne ustanove in raziskovalci prejmejo potrebne podatke.</w:t>
      </w:r>
    </w:p>
    <w:p w14:paraId="72966CD2" w14:textId="44736D2D" w:rsidR="00D969A6" w:rsidRPr="0018171E" w:rsidRDefault="00D969A6" w:rsidP="00D969A6">
      <w:pPr>
        <w:pStyle w:val="Text"/>
        <w:rPr>
          <w:rStyle w:val="Marker"/>
          <w:color w:val="auto"/>
        </w:rPr>
      </w:pPr>
      <w:r>
        <w:rPr>
          <w:rStyle w:val="Marker"/>
          <w:color w:val="auto"/>
        </w:rPr>
        <w:t xml:space="preserve">Upravičeni niso vsi, temveč le raziskovalci ali raziskovalne ustanove, ki izvajajo raziskovalne projekte v javnem interesu. </w:t>
      </w:r>
      <w:r>
        <w:t xml:space="preserve">Na splošno velja, da so raziskovalni projekti, ki jih vodijo univerze in neuniverzitetne raziskovalne ustanove v Nemčiji, v javnem interesu. </w:t>
      </w:r>
      <w:r>
        <w:rPr>
          <w:rStyle w:val="Marker"/>
          <w:color w:val="auto"/>
        </w:rPr>
        <w:t>Prevladujoče financiranje iz javnih sredstev kaže na javni interes. V skladu z besedilom določbe so zajete vse institucije, ki želijo izvajati raziskave v javnem interesu, ne glede na njihovo lokacijo. Da bi bil izpolnjen javni interes, je treba redno zahtevati, da se rezultati raziskav dajo na voljo javnosti in da na koncu služijo v skupno dobro. Raziskave, ki prispevajo k doseganju ciljev zakona, se prav tako lahko štejejo za javni interes. Argumenti proti javnemu interesu so lahko, če se zaradi odvisnosti od naročnika v posameznem primeru zdi, da se ne izvajajo nepristranske raziskave. Javnemu interesu lahko nasprotujejo tudi znaki, da se raziskave izvajajo v gospodarske ali politične namene.</w:t>
      </w:r>
    </w:p>
    <w:p w14:paraId="3A166ADB" w14:textId="096B939D" w:rsidR="00146FA3" w:rsidRPr="0018171E" w:rsidRDefault="00D969A6" w:rsidP="00D969A6">
      <w:pPr>
        <w:pStyle w:val="Text"/>
        <w:rPr>
          <w:rStyle w:val="Marker"/>
          <w:color w:val="auto"/>
        </w:rPr>
      </w:pPr>
      <w:r>
        <w:rPr>
          <w:rStyle w:val="Marker"/>
          <w:color w:val="auto"/>
        </w:rPr>
        <w:t xml:space="preserve">Dodatek oddelka 5a Zakona o izvrševanju omrežij k sklicevanjem v oddelku 1(2) zakona pomeni, da so dolžni obveznosti opraviti le ponudniki družbenih omrežij, ki imajo v Nemčiji vsaj dva milijona registriranih uporabnikov (ne glede na to, kje je njihov sedež). Ustrezni ponudniki so dolžni posredovati informacije ne glede na to, ali imajo sedež v Nemčiji ali ne. To je skladno z ustreznimi evropskimi pravnimi zahtevami, zlasti z načelom države izvora iz Direktive 2000/31/ES (Direktiva o elektronskem poslovanju). Tudi če bi predvidena pravica do pridobitve informacij v skladu z oddelkom 5a Zakona o </w:t>
      </w:r>
      <w:r>
        <w:rPr>
          <w:rStyle w:val="Marker"/>
          <w:color w:val="auto"/>
        </w:rPr>
        <w:lastRenderedPageBreak/>
        <w:t>izvrševanju omrežij sodila v tako imenovano koordinirano področje Direktive o elektronskem poslovanju in bi to veljalo za učinek omejevanja, ki je v bistvu prepovedan v skladu s členom 3(2) Direktive o elektronskem poslovanju, bi bili izpolnjeni pogoji za izjemo od izjeme v skladu s členom 3(4) Direktive o elektronskem poslovanju. Zaradi velikega pomena zadevnih ponudnikov so namreč izboljšane možnosti za pridobitev informacij, zavarovane s pravico do pridobitve informacij, vsekakor potrebne za preprečevanje kaznivih dejanj, vključno z bojem proti podžiganju sovraštva, kot tudi za varstvo potrošnikov (glej prvo in četrto alinejo člena 3(4)(a)(i) Direktive o elektronskem poslovanju). Glede na precejšnje pomanjkanje informacij v zvezi z zadevnimi platformami, ki predstavljajo vse bolj pomemben javni prostor za državljane, je nujna zakonodajna ureditev (člen 3(5) Direktive o elektronskem poslovanju).</w:t>
      </w:r>
    </w:p>
    <w:p w14:paraId="2B3396E0" w14:textId="22DFC019" w:rsidR="00D969A6" w:rsidRPr="0018171E" w:rsidRDefault="00D969A6" w:rsidP="00D969A6">
      <w:pPr>
        <w:pStyle w:val="Text"/>
        <w:rPr>
          <w:rStyle w:val="Marker"/>
          <w:color w:val="auto"/>
        </w:rPr>
      </w:pPr>
      <w:r>
        <w:rPr>
          <w:rStyle w:val="Marker"/>
          <w:color w:val="auto"/>
        </w:rPr>
        <w:t>Predvidena pravica do pridobitve informacij je v različnih pogledih tudi omejena na upravičence.</w:t>
      </w:r>
    </w:p>
    <w:p w14:paraId="7CD947D6" w14:textId="5810972C" w:rsidR="00E97B1F" w:rsidRPr="0018171E" w:rsidRDefault="00E97B1F" w:rsidP="00D969A6">
      <w:pPr>
        <w:pStyle w:val="Text"/>
        <w:rPr>
          <w:rStyle w:val="Marker"/>
          <w:color w:val="auto"/>
        </w:rPr>
      </w:pPr>
      <w:r>
        <w:rPr>
          <w:rStyle w:val="Marker"/>
          <w:color w:val="auto"/>
        </w:rPr>
        <w:t>Upravičeni raziskovalci lahko informacije zahtevajo le od ponudnika družbenega omrežja. Vendar pa oddelek 5a raziskovalcem ne daje pravice do neposrednega tehničnega dostopa do podatkovnih zbirk ali tehničnih sistemov ponudnika. Lahko pa se zahtevajo kvalificirane informacije. Sem sodijo tako neobdelani podatki kot obdelani podatki, ki so na voljo pri ponudniku, na primer ugotovitve iz ocen ponudnika, ki so na voljo pri ponudniku.</w:t>
      </w:r>
    </w:p>
    <w:p w14:paraId="72C56E68" w14:textId="0F845285" w:rsidR="00E97B1F" w:rsidRPr="0018171E" w:rsidRDefault="00E97B1F" w:rsidP="00D969A6">
      <w:pPr>
        <w:pStyle w:val="Text"/>
        <w:rPr>
          <w:rStyle w:val="Marker"/>
          <w:color w:val="auto"/>
        </w:rPr>
      </w:pPr>
      <w:r>
        <w:rPr>
          <w:rStyle w:val="Marker"/>
          <w:color w:val="auto"/>
        </w:rPr>
        <w:t xml:space="preserve">Poleg tega je pravica do pridobitve informacij vsebinsko omejena na informacije o uporabi in načinu delovanja postopkov za samodejno zaznavanje vsebine, ki jo je treba odstraniti ali blokirati, vključno z nameni, merili in parametri programiranja. Poleg tega se lahko zahtevajo informacije o razširjanju vsebine, ki je bila predmet pritožbe zaradi nezakonite vsebine ali ki jo je ponudnik odstranil ali blokiral. </w:t>
      </w:r>
    </w:p>
    <w:p w14:paraId="752FC65F" w14:textId="4597FCAE" w:rsidR="00D969A6" w:rsidRPr="0018171E" w:rsidRDefault="00D969A6" w:rsidP="00D969A6">
      <w:pPr>
        <w:pStyle w:val="Text"/>
        <w:rPr>
          <w:rStyle w:val="Marker"/>
          <w:color w:val="auto"/>
        </w:rPr>
      </w:pPr>
      <w:r>
        <w:rPr>
          <w:rStyle w:val="Marker"/>
          <w:color w:val="auto"/>
        </w:rPr>
        <w:t xml:space="preserve">Ustrezne informacije so primerne in potrebne za boljše razumevanje ustreznih omejitev vsebine na strani ponudnika, pa tudi razširjanje vsebine, ki je s stališča ponudnika nedopustna ali je bila na platformah prijavljena kot nezakonita. </w:t>
      </w:r>
    </w:p>
    <w:p w14:paraId="5D09F342" w14:textId="625E827E" w:rsidR="00D969A6" w:rsidRPr="0018171E" w:rsidRDefault="00D969A6" w:rsidP="00D969A6">
      <w:pPr>
        <w:pStyle w:val="Text"/>
        <w:rPr>
          <w:rStyle w:val="Marker"/>
          <w:color w:val="auto"/>
        </w:rPr>
      </w:pPr>
      <w:r>
        <w:rPr>
          <w:rStyle w:val="Marker"/>
          <w:color w:val="auto"/>
        </w:rPr>
        <w:t>Poleg tega se pravica do pridobitve informacij odobri pod pogojem, da se informacije zahtevajo v posebnem primeru za projekte znanstvenih raziskav v javnem interesu. To pomeni, da se posredovane informacije lahko uporabljajo samo v znanstvene namene. Nenazadnje so raziskovalni nameni, ki jih je mogoče upoštevati, omejeni na raziskave o vrsti, obsegu, vzrokih in učinkih javnega komuniciranja na družbenih omrežjih in o tem, kako ponudniki ravnajo v zvezi s tem.</w:t>
      </w:r>
    </w:p>
    <w:p w14:paraId="588C65A9" w14:textId="49DFDC01" w:rsidR="00C46490" w:rsidRPr="0018171E" w:rsidRDefault="00C46490" w:rsidP="00D969A6">
      <w:pPr>
        <w:pStyle w:val="Text"/>
        <w:rPr>
          <w:rStyle w:val="Marker"/>
          <w:color w:val="auto"/>
        </w:rPr>
      </w:pPr>
      <w:r>
        <w:rPr>
          <w:rStyle w:val="Marker"/>
          <w:color w:val="auto"/>
        </w:rPr>
        <w:t>Predlagani postopek za predložitev koncepta zaščite zagotavlja upoštevanje vprašanj, ki jih je treba upoštevati v skladu z oddelkom 5a. Ponudnik družbenega omrežja lahko zavrne posredovanje informacij, dokler ni predložen koncept varnosti. Koncept varnosti je treba predložiti tudi pristojnemu nadzornemu organu za varstvo podatkov, ki lahko sproži ustrezne postopke, če obstajajo znaki kršitev varstva podatkov. To je še posebej pomembno, saj lahko zagotavljanje informacij s strani ponudnika vpliva tudi na interese tretjih oseb, na primer prejemnika storitve.</w:t>
      </w:r>
    </w:p>
    <w:p w14:paraId="61C60CE8" w14:textId="4F0055C2" w:rsidR="00D969A6" w:rsidRPr="0018171E" w:rsidRDefault="00D969A6" w:rsidP="00D969A6">
      <w:pPr>
        <w:pStyle w:val="Text"/>
        <w:rPr>
          <w:rStyle w:val="Marker"/>
          <w:color w:val="auto"/>
        </w:rPr>
      </w:pPr>
      <w:r>
        <w:rPr>
          <w:rStyle w:val="Marker"/>
          <w:color w:val="auto"/>
        </w:rPr>
        <w:t>Poleg tega informacije ne smejo biti v nasprotju s prevladujočimi zakonitimi interesi ponudnikov družbenih omrežij. To bi se zgodilo, če bi dostop do podatkov na nerazumen način ogrozil interese zaupnosti ponudnika. Poleg tega pravica do pridobitve informacij ne velja, če so zakoniti interesi posameznikov, na katere se nanašajo osebni podatki, oslabljeni in javni interes za raziskave ne odtehta zaupnosti interesov oseb, na katere se nanašajo osebni podatki, da ohranijo zaupnost.</w:t>
      </w:r>
    </w:p>
    <w:p w14:paraId="05EA09A2" w14:textId="15151807" w:rsidR="00D969A6" w:rsidRPr="0018171E" w:rsidRDefault="00D969A6" w:rsidP="00D969A6">
      <w:pPr>
        <w:pStyle w:val="Text"/>
        <w:rPr>
          <w:rStyle w:val="Marker"/>
          <w:color w:val="auto"/>
        </w:rPr>
      </w:pPr>
      <w:r>
        <w:rPr>
          <w:rStyle w:val="Marker"/>
          <w:color w:val="auto"/>
        </w:rPr>
        <w:lastRenderedPageBreak/>
        <w:t xml:space="preserve">Za namene prenosa informacij se lahko posredujejo tudi osebni podatki, pri čemer jih je treba čim bolj anonimizirati ali vsaj psevdonimizirati. Poleg tega so predvideni dodatni ukrepi za varstvo osebnih podatkov, če se obdelujejo posebne vrste podatkov v smislu člena 9(1) Uredbe (EU) 2016/679. Ostali predpisi o varstvu podatkov, zlasti v skladu z oddelkom 27 Zveznega zakona o varstvu podatkov, ostajajo nespremenjeni. </w:t>
      </w:r>
    </w:p>
    <w:p w14:paraId="67D27A76" w14:textId="050484C3" w:rsidR="00A135B4" w:rsidRPr="0018171E" w:rsidRDefault="00D969A6" w:rsidP="00D969A6">
      <w:pPr>
        <w:pStyle w:val="Text"/>
        <w:rPr>
          <w:rStyle w:val="Marker"/>
          <w:color w:val="auto"/>
        </w:rPr>
      </w:pPr>
      <w:r>
        <w:rPr>
          <w:rStyle w:val="Marker"/>
          <w:color w:val="auto"/>
        </w:rPr>
        <w:t>Ponudnik ima v odnosu do raziskovalca pravico do povračila stroškov, nastalih z zagotavljanjem informacij, v razumnem znesku. Omejitev pravice do povračila na razumen znesek zagotavlja, da zahtevek za pridobitev informacij raziskovalcev v praksi ni izničen zaradi previsoke ravni zahtevkov za povrnitev stroškov. To je tudi razlog za določitev zgornje meje povračljivih stroškov, ki jo je mogoče preseči le v primerih z izjemno visokim vložkom. To se lahko zgodi, če vložek, povezan z zagotavljanjem informacij, očitno presega vložek, ki je običajno namenjen zagotavljanju informacij za raziskovalne projekte iz oddelka 5a. Breme predstavitve in dokazovanja takšnih okoliščin nosi ponudnik družbenega omrežja, kot to velja za razumnost stroškov.</w:t>
      </w:r>
    </w:p>
    <w:p w14:paraId="1B437195" w14:textId="771E7548" w:rsidR="00D969A6" w:rsidRPr="0018171E" w:rsidRDefault="00D969A6" w:rsidP="00D969A6">
      <w:pPr>
        <w:pStyle w:val="Text"/>
        <w:rPr>
          <w:rStyle w:val="Marker"/>
          <w:color w:val="auto"/>
        </w:rPr>
      </w:pPr>
      <w:r>
        <w:rPr>
          <w:rStyle w:val="Marker"/>
          <w:color w:val="auto"/>
        </w:rPr>
        <w:t>Ustrezna uporaba oddelka 287(1) Zakonika o civilnem postopku zagotavlja, da lahko pristojno sodišče v primeru spora ob upoštevanju vseh okoliščin svobodno določi znesek zahtevka za povračilo stroškov. Dodatnih nadomestil za ponudnike ne bo. Za olajšanje načrtovanja raziskovalca v zvezi z nastalimi stroški lahko raziskovalec od ponudnika družbenega omrežja zahteva, da v razumnem roku po predložitvi koncepta varnosti predloži brezplačno oceno stroškov.</w:t>
      </w:r>
    </w:p>
    <w:p w14:paraId="0569302F" w14:textId="4681F723" w:rsidR="00E11559" w:rsidRPr="0018171E" w:rsidRDefault="00D969A6" w:rsidP="00D969A6">
      <w:pPr>
        <w:pStyle w:val="Text"/>
        <w:rPr>
          <w:rStyle w:val="Marker"/>
          <w:color w:val="auto"/>
        </w:rPr>
      </w:pPr>
      <w:r>
        <w:rPr>
          <w:rStyle w:val="Marker"/>
          <w:color w:val="auto"/>
        </w:rPr>
        <w:t>V primeru spora o obstoju pogojev za upravičenost med raziskovalcem in ponudnikom družbenega omrežja o tem odločajo redna sodišča.</w:t>
      </w:r>
    </w:p>
    <w:p w14:paraId="1A7FF4A4" w14:textId="28B5AC82" w:rsidR="00732338" w:rsidRPr="0018171E" w:rsidRDefault="00132D0E" w:rsidP="00132D0E">
      <w:pPr>
        <w:pStyle w:val="Text"/>
        <w:rPr>
          <w:rStyle w:val="Marker"/>
          <w:color w:val="auto"/>
        </w:rPr>
      </w:pPr>
      <w:r>
        <w:rPr>
          <w:rStyle w:val="Marker"/>
          <w:color w:val="auto"/>
        </w:rPr>
        <w:t>Uvedba klavzule o raziskavi je dopolnjena s pojasnitvijo obveznosti poročanja. V skladu s predhodno predvidenim oddelkom 2(2)(2) Zakona o izvrševanju omrežij je treba pripraviti tudi poročilo o tem, ali in v kolikšni meri se osebam iz znanosti in raziskav omogoči vpogled v ocenjevanje procesov, ki se uporabljajo za avtomatizirano prepoznavanje vsebine (glej tiskovino Zveznega parlamenta 19/18792, str. 43). Predlagana dopolnitev oddelka 2(2)(2) Zakona o izvrševanju omrežij jasno kaže, da se to nanaša tudi na vprašanje odobritve dostopa do informacij ponudnika, vključno z informacijami, zagotovljenimi v skladu z oddelkom 5a Zakona o izvrševanju omrežij.</w:t>
      </w:r>
    </w:p>
    <w:p w14:paraId="5F9F9891" w14:textId="70FA2CBE" w:rsidR="00E97B1F" w:rsidRPr="0018171E" w:rsidRDefault="00E97B1F" w:rsidP="00132D0E">
      <w:pPr>
        <w:pStyle w:val="Text"/>
        <w:rPr>
          <w:rStyle w:val="Marker"/>
          <w:color w:val="auto"/>
        </w:rPr>
      </w:pPr>
      <w:r>
        <w:rPr>
          <w:rStyle w:val="Marker"/>
          <w:color w:val="auto"/>
        </w:rPr>
        <w:t>Oddelek 5a bo ocenjen po treh letih od začetka veljavnosti. S tem se ugotovi, ali in v kolikšni meri so bili doseženi predvideni učinki. To zlasti vključuje ugotavljanje, ali so zagotovljene informacije podpirale osnovne raziskovalne namene. Preučiti je treba tudi uporabnost te določbe, zlasti v primeru spora med raziskovalci in ponudniki družbenih omrežij glede obveznosti zagotavljanja informacij. V zvezi s tem je treba ugotoviti, ali je sodelovanje organa za posredovanje pri reševanju razlik v mnenjih glede obveznosti zagotavljanja informacij ali za določitev zakonite zahteve za informacije smiselno in kako bi lahko bil organ za posredovanje zasnovan. Poleg tega je treba oceniti tudi, ali je določba o povračilu stroškov v odstavku 8 učinkovita.</w:t>
      </w:r>
    </w:p>
    <w:p w14:paraId="2F6A2064" w14:textId="663911F1" w:rsidR="009F08C0" w:rsidRPr="0018171E" w:rsidRDefault="009F08C0" w:rsidP="0018171E">
      <w:pPr>
        <w:pStyle w:val="Text"/>
        <w:keepNext/>
        <w:rPr>
          <w:rStyle w:val="Marker"/>
          <w:b/>
          <w:color w:val="auto"/>
        </w:rPr>
      </w:pPr>
      <w:r>
        <w:rPr>
          <w:rStyle w:val="Marker"/>
          <w:b/>
          <w:color w:val="auto"/>
        </w:rPr>
        <w:t>K točki 2</w:t>
      </w:r>
    </w:p>
    <w:p w14:paraId="7D853F30" w14:textId="5AC8D20B" w:rsidR="00132D0E" w:rsidRPr="0018171E" w:rsidRDefault="00132D0E" w:rsidP="00D969A6">
      <w:pPr>
        <w:pStyle w:val="Text"/>
        <w:rPr>
          <w:rStyle w:val="Marker"/>
          <w:color w:val="auto"/>
        </w:rPr>
      </w:pPr>
      <w:r>
        <w:rPr>
          <w:rStyle w:val="Marker"/>
          <w:color w:val="auto"/>
        </w:rPr>
        <w:t>Določbe o začetku veljavnosti v členu ... so dopolnjene glede na spremembe Zakona o izvrševanju omrežij.</w:t>
      </w:r>
    </w:p>
    <w:sectPr w:rsidR="00132D0E" w:rsidRPr="0018171E"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B670D" w14:textId="77777777" w:rsidR="0016708D" w:rsidRDefault="0016708D" w:rsidP="00FF4465">
      <w:pPr>
        <w:spacing w:before="0" w:after="0"/>
      </w:pPr>
      <w:r>
        <w:separator/>
      </w:r>
    </w:p>
  </w:endnote>
  <w:endnote w:type="continuationSeparator" w:id="0">
    <w:p w14:paraId="2A7E59A1" w14:textId="77777777" w:rsidR="0016708D" w:rsidRDefault="0016708D"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F5D11" w14:textId="77777777" w:rsidR="0016708D" w:rsidRDefault="0016708D" w:rsidP="00FF4465">
      <w:pPr>
        <w:spacing w:before="0" w:after="0"/>
      </w:pPr>
      <w:r>
        <w:separator/>
      </w:r>
    </w:p>
  </w:footnote>
  <w:footnote w:type="continuationSeparator" w:id="0">
    <w:p w14:paraId="75A5BB2A" w14:textId="77777777" w:rsidR="0016708D" w:rsidRDefault="0016708D"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Priglašeno v skladu z Direktivo (EU) 2015/1535 Evropskega parlamenta in Sveta z dne 9. septembra 2015 o določitvi postopka za zbiranje informacij na področju tehničnih predpisov in pravil za storitve informacijske družbe (UL L 241, 17.9.2015,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ACD9" w14:textId="16EB1E5D"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rsidR="00FE778C">
      <w:rPr>
        <w:noProof/>
      </w:rPr>
      <w:t>6</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E50E" w14:textId="66737395"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rsidR="00FE778C">
      <w:rPr>
        <w:noProof/>
      </w:rPr>
      <w:t>3</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7681F"/>
    <w:rsid w:val="00080092"/>
    <w:rsid w:val="000C7EB4"/>
    <w:rsid w:val="000E03DB"/>
    <w:rsid w:val="001128A7"/>
    <w:rsid w:val="001135BC"/>
    <w:rsid w:val="00132D0E"/>
    <w:rsid w:val="00134F62"/>
    <w:rsid w:val="00146FA3"/>
    <w:rsid w:val="00146FE2"/>
    <w:rsid w:val="00154174"/>
    <w:rsid w:val="0016708D"/>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78C"/>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BCE75-0560-43C8-805A-080B6426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1</TotalTime>
  <Pages>6</Pages>
  <Words>2607</Words>
  <Characters>14863</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BONITO, Joana</cp:lastModifiedBy>
  <cp:revision>3</cp:revision>
  <cp:lastPrinted>2020-12-08T16:22:00Z</cp:lastPrinted>
  <dcterms:created xsi:type="dcterms:W3CDTF">2021-02-10T11:38:00Z</dcterms:created>
  <dcterms:modified xsi:type="dcterms:W3CDTF">2021-02-10T11:59:00Z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