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Savezno ministarstvo pravosuđa i zaštite potrošača</w:t>
      </w:r>
    </w:p>
    <w:p w14:paraId="4622CA11" w14:textId="77777777" w:rsidR="002720FF" w:rsidRPr="00683CE0" w:rsidRDefault="002720FF" w:rsidP="00EA1D8C">
      <w:pPr>
        <w:pStyle w:val="DokumentkopfTitel"/>
      </w:pPr>
      <w:r>
        <w:t xml:space="preserve">Prijedlog izmjene</w:t>
      </w:r>
    </w:p>
    <w:p w14:paraId="3FAED9FF" w14:textId="77777777" w:rsidR="002720FF" w:rsidRPr="00683CE0" w:rsidRDefault="002720FF" w:rsidP="00EA1D8C">
      <w:pPr>
        <w:pStyle w:val="DokumentkopfBezeichnung"/>
      </w:pPr>
      <w:r>
        <w:t xml:space="preserve">o nacrtu zakona Savezne vlade</w:t>
      </w:r>
    </w:p>
    <w:p w14:paraId="31EDF417" w14:textId="77777777" w:rsidR="002720FF" w:rsidRPr="00683CE0" w:rsidRDefault="002720FF" w:rsidP="00EA1D8C">
      <w:pPr>
        <w:pStyle w:val="DokumentkopfBezeichnung"/>
      </w:pPr>
      <w:r>
        <w:t xml:space="preserve">– dokument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Nacrt zakona o poštenim potrošačkim ugovorima</w:t>
      </w:r>
    </w:p>
    <w:p w14:paraId="43B17458" w14:textId="77777777" w:rsidR="002720FF" w:rsidRDefault="002720FF" w:rsidP="00EA1D8C">
      <w:pPr>
        <w:spacing w:line="360" w:lineRule="auto"/>
        <w:rPr>
          <w:sz w:val="22"/>
          <w:rFonts w:ascii="Arial" w:hAnsi="Arial" w:cs="Arial"/>
        </w:rPr>
      </w:pPr>
      <w:r>
        <w:rPr>
          <w:sz w:val="22"/>
          <w:rFonts w:ascii="Arial" w:hAnsi="Arial"/>
        </w:rPr>
        <w:t xml:space="preserve">Predlaže se da Bundestag (Parlament) donese odluku</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o donošenju Nacrta zakona u dokumentu 19/26915 sa sljedećim odredbama, a ostalo ostaje nepromijenjeno:</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U naslov se dodaje sljedeća bilješka:</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Dostavljeno u skladu s Direktivom (EU) 2015/1535 Europskog parlamenta i Vijeća od 9. rujna 2015. o utvrđivanju postupka pružanja informacija u području tehničkih propisa i pravila o uslugama informacijskog društva (SL L 241. 17. rujna 2015., str. 1.).</w:t>
      </w:r>
    </w:p>
    <w:p w14:paraId="321F69E0" w14:textId="6E4A4B30" w:rsidR="00826E52" w:rsidRDefault="00826E52" w:rsidP="00416421">
      <w:pPr>
        <w:pStyle w:val="EmpfehlungNummerierungStufe1"/>
      </w:pPr>
      <w:r>
        <w:t xml:space="preserve">Članak 1. mijenja se kako slijedi:</w:t>
      </w:r>
    </w:p>
    <w:p w14:paraId="63EFF5B4" w14:textId="6CD7E956" w:rsidR="0021568B" w:rsidRPr="0021568B" w:rsidRDefault="0021568B" w:rsidP="00DA2D64">
      <w:pPr>
        <w:pStyle w:val="EmpfehlungNummerierungStufe2"/>
      </w:pPr>
      <w:r>
        <w:t xml:space="preserve">Nakon točke 3. umeću se sljedeće točke od 4. do 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U članku 312. stavku 7. rečenici 1. riječi „članak 312.l” zamjenjuju se riječima „članak 312.m”.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Nakon članka 312.j umeće se članak 312.k:</w:t>
      </w:r>
    </w:p>
    <w:p w14:paraId="2A7410BB" w14:textId="77777777" w:rsidR="0075168F" w:rsidRPr="00E574A2" w:rsidRDefault="0075168F" w:rsidP="009D590D">
      <w:pPr>
        <w:pStyle w:val="RevisionParagraphBezeichnermanuell"/>
        <w:spacing w:after="120"/>
        <w:ind w:left="1345" w:hanging="90"/>
        <w:outlineLvl w:val="7"/>
      </w:pPr>
      <w:r>
        <w:t xml:space="preserve">„Članak 312.k</w:t>
      </w:r>
    </w:p>
    <w:p w14:paraId="41B291F4" w14:textId="486B3F04" w:rsidR="0075168F" w:rsidRPr="00416421" w:rsidRDefault="0075168F" w:rsidP="009D590D">
      <w:pPr>
        <w:pStyle w:val="RevisionParagraphberschrift"/>
        <w:spacing w:before="120" w:after="120"/>
        <w:ind w:left="1345"/>
        <w:outlineLvl w:val="7"/>
      </w:pPr>
      <w:r>
        <w:t xml:space="preserve">Raskid potrošačkih ugovora u elektroničkoj trgovini</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Kada internetska stranica potrošačima omogućuje sklapanje ugovora o elektroničkoj trgovini čiji je cilj uspostava trajnog dužničkog odnosa i obvezivanje trgovačkih društava da zauzvrat pruža uslugu, društvo mora ispuniti obveze propisane tom odredbom.</w:t>
      </w:r>
      <w:r>
        <w:t xml:space="preserve"> </w:t>
      </w:r>
      <w:r>
        <w:t xml:space="preserve">Ovo se ne primjenjuje na</w:t>
      </w:r>
    </w:p>
    <w:p w14:paraId="2FF8D6A4" w14:textId="14FBFEC6" w:rsidR="00C10FA1" w:rsidRPr="0090252A" w:rsidRDefault="0052341C" w:rsidP="009D590D">
      <w:pPr>
        <w:pStyle w:val="RevisionNummerierungStufe1"/>
        <w:tabs>
          <w:tab w:val="clear" w:pos="425"/>
          <w:tab w:val="num" w:pos="1770"/>
        </w:tabs>
        <w:ind w:left="1770"/>
      </w:pPr>
      <w:r>
        <w:t xml:space="preserve">ugovore čiji je raskid predviđen samo u strožem obliku nego u tekstualnom obliku; i</w:t>
      </w:r>
    </w:p>
    <w:p w14:paraId="3F8AA9D7" w14:textId="7C181D21" w:rsidR="00E57275" w:rsidRPr="00AE662A" w:rsidRDefault="006F7B3A" w:rsidP="009D590D">
      <w:pPr>
        <w:pStyle w:val="RevisionNummerierungStufe1"/>
        <w:tabs>
          <w:tab w:val="clear" w:pos="425"/>
          <w:tab w:val="num" w:pos="1770"/>
        </w:tabs>
        <w:ind w:left="1770"/>
      </w:pPr>
      <w:r>
        <w:t xml:space="preserve">u vezi s internetskim stranicama koje se odnose na financijske usluge ili na ugovore koji se odnose na financijske usluge.</w:t>
      </w:r>
    </w:p>
    <w:p w14:paraId="45A2845B" w14:textId="6F37F124" w:rsidR="009E06E3" w:rsidRDefault="00AE3F1C" w:rsidP="009D590D">
      <w:pPr>
        <w:pStyle w:val="RevisionJuristischerAbsatz"/>
        <w:tabs>
          <w:tab w:val="clear" w:pos="850"/>
          <w:tab w:val="num" w:pos="2195"/>
        </w:tabs>
        <w:ind w:left="1345"/>
      </w:pPr>
      <w:r>
        <w:t xml:space="preserve">Društvo mora jamčiti da potrošač na internetskoj stranici može dati izjavu o redovnom ili izvanrednom raskidu ugovora sklopljenog na internetskoj stranici u skladu s rečenicom 1. stavka 1. pomoću gumba za raskid ugovora.</w:t>
      </w:r>
      <w:r>
        <w:t xml:space="preserve"> </w:t>
      </w:r>
      <w:r>
        <w:t xml:space="preserve">Gumb za raskid mora biti čitljiv, a na njemu trebaju biti samo riječi „raskini ugovore ovdje” ili mora biti označen odgovarajućim nedvosmislenim tekstom.</w:t>
      </w:r>
      <w:r>
        <w:t xml:space="preserve"> </w:t>
      </w:r>
      <w:r>
        <w:t xml:space="preserve">Mora izravno navesti potrošača na stranicu za potvrdu koja</w:t>
      </w:r>
    </w:p>
    <w:p w14:paraId="63A70429" w14:textId="0658A2E9" w:rsidR="002A3FE5" w:rsidRDefault="006E2F12" w:rsidP="009D590D">
      <w:pPr>
        <w:pStyle w:val="RevisionNummerierungStufe1"/>
        <w:tabs>
          <w:tab w:val="clear" w:pos="425"/>
          <w:tab w:val="num" w:pos="1770"/>
        </w:tabs>
        <w:ind w:left="1770"/>
      </w:pPr>
      <w:r>
        <w:t xml:space="preserve">poziva potrošača i omogućuje mu da pruži informacije</w:t>
      </w:r>
    </w:p>
    <w:p w14:paraId="1A0A97F8" w14:textId="04EE9D94" w:rsidR="006E2F12" w:rsidRDefault="002A3FE5" w:rsidP="009D590D">
      <w:pPr>
        <w:pStyle w:val="RevisionNummerierungStufe2"/>
        <w:tabs>
          <w:tab w:val="clear" w:pos="850"/>
          <w:tab w:val="num" w:pos="2195"/>
        </w:tabs>
        <w:ind w:left="2195"/>
      </w:pPr>
      <w:r>
        <w:t xml:space="preserve">o naravi raskida ugovora i, u slučaju izvanrednog raskida, o razlogu raskida,</w:t>
      </w:r>
    </w:p>
    <w:p w14:paraId="459452DE" w14:textId="5BCFA0A2" w:rsidR="002A3FE5" w:rsidRDefault="002A3FE5" w:rsidP="009D590D">
      <w:pPr>
        <w:pStyle w:val="RevisionNummerierungStufe2"/>
        <w:tabs>
          <w:tab w:val="clear" w:pos="850"/>
          <w:tab w:val="num" w:pos="2195"/>
        </w:tabs>
        <w:ind w:left="2195"/>
      </w:pPr>
      <w:r>
        <w:t xml:space="preserve">o mogućnosti nedvojbenog utvrđivanja njegova identiteta,</w:t>
      </w:r>
    </w:p>
    <w:p w14:paraId="0B7A6589" w14:textId="2A8E4FF6" w:rsidR="002A3FE5" w:rsidRDefault="002A3FE5" w:rsidP="009D590D">
      <w:pPr>
        <w:pStyle w:val="RevisionNummerierungStufe2"/>
        <w:tabs>
          <w:tab w:val="clear" w:pos="850"/>
          <w:tab w:val="num" w:pos="2195"/>
        </w:tabs>
        <w:ind w:left="2195"/>
      </w:pPr>
      <w:r>
        <w:t xml:space="preserve">o nedvosmislenom nazivu Ugovora,</w:t>
      </w:r>
    </w:p>
    <w:p w14:paraId="309E68B5" w14:textId="4790EC1D" w:rsidR="00846EFD" w:rsidRDefault="00846EFD" w:rsidP="009D590D">
      <w:pPr>
        <w:pStyle w:val="RevisionNummerierungStufe2"/>
        <w:tabs>
          <w:tab w:val="clear" w:pos="850"/>
          <w:tab w:val="num" w:pos="2195"/>
        </w:tabs>
        <w:ind w:left="2195"/>
      </w:pPr>
      <w:r>
        <w:t xml:space="preserve">o trenutku raskida ugovornog odnosa,</w:t>
      </w:r>
    </w:p>
    <w:p w14:paraId="1E1303B1" w14:textId="2C482F67" w:rsidR="002A3FE5" w:rsidRDefault="00AE3F1C" w:rsidP="00846EFD">
      <w:pPr>
        <w:pStyle w:val="RevisionNummerierungStufe2"/>
        <w:tabs>
          <w:tab w:val="clear" w:pos="850"/>
          <w:tab w:val="num" w:pos="2195"/>
        </w:tabs>
        <w:ind w:left="2195"/>
      </w:pPr>
      <w:r>
        <w:t xml:space="preserve">omogućava brzi elektronički prijenos potvrde o raskidu i</w:t>
      </w:r>
    </w:p>
    <w:p w14:paraId="4F18B29F" w14:textId="576EFA0F" w:rsidR="00222EE0" w:rsidRDefault="009E06E3" w:rsidP="009D590D">
      <w:pPr>
        <w:pStyle w:val="RevisionNummerierungStufe1"/>
        <w:tabs>
          <w:tab w:val="clear" w:pos="425"/>
          <w:tab w:val="num" w:pos="1770"/>
        </w:tabs>
        <w:ind w:left="1770"/>
      </w:pPr>
      <w:r>
        <w:t xml:space="preserve">sadrži gumb za potvrdu pomoću kojeg potrošač može dostaviti obavijest o raskidu i koji je lako čitljiv te sadrži samo riječi „otkaži sada” ili je označen odgovarajućim nedvosmislenim tekstom.</w:t>
      </w:r>
    </w:p>
    <w:p w14:paraId="41B87BA6" w14:textId="4412EB32" w:rsidR="00591E40" w:rsidRDefault="009F7F4E" w:rsidP="009D590D">
      <w:pPr>
        <w:pStyle w:val="RevisionJuristischerAbsatzFolgeabsatz"/>
        <w:ind w:left="1345"/>
      </w:pPr>
      <w:r>
        <w:t xml:space="preserve">Korisnička sučelja i stranica za potvrdu moraju biti stalno dostupni i odmah i pristupačni.</w:t>
      </w:r>
    </w:p>
    <w:p w14:paraId="01895F53" w14:textId="274AB82F" w:rsidR="00F15270" w:rsidRDefault="0075168F" w:rsidP="009D590D">
      <w:pPr>
        <w:pStyle w:val="RevisionJuristischerAbsatz"/>
        <w:tabs>
          <w:tab w:val="clear" w:pos="850"/>
          <w:tab w:val="num" w:pos="2195"/>
        </w:tabs>
        <w:ind w:left="1345"/>
      </w:pPr>
      <w:r>
        <w:t xml:space="preserve">Potrošač mora imati mogućnost pohranjivanja, na trajnom nosaču podataka, svoje podnesene izjave o raskidu pritiskom gumba za potvrdu s datumom i vremenom isporuke na takav način da se može smatrati da je izjava o raskidu podnesena pritiskom gumba za potvrdu.</w:t>
      </w:r>
    </w:p>
    <w:p w14:paraId="0E1A934D" w14:textId="79962F83" w:rsidR="0075168F" w:rsidRPr="004C591F" w:rsidRDefault="0075168F" w:rsidP="009D590D">
      <w:pPr>
        <w:pStyle w:val="RevisionJuristischerAbsatz"/>
        <w:tabs>
          <w:tab w:val="clear" w:pos="850"/>
          <w:tab w:val="num" w:pos="2195"/>
        </w:tabs>
        <w:ind w:left="1345"/>
      </w:pPr>
      <w:r>
        <w:t xml:space="preserve">Trgovačko društvo odmah elektroničkim putem potvrđuje potrošaču sadržaj, datum i vrijeme primitka obavijesti o raskidu ugovora, kao i datum raskida ugovora u pisanom obliku elektroničkim putem.</w:t>
      </w:r>
      <w:r>
        <w:t xml:space="preserve"> </w:t>
      </w:r>
      <w:r>
        <w:t xml:space="preserve">Smatra se da je obavijest o raskidu, podnesena pritiskom gumba za potvrdu, poslana trgovačkom društvu odmah nakon podnošenja.</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Ako potrošač prilikom podnošenja obavijesti o raskidu ne navede trenutak u kojem namjerava raskinuti ugovorni odnos, raskid će u slučaju dvojbe stupiti na snagu u najkraćem mogućem roku.</w:t>
      </w:r>
    </w:p>
    <w:p w14:paraId="0063AC95" w14:textId="2CD687CE" w:rsidR="0075168F" w:rsidRPr="000C76EB" w:rsidRDefault="003C1CD0" w:rsidP="009D590D">
      <w:pPr>
        <w:pStyle w:val="RevisionJuristischerAbsatz"/>
        <w:tabs>
          <w:tab w:val="clear" w:pos="850"/>
          <w:tab w:val="num" w:pos="2195"/>
        </w:tabs>
        <w:ind w:left="1345"/>
      </w:pPr>
      <w:r>
        <w:t xml:space="preserve">Ako gumbi i stranica za potvrdu nisu dostupni u skladu sa stavcima 1. i 2., potrošač može raskinuti ugovor za čiji raskid gumbi i stranica za potvrdu moraju biti dostupni u svakom trenutku i bez poštovanja otkaznog roka.</w:t>
      </w:r>
      <w:r>
        <w:t xml:space="preserve"> </w:t>
      </w:r>
      <w:r>
        <w:t xml:space="preserve">To ne utječe na mogućnost potrošača da izvanredno raskine ugovor.”</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Dosadašnji članci 312.k i 312.l postaju članci 312.l i 312.m</w:t>
      </w:r>
    </w:p>
    <w:p w14:paraId="6405AD62" w14:textId="2EED1D99" w:rsidR="0021568B" w:rsidRDefault="0021568B" w:rsidP="00DA2D64">
      <w:pPr>
        <w:pStyle w:val="EmpfehlungNummerierungStufe2"/>
      </w:pPr>
      <w:r>
        <w:t xml:space="preserve">Dosadašnji broj 4 postaje broj 7.</w:t>
      </w:r>
    </w:p>
    <w:p w14:paraId="2D9EE4F1" w14:textId="49ED0B65" w:rsidR="00D663F5" w:rsidRDefault="00D663F5" w:rsidP="008E21D5">
      <w:pPr>
        <w:pStyle w:val="EmpfehlungNummerierungStufe1"/>
      </w:pPr>
      <w:r>
        <w:t xml:space="preserve">Članak 2. glasi kako slijedi:</w:t>
      </w:r>
    </w:p>
    <w:p w14:paraId="2A51C349" w14:textId="28141D5E" w:rsidR="008657B1" w:rsidRPr="008657B1" w:rsidRDefault="008657B1" w:rsidP="009D590D">
      <w:pPr>
        <w:pStyle w:val="RevisionArtikelBezeichnermanuell"/>
        <w:ind w:left="425" w:hanging="70"/>
      </w:pPr>
      <w:r>
        <w:t xml:space="preserve">„Članak 2.</w:t>
      </w:r>
    </w:p>
    <w:p w14:paraId="5837AD5B" w14:textId="0C0D5684" w:rsidR="008657B1" w:rsidRPr="008657B1" w:rsidRDefault="008657B1" w:rsidP="009D590D">
      <w:pPr>
        <w:pStyle w:val="RevisionArtikelberschrift"/>
        <w:ind w:left="425"/>
      </w:pPr>
      <w:r>
        <w:t xml:space="preserve">Izmjena Uvodnog zakona Građanskog zakonika</w:t>
      </w:r>
    </w:p>
    <w:p w14:paraId="460ABE0F" w14:textId="5A512474" w:rsidR="008657B1" w:rsidRPr="004F1B81" w:rsidRDefault="007B6582" w:rsidP="009D590D">
      <w:pPr>
        <w:pStyle w:val="RevisionJuristischerAbsatzmanuell"/>
        <w:tabs>
          <w:tab w:val="clear" w:pos="850"/>
          <w:tab w:val="left" w:pos="1275"/>
        </w:tabs>
        <w:ind w:left="425"/>
      </w:pPr>
      <w:r>
        <w:t xml:space="preserve">Uvodni zakon Građanskog zakonika u inačici objavljenoj 21. rujna 1994. (Savezni službeni list I., str. 2494., 1997.; I., str. 1061.), kako je zadnje izmijenjen člankom 10. Zakona od 22. prosinca 2020. (Savezni službeni list I., str. 3328.), mijenja se kako slijedi:</w:t>
      </w:r>
    </w:p>
    <w:p w14:paraId="6B027298" w14:textId="034AC32F" w:rsidR="008657B1" w:rsidRPr="004F1B81" w:rsidRDefault="008657B1" w:rsidP="009D590D">
      <w:pPr>
        <w:pStyle w:val="RevisionNummerierungStufe1"/>
        <w:tabs>
          <w:tab w:val="clear" w:pos="425"/>
          <w:tab w:val="num" w:pos="850"/>
        </w:tabs>
        <w:ind w:left="850"/>
      </w:pPr>
      <w:r>
        <w:t xml:space="preserve">Članak 229. zamjenjuje se sljedećim člankom:</w:t>
      </w:r>
      <w:r>
        <w:t xml:space="preserve"> </w:t>
      </w:r>
      <w:r>
        <w:t xml:space="preserve">[unijeti: sljedeći slobodni broj nakon objave] dodaje se:</w:t>
      </w:r>
    </w:p>
    <w:p w14:paraId="57F318B2" w14:textId="77777777" w:rsidR="008657B1" w:rsidRPr="004F1B81" w:rsidRDefault="008657B1" w:rsidP="009D590D">
      <w:pPr>
        <w:pStyle w:val="RevisionParagraphBezeichnermanuell"/>
        <w:ind w:left="850" w:hanging="90"/>
      </w:pPr>
      <w:r>
        <w:t xml:space="preserve">‘§...</w:t>
      </w:r>
      <w:r>
        <w:t xml:space="preserve"> </w:t>
      </w:r>
      <w:r>
        <w:t xml:space="preserve">[uključiti: sljedeći slobodni broj nakon objave]</w:t>
      </w:r>
    </w:p>
    <w:p w14:paraId="240738A9" w14:textId="77777777" w:rsidR="008657B1" w:rsidRPr="004F1B81" w:rsidRDefault="008657B1" w:rsidP="009D590D">
      <w:pPr>
        <w:pStyle w:val="RevisionParagraphberschrift"/>
        <w:ind w:left="850"/>
      </w:pPr>
      <w:r>
        <w:t xml:space="preserve">Prijelazna odredba Zakona o poštenim potrošačkim ugovorima</w:t>
      </w:r>
    </w:p>
    <w:p w14:paraId="48E37EC8" w14:textId="49D04865" w:rsidR="008657B1" w:rsidRPr="008657B1" w:rsidRDefault="008657B1" w:rsidP="009D590D">
      <w:pPr>
        <w:pStyle w:val="RevisionJuristischerAbsatzmanuell"/>
        <w:tabs>
          <w:tab w:val="clear" w:pos="850"/>
          <w:tab w:val="left" w:pos="1700"/>
        </w:tabs>
        <w:ind w:left="850"/>
      </w:pPr>
      <w:r>
        <w:t xml:space="preserve">Na dug koji prethodi...</w:t>
      </w:r>
      <w:r>
        <w:t xml:space="preserve"> </w:t>
      </w:r>
      <w:r>
        <w:t xml:space="preserve">[postavljanje:</w:t>
      </w:r>
      <w:r>
        <w:t xml:space="preserve"> </w:t>
      </w:r>
      <w:r>
        <w:t xml:space="preserve">Datum stupanja na snagu u skladu s rečenicom članka 5. stavka 3. ovog zakona] primjenjuje se na odredbe Građanskog zakonika kako je do tog dana izmijenjeno.”</w:t>
      </w:r>
    </w:p>
    <w:p w14:paraId="28F84168" w14:textId="767BCDD5" w:rsidR="0062256C" w:rsidRPr="008657B1" w:rsidRDefault="00D663F5" w:rsidP="009D590D">
      <w:pPr>
        <w:pStyle w:val="RevisionNummerierungStufe1"/>
        <w:tabs>
          <w:tab w:val="clear" w:pos="425"/>
          <w:tab w:val="num" w:pos="850"/>
        </w:tabs>
        <w:ind w:left="850"/>
      </w:pPr>
      <w:r>
        <w:t xml:space="preserve">U članku 246.e stavku 1. točki (2), broj 10., riječi „članak 312.k” zamjenjuju se riječima „članak 312.l”.</w:t>
      </w:r>
    </w:p>
    <w:p w14:paraId="7A235F18" w14:textId="116CF696" w:rsidR="008E21D5" w:rsidRDefault="007B6582" w:rsidP="004F1B81">
      <w:pPr>
        <w:pStyle w:val="EmpfehlungNummerierungStufe1"/>
      </w:pPr>
      <w:r>
        <w:t xml:space="preserve">Sljedeća rečenica umeće se nakon članka 5. rečenice 1.:</w:t>
      </w:r>
    </w:p>
    <w:p w14:paraId="0316D114" w14:textId="7AD83BCB" w:rsidR="008E21D5" w:rsidRDefault="0052608D" w:rsidP="009D590D">
      <w:pPr>
        <w:pStyle w:val="RevisionJuristischerAbsatzFolgeabsatz"/>
        <w:ind w:left="425"/>
      </w:pPr>
      <w:r>
        <w:t xml:space="preserve">„Članak 1. stavci 4. do 6. i članak 2. stavak 2. stupaju na snagu 1. srpnja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Obrazloženje</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U pogledu 1.</w:t>
      </w:r>
    </w:p>
    <w:p w14:paraId="52A0ADE0" w14:textId="23FAA1FA" w:rsidR="00B358A3" w:rsidRPr="009B1298" w:rsidRDefault="00B358A3" w:rsidP="009B1298">
      <w:pPr>
        <w:pStyle w:val="Text"/>
        <w:rPr>
          <w:sz w:val="22"/>
        </w:rPr>
      </w:pPr>
      <w:r>
        <w:rPr>
          <w:sz w:val="22"/>
        </w:rPr>
        <w:t xml:space="preserve">Dopuna je potrebna jer je odredbom predviđenom brojem 2 (a) (članak 1. stavak 5.) podložna obavijesti na temelju</w:t>
      </w:r>
      <w:r>
        <w:t xml:space="preserve"> Direktive (EU) 2015/1535 Europskog parlamenta i Vijeća od 9. rujna 2015. o utvrđivanju postupka pružanja informacija u području tehničkih propisa i pravila o uslugama informacijskog društva.</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U pogledu 2.</w:t>
      </w:r>
    </w:p>
    <w:p w14:paraId="1CDBD418" w14:textId="66377B48" w:rsidR="00395EE9" w:rsidRPr="00DA2D64" w:rsidRDefault="000F009A" w:rsidP="00DA2D64">
      <w:pPr>
        <w:pStyle w:val="Text"/>
        <w:rPr>
          <w:sz w:val="22"/>
        </w:rPr>
      </w:pPr>
      <w:r>
        <w:rPr>
          <w:sz w:val="22"/>
        </w:rPr>
        <w:t xml:space="preserve">Broj 2 sadržava izmjene članka 1. Nacrta zakona kojim se predviđaju izmjene Građanskog zakonika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U pogledu (a)</w:t>
      </w:r>
    </w:p>
    <w:p w14:paraId="3BCE5677" w14:textId="7A163C5E" w:rsidR="000F009A" w:rsidRPr="00DA2D64" w:rsidRDefault="000F009A" w:rsidP="00DA2D64">
      <w:pPr>
        <w:pStyle w:val="Text"/>
        <w:rPr>
          <w:sz w:val="22"/>
        </w:rPr>
      </w:pPr>
      <w:r>
        <w:rPr>
          <w:sz w:val="22"/>
        </w:rPr>
        <w:t xml:space="preserve">Točka a. sadrži izmjene BGB-a potrebne zbog umetanja članka 312.k BGB-a u nacrtu.</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U pogledu članka 1. točke 4.</w:t>
      </w:r>
    </w:p>
    <w:p w14:paraId="196525AF" w14:textId="07A1B367" w:rsidR="00910B03" w:rsidRDefault="00910B03" w:rsidP="0052608D">
      <w:pPr>
        <w:pStyle w:val="Text"/>
        <w:rPr>
          <w:sz w:val="22"/>
        </w:rPr>
      </w:pPr>
      <w:r>
        <w:rPr>
          <w:sz w:val="22"/>
        </w:rPr>
        <w:t xml:space="preserve">Riječ je o posljedičnoj izmjeni uvjetovanoj umetanjem novog članka 312.k BGB-a u nacrtu.</w:t>
      </w:r>
      <w:r>
        <w:rPr>
          <w:sz w:val="22"/>
        </w:rPr>
        <w:t xml:space="preserve"> </w:t>
      </w:r>
      <w:r>
        <w:rPr>
          <w:sz w:val="22"/>
        </w:rPr>
        <w:t xml:space="preserve">Očekuje se da će se članak 312.k njemačkoga Građanskog zakonika uvesti s ranijim datumom stupanja na snagu nacrtom zakona o izmjeni Građanskog zakonika i Uvodnog zakona Građanskog zakonika u provedbi Direktive EU-a za bolje izvršavanje i modernizaciju pravila Unije o zaštiti potrošača i stavljanju izvan snage Pravilnika o prijenosu odgovornosti za provedbu Uredbe (EZ) br. 2006/2004 na Savezno ministarstvo pravosuđa i zaštite potrošača (Pisano izdanje lista Saveznog vijeća 61/21, dalje u tekstu:</w:t>
      </w:r>
      <w:r>
        <w:rPr>
          <w:sz w:val="22"/>
        </w:rPr>
        <w:t xml:space="preserve"> </w:t>
      </w:r>
      <w:r>
        <w:rPr>
          <w:sz w:val="22"/>
        </w:rPr>
        <w:t xml:space="preserve">Nacrt zakona o provedbi Direktive o modernizaciji).</w:t>
      </w:r>
    </w:p>
    <w:p w14:paraId="58637A12" w14:textId="3F86D1C5" w:rsidR="00910B03" w:rsidRDefault="00910B03" w:rsidP="00910B03">
      <w:pPr>
        <w:pStyle w:val="Text"/>
        <w:rPr>
          <w:b/>
          <w:sz w:val="22"/>
          <w:rFonts w:ascii="Arial" w:hAnsi="Arial" w:cs="Arial"/>
        </w:rPr>
      </w:pPr>
      <w:r>
        <w:rPr>
          <w:b/>
          <w:sz w:val="22"/>
          <w:rFonts w:ascii="Arial" w:hAnsi="Arial"/>
        </w:rPr>
        <w:t xml:space="preserve">U pogledu članka 1. točke 5.</w:t>
      </w:r>
    </w:p>
    <w:p w14:paraId="29FC6254" w14:textId="01CF6BCB" w:rsidR="000F009A" w:rsidRDefault="000F009A" w:rsidP="00FF6FE5">
      <w:pPr>
        <w:pStyle w:val="Text"/>
        <w:rPr>
          <w:sz w:val="22"/>
        </w:rPr>
      </w:pPr>
      <w:r>
        <w:rPr>
          <w:sz w:val="22"/>
        </w:rPr>
        <w:t xml:space="preserve">Člankom 1. stavkom 5. uvodi se novi članak 312.k BGB-a u njemački Građanski zakonik.</w:t>
      </w:r>
    </w:p>
    <w:p w14:paraId="7B4EFA06" w14:textId="328EC3DA" w:rsidR="00910D9D" w:rsidRDefault="00F24FDD" w:rsidP="00FF6FE5">
      <w:pPr>
        <w:pStyle w:val="Text"/>
        <w:rPr>
          <w:sz w:val="22"/>
        </w:rPr>
      </w:pPr>
      <w:r>
        <w:rPr>
          <w:sz w:val="22"/>
        </w:rPr>
        <w:t xml:space="preserve">Raskid ugovora sklopljenih u elektroničkoj trgovini često predstavlja posebne izazove za potrošače.</w:t>
      </w:r>
      <w:r>
        <w:rPr>
          <w:sz w:val="22"/>
        </w:rPr>
        <w:t xml:space="preserve"> </w:t>
      </w:r>
      <w:r>
        <w:rPr>
          <w:sz w:val="22"/>
        </w:rPr>
        <w:t xml:space="preserve">U usporedbi s jednostavnim sklapanjem predmetnog ugovora, njegov raskid djelomično nije moguć izravno putem internetske stranice ili je često kompliciran zbog dizajna internetske stranice.</w:t>
      </w:r>
    </w:p>
    <w:p w14:paraId="1FDAB131" w14:textId="77777777" w:rsidR="00910D9D" w:rsidRDefault="00993AD2" w:rsidP="00FF6FE5">
      <w:pPr>
        <w:pStyle w:val="Text"/>
        <w:rPr>
          <w:sz w:val="22"/>
        </w:rPr>
      </w:pPr>
      <w:r>
        <w:rPr>
          <w:sz w:val="22"/>
        </w:rPr>
        <w:t xml:space="preserve">Obveze trgovačkog društva predložene u članku 312.k BGB-a u nacrtu imaju za cilj omogućiti potrošačima da podnesu izjave o raskidu u elektroničkoj trgovini na usporediv jednostavan način, uzimajući u obzir posebnosti izjava o raskidu, usporedivo s izjavama o sklapanju odgovarajućih ugovora.</w:t>
      </w:r>
    </w:p>
    <w:p w14:paraId="23CC65C4" w14:textId="1A6BC79E" w:rsidR="009019C7" w:rsidRDefault="00C50448" w:rsidP="00FF6FE5">
      <w:pPr>
        <w:pStyle w:val="Text"/>
        <w:rPr>
          <w:sz w:val="22"/>
        </w:rPr>
      </w:pPr>
      <w:r>
        <w:rPr>
          <w:sz w:val="22"/>
        </w:rPr>
        <w:t xml:space="preserve">Nacrtom teksta članka 312.k stavka 1. njemačkog Građanskog zakonika (BGB) utvrđuje se područje primjene odredbe.</w:t>
      </w:r>
      <w:r>
        <w:rPr>
          <w:sz w:val="22"/>
        </w:rPr>
        <w:t xml:space="preserve"> </w:t>
      </w:r>
      <w:r>
        <w:rPr>
          <w:sz w:val="22"/>
        </w:rPr>
        <w:t xml:space="preserve">Nacrtom članka 312.k stavka 2. njemačkog Građanskog zakonika (BGB) utvrđuje se obveza trgovačkog društva da zadrži gumb za raskid ugovora te se u njemu navode dodatne specifikacije za dizajn tehničkih sredstava koje će društvo staviti na raspolaganje za potrebe podnošenja obavijesti o raskidu.</w:t>
      </w:r>
      <w:r>
        <w:rPr>
          <w:sz w:val="22"/>
        </w:rPr>
        <w:t xml:space="preserve"> </w:t>
      </w:r>
      <w:r>
        <w:rPr>
          <w:sz w:val="22"/>
        </w:rPr>
        <w:t xml:space="preserve">Člankom 312.k stavkom 3. njemačkog Građanskog zakonika (BGB-a) u nacrtu uredbe uređuju se mogućnosti da potrošač može pohraniti izjavu o raskidu koju su podnijeli.</w:t>
      </w:r>
      <w:r>
        <w:rPr>
          <w:sz w:val="22"/>
        </w:rPr>
        <w:t xml:space="preserve"> </w:t>
      </w:r>
      <w:r>
        <w:rPr>
          <w:sz w:val="22"/>
        </w:rPr>
        <w:t xml:space="preserve">Člankom 312.k stavkom 4. njemačkog Građanskog zakonika (BGB) u nacrtu teksta predviđa se obveza društva da potvrdi primitak obavijesti o raskidu, kao i pretpostavka koja se odnosi na pristup obavijesti o raskidu.</w:t>
      </w:r>
      <w:r>
        <w:rPr>
          <w:sz w:val="22"/>
        </w:rPr>
        <w:t xml:space="preserve"> </w:t>
      </w:r>
      <w:r>
        <w:rPr>
          <w:sz w:val="22"/>
        </w:rPr>
        <w:t xml:space="preserve">Članak 312.k stavka 5.</w:t>
      </w:r>
      <w:r>
        <w:rPr>
          <w:sz w:val="22"/>
          <w:b/>
        </w:rPr>
        <w:t xml:space="preserve"> </w:t>
      </w:r>
      <w:r>
        <w:rPr>
          <w:sz w:val="22"/>
        </w:rPr>
        <w:t xml:space="preserve">BGB-a u nacrtu sadrži odredbu o dvojbi u pogledu datuma raskida.</w:t>
      </w:r>
      <w:r>
        <w:rPr>
          <w:sz w:val="22"/>
        </w:rPr>
        <w:t xml:space="preserve"> </w:t>
      </w:r>
      <w:r>
        <w:rPr>
          <w:sz w:val="22"/>
        </w:rPr>
        <w:t xml:space="preserve">U nacrtu članka 312.k stavka 6. navodi se da ako trgovačko društvo ne ispunjava obveze utvrđene u nacrtu članka 312.k stavaka 1. i 2. BGB-a, ugovor se može raskinuti u bilo kojem trenutku i bez poštovanja otkaznog roka.</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U pogledu članka 312.k stavka 1. BGB-E-a:</w:t>
      </w:r>
    </w:p>
    <w:p w14:paraId="17EDBBF1" w14:textId="7D78ECB9" w:rsidR="007E1EA0" w:rsidRPr="00FF6FE5" w:rsidRDefault="007E1EA0" w:rsidP="00FF6FE5">
      <w:pPr>
        <w:pStyle w:val="Text"/>
        <w:rPr>
          <w:sz w:val="22"/>
        </w:rPr>
      </w:pPr>
      <w:r>
        <w:rPr>
          <w:sz w:val="22"/>
        </w:rPr>
        <w:t xml:space="preserve">Članak 312.k stavak 1. BGB-a u nacrtu sadržava zahtjeve u pogledu obveza društva na temelju nacrta članka 312.k BGB-a kao i niz iznimaka.</w:t>
      </w:r>
    </w:p>
    <w:p w14:paraId="79AB8D0A" w14:textId="6D12DF24" w:rsidR="005E1C0F" w:rsidRDefault="00297295" w:rsidP="005E1C0F">
      <w:pPr>
        <w:pStyle w:val="Text"/>
        <w:rPr>
          <w:sz w:val="22"/>
        </w:rPr>
      </w:pPr>
      <w:r>
        <w:rPr>
          <w:sz w:val="22"/>
        </w:rPr>
        <w:t xml:space="preserve">Obveza na temelju nacrta članka 312.k stavka 1. njemačkog Građanskog zakonika (BGB) primjenjuje se na to društvo kad god se potrošačima omogući sklapanje ugovora kako se definira u nacrtu članka 312.k stavka 1. rečenice 1. njemačkog Građanskog zakonika (BGB).</w:t>
      </w:r>
    </w:p>
    <w:p w14:paraId="14C929D8" w14:textId="579E8842" w:rsidR="005E1C0F" w:rsidRDefault="005E1C0F" w:rsidP="005E1C0F">
      <w:pPr>
        <w:pStyle w:val="Text"/>
        <w:rPr>
          <w:sz w:val="22"/>
        </w:rPr>
      </w:pPr>
      <w:r>
        <w:rPr>
          <w:sz w:val="22"/>
        </w:rPr>
        <w:t xml:space="preserve">U nacrtu članka 312. stavka 1. rečenice 1. BGB-a upotrebljava se izraz „ugovor u elektroničkoj trgovini”, koji je pravno definiran u članku 312.i stavku 1. rečenici 1. njemačkog Građanskog zakonika.</w:t>
      </w:r>
    </w:p>
    <w:p w14:paraId="2230FA64" w14:textId="64CB3F4D" w:rsidR="004025EB" w:rsidRDefault="005E1C0F" w:rsidP="005E1C0F">
      <w:pPr>
        <w:pStyle w:val="Text"/>
        <w:rPr>
          <w:sz w:val="22"/>
        </w:rPr>
      </w:pPr>
      <w:r>
        <w:rPr>
          <w:sz w:val="22"/>
        </w:rPr>
        <w:t xml:space="preserve">Sklapanje tih ugovora mora biti omogućeno u nacrtu putem „internetske stranice” u skladu s člankom 312.k stavkom 1. rečenicom 1. BGB-a.</w:t>
      </w:r>
      <w:r>
        <w:rPr>
          <w:sz w:val="22"/>
        </w:rPr>
        <w:t xml:space="preserve"> </w:t>
      </w:r>
      <w:r>
        <w:rPr>
          <w:sz w:val="22"/>
        </w:rPr>
        <w:t xml:space="preserve">Za tumačenje pojma „internetska stranica”, sudska praksa o istom izrazu može se upotrebljavati u članku 312.j stavku 1. njemačkog Građanskog zakonika.</w:t>
      </w:r>
    </w:p>
    <w:p w14:paraId="6AA292BC" w14:textId="470333E1" w:rsidR="005E1C0F" w:rsidRDefault="005E1C0F" w:rsidP="005E1C0F">
      <w:pPr>
        <w:pStyle w:val="Text"/>
        <w:rPr>
          <w:sz w:val="22"/>
        </w:rPr>
      </w:pPr>
      <w:r>
        <w:rPr>
          <w:sz w:val="22"/>
        </w:rPr>
        <w:t xml:space="preserve">Kako bi se opravdala obveza društva u skladu s nacrtom članka, 312.k BGB-a, nema razlike sklapa li ugovor putem internetske stranice sâmo društvo ili se, primjerice, u slučaju posredničkih platformi, sklapa putem internetske stranice kojom upravlja treća strana.</w:t>
      </w:r>
      <w:r>
        <w:rPr>
          <w:sz w:val="22"/>
        </w:rPr>
        <w:t xml:space="preserve"> </w:t>
      </w:r>
      <w:r>
        <w:rPr>
          <w:sz w:val="22"/>
        </w:rPr>
        <w:t xml:space="preserve">U oba slučaja društvo mora osigurati da potrošač može podnijeti raskid u skladu sa zahtjevima nacrta članka 312.k BGB-a.</w:t>
      </w:r>
      <w:r>
        <w:rPr>
          <w:sz w:val="22"/>
        </w:rPr>
        <w:t xml:space="preserve"> </w:t>
      </w:r>
      <w:r>
        <w:rPr>
          <w:sz w:val="22"/>
        </w:rPr>
        <w:t xml:space="preserve">Ako je sklapanje ugovora na internetskoj stranici kojom ne upravlja samo društvo moguće, društvo tada mora ugovorno obvezati treću stranu kao upravitelja internetske stranice treće strane.</w:t>
      </w:r>
    </w:p>
    <w:p w14:paraId="16B2E46F" w14:textId="04A80DFB" w:rsidR="005E1C0F" w:rsidRDefault="005E1C0F" w:rsidP="005E1C0F">
      <w:pPr>
        <w:pStyle w:val="Text"/>
        <w:rPr>
          <w:sz w:val="22"/>
        </w:rPr>
      </w:pPr>
      <w:r>
        <w:rPr>
          <w:sz w:val="22"/>
        </w:rPr>
        <w:t xml:space="preserve">Obveza društva u skladu s nacrtom članka 312.k stavka 1. rečenice 1. BGB-a ograničena na ugovore između društava i potrošača kako bi se uspostavili trajni dužnički odnosi, čime se društvo obvezuje na izvršenje naknade.</w:t>
      </w:r>
      <w:r>
        <w:rPr>
          <w:sz w:val="22"/>
        </w:rPr>
        <w:t xml:space="preserve"> </w:t>
      </w:r>
      <w:r>
        <w:rPr>
          <w:sz w:val="22"/>
        </w:rPr>
        <w:t xml:space="preserve">Ograničenje trajnog duga omogućeno je sa stajališta zaštite potrošača jer imaju posebnu potrebu za olakšavanjem mogućnosti raskida.</w:t>
      </w:r>
      <w:r>
        <w:rPr>
          <w:sz w:val="22"/>
        </w:rPr>
        <w:t xml:space="preserve"> </w:t>
      </w:r>
      <w:r>
        <w:rPr>
          <w:sz w:val="22"/>
        </w:rPr>
        <w:t xml:space="preserve">Dugoročni dužnički odnosi često se mogu pokazati kao „troškovne zamke” zbog dugoročne obveze prema potrošačima.</w:t>
      </w:r>
      <w:r>
        <w:rPr>
          <w:sz w:val="22"/>
        </w:rPr>
        <w:t xml:space="preserve"> </w:t>
      </w:r>
      <w:r>
        <w:rPr>
          <w:sz w:val="22"/>
        </w:rPr>
        <w:t xml:space="preserve">S druge strane, raskid drugih obveza kao trajnih dugova u određenim slučajevima može imati pravne posljedice za potrošača za koji se, sa stajališta potrošača, čine neočekivanima (npr. trajna obveza plaćanja kupcu u slučaju prava na raskid ugovora u skladu s člankom 648. BGB-a).</w:t>
      </w:r>
      <w:r>
        <w:rPr>
          <w:sz w:val="22"/>
        </w:rPr>
        <w:t xml:space="preserve"> </w:t>
      </w:r>
      <w:r>
        <w:rPr>
          <w:sz w:val="22"/>
        </w:rPr>
        <w:t xml:space="preserve">Konkretno, tim bi se pravnim posljedicama znatno otežalo standardizirano ispunjavanje obveze društva da dostavi informacije u skladu s nacrtom članka 312.k, stavka 2. rečenice 3. točke 2. njemačkog Građanskog zakonika .</w:t>
      </w:r>
      <w:r>
        <w:rPr>
          <w:sz w:val="22"/>
        </w:rPr>
        <w:t xml:space="preserve"> </w:t>
      </w:r>
      <w:r>
        <w:rPr>
          <w:sz w:val="22"/>
        </w:rPr>
        <w:t xml:space="preserve">Stoga ugovori koji se ne odnose na stalni dug zbog specifičnih posljedica raskida u pojedinačnim slučajevima ne bi trebali biti obuhvaćeni nacrtom članka 312.k BGB-a.</w:t>
      </w:r>
    </w:p>
    <w:p w14:paraId="7CBE89AF" w14:textId="39C4CA64" w:rsidR="00021CCF" w:rsidRDefault="00AA0FD6" w:rsidP="00FF6FE5">
      <w:pPr>
        <w:pStyle w:val="Text"/>
        <w:rPr>
          <w:sz w:val="22"/>
        </w:rPr>
      </w:pPr>
      <w:r>
        <w:rPr>
          <w:sz w:val="22"/>
        </w:rPr>
        <w:t xml:space="preserve">U skladu s nacrtom članka 312.k stavka 1. rečenice 2. točke 1. njemačkog Građanskog zakonika (BGB), nacrt članka 312.k BGB-a nije primjenjiv ako se raskid predmetnog ugovora na temelju formalnih zahtjeva podnosi isključivo u strožem obliku koji nije u obliku teksta.</w:t>
      </w:r>
      <w:r>
        <w:rPr>
          <w:sz w:val="22"/>
        </w:rPr>
        <w:t xml:space="preserve"> </w:t>
      </w:r>
      <w:r>
        <w:rPr>
          <w:sz w:val="22"/>
        </w:rPr>
        <w:t xml:space="preserve">To stoga uključuje i formalni zahtjev– u usporedbi s tekstom koji je stroži – za elektronički oblik u skladu s člankom 126.a njemačkog Građanskog zakonika ili u pisanom obliku.</w:t>
      </w:r>
      <w:r>
        <w:rPr>
          <w:sz w:val="22"/>
        </w:rPr>
        <w:t xml:space="preserve"> </w:t>
      </w:r>
      <w:r>
        <w:rPr>
          <w:sz w:val="22"/>
        </w:rPr>
        <w:t xml:space="preserve">Iz toga se također isključuju izjave o raskidu koje treba izdati u obliku javnobilježničke ovjerene isprave.</w:t>
      </w:r>
    </w:p>
    <w:p w14:paraId="5AC9F0DA" w14:textId="10D6BCB1" w:rsidR="00FF6FE5" w:rsidRDefault="00FF6FE5" w:rsidP="00FF6FE5">
      <w:pPr>
        <w:pStyle w:val="Text"/>
        <w:rPr>
          <w:sz w:val="22"/>
        </w:rPr>
      </w:pPr>
      <w:r>
        <w:rPr>
          <w:sz w:val="22"/>
        </w:rPr>
        <w:t xml:space="preserve">Člankom 312.k BGB-a u nacrtu teksta nastoje se proširiti potrošačeve mogućnosti za raskid, ali ne ograničiti ili isključiti podnošenje obavijesti o raskidu na drugi način.</w:t>
      </w:r>
      <w:r>
        <w:rPr>
          <w:sz w:val="22"/>
        </w:rPr>
        <w:t xml:space="preserve"> </w:t>
      </w:r>
      <w:r>
        <w:rPr>
          <w:sz w:val="22"/>
        </w:rPr>
        <w:t xml:space="preserve">Konkretno, sporazum u obliku unaprijed formuliranih ugovornih uvjeta ostaje nedjelotvoran u skladu s člankom 309. točkom 13. podtočkom (c) njemačkog Građanskog zakonika (BGB-a) samo pomoću gumba koji se stavlja na raspolaganje u skladu s člankom 312.k BGB-a.</w:t>
      </w:r>
    </w:p>
    <w:p w14:paraId="31DAAE9B" w14:textId="75A60568" w:rsidR="00D663F5" w:rsidRDefault="0020302D" w:rsidP="00FF6FE5">
      <w:pPr>
        <w:pStyle w:val="Text"/>
        <w:rPr>
          <w:sz w:val="22"/>
        </w:rPr>
      </w:pPr>
      <w:r>
        <w:rPr>
          <w:sz w:val="22"/>
        </w:rPr>
        <w:t xml:space="preserve">Nacrtom članka 312.k stavka 1. rečenice 2. točke 2. BGB-a u predviđa se da su društva izuzeta od obveza iz nacrta članka 312.k BGB-a ako se internetske stranice odnose na financijske usluge ili su predmetni ugovori ugovori o financijskim uslugama.</w:t>
      </w:r>
      <w:r>
        <w:rPr>
          <w:sz w:val="22"/>
        </w:rPr>
        <w:t xml:space="preserve"> </w:t>
      </w:r>
      <w:r>
        <w:rPr>
          <w:sz w:val="22"/>
        </w:rPr>
        <w:t xml:space="preserve">Model ove odredbe je članak 312.j stavak 5. rečenica 2. BGB-a; pojam „financijske usluge” pravno se definira u članku 312. stavku 5. rečenici 1. BGB-a.</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U pogledu članka 312.k stavka 2. BGB-E-a:</w:t>
      </w:r>
    </w:p>
    <w:p w14:paraId="2DD32C42" w14:textId="0A95DE40" w:rsidR="006F0DAE" w:rsidRDefault="006F0DAE" w:rsidP="006F0DAE">
      <w:pPr>
        <w:pStyle w:val="Text"/>
        <w:rPr>
          <w:sz w:val="22"/>
        </w:rPr>
      </w:pPr>
      <w:r>
        <w:rPr>
          <w:sz w:val="22"/>
        </w:rPr>
        <w:t xml:space="preserve">U nacrtu članka 312.k stavka 2. a njemačkog Građanskog zakonika (BGB) utvrđuje se obveza društva i predviđa postupak u dva koraka za podnošenje obavijesti o raskidu.</w:t>
      </w:r>
    </w:p>
    <w:p w14:paraId="180E6231" w14:textId="20BA4C93" w:rsidR="006257ED" w:rsidRDefault="006257ED" w:rsidP="006257ED">
      <w:pPr>
        <w:pStyle w:val="Text"/>
        <w:rPr>
          <w:sz w:val="22"/>
        </w:rPr>
      </w:pPr>
      <w:r>
        <w:rPr>
          <w:sz w:val="22"/>
        </w:rPr>
        <w:t xml:space="preserve">Nacrtom članka 312.k stavka 2. rečenice 1. njemačkog Građanskog zakonika (BGB) obveza društva u nacrtu ograničena je na redovan i izvanredni raskid ugovora u skladu s člankom 312.k BGB-a.</w:t>
      </w:r>
      <w:r>
        <w:rPr>
          <w:sz w:val="22"/>
        </w:rPr>
        <w:t xml:space="preserve"> </w:t>
      </w:r>
      <w:r>
        <w:rPr>
          <w:sz w:val="22"/>
        </w:rPr>
        <w:t xml:space="preserve">Obavijesti o jamstvima i ostala prava na raskid stalnih dužničkih odnosa (uključujući povlačenje i raskid ugovora zbog nemogućnosti isporuke, greške ili negativne preinake digitalnih proizvoda u skladu s nacrtom zakona kojim se prenosi direktiva o određenim ugovornim aspektima isporuke digitalnog sadržaja i digitalnih usluga – tiskano izdanje lista Saveznog vijeća 60/21) nisu obuhvaćene ovom Uredbom.</w:t>
      </w:r>
    </w:p>
    <w:p w14:paraId="7AD9A1FA" w14:textId="77777777" w:rsidR="006257ED" w:rsidRDefault="006257ED" w:rsidP="006257ED">
      <w:pPr>
        <w:pStyle w:val="Text"/>
        <w:rPr>
          <w:sz w:val="22"/>
        </w:rPr>
      </w:pPr>
      <w:r>
        <w:rPr>
          <w:sz w:val="22"/>
        </w:rPr>
        <w:t xml:space="preserve">Raskidi ugovora kojima se uspostavljaju zakonska prava nisu obuhvaćeni područjem primjene jer nisu uključeni u područje elektroničke trgovine.</w:t>
      </w:r>
      <w:r>
        <w:rPr>
          <w:sz w:val="22"/>
        </w:rPr>
        <w:t xml:space="preserve"> </w:t>
      </w:r>
      <w:r>
        <w:rPr>
          <w:sz w:val="22"/>
        </w:rPr>
        <w:t xml:space="preserve">Iako se hipoteke ili usluge mogu formalno raskinuti, one ne predstavljaju ugovore o elektroničkoj trgovini između trgovačkih društava i potrošača.</w:t>
      </w:r>
    </w:p>
    <w:p w14:paraId="0A27EC29" w14:textId="7090A24C" w:rsidR="006257ED" w:rsidRDefault="006257ED" w:rsidP="006257ED">
      <w:pPr>
        <w:pStyle w:val="Text"/>
        <w:rPr>
          <w:sz w:val="22"/>
        </w:rPr>
      </w:pPr>
      <w:r>
        <w:rPr>
          <w:sz w:val="22"/>
        </w:rPr>
        <w:t xml:space="preserve">Kako bi se opravdala obveza društva, ona ne ovisi o tome je li ugovor koji treba objaviti također sklopljen u elektroničkoj trgovini.</w:t>
      </w:r>
      <w:r>
        <w:rPr>
          <w:sz w:val="22"/>
        </w:rPr>
        <w:t xml:space="preserve"> </w:t>
      </w:r>
      <w:r>
        <w:rPr>
          <w:sz w:val="22"/>
        </w:rPr>
        <w:t xml:space="preserve">Naprotiv, ključno je omogućuje li društvo sklapanje elektroničke trgovine u trenutku raskida ugovora.</w:t>
      </w:r>
    </w:p>
    <w:p w14:paraId="327BEF9A" w14:textId="482C4A2C" w:rsidR="006257ED" w:rsidRDefault="006257ED" w:rsidP="006F0DAE">
      <w:pPr>
        <w:pStyle w:val="Text"/>
        <w:rPr>
          <w:sz w:val="22"/>
        </w:rPr>
      </w:pPr>
      <w:r>
        <w:rPr>
          <w:sz w:val="22"/>
        </w:rPr>
        <w:t xml:space="preserve">Obveza društva ne ovisi o tome u kojoj mjeri potrošač ima pravo na raskid ugovora u pojedinačnim slučajevima.</w:t>
      </w:r>
      <w:r>
        <w:rPr>
          <w:sz w:val="22"/>
        </w:rPr>
        <w:t xml:space="preserve"> </w:t>
      </w:r>
      <w:r>
        <w:rPr>
          <w:sz w:val="22"/>
        </w:rPr>
        <w:t xml:space="preserve">Gumb je namijenjen samo kako bi se stvorila dodatna mogućnost za potrošača da raskine ugovor.</w:t>
      </w:r>
      <w:r>
        <w:rPr>
          <w:sz w:val="22"/>
        </w:rPr>
        <w:t xml:space="preserve"> </w:t>
      </w:r>
      <w:r>
        <w:rPr>
          <w:sz w:val="22"/>
        </w:rPr>
        <w:t xml:space="preserve">Materijalno odobrenje potrošača za raskid nije uvjet za uporabu gumba u skladu s člankom 312.k BGB-a u nacrtu.</w:t>
      </w:r>
    </w:p>
    <w:p w14:paraId="1955AD28" w14:textId="3F43B095" w:rsidR="006F0DAE" w:rsidRDefault="006F0DAE" w:rsidP="006F0DAE">
      <w:pPr>
        <w:pStyle w:val="Text"/>
        <w:rPr>
          <w:sz w:val="22"/>
        </w:rPr>
      </w:pPr>
      <w:r>
        <w:rPr>
          <w:sz w:val="22"/>
        </w:rPr>
        <w:t xml:space="preserve">U skladu s nacrtom članka 312.k stavka 2. rečenice 2. njemačkog Građanskog zakonika (BGB), društvo najprije mora ponuditi gumb označen riječima „raskini ugovore ovdje”, koji vodi potrošača do druge stranice pod nazivom „stranica za potvrdu”.</w:t>
      </w:r>
      <w:r>
        <w:rPr>
          <w:sz w:val="22"/>
        </w:rPr>
        <w:t xml:space="preserve"> </w:t>
      </w:r>
      <w:r>
        <w:rPr>
          <w:sz w:val="22"/>
        </w:rPr>
        <w:t xml:space="preserve">Oznake koje nisu „otkazi ugovora” dopuštene su samo ako su jednako jasne.</w:t>
      </w:r>
      <w:r>
        <w:rPr>
          <w:sz w:val="22"/>
        </w:rPr>
        <w:t xml:space="preserve"> </w:t>
      </w:r>
      <w:r>
        <w:rPr>
          <w:sz w:val="22"/>
        </w:rPr>
        <w:t xml:space="preserve">Treba napomenuti da, ako je potrebno, iz druge oznake treba biti jasno da gumb za raskid još nije prijavljen nego je tek pokrenut postupak raskida.</w:t>
      </w:r>
      <w:r>
        <w:rPr>
          <w:sz w:val="22"/>
        </w:rPr>
        <w:t xml:space="preserve"> </w:t>
      </w:r>
      <w:r>
        <w:rPr>
          <w:sz w:val="22"/>
        </w:rPr>
        <w:t xml:space="preserve">U svakom slučaju, svrha je teksta da se potrošačima pojasni da, pritiskom gumba mogu dostaviti dodatne informacije prije podnošenja izjave o raskidu.</w:t>
      </w:r>
    </w:p>
    <w:p w14:paraId="33C9D851" w14:textId="2B1CF4CC" w:rsidR="00035D26" w:rsidRDefault="00AF7B14" w:rsidP="006F0DAE">
      <w:pPr>
        <w:pStyle w:val="Text"/>
        <w:rPr>
          <w:sz w:val="22"/>
        </w:rPr>
      </w:pPr>
      <w:r>
        <w:rPr>
          <w:sz w:val="22"/>
        </w:rPr>
        <w:t xml:space="preserve">Da bi se ugovor raskinuo obaviješću o raskidu ugovora, mora biti osmišljen na takav način da primatelj može prepoznati tko prijavljuje raskida ugovor i koji se ugovor raskida.</w:t>
      </w:r>
      <w:r>
        <w:rPr>
          <w:sz w:val="22"/>
        </w:rPr>
        <w:t xml:space="preserve"> </w:t>
      </w:r>
      <w:r>
        <w:rPr>
          <w:sz w:val="22"/>
        </w:rPr>
        <w:t xml:space="preserve">Stranica za potvrdu stoga mora zatražiti od potrošača da unese potrebne podatke u nacrt inačice u skladu s člankom 312.k stavkom 2. rečenicom 3. točkom 1. podtočkama od (a) do (e) BGB-a i omogućiti mu da to učini.</w:t>
      </w:r>
      <w:r>
        <w:rPr>
          <w:sz w:val="22"/>
        </w:rPr>
        <w:t xml:space="preserve"> </w:t>
      </w:r>
      <w:r>
        <w:rPr>
          <w:sz w:val="22"/>
        </w:rPr>
        <w:t xml:space="preserve">U tu svrhu potrošač bi najprije trebao biti u mogućnosti navesti prirodu raskida i, u slučaju izvanrednog raskida, temeljni razlog raskida (točka a).</w:t>
      </w:r>
      <w:r>
        <w:rPr>
          <w:sz w:val="22"/>
        </w:rPr>
        <w:t xml:space="preserve"> </w:t>
      </w:r>
      <w:r>
        <w:rPr>
          <w:sz w:val="22"/>
        </w:rPr>
        <w:t xml:space="preserve">Nadalje, potrošač mora biti u mogućnosti pružiti informacije potrebne za njegovo/njezino prepoznavanje (točka b) i za nedvosmislen opis ugovora (točka c).</w:t>
      </w:r>
      <w:r>
        <w:rPr>
          <w:sz w:val="22"/>
        </w:rPr>
        <w:t xml:space="preserve"> </w:t>
      </w:r>
      <w:r>
        <w:rPr>
          <w:sz w:val="22"/>
        </w:rPr>
        <w:t xml:space="preserve">U pravilu je možda potrebno navesti ime i adresu za utvrđivanje identiteta.</w:t>
      </w:r>
      <w:r>
        <w:rPr>
          <w:sz w:val="22"/>
        </w:rPr>
        <w:t xml:space="preserve"> </w:t>
      </w:r>
      <w:r>
        <w:rPr>
          <w:sz w:val="22"/>
        </w:rPr>
        <w:t xml:space="preserve">Za određivanje ugovora društvo može tražiti klijente, narudžbe ili brojeve ugovora.</w:t>
      </w:r>
      <w:r>
        <w:rPr>
          <w:sz w:val="22"/>
        </w:rPr>
        <w:t xml:space="preserve"> </w:t>
      </w:r>
      <w:r>
        <w:rPr>
          <w:sz w:val="22"/>
        </w:rPr>
        <w:t xml:space="preserve">U skladu s točkom (d), potrošaču bi trebalo dopustiti i da navede datum stupanja na snagu raskida.</w:t>
      </w:r>
      <w:r>
        <w:rPr>
          <w:sz w:val="22"/>
        </w:rPr>
        <w:t xml:space="preserve"> </w:t>
      </w:r>
      <w:r>
        <w:rPr>
          <w:sz w:val="22"/>
        </w:rPr>
        <w:t xml:space="preserve">Međutim, to se ne može zahtijevati kao obveza bez koje se raskid ne može objasniti na internetskoj stranici.</w:t>
      </w:r>
      <w:r>
        <w:rPr>
          <w:sz w:val="22"/>
        </w:rPr>
        <w:t xml:space="preserve"> </w:t>
      </w:r>
      <w:r>
        <w:rPr>
          <w:sz w:val="22"/>
        </w:rPr>
        <w:t xml:space="preserve">To već proizlazi iz nacrta članka 312.k stavka 5. njemačkog Građanskog zakonika (BGB-a), prema kojem obavijest o raskidu stupa na snagu u najkraćem mogućem roku kada nije naveden datum raskida.</w:t>
      </w:r>
      <w:r>
        <w:rPr>
          <w:sz w:val="22"/>
        </w:rPr>
        <w:t xml:space="preserve"> </w:t>
      </w:r>
      <w:r>
        <w:rPr>
          <w:sz w:val="22"/>
        </w:rPr>
        <w:t xml:space="preserve">U tom pogledu treba omogućiti naznaku „što je prije moguće”, ili sličan tekst kojim se izražava odgovarajuća želja za raskid u najkraćem mogućem vremenu, uz mogućnost unošenja određenog datuma.</w:t>
      </w:r>
      <w:r>
        <w:rPr>
          <w:sz w:val="22"/>
        </w:rPr>
        <w:t xml:space="preserve"> </w:t>
      </w:r>
      <w:r>
        <w:rPr>
          <w:sz w:val="22"/>
        </w:rPr>
        <w:t xml:space="preserve">Osim toga, u skladu s točkom (e), potrošač mora biti u mogućnosti društvu pružiti informacije koje potonjem omogućuju da pošalje potvrdu o raskidu ugovora u skladu s člankom 312.k stavkom 4. rečenicom 1. njemačkog Građanskog zakonika, u nacrtu inačice potrošaču (obično adresu elektroničke pošte).</w:t>
      </w:r>
    </w:p>
    <w:p w14:paraId="6FC5D772" w14:textId="10CA55D4" w:rsidR="00AF7B14" w:rsidRDefault="00BF30DD" w:rsidP="006F0DAE">
      <w:pPr>
        <w:pStyle w:val="Text"/>
        <w:rPr>
          <w:sz w:val="22"/>
        </w:rPr>
      </w:pPr>
      <w:r>
        <w:rPr>
          <w:sz w:val="22"/>
        </w:rPr>
        <w:t xml:space="preserve">Nacrtom članka 312.k stavka 2. rečenice 3. točke 1. njemačkog Građanskog zakonika (BGB), jamči se da potrošač može dovoljno točno navesti podatke koji se odnose na njegovu izjavu o raskidu ugovora, osobito u pogledu ugovora koji se treba raskinuti.</w:t>
      </w:r>
      <w:r>
        <w:rPr>
          <w:sz w:val="22"/>
        </w:rPr>
        <w:t xml:space="preserve"> </w:t>
      </w:r>
      <w:r>
        <w:rPr>
          <w:sz w:val="22"/>
        </w:rPr>
        <w:t xml:space="preserve">Ograničenje traženih informacija namijenjeno je sprečavanju dizajna stranice za potvrdu, na kojoj trgovačko društvo traži dodatne podatke koji nisu lako dostupni potrošaču, a koji nisu potrebni za neupitni zadatak, zbog čega se otežava jednostavan i nekompliciran raskid ugovora.</w:t>
      </w:r>
      <w:r>
        <w:rPr>
          <w:sz w:val="22"/>
        </w:rPr>
        <w:t xml:space="preserve"> </w:t>
      </w:r>
      <w:r>
        <w:rPr>
          <w:sz w:val="22"/>
        </w:rPr>
        <w:t xml:space="preserve">U isto bi vrijeme savjetovanje trebalo biti u skladu s načelom smanjenja količine podataka, kako je utvrđeno u članku 5. stavku 1. točki (c) Uredbe (EU) 2016/679 Europskog parlamenta i Vijeća od 27. travnja 2016. o zaštiti pojedinaca u vezi s obradom osobnih podataka i o slobodnom kretanju takvih podataka te o stavljanju izvan snage Direktive 95/46/EZ.</w:t>
      </w:r>
    </w:p>
    <w:p w14:paraId="52C9326B" w14:textId="5C0D9C17" w:rsidR="009F726F" w:rsidRPr="006F0DAE" w:rsidRDefault="00060631" w:rsidP="009F726F">
      <w:pPr>
        <w:pStyle w:val="Text"/>
        <w:rPr>
          <w:sz w:val="22"/>
        </w:rPr>
      </w:pPr>
      <w:r>
        <w:rPr>
          <w:sz w:val="22"/>
        </w:rPr>
        <w:t xml:space="preserve">U skladu s nacrtom članka 312.k stavka 2. rečenice 3. točke 2. BGB-a, gumb „gumb za potvrdu” mora se nalaziti na stranici potvrde s kojom potrošač može podnijeti izjavu o raskidu.</w:t>
      </w:r>
      <w:r>
        <w:rPr>
          <w:sz w:val="22"/>
        </w:rPr>
        <w:t xml:space="preserve"> </w:t>
      </w:r>
      <w:r>
        <w:rPr>
          <w:sz w:val="22"/>
        </w:rPr>
        <w:t xml:space="preserve">Ovaj gumb za potvrdu mora biti označen riječima „otkaži sada”.</w:t>
      </w:r>
      <w:r>
        <w:rPr>
          <w:sz w:val="22"/>
        </w:rPr>
        <w:t xml:space="preserve"> </w:t>
      </w:r>
      <w:r>
        <w:rPr>
          <w:sz w:val="22"/>
        </w:rPr>
        <w:t xml:space="preserve">Druge su oznake dopuštene samo ako su jednako nedvosmislene.</w:t>
      </w:r>
    </w:p>
    <w:p w14:paraId="2785EC0B" w14:textId="576F478D" w:rsidR="00285780" w:rsidRDefault="006F0DAE" w:rsidP="00285780">
      <w:pPr>
        <w:pStyle w:val="Text"/>
        <w:rPr>
          <w:sz w:val="22"/>
        </w:rPr>
      </w:pPr>
      <w:r>
        <w:rPr>
          <w:sz w:val="22"/>
        </w:rPr>
        <w:t xml:space="preserve">Dva gumba i stranica za potvrdu moraju biti „trajno dostupni i izravno i lako pristupačni” u nacrtu inačice u skladu s člankom 312.k stavkom 2. rečenice 4. njemačkog Građanskog zakonika.</w:t>
      </w:r>
      <w:r>
        <w:rPr>
          <w:sz w:val="22"/>
        </w:rPr>
        <w:t xml:space="preserve"> </w:t>
      </w:r>
      <w:r>
        <w:rPr>
          <w:sz w:val="22"/>
        </w:rPr>
        <w:t xml:space="preserve">Što se tiče zahtjeva „trajno dostupni”, ova se Uredba temelji na odgovarajućem zahtjevu iz članka 5. stavka 1. Zakona o telekomunikacijskim medijima.</w:t>
      </w:r>
      <w:r>
        <w:rPr>
          <w:sz w:val="22"/>
        </w:rPr>
        <w:t xml:space="preserve"> </w:t>
      </w:r>
      <w:r>
        <w:rPr>
          <w:sz w:val="22"/>
        </w:rPr>
        <w:t xml:space="preserve">Potrošači stoga moraju moći pristupiti dvama gumbima i stranici za potvrdu u bilo kojem trenutku i bez potrebe da se prethodno registriraju na internetskoj stranici u tu svrhu.</w:t>
      </w:r>
      <w:r>
        <w:rPr>
          <w:sz w:val="22"/>
        </w:rPr>
        <w:t xml:space="preserve"> </w:t>
      </w:r>
      <w:r>
        <w:rPr>
          <w:sz w:val="22"/>
        </w:rPr>
        <w:t xml:space="preserve">S druge strane, privremena tehnička nepristupačnost zbog radova održavanja bezopasna je (vidjeti presudu Višeg regionalnog suda u Düsseldorfu od 4. studenog 2008., broj predmeta:</w:t>
      </w:r>
      <w:r>
        <w:rPr>
          <w:sz w:val="22"/>
        </w:rPr>
        <w:t xml:space="preserve"> </w:t>
      </w:r>
      <w:r>
        <w:rPr>
          <w:sz w:val="22"/>
        </w:rPr>
        <w:t xml:space="preserve">I-20 U 125/08).</w:t>
      </w:r>
      <w:r>
        <w:rPr>
          <w:sz w:val="22"/>
        </w:rPr>
        <w:t xml:space="preserve"> </w:t>
      </w:r>
      <w:r>
        <w:rPr>
          <w:sz w:val="22"/>
        </w:rPr>
        <w:t xml:space="preserve">Zahtjev „izravno i lako pristupačni” temelji se na članku 246.d stavku 2. podstavku 2. Uvodnog zakona Građanskog zakonika (EGBGB-a), kako je izmijenjen nacrtom zakona kojim se provodi Direktiva o modernizaciji; tamo se upućuje na odgovarajuća objašnjenja (tiskano izdanje lista Saveznog vijeća 61/21, stranica 37.f).</w:t>
      </w:r>
    </w:p>
    <w:p w14:paraId="584AC89F" w14:textId="77777777" w:rsidR="00306B62" w:rsidRDefault="00306B62" w:rsidP="006F0DAE">
      <w:pPr>
        <w:pStyle w:val="Text"/>
        <w:rPr>
          <w:b/>
          <w:sz w:val="22"/>
          <w:rFonts w:ascii="Arial" w:hAnsi="Arial" w:cs="Arial"/>
        </w:rPr>
      </w:pPr>
      <w:r>
        <w:rPr>
          <w:b/>
          <w:sz w:val="22"/>
          <w:rFonts w:ascii="Arial" w:hAnsi="Arial"/>
        </w:rPr>
        <w:t xml:space="preserve">U pogledu članka 312.k stavka 3. BGB-E-a:</w:t>
      </w:r>
    </w:p>
    <w:p w14:paraId="0F548D72" w14:textId="7AAA2D18" w:rsidR="00D528F9" w:rsidRPr="006F0DAE" w:rsidRDefault="00D528F9" w:rsidP="006F0DAE">
      <w:pPr>
        <w:pStyle w:val="Text"/>
        <w:rPr>
          <w:sz w:val="22"/>
        </w:rPr>
      </w:pPr>
      <w:r>
        <w:rPr>
          <w:sz w:val="22"/>
        </w:rPr>
        <w:t xml:space="preserve">Nacrtom članka 312.k stavka 3. njemačkog Građanskog zakonika (BGB) nastoji se jamčiti da potrošač već može dokumentirati podnošenje obavijesti o raskidu.</w:t>
      </w:r>
      <w:r>
        <w:rPr>
          <w:sz w:val="22"/>
        </w:rPr>
        <w:t xml:space="preserve"> </w:t>
      </w:r>
      <w:r>
        <w:rPr>
          <w:sz w:val="22"/>
        </w:rPr>
        <w:t xml:space="preserve">To se može provesti, na primjer, sažetkom sadržaja izjave o raskidu koja se može preuzeti, a podnesena je pritiskom gumba za raskid, a kojom se osobito dokumentira datum i vrijeme pritiska gumba.</w:t>
      </w:r>
      <w:r>
        <w:rPr>
          <w:sz w:val="22"/>
        </w:rPr>
        <w:t xml:space="preserve"> </w:t>
      </w:r>
      <w:r>
        <w:rPr>
          <w:sz w:val="22"/>
        </w:rPr>
        <w:t xml:space="preserve">Ova dokumentacija štiti mogućnost pohranjivanja izjave potrošača kako je predviđeno člankom 126.b rečenicom 2. točkom 1. BGB-a.</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U pogledu članka 312.k stavka 4. BGB-E-a:</w:t>
      </w:r>
    </w:p>
    <w:p w14:paraId="0BB31C68" w14:textId="009FC109" w:rsidR="00956726" w:rsidRDefault="00956726" w:rsidP="00DA2D64">
      <w:pPr>
        <w:pStyle w:val="Text"/>
        <w:spacing w:before="120" w:after="120"/>
        <w:rPr>
          <w:sz w:val="22"/>
        </w:rPr>
      </w:pPr>
      <w:r>
        <w:rPr>
          <w:sz w:val="22"/>
        </w:rPr>
        <w:t xml:space="preserve">Obveza društva da potvrdi u skladu s nacrtom člankom 312.k stavkom 4. rečenicom 1. BGB-a odnosi se na pristup prijavi za raskid ugovora od strane društva.</w:t>
      </w:r>
      <w:r>
        <w:rPr>
          <w:sz w:val="22"/>
        </w:rPr>
        <w:t xml:space="preserve"> </w:t>
      </w:r>
      <w:r>
        <w:rPr>
          <w:sz w:val="22"/>
        </w:rPr>
        <w:t xml:space="preserve">Trenutačna potvrda u obliku teksta može se automatizirati u elektroničkoj trgovini.</w:t>
      </w:r>
    </w:p>
    <w:p w14:paraId="71556E49" w14:textId="6DB1B010" w:rsidR="00623468" w:rsidRPr="006F0DAE" w:rsidRDefault="00D00DD2" w:rsidP="006F0DAE">
      <w:pPr>
        <w:pStyle w:val="Text"/>
        <w:rPr>
          <w:sz w:val="22"/>
        </w:rPr>
      </w:pPr>
      <w:r>
        <w:rPr>
          <w:sz w:val="22"/>
        </w:rPr>
        <w:t xml:space="preserve">Svrha kontradiktorne pretpostavke u članku 312.k stavku 4. rečenici 2. njemačkog Građanskog zakonika (BGB) jest olakšati potrošaču koji nema uvid u tehničke postupke uključene u prijenos obavijesti o raskidu, dokaze o pristupu obavijesti o raskidu ugovora od strane društva.</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U pogledu članka 312.k stavka 5. BGB-E-a:</w:t>
      </w:r>
    </w:p>
    <w:p w14:paraId="2028DFF1" w14:textId="02BEE66D" w:rsidR="009B3F4B" w:rsidRDefault="00D528F9" w:rsidP="006F0DAE">
      <w:pPr>
        <w:pStyle w:val="Text"/>
        <w:rPr>
          <w:sz w:val="22"/>
        </w:rPr>
      </w:pPr>
      <w:r>
        <w:rPr>
          <w:sz w:val="22"/>
        </w:rPr>
        <w:t xml:space="preserve">Nacrtom članka 312.k stavka 5. njemačkoga Građanskog zakonika (BGB) nastoji se jamčiti da raskid bude učinkovit u nedostatku bilo kakvih drugih informacija od potrošača u najkraćem mogućem roku.</w:t>
      </w:r>
      <w:r>
        <w:rPr>
          <w:sz w:val="22"/>
        </w:rPr>
        <w:t xml:space="preserve"> </w:t>
      </w:r>
      <w:r>
        <w:rPr>
          <w:sz w:val="22"/>
        </w:rPr>
        <w:t xml:space="preserve">Međutim, potrošači i poduzeća mogu isto tako jamčiti da ne postoje sumnje u vezi s tim, odgovarajućim izjavama ili propitivanjem vremena raskida.</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U pogledu članka 312.k stavka 6. BGB-E-a:</w:t>
      </w:r>
    </w:p>
    <w:p w14:paraId="231F3872" w14:textId="6E37B134" w:rsidR="00481CA0" w:rsidRDefault="000C76EB" w:rsidP="006F0DAE">
      <w:pPr>
        <w:pStyle w:val="Text"/>
        <w:rPr>
          <w:sz w:val="22"/>
        </w:rPr>
      </w:pPr>
      <w:r>
        <w:rPr>
          <w:sz w:val="22"/>
        </w:rPr>
        <w:t xml:space="preserve">U stavku 6. članka 312.k nacrta teksta nalazi se standardizirana sankcija u predmetu.</w:t>
      </w:r>
      <w:r>
        <w:rPr>
          <w:sz w:val="22"/>
        </w:rPr>
        <w:t xml:space="preserve"> </w:t>
      </w:r>
      <w:r>
        <w:rPr>
          <w:sz w:val="22"/>
        </w:rPr>
        <w:t xml:space="preserve">Ako gumbi i stranica za potvrdu nisu dostupni u skladu sa stavcima 1. i 2., potrošač može raskinuti ugovor za čiji raskid gumbi i stranica za potvrdu moraju biti dostupni u svakom trenutku i bez poštovanja otkaznog roka.</w:t>
      </w:r>
      <w:r>
        <w:rPr>
          <w:sz w:val="22"/>
        </w:rPr>
        <w:t xml:space="preserve"> </w:t>
      </w:r>
      <w:r>
        <w:rPr>
          <w:sz w:val="22"/>
        </w:rPr>
        <w:t xml:space="preserve">Društva koja ne poduzmu mjere opreza navedene u članku 312.k stavcima 1. i 2. BGB-a moraju biti podložni odgovarajućem raskidu ugovornog odnosa koji potrošač podnosi protiv njih.</w:t>
      </w:r>
      <w:r>
        <w:rPr>
          <w:sz w:val="22"/>
        </w:rPr>
        <w:t xml:space="preserve"> </w:t>
      </w:r>
      <w:r>
        <w:rPr>
          <w:sz w:val="22"/>
        </w:rPr>
        <w:t xml:space="preserve">Čini se da blaži oblik sankcije nije djelotvoran na isti način.</w:t>
      </w:r>
      <w:r>
        <w:rPr>
          <w:sz w:val="22"/>
        </w:rPr>
        <w:t xml:space="preserve"> </w:t>
      </w:r>
      <w:r>
        <w:rPr>
          <w:sz w:val="22"/>
        </w:rPr>
        <w:t xml:space="preserve">Ako, u slučaju članka 312.j stavka 3. BGB-a, društvo ima poticaj da ponudi gumb opisan tamo kako bi potvrdio sklapanje ugovora, s obzirom na to da u suprotnom ugovor s potrošačem ne stupa na snagu prema članku 312.j stavku 4. BGB-a, taj poticaj ne postoji u obrnutom slučaju raskida ugovora.</w:t>
      </w:r>
      <w:r>
        <w:rPr>
          <w:sz w:val="22"/>
        </w:rPr>
        <w:t xml:space="preserve"> </w:t>
      </w:r>
      <w:r>
        <w:rPr>
          <w:sz w:val="22"/>
        </w:rPr>
        <w:t xml:space="preserve">Stoga bi društvo, koje potrošač lišava jednostavne i nekomplicirane mogućnosti raskida zakonom, trebalo biti sankcionirano mogućnošću da potrošač raskine ugovor u bilo kojem trenutku i bez poštovanja otkaznog roka.</w:t>
      </w:r>
      <w:r>
        <w:rPr>
          <w:sz w:val="22"/>
        </w:rPr>
        <w:t xml:space="preserve"> </w:t>
      </w:r>
      <w:r>
        <w:rPr>
          <w:sz w:val="22"/>
        </w:rPr>
        <w:t xml:space="preserve">Kratkoročni, tehnički prekidi zbog radova održavanja nisu štetni s obzirom na objašnjenja u obrazloženju nacrta članka 312.k. stavka 2. rečenice 4. BGB-a.</w:t>
      </w:r>
    </w:p>
    <w:p w14:paraId="544C65C8" w14:textId="7048DB19" w:rsidR="00481CA0" w:rsidRDefault="00021C4F" w:rsidP="006F0DAE">
      <w:pPr>
        <w:pStyle w:val="Text"/>
        <w:rPr>
          <w:sz w:val="22"/>
        </w:rPr>
      </w:pPr>
      <w:r>
        <w:rPr>
          <w:sz w:val="22"/>
        </w:rPr>
        <w:t xml:space="preserve">Za postojanje preduvjeta u članku 312.k stavku 6. rečenici 1. njemačkog Građanskog zakonika (BGB), potrošač je obvezan pružiti informacije i dokaze.</w:t>
      </w:r>
    </w:p>
    <w:p w14:paraId="0861A407" w14:textId="595606B6" w:rsidR="00285780" w:rsidRPr="006F0DAE" w:rsidRDefault="001C5507" w:rsidP="006F0DAE">
      <w:pPr>
        <w:pStyle w:val="Text"/>
        <w:rPr>
          <w:sz w:val="22"/>
        </w:rPr>
      </w:pPr>
      <w:r>
        <w:rPr>
          <w:sz w:val="22"/>
        </w:rPr>
        <w:t xml:space="preserve">U članku 312.k stavku 6. rečenici 2. njemačkog Građanskog zakonika (BGB) pojašnjava se da nema utjecaja na mogućnost potrošača da raskine ugovor.</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U pogledu članka 1. broja 6.</w:t>
      </w:r>
    </w:p>
    <w:p w14:paraId="031E74E7" w14:textId="1D6D2F7A" w:rsidR="00D528F9" w:rsidRDefault="00910B03" w:rsidP="00910B03">
      <w:pPr>
        <w:pStyle w:val="Text"/>
        <w:rPr>
          <w:sz w:val="22"/>
        </w:rPr>
      </w:pPr>
      <w:r>
        <w:rPr>
          <w:sz w:val="22"/>
        </w:rPr>
        <w:t xml:space="preserve">Umetanjem članka 312.k BGB-a u nacrt inačice, kao popratne izmjene, članak 312.k BGB-a postaje članak 312.l BGB-a, kako je opisano u obrazloženju uz članak 1. stavak 4., očekuje se da će se taj članak umetnuti u vrijeme stupanja na snagu predložene uredbe.</w:t>
      </w:r>
      <w:r>
        <w:rPr>
          <w:sz w:val="22"/>
        </w:rPr>
        <w:t xml:space="preserve"> </w:t>
      </w:r>
      <w:r>
        <w:rPr>
          <w:sz w:val="22"/>
        </w:rPr>
        <w:t xml:space="preserve">Članak 312.l BGB-a, za koji se očekuje da će biti umetnut u nacrt zakona o provedbi Direktive o modernizaciji, stoga postaje članak 312.m njemačkog Građanskog zakonika.</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U pogledu točke (b)</w:t>
      </w:r>
    </w:p>
    <w:p w14:paraId="6BCBE8EB" w14:textId="55DABD77" w:rsidR="000F009A" w:rsidRPr="000F009A" w:rsidRDefault="000F009A" w:rsidP="00DA2D64">
      <w:pPr>
        <w:pStyle w:val="Text"/>
        <w:spacing w:before="120" w:after="120"/>
        <w:rPr>
          <w:sz w:val="22"/>
        </w:rPr>
      </w:pPr>
      <w:r>
        <w:rPr>
          <w:sz w:val="22"/>
        </w:rPr>
        <w:t xml:space="preserve">Točka (b) sadrži naknadnu izmjenu u pogledu numeriranja članaka u nacrtu zakona.</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U pogledu broja 3.</w:t>
      </w:r>
    </w:p>
    <w:p w14:paraId="4A814002" w14:textId="6AF38C59" w:rsidR="00A7355E" w:rsidRDefault="000F009A" w:rsidP="000F009A">
      <w:pPr>
        <w:pStyle w:val="Text"/>
        <w:rPr>
          <w:sz w:val="22"/>
        </w:rPr>
      </w:pPr>
      <w:r>
        <w:rPr>
          <w:sz w:val="22"/>
        </w:rPr>
        <w:t xml:space="preserve">Brojem 3. uvodi se naknadna izmjena ETUC-a izmjenom članka 2. u nacrtu zakona.</w:t>
      </w:r>
    </w:p>
    <w:p w14:paraId="51AC3A1B" w14:textId="150ECB80" w:rsidR="009F2923" w:rsidRDefault="00A7355E" w:rsidP="002E70FE">
      <w:pPr>
        <w:pStyle w:val="Text"/>
        <w:rPr>
          <w:b/>
          <w:sz w:val="22"/>
          <w:rFonts w:ascii="Arial" w:hAnsi="Arial" w:cs="Arial"/>
        </w:rPr>
      </w:pPr>
      <w:r>
        <w:rPr>
          <w:sz w:val="22"/>
        </w:rPr>
        <w:t xml:space="preserve">Očekuje se da će se nacrtom zakona o provedbi Direktive o modernizaciji uvesti novi članak 246.e u EGBGB-a, koji u stavku 2. točki 10. nacrta teksta sadrži upućivanje na stavak 312.k BGB-a, kako se opisuje u obrazloženju uz točku 1. podtočku (a) (članak 1. točka 4.).</w:t>
      </w:r>
      <w:r>
        <w:rPr>
          <w:sz w:val="22"/>
        </w:rPr>
        <w:t xml:space="preserve"> </w:t>
      </w:r>
      <w:r>
        <w:rPr>
          <w:sz w:val="22"/>
        </w:rPr>
        <w:t xml:space="preserve">Ovaj se zahtjev mora prilagoditi.</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U pogledu broja 4.</w:t>
      </w:r>
    </w:p>
    <w:p w14:paraId="5DE9D023" w14:textId="63527F64" w:rsidR="00EE546D" w:rsidRPr="00EE546D" w:rsidRDefault="00EE546D" w:rsidP="00EE546D">
      <w:pPr>
        <w:pStyle w:val="Text"/>
        <w:rPr>
          <w:sz w:val="22"/>
        </w:rPr>
      </w:pPr>
      <w:r>
        <w:rPr>
          <w:sz w:val="22"/>
        </w:rPr>
        <w:t xml:space="preserve">Provedba zahtjeva za ispunjenje obveze u skladu s člankom 312.k BGB-a u nacrtu inačice u nekim će slučajevima značiti znatne organizacijske i vremenske napore za trgovačka društva.</w:t>
      </w:r>
      <w:r>
        <w:rPr>
          <w:sz w:val="22"/>
        </w:rPr>
        <w:t xml:space="preserve"> </w:t>
      </w:r>
      <w:r>
        <w:rPr>
          <w:sz w:val="22"/>
        </w:rPr>
        <w:t xml:space="preserve">U tom kontekstu trgovačka društva ne bi trebala biti obvezna to činiti do 1. srpnja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