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32F3" w14:textId="77777777" w:rsidR="00320DD3" w:rsidRDefault="00945D70" w:rsidP="00C846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53A555C4" w14:textId="77777777" w:rsidR="00320DD3" w:rsidRDefault="00945D7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DejaVuSansCondensed,DejaVuSansC" w:hAnsi="DejaVuSansCondensed,DejaVuSansC" w:cs="DejaVuSansCondensed,DejaVuSansC"/>
          <w:color w:val="000000"/>
          <w:sz w:val="24"/>
          <w:szCs w:val="24"/>
        </w:rPr>
      </w:pPr>
      <w:r>
        <w:rPr>
          <w:rFonts w:ascii="DejaVuSansCondensed,DejaVuSansC" w:hAnsi="DejaVuSansCondensed,DejaVuSansC"/>
          <w:color w:val="000000"/>
          <w:sz w:val="24"/>
        </w:rPr>
        <w:t xml:space="preserve"> </w:t>
      </w:r>
    </w:p>
    <w:p w14:paraId="08D8109B" w14:textId="77777777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240" w:after="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proofErr w:type="gramStart"/>
      <w:r>
        <w:rPr>
          <w:rFonts w:ascii="DejaVuSansCondensed,DejaVuSansC" w:hAnsi="DejaVuSansCondensed,DejaVuSansC"/>
          <w:b/>
          <w:sz w:val="19"/>
        </w:rPr>
        <w:t>Codice Civile</w:t>
      </w:r>
      <w:proofErr w:type="gramEnd"/>
    </w:p>
    <w:p w14:paraId="6401B9F6" w14:textId="77777777" w:rsidR="00320DD3" w:rsidRDefault="00945D70">
      <w:pPr>
        <w:widowControl w:val="0"/>
        <w:tabs>
          <w:tab w:val="left" w:pos="150"/>
        </w:tabs>
        <w:autoSpaceDE w:val="0"/>
        <w:autoSpaceDN w:val="0"/>
        <w:adjustRightInd w:val="0"/>
        <w:spacing w:after="0" w:line="240" w:lineRule="auto"/>
        <w:ind w:left="150"/>
        <w:jc w:val="center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> </w:t>
      </w:r>
    </w:p>
    <w:p w14:paraId="3148004A" w14:textId="25D74E4A" w:rsidR="00320DD3" w:rsidRDefault="00945D70">
      <w:pPr>
        <w:widowControl w:val="0"/>
        <w:tabs>
          <w:tab w:val="left" w:pos="-150"/>
        </w:tabs>
        <w:autoSpaceDE w:val="0"/>
        <w:autoSpaceDN w:val="0"/>
        <w:adjustRightInd w:val="0"/>
        <w:spacing w:before="60" w:after="240" w:line="240" w:lineRule="auto"/>
        <w:ind w:left="-150"/>
        <w:jc w:val="center"/>
        <w:rPr>
          <w:rFonts w:ascii="DejaVuSansCondensed,DejaVuSansC" w:hAnsi="DejaVuSansCondensed,DejaVuSansC" w:cs="DejaVuSansCondensed,DejaVuSansC"/>
          <w:b/>
          <w:bCs/>
          <w:sz w:val="19"/>
          <w:szCs w:val="19"/>
        </w:rPr>
      </w:pPr>
      <w:r>
        <w:rPr>
          <w:rFonts w:ascii="DejaVuSansCondensed,DejaVuSansC" w:hAnsi="DejaVuSansCondensed,DejaVuSansC"/>
          <w:b/>
          <w:sz w:val="19"/>
        </w:rPr>
        <w:t>§ 312k</w:t>
      </w:r>
      <w:r>
        <w:rPr>
          <w:rFonts w:ascii="DejaVuSansCondensed,DejaVuSansC" w:hAnsi="DejaVuSansCondensed,DejaVuSansC"/>
          <w:b/>
          <w:sz w:val="19"/>
        </w:rPr>
        <w:br/>
        <w:t>Risoluzione dei contratti di consumo nel commercio elettronico</w:t>
      </w:r>
    </w:p>
    <w:p w14:paraId="323FDC45" w14:textId="77777777" w:rsidR="00320DD3" w:rsidRPr="00DF6E23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>
        <w:rPr>
          <w:rFonts w:ascii="DejaVuSansCondensed,DejaVuSansC" w:hAnsi="DejaVuSansCondensed,DejaVuSansC"/>
          <w:sz w:val="19"/>
        </w:rPr>
        <w:t xml:space="preserve">(1) </w:t>
      </w:r>
      <w:r w:rsidRPr="00DF6E23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DF6E23">
        <w:rPr>
          <w:rFonts w:ascii="DejaVuSansCondensed,DejaVuSansC" w:hAnsi="DejaVuSansCondensed,DejaVuSansC"/>
          <w:sz w:val="19"/>
          <w:szCs w:val="19"/>
        </w:rPr>
        <w:t xml:space="preserve">Se un sito web consente ai consumatori di concludere un contratto di commercio elettronico volto a stabilire un rapporto di debito permanente e obbligare una società ad effettuare un servizio in cambio, la società deve rispettare gli obblighi previsti da tale disposizione. </w:t>
      </w:r>
      <w:r w:rsidRPr="00DF6E23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DF6E23">
        <w:rPr>
          <w:rFonts w:ascii="DejaVuSansCondensed,DejaVuSansC" w:hAnsi="DejaVuSansCondensed,DejaVuSansC"/>
          <w:sz w:val="19"/>
          <w:szCs w:val="19"/>
        </w:rPr>
        <w:t>Ciò non si applica a</w:t>
      </w:r>
    </w:p>
    <w:p w14:paraId="56F1FE2F" w14:textId="77777777" w:rsidR="00320DD3" w:rsidRPr="00DF6E23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F6E23">
        <w:rPr>
          <w:rFonts w:ascii="DejaVuSansCondensed,DejaVuSansC" w:hAnsi="DejaVuSansCondensed,DejaVuSansC"/>
          <w:sz w:val="19"/>
          <w:szCs w:val="19"/>
        </w:rPr>
        <w:t>1.</w:t>
      </w:r>
      <w:r w:rsidRPr="00DF6E23">
        <w:rPr>
          <w:rFonts w:ascii="DejaVuSansCondensed,DejaVuSansC" w:hAnsi="DejaVuSansCondensed,DejaVuSansC"/>
          <w:sz w:val="19"/>
          <w:szCs w:val="19"/>
        </w:rPr>
        <w:tab/>
        <w:t>contratti la cui risoluzione è prevista solo in forma più rigorosa rispetto al testo; e</w:t>
      </w:r>
    </w:p>
    <w:p w14:paraId="1CB136FB" w14:textId="77777777" w:rsidR="00320DD3" w:rsidRPr="00DF6E23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F6E23">
        <w:rPr>
          <w:rFonts w:ascii="DejaVuSansCondensed,DejaVuSansC" w:hAnsi="DejaVuSansCondensed,DejaVuSansC"/>
          <w:sz w:val="19"/>
          <w:szCs w:val="19"/>
        </w:rPr>
        <w:t>2.</w:t>
      </w:r>
      <w:r w:rsidRPr="00DF6E23">
        <w:rPr>
          <w:rFonts w:ascii="DejaVuSansCondensed,DejaVuSansC" w:hAnsi="DejaVuSansCondensed,DejaVuSansC"/>
          <w:sz w:val="19"/>
          <w:szCs w:val="19"/>
        </w:rPr>
        <w:tab/>
        <w:t>in relazione a siti web relativi a servizi finanziari o per contratti relativi a servizi finanziari.</w:t>
      </w:r>
    </w:p>
    <w:p w14:paraId="5596EFDB" w14:textId="77777777" w:rsidR="00320DD3" w:rsidRPr="00DF6E23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F6E23">
        <w:rPr>
          <w:rFonts w:ascii="DejaVuSansCondensed,DejaVuSansC" w:hAnsi="DejaVuSansCondensed,DejaVuSansC"/>
          <w:sz w:val="19"/>
          <w:szCs w:val="19"/>
        </w:rPr>
        <w:t xml:space="preserve">(2) La società deve garantire che il consumatore sul sito web sia in grado di fare una dichiarazione della risoluzione ordinaria o straordinaria di un contratto concluso sul sito web in conformità con la frase del paragrafo 1, frase 1 tramite un pulsante di risoluzione. Il pulsante di risoluzione deve essere facilmente leggibile con la sola dicitura “annulla contratti qui” o deve essere etichettato con un'appropriata formulazione inequivocabile. Essa deve condurre direttamente il consumatore ad una pagina di conferma che </w:t>
      </w:r>
    </w:p>
    <w:p w14:paraId="1A7C9900" w14:textId="77777777" w:rsidR="00320DD3" w:rsidRPr="00DF6E23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before="192" w:after="0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F6E23">
        <w:rPr>
          <w:rFonts w:ascii="DejaVuSansCondensed,DejaVuSansC" w:hAnsi="DejaVuSansCondensed,DejaVuSansC"/>
          <w:sz w:val="19"/>
          <w:szCs w:val="19"/>
        </w:rPr>
        <w:t>1.</w:t>
      </w:r>
      <w:r w:rsidRPr="00DF6E23">
        <w:rPr>
          <w:rFonts w:ascii="DejaVuSansCondensed,DejaVuSansC" w:hAnsi="DejaVuSansCondensed,DejaVuSansC"/>
          <w:sz w:val="19"/>
          <w:szCs w:val="19"/>
        </w:rPr>
        <w:tab/>
        <w:t>sollecita il consumatore e gli permette di fornire informazioni</w:t>
      </w:r>
    </w:p>
    <w:p w14:paraId="390652D1" w14:textId="77777777" w:rsidR="00320DD3" w:rsidRPr="00DF6E23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before="192"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F6E23">
        <w:rPr>
          <w:rFonts w:ascii="DejaVuSansCondensed,DejaVuSansC" w:hAnsi="DejaVuSansCondensed,DejaVuSansC"/>
          <w:sz w:val="19"/>
          <w:szCs w:val="19"/>
        </w:rPr>
        <w:t>a)</w:t>
      </w:r>
      <w:r w:rsidRPr="00DF6E23">
        <w:rPr>
          <w:rFonts w:ascii="DejaVuSansCondensed,DejaVuSansC" w:hAnsi="DejaVuSansCondensed,DejaVuSansC"/>
          <w:sz w:val="19"/>
          <w:szCs w:val="19"/>
        </w:rPr>
        <w:tab/>
        <w:t>per quanto riguarda la natura della risoluzione e, in caso di risoluzione straordinaria, il motivo della risoluzione,</w:t>
      </w:r>
    </w:p>
    <w:p w14:paraId="42A3F025" w14:textId="77777777" w:rsidR="00320DD3" w:rsidRPr="00DF6E23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F6E23">
        <w:rPr>
          <w:rFonts w:ascii="DejaVuSansCondensed,DejaVuSansC" w:hAnsi="DejaVuSansCondensed,DejaVuSansC"/>
          <w:sz w:val="19"/>
          <w:szCs w:val="19"/>
        </w:rPr>
        <w:t>b)</w:t>
      </w:r>
      <w:r w:rsidRPr="00DF6E23">
        <w:rPr>
          <w:rFonts w:ascii="DejaVuSansCondensed,DejaVuSansC" w:hAnsi="DejaVuSansCondensed,DejaVuSansC"/>
          <w:sz w:val="19"/>
          <w:szCs w:val="19"/>
        </w:rPr>
        <w:tab/>
        <w:t>per quanto riguarda la sua identità univoca,</w:t>
      </w:r>
    </w:p>
    <w:p w14:paraId="26409B94" w14:textId="77777777" w:rsidR="00320DD3" w:rsidRPr="00DF6E23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F6E23">
        <w:rPr>
          <w:rFonts w:ascii="DejaVuSansCondensed,DejaVuSansC" w:hAnsi="DejaVuSansCondensed,DejaVuSansC"/>
          <w:sz w:val="19"/>
          <w:szCs w:val="19"/>
        </w:rPr>
        <w:t>c)</w:t>
      </w:r>
      <w:r w:rsidRPr="00DF6E23">
        <w:rPr>
          <w:rFonts w:ascii="DejaVuSansCondensed,DejaVuSansC" w:hAnsi="DejaVuSansCondensed,DejaVuSansC"/>
          <w:sz w:val="19"/>
          <w:szCs w:val="19"/>
        </w:rPr>
        <w:tab/>
        <w:t>per quanto riguarda la designazione univoca del trattato,</w:t>
      </w:r>
    </w:p>
    <w:p w14:paraId="179D31F8" w14:textId="77777777" w:rsidR="00320DD3" w:rsidRPr="00DF6E23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F6E23">
        <w:rPr>
          <w:rFonts w:ascii="DejaVuSansCondensed,DejaVuSansC" w:hAnsi="DejaVuSansCondensed,DejaVuSansC"/>
          <w:sz w:val="19"/>
          <w:szCs w:val="19"/>
        </w:rPr>
        <w:t>d)</w:t>
      </w:r>
      <w:r w:rsidRPr="00DF6E23">
        <w:rPr>
          <w:rFonts w:ascii="DejaVuSansCondensed,DejaVuSansC" w:hAnsi="DejaVuSansCondensed,DejaVuSansC"/>
          <w:sz w:val="19"/>
          <w:szCs w:val="19"/>
        </w:rPr>
        <w:tab/>
        <w:t>al momento in cui la risoluzione comporta la risoluzione del rapporto contrattuale,</w:t>
      </w:r>
    </w:p>
    <w:p w14:paraId="0492A93A" w14:textId="77777777" w:rsidR="00320DD3" w:rsidRPr="00DF6E23" w:rsidRDefault="00945D70">
      <w:pPr>
        <w:widowControl w:val="0"/>
        <w:tabs>
          <w:tab w:val="left" w:pos="1025"/>
        </w:tabs>
        <w:autoSpaceDE w:val="0"/>
        <w:autoSpaceDN w:val="0"/>
        <w:adjustRightInd w:val="0"/>
        <w:spacing w:after="156" w:line="240" w:lineRule="auto"/>
        <w:ind w:left="1025" w:hanging="32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F6E23">
        <w:rPr>
          <w:rFonts w:ascii="DejaVuSansCondensed,DejaVuSansC" w:hAnsi="DejaVuSansCondensed,DejaVuSansC"/>
          <w:sz w:val="19"/>
          <w:szCs w:val="19"/>
        </w:rPr>
        <w:t>d)</w:t>
      </w:r>
      <w:r w:rsidRPr="00DF6E23">
        <w:rPr>
          <w:rFonts w:ascii="DejaVuSansCondensed,DejaVuSansC" w:hAnsi="DejaVuSansCondensed,DejaVuSansC"/>
          <w:sz w:val="19"/>
          <w:szCs w:val="19"/>
        </w:rPr>
        <w:tab/>
        <w:t>per la rapida trasmissione elettronica della conferma di risoluzione a lui e</w:t>
      </w:r>
    </w:p>
    <w:p w14:paraId="0972B70B" w14:textId="77777777" w:rsidR="00320DD3" w:rsidRPr="00DF6E23" w:rsidRDefault="00945D70">
      <w:pPr>
        <w:widowControl w:val="0"/>
        <w:tabs>
          <w:tab w:val="left" w:pos="705"/>
        </w:tabs>
        <w:autoSpaceDE w:val="0"/>
        <w:autoSpaceDN w:val="0"/>
        <w:adjustRightInd w:val="0"/>
        <w:spacing w:after="156" w:line="240" w:lineRule="auto"/>
        <w:ind w:left="705" w:hanging="300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F6E23">
        <w:rPr>
          <w:rFonts w:ascii="DejaVuSansCondensed,DejaVuSansC" w:hAnsi="DejaVuSansCondensed,DejaVuSansC"/>
          <w:sz w:val="19"/>
          <w:szCs w:val="19"/>
        </w:rPr>
        <w:t>2.</w:t>
      </w:r>
      <w:r w:rsidRPr="00DF6E23">
        <w:rPr>
          <w:rFonts w:ascii="DejaVuSansCondensed,DejaVuSansC" w:hAnsi="DejaVuSansCondensed,DejaVuSansC"/>
          <w:sz w:val="19"/>
          <w:szCs w:val="19"/>
        </w:rPr>
        <w:tab/>
        <w:t>contiene un pulsante di conferma attraverso il quale il consumatore può presentare la comunicazione di risoluzione e che è facilmente leggibile con nient'altro che la dicitura “annulla ora” o contrassegnata con un'appropriata formulazione univoca.</w:t>
      </w:r>
    </w:p>
    <w:p w14:paraId="10E4D17A" w14:textId="77777777" w:rsidR="00320DD3" w:rsidRPr="00DF6E23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/>
          <w:sz w:val="19"/>
          <w:szCs w:val="19"/>
        </w:rPr>
      </w:pPr>
      <w:r w:rsidRPr="00DF6E23">
        <w:rPr>
          <w:rFonts w:ascii="DejaVuSansCondensed,DejaVuSansC" w:hAnsi="DejaVuSansCondensed,DejaVuSansC"/>
          <w:sz w:val="19"/>
          <w:szCs w:val="19"/>
        </w:rPr>
        <w:t>(3) Il consumatore deve poter conservare, su un supporto durevole, la dichiarazione di risoluzione presentata premendo il pulsante di conferma con la data e l'ora della consegna in modo tale che si possa vedere che la dichiarazione di risoluzione è stata presentata premendo il pulsante di conferma.</w:t>
      </w:r>
    </w:p>
    <w:p w14:paraId="3544FCCE" w14:textId="77777777" w:rsidR="00320DD3" w:rsidRPr="00DF6E23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F6E23">
        <w:rPr>
          <w:rFonts w:ascii="DejaVuSansCondensed,DejaVuSansC" w:hAnsi="DejaVuSansCondensed,DejaVuSansC"/>
          <w:sz w:val="19"/>
          <w:szCs w:val="19"/>
        </w:rPr>
        <w:t xml:space="preserve">(4) </w:t>
      </w:r>
      <w:r w:rsidRPr="00DF6E23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DF6E23">
        <w:rPr>
          <w:rFonts w:ascii="DejaVuSansCondensed,DejaVuSansC" w:hAnsi="DejaVuSansCondensed,DejaVuSansC"/>
          <w:sz w:val="19"/>
          <w:szCs w:val="19"/>
        </w:rPr>
        <w:t xml:space="preserve">La società deve immediatamente confermare al consumatore il contenuto e la data e l'ora di ricezione dell'avviso di risoluzione, nonché la data alla quale il contratto deve essere risolto con la risoluzione, in forma scritta con mezzi elettronici. </w:t>
      </w:r>
      <w:r w:rsidRPr="00DF6E23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DF6E23">
        <w:rPr>
          <w:rFonts w:ascii="DejaVuSansCondensed,DejaVuSansC" w:hAnsi="DejaVuSansCondensed,DejaVuSansC"/>
          <w:sz w:val="19"/>
          <w:szCs w:val="19"/>
        </w:rPr>
        <w:t>Si presume che un avviso di risoluzione inviato premendo il pulsante di conferma sia stato inviato alla società immediatamente dopo la sua presentazione.</w:t>
      </w:r>
    </w:p>
    <w:p w14:paraId="32A32941" w14:textId="77777777" w:rsidR="00320DD3" w:rsidRPr="00DF6E23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F6E23">
        <w:rPr>
          <w:rFonts w:ascii="DejaVuSansCondensed,DejaVuSansC" w:hAnsi="DejaVuSansCondensed,DejaVuSansC"/>
          <w:sz w:val="19"/>
          <w:szCs w:val="19"/>
        </w:rPr>
        <w:t>(5) Se, al momento della presentazione della comunicazione di risoluzione, il consumatore non indica un momento in cui la risoluzione intende porre fine al rapporto contrattuale, la risoluzione sarà effettuata il prima possibile.</w:t>
      </w:r>
    </w:p>
    <w:p w14:paraId="387261DB" w14:textId="4FE32DFF" w:rsidR="00320DD3" w:rsidRPr="00DF6E23" w:rsidRDefault="00945D70">
      <w:pPr>
        <w:widowControl w:val="0"/>
        <w:tabs>
          <w:tab w:val="left" w:pos="405"/>
        </w:tabs>
        <w:autoSpaceDE w:val="0"/>
        <w:autoSpaceDN w:val="0"/>
        <w:adjustRightInd w:val="0"/>
        <w:spacing w:before="216" w:after="0" w:line="240" w:lineRule="auto"/>
        <w:ind w:left="405"/>
        <w:rPr>
          <w:rFonts w:ascii="DejaVuSansCondensed,DejaVuSansC" w:hAnsi="DejaVuSansCondensed,DejaVuSansC" w:cs="DejaVuSansCondensed,DejaVuSansC"/>
          <w:sz w:val="19"/>
          <w:szCs w:val="19"/>
        </w:rPr>
      </w:pPr>
      <w:r w:rsidRPr="00DF6E23">
        <w:rPr>
          <w:rFonts w:ascii="DejaVuSansCondensed,DejaVuSansC" w:hAnsi="DejaVuSansCondensed,DejaVuSansC"/>
          <w:sz w:val="19"/>
          <w:szCs w:val="19"/>
        </w:rPr>
        <w:t xml:space="preserve">(6) </w:t>
      </w:r>
      <w:r w:rsidRPr="00DF6E23">
        <w:rPr>
          <w:rFonts w:ascii="DejaVuSansCondensed,DejaVuSansC" w:hAnsi="DejaVuSansCondensed,DejaVuSansC"/>
          <w:i/>
          <w:sz w:val="19"/>
          <w:szCs w:val="19"/>
          <w:vertAlign w:val="superscript"/>
        </w:rPr>
        <w:t>1</w:t>
      </w:r>
      <w:r w:rsidRPr="00DF6E23">
        <w:rPr>
          <w:rFonts w:ascii="DejaVuSansCondensed,DejaVuSansC" w:hAnsi="DejaVuSansCondensed,DejaVuSansC"/>
          <w:sz w:val="19"/>
          <w:szCs w:val="19"/>
        </w:rPr>
        <w:t xml:space="preserve">Se i pulsanti e la pagina di conferma non sono resi disponibili ai sensi dei paragrafi 1 e 2, il consumatore può risolvere un contratto per la cui risoluzione i pulsanti e la pagina di conferma devono essere resi disponibili in qualsiasi momento e senza rispetto di un periodo di preavviso. </w:t>
      </w:r>
      <w:r w:rsidRPr="00DF6E23">
        <w:rPr>
          <w:rFonts w:ascii="DejaVuSansCondensed,DejaVuSansC" w:hAnsi="DejaVuSansCondensed,DejaVuSansC"/>
          <w:i/>
          <w:sz w:val="19"/>
          <w:szCs w:val="19"/>
          <w:vertAlign w:val="superscript"/>
        </w:rPr>
        <w:t>2</w:t>
      </w:r>
      <w:r w:rsidRPr="00DF6E23">
        <w:rPr>
          <w:rFonts w:ascii="DejaVuSansCondensed,DejaVuSansC" w:hAnsi="DejaVuSansCondensed,DejaVuSansC"/>
          <w:sz w:val="19"/>
          <w:szCs w:val="19"/>
        </w:rPr>
        <w:t>Ciò non pregiudica la capacità del consumatore di terminare in via eccezionale.</w:t>
      </w:r>
    </w:p>
    <w:p w14:paraId="1720CDBA" w14:textId="77777777" w:rsidR="00320DD3" w:rsidRPr="00DF6E23" w:rsidRDefault="00320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320DD3" w:rsidRPr="00DF6E23">
      <w:headerReference w:type="even" r:id="rId6"/>
      <w:headerReference w:type="default" r:id="rId7"/>
      <w:footerReference w:type="default" r:id="rId8"/>
      <w:pgSz w:w="11900" w:h="16840"/>
      <w:pgMar w:top="1280" w:right="1020" w:bottom="560" w:left="11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BBC2" w14:textId="77777777" w:rsidR="009F23D8" w:rsidRDefault="009F23D8">
      <w:pPr>
        <w:spacing w:after="0" w:line="240" w:lineRule="auto"/>
      </w:pPr>
      <w:r>
        <w:separator/>
      </w:r>
    </w:p>
  </w:endnote>
  <w:endnote w:type="continuationSeparator" w:id="0">
    <w:p w14:paraId="66458953" w14:textId="77777777" w:rsidR="009F23D8" w:rsidRDefault="009F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,DejaVuSan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1AAE" w14:textId="77777777" w:rsidR="00320DD3" w:rsidRDefault="00945D70">
    <w:pPr>
      <w:widowControl w:val="0"/>
      <w:tabs>
        <w:tab w:val="left" w:pos="283"/>
      </w:tabs>
      <w:autoSpaceDE w:val="0"/>
      <w:autoSpaceDN w:val="0"/>
      <w:adjustRightInd w:val="0"/>
      <w:spacing w:before="283" w:after="283" w:line="240" w:lineRule="auto"/>
      <w:ind w:left="283"/>
      <w:jc w:val="center"/>
      <w:rPr>
        <w:rFonts w:ascii="DejaVuSansCondensed" w:hAnsi="DejaVuSansCondensed" w:cs="DejaVuSansCondensed"/>
        <w:sz w:val="20"/>
        <w:szCs w:val="20"/>
      </w:rPr>
    </w:pPr>
    <w:r>
      <w:rPr>
        <w:rFonts w:ascii="DejaVuSansCondensed" w:hAnsi="DejaVuSansCondensed"/>
        <w:sz w:val="20"/>
      </w:rPr>
      <w:t xml:space="preserve">- Pagina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 xml:space="preserve">PAGE 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di </w:t>
    </w:r>
    <w:r>
      <w:rPr>
        <w:rFonts w:ascii="DejaVuSansCondensed" w:hAnsi="DejaVuSansCondensed" w:cs="DejaVuSansCondensed"/>
        <w:sz w:val="20"/>
      </w:rPr>
      <w:fldChar w:fldCharType="begin"/>
    </w:r>
    <w:r>
      <w:rPr>
        <w:rFonts w:ascii="DejaVuSansCondensed" w:hAnsi="DejaVuSansCondensed" w:cs="DejaVuSansCondensed"/>
        <w:sz w:val="20"/>
      </w:rPr>
      <w:instrText>NUMPAGES</w:instrText>
    </w:r>
    <w:r>
      <w:rPr>
        <w:rFonts w:ascii="DejaVuSansCondensed" w:hAnsi="DejaVuSansCondensed" w:cs="DejaVuSansCondensed"/>
        <w:sz w:val="20"/>
      </w:rPr>
      <w:fldChar w:fldCharType="separate"/>
    </w:r>
    <w:r w:rsidR="00C8463D">
      <w:rPr>
        <w:rFonts w:ascii="DejaVuSansCondensed" w:hAnsi="DejaVuSansCondensed" w:cs="DejaVuSansCondensed"/>
        <w:sz w:val="20"/>
      </w:rPr>
      <w:t>1</w:t>
    </w:r>
    <w:r>
      <w:rPr>
        <w:rFonts w:ascii="DejaVuSansCondensed" w:hAnsi="DejaVuSansCondensed" w:cs="DejaVuSansCondensed"/>
        <w:sz w:val="20"/>
      </w:rPr>
      <w:fldChar w:fldCharType="end"/>
    </w:r>
    <w:r>
      <w:rPr>
        <w:rFonts w:ascii="DejaVuSansCondensed" w:hAnsi="DejaVuSansCondensed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2908" w14:textId="77777777" w:rsidR="009F23D8" w:rsidRDefault="009F23D8">
      <w:pPr>
        <w:spacing w:after="0" w:line="240" w:lineRule="auto"/>
      </w:pPr>
      <w:r>
        <w:separator/>
      </w:r>
    </w:p>
  </w:footnote>
  <w:footnote w:type="continuationSeparator" w:id="0">
    <w:p w14:paraId="1CB98A04" w14:textId="77777777" w:rsidR="009F23D8" w:rsidRDefault="009F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053D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9E26" w14:textId="77777777" w:rsidR="00320DD3" w:rsidRDefault="00320DD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70"/>
    <w:rsid w:val="00320DD3"/>
    <w:rsid w:val="008A574F"/>
    <w:rsid w:val="008B4ECE"/>
    <w:rsid w:val="00945D70"/>
    <w:rsid w:val="009F13EB"/>
    <w:rsid w:val="009F23D8"/>
    <w:rsid w:val="00C8463D"/>
    <w:rsid w:val="00DF6E23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F0867"/>
  <w14:defaultImageDpi w14:val="0"/>
  <w15:docId w15:val="{2DAE4D7D-D186-4D6E-9CA0-0F7010C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4F"/>
  </w:style>
  <w:style w:type="paragraph" w:styleId="Header">
    <w:name w:val="header"/>
    <w:basedOn w:val="Normal"/>
    <w:link w:val="HeaderChar"/>
    <w:uiPriority w:val="99"/>
    <w:unhideWhenUsed/>
    <w:rsid w:val="008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2659</Characters>
  <Application>Microsoft Office Word</Application>
  <DocSecurity>0</DocSecurity>
  <Lines>40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Witzmann</dc:creator>
  <cp:keywords>class='Internal'</cp:keywords>
  <dc:description/>
  <cp:lastModifiedBy>Ines Varvodic</cp:lastModifiedBy>
  <cp:revision>2</cp:revision>
  <dcterms:created xsi:type="dcterms:W3CDTF">2022-02-04T12:16:00Z</dcterms:created>
  <dcterms:modified xsi:type="dcterms:W3CDTF">2022-02-04T12:16:00Z</dcterms:modified>
</cp:coreProperties>
</file>