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85" w:rsidRPr="00B009F8" w:rsidRDefault="00276E85" w:rsidP="00276E85">
      <w:pPr>
        <w:pStyle w:val="PlainText"/>
        <w:jc w:val="center"/>
      </w:pPr>
      <w:bookmarkStart w:id="0" w:name="_GoBack"/>
      <w:bookmarkEnd w:id="0"/>
      <w:r>
        <w:t>1. ------IND- 2018 0442 B-- CS- ------ 20180912 --- --- PROJET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Belgické království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_________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aps/>
                <w:snapToGrid w:val="0"/>
                <w:color w:val="000000"/>
                <w:sz w:val="22"/>
              </w:rPr>
              <w:t>Federální veřejná služba zdravotnictví, bezpečnosti potravinového řetězce a životního prostředí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________________________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Královský výnos o kovových a slitinových materiálech a předmětech určených pro styk s potravinami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PHILIPPE, král Belgičanů,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 pozdravem všem zde přítomným i příchozím.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 ohledem na nařízení Evropského parlamentu a Rady (ES) č. 1935/2004 ze dne 27. října 2004 o materiálech a předmětech určených pro styk s potravinami a o zrušení směrnic 80/590/EHS a 89/109/EHS;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 ohledem na zákon ze dne 24. ledna 1977 o ochraně zdraví spotřebitelů s ohledem na potraviny a jiné produkty, čl. 3 bod 2 písm. a), ve znění zákona ze dne 22. března 1989;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s ohledem na královský výnos ze dne 11. května 1992 o minerálech a předmětech určených pro styk s potravinami; 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s ohledem na stanovisko poradního výboru o výživové politice a používání jiných spotřebitelských výrobků, vydané dne </w:t>
            </w:r>
            <w:r>
              <w:rPr>
                <w:rFonts w:ascii="Garamond" w:hAnsi="Garamond"/>
                <w:color w:val="FF0000"/>
                <w:sz w:val="22"/>
              </w:rPr>
              <w:t>xx xxxx 20xx;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s ohledem na stanovisko finančního inspektorátu vydané dne </w:t>
            </w:r>
            <w:r>
              <w:rPr>
                <w:rFonts w:ascii="Garamond" w:hAnsi="Garamond"/>
                <w:color w:val="FF0000"/>
                <w:sz w:val="22"/>
              </w:rPr>
              <w:t>xx xxxxx 20xx</w:t>
            </w:r>
            <w:r>
              <w:rPr>
                <w:rFonts w:ascii="Garamond" w:hAnsi="Garamond"/>
                <w:sz w:val="22"/>
              </w:rPr>
              <w:t>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autoSpaceDE w:val="0"/>
              <w:autoSpaceDN w:val="0"/>
              <w:adjustRightInd w:val="0"/>
              <w:jc w:val="both"/>
              <w:rPr>
                <w:rFonts w:ascii="Garamond" w:hAnsi="Garamond" w:cs="Palatino Linotype"/>
                <w:color w:val="000000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s ohledem na sdělení Evropské komise ze dne </w:t>
            </w:r>
            <w:r>
              <w:rPr>
                <w:rFonts w:ascii="Garamond" w:hAnsi="Garamond"/>
                <w:color w:val="FF0000"/>
                <w:sz w:val="22"/>
              </w:rPr>
              <w:t>xx xxxxx 20xx</w:t>
            </w:r>
            <w:r>
              <w:rPr>
                <w:rFonts w:ascii="Garamond" w:hAnsi="Garamond"/>
                <w:color w:val="000000"/>
                <w:sz w:val="22"/>
              </w:rPr>
              <w:t>, v souladu s čl. 5 odst. 1 směrnice Evropského parlamentu a Rady (EU) 2015/1535 ze dne 9. září 2015, kterou se stanoví postup pro poskytování informací v oblasti technických předpisů a předpisů pro služby informační společnosti;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s ohledem na stanovisko státní rady ze dne </w:t>
            </w:r>
            <w:r>
              <w:rPr>
                <w:rFonts w:ascii="Garamond" w:hAnsi="Garamond"/>
                <w:color w:val="FF0000"/>
                <w:sz w:val="22"/>
              </w:rPr>
              <w:t xml:space="preserve">xx.xxx/x </w:t>
            </w:r>
            <w:r>
              <w:rPr>
                <w:rFonts w:ascii="Garamond" w:hAnsi="Garamond"/>
                <w:sz w:val="22"/>
              </w:rPr>
              <w:t xml:space="preserve">vydané dne </w:t>
            </w:r>
            <w:r>
              <w:rPr>
                <w:rFonts w:ascii="Garamond" w:hAnsi="Garamond"/>
                <w:color w:val="FF0000"/>
                <w:sz w:val="22"/>
              </w:rPr>
              <w:t>xx xxxx 201x</w:t>
            </w:r>
            <w:r>
              <w:rPr>
                <w:rFonts w:ascii="Garamond" w:hAnsi="Garamond"/>
                <w:sz w:val="22"/>
              </w:rPr>
              <w:t>, v souladu s čl. 84 odst. 1 bodem 1 dílčím bodem 2 zákonů o státní radě, koordinovaných dne 12. ledna 1973;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 ohledem na rozhodnutí Rady Evropy CM/Res (2013)9 o kovech a slitinách používaných v materiálech a předmětem, které přicházejí do styku s potravinami;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na doporučení ministra veřejného zdraví a ministra zemědělství,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JSME TÍMTO NAŘÍDILI A NAŘIZUJEME: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8C5E75" w:rsidP="00A47389">
            <w:pPr>
              <w:keepNext/>
              <w:keepLines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1. Oblast působnosti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Ustanovení tohoto výnosu se vztahují na nezáměrné uvolňování kovových iontů z hotových materiálů a předmětů vyrobených zcela nebo z části z kovů nebo slitin a bez ohledu na to, zda jsou opatřeny pokovením, či nikoli, které: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1) jsou určeny ke styku s potravinami; nebo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2) jsou již ve styku s potravinami a jsou určeny pro tento účel; nebo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3) lze důvodně považovat za materiály a předměty, které přicházejí do styku s potravinami, nebo z nichž se uvolňují složky do potravin během jejich běžného či očekávaného použití.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pStyle w:val="ListParagraph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8C5E75" w:rsidP="00A47389">
            <w:pPr>
              <w:keepNext/>
              <w:keepLines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2. Vymezení pojmů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Pro účely tohoto výnosu platí následující definice: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1) kovy: kovy jsou charakterizovány svými fyzikálně-chemickými vlastnostmi v pevném stavu: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>reflexní vlastnosti, kterým se vytváří příznačný kovový lesk,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elektrická vodivost,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tepelná vodivost,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mechanické vlastnosti, jako jsou tuhost a tvárnost.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Kovy odpovídají kategorii materiálů, jejichž přilnavost je na atomární úrovni zajištěna vazbami kovů. Mohou být považovány za rovnocenné struktuře kladných iontů kovu tvořících velké krystalové mřížky, v nichž jsou valenčních elektrony sdíleny celou strukturou.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2) slitiny: slitina je makroskopicky homogenní kov tvořený dvěma nebo více chemickými prvky, které jsou vázány tak, že je nelze snadno mechanicky oddělit.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3) uvolňování: uvolňování je vymezeno tímto královským výnosem jako nezáměrný přenos iontů kovu na potraviny z materiálů nebo předmětů z kovů nebo slitin.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4) specifický limituvolňování: maximální množství konkrétního iontu kovu nebo polokovu (in mg), ve kterém se může materiál nebo předmět uvolňovat do určitého množství potravin nebo simulantů potravin (v kg).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color w:val="0000FF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3. Obecná ustanovení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Kovové nebo slitinové materiály a předměty určené pro styk s potravinami musí být vyrobeny v souladu s: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- nařízením Komise (ES) č. 1935/2004 ze dne 27. října 2004 o materiálech a předmětech určených pro styk s potravinami;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58344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- nařízením Komise (ES) č. 2023/2006 ze dne 22. prosince 2006 o správné výrobní praxi pro materiá́ly a předměty urč̌ené pro styk s potravinami.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- královským výnosem ze d ne 11. května 1992 o materiálech a předmětech určené pro styk s potravinami.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4. Specifický limit uvolňování (SRL)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Materiály a předměty uvedené v článku 1 musí splňovat specifické limity uvolňování uvedené v příloze, kapitola 1.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Látky v nano formě musí být vždy jednotlivě posouzeny, pokud jde o jejich vlastnosti, určená použití a úroveň expozice v případě uvolňování do potravin.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5. Shoda se specifickým limitem uvolňování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§ 1. Shoda hotových materiálů nebo předmětů se ověřuje provedením zkoušek uvolňování a/nebo screeningovými postupy.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Tyto zkoušky a screeningové postupy se provádějí v souladu s metodami stanovenými na vnitrostátní nebo evropské úrovni pro kovové a/nebo slitinové materiály určené pro styk s potravinami.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Zkoušky uvolňování materiálů a předmětů do potravin musí být prováděny na základě důvodně očekávaných nejnepříznivějších okolností.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Výsledky zkoušek týkajících se specifického uvolňování do potravin mají přednost před výsledky zkoušek získanými při testech na simulantech potravin. Výsledky zkoušek v případě specifického uvolňování do simulantů potravin mají přednost před výsledky získanými prostřednictvím screeningových metod.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§ 2. Za účelem posouzení shody jsou hodnoty specifického uvolňování v případě hotového výrobku vyjádřeny v mg/kg na základě skutečného poměru plochy a objemu během skutečného nebo očekávaného použití.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Bez ohledu na odstavec 2 se migrační úroveň v případě folií, filmů a plochých povrchů, které ještě nejsou ve styku s potravinami, vyjadřuje v mg/kg na základě skutečného poměru plochy a objemu 6 dm2 na kg potraviny.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6. Prohlášení o shodě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magenta"/>
              </w:rPr>
            </w:pPr>
            <w:r>
              <w:rPr>
                <w:rFonts w:ascii="Garamond" w:hAnsi="Garamond"/>
                <w:sz w:val="22"/>
              </w:rPr>
              <w:t>§ 1. V rozporu s ustanoveními čl. 9 odst. 5 královského výnosu ze dne 11. května 1992 o materiálech a předmětech určených pro styk s potravinami, se používá vzor prohlášení o shodě uvedený v kapitole 2 přílohy k tomuto královskému výnosu.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magenta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magenta"/>
              </w:rPr>
            </w:pPr>
            <w:r>
              <w:rPr>
                <w:rFonts w:ascii="Garamond" w:hAnsi="Garamond"/>
                <w:sz w:val="22"/>
              </w:rPr>
              <w:t>§ 2. V rozporu s odstavcem 1 se vyplňují alespoň body 1, 2, 3 a 5 prohlášení o shodě uvedené v kapitole 2 přílohy k tomuto královskému výnosu v případě všech výrobků, které nejsou ještě považovány za hotové výrobky.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Článek 7. Vzájemné uznávání 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Ustanovení tohoto výnosu s výjimkou článku 6 se nevztahují na výrobky zákonně vyrobené a/nebo uvedené na trh v jiných členských státech Evropské unie nebo v Turecku, nebo na výrobky zákonně vyrobené v členském státu Evropského sdružení volného obchodu, nelze-li uplatit zásadu vzájemného uznávání v souladu s články 34 až 36 Smlouvy o fungování Evropské unie.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</w:rPr>
              <w:t>Článek 8. Porušení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Porušení ustanovení tohoto výnosu se vyšetřují a konstatují v souladu s ustanoveními královského výnosu ze dne 22. února 2001 o organizaci kontrol federální agentury pro bezpečnost potravinového řetězce a o změně různých zákonných ustanovení.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color w:val="0070C0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Porušení ustanovení tohoto výnosu se trestá v souladu se zákonem ze dne 24. ledna 1977 o ochraně zdraví spotřebitelů s ohledem na potraviny a ostatní výrobky.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keepNext/>
              <w:keepLines/>
              <w:jc w:val="both"/>
              <w:rPr>
                <w:rFonts w:ascii="Garamond" w:hAnsi="Garamond"/>
                <w:sz w:val="22"/>
                <w:szCs w:val="22"/>
                <w:highlight w:val="red"/>
              </w:rPr>
            </w:pPr>
            <w:r>
              <w:rPr>
                <w:rFonts w:ascii="Garamond" w:hAnsi="Garamond"/>
                <w:b/>
                <w:sz w:val="22"/>
              </w:rPr>
              <w:t>Článek 9. Věcně příslušní ministři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A47389">
            <w:pPr>
              <w:jc w:val="both"/>
              <w:rPr>
                <w:rFonts w:ascii="Garamond" w:hAnsi="Garamond"/>
                <w:sz w:val="22"/>
                <w:szCs w:val="22"/>
                <w:highlight w:val="red"/>
              </w:rPr>
            </w:pPr>
            <w:r>
              <w:rPr>
                <w:rFonts w:ascii="Garamond" w:hAnsi="Garamond"/>
                <w:sz w:val="22"/>
              </w:rPr>
              <w:t>Za provádění tohoto výnosu odpovídají, každý ve své oblasti působnosti, ministr pro veřejné zdraví a ministr pro zemědělství.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  <w:highlight w:val="red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                                ,                              .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Jménem Jeho Veličenstva: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Ministr zdravotnictví,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M. DE BLOCK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Ministryně zemědělství,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D. DUCARME</w:t>
            </w: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276E85">
        <w:tc>
          <w:tcPr>
            <w:tcW w:w="10206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74C42" w:rsidRPr="00B009F8" w:rsidRDefault="00C74C42" w:rsidP="00F85383">
      <w:pPr>
        <w:pStyle w:val="Heading3"/>
        <w:keepLines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PŘÍLOHA ke královskému výnosu o kovových a slitinových materiálech a předmětech určených pro styk s potravinami</w:t>
      </w:r>
    </w:p>
    <w:p w:rsidR="00C74C42" w:rsidRPr="00617213" w:rsidRDefault="00C74C42" w:rsidP="00F85383">
      <w:pPr>
        <w:keepNext/>
        <w:keepLines/>
        <w:autoSpaceDE w:val="0"/>
        <w:autoSpaceDN w:val="0"/>
        <w:adjustRightInd w:val="0"/>
        <w:rPr>
          <w:rFonts w:ascii="Garamond" w:hAnsi="Garamond"/>
          <w:bCs/>
          <w:smallCaps/>
          <w:sz w:val="22"/>
          <w:szCs w:val="22"/>
        </w:rPr>
      </w:pPr>
    </w:p>
    <w:p w:rsidR="00C74C42" w:rsidRPr="00617213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bCs/>
          <w:smallCaps/>
          <w:sz w:val="22"/>
          <w:szCs w:val="22"/>
        </w:rPr>
      </w:pPr>
      <w:r>
        <w:rPr>
          <w:rFonts w:ascii="Garamond" w:hAnsi="Garamond"/>
          <w:smallCaps/>
          <w:sz w:val="22"/>
        </w:rPr>
        <w:t>Kapitola 1: Specifický limit uvolňování (SRL)</w:t>
      </w:r>
    </w:p>
    <w:p w:rsidR="00C74C42" w:rsidRPr="00B009F8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smallCaps/>
          <w:sz w:val="22"/>
          <w:szCs w:val="22"/>
        </w:rPr>
      </w:pPr>
    </w:p>
    <w:p w:rsidR="00C74C42" w:rsidRPr="00B009F8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Tabulka 1: SRL vztahující se na kovové a slitinové složky.</w:t>
      </w:r>
    </w:p>
    <w:p w:rsidR="00C74C42" w:rsidRPr="00B009F8" w:rsidRDefault="00C74C42" w:rsidP="00F85383">
      <w:pPr>
        <w:pStyle w:val="BodyText"/>
        <w:keepNext/>
        <w:keepLines/>
        <w:autoSpaceDE/>
        <w:autoSpaceDN/>
        <w:adjustRightInd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19"/>
        <w:gridCol w:w="3121"/>
      </w:tblGrid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Symbol</w:t>
            </w:r>
          </w:p>
        </w:tc>
        <w:tc>
          <w:tcPr>
            <w:tcW w:w="3209" w:type="dxa"/>
          </w:tcPr>
          <w:p w:rsidR="00C74C42" w:rsidRPr="00B009F8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Jméno</w:t>
            </w:r>
          </w:p>
        </w:tc>
        <w:tc>
          <w:tcPr>
            <w:tcW w:w="3210" w:type="dxa"/>
          </w:tcPr>
          <w:p w:rsidR="00C74C42" w:rsidRPr="00B009F8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SRL (mg/kg potraviny)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Al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Hliník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5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Sb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Antimon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0,04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Ag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Stříbro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0,08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Cr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Chrom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0,250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Co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Kobalt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0,02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Cu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Měď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4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Sn*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Cín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100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Fe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Železo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40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Mg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Hořčík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–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Mn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Mangan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1,8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Mo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Molybden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0,12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Ni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Nikl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0,14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Ti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Titan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–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V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Vanad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0,01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Zn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Zinek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5</w:t>
            </w:r>
          </w:p>
        </w:tc>
      </w:tr>
    </w:tbl>
    <w:p w:rsidR="00C74C42" w:rsidRPr="00B009F8" w:rsidRDefault="00C74C42" w:rsidP="00A47389">
      <w:pPr>
        <w:pStyle w:val="BodyText"/>
        <w:autoSpaceDE/>
        <w:autoSpaceDN/>
        <w:adjustRightInd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 xml:space="preserve">* Kromě těch, které jsou v oblasti působnosti nařízení (EU) č. 1881/2006 </w:t>
      </w:r>
    </w:p>
    <w:p w:rsidR="00C74C42" w:rsidRPr="00B009F8" w:rsidRDefault="00C74C42" w:rsidP="00A47389">
      <w:pPr>
        <w:jc w:val="both"/>
        <w:rPr>
          <w:rFonts w:ascii="Garamond" w:hAnsi="Garamond"/>
          <w:sz w:val="22"/>
          <w:szCs w:val="22"/>
        </w:rPr>
      </w:pPr>
    </w:p>
    <w:p w:rsidR="00C74C42" w:rsidRPr="00B009F8" w:rsidRDefault="00C74C42" w:rsidP="00A47389">
      <w:pPr>
        <w:pStyle w:val="BodyText"/>
        <w:keepNext/>
        <w:keepLines/>
        <w:autoSpaceDE/>
        <w:autoSpaceDN/>
        <w:adjustRightInd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Tabulka 2: SRL vztahující se na kovy ve formě znečišťujících látek a nečistot.</w:t>
      </w:r>
    </w:p>
    <w:p w:rsidR="00C74C42" w:rsidRPr="00B009F8" w:rsidRDefault="00C74C42" w:rsidP="00F85383">
      <w:pPr>
        <w:pStyle w:val="BodyText"/>
        <w:keepNext/>
        <w:keepLines/>
        <w:autoSpaceDE/>
        <w:autoSpaceDN/>
        <w:adjustRightInd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19"/>
        <w:gridCol w:w="3121"/>
      </w:tblGrid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Symbol</w:t>
            </w:r>
          </w:p>
        </w:tc>
        <w:tc>
          <w:tcPr>
            <w:tcW w:w="3209" w:type="dxa"/>
          </w:tcPr>
          <w:p w:rsidR="00C74C42" w:rsidRPr="00B009F8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Jméno</w:t>
            </w:r>
          </w:p>
        </w:tc>
        <w:tc>
          <w:tcPr>
            <w:tcW w:w="3210" w:type="dxa"/>
          </w:tcPr>
          <w:p w:rsidR="00C74C42" w:rsidRPr="00B009F8" w:rsidRDefault="00C74C42" w:rsidP="00F85383">
            <w:pPr>
              <w:pStyle w:val="BodyText"/>
              <w:keepNext/>
              <w:keepLines/>
              <w:autoSpaceDE/>
              <w:autoSpaceDN/>
              <w:adjustRightInd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SRL (mg/kg potraviny)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As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Arzén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0,002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Ba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Baryum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1,2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Be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Berylium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0,01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Cd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Kadmium 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0,005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Li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Lithium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0,048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Hg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Rtuť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0,003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Pb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Olovo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0,010</w:t>
            </w:r>
          </w:p>
        </w:tc>
      </w:tr>
      <w:tr w:rsidR="00C74C42" w:rsidRPr="00B009F8" w:rsidTr="00F85383">
        <w:trPr>
          <w:cantSplit/>
        </w:trPr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Tl</w:t>
            </w:r>
          </w:p>
        </w:tc>
        <w:tc>
          <w:tcPr>
            <w:tcW w:w="3209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Thalium</w:t>
            </w:r>
          </w:p>
        </w:tc>
        <w:tc>
          <w:tcPr>
            <w:tcW w:w="3210" w:type="dxa"/>
          </w:tcPr>
          <w:p w:rsidR="00C74C42" w:rsidRPr="00B009F8" w:rsidRDefault="00C74C42" w:rsidP="00276E85">
            <w:pPr>
              <w:pStyle w:val="BodyText"/>
              <w:autoSpaceDE/>
              <w:autoSpaceDN/>
              <w:adjustRightInd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0,0001</w:t>
            </w:r>
          </w:p>
        </w:tc>
      </w:tr>
    </w:tbl>
    <w:p w:rsidR="00C74C42" w:rsidRPr="00B009F8" w:rsidRDefault="00C74C42" w:rsidP="00276E85">
      <w:pPr>
        <w:pStyle w:val="BodyText"/>
        <w:autoSpaceDE/>
        <w:autoSpaceDN/>
        <w:adjustRightInd/>
        <w:rPr>
          <w:rFonts w:ascii="Garamond" w:hAnsi="Garamond"/>
          <w:sz w:val="22"/>
          <w:szCs w:val="22"/>
        </w:rPr>
      </w:pPr>
    </w:p>
    <w:p w:rsidR="00C74C42" w:rsidRPr="00B009F8" w:rsidRDefault="00C74C42" w:rsidP="00276E85">
      <w:pPr>
        <w:pStyle w:val="BodyText"/>
        <w:autoSpaceDE/>
        <w:autoSpaceDN/>
        <w:adjustRightInd/>
        <w:rPr>
          <w:rFonts w:ascii="Garamond" w:hAnsi="Garamond"/>
          <w:sz w:val="22"/>
          <w:szCs w:val="22"/>
        </w:rPr>
      </w:pPr>
    </w:p>
    <w:p w:rsidR="00C74C42" w:rsidRPr="00B009F8" w:rsidRDefault="00C74C42" w:rsidP="00A47389">
      <w:pPr>
        <w:keepNext/>
        <w:keepLines/>
        <w:jc w:val="both"/>
        <w:rPr>
          <w:rFonts w:ascii="Garamond" w:hAnsi="Garamond"/>
          <w:smallCaps/>
          <w:sz w:val="22"/>
          <w:szCs w:val="22"/>
        </w:rPr>
      </w:pPr>
      <w:r>
        <w:rPr>
          <w:rFonts w:ascii="Garamond" w:hAnsi="Garamond"/>
          <w:smallCaps/>
          <w:sz w:val="22"/>
        </w:rPr>
        <w:t>Kapitola 2: Informace, které musí být uvedeny v prohlášení o shodě.</w:t>
      </w:r>
    </w:p>
    <w:p w:rsidR="00C74C42" w:rsidRPr="00B009F8" w:rsidRDefault="00C74C42" w:rsidP="00A47389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C74C42" w:rsidRPr="00B009F8" w:rsidRDefault="00C74C42" w:rsidP="00A47389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Písemné prohlášení podle čl. 6 odst. 1 musí obsahovat následující informace:</w:t>
      </w:r>
    </w:p>
    <w:p w:rsidR="00C74C42" w:rsidRPr="00B009F8" w:rsidRDefault="00C74C42" w:rsidP="00A47389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highlight w:val="yellow"/>
        </w:rPr>
      </w:pPr>
    </w:p>
    <w:p w:rsidR="00C74C42" w:rsidRPr="00B009F8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totožnost a adresa provozovatele, který vyrábí nebo dováží materiály nebo předměty nebo látky určené k výrobě těchto materiálů nebo předmětů;</w:t>
      </w:r>
    </w:p>
    <w:p w:rsidR="00C74C42" w:rsidRPr="00B009F8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označení kovů a slitin použitých pro výrobu těchto materiálů a předmětů;</w:t>
      </w:r>
    </w:p>
    <w:p w:rsidR="00C74C42" w:rsidRPr="00B009F8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datum prohlášení;</w:t>
      </w:r>
    </w:p>
    <w:p w:rsidR="00C74C42" w:rsidRPr="00B009F8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ověření toho, že materiály a předměty jsou v souladu s příslušnými ustanoveními tohoto výnosu a nařízení (ES) č. 1935/2004;</w:t>
      </w:r>
    </w:p>
    <w:p w:rsidR="00C74C42" w:rsidRPr="00B009F8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odpovídající informace o použitých kovech, v jejichž případě předkládaný výnos stanoví omezení nebo specifikace tak, aby mohli další provozovatelé zajistit soulad s těmito omezeními nebo specifikacemi;</w:t>
      </w:r>
    </w:p>
    <w:p w:rsidR="00C74C42" w:rsidRPr="00B009F8" w:rsidRDefault="00C74C42" w:rsidP="00A47389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odpovídající informace o kovech podléhajících omezení v potravinách, které jsou odvozeny z experimentálních údajů nebo teoretických výpočtů, o specifickém uvolňování těchto kovů;</w:t>
      </w:r>
    </w:p>
    <w:p w:rsidR="00C74C42" w:rsidRPr="00B009F8" w:rsidRDefault="00C74C42" w:rsidP="00A47389">
      <w:pPr>
        <w:keepNext/>
        <w:keepLines/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specifikace pro použití materiálu nebo předmětu, jako např.:</w:t>
      </w:r>
    </w:p>
    <w:p w:rsidR="00C74C42" w:rsidRPr="00B009F8" w:rsidRDefault="00C74C42" w:rsidP="00A47389">
      <w:pPr>
        <w:numPr>
          <w:ilvl w:val="1"/>
          <w:numId w:val="4"/>
        </w:numPr>
        <w:tabs>
          <w:tab w:val="clear" w:pos="1800"/>
          <w:tab w:val="num" w:pos="144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typ(-y) potravin, se kterými má přijít do styku;</w:t>
      </w:r>
    </w:p>
    <w:p w:rsidR="00C74C42" w:rsidRPr="00B009F8" w:rsidRDefault="00C74C42" w:rsidP="00A47389">
      <w:pPr>
        <w:numPr>
          <w:ilvl w:val="1"/>
          <w:numId w:val="4"/>
        </w:numPr>
        <w:tabs>
          <w:tab w:val="clear" w:pos="1800"/>
          <w:tab w:val="num" w:pos="144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doba a teplota zpracování a skladování, v jejichž podmínkách přichází do styku s potravinou;</w:t>
      </w:r>
    </w:p>
    <w:p w:rsidR="00C74C42" w:rsidRPr="00B009F8" w:rsidRDefault="00C74C42" w:rsidP="00A47389">
      <w:pPr>
        <w:numPr>
          <w:ilvl w:val="1"/>
          <w:numId w:val="4"/>
        </w:numPr>
        <w:tabs>
          <w:tab w:val="clear" w:pos="1800"/>
          <w:tab w:val="num" w:pos="144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poměr povrchu ve styku s potravinou a objemu, v němž byl materiál nebo předmět shledán odpovídajícím daným požadavkům.</w:t>
      </w:r>
    </w:p>
    <w:p w:rsidR="00C74C42" w:rsidRPr="00B009F8" w:rsidRDefault="00C74C42" w:rsidP="00A47389">
      <w:pPr>
        <w:jc w:val="both"/>
        <w:rPr>
          <w:rFonts w:ascii="Garamond" w:hAnsi="Garamond"/>
          <w:sz w:val="22"/>
          <w:szCs w:val="22"/>
        </w:rPr>
      </w:pPr>
    </w:p>
    <w:p w:rsidR="00C74C42" w:rsidRPr="00B009F8" w:rsidRDefault="00C74C42" w:rsidP="00A47389">
      <w:pPr>
        <w:jc w:val="both"/>
        <w:rPr>
          <w:rFonts w:ascii="Garamond" w:hAnsi="Garamond"/>
          <w:sz w:val="22"/>
          <w:szCs w:val="22"/>
        </w:rPr>
      </w:pPr>
    </w:p>
    <w:p w:rsidR="00C74C42" w:rsidRPr="00B009F8" w:rsidRDefault="00C74C42" w:rsidP="00A47389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Materiály, předměty nebo látky musí být snadno identifikovatelné na základě pro ně vydaného písemného prohlášení; v případě změny úrovní uvolňování kovů z důvodu podstatných výrobních změn nebo dostupnosti nových vědeckých údajů musí být vydáno nové prohlášení. V případě, že nedojde k žádným změnám základních materiálů, způsobů zpracování, použití, výrobního procesu atd., může prohlášení o shodě zůstat v platnosti po dobu maximálně 5 let. Subjekt odpovědný za výrobek se může ovšem rozhodnout obnovit prohlášení o shodě i přesto, že nedojde k žádným změnám okolností.</w:t>
      </w:r>
    </w:p>
    <w:p w:rsidR="00C74C42" w:rsidRPr="00B009F8" w:rsidRDefault="00C74C42" w:rsidP="00A4738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C74C42" w:rsidRPr="00B009F8" w:rsidRDefault="00C74C42" w:rsidP="00A47389">
      <w:pPr>
        <w:pStyle w:val="Heading4"/>
        <w:keepNext w:val="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 xml:space="preserve">Schváleno pro přiložení k výnosu ze dne ……………… o kovových a slitinových materiálech a předmětech určených pro styk s potravinami. </w:t>
      </w:r>
    </w:p>
    <w:p w:rsidR="00C74C42" w:rsidRPr="00B009F8" w:rsidRDefault="00C74C42" w:rsidP="00276E85">
      <w:pPr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85"/>
      </w:tblGrid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Jménem Jeho Veličenstva:</w:t>
            </w: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Ministr zdravotnictví,</w:t>
            </w: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M. DE BLOCK</w:t>
            </w: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Ministryně zemědělství,</w:t>
            </w: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74C42" w:rsidRPr="00B009F8" w:rsidTr="00F85383">
        <w:trPr>
          <w:cantSplit/>
          <w:jc w:val="center"/>
        </w:trPr>
        <w:tc>
          <w:tcPr>
            <w:tcW w:w="4385" w:type="dxa"/>
          </w:tcPr>
          <w:p w:rsidR="00C74C42" w:rsidRPr="00B009F8" w:rsidRDefault="00C74C42" w:rsidP="00276E8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D. DUCARME</w:t>
            </w:r>
          </w:p>
        </w:tc>
      </w:tr>
    </w:tbl>
    <w:p w:rsidR="00D50D5D" w:rsidRPr="00B009F8" w:rsidRDefault="00D50D5D" w:rsidP="00F85383"/>
    <w:sectPr w:rsidR="00D50D5D" w:rsidRPr="00B009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70" w:rsidRDefault="00634570" w:rsidP="000B55ED">
      <w:r>
        <w:separator/>
      </w:r>
    </w:p>
  </w:endnote>
  <w:endnote w:type="continuationSeparator" w:id="0">
    <w:p w:rsidR="00634570" w:rsidRDefault="00634570" w:rsidP="000B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70" w:rsidRDefault="00634570" w:rsidP="000B55ED">
      <w:r>
        <w:separator/>
      </w:r>
    </w:p>
  </w:footnote>
  <w:footnote w:type="continuationSeparator" w:id="0">
    <w:p w:rsidR="00634570" w:rsidRDefault="00634570" w:rsidP="000B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FA7"/>
    <w:multiLevelType w:val="hybridMultilevel"/>
    <w:tmpl w:val="373C74EE"/>
    <w:lvl w:ilvl="0" w:tplc="6008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3D32"/>
    <w:multiLevelType w:val="hybridMultilevel"/>
    <w:tmpl w:val="A1AA9EE4"/>
    <w:lvl w:ilvl="0" w:tplc="6008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688E"/>
    <w:multiLevelType w:val="hybridMultilevel"/>
    <w:tmpl w:val="1908CCC0"/>
    <w:lvl w:ilvl="0" w:tplc="6008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57206"/>
    <w:multiLevelType w:val="hybridMultilevel"/>
    <w:tmpl w:val="516E44AE"/>
    <w:lvl w:ilvl="0" w:tplc="F18667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E6E92FE">
      <w:start w:val="1"/>
      <w:numFmt w:val="lowerRoman"/>
      <w:lvlText w:val="%2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42"/>
    <w:rsid w:val="000B55ED"/>
    <w:rsid w:val="00132D55"/>
    <w:rsid w:val="00276E85"/>
    <w:rsid w:val="00583446"/>
    <w:rsid w:val="005D1ADB"/>
    <w:rsid w:val="00617213"/>
    <w:rsid w:val="00634570"/>
    <w:rsid w:val="00695C9A"/>
    <w:rsid w:val="00712B78"/>
    <w:rsid w:val="008C5E75"/>
    <w:rsid w:val="00A47389"/>
    <w:rsid w:val="00B009F8"/>
    <w:rsid w:val="00BB148C"/>
    <w:rsid w:val="00C74C42"/>
    <w:rsid w:val="00D50D5D"/>
    <w:rsid w:val="00E77776"/>
    <w:rsid w:val="00F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3AED93-7877-4BFC-8D6C-7D67488F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74C42"/>
    <w:pPr>
      <w:keepNext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C74C42"/>
    <w:pPr>
      <w:keepNext/>
      <w:ind w:left="708"/>
      <w:jc w:val="center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74C42"/>
    <w:pPr>
      <w:spacing w:before="120" w:after="120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4C42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ListParagraph">
    <w:name w:val="List Paragraph"/>
    <w:basedOn w:val="Normal"/>
    <w:uiPriority w:val="34"/>
    <w:qFormat/>
    <w:rsid w:val="00C74C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74C42"/>
    <w:rPr>
      <w:rFonts w:ascii="Times New Roman" w:eastAsia="Times New Roman" w:hAnsi="Times New Roman" w:cs="Times New Roman"/>
      <w:sz w:val="24"/>
      <w:szCs w:val="20"/>
      <w:lang w:val="cs-CZ" w:eastAsia="en-GB"/>
    </w:rPr>
  </w:style>
  <w:style w:type="character" w:customStyle="1" w:styleId="Heading4Char">
    <w:name w:val="Heading 4 Char"/>
    <w:basedOn w:val="DefaultParagraphFont"/>
    <w:link w:val="Heading4"/>
    <w:rsid w:val="00C74C42"/>
    <w:rPr>
      <w:rFonts w:ascii="Times New Roman" w:eastAsia="Times New Roman" w:hAnsi="Times New Roman" w:cs="Times New Roman"/>
      <w:sz w:val="24"/>
      <w:szCs w:val="20"/>
      <w:lang w:val="cs-CZ" w:eastAsia="en-GB"/>
    </w:rPr>
  </w:style>
  <w:style w:type="table" w:styleId="TableGrid">
    <w:name w:val="Table Grid"/>
    <w:basedOn w:val="TableNormal"/>
    <w:rsid w:val="00C7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74C42"/>
    <w:pPr>
      <w:autoSpaceDE w:val="0"/>
      <w:autoSpaceDN w:val="0"/>
      <w:adjustRightInd w:val="0"/>
    </w:pPr>
    <w:rPr>
      <w:szCs w:val="19"/>
    </w:rPr>
  </w:style>
  <w:style w:type="character" w:customStyle="1" w:styleId="BodyTextChar">
    <w:name w:val="Body Text Char"/>
    <w:basedOn w:val="DefaultParagraphFont"/>
    <w:link w:val="BodyText"/>
    <w:rsid w:val="00C74C42"/>
    <w:rPr>
      <w:rFonts w:ascii="Times New Roman" w:eastAsia="Times New Roman" w:hAnsi="Times New Roman" w:cs="Times New Roman"/>
      <w:sz w:val="24"/>
      <w:szCs w:val="19"/>
      <w:lang w:val="cs-CZ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6E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6E85"/>
    <w:rPr>
      <w:rFonts w:ascii="Courier New" w:eastAsia="Times New Roman" w:hAnsi="Courier New" w:cs="Courier New"/>
      <w:sz w:val="20"/>
      <w:szCs w:val="20"/>
      <w:lang w:val="cs-CZ" w:eastAsia="en-GB"/>
    </w:rPr>
  </w:style>
  <w:style w:type="paragraph" w:styleId="Header">
    <w:name w:val="header"/>
    <w:basedOn w:val="Normal"/>
    <w:link w:val="HeaderChar"/>
    <w:uiPriority w:val="99"/>
    <w:unhideWhenUsed/>
    <w:rsid w:val="000B55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5ED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0B55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5ED"/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Heyvaert Els</dc:creator>
  <cp:keywords/>
  <dc:description/>
  <cp:lastModifiedBy>Liu, Lei</cp:lastModifiedBy>
  <cp:revision>8</cp:revision>
  <dcterms:created xsi:type="dcterms:W3CDTF">2018-09-04T13:14:00Z</dcterms:created>
  <dcterms:modified xsi:type="dcterms:W3CDTF">2018-09-12T08:08:00Z</dcterms:modified>
</cp:coreProperties>
</file>