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5B9BDA6C" w:rsidR="00E30B60" w:rsidRDefault="00CB547F">
      <w:pPr>
        <w:spacing w:before="6"/>
        <w:ind w:left="105" w:right="225"/>
        <w:jc w:val="center"/>
        <w:rPr>
          <w:sz w:val="46"/>
        </w:rPr>
      </w:pPr>
      <w:r>
        <w:rPr>
          <w:sz w:val="46"/>
        </w:rPr>
        <w:t xml:space="preserve">ΣΥΛΛΟΓΗ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366F0F">
        <w:rPr>
          <w:sz w:val="46"/>
          <w:lang w:val="hr-HR"/>
        </w:rPr>
        <w:t xml:space="preserve"> </w:t>
      </w:r>
      <w:r>
        <w:rPr>
          <w:sz w:val="46"/>
        </w:rPr>
        <w:t>ΝΟΜΩΝ</w:t>
      </w:r>
    </w:p>
    <w:p w14:paraId="350B1BBF" w14:textId="77777777" w:rsidR="00E30B60" w:rsidRDefault="00CB547F">
      <w:pPr>
        <w:spacing w:before="66"/>
        <w:ind w:left="105" w:right="105"/>
        <w:jc w:val="center"/>
        <w:rPr>
          <w:sz w:val="34"/>
        </w:rPr>
      </w:pPr>
      <w:r>
        <w:rPr>
          <w:sz w:val="34"/>
        </w:rPr>
        <w:t>ΤΗΣ ΣΛΟΒΑΚΙΚΗΣ ΔΗΜΟΚΡΑΤΙΑΣ</w:t>
      </w:r>
    </w:p>
    <w:p w14:paraId="06343233" w14:textId="77777777" w:rsidR="00E30B60" w:rsidRDefault="00A633E5">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Τόμος 2021</w:t>
      </w:r>
    </w:p>
    <w:p w14:paraId="0B8D25E3" w14:textId="383ECFDD" w:rsidR="00D0358C" w:rsidRDefault="00CB547F">
      <w:pPr>
        <w:tabs>
          <w:tab w:val="left" w:pos="4781"/>
        </w:tabs>
        <w:spacing w:before="38" w:line="403" w:lineRule="auto"/>
        <w:ind w:left="105" w:right="103"/>
        <w:jc w:val="center"/>
      </w:pPr>
      <w:r>
        <w:t>Εκδόθηκε:26.11.2021</w:t>
      </w:r>
      <w:r w:rsidR="00366F0F">
        <w:rPr>
          <w:lang w:val="hr-HR"/>
        </w:rPr>
        <w:t xml:space="preserve">                </w:t>
      </w:r>
      <w:r>
        <w:t>Χρονική έκδοση της νομοθεσίας που ισχύει από:1.01.2030</w:t>
      </w:r>
    </w:p>
    <w:p w14:paraId="1B7690C4" w14:textId="22EA24A9" w:rsidR="00E30B60" w:rsidRDefault="00CB547F">
      <w:pPr>
        <w:tabs>
          <w:tab w:val="left" w:pos="4781"/>
        </w:tabs>
        <w:spacing w:before="38" w:line="403" w:lineRule="auto"/>
        <w:ind w:left="105" w:right="103"/>
        <w:jc w:val="center"/>
      </w:pPr>
      <w:r>
        <w:t xml:space="preserve"> Το περιεχόμενο του εγγράφου είναι νομικά δεσμευτικό.</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Ν Ο Μ Ο Σ</w:t>
      </w:r>
    </w:p>
    <w:p w14:paraId="319B4591" w14:textId="77777777" w:rsidR="00E30B60" w:rsidRDefault="00CB547F">
      <w:pPr>
        <w:pStyle w:val="BodyText"/>
        <w:spacing w:before="60"/>
        <w:ind w:left="105" w:right="105"/>
        <w:jc w:val="center"/>
      </w:pPr>
      <w:r>
        <w:t>της 2ας Νοεμβρίου 2021,</w:t>
      </w:r>
    </w:p>
    <w:p w14:paraId="2CC89435" w14:textId="77777777" w:rsidR="00E30B60" w:rsidRDefault="00CB547F">
      <w:pPr>
        <w:pStyle w:val="BodyText"/>
        <w:spacing w:before="93" w:line="244" w:lineRule="auto"/>
        <w:ind w:left="1230" w:right="1228"/>
        <w:jc w:val="center"/>
        <w:rPr>
          <w:b/>
        </w:rPr>
      </w:pPr>
      <w:r>
        <w:rPr>
          <w:b/>
        </w:rPr>
        <w:t>για την τροποποίηση του νόμου αριθ. 79/2015 σχετικά με τα απόβλητα και τις τροποποιήσεις ορισμένων νόμων, όπως τροποποιήθηκε και για την τροποποίηση του νόμου αριθ. 302/2019 σχετικά με σύστημα ανταποδοτικής ανακύκλωσης για αναλώσιμους περιέκτες ποτών και την τροποποίηση ορισμένων νόμων, όπως τροποποιήθηκε</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Το Εθνικό Συμβούλιο της Σλοβακικής Δημοκρατίας ψήφισε τον ακόλουθο νόμο:</w:t>
      </w:r>
    </w:p>
    <w:p w14:paraId="5C1BC0D2" w14:textId="77777777" w:rsidR="00E30B60" w:rsidRDefault="00CB547F">
      <w:pPr>
        <w:pStyle w:val="BodyText"/>
        <w:spacing w:before="208"/>
        <w:ind w:left="105" w:right="105"/>
        <w:jc w:val="center"/>
        <w:rPr>
          <w:b/>
        </w:rPr>
      </w:pPr>
      <w:r>
        <w:rPr>
          <w:b/>
        </w:rPr>
        <w:t>Άρθρο I</w:t>
      </w:r>
    </w:p>
    <w:p w14:paraId="2FC10E75" w14:textId="4EC5C8BF" w:rsidR="00E30B60" w:rsidRDefault="00CB547F">
      <w:pPr>
        <w:pStyle w:val="BodyText"/>
        <w:spacing w:before="217" w:line="276" w:lineRule="auto"/>
        <w:ind w:left="105" w:right="103" w:firstLine="226"/>
        <w:jc w:val="both"/>
      </w:pPr>
      <w:r>
        <w:t>Ο νόμος αριθ. 79/2015 σχετικά με τα απόβλητα και τις τροποποιήσεις ορισμένων νόμων, όπως τροποποιήθηκε με τον νόμο αριθ. 91/2016, τον νόμο αριθ. 313/2016, τον νόμο αριθ. 90/2017, τον νόμο αριθ. 292/2017, τον νόμο αριθ. 106/2018, τον νόμο αριθ. 177/2018, τον νόμο αριθ. 208/2018, τον νόμο αριθ. 312/2018, τον νόμο αριθ. 302/2019, τον νόμο αριθ. 364/2019, τον νόμο αριθ. 460/2019, τον νόμο αριθ. 74/2020, τον νόμο αριθ. 218/2020, τον νόμο αριθ. 285/2020, τον νόμο αριθ. 9/2021,</w:t>
      </w:r>
    </w:p>
    <w:p w14:paraId="1C547400" w14:textId="235D3DB4" w:rsidR="00E30B60" w:rsidRDefault="00CB547F">
      <w:pPr>
        <w:pStyle w:val="BodyText"/>
        <w:spacing w:line="276" w:lineRule="auto"/>
        <w:ind w:left="105" w:right="193"/>
      </w:pPr>
      <w:r>
        <w:t>τον νόμο αριθ. 46/2021, τον νόμο αριθ. 128/2021, τον νόμο αριθ. 216/2021 και τον νόμο αριθ. 372/2021 τροποποιείται ως εξής:</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Στο άρθρο 27 παράγραφος 1, η λέξη «έβδομο» αντικαθίσταται από τη λέξη «όγδοο».</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Στο άρθρο 52, οι παράγραφοι 29 και 30 διαγράφονται.</w:t>
      </w:r>
    </w:p>
    <w:p w14:paraId="731629A1" w14:textId="77777777" w:rsidR="00E30B60" w:rsidRDefault="00CB547F">
      <w:pPr>
        <w:pStyle w:val="BodyText"/>
        <w:spacing w:before="105"/>
        <w:ind w:left="729"/>
      </w:pPr>
      <w:r>
        <w:t>Οι παράγραφοι 31 έως 35 γίνονται παράγραφοι 29 έως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Μετά το άρθρο 53, παρεμβάλλεται το άρθρο 53αα, το οποίο διατυπώνεται ως εξής:</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«Άρθρο 53αα</w:t>
      </w:r>
    </w:p>
    <w:p w14:paraId="78A7988B" w14:textId="0782E007" w:rsidR="00E30B60" w:rsidRDefault="00CB547F">
      <w:pPr>
        <w:pStyle w:val="BodyText"/>
        <w:spacing w:before="217" w:line="276" w:lineRule="auto"/>
        <w:ind w:left="502" w:right="193" w:firstLine="226"/>
      </w:pPr>
      <w:r>
        <w:t>Οι κρατικοί φορείς διοίκησης δεν πρέπει να αγοράζουν ποτά σε συσκευασία μιας χρήσης για τις δραστηριότητές τους».</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Το άρθρο 53α διαγράφεται.</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Το άρθρο 73α διαγράφεται.</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Μετά το άρθρο 75, εισάγεται ένα νέο όγδοο τμήμα, το οποίο, συμπεριλαμβανομένου του τίτλου, διατυπώνεται ως εξής:</w:t>
      </w:r>
    </w:p>
    <w:p w14:paraId="2697A68C" w14:textId="77777777" w:rsidR="00E30B60" w:rsidRDefault="00CB547F">
      <w:pPr>
        <w:pStyle w:val="BodyText"/>
        <w:spacing w:before="208" w:line="302" w:lineRule="auto"/>
        <w:ind w:left="3793" w:right="3380" w:firstLine="657"/>
        <w:rPr>
          <w:b/>
        </w:rPr>
      </w:pPr>
      <w:r>
        <w:rPr>
          <w:b/>
        </w:rPr>
        <w:t>«Όγδοο τμήμα</w:t>
      </w:r>
      <w:r>
        <w:rPr>
          <w:b/>
        </w:rPr>
        <w:br/>
        <w:t>Ειδικά πλαστικά προϊόντα</w:t>
      </w:r>
    </w:p>
    <w:p w14:paraId="22DCFF1C" w14:textId="626808FF" w:rsidR="00E30B60" w:rsidRDefault="00CB547F">
      <w:pPr>
        <w:pStyle w:val="BodyText"/>
        <w:spacing w:before="245" w:line="280" w:lineRule="auto"/>
        <w:ind w:left="4014" w:right="3603" w:firstLine="852"/>
        <w:rPr>
          <w:b/>
        </w:rPr>
      </w:pPr>
      <w:r>
        <w:rPr>
          <w:b/>
        </w:rPr>
        <w:t>Άρθρο 75α</w:t>
      </w:r>
      <w:r>
        <w:rPr>
          <w:b/>
        </w:rPr>
        <w:br/>
      </w:r>
      <w:r w:rsidR="00327732">
        <w:rPr>
          <w:b/>
          <w:lang w:val="hr-HR"/>
        </w:rPr>
        <w:t xml:space="preserve">      </w:t>
      </w:r>
      <w:r>
        <w:rPr>
          <w:b/>
        </w:rPr>
        <w:t>Βασικές διατάξεις</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Το παρόν τμήμα ρυθμίζει τις απαιτήσεις και τα μέτρα για την πρόληψη των περιβαλλοντικών επιπτώσεων ορισμένων πλαστικών προϊόντων μιας χρήσης, ιδίως για το υδάτινο περιβάλλον και την</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ανθρώπινη υγεία, προκειμένου να μειωθεί αυτός ο αντίκτυπος και να υποστηριχθεί η μετάβαση σε μια κυκλική οικονομία με καινοτόμα και βιώσιμα επιχειρηματικά μοντέλα, προϊόντα και υλικά.</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Οι διατάξεις του παρόντος τμήματος εφαρμόζονται στα πλαστικά προϊόντα μιας χρήσης που περιλαμβάνονται στο παράρτημα 7α, οξοδιασπώμενα πλαστικά προϊόντα και αλιευτικά εργαλεία που περιέχουν πλαστικό.</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Εκτός εάν ορίζεται διαφορετικά στο παρόν τμήμα, οι γενικές διατάξεις του παρόντος νόμου εφαρμόζονται σε όλα τα πλαστικά προϊόντα μιας χρήσης και στα αλιευτικά εργαλεία, τα οποία περιέχουν πλαστικό και διατίθενται στην αγορά ή προς διανομή στη Σλοβακική Δημοκρατία, καθώς και στη διαχείριση των αποβλήτων τους.</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Για τους σκοπούς του παρόντος τμήματος, ως πλαστικό νοείται το υλικό που αποτελείται από ένα πολυμερές,</w:t>
      </w:r>
      <w:r>
        <w:rPr>
          <w:sz w:val="10"/>
        </w:rPr>
        <w:t xml:space="preserve"> 72(α)</w:t>
      </w:r>
      <w:r>
        <w:rPr>
          <w:sz w:val="20"/>
        </w:rPr>
        <w:t xml:space="preserve"> στο οποίο ενδέχεται να έχουν προστεθεί πρόσθετα ή άλλες ουσίες και το οποίο μπορεί να αποτελεί το κύριο συστατικό των τελικών προϊόντων, εκτός από τα φυσικά πολυμερή που δεν έχουν υποστεί χημική τροποποίηση.</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Ως πλαστικό προϊόν μιας χρήσης νοείται ένα προϊόν που κατασκευάζεται εξ ολοκλήρου ή εν μέρει από πλαστικό και το οποίο δεν έχει σχεδιαστεί, κατασκευαστεί ή διατεθεί στην αγορά για να ολοκληρώσει, εντός της διάρκειας ζωής του, πολλαπλούς κύκλους ή περιστροφές μέσω της επιστροφής του σε κάποιον παραγωγό για επαναπλήρωση ή επαναχρησιμοποίηση για τον ίδιο σκοπό για τον οποίο κατασκευάστηκε.</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Το οξοδιασπώμενο πλαστικό είναι ένα πλαστικό υλικό που περιέχει πρόσθετα, τα οποία μέσω της οξείδωσης διασπούν το πλαστικό υλικό σε μικροθραύσματα ή το αποσυνθέτουν χημικά.</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Ως αλιευτικό εργαλείο νοείται κάθε είδος ή μέρος εξοπλισμού που χρησιμοποιείται στην αλιεία ή την υδατοκαλλιέργεια για να στοχεύσει, να αλιεύσει ή να ανασύρει θαλάσσιους βιολογικούς πόρους ή που επιπλέει στην επιφάνεια της θάλασσας και χρησιμοποιείται με στόχο την προσέλκυση και τη σύλληψη ή την ανάσυρση τέτοιων θαλάσσιων βιολογικών πόρων.</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Ως απόβλητο αλιευτικό εργαλείο νοείται κάθε αλιευτικό εργαλείο που έχει καταστεί απόβλητο, συμπεριλαμβανομένων όλων των χωριστών συστατικών, ουσιών ή υλικών που αποτελούσαν μέρος ή ήταν προσαρτημένα στο εν λόγω αλιευτικό εργαλείο κατά την απόρριψη, καθώς και κατά την εγκατάλειψη ή την απώλειά του.</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Η διάθεση στην αγορά είναι η αρχική διάθεση στην αγορά ενός πλαστικού προϊόντος μιας χρήσης ή αλιευτικού εργαλείου που περιέχει πλαστικό στη Σλοβακική Δημοκρατία.</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Ως διάθεση στην αγορά νοείται κάθε προμήθεια πλαστικού προϊόντος μιας χρήσης ή αλιευτικού εργαλείου που περιέχει πλαστικό και προορίζεται για διανομή, κατανάλωση ή χρήση στην αγορά της Σλοβακικής Δημοκρατίας στο πλαίσιο επιχειρηματικών δραστηριοτήτων, με αντάλλαγμα την πληρωμή ή χωρίς χρέωση.</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Το εναρμονισμένο πρότυπο είναι ένα ευρωπαϊκό πρότυπο που εγκρίνεται με βάση τις απαιτήσεις της Επιτροπής για την εφαρμογή της εναρμονισμένης νομοθεσίας της ΕΕ.</w:t>
      </w:r>
      <w:r>
        <w:rPr>
          <w:sz w:val="10"/>
        </w:rPr>
        <w:t>96α</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Ως κατασκευαστής ενός πλαστικού προϊόντος μίας χρήσης ή αλιευτικού εργαλείου που περιέχει πλαστικό νοείται κάθε ανεξάρτητος εμπορευόμενος ή εταιρική οντότητα που, ανεξάρτητα από τις τεχνικές πωλήσεων που χρησιμοποιούνται, συμπεριλαμβανομένων των ταχυδρομικών παραγγελιών και διαδικτυακών πωλήσεων,</w:t>
      </w:r>
      <w:r>
        <w:rPr>
          <w:sz w:val="10"/>
        </w:rPr>
        <w:t xml:space="preserve"> 96(β</w:t>
      </w:r>
      <w:r>
        <w:rPr>
          <w:sz w:val="20"/>
        </w:rPr>
        <w:t>) εκτός από μια οντότητα που ασκεί αλιευτικές δραστηριότητες βάσει ειδικής νομοθεσίας,</w:t>
      </w:r>
      <w:r>
        <w:rPr>
          <w:sz w:val="10"/>
        </w:rPr>
        <w:t xml:space="preserve"> 96(β</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έχει καταστατική έδρα ή έδρα της επιχείρησης στη Σλοβακική Δημοκρατία και κατασκευάζει πλαστικά προϊόντα μιας χρήσης και αλιευτικά εργαλεία, ή έχει κατασκευασμένα πλαστικά προϊόντα μιας χρήσης και αλιευτικά εργαλεία και τα διαθέτει στην αγορά·</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έχει καταστατική έδρα ή έδρα της επιχείρησης στη Σλοβακική Δημοκρατία και πωλεί πλαστικά προϊόντα μιας χρήσης και αλιευτικά εργαλεία στη Σλοβακική Δημοκρατία·</w:t>
      </w:r>
    </w:p>
    <w:p w14:paraId="4D4600DA" w14:textId="1D014576" w:rsidR="00E30B60" w:rsidRPr="00366F0F" w:rsidRDefault="00CB547F" w:rsidP="00366F0F">
      <w:pPr>
        <w:pStyle w:val="ListParagraph"/>
        <w:numPr>
          <w:ilvl w:val="0"/>
          <w:numId w:val="21"/>
        </w:numPr>
        <w:tabs>
          <w:tab w:val="left" w:pos="786"/>
        </w:tabs>
        <w:spacing w:before="100" w:line="276" w:lineRule="auto"/>
        <w:jc w:val="both"/>
        <w:rPr>
          <w:sz w:val="20"/>
        </w:rPr>
      </w:pPr>
      <w:r>
        <w:rPr>
          <w:sz w:val="20"/>
        </w:rPr>
        <w:lastRenderedPageBreak/>
        <w:t>έχει καταστατική έδρα ή έδρα επιχειρηματικής δραστηριότητας στη Σλοβακική Δημοκρατία και πραγματοποιεί πλήρωση πλαστικών προϊόντων μιας χρήσης ή αναθέτει την πλήρωση πλαστικών προϊόντων μιας χρήσης και τα διαθέτει στην αγορά·</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έχει καταστατική έδρα ή έδρα επιχειρηματικής δραστηριότητας στη Σλοβακική Δημοκρατία και διαθέτει πλαστικά προϊόντα μιας χρήσης και αλιευτικά εργαλεία από άλλο κράτος μέλος ή από χώρα εκτός ΕΕ στην αγορά της Σλοβακικής Δημοκρατίας στο πλαίσιο επιχειρηματικών δραστηριοτήτων·</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πωλεί πλαστικά προϊόντα μιας χρήσης και αλιευτικά εργαλεία στη Σλοβακική Δημοκρατία μέσω εξ αποστάσεως επικοινωνίας, απευθείας σε νοικοκυριά ή σε μη οικιακούς χρήστες και έχει την καταστατική έδρα ή τον έδρα επιχειρηματικής δραστηριότητας σε άλλο κράτος μέλος ή σε χώρα εκτός ΕΕ·</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έχει καταστατική έδρα ή έδρα επιχειρηματικής δραστηριότητας στη Σλοβακική Δημοκρατία και στο πλαίσιο των επιχειρηματικών δραστηριοτήτων, πωλεί πλαστικά προϊόντα μιας χρήσης και αλιευτικά εργαλεία απευθείας σε χρήστη σε άλλο κράτος μέλος βάσει σύμβασης εξ αποστάσεως.</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Ως βιοδιασπώμενο πλαστικό νοείται το πλαστικό που είναι δυνατό να υποστεί φυσική και βιολογική αποσύνθεση, έτσι ώστε τελικά να αποσυντεθεί σε διοξείδιο του άνθρακα (CO</w:t>
      </w:r>
      <w:r>
        <w:rPr>
          <w:sz w:val="14"/>
        </w:rPr>
        <w:t>2</w:t>
      </w:r>
      <w:r>
        <w:rPr>
          <w:sz w:val="20"/>
        </w:rPr>
        <w:t>), βιομάζα και νερό και σύμφωνα με τα ευρωπαϊκά πρότυπα για τη συσκευασία, είναι ανακτήσιμο μέσω λιπασματοποίησης και αναερόβιας χώνευσης.</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Ως λιμενικές εγκαταστάσεις παραλαβής νοούνται οι λιμενικές εγκαταστάσεις παραλαβής σύμφωνα με ειδική νομοθεσία.</w:t>
      </w:r>
      <w:r>
        <w:rPr>
          <w:sz w:val="10"/>
        </w:rPr>
        <w:t>96δ</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Τα προϊόντα καπνού είναι προϊόντα καπνού που ορίζονται σύμφωνα με ειδική νομοθεσία.</w:t>
      </w:r>
      <w:r>
        <w:rPr>
          <w:sz w:val="10"/>
        </w:rPr>
        <w:t>96ε</w:t>
      </w:r>
      <w:r>
        <w:rPr>
          <w:sz w:val="20"/>
        </w:rPr>
        <w:t>)</w:t>
      </w:r>
    </w:p>
    <w:p w14:paraId="60BFB0FA" w14:textId="77777777" w:rsidR="00E30B60" w:rsidRDefault="00E30B60">
      <w:pPr>
        <w:pStyle w:val="BodyText"/>
        <w:spacing w:before="6"/>
        <w:rPr>
          <w:sz w:val="27"/>
        </w:rPr>
      </w:pPr>
    </w:p>
    <w:p w14:paraId="34F54EF9" w14:textId="77777777" w:rsidR="00E30B60" w:rsidRDefault="00CB547F" w:rsidP="00D0358C">
      <w:pPr>
        <w:pStyle w:val="BodyText"/>
        <w:spacing w:line="280" w:lineRule="auto"/>
        <w:ind w:left="4100" w:right="3250" w:firstLine="764"/>
        <w:rPr>
          <w:b/>
        </w:rPr>
      </w:pPr>
      <w:r>
        <w:rPr>
          <w:b/>
        </w:rPr>
        <w:t>Άρθρο 75β</w:t>
      </w:r>
      <w:r>
        <w:rPr>
          <w:b/>
        </w:rPr>
        <w:br/>
        <w:t>Μείωση κατανάλωσης</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Ένας κατασκευαστής πλαστικού προϊόντος μιας χρήσης, ο οποίος παρέχει προϊόντα μιας χρήσης που περιλαμβάνονται στο παράρτημα αριθ, 7α του μέρους Α στον τελικό καταναλωτή για την κατανάλωση τροφίμων και ποτών σε τόπο διαφορετικό από τον τόπο πώλησης, υποχρεούται</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να τα παρέχει επ’ αμοιβή· να ενημερώνει σχετικά τον τελικό καταναλωτή·</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να προσφέρει μια επαναχρησιμοποιήσιμη εναλλακτική λύση στον τελικό καταναλωτή· ή</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να προσφέρει μια βιοδιασπώμενη εναλλακτική λύση.</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Τα ακόλουθα ενδέχεται να μην παρέχονται στους καταναλωτές για κατανάλωση τροφίμων και ποτών στο σημείο πώλησης:</w:t>
      </w:r>
    </w:p>
    <w:p w14:paraId="4734A695" w14:textId="77777777" w:rsidR="00E30B60" w:rsidRDefault="00CB547F">
      <w:pPr>
        <w:pStyle w:val="ListParagraph"/>
        <w:numPr>
          <w:ilvl w:val="0"/>
          <w:numId w:val="18"/>
        </w:numPr>
        <w:tabs>
          <w:tab w:val="left" w:pos="786"/>
        </w:tabs>
        <w:spacing w:before="100"/>
        <w:ind w:right="0"/>
        <w:rPr>
          <w:sz w:val="20"/>
        </w:rPr>
      </w:pPr>
      <w:r>
        <w:rPr>
          <w:sz w:val="20"/>
        </w:rPr>
        <w:t>πλαστικά προϊόντα μιας χρήσης σε μόνιμες εγκαταστάσεις δημόσιας και ταχείας εστίασης·</w:t>
      </w:r>
    </w:p>
    <w:p w14:paraId="49E77A18" w14:textId="77777777" w:rsidR="00E30B60" w:rsidRDefault="00CB547F">
      <w:pPr>
        <w:pStyle w:val="ListParagraph"/>
        <w:numPr>
          <w:ilvl w:val="0"/>
          <w:numId w:val="18"/>
        </w:numPr>
        <w:tabs>
          <w:tab w:val="left" w:pos="786"/>
        </w:tabs>
        <w:spacing w:before="135"/>
        <w:ind w:right="0"/>
        <w:rPr>
          <w:sz w:val="20"/>
        </w:rPr>
      </w:pPr>
      <w:r>
        <w:rPr>
          <w:sz w:val="20"/>
        </w:rPr>
        <w:t>πλαστικά πιάτα μιας χρήσης σε δημόσιες εκδηλώσεις.</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Εκτός από την απαγόρευση σύμφωνα με την παράγραφο 2β), ο διοργανωτής μιας δημόσιας εκδήλωσης υποχρεούται στην περίπτωση της παροχής βιοδιασπώμενων προϊόντων να διασφαλίσει την επακόλουθη χωριστή συλλογή τους.</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Ο κατασκευαστής πλαστικού προϊόντος μιας χρήσης που αναφέρεται στο παράρτημα 7α μέρος Α πρέπει να τηρεί αρχεία για μεμονωμένα προϊόντα που διατίθενται στην αγορά της Σλοβακικής Δημοκρατίας, να αναφέρει στο Υπουργείο τα δεδομένα αυτού του αρχείου στον απαιτούμενο βαθμό και να διατηρεί τα αναφερόμενα δεδομένα.</w:t>
      </w:r>
    </w:p>
    <w:p w14:paraId="2E7C43F1" w14:textId="54D271C5" w:rsidR="00E30B60" w:rsidRDefault="00CB547F">
      <w:pPr>
        <w:pStyle w:val="ListParagraph"/>
        <w:numPr>
          <w:ilvl w:val="0"/>
          <w:numId w:val="20"/>
        </w:numPr>
        <w:tabs>
          <w:tab w:val="left" w:pos="1058"/>
        </w:tabs>
        <w:spacing w:line="276" w:lineRule="auto"/>
        <w:ind w:firstLine="226"/>
        <w:jc w:val="both"/>
        <w:rPr>
          <w:sz w:val="20"/>
        </w:rPr>
      </w:pPr>
      <w:r>
        <w:rPr>
          <w:sz w:val="20"/>
        </w:rPr>
        <w:t>Ο κατασκευαστής πλαστικού προϊόντος μιας χρήσης που αναφέρεται στο παράρτημα 7α μέρος Α πρέπει να συντάσσει έκθεση σχετικά με τα μέτρα που λαμβάνονται για τη μείωση της κατανάλωσης και να ενημερώνει το Υπουργείο το αργότερο έως τις 30 Απριλίου σχετικά με την πρόοδο που έχει σημειωθεί αναφορικά με τη μείωση της κατανάλωσης.</w:t>
      </w:r>
    </w:p>
    <w:p w14:paraId="28636B5C" w14:textId="77777777" w:rsidR="00366F0F" w:rsidRPr="00366F0F" w:rsidRDefault="00366F0F" w:rsidP="00366F0F">
      <w:pPr>
        <w:tabs>
          <w:tab w:val="left" w:pos="1058"/>
        </w:tabs>
        <w:spacing w:line="276" w:lineRule="auto"/>
        <w:jc w:val="both"/>
        <w:rPr>
          <w:sz w:val="20"/>
        </w:rPr>
      </w:pPr>
    </w:p>
    <w:p w14:paraId="704750EF" w14:textId="77777777" w:rsidR="00E30B60" w:rsidRDefault="00E30B60">
      <w:pPr>
        <w:pStyle w:val="BodyText"/>
        <w:spacing w:before="6"/>
        <w:rPr>
          <w:sz w:val="24"/>
        </w:rPr>
      </w:pPr>
    </w:p>
    <w:p w14:paraId="7AF8DF9A" w14:textId="77777777" w:rsidR="00E30B60" w:rsidRDefault="00CB547F">
      <w:pPr>
        <w:pStyle w:val="BodyText"/>
        <w:ind w:left="1230" w:right="834"/>
        <w:jc w:val="center"/>
        <w:rPr>
          <w:b/>
        </w:rPr>
      </w:pPr>
      <w:r>
        <w:rPr>
          <w:b/>
        </w:rPr>
        <w:t>Άρθρο 75γ</w:t>
      </w:r>
    </w:p>
    <w:p w14:paraId="38A6FDAC" w14:textId="77777777" w:rsidR="00E30B60" w:rsidRDefault="00CB547F">
      <w:pPr>
        <w:pStyle w:val="BodyText"/>
        <w:spacing w:before="218" w:line="276" w:lineRule="auto"/>
        <w:ind w:left="502" w:right="110" w:firstLine="226"/>
      </w:pPr>
      <w:r>
        <w:t>Απαγορεύεται να διατίθενται στην αγορά της Σλοβακικής Δημοκρατίας τα πλαστικά προϊόντα μιας χρήσης που περιλαμβάνονται στο παράρτημα 7α μέρος Β και οξοδιασπώμενα πλαστικά.</w:t>
      </w:r>
    </w:p>
    <w:p w14:paraId="3AF504C1" w14:textId="77777777" w:rsidR="00E30B60" w:rsidRDefault="00E30B60">
      <w:pPr>
        <w:pStyle w:val="BodyText"/>
      </w:pP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Άρθρο 75δ</w:t>
      </w:r>
    </w:p>
    <w:p w14:paraId="223D1A26" w14:textId="77777777" w:rsidR="00E30B60" w:rsidRDefault="00CB547F">
      <w:pPr>
        <w:pStyle w:val="BodyText"/>
        <w:spacing w:before="40"/>
        <w:ind w:left="1230" w:right="834"/>
        <w:jc w:val="center"/>
        <w:rPr>
          <w:b/>
        </w:rPr>
      </w:pPr>
      <w:r>
        <w:rPr>
          <w:b/>
        </w:rPr>
        <w:t>Απαιτήσεις πλαστικού προϊόντος μιας χρήσης</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Ο κατασκευαστής ενός πλαστικού προϊόντος μιας χρήσης υποχρεούται να διαθέτει στην αγορά της Σλοβακικής Δημοκρατίας τους περιέκτες ποτών που περιλαμβάνονται στο παράρτημα 7α μέρος Γ, υπό την προϋπόθεση ότι τα πλαστικά πώματα και καλύμματα παραμένουν προσαρτημένα στους περιέκτες ποτών κατά την προβλεπόμενη χρήση του προϊόντος.</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Οι περιέκτες ποτών που περιλαμβάνονται στο παράρτημα 7α μέρος Γ, κατασκευασμένοι σύμφωνα με εναρμονισμένα πρότυπα, των οποίων η αναφορά έχει δημοσιευθεί στην Επίσημη Εφημερίδα της Ευρωπαϊκής Ένωσης, θεωρούνται περιέκτες ποτών σύμφωνα με την απαίτηση της παραγράφου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Μεταλλικά πώματα και καλύμματα με πλαστικές σφραγίδες δεν θεωρούνται ότι είναι κατασκευασμένα από πλαστικό.</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Ο κατασκευαστής πλαστικού προϊόντος μιας χρήσης που αναφέρεται στο παράρτημα 7α μέρος ΣΤ, υποχρεούται να διαθέτει περιέκτες ποτών στην αγορά της Σλοβακικής Δημοκρατίας</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κατασκευασμένους από πολυτερεφθαλικό αιθυλένιο (εφεξής περιέκτες ποτών PET) που περιέχουν τουλάχιστον 25% ανακυκλωμένο πλαστικό από τη συνολική ποσότητα περιεκτών ποτών ΡΕΤ που διαθέτει στην αγορά της Σλοβακικής Δημοκρατίας·</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με ελάχιστη περιεκτικότητα σε ανακυκλωμένο πλαστικό 30% από τη συνολική ποσότητα πλαστικών περιεκτών ποτών που διαθέτει στην αγορά της Σλοβακικής Δημοκρατίας.</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Ο κατασκευαστής πλαστικού προϊόντος μιας χρήσης πρέπει να υποβάλλει το αργότερο έως τις 30 Απριλίου στο Υπουργείο έκθεση σχετικά με την περιεκτικότητα σε ανακυκλωμένο πλαστικό σύμφωνα με την παράγραφο 4 για το προηγούμενο ημερολογιακό έτος. Στην περίπτωση κατασκευαστή συσκευασιών που διαθέτει ποτά στην αγορά σε επιστρεφόμενη συσκευασία μιας χρήσης, αυτή η υποχρέωση πρέπει να τηρείται από έναν φορέα σύμφωνα με ειδική νομοθεσία.</w:t>
      </w:r>
      <w:r>
        <w:rPr>
          <w:sz w:val="10"/>
        </w:rPr>
        <w:t>96στ</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Άρθρο 75ε</w:t>
      </w:r>
    </w:p>
    <w:p w14:paraId="44678E85" w14:textId="77777777" w:rsidR="00E30B60" w:rsidRDefault="00CB547F">
      <w:pPr>
        <w:pStyle w:val="BodyText"/>
        <w:spacing w:before="39"/>
        <w:ind w:left="1230" w:right="834"/>
        <w:jc w:val="center"/>
        <w:rPr>
          <w:b/>
        </w:rPr>
      </w:pPr>
      <w:r>
        <w:rPr>
          <w:b/>
        </w:rPr>
        <w:t>Απαιτήσεις επισήμανσης προϊόντος</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Ο κατασκευαστής πλαστικού προϊόντος μιας χρήσης που αναφέρεται στο παράρτημα 7α μέρος Δ υποχρεούται, πριν από τη διάθεση του προϊόντος στην αγορά της Σλοβακικής Δημοκρατίας, να επισημάνει το προϊόν αυτό με πληροφορίες για τους καταναλωτές σχετικά με</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τους καταλληλότερους τρόπους διάθεσης του προϊόντος ή τρόπους διάθεσης αποβλήτων που είναι απαραίτητο να αποφεύγονται στην περίπτωση του συγκεκριμένου προϊόντος όταν καθίσταται απόβλητο σύμφωνα με την ιεράρχηση διαχείρισης αποβλήτων·</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την παρουσία πλαστικού στο προϊόν και τις αρνητικές περιβαλλοντικές επιπτώσεις του όταν το προϊόν καθίσταται απόβλητο.</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Η επισήμανση που αναφέρεται στην παράγραφο 1 πρέπει να τοποθετείται στη συσκευασία του προϊόντος, στα πακέτα μονάδας του προϊόντος ή στο ίδιο το προϊόν κατά τρόπο που να είναι ευδιάκριτη, ευανάγνωστη και ανεξίτηλη.</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Ο κατασκευαστής πλαστικού προϊόντος μιας χρήσης που αναφέρεται στο παράρτημα 7α μέρος Δ, υποχρεούται να διασφαλίζει την επισήμανση της συσκευασίας σύμφωνα με την παράγραφο 1 βάσει των προδιαγραφών σύμφωνα με την ειδική νομοθεσία.</w:t>
      </w:r>
      <w:r>
        <w:rPr>
          <w:sz w:val="10"/>
        </w:rPr>
        <w:t>96ζ</w:t>
      </w:r>
      <w:r>
        <w:rPr>
          <w:sz w:val="20"/>
        </w:rPr>
        <w:t>)</w:t>
      </w:r>
      <w:r>
        <w:t>.</w:t>
      </w:r>
    </w:p>
    <w:p w14:paraId="31D82300" w14:textId="04BEEE20" w:rsidR="00E30B60" w:rsidRPr="00366F0F" w:rsidRDefault="00CB547F" w:rsidP="00366F0F">
      <w:pPr>
        <w:pStyle w:val="ListParagraph"/>
        <w:numPr>
          <w:ilvl w:val="0"/>
          <w:numId w:val="15"/>
        </w:numPr>
        <w:tabs>
          <w:tab w:val="left" w:pos="1039"/>
        </w:tabs>
        <w:spacing w:line="276" w:lineRule="auto"/>
        <w:ind w:firstLine="226"/>
        <w:jc w:val="both"/>
        <w:rPr>
          <w:sz w:val="20"/>
        </w:rPr>
      </w:pPr>
      <w:r>
        <w:rPr>
          <w:sz w:val="20"/>
        </w:rPr>
        <w:t xml:space="preserve">Η επισήμανση των προϊόντων καπνού που αναφέρεται στην παράγραφο 1 συμπληρώνεται με </w:t>
      </w:r>
      <w:r>
        <w:rPr>
          <w:sz w:val="20"/>
        </w:rPr>
        <w:lastRenderedPageBreak/>
        <w:t>την επισήμανση σύμφωνα με την ειδική νομοθεσία.</w:t>
      </w:r>
      <w:r>
        <w:rPr>
          <w:sz w:val="10"/>
        </w:rPr>
        <w:t>96η</w:t>
      </w:r>
      <w:r>
        <w:rPr>
          <w:sz w:val="20"/>
        </w:rPr>
        <w:t>)</w:t>
      </w: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Άρθρο 75στ</w:t>
      </w:r>
    </w:p>
    <w:p w14:paraId="29563519" w14:textId="77777777" w:rsidR="00E30B60" w:rsidRDefault="00CB547F">
      <w:pPr>
        <w:pStyle w:val="BodyText"/>
        <w:spacing w:before="40"/>
        <w:ind w:left="1230" w:right="834"/>
        <w:jc w:val="center"/>
        <w:rPr>
          <w:b/>
        </w:rPr>
      </w:pPr>
      <w:r>
        <w:rPr>
          <w:b/>
        </w:rPr>
        <w:t>Διευρυμένη ευθύνη του κατασκευαστή ειδικού πλαστικού προϊόντος</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Εκτός από τις υποχρεώσεις σύμφωνα με τις παραγράφους 27 και 52, ο κατασκευαστής πλαστικού προϊόντος μιας χρήσης που αναφέρεται στο παράρτημα 7α μέρος Ε τμήμα I, αναλαμβάνει το κόστος</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των μέτρων για την αύξηση της ευαισθητοποίησης σχετικά με τα προϊόντα του που διατίθενται στην αγορά της Σλοβακικής Δημοκρατίας·</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που σχετίζονται με τη συλλογή, τη μεταφορά, την ανάκτηση, την ανακύκλωση, την επεξεργασία και τη διάθεση αποβλήτων·</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που σχετίζονται με τον καθαρισμό των απορριμμάτων από αυτά τα προϊόντα σε περιοχές όπου δεν έχουν απορριφθεί σε τοπικά συστήματα συλλογής αποβλήτων.</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Ο κατασκευαστής προϊόντων καπνού για τους σκοπούς της υποχρέωσης που προβλέπεται στην παράγραφο 1β), μπορεί να δημιουργήσει ειδική υποδομή για τη συλλογή αποβλήτων από τα εν λόγω προϊόντα.</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Ο κατασκευαστής πλαστικού προϊόντος μιας χρήσης που αναφέρεται στο παράρτημα 7α μέρος Ε, τμήματα II και III, υποχρεούται να</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αναλαμβάνει το κόστος των μέτρων ευαισθητοποίησης σχετικά με τα προϊόντα του που διατίθενται στην αγορά της Σλοβακικής Δημοκρατίας·</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αναλαμβάνει το κόστος καθαρισμού των απορριμμάτων από τα εν λόγω προϊόντα σε περιοχές όπου δεν έχουν απορριφθεί σε τοπικά συστήματα συλλογής αποβλήτων·</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τηρεί αρχεία για τα προϊόντα που διατίθενται στην αγορά της Σλοβακικής Δημοκρατίας και της Σλοβακικής Δημοκρατίας, να αναφέρει στο Υπουργείο τα δεδομένα αυτού του αρχείου στον απαιτούμενο βαθμό και να διατηρεί τα αναφερόμενα δεδομένα.</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Ο κατασκευαστής πλαστικού προϊόντος μιας χρήσης που περιλαμβάνεται στο παράρτημα 7α μέρος Ε και αλιευτικών εργαλείων που περιέχουν πλαστικό, ο οποίος έχει την καταστατική του έδρα ή την έδρα της επιχειρηματικής δραστηριότητάς του στη Σλοβακική Δημοκρατία και πωλεί αυτά τα προϊόντα σε άλλο κράτος μέλος, ορίζει εξουσιοδοτημένο αντιπρόσωπο στο εν λόγω κράτος μέλος για την εκπλήρωση των καθηκόντων του σε σχέση με αυτά τα προϊόντα.</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Ο κατασκευαστής αλιευτικών εργαλείων που περιέχουν πλαστικό πρέπει να τηρεί και να διατηρεί αρχεία για τα αλιευτικά εργαλεία που διατίθενται στην αγορά της Σλοβακικής Δημοκρατίας και να αναφέρει τα δεδομένα από αυτό το αρχείο στο Υπουργείο και να τηρεί τα αναφερόμενα δεδομένα.</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Ο παραγωγός αλιευτικών εργαλείων που περιέχουν πλαστική ύλη υποχρεούται να καλύψει τις δαπάνες που συνδέονται με τη χωριστή συλλογή, μεταφορά, ανακύκλωση, ανάκτηση ή διάθεση αποβλήτων αλιευτικών εργαλείων που περιέχουν πλαστική ύλη, τα οποία έχουν εκφορτωθεί στις σχετικές λιμενικές εγκαταστάσεις παραλαβής ή σε άλλα ισοδύναμα συστήματα παραλαβής.</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Άρθρο 75 ζ</w:t>
      </w:r>
      <w:r>
        <w:rPr>
          <w:b/>
        </w:rPr>
        <w:br/>
        <w:t>Αύξηση ευαισθητοποίησης</w:t>
      </w:r>
    </w:p>
    <w:p w14:paraId="20D90145" w14:textId="1BEFC6E3" w:rsidR="00E30B60" w:rsidRDefault="00CB547F">
      <w:pPr>
        <w:pStyle w:val="BodyText"/>
        <w:spacing w:before="193" w:line="276" w:lineRule="auto"/>
        <w:ind w:left="502" w:right="103" w:firstLine="226"/>
        <w:jc w:val="both"/>
      </w:pPr>
      <w:r>
        <w:t>Ο κατασκευαστής πλαστικού προϊόντος μιας χρήσης που αναφέρεται στο παράρτημα 7α μέρος Ζ και αλιευτικών εργαλείων που περιέχουν πλαστικό πρέπει να ενημερώνει και να παρακινεί τους τελικούς χρήστες του πλαστικού προϊόντος μιας χρήσης να συμπεριφέρονται υπεύθυνα με στόχο τη μείωση της περιβαλλοντικής ρύπανσης από τα απόβλητα αυτών των προϊόντων·</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να χρησιμοποιούν διαθέσιμες επαναχρησιμοποιήσιμες εναλλακτικές λύσεις·</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να εφαρμόζουν τον ορθό τρόπο διάθεσης των προϊόντων όταν αυτά καθίστανται απόβλητα·</w:t>
      </w:r>
    </w:p>
    <w:p w14:paraId="04114210" w14:textId="4EEC822F" w:rsidR="00E30B60" w:rsidRPr="00366F0F" w:rsidRDefault="00CB547F" w:rsidP="00366F0F">
      <w:pPr>
        <w:pStyle w:val="ListParagraph"/>
        <w:numPr>
          <w:ilvl w:val="0"/>
          <w:numId w:val="10"/>
        </w:numPr>
        <w:tabs>
          <w:tab w:val="left" w:pos="786"/>
        </w:tabs>
        <w:spacing w:before="135" w:line="276" w:lineRule="auto"/>
        <w:rPr>
          <w:sz w:val="20"/>
        </w:rPr>
      </w:pPr>
      <w:r>
        <w:rPr>
          <w:sz w:val="20"/>
        </w:rPr>
        <w:t xml:space="preserve">για τις επιπτώσεις της ακατάλληλης διάθεσης αποβλήτων από πλαστικά προϊόντα μιας χρήσης </w:t>
      </w:r>
      <w:r>
        <w:rPr>
          <w:sz w:val="20"/>
        </w:rPr>
        <w:lastRenderedPageBreak/>
        <w:t>και αλιευτικά εργαλεία που περιέχουν πλαστικό στο περιβάλλον·</w:t>
      </w: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για τις επιπτώσεις της ακατάλληλης διάθεσης των εν λόγω προϊόντων όταν μετατρέπονται σε απόβλητα στα λύματα.</w:t>
      </w:r>
    </w:p>
    <w:p w14:paraId="5D2E916C" w14:textId="77777777" w:rsidR="00E30B60" w:rsidRDefault="00CB547F">
      <w:pPr>
        <w:pStyle w:val="BodyText"/>
        <w:spacing w:before="85"/>
        <w:ind w:left="729"/>
        <w:jc w:val="both"/>
      </w:pPr>
      <w:r>
        <w:t>Οι υποσημειώσεις 96α έως 96η διατυπώνονται ως εξής:</w:t>
      </w:r>
    </w:p>
    <w:p w14:paraId="5E8DB480" w14:textId="7317C8B4" w:rsidR="00E30B60" w:rsidRDefault="00CB547F">
      <w:pPr>
        <w:spacing w:before="104" w:line="244" w:lineRule="auto"/>
        <w:ind w:left="729" w:right="103"/>
        <w:jc w:val="both"/>
        <w:rPr>
          <w:sz w:val="18"/>
        </w:rPr>
      </w:pPr>
      <w:r>
        <w:rPr>
          <w:sz w:val="18"/>
        </w:rPr>
        <w:t>«</w:t>
      </w:r>
      <w:r>
        <w:rPr>
          <w:sz w:val="10"/>
        </w:rPr>
        <w:t>96α</w:t>
      </w:r>
      <w:r>
        <w:rPr>
          <w:sz w:val="18"/>
        </w:rPr>
        <w:t>) Το άρθρο 2 παράγραφος 1 στοιχείο γ) του κανονισμού (ΕΕ) αριθ.1025/2012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απόφασης αριθ. 1673/2006/ΕΚ του Ευρωπαϊκού Κοινοβουλίου και του Συμβουλίου, όπως τροποποιήθηκε.</w:t>
      </w:r>
    </w:p>
    <w:p w14:paraId="7D526B49" w14:textId="77777777" w:rsidR="00E30B60" w:rsidRDefault="00CB547F">
      <w:pPr>
        <w:spacing w:before="103" w:line="244" w:lineRule="auto"/>
        <w:ind w:left="729" w:right="103"/>
        <w:jc w:val="both"/>
        <w:rPr>
          <w:sz w:val="18"/>
        </w:rPr>
      </w:pPr>
      <w:r>
        <w:rPr>
          <w:sz w:val="10"/>
        </w:rPr>
        <w:t>96β</w:t>
      </w:r>
      <w:r>
        <w:rPr>
          <w:sz w:val="18"/>
        </w:rPr>
        <w:t>) Νόμος αριθ. 102/2014 περί προστασίας των καταναλωτών κατά την πώληση αγαθών ή την παροχή υπηρεσιών βάσει εξ αποστάσεως σύμβασης ή σύμβασης εκτός εμπορικού καταστήματος του πωλητή και για την τροποποίηση ορισμένων νόμων, όπως τροποποιήθηκε.</w:t>
      </w:r>
    </w:p>
    <w:p w14:paraId="5DEAD916" w14:textId="69DCB80D" w:rsidR="00E30B60" w:rsidRDefault="00CB547F">
      <w:pPr>
        <w:spacing w:before="102" w:line="244" w:lineRule="auto"/>
        <w:ind w:left="729" w:right="103"/>
        <w:jc w:val="both"/>
        <w:rPr>
          <w:sz w:val="18"/>
        </w:rPr>
      </w:pPr>
      <w:r>
        <w:rPr>
          <w:sz w:val="10"/>
        </w:rPr>
        <w:t>96γ</w:t>
      </w:r>
      <w:r>
        <w:rPr>
          <w:sz w:val="18"/>
        </w:rPr>
        <w:t>) Άρθρο 4 (1)(28) του κανονισμού (ΕΕ) αριθ. 1380/2013 του Ευρωπαϊκού Κοινοβουλίου και του Συμβουλίου της 11ης Δεκεμβρίου 2013, σχετικά με την Κοινή Αλιευτική Πολιτική, για την τροποποίηση των κανονισμών του Συμβουλίου (ΕΚ) αριθ. 1954/2003 και (ΕΚ) αριθ. 1224/2009 και την κατάργηση των κανονισμών του Συμβουλίου (ΕΚ) αριθ. 2371/2002 και (ΕΚ) αριθ. 639/2004 και της απόφασης 2004/585/ΕΚ του Συμβουλίου (ΕΕ L 354 στις 28.12.2013), όπως τροποποιήθηκε.</w:t>
      </w:r>
    </w:p>
    <w:p w14:paraId="15970DB7" w14:textId="77777777" w:rsidR="00E30B60" w:rsidRDefault="00CB547F">
      <w:pPr>
        <w:spacing w:before="102"/>
        <w:ind w:left="729"/>
        <w:jc w:val="both"/>
        <w:rPr>
          <w:sz w:val="18"/>
        </w:rPr>
      </w:pPr>
      <w:r>
        <w:rPr>
          <w:sz w:val="10"/>
        </w:rPr>
        <w:t>96δ</w:t>
      </w:r>
      <w:r>
        <w:rPr>
          <w:sz w:val="18"/>
        </w:rPr>
        <w:t>) Νόμος περί ναυτιλίας αριθ. 435/2000, όπως τροποποιήθηκε.</w:t>
      </w:r>
    </w:p>
    <w:p w14:paraId="5EF5EE76" w14:textId="58A6960E" w:rsidR="00E30B60" w:rsidRDefault="00CB547F">
      <w:pPr>
        <w:spacing w:before="105" w:line="244" w:lineRule="auto"/>
        <w:ind w:left="729" w:right="103"/>
        <w:jc w:val="both"/>
        <w:rPr>
          <w:sz w:val="18"/>
        </w:rPr>
      </w:pPr>
      <w:r>
        <w:rPr>
          <w:sz w:val="10"/>
        </w:rPr>
        <w:t>96ε</w:t>
      </w:r>
      <w:r>
        <w:rPr>
          <w:sz w:val="18"/>
        </w:rPr>
        <w:t>) Άρθρο 2 παράγραφος 3 του νόμου αριθ. 89/2016 σχετικά με την παραγωγή, την επισήμανση και την πώληση προϊόντων καπνού και συναφών προϊόντων και για τροποποιήσεις ορισμένων νόμων, όπως τροποποιήθηκε με τον νόμο αριθ. 92/2019</w:t>
      </w:r>
    </w:p>
    <w:p w14:paraId="1BC9FB90" w14:textId="28B52A0A" w:rsidR="00E30B60" w:rsidRDefault="00CB547F">
      <w:pPr>
        <w:spacing w:before="101" w:line="244" w:lineRule="auto"/>
        <w:ind w:left="729" w:right="103"/>
        <w:jc w:val="both"/>
        <w:rPr>
          <w:sz w:val="18"/>
        </w:rPr>
      </w:pPr>
      <w:r>
        <w:rPr>
          <w:sz w:val="10"/>
        </w:rPr>
        <w:t>96στ</w:t>
      </w:r>
      <w:r>
        <w:rPr>
          <w:sz w:val="18"/>
        </w:rPr>
        <w:t>) Άρθρο 7 παράγραφος 1κβ) του νόμου αριθ. 302/2019 σχετικά με σύστημα ανταποδοτικής ανακύκλωσης για αναλώσιμους περιέκτες ποτών και για την τροποποίηση ορισμένων νόμων, όπως τροποποιήθηκε.</w:t>
      </w:r>
    </w:p>
    <w:p w14:paraId="2EC47CDC" w14:textId="1A1C418A" w:rsidR="00E30B60" w:rsidRDefault="00CB547F">
      <w:pPr>
        <w:spacing w:before="101" w:line="244" w:lineRule="auto"/>
        <w:ind w:left="729" w:right="103"/>
        <w:jc w:val="both"/>
        <w:rPr>
          <w:sz w:val="18"/>
        </w:rPr>
      </w:pPr>
      <w:r>
        <w:rPr>
          <w:sz w:val="10"/>
        </w:rPr>
        <w:t>96ζ</w:t>
      </w:r>
      <w:r>
        <w:rPr>
          <w:sz w:val="18"/>
        </w:rPr>
        <w:t>) Εκτελεστικός κανονισμός (ΕΕ) 2020/2151 της Επιτροπής της 17ης Δεκεμβρίου 2020, για τη θέσπιση κανόνων σχετικά με εναρμονισμένες προδιαγραφές σήμανσης για τα πλαστικά προϊόντα μιας χρήσης που απαριθμούνται στο μέρος Δ του παραρτήματος της οδηγίας (ΕΕ) 2019/904 του Ευρωπαϊκού Κοινοβουλίου και του Συμβουλίου σχετικά με τη μείωση των επιπτώσεων ορισμένων πλαστικών προϊόντων στο περιβάλλον (ΕΕ L428 της 18.12.2020).</w:t>
      </w:r>
    </w:p>
    <w:p w14:paraId="42F6CA94" w14:textId="77777777" w:rsidR="00E30B60" w:rsidRDefault="00CB547F">
      <w:pPr>
        <w:spacing w:before="102"/>
        <w:ind w:left="729"/>
        <w:jc w:val="both"/>
        <w:rPr>
          <w:sz w:val="18"/>
        </w:rPr>
      </w:pPr>
      <w:r>
        <w:rPr>
          <w:sz w:val="10"/>
        </w:rPr>
        <w:t>96η</w:t>
      </w:r>
      <w:r>
        <w:rPr>
          <w:sz w:val="18"/>
        </w:rPr>
        <w:t>) Νόμος αριθ. 89/2016, όπως τροποποιήθηκε με τον νόμο αριθ.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Στο άρθρο 105 παράγραφος 3 προστίθεται το ακόλουθο στοιχείο ιδ):</w:t>
      </w:r>
    </w:p>
    <w:p w14:paraId="2874BDF9" w14:textId="77777777" w:rsidR="00E30B60" w:rsidRDefault="00CB547F">
      <w:pPr>
        <w:pStyle w:val="BodyText"/>
        <w:spacing w:before="106"/>
        <w:ind w:left="502"/>
        <w:jc w:val="both"/>
      </w:pPr>
      <w:r>
        <w:t>«λ) Οι προδιαγραφές επισήμανσης που αναφέρονται στο άρθρο 75ε.»</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Στο άρθρο 106η), το κείμενο «Άρθρο 53α, άρθρο 73α» αντικαθίσταται από το κείμενο «Άρθρο 75β, άρθρο 75γ, άρθρο 75δ, άρθρο 75ε».</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Στο άρθρο 110 παράγραφος1α) το κείμενο «Άρθρο 53α» διαγράφεται, και το κείμενο «άρθρο 73α και άρθρο 135ζ».</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Στο άρθρο 111 παράγραφος 6, το κείμενο «άρθρα 53α και 73α» αντικαθίσταται από το κείμενο «άρθρο 75γ».</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Στο άρθρο 117 παράγραφος 1, μετά το κείμενο «53  παράγραφοι 7 και 8· άρθρο 54 παράγραφος 1στ) και παράγραφος 5·» παρεμβάλλεται το κείμενο «άρθρο 53ια·».</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Το άρθρο 117 παράγραφος 6 διατυπώνεται ως εξής:</w:t>
      </w:r>
    </w:p>
    <w:p w14:paraId="2F50D7B0" w14:textId="77777777" w:rsidR="00E30B60" w:rsidRDefault="00CB547F">
      <w:pPr>
        <w:pStyle w:val="BodyText"/>
        <w:spacing w:before="220" w:line="276" w:lineRule="auto"/>
        <w:ind w:left="502" w:right="103" w:firstLine="226"/>
        <w:jc w:val="both"/>
      </w:pPr>
      <w:r>
        <w:t>«(6) Πρόστιμο μεταξύ 4.000 και 35.0000 ευρώ επιβάλλεται από την αρμόδια κρατική αρχή διαχείρισης αποβλήτων σε επιχείρηση ή ανεξάρτητο εμπορευόμενο που παραβιάζει την υποχρέωση σύμφωνα με το άρθρο 13, το άρθρο 16 παράγραφοι 5 και 10, το άρθρο 19 παράγραφος 1 στοιχείο στ), το άρθρο 21 παράγραφος 2, το άρθρο 21 παράγραφος 3 στοιχεία στ) και ζ), το άρθρο 25 παράγραφοι 1 και 7,</w:t>
      </w:r>
    </w:p>
    <w:p w14:paraId="4B6F5513" w14:textId="77777777" w:rsidR="00E30B60" w:rsidRPr="00D0358C" w:rsidRDefault="00CB547F">
      <w:pPr>
        <w:pStyle w:val="BodyText"/>
        <w:ind w:left="502"/>
      </w:pPr>
      <w:r>
        <w:t>το άρθρο 27 παράγραφος 25··το άρθρο 28 παράγραφος 9 στοιχείο ε)··το άρθρο 31α παράγραφοι 2,6 και 8··το άρθρο 33··το άρθρο 43··το άρθρο 53 παράγραφος 3 ·το άρθρο 62 παράγραφος 6·</w:t>
      </w:r>
    </w:p>
    <w:p w14:paraId="091FA774" w14:textId="77777777" w:rsidR="00E30B60" w:rsidRPr="00D0358C" w:rsidRDefault="00CB547F">
      <w:pPr>
        <w:pStyle w:val="BodyText"/>
        <w:spacing w:before="35"/>
        <w:ind w:left="502"/>
      </w:pPr>
      <w:r>
        <w:t>το άρθρο 75β· το άρθρο 75γ· το άρθρο 75δ· το άρθρο 75ε· το άρθρο 75στ· το άρθρο 75ζ· το άρθρο 76 παράγραφος 4· το άρθρο 79 παράγραφοι 16 και 24· το άρθρο 84, παράγραφοι 3 και 5·</w:t>
      </w:r>
    </w:p>
    <w:p w14:paraId="1E67AFAF" w14:textId="77777777" w:rsidR="00E30B60" w:rsidRPr="00D0358C" w:rsidRDefault="00CB547F">
      <w:pPr>
        <w:pStyle w:val="BodyText"/>
        <w:spacing w:before="35"/>
        <w:ind w:left="502"/>
      </w:pPr>
      <w:r>
        <w:t>το άρθρο 135ε παράγραφοι 1, 2, 3, 4· το άρθρο 135ζ».</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Στο άρθρο 135ζ εισάγεται το κείμενο «Μέρος Β» μετά το «7α».</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Το παράρτημα 7α, συμπεριλαμβανομένης της επικεφαλίδας, διατυπώνεται ως εξής:</w:t>
      </w:r>
    </w:p>
    <w:p w14:paraId="3D8AA0DD" w14:textId="77777777" w:rsidR="00E30B60" w:rsidRDefault="00E30B60">
      <w:pPr>
        <w:pStyle w:val="BodyText"/>
        <w:spacing w:before="10"/>
        <w:rPr>
          <w:sz w:val="17"/>
        </w:rPr>
      </w:pPr>
    </w:p>
    <w:p w14:paraId="2C0ADD61" w14:textId="77777777" w:rsidR="00366F0F" w:rsidRDefault="00366F0F">
      <w:pPr>
        <w:pStyle w:val="BodyText"/>
        <w:spacing w:before="138" w:line="244" w:lineRule="auto"/>
        <w:ind w:left="7107" w:right="103" w:firstLine="1277"/>
        <w:jc w:val="right"/>
        <w:rPr>
          <w:b/>
        </w:rPr>
      </w:pPr>
    </w:p>
    <w:p w14:paraId="0A4A004D" w14:textId="4614EE68" w:rsidR="00E30B60" w:rsidRDefault="00CB547F" w:rsidP="00366F0F">
      <w:pPr>
        <w:pStyle w:val="BodyText"/>
        <w:spacing w:before="138" w:line="245" w:lineRule="auto"/>
        <w:ind w:left="6521" w:right="102" w:firstLine="1276"/>
        <w:jc w:val="right"/>
        <w:rPr>
          <w:b/>
        </w:rPr>
      </w:pPr>
      <w:r>
        <w:rPr>
          <w:b/>
        </w:rPr>
        <w:t>«Παράρτημα 7α</w:t>
      </w:r>
      <w:r>
        <w:rPr>
          <w:b/>
        </w:rPr>
        <w:br/>
        <w:t>του νόμου αριθ. 79/2015</w:t>
      </w:r>
    </w:p>
    <w:p w14:paraId="53FA3E6C" w14:textId="77777777" w:rsidR="00E30B60" w:rsidRDefault="00CB547F">
      <w:pPr>
        <w:pStyle w:val="BodyText"/>
        <w:spacing w:before="201"/>
        <w:ind w:left="1230" w:right="834"/>
        <w:jc w:val="center"/>
        <w:rPr>
          <w:b/>
        </w:rPr>
      </w:pPr>
      <w:r>
        <w:rPr>
          <w:b/>
        </w:rPr>
        <w:t>ΜΕΡΟΣ Α</w:t>
      </w:r>
    </w:p>
    <w:p w14:paraId="423994C5" w14:textId="77777777" w:rsidR="00E30B60" w:rsidRDefault="00CB547F">
      <w:pPr>
        <w:pStyle w:val="BodyText"/>
        <w:spacing w:before="231"/>
        <w:ind w:left="729"/>
        <w:rPr>
          <w:b/>
        </w:rPr>
      </w:pPr>
      <w:r>
        <w:rPr>
          <w:b/>
        </w:rPr>
        <w:t>Πλαστικά προϊόντα μιας χρήσης των οποίων η κατανάλωση πρόκειται να μειωθεί</w:t>
      </w:r>
    </w:p>
    <w:p w14:paraId="360D13BF" w14:textId="77777777" w:rsidR="00E30B60" w:rsidRDefault="00CB547F">
      <w:pPr>
        <w:pStyle w:val="ListParagraph"/>
        <w:numPr>
          <w:ilvl w:val="0"/>
          <w:numId w:val="9"/>
        </w:numPr>
        <w:tabs>
          <w:tab w:val="left" w:pos="786"/>
        </w:tabs>
        <w:spacing w:before="128"/>
        <w:ind w:right="0"/>
        <w:rPr>
          <w:sz w:val="20"/>
        </w:rPr>
      </w:pPr>
      <w:r>
        <w:rPr>
          <w:sz w:val="20"/>
        </w:rPr>
        <w:t>Κύπελλα ποτών, καθώς και τα πώματα και τα καλύμματά τους·</w:t>
      </w:r>
    </w:p>
    <w:p w14:paraId="0582B242" w14:textId="5A1E32B8" w:rsidR="00E30B60" w:rsidRPr="00366F0F" w:rsidRDefault="00CB547F" w:rsidP="00366F0F">
      <w:pPr>
        <w:pStyle w:val="ListParagraph"/>
        <w:numPr>
          <w:ilvl w:val="0"/>
          <w:numId w:val="9"/>
        </w:numPr>
        <w:tabs>
          <w:tab w:val="left" w:pos="786"/>
        </w:tabs>
        <w:spacing w:before="105" w:line="244" w:lineRule="auto"/>
        <w:rPr>
          <w:sz w:val="20"/>
        </w:rPr>
      </w:pPr>
      <w:r>
        <w:rPr>
          <w:sz w:val="20"/>
        </w:rPr>
        <w:t>περιέκτες τροφίμων, δηλαδή κουτιά, με ή χωρίς καλύμματα, για τρόφιμα που</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προορίζονται για άμεση κατανάλωση είτε στο σημείο πώλησης είτε σε άλλο σημείο από το σημείο πώλησης·</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καταναλώνονται συνήθως από τον περιέκτη· και</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είναι έτοιμα για κατανάλωση χωρίς περαιτέρω προετοιμασία, όπως μαγείρεμα, βράσιμο ή ζέσταμα·</w:t>
      </w:r>
    </w:p>
    <w:p w14:paraId="6B251702" w14:textId="77777777" w:rsidR="00E30B60" w:rsidRDefault="00CB547F">
      <w:pPr>
        <w:pStyle w:val="BodyText"/>
        <w:spacing w:before="216" w:line="276" w:lineRule="auto"/>
        <w:ind w:left="785" w:right="103" w:firstLine="226"/>
        <w:jc w:val="both"/>
      </w:pPr>
      <w:r>
        <w:t>καθώς και περιέκτες τροφίμων ταχυφαγείων ή άλλων τροφίμων έτοιμων για άμεση κατανάλωση, εκτός από περιέκτες ποτών, πιάτα, πακέτα και περιτυλίγματα που περιέχουν τρόφιμα.</w:t>
      </w:r>
    </w:p>
    <w:p w14:paraId="08F0A563" w14:textId="77777777" w:rsidR="00E30B60" w:rsidRDefault="00CB547F">
      <w:pPr>
        <w:pStyle w:val="BodyText"/>
        <w:spacing w:before="187"/>
        <w:ind w:left="1230" w:right="834"/>
        <w:jc w:val="center"/>
        <w:rPr>
          <w:b/>
        </w:rPr>
      </w:pPr>
      <w:r>
        <w:rPr>
          <w:b/>
        </w:rPr>
        <w:t>ΜΕΡΟΣ Β</w:t>
      </w:r>
    </w:p>
    <w:p w14:paraId="13056B9C" w14:textId="77777777" w:rsidR="00E30B60" w:rsidRDefault="00CB547F">
      <w:pPr>
        <w:pStyle w:val="BodyText"/>
        <w:spacing w:before="231"/>
        <w:ind w:left="729"/>
        <w:rPr>
          <w:b/>
        </w:rPr>
      </w:pPr>
      <w:r>
        <w:rPr>
          <w:b/>
        </w:rPr>
        <w:t>Απαγορεύεται η διάθεση αυτών των πλαστικών προϊόντων μιας χρήσης στην αγορά της Σλοβακικής Δημοκρατίας</w:t>
      </w:r>
    </w:p>
    <w:p w14:paraId="51FDEC54" w14:textId="77777777" w:rsidR="00E30B60" w:rsidRDefault="00CB547F">
      <w:pPr>
        <w:pStyle w:val="ListParagraph"/>
        <w:numPr>
          <w:ilvl w:val="0"/>
          <w:numId w:val="8"/>
        </w:numPr>
        <w:tabs>
          <w:tab w:val="left" w:pos="786"/>
        </w:tabs>
        <w:spacing w:before="128"/>
        <w:ind w:right="0"/>
        <w:rPr>
          <w:sz w:val="20"/>
        </w:rPr>
      </w:pPr>
      <w:r>
        <w:rPr>
          <w:sz w:val="20"/>
        </w:rPr>
        <w:t>μπατονέτες που δεν καλύπτονται από ειδική νομοθεσία·</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μαχαιροπίρουνα (πιρούνια, μαχαίρια, κουτάλια, ξυλάκια φαγητού)·</w:t>
      </w:r>
    </w:p>
    <w:p w14:paraId="270DDFA9" w14:textId="77777777" w:rsidR="00E30B60" w:rsidRDefault="00CB547F">
      <w:pPr>
        <w:pStyle w:val="ListParagraph"/>
        <w:numPr>
          <w:ilvl w:val="0"/>
          <w:numId w:val="8"/>
        </w:numPr>
        <w:tabs>
          <w:tab w:val="left" w:pos="786"/>
        </w:tabs>
        <w:spacing w:before="105"/>
        <w:ind w:right="0"/>
        <w:rPr>
          <w:sz w:val="20"/>
        </w:rPr>
      </w:pPr>
      <w:r>
        <w:rPr>
          <w:sz w:val="20"/>
        </w:rPr>
        <w:t>πιάτα·</w:t>
      </w:r>
    </w:p>
    <w:p w14:paraId="5A4A28E4" w14:textId="77777777" w:rsidR="00E30B60" w:rsidRDefault="00CB547F">
      <w:pPr>
        <w:pStyle w:val="ListParagraph"/>
        <w:numPr>
          <w:ilvl w:val="0"/>
          <w:numId w:val="8"/>
        </w:numPr>
        <w:tabs>
          <w:tab w:val="left" w:pos="786"/>
        </w:tabs>
        <w:spacing w:before="105"/>
        <w:ind w:right="0"/>
        <w:rPr>
          <w:sz w:val="20"/>
        </w:rPr>
      </w:pPr>
      <w:r>
        <w:rPr>
          <w:sz w:val="20"/>
        </w:rPr>
        <w:t>καλαμάκια που δεν καλύπτονται από ειδική νομοθεσία·</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αναδευτήρες ποτών·</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ξυλάκια που προσαρτώνται και στηρίζουν μπαλόνια, εκτός από μπαλόνια για βιομηχανικές ή άλλες επαγγελματικές χρήσεις και εφαρμογές που δεν διανέμονται στους καταναλωτές, συμπεριλαμβανομένων μηχανισμών για τέτοια ξυλάκια·</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περιέκτες τροφίμων κατασκευασμένοι από διογκωμένο πολυστυρένιο, δηλαδή περιέκτες όπως κουτιά, με ή χωρίς καλύμματα, για τρόφιμα που χρησιμοποιούνται για τρόφιμα που</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προορίζονται για άμεση κατανάλωση είτε στο σημείο πώλησης είτε σε άλλο σημείο από το σημείο πώλησης·</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καταναλώνονται συνήθως από τον περιέκτη· και</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είναι έτοιμα για κατανάλωση χωρίς περαιτέρω προετοιμασία, όπως μαγείρεμα, βράσιμο ή ζέσταμα·</w:t>
      </w:r>
    </w:p>
    <w:p w14:paraId="2B86D403" w14:textId="77777777" w:rsidR="00E30B60" w:rsidRDefault="00CB547F">
      <w:pPr>
        <w:pStyle w:val="BodyText"/>
        <w:spacing w:before="216" w:line="276" w:lineRule="auto"/>
        <w:ind w:left="785" w:right="103" w:firstLine="226"/>
        <w:jc w:val="both"/>
      </w:pPr>
      <w:r>
        <w:t>καθώς και περιέκτες τροφίμων ταχυφαγείων ή άλλων τροφίμων έτοιμων για άμεση κατανάλωση, εκτός από περιέκτες ποτών, πιάτα, πακέτα και περιτυλίγματα που περιέχουν τρόφιμα·</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περιέκτες ποτών από διογκωμένο πολυστυρένιο, καθώς και τα πώματα και καλύμματά τους·</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κύπελλα για ποτό από διογκωμένο πολυστυρένιο, καθώς και τα πώματα και καλύμματά τους.</w:t>
      </w:r>
    </w:p>
    <w:p w14:paraId="5A3D23E4" w14:textId="77777777" w:rsidR="00E30B60" w:rsidRDefault="00CB547F">
      <w:pPr>
        <w:pStyle w:val="BodyText"/>
        <w:spacing w:before="208"/>
        <w:ind w:left="1230" w:right="834"/>
        <w:jc w:val="center"/>
        <w:rPr>
          <w:b/>
        </w:rPr>
      </w:pPr>
      <w:r>
        <w:rPr>
          <w:b/>
        </w:rPr>
        <w:t>ΜΕΡΟΣ Γ</w:t>
      </w:r>
    </w:p>
    <w:p w14:paraId="7696BE96" w14:textId="77777777" w:rsidR="00E30B60" w:rsidRDefault="00CB547F">
      <w:pPr>
        <w:pStyle w:val="BodyText"/>
        <w:spacing w:before="231" w:line="297" w:lineRule="auto"/>
        <w:ind w:left="502" w:right="103" w:firstLine="226"/>
        <w:jc w:val="both"/>
        <w:rPr>
          <w:b/>
        </w:rPr>
      </w:pPr>
      <w:r>
        <w:rPr>
          <w:b/>
        </w:rPr>
        <w:t>Πλαστικά προϊόντα μιας χρήσης που είναι δυνατό να διατεθούν στην αγορά σύμφωνα με την απαίτηση του άρθρου 75δ παράγραφος 1 του νόμου</w:t>
      </w:r>
    </w:p>
    <w:p w14:paraId="101A7BC1" w14:textId="77777777" w:rsidR="00E30B60" w:rsidRDefault="00CB547F">
      <w:pPr>
        <w:pStyle w:val="BodyText"/>
        <w:spacing w:before="185" w:line="276" w:lineRule="auto"/>
        <w:ind w:left="502" w:right="103" w:firstLine="226"/>
        <w:jc w:val="both"/>
      </w:pPr>
      <w:r>
        <w:t>Περιέκτες ποτών που δεν υπερβαίνουν τα τρία λίτρα, δηλαδή περιέκτες για υγρά, όπως φιάλες ποτών, στα οποία περιλαμβάνονται τα πώματα και τα καλύμματα, καθώς και οι σύνθετοι περιέκτες ποτών, στους οποίους περιλαμβάνονται τα πώματα και τα καλύμματα, με εξαίρεση τους</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t>γυάλινους ή μεταλλικούς περιέκτες ποτών που έχουν πλαστικά πώματα και καλύμματα·</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 xml:space="preserve">περιέκτες ποτών που προορίζονται και χρησιμοποιούνται για τρόφιμα για ειδικούς ιατρικούς </w:t>
      </w:r>
      <w:r>
        <w:rPr>
          <w:sz w:val="20"/>
        </w:rPr>
        <w:lastRenderedPageBreak/>
        <w:t>σκοπούς σε υγρή μορφή, οι οποίοι υπόκεινται σε ειδική νομοθεσία.</w:t>
      </w:r>
      <w:r>
        <w:rPr>
          <w:sz w:val="10"/>
        </w:rPr>
        <w:t>163</w:t>
      </w:r>
      <w:r>
        <w:rPr>
          <w:sz w:val="20"/>
        </w:rPr>
        <w:t>)</w:t>
      </w:r>
    </w:p>
    <w:p w14:paraId="5A8C8B95" w14:textId="77777777" w:rsidR="00E30B60" w:rsidRDefault="00CB547F">
      <w:pPr>
        <w:pStyle w:val="BodyText"/>
        <w:spacing w:before="203"/>
        <w:ind w:left="1230" w:right="834"/>
        <w:jc w:val="center"/>
        <w:rPr>
          <w:b/>
        </w:rPr>
      </w:pPr>
      <w:r>
        <w:rPr>
          <w:b/>
        </w:rPr>
        <w:t>ΜΕΡΟΣ Δ</w:t>
      </w:r>
    </w:p>
    <w:p w14:paraId="43A76956" w14:textId="288C4191" w:rsidR="00E30B60" w:rsidRDefault="00CB547F" w:rsidP="00D0358C">
      <w:pPr>
        <w:pStyle w:val="BodyText"/>
        <w:spacing w:before="231"/>
        <w:ind w:left="729"/>
        <w:rPr>
          <w:b/>
        </w:rPr>
      </w:pPr>
      <w:r>
        <w:rPr>
          <w:b/>
        </w:rPr>
        <w:t>Πλαστικά προϊόντα μιας χρήσης που πρέπει να συμμορφώνονται με την απαίτηση επισήμανσης σύμφωνα με το άρθρο 75ε του νόμου</w:t>
      </w:r>
    </w:p>
    <w:p w14:paraId="55DDD53C" w14:textId="77777777" w:rsidR="00E30B60" w:rsidRDefault="00E30B60">
      <w:pPr>
        <w:pStyle w:val="BodyText"/>
        <w:spacing w:before="11"/>
        <w:rPr>
          <w:b/>
          <w:sz w:val="17"/>
        </w:rPr>
      </w:pPr>
    </w:p>
    <w:p w14:paraId="3A4A52A3" w14:textId="77777777" w:rsidR="00E30B60" w:rsidRDefault="00CB547F">
      <w:pPr>
        <w:pStyle w:val="ListParagraph"/>
        <w:numPr>
          <w:ilvl w:val="0"/>
          <w:numId w:val="6"/>
        </w:numPr>
        <w:tabs>
          <w:tab w:val="left" w:pos="786"/>
        </w:tabs>
        <w:spacing w:before="125"/>
        <w:ind w:right="0"/>
        <w:rPr>
          <w:sz w:val="20"/>
        </w:rPr>
      </w:pPr>
      <w:r>
        <w:rPr>
          <w:sz w:val="20"/>
        </w:rPr>
        <w:t>Σερβιέτες, ταμπόν και εφαρμογείς ταμπόν·</w:t>
      </w:r>
    </w:p>
    <w:p w14:paraId="50510A03" w14:textId="77777777" w:rsidR="00E30B60" w:rsidRDefault="00CB547F">
      <w:pPr>
        <w:pStyle w:val="ListParagraph"/>
        <w:numPr>
          <w:ilvl w:val="0"/>
          <w:numId w:val="6"/>
        </w:numPr>
        <w:tabs>
          <w:tab w:val="left" w:pos="786"/>
        </w:tabs>
        <w:spacing w:before="106"/>
        <w:ind w:right="0"/>
        <w:rPr>
          <w:sz w:val="20"/>
        </w:rPr>
      </w:pPr>
      <w:r>
        <w:rPr>
          <w:sz w:val="20"/>
        </w:rPr>
        <w:t>Υγρά μαντηλάκια, δηλαδή, τα προδιαβρεγμένα μαντηλάκια προσωπικής υγιεινής και τα οικιακά μαντηλάκια·</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προϊόντα καπνού με φίλτρο και φίλτρα που κυκλοφορούν στο εμπόριο για χρήση σε συνδυασμό με προϊόντα καπνού·</w:t>
      </w:r>
    </w:p>
    <w:p w14:paraId="40A96525" w14:textId="77777777" w:rsidR="00E30B60" w:rsidRDefault="00CB547F">
      <w:pPr>
        <w:pStyle w:val="ListParagraph"/>
        <w:numPr>
          <w:ilvl w:val="0"/>
          <w:numId w:val="6"/>
        </w:numPr>
        <w:tabs>
          <w:tab w:val="left" w:pos="786"/>
        </w:tabs>
        <w:spacing w:before="101"/>
        <w:ind w:right="0"/>
        <w:rPr>
          <w:sz w:val="20"/>
        </w:rPr>
      </w:pPr>
      <w:r>
        <w:rPr>
          <w:sz w:val="20"/>
        </w:rPr>
        <w:t>κύπελλα ποτών.</w:t>
      </w:r>
    </w:p>
    <w:p w14:paraId="3D9A0DD0" w14:textId="77777777" w:rsidR="00E30B60" w:rsidRDefault="00CB547F">
      <w:pPr>
        <w:pStyle w:val="BodyText"/>
        <w:spacing w:before="208"/>
        <w:ind w:left="1230" w:right="834"/>
        <w:jc w:val="center"/>
        <w:rPr>
          <w:b/>
        </w:rPr>
      </w:pPr>
      <w:r>
        <w:rPr>
          <w:b/>
        </w:rPr>
        <w:t>ΜΕΡΟΣ Ε</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Πλαστικά προϊόντα μιας χρήσης που καλύπτονται από το άρθρο 75στ παράγραφοι 1 και 4 του νόμου</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Περιέκτες τροφίμων, δηλαδή κουτιά, με ή χωρίς καλύμματα, για τρόφιμα που</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προορίζονται για άμεση κατανάλωση είτε στο σημείο πώλησης είτε σε άλλο σημείο από το σημείο πώλησης·</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καταναλώνονται συνήθως από τον περιέκτη· και</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είναι έτοιμα για κατανάλωση χωρίς περαιτέρω προετοιμασία, όπως μαγείρεμα, βράσιμο ή ζέσταμα·</w:t>
      </w:r>
    </w:p>
    <w:p w14:paraId="0138E3D4" w14:textId="77777777" w:rsidR="00E30B60" w:rsidRDefault="00CB547F">
      <w:pPr>
        <w:pStyle w:val="BodyText"/>
        <w:spacing w:before="200" w:line="276" w:lineRule="auto"/>
        <w:ind w:left="785" w:right="103" w:firstLine="226"/>
        <w:jc w:val="both"/>
      </w:pPr>
      <w:r>
        <w:t>καθώς και περιέκτες τροφίμων ταχυφαγείων ή άλλων τροφίμων έτοιμων για άμεση κατανάλωση, εκτός από περιέκτες ποτών, πιάτα και πακέτα, και περιτυλίγματα που περιέχουν τρόφιμα·</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συσκευασίες και περιτυλίγματα από εύκαμπτο υλικό που περιέχουν τρόφιμα, τα οποία προορίζονται για άμεση κατανάλωση από το πακέτο ή το περιτύλιγμα χωρίς περαιτέρω προετοιμασία·</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περιέκτες ποτών όγκου έως τριών λίτρων, δηλαδή περιέκτες που χρησιμοποιούνται για να περιέχουν υγρά, όπως φιάλες ποτών, συμπεριλαμβανομένων των καλυμμάτων και των πωμάτων τους και των σύνθετων συσκευασιών ποτών, συμπεριλαμβανομένων των πωμάτων και των καλυμμάτων τους, εκτός των γυάλινων ή μεταλλικών περιεκτών ποτών που έχουν πλαστικά πώματα και καλύμματα·</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κύπελλα ποτών· συμπεριλαμβανομένων των πωμάτων και των καλυμμάτων τους·</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λεπτές πλαστικές σακούλες μεταφοράς.</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Πλαστικά προϊόντα μιας χρήσης που καλύπτονται από το άρθρο 75στ παράγραφοι 1, 3 και 4 του νόμου</w:t>
      </w:r>
    </w:p>
    <w:p w14:paraId="4BA744C0" w14:textId="77777777" w:rsidR="00E30B60" w:rsidRDefault="00CB547F">
      <w:pPr>
        <w:pStyle w:val="ListParagraph"/>
        <w:numPr>
          <w:ilvl w:val="0"/>
          <w:numId w:val="4"/>
        </w:numPr>
        <w:tabs>
          <w:tab w:val="left" w:pos="786"/>
        </w:tabs>
        <w:spacing w:before="143"/>
        <w:ind w:right="0"/>
        <w:rPr>
          <w:sz w:val="20"/>
        </w:rPr>
      </w:pPr>
      <w:r>
        <w:rPr>
          <w:sz w:val="20"/>
        </w:rPr>
        <w:t>Υγρά μαντηλάκια, δηλ. προδιαβρεγμένα μαντηλάκια προσωπικής υγιεινής και οικιακά μαντηλάκια·</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μπαλόνια, εκτός από μπαλόνια που δεν διατίθενται στους καταναλωτές και προορίζονται για βιομηχανική ή άλλη επαγγελματική χρήση και κατανάλωση.</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Άλλα πλαστικά προϊόντα μιας χρήσης που καλύπτονται από το άρθρο 75στ παράγραφοι 1 έως 4 του νόμου</w:t>
      </w:r>
    </w:p>
    <w:p w14:paraId="475248E0" w14:textId="77777777" w:rsidR="00E30B60" w:rsidRDefault="00CB547F">
      <w:pPr>
        <w:pStyle w:val="BodyText"/>
        <w:spacing w:before="43" w:line="276" w:lineRule="auto"/>
        <w:ind w:left="502" w:firstLine="226"/>
      </w:pPr>
      <w:r>
        <w:t>Προϊόντα καπνού με φίλτρο και φίλτρα που κυκλοφορούν στο εμπόριο για χρήση σε συνδυασμό με προϊόντα καπνού.</w:t>
      </w:r>
    </w:p>
    <w:p w14:paraId="3AC28F65" w14:textId="77777777" w:rsidR="00E30B60" w:rsidRDefault="00CB547F">
      <w:pPr>
        <w:pStyle w:val="BodyText"/>
        <w:spacing w:before="188"/>
        <w:ind w:left="1230" w:right="834"/>
        <w:jc w:val="center"/>
        <w:rPr>
          <w:b/>
        </w:rPr>
      </w:pPr>
      <w:r>
        <w:rPr>
          <w:b/>
        </w:rPr>
        <w:t>ΜΕΡΟΣ ΣΤ</w:t>
      </w:r>
    </w:p>
    <w:p w14:paraId="5503DD3F" w14:textId="77777777" w:rsidR="00E30B60" w:rsidRDefault="00CB547F">
      <w:pPr>
        <w:pStyle w:val="BodyText"/>
        <w:spacing w:before="230" w:line="297" w:lineRule="auto"/>
        <w:ind w:left="502" w:firstLine="226"/>
        <w:rPr>
          <w:b/>
        </w:rPr>
      </w:pPr>
      <w:r>
        <w:rPr>
          <w:b/>
        </w:rPr>
        <w:t>Πλαστικά προϊόντα μιας χρήσης που μπορούν να διατεθούν στην αγορά σύμφωνα με την απαίτηση του άρθρου 75δ παράγραφος 4 του νόμου</w:t>
      </w:r>
    </w:p>
    <w:p w14:paraId="104BA5A3" w14:textId="77777777" w:rsidR="00E30B60" w:rsidRDefault="00CB547F">
      <w:pPr>
        <w:pStyle w:val="BodyText"/>
        <w:spacing w:before="186"/>
        <w:ind w:left="729"/>
      </w:pPr>
      <w:r>
        <w:lastRenderedPageBreak/>
        <w:t>Φιάλες ποτών έως τριών λίτρων, συμπεριλαμβανομένων των καπακιών και των πωμάτων, εκτός από</w:t>
      </w:r>
    </w:p>
    <w:p w14:paraId="411E1955" w14:textId="77777777" w:rsidR="00E30B60" w:rsidRDefault="00CB547F">
      <w:pPr>
        <w:pStyle w:val="ListParagraph"/>
        <w:numPr>
          <w:ilvl w:val="0"/>
          <w:numId w:val="3"/>
        </w:numPr>
        <w:tabs>
          <w:tab w:val="left" w:pos="786"/>
        </w:tabs>
        <w:spacing w:before="120"/>
        <w:ind w:right="0"/>
        <w:rPr>
          <w:sz w:val="20"/>
        </w:rPr>
      </w:pPr>
      <w:r>
        <w:rPr>
          <w:sz w:val="20"/>
        </w:rPr>
        <w:t>γυάλινες ή μεταλλικές φιάλες ποτών με πλαστικά πώματα και καλύμματα·</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φιάλες ποτών που προορίζονται και χρησιμοποιούνται για τρόφιμα για ειδικούς ιατρικούς σκοπούς σε υγρή μορφή, οι οποίες υπόκεινται σε ειδική νομοθεσία.</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t>ΜΕΡΟΣ Ζ</w:t>
      </w:r>
    </w:p>
    <w:p w14:paraId="0B3CFA54" w14:textId="416D168C" w:rsidR="00E30B60" w:rsidRDefault="00CB547F" w:rsidP="00470FBD">
      <w:pPr>
        <w:pStyle w:val="BodyText"/>
        <w:keepNext/>
        <w:keepLines/>
        <w:spacing w:before="231"/>
        <w:ind w:left="729"/>
        <w:rPr>
          <w:b/>
          <w:sz w:val="17"/>
        </w:rPr>
      </w:pPr>
      <w:r>
        <w:rPr>
          <w:b/>
        </w:rPr>
        <w:t>Πλαστικά προϊόντα μιας χρήσης που καλύπτονται από το άρθρο 75 ζ του νόμου</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Περιέκτες τροφίμων, δηλαδή κουτιά, με ή χωρίς καλύμματα, για τρόφιμα που</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προορίζονται για άμεση κατανάλωση είτε στο σημείο πώλησης είτε σε άλλο σημείο από το σημείο πώλησης·</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καταναλώνονται συνήθως από τον περιέκτη· και</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είναι έτοιμα για κατανάλωση χωρίς περαιτέρω προετοιμασία, όπως μαγείρεμα, βράσιμο ή ζέσταμα·</w:t>
      </w:r>
    </w:p>
    <w:p w14:paraId="43510610" w14:textId="77777777" w:rsidR="00E30B60" w:rsidRDefault="00CB547F">
      <w:pPr>
        <w:pStyle w:val="BodyText"/>
        <w:spacing w:before="216" w:line="276" w:lineRule="auto"/>
        <w:ind w:left="785" w:right="103" w:firstLine="226"/>
        <w:jc w:val="both"/>
      </w:pPr>
      <w:r>
        <w:t>καθώς και περιέκτες τροφίμων ταχυφαγείων ή άλλων τροφίμων έτοιμων για άμεση κατανάλωση, εκτός από περιέκτες ποτών, πιάτα, πακέτα και περιτυλίγματα που περιέχουν τρόφιμα·</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συσκευασίες και περιτυλίγματα από εύκαμπτο υλικό που περιέχουν τρόφιμα, τα οποία προορίζονται για άμεση κατανάλωση από το πακέτο ή το περιτύλιγμα χωρίς περαιτέρω προετοιμασία·</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περιέκτες ποτών όγκου έως τριών λίτρων, δηλαδή περιέκτες που χρησιμοποιούνται για να περιέχουν υγρά, όπως φιάλες ποτών, συμπεριλαμβανομένων των καλυμμάτων και των πωμάτων τους και των σύνθετων συσκευασιών ποτών, συμπεριλαμβανομένων των πωμάτων και των καλυμμάτων τους, εκτός των γυάλινων ή μεταλλικών περιεκτών ποτών που έχουν πλαστικά πώματα και καλύμματα·</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κύπελλα ποτών· συμπεριλαμβανομένων των πωμάτων και των καλυμμάτων τους·</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προϊόντα καπνού με φίλτρο και φίλτρα που κυκλοφορούν στο εμπόριο για χρήση σε συνδυασμό με προϊόντα καπνού·</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υγρά μαντηλάκια, π.χ., προδιαβρεγμένα μαντηλάκια προσωπικής υγιεινής και οικιακά μαντηλάκια·</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μπαλόνια, εκτός από μπαλόνια που δεν διατίθενται στους καταναλωτές και προορίζονται για βιομηχανική ή άλλη επαγγελματική χρήση και κατανάλωση.</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λεπτές πλαστικές σακούλες μεταφοράς·</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σερβιέτες, ταμπόν και εφαρμογείς ταμπόν». Οι υποσημειώσεις 162 έως 164 διατυπώνονται ως εξής:</w:t>
      </w:r>
    </w:p>
    <w:p w14:paraId="159DB5FD" w14:textId="77777777" w:rsidR="00E30B60" w:rsidRDefault="00CB547F">
      <w:pPr>
        <w:spacing w:line="244" w:lineRule="auto"/>
        <w:ind w:left="729" w:right="103"/>
        <w:jc w:val="both"/>
        <w:rPr>
          <w:sz w:val="18"/>
        </w:rPr>
      </w:pPr>
      <w:r>
        <w:rPr>
          <w:sz w:val="18"/>
        </w:rPr>
        <w:t>«</w:t>
      </w:r>
      <w:r>
        <w:rPr>
          <w:sz w:val="10"/>
        </w:rPr>
        <w:t>162</w:t>
      </w:r>
      <w:r>
        <w:rPr>
          <w:sz w:val="18"/>
        </w:rPr>
        <w:t>)Για παράδειγμα, ο νόμος αριθ. 362/2011 για τα φάρμακα και τα ιατροτεχνολογικά προϊόντα και για τροποποιήσεις ορισμένων νόμων, όπως τροποποιήθηκε, ο νόμος αριθ. 362/2011 για τα φάρμακα και τα ιατροτεχνολογικά προϊόντα και για τροποποιήσεις ορισμένων νόμων, όπως τροποποιήθηκε.</w:t>
      </w:r>
    </w:p>
    <w:p w14:paraId="5E5B56BE" w14:textId="62F04962" w:rsidR="00E30B60" w:rsidRDefault="00CB547F">
      <w:pPr>
        <w:spacing w:before="99" w:line="244" w:lineRule="auto"/>
        <w:ind w:left="729" w:right="103"/>
        <w:jc w:val="both"/>
        <w:rPr>
          <w:sz w:val="18"/>
        </w:rPr>
      </w:pPr>
      <w:r>
        <w:rPr>
          <w:sz w:val="10"/>
        </w:rPr>
        <w:t>163</w:t>
      </w:r>
      <w:r>
        <w:rPr>
          <w:sz w:val="18"/>
        </w:rPr>
        <w:t>) Κανονισμός (ΕΕ) αριθ. 609/2013 του Ευρωπαϊκού Κοινοβουλίου και του Συμβουλίου της 12ης Ιουνίου 2013, για τρόφιμα τα οποία προορίζονται για βρέφη και μικρά παιδιά και για τρόφιμα που προορίζονται για ειδικούς ιατρικούς σκοπούς και ως υποκατάστατα του συνόλου του διαιτολογίου για τον έλεγχο του σωματικού βάρους και για την κατάργηση της οδηγίας 92/52/ΕΟΚ του Συμβουλίου, των οδηγιών της Επιτροπής 96/8/ΕΚ, 1999/21/ΕΚ, 2006/125/ΕΚ και 2006/141/ΕΚ, της οδηγίας 2009/39/ΕΚ του Ευρωπαϊκού Κοινοβουλίου και του Συμβουλίου και των κανονισμών της Επιτροπής (ΕΚ) αριθ. 41/2009 και (ΕΚ) αριθ. 953/2009 (ΕΕ L 181 της 29.6.2013), όπως τροποποιήθηκε.</w:t>
      </w:r>
    </w:p>
    <w:p w14:paraId="711B9AD3" w14:textId="77777777" w:rsidR="00E30B60" w:rsidRDefault="00CB547F">
      <w:pPr>
        <w:spacing w:before="103" w:line="244" w:lineRule="auto"/>
        <w:ind w:left="729" w:right="103"/>
        <w:jc w:val="both"/>
        <w:rPr>
          <w:sz w:val="18"/>
        </w:rPr>
      </w:pPr>
      <w:r>
        <w:rPr>
          <w:sz w:val="10"/>
        </w:rPr>
        <w:t>164</w:t>
      </w:r>
      <w:r>
        <w:rPr>
          <w:sz w:val="18"/>
        </w:rPr>
        <w:t>)Το άρθρο 52 παράγραφος 27 του νόμου αριθ. 79/2015 σχετικά με τα απόβλητα και τις τροποποιήσεις ορισμένων νόμων, όπως τροποποιήθηκε».</w:t>
      </w:r>
    </w:p>
    <w:p w14:paraId="4B0F8EC2" w14:textId="77777777" w:rsidR="00E30B60" w:rsidRDefault="00CB547F">
      <w:pPr>
        <w:pStyle w:val="BodyText"/>
        <w:spacing w:before="205"/>
        <w:ind w:left="105" w:right="105"/>
        <w:jc w:val="center"/>
        <w:rPr>
          <w:b/>
        </w:rPr>
      </w:pPr>
      <w:r>
        <w:rPr>
          <w:b/>
        </w:rPr>
        <w:t>Άρθρο II</w:t>
      </w:r>
    </w:p>
    <w:p w14:paraId="2EE476EE" w14:textId="2C3D0D68" w:rsidR="00E30B60" w:rsidRDefault="00CB547F">
      <w:pPr>
        <w:pStyle w:val="BodyText"/>
        <w:spacing w:before="217" w:line="276" w:lineRule="auto"/>
        <w:ind w:left="105" w:right="103" w:firstLine="226"/>
        <w:jc w:val="both"/>
      </w:pPr>
      <w:r>
        <w:t>Ο νόμος αριθ. 302/2019 σχετικά με σύστημα ανταποδοτικής ανακύκλωσης για αναλώσιμους περιέκτες ποτών και την τροποποίηση ορισμένων νόμων, όπως τροποποιήθηκε με τον νόμο αριθ. 74/2020, τον νόμο αριθ. 285/2020 και τον νόμο αριθ. 372/2021, τροποποιείται ως εξής:</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Στο άρθρο 4 παράγραφος 1 στοιχείο η, το κείμενο «ιβ) και ιγ)» αντικαθίσταται από το κείμενο «ιβ), ιγ) και κβ)».</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lastRenderedPageBreak/>
        <w:t>Στο άρθρο 7 παράγραφος 1 προστίθεται το ακόλουθο στοιχείο κβ):</w:t>
      </w:r>
    </w:p>
    <w:p w14:paraId="05E6705E" w14:textId="1AC38935" w:rsidR="00E30B60" w:rsidRDefault="00CB547F">
      <w:pPr>
        <w:pStyle w:val="BodyText"/>
        <w:spacing w:before="105" w:line="244" w:lineRule="auto"/>
        <w:ind w:left="785" w:right="103" w:hanging="397"/>
        <w:jc w:val="both"/>
      </w:pPr>
      <w:r>
        <w:t>«κβ) αναφέρει το αργότερο έως τις 30 Απριλίου στο Υπουργείο την περιεκτικότητα προϊόντων σε ανακυκλωμένο πλαστικό σύμφωνα με τις υποχρεώσεις του κατασκευαστή συσκευασίας βάσει ειδικής νομοθεσίας</w:t>
      </w:r>
      <w:r>
        <w:rPr>
          <w:sz w:val="10"/>
        </w:rPr>
        <w:t>11(α</w:t>
      </w:r>
      <w:r>
        <w:t>) για το προηγούμενο ημερολογιακό έτος».</w:t>
      </w:r>
    </w:p>
    <w:p w14:paraId="747169BD" w14:textId="77777777" w:rsidR="00E30B60" w:rsidRDefault="00CB547F">
      <w:pPr>
        <w:pStyle w:val="BodyText"/>
        <w:spacing w:before="102"/>
        <w:ind w:left="615"/>
        <w:jc w:val="both"/>
      </w:pPr>
      <w:r>
        <w:t>Η υποσημείωση 11α διατυπώνεται ως εξής:</w:t>
      </w:r>
    </w:p>
    <w:p w14:paraId="3DF25C37" w14:textId="17E88567" w:rsidR="00E30B60" w:rsidRDefault="00CB547F">
      <w:pPr>
        <w:spacing w:before="104" w:line="244" w:lineRule="auto"/>
        <w:ind w:left="615" w:right="103"/>
        <w:jc w:val="both"/>
        <w:rPr>
          <w:sz w:val="18"/>
        </w:rPr>
      </w:pPr>
      <w:r>
        <w:rPr>
          <w:sz w:val="18"/>
        </w:rPr>
        <w:t>«</w:t>
      </w:r>
      <w:r>
        <w:rPr>
          <w:sz w:val="10"/>
        </w:rPr>
        <w:t>11(α</w:t>
      </w:r>
      <w:r>
        <w:rPr>
          <w:sz w:val="18"/>
        </w:rPr>
        <w:t>) Το άρθρο 75δ παράγραφος 4 και 5 του νόμου αριθ. 79/2015 σχετικά με τα απόβλητα και τις τροποποιήσεις ορισμένων νόμων, όπως τροποποιήθηκε».</w:t>
      </w:r>
    </w:p>
    <w:p w14:paraId="3C4273E1" w14:textId="27D8C206" w:rsidR="00E30B60" w:rsidRPr="00366F0F" w:rsidRDefault="00CB547F" w:rsidP="00366F0F">
      <w:pPr>
        <w:pStyle w:val="ListParagraph"/>
        <w:numPr>
          <w:ilvl w:val="0"/>
          <w:numId w:val="1"/>
        </w:numPr>
        <w:tabs>
          <w:tab w:val="left" w:pos="389"/>
        </w:tabs>
        <w:spacing w:before="102"/>
        <w:ind w:right="0"/>
        <w:jc w:val="both"/>
        <w:rPr>
          <w:sz w:val="20"/>
        </w:rPr>
      </w:pPr>
      <w:r>
        <w:rPr>
          <w:sz w:val="20"/>
        </w:rPr>
        <w:t>Στο άρθρο 13 στοιχείο θ), μετά το κείμενο «ιστ) έως ιθ)» παρεμβάλλεται ένα κόμμα και το κείμενο «και κα)» αντικαθίσταται από το κείμενο «(κα) και (κβ)».</w:t>
      </w:r>
    </w:p>
    <w:p w14:paraId="5C64465E" w14:textId="77777777" w:rsidR="00E30B60" w:rsidRDefault="00CB547F">
      <w:pPr>
        <w:pStyle w:val="ListParagraph"/>
        <w:numPr>
          <w:ilvl w:val="0"/>
          <w:numId w:val="1"/>
        </w:numPr>
        <w:tabs>
          <w:tab w:val="left" w:pos="389"/>
        </w:tabs>
        <w:spacing w:before="125"/>
        <w:ind w:right="0"/>
        <w:rPr>
          <w:sz w:val="20"/>
        </w:rPr>
      </w:pPr>
      <w:r>
        <w:rPr>
          <w:sz w:val="20"/>
        </w:rPr>
        <w:t>Στο άρθρο IV, το κείμενο «και το άρθρο 103 παράγραφος 23 σημείο 5» διαγράφεται και στο τέλος προστίθεται το ακόλουθο κείμενο:</w:t>
      </w:r>
    </w:p>
    <w:p w14:paraId="0DEC76DE" w14:textId="77777777" w:rsidR="00E30B60" w:rsidRDefault="00CB547F">
      <w:pPr>
        <w:pStyle w:val="BodyText"/>
        <w:spacing w:before="6"/>
        <w:ind w:left="388"/>
      </w:pPr>
      <w:r>
        <w:t>«και με εξαίρεση το άρθρο III 103 παράγραφος 23, σημείο 5, το οποίο τίθεται σε ισχύ την 1η Ιανουαρίου 2023».</w:t>
      </w:r>
    </w:p>
    <w:p w14:paraId="4398D9A5" w14:textId="77777777" w:rsidR="00E30B60" w:rsidRDefault="00CB547F">
      <w:pPr>
        <w:pStyle w:val="ListParagraph"/>
        <w:numPr>
          <w:ilvl w:val="0"/>
          <w:numId w:val="1"/>
        </w:numPr>
        <w:tabs>
          <w:tab w:val="left" w:pos="389"/>
        </w:tabs>
        <w:spacing w:before="105"/>
        <w:ind w:right="0"/>
        <w:rPr>
          <w:sz w:val="20"/>
        </w:rPr>
      </w:pPr>
      <w:r>
        <w:rPr>
          <w:sz w:val="20"/>
        </w:rPr>
        <w:t>Το υπάρχον κείμενο του παραρτήματος 2 επισημαίνεται ως σημείο ένα και προστίθεται το ακόλουθο σημείο δύο:</w:t>
      </w:r>
    </w:p>
    <w:p w14:paraId="59E27538" w14:textId="77777777" w:rsidR="00E30B60" w:rsidRDefault="00CB547F">
      <w:pPr>
        <w:pStyle w:val="BodyText"/>
        <w:spacing w:before="105" w:line="244" w:lineRule="auto"/>
        <w:ind w:left="785" w:hanging="397"/>
      </w:pPr>
      <w:r>
        <w:t>«2. Οδηγία (ΕΕ) 2019/904 του Ευρωπαϊκού Κοινοβουλίου και του Συμβουλίου της 5ης Ιουνίου 2019, σχετικά με τη μείωση των επιπτώσεων ορισμένων πλαστικών προϊόντων στο περιβάλλον (ΕΕ L 155 στις 12.6.2019)».</w:t>
      </w:r>
    </w:p>
    <w:p w14:paraId="5FB7BCDC" w14:textId="77777777" w:rsidR="00E30B60" w:rsidRDefault="00CB547F">
      <w:pPr>
        <w:pStyle w:val="BodyText"/>
        <w:spacing w:before="204"/>
        <w:ind w:left="105" w:right="105"/>
        <w:jc w:val="center"/>
        <w:rPr>
          <w:b/>
        </w:rPr>
      </w:pPr>
      <w:r>
        <w:rPr>
          <w:b/>
        </w:rPr>
        <w:t>Άρθρο III</w:t>
      </w:r>
    </w:p>
    <w:p w14:paraId="26D523C2" w14:textId="77777777" w:rsidR="00E30B60" w:rsidRDefault="00CB547F">
      <w:pPr>
        <w:pStyle w:val="BodyText"/>
        <w:spacing w:before="217" w:line="276" w:lineRule="auto"/>
        <w:ind w:left="105" w:right="103" w:firstLine="226"/>
        <w:jc w:val="both"/>
      </w:pPr>
      <w:r>
        <w:t>Η παρούσα πράξη τίθεται σε ισχύ την 1η Δεκεμβρίου 2021, εκτός από το άρθρο Ι σημεία 3 και 6, το άρθρο 75στ παράγραφος 1 και σημείο 11, τα οποία τίθενται σε ισχύ την 1η Ιανουαρίου 2022, το άρθρο Ι σημείο 6 του άρθρου 75δ παράγραφος 1, το οποίο τίθεται σε ισχύ την 3η Ιουλίου 2024, το άρθρο Ι σημείο 6 του άρθρου 75στ στοιχείο δ) και 6, το οποίο τίθεται σε ισχύ την 1η Δεκεμβρίου 2021, το άρθρο I σημείο 6 άρθρο 75δ παράγραφος 4 στοιχείο α), το οποίο τίθεται σε ισχύ την 1η Ιανουαρίου 2025 και το άρθρο Ι σημείο 6 άρθρο75δ παράγραφος 4 στοιχείο β), το οποίο τίθεται σε ισχύ την 1η Ιανουαρίου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 m.p.</w:t>
      </w:r>
    </w:p>
    <w:p w14:paraId="076E5D6C" w14:textId="77777777" w:rsidR="00E30B60" w:rsidRDefault="00CB547F" w:rsidP="00D0358C">
      <w:pPr>
        <w:pStyle w:val="BodyText"/>
        <w:spacing w:before="246" w:line="489" w:lineRule="auto"/>
        <w:ind w:left="3971" w:right="3790" w:firstLine="66"/>
        <w:jc w:val="center"/>
        <w:rPr>
          <w:b/>
        </w:rPr>
      </w:pPr>
      <w:r>
        <w:rPr>
          <w:b/>
        </w:rPr>
        <w:t>Boris Kollár m.p. Eduard Heger m.p.</w:t>
      </w:r>
    </w:p>
    <w:p w14:paraId="30029F0C" w14:textId="77777777" w:rsidR="00E30B60" w:rsidRDefault="00E30B60">
      <w:pPr>
        <w:spacing w:line="489" w:lineRule="auto"/>
        <w:jc w:val="center"/>
        <w:sectPr w:rsidR="00E30B60">
          <w:headerReference w:type="even" r:id="rId8"/>
          <w:headerReference w:type="default" r:id="rId9"/>
          <w:pgSz w:w="11910" w:h="16840"/>
          <w:pgMar w:top="1160" w:right="1000" w:bottom="280" w:left="1000" w:header="796" w:footer="0" w:gutter="0"/>
          <w:cols w:space="720"/>
        </w:sectPr>
      </w:pPr>
    </w:p>
    <w:p w14:paraId="6F9C6CA4" w14:textId="77B7E5A4" w:rsidR="00E30B60" w:rsidRDefault="00A633E5">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Σελίδα 11</w:t>
      </w:r>
      <w:r w:rsidR="00366F0F">
        <w:tab/>
      </w:r>
      <w:r w:rsidR="00D0358C">
        <w:t xml:space="preserve">Συλλογή νόμων της Σλοβακικής Δημοκρατίας </w:t>
      </w:r>
      <w:r w:rsidR="00D0358C">
        <w:tab/>
      </w:r>
      <w:r w:rsidR="00366F0F">
        <w:tab/>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A633E5">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Ο φορέας έκδοσης της Συλλογής νομοθεσίας της Σλοβακικής Δημοκρατίας, ο διαχειριστής περιεχομένου καθώς και ο φορέας λειτουργίας της νομικής και ενημερωτικής πύλης Slov-Lex που είναι διαθέσιμη στη διεύθυνση </w:t>
      </w:r>
      <w:hyperlink r:id="rId10">
        <w:r>
          <w:rPr>
            <w:sz w:val="18"/>
          </w:rPr>
          <w:t>www.slov-lex.sk</w:t>
        </w:r>
      </w:hyperlink>
      <w:r>
        <w:rPr>
          <w:sz w:val="18"/>
        </w:rPr>
        <w:t>είναι</w:t>
      </w:r>
    </w:p>
    <w:p w14:paraId="38FEE7A0" w14:textId="77777777" w:rsidR="00E30B60" w:rsidRDefault="00CB547F">
      <w:pPr>
        <w:spacing w:before="1" w:line="244" w:lineRule="auto"/>
        <w:ind w:left="1754" w:right="1752"/>
        <w:jc w:val="center"/>
        <w:rPr>
          <w:sz w:val="18"/>
        </w:rPr>
      </w:pPr>
      <w:r>
        <w:rPr>
          <w:sz w:val="18"/>
        </w:rPr>
        <w:t>Γραφείο της Κυβέρνησης της Σλοβακικής Δημοκρατίας, Námestie slobody 1, 81370 Μπρατισλάβα, τηλ.: 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E1C5" w14:textId="77777777" w:rsidR="00A633E5" w:rsidRDefault="00A633E5">
      <w:r>
        <w:separator/>
      </w:r>
    </w:p>
  </w:endnote>
  <w:endnote w:type="continuationSeparator" w:id="0">
    <w:p w14:paraId="775AAE68" w14:textId="77777777" w:rsidR="00A633E5" w:rsidRDefault="00A6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0A33" w14:textId="77777777" w:rsidR="00A633E5" w:rsidRDefault="00A633E5">
      <w:r>
        <w:separator/>
      </w:r>
    </w:p>
  </w:footnote>
  <w:footnote w:type="continuationSeparator" w:id="0">
    <w:p w14:paraId="7C788DF8" w14:textId="77777777" w:rsidR="00A633E5" w:rsidRDefault="00A6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78252380" w:rsidR="00E30B60" w:rsidRDefault="00A633E5">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84.05pt;margin-top:39.3pt;width:229.35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Συλλογή νόμων της Σλοβακικής Δημοκρατίας</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Σελίδα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05F45F19" w:rsidR="00E30B60" w:rsidRDefault="00A633E5">
    <w:pPr>
      <w:pStyle w:val="BodyText"/>
      <w:spacing w:line="14" w:lineRule="auto"/>
    </w:pPr>
    <w:r>
      <w:pict w14:anchorId="0C2195BF">
        <v:shapetype id="_x0000_t202" coordsize="21600,21600" o:spt="202" path="m,l,21600r21600,l21600,xe">
          <v:stroke joinstyle="miter"/>
          <v:path gradientshapeok="t" o:connecttype="rect"/>
        </v:shapetype>
        <v:shape id="_x0000_s1026" type="#_x0000_t202" style="position:absolute;margin-left:188.4pt;margin-top:39.3pt;width:226.25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Συλλογή νόμων της Σλοβακικής Δημοκρατίας</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r>
      <w:pict w14:anchorId="7F7A7A74">
        <v:shape id="_x0000_s1025" type="#_x0000_t202" style="position:absolute;margin-left:496.55pt;margin-top:39.3pt;width:46.4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Σελίδα </w:t>
                </w:r>
                <w:r>
                  <w:fldChar w:fldCharType="begin"/>
                </w:r>
                <w:r>
                  <w:instrText xml:space="preserve"> PAGE </w:instrText>
                </w:r>
                <w:r>
                  <w:fldChar w:fldCharType="separate"/>
                </w:r>
                <w:r>
                  <w:t>3</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0A7C2B"/>
    <w:rsid w:val="00327732"/>
    <w:rsid w:val="00366F0F"/>
    <w:rsid w:val="00470FBD"/>
    <w:rsid w:val="007800BF"/>
    <w:rsid w:val="00A633E5"/>
    <w:rsid w:val="00CB547F"/>
    <w:rsid w:val="00D0358C"/>
    <w:rsid w:val="00E3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6F0F"/>
    <w:pPr>
      <w:tabs>
        <w:tab w:val="center" w:pos="4536"/>
        <w:tab w:val="right" w:pos="9072"/>
      </w:tabs>
    </w:pPr>
  </w:style>
  <w:style w:type="character" w:customStyle="1" w:styleId="HeaderChar">
    <w:name w:val="Header Char"/>
    <w:basedOn w:val="DefaultParagraphFont"/>
    <w:link w:val="Header"/>
    <w:uiPriority w:val="99"/>
    <w:rsid w:val="00366F0F"/>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366F0F"/>
    <w:pPr>
      <w:tabs>
        <w:tab w:val="center" w:pos="4536"/>
        <w:tab w:val="right" w:pos="9072"/>
      </w:tabs>
    </w:pPr>
  </w:style>
  <w:style w:type="character" w:customStyle="1" w:styleId="FooterChar">
    <w:name w:val="Footer Char"/>
    <w:basedOn w:val="DefaultParagraphFont"/>
    <w:link w:val="Footer"/>
    <w:uiPriority w:val="99"/>
    <w:rsid w:val="00366F0F"/>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4407</Words>
  <Characters>25523</Characters>
  <Application>Microsoft Office Word</Application>
  <DocSecurity>0</DocSecurity>
  <Lines>531</Lines>
  <Paragraphs>245</Paragraphs>
  <ScaleCrop>false</ScaleCrop>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4</cp:revision>
  <dcterms:created xsi:type="dcterms:W3CDTF">2022-03-29T07:16:00Z</dcterms:created>
  <dcterms:modified xsi:type="dcterms:W3CDTF">2022-03-29T08:41:00Z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