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A5A" w:rsidRPr="00B00403" w:rsidRDefault="00EC0A5A" w:rsidP="00EC0A5A">
      <w:pPr>
        <w:pStyle w:val="Textosinformato"/>
        <w:rPr>
          <w:rFonts w:ascii="Courier New" w:hAnsi="Courier New" w:cs="Courier New"/>
          <w:sz w:val="20"/>
          <w:szCs w:val="20"/>
        </w:rPr>
      </w:pPr>
      <w:r>
        <w:rPr>
          <w:rFonts w:ascii="Courier New" w:hAnsi="Courier New"/>
          <w:sz w:val="20"/>
        </w:rPr>
        <w:t xml:space="preserve">1. ------IND- 2018 0650 FIN ES- ------ 20200804 --- --- FINAL </w:t>
      </w:r>
    </w:p>
    <w:p w:rsidR="00243319" w:rsidRPr="00FB11F1" w:rsidRDefault="00243319" w:rsidP="00243319">
      <w:pPr>
        <w:pStyle w:val="LLMinisterionAsetus"/>
      </w:pPr>
      <w:r>
        <w:t>7/19</w:t>
      </w:r>
    </w:p>
    <w:p w:rsidR="006A1A37" w:rsidRDefault="006A1A37" w:rsidP="00550738">
      <w:pPr>
        <w:pStyle w:val="LLMinisterionAsetus"/>
      </w:pPr>
      <w:r>
        <w:t>Decreto del Ministerio de Medio Ambiente</w:t>
      </w:r>
    </w:p>
    <w:p w:rsidR="00716A6B" w:rsidRPr="003E26AD" w:rsidRDefault="008D4D36" w:rsidP="00550738">
      <w:pPr>
        <w:pStyle w:val="LLNormaali"/>
        <w:jc w:val="center"/>
        <w:rPr>
          <w:b/>
        </w:rPr>
      </w:pPr>
      <w:r>
        <w:rPr>
          <w:b/>
        </w:rPr>
        <w:t>relativo a la homologación de los empalmes de agua destinados a las instalaciones de agua en el interior de los edificios</w:t>
      </w:r>
    </w:p>
    <w:p w:rsidR="004A0CA1" w:rsidRDefault="004A0CA1" w:rsidP="00550738">
      <w:pPr>
        <w:pStyle w:val="LLSaadoksenNimi"/>
      </w:pPr>
    </w:p>
    <w:p w:rsidR="00716A6B" w:rsidRPr="00716A6B" w:rsidRDefault="00716A6B" w:rsidP="00550738">
      <w:pPr>
        <w:pStyle w:val="LLNormaali"/>
      </w:pPr>
    </w:p>
    <w:p w:rsidR="002D7E58" w:rsidRDefault="002D7E58" w:rsidP="00550738">
      <w:pPr>
        <w:pStyle w:val="LLJohtolauseKappaleet"/>
      </w:pPr>
      <w:r>
        <w:t>Por decisión del Ministerio de Medio Ambiente, se establecerá lo siguiente con arreglo al artículo 6, párrafo tercero, artículo 9, párrafo segundo, y artículo 10, párrafo tercero, de la Ley (954/2012) sobre la homologación de tipo de determinados productos de construcción:</w:t>
      </w:r>
    </w:p>
    <w:p w:rsidR="006A1A37" w:rsidRDefault="006A1A37" w:rsidP="00550738">
      <w:pPr>
        <w:pStyle w:val="LLPykala"/>
        <w:keepNext/>
        <w:keepLines/>
        <w:spacing w:before="240" w:after="240"/>
      </w:pPr>
      <w:r>
        <w:t>Artículo 1</w:t>
      </w:r>
    </w:p>
    <w:p w:rsidR="006A1A37" w:rsidRDefault="006A1A37" w:rsidP="00550738">
      <w:pPr>
        <w:pStyle w:val="LLPykalanOtsikko"/>
        <w:keepNext/>
        <w:keepLines/>
        <w:spacing w:after="240"/>
      </w:pPr>
      <w:r>
        <w:t>Ámbito de aplicación</w:t>
      </w:r>
    </w:p>
    <w:p w:rsidR="00501DF5" w:rsidRDefault="002D7E58" w:rsidP="00CC2462">
      <w:pPr>
        <w:pStyle w:val="LLJohtolauseKappaleet"/>
      </w:pPr>
      <w:r>
        <w:t>El Decreto se aplicará a los requisitos para la homologación de los empalmes de agua destinados al transporte de agua potable y agua caliente sanitaria ubicados en edificios y propiedades.</w:t>
      </w:r>
    </w:p>
    <w:p w:rsidR="006A1A37" w:rsidRDefault="006A1A37" w:rsidP="00550738">
      <w:pPr>
        <w:pStyle w:val="LLPykala"/>
        <w:keepNext/>
        <w:keepLines/>
        <w:spacing w:before="240" w:after="240"/>
      </w:pPr>
      <w:r>
        <w:t>Artículo 2</w:t>
      </w:r>
    </w:p>
    <w:p w:rsidR="006A1A37" w:rsidRDefault="006A1A37" w:rsidP="00550738">
      <w:pPr>
        <w:pStyle w:val="LLPykalanOtsikko"/>
        <w:keepNext/>
        <w:keepLines/>
        <w:spacing w:after="240"/>
      </w:pPr>
      <w:r>
        <w:t>Definiciones</w:t>
      </w:r>
    </w:p>
    <w:p w:rsidR="00AD3350" w:rsidRDefault="00AD3350" w:rsidP="00CC2462">
      <w:pPr>
        <w:pStyle w:val="LLJohtolauseKappaleet"/>
        <w:keepNext/>
        <w:keepLines/>
      </w:pPr>
      <w:r>
        <w:t>A efectos del presente Decreto, se entenderá por:</w:t>
      </w:r>
    </w:p>
    <w:p w:rsidR="00A85386" w:rsidRPr="0008438B" w:rsidRDefault="00501DF5" w:rsidP="00CC2462">
      <w:pPr>
        <w:pStyle w:val="LLJohtolauseKappaleet"/>
      </w:pPr>
      <w:r>
        <w:t xml:space="preserve">1) </w:t>
      </w:r>
      <w:r>
        <w:rPr>
          <w:i/>
          <w:iCs/>
        </w:rPr>
        <w:t>válvula reguladora del empalme de agua</w:t>
      </w:r>
      <w:r>
        <w:t>: la combinación de dispositivo de cierre, mecanismo conductor y actuador. El dispositivo de cierre permite o evita que el agua fluya a través del empalme de agua. El actuador activa el dispositivo de cierre a través del mecanismo conductor. El dispositivo de cierre puede activarse manual o eléctricamente;</w:t>
      </w:r>
    </w:p>
    <w:p w:rsidR="00D72775" w:rsidRDefault="00501DF5" w:rsidP="00CC2462">
      <w:pPr>
        <w:pStyle w:val="LLJohtolauseKappaleet"/>
      </w:pPr>
      <w:r>
        <w:t xml:space="preserve">2) </w:t>
      </w:r>
      <w:r>
        <w:rPr>
          <w:i/>
          <w:iCs/>
        </w:rPr>
        <w:t>empalme de agua electrónico</w:t>
      </w:r>
      <w:r>
        <w:t>: un grifo con una válvula reguladora que funciona electrónicamente.</w:t>
      </w:r>
    </w:p>
    <w:p w:rsidR="006A1A37" w:rsidRPr="00CF6EB7" w:rsidRDefault="006A1A37" w:rsidP="00550738">
      <w:pPr>
        <w:pStyle w:val="LLPykala"/>
        <w:keepNext/>
        <w:keepLines/>
        <w:spacing w:before="240" w:after="240"/>
      </w:pPr>
      <w:r>
        <w:t>Artículo 3</w:t>
      </w:r>
    </w:p>
    <w:p w:rsidR="002D7E58" w:rsidRPr="002D7E58" w:rsidRDefault="00AD3350" w:rsidP="00550738">
      <w:pPr>
        <w:pStyle w:val="LLPykalanOtsikko"/>
        <w:keepNext/>
        <w:keepLines/>
        <w:spacing w:after="240"/>
        <w:rPr>
          <w:i w:val="0"/>
        </w:rPr>
      </w:pPr>
      <w:r>
        <w:t>Indicación de conformidad</w:t>
      </w:r>
    </w:p>
    <w:p w:rsidR="002D7E58" w:rsidRDefault="002D7E58" w:rsidP="00CC2462">
      <w:pPr>
        <w:pStyle w:val="LLJohtolauseKappaleet"/>
      </w:pPr>
      <w:r>
        <w:t xml:space="preserve">La homologación de tipo demostrará que los empalmes de agua cumplen los requisitos técnicos esenciales aplicables al amparo del artículo 117 </w:t>
      </w:r>
      <w:r>
        <w:rPr>
          <w:i/>
          <w:iCs/>
        </w:rPr>
        <w:t>quater</w:t>
      </w:r>
      <w:r>
        <w:t xml:space="preserve"> de la Ley (132/1999) sobre el uso del suelo y la construcción, en su versión modificada por la Ley (958/2012), y en virtud de lo establecido en esta.</w:t>
      </w:r>
    </w:p>
    <w:p w:rsidR="006A1A37" w:rsidRDefault="006A1A37" w:rsidP="00550738">
      <w:pPr>
        <w:pStyle w:val="LLPykala"/>
        <w:keepNext/>
        <w:keepLines/>
        <w:spacing w:before="240" w:after="240"/>
      </w:pPr>
      <w:r>
        <w:t>Artículo 4</w:t>
      </w:r>
    </w:p>
    <w:p w:rsidR="002D7E58" w:rsidRPr="002D7E58" w:rsidRDefault="002D7E58" w:rsidP="00550738">
      <w:pPr>
        <w:pStyle w:val="LLPykalanOtsikko"/>
        <w:keepNext/>
        <w:keepLines/>
        <w:spacing w:after="240"/>
        <w:rPr>
          <w:i w:val="0"/>
        </w:rPr>
      </w:pPr>
      <w:r>
        <w:t>Idoneidad para el transporte de agua potable</w:t>
      </w:r>
    </w:p>
    <w:p w:rsidR="00A536E0" w:rsidRPr="00CC2462" w:rsidRDefault="00244ED7" w:rsidP="00CC2462">
      <w:pPr>
        <w:pStyle w:val="LLJohtolauseKappaleet"/>
      </w:pPr>
      <w:r>
        <w:t xml:space="preserve">Un laboratorio de ensayo acreditado someterá a ensayo las características del material de los empalmes de agua. </w:t>
      </w:r>
    </w:p>
    <w:p w:rsidR="00B41701" w:rsidRPr="00CC2462" w:rsidRDefault="00B41701" w:rsidP="00CC2462">
      <w:pPr>
        <w:pStyle w:val="LLJohtolauseKappaleet"/>
      </w:pPr>
      <w:r>
        <w:t>Un laboratorio de ensayo acreditado someterá a ensayo el contenido de plomo filtrado en el agua sometida a ensayo procedente del material de construcción del empalme de agua durante un período de ensayo de filtración de 26 semanas; o bien se someterá a ensayo el plomo y el cadmio filtrado procedente de los empalmes de agua durante un período de ensayo de diez días, conforme al anexo 1.</w:t>
      </w:r>
    </w:p>
    <w:p w:rsidR="006A1A37" w:rsidRDefault="006A1A37" w:rsidP="00550738">
      <w:pPr>
        <w:pStyle w:val="LLPykala"/>
        <w:keepNext/>
        <w:keepLines/>
        <w:spacing w:before="240" w:after="240"/>
      </w:pPr>
      <w:r>
        <w:lastRenderedPageBreak/>
        <w:t>Artículo 5</w:t>
      </w:r>
    </w:p>
    <w:p w:rsidR="002D7E58" w:rsidRPr="000F06E3" w:rsidRDefault="00740D24" w:rsidP="00550738">
      <w:pPr>
        <w:pStyle w:val="LLPykalanOtsikko"/>
        <w:keepNext/>
        <w:keepLines/>
        <w:spacing w:after="240"/>
        <w:rPr>
          <w:i w:val="0"/>
        </w:rPr>
      </w:pPr>
      <w:r>
        <w:t xml:space="preserve">Composición química y resistencia de las partes metálicas a la corrosión </w:t>
      </w:r>
    </w:p>
    <w:p w:rsidR="00B41701" w:rsidRDefault="00B41701" w:rsidP="00CC2462">
      <w:pPr>
        <w:pStyle w:val="LLJohtolauseKappaleet"/>
      </w:pPr>
      <w:r>
        <w:t>Un laboratorio de ensayo acreditado analizará la composición química de los empalmes de agua. La composición se corresponderá con la composición declarada por el fabricante.</w:t>
      </w:r>
    </w:p>
    <w:p w:rsidR="00B41701" w:rsidRDefault="00B41701" w:rsidP="00CC2462">
      <w:pPr>
        <w:pStyle w:val="LLJohtolauseKappaleet"/>
      </w:pPr>
      <w:r>
        <w:t>Un laboratorio de ensayo acreditado medirá la resistencia del empalme de agua a la desgalvanización si el contenido de cinc de la composición del empalme de agua es superior al 15 %.</w:t>
      </w:r>
    </w:p>
    <w:p w:rsidR="003A4E6A" w:rsidRPr="007C4179" w:rsidRDefault="00B72F51" w:rsidP="00550738">
      <w:pPr>
        <w:pStyle w:val="LLPykala"/>
        <w:keepNext/>
        <w:keepLines/>
        <w:spacing w:before="240" w:after="240"/>
      </w:pPr>
      <w:r>
        <w:t>Artículo 6</w:t>
      </w:r>
    </w:p>
    <w:p w:rsidR="003A4E6A" w:rsidRPr="007E7C2D" w:rsidRDefault="00A54D43" w:rsidP="00550738">
      <w:pPr>
        <w:pStyle w:val="LLPykalanOtsikko"/>
        <w:keepNext/>
        <w:keepLines/>
        <w:spacing w:after="240"/>
        <w:rPr>
          <w:i w:val="0"/>
        </w:rPr>
      </w:pPr>
      <w:r>
        <w:t>Superficie exterior</w:t>
      </w:r>
    </w:p>
    <w:p w:rsidR="00C15999" w:rsidRDefault="00E46BEE" w:rsidP="00CC2462">
      <w:pPr>
        <w:pStyle w:val="LLJohtolauseKappaleet"/>
      </w:pPr>
      <w:r>
        <w:t xml:space="preserve">Un laboratorio de ensayo acreditado inspeccionará de forma visual la superficie exterior de los empalmes de agua. </w:t>
      </w:r>
    </w:p>
    <w:p w:rsidR="009E4F60" w:rsidRDefault="009E4F60" w:rsidP="00CC2462">
      <w:pPr>
        <w:pStyle w:val="LLJohtolauseKappaleet"/>
      </w:pPr>
      <w:r>
        <w:t>Un laboratorio de ensayo acreditado comprobará el resultado de la medición de la temperatura de la superficie de la válvula reguladora del empalme de agua especificada por el fabricante.</w:t>
      </w:r>
    </w:p>
    <w:p w:rsidR="00A54D43" w:rsidRPr="007C4179" w:rsidRDefault="00A54D43" w:rsidP="00550738">
      <w:pPr>
        <w:pStyle w:val="LLPykala"/>
        <w:keepNext/>
        <w:keepLines/>
        <w:spacing w:before="240" w:after="240"/>
      </w:pPr>
      <w:r>
        <w:t>Artículo 7</w:t>
      </w:r>
    </w:p>
    <w:p w:rsidR="00A54D43" w:rsidRPr="006E6A64" w:rsidRDefault="00A54D43" w:rsidP="00550738">
      <w:pPr>
        <w:pStyle w:val="LLPykalanOtsikko"/>
        <w:keepNext/>
        <w:keepLines/>
        <w:spacing w:after="240"/>
        <w:rPr>
          <w:i w:val="0"/>
        </w:rPr>
      </w:pPr>
      <w:r>
        <w:t>Instalación y funcionamiento</w:t>
      </w:r>
    </w:p>
    <w:p w:rsidR="00C15999" w:rsidRDefault="003C71ED" w:rsidP="00CC2462">
      <w:pPr>
        <w:pStyle w:val="LLJohtolauseKappaleet"/>
      </w:pPr>
      <w:r>
        <w:t>Un laboratorio de ensayo acreditado inspeccionará la instalación y el funcionamiento de los empalmes de agua. Los empalmes de agua se instalarán de conformidad con las instrucciones de instalación del fabricante. Los empalmes de agua funcionarán de conformidad con las instrucciones del fabricante. Las funciones del grifo electrónico se comprobarán al menos dos veces.</w:t>
      </w:r>
    </w:p>
    <w:p w:rsidR="00ED6D8C" w:rsidRPr="00C574E0" w:rsidRDefault="00ED6D8C" w:rsidP="00550738">
      <w:pPr>
        <w:pStyle w:val="LLPykala"/>
        <w:keepNext/>
        <w:keepLines/>
        <w:spacing w:before="240" w:after="240"/>
      </w:pPr>
      <w:r>
        <w:t>Artículo 8</w:t>
      </w:r>
    </w:p>
    <w:p w:rsidR="00ED6D8C" w:rsidRPr="00C574E0" w:rsidRDefault="00ED6D8C" w:rsidP="00550738">
      <w:pPr>
        <w:pStyle w:val="LLPykalanOtsikko"/>
        <w:keepNext/>
        <w:keepLines/>
        <w:spacing w:after="240"/>
      </w:pPr>
      <w:r>
        <w:t>Grifos electrónicos</w:t>
      </w:r>
    </w:p>
    <w:p w:rsidR="00ED6D8C" w:rsidRPr="00C15999" w:rsidRDefault="00131B1F" w:rsidP="00CC2462">
      <w:pPr>
        <w:pStyle w:val="LLJohtolauseKappaleet"/>
      </w:pPr>
      <w:r>
        <w:t xml:space="preserve">Un laboratorio de ensayo acreditado inspeccionará las unidades electrónicas del grifo electrónico. En un grifo electrónico se inspeccionará el nivel de protección de la unidad electrónica especificado por el fabricante. </w:t>
      </w:r>
    </w:p>
    <w:p w:rsidR="00CC3D71" w:rsidRPr="00CC2462" w:rsidRDefault="00ED6D8C" w:rsidP="00CC2462">
      <w:pPr>
        <w:pStyle w:val="LLJohtolauseKappaleet"/>
      </w:pPr>
      <w:r>
        <w:t>Un grifo que funcione mediante red eléctrica se inspeccionará para garantizar que el suministro de agua se cierra en caso de corte de energía.</w:t>
      </w:r>
    </w:p>
    <w:p w:rsidR="003B65C9" w:rsidRPr="00CC2462" w:rsidRDefault="00ED6D8C" w:rsidP="00CC2462">
      <w:pPr>
        <w:pStyle w:val="LLJohtolauseKappaleet"/>
      </w:pPr>
      <w:r>
        <w:t>Un grifo que funcione por batería se inspeccionará para garantizar que el grifo se cierra si la tensión de la batería es inferior al límite de funcionamiento. El ensayo se realizará mediante la sustitución de la batería por una fuente de alimentación con tensión de salida ajustable.</w:t>
      </w:r>
    </w:p>
    <w:p w:rsidR="006A1A37" w:rsidRDefault="00ED6D8C" w:rsidP="00550738">
      <w:pPr>
        <w:pStyle w:val="LLPykala"/>
        <w:keepNext/>
        <w:keepLines/>
        <w:spacing w:before="240" w:after="240"/>
      </w:pPr>
      <w:r>
        <w:t>Artículo 9</w:t>
      </w:r>
    </w:p>
    <w:p w:rsidR="002D7E58" w:rsidRPr="002D7E58" w:rsidRDefault="00A55B06" w:rsidP="00550738">
      <w:pPr>
        <w:pStyle w:val="LLPykalanOtsikko"/>
        <w:keepNext/>
        <w:keepLines/>
        <w:spacing w:after="240"/>
        <w:rPr>
          <w:i w:val="0"/>
        </w:rPr>
      </w:pPr>
      <w:r>
        <w:t>Dimensiones</w:t>
      </w:r>
    </w:p>
    <w:p w:rsidR="00B72F51" w:rsidRDefault="00BD2739" w:rsidP="00550738">
      <w:pPr>
        <w:pStyle w:val="LLNormaali"/>
        <w:ind w:firstLine="170"/>
        <w:jc w:val="both"/>
      </w:pPr>
      <w:r>
        <w:t xml:space="preserve">Un laboratorio de ensayo acreditado inspeccionará las dimensiones de la estructura y de la conexión de los empalmes de agua. </w:t>
      </w:r>
    </w:p>
    <w:p w:rsidR="006A1A37" w:rsidRDefault="00ED6D8C" w:rsidP="00550738">
      <w:pPr>
        <w:pStyle w:val="LLPykala"/>
        <w:keepNext/>
        <w:keepLines/>
        <w:spacing w:before="240" w:after="240"/>
      </w:pPr>
      <w:r>
        <w:t>Artículo 10</w:t>
      </w:r>
    </w:p>
    <w:p w:rsidR="002D7E58" w:rsidRPr="002D7E58" w:rsidRDefault="002D7E58" w:rsidP="00550738">
      <w:pPr>
        <w:pStyle w:val="LLPykalanOtsikko"/>
        <w:keepNext/>
        <w:keepLines/>
        <w:spacing w:after="240"/>
        <w:rPr>
          <w:i w:val="0"/>
        </w:rPr>
      </w:pPr>
      <w:r>
        <w:t>Estanqueidad</w:t>
      </w:r>
    </w:p>
    <w:p w:rsidR="00C15999" w:rsidRDefault="00BD2739" w:rsidP="00CC2462">
      <w:pPr>
        <w:pStyle w:val="LLJohtolauseKappaleet"/>
      </w:pPr>
      <w:r>
        <w:t xml:space="preserve">Un laboratorio de ensayo acreditado someterá a ensayo la estanqueidad de los empalmes de agua. La estanqueidad se someterá a ensayo utilizado agua fría a (25 ± 5) grados centígrados, tal como se recoge en la tabla 1. Durante el ensayo, se sellará el empalme de agua. El </w:t>
      </w:r>
      <w:r>
        <w:lastRenderedPageBreak/>
        <w:t>dispositivo desviador funcionará según el uso previsto, y la trayectoria del agua que se utilice no deberá presentar ninguna fuga hacia la segunda trayectoria del flujo. Los empalmes de agua no deben presentar un flujo transversal.</w:t>
      </w:r>
    </w:p>
    <w:p w:rsidR="002D7E58" w:rsidRPr="002D7E58" w:rsidRDefault="002D7E58" w:rsidP="00550738">
      <w:pPr>
        <w:spacing w:line="220" w:lineRule="exact"/>
        <w:ind w:firstLine="170"/>
        <w:jc w:val="both"/>
        <w:rPr>
          <w:rFonts w:ascii="Times New Roman" w:eastAsia="Times New Roman" w:hAnsi="Times New Roman"/>
        </w:rPr>
      </w:pPr>
    </w:p>
    <w:p w:rsidR="00070D75" w:rsidRPr="0008292C" w:rsidRDefault="002D7E58" w:rsidP="00550738">
      <w:pPr>
        <w:keepNext/>
        <w:keepLines/>
        <w:spacing w:after="120"/>
        <w:jc w:val="both"/>
        <w:rPr>
          <w:rFonts w:ascii="Times New Roman" w:eastAsia="Times New Roman" w:hAnsi="Times New Roman"/>
          <w:sz w:val="20"/>
          <w:szCs w:val="20"/>
        </w:rPr>
      </w:pPr>
      <w:r>
        <w:rPr>
          <w:rFonts w:ascii="Times New Roman" w:hAnsi="Times New Roman"/>
          <w:sz w:val="20"/>
        </w:rPr>
        <w:t>Tabla 1: Ensayos de estanqueidad del empalme de agua.</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tblPr>
      <w:tblGrid>
        <w:gridCol w:w="1426"/>
        <w:gridCol w:w="2728"/>
        <w:gridCol w:w="983"/>
        <w:gridCol w:w="1531"/>
        <w:gridCol w:w="867"/>
        <w:gridCol w:w="871"/>
      </w:tblGrid>
      <w:tr w:rsidR="00070D75" w:rsidRPr="0065423A" w:rsidTr="007D6756">
        <w:trPr>
          <w:cantSplit/>
        </w:trPr>
        <w:tc>
          <w:tcPr>
            <w:tcW w:w="2542" w:type="pct"/>
            <w:gridSpan w:val="2"/>
            <w:tcBorders>
              <w:top w:val="single" w:sz="4" w:space="0" w:color="auto"/>
              <w:left w:val="single" w:sz="4" w:space="0" w:color="auto"/>
              <w:right w:val="single" w:sz="4" w:space="0" w:color="auto"/>
            </w:tcBorders>
          </w:tcPr>
          <w:p w:rsidR="00070D75" w:rsidRPr="0065423A" w:rsidRDefault="00070D75" w:rsidP="00550738">
            <w:pPr>
              <w:keepNext/>
              <w:keepLines/>
              <w:rPr>
                <w:rFonts w:ascii="Times New Roman" w:hAnsi="Times New Roman"/>
                <w:color w:val="000000"/>
                <w:sz w:val="20"/>
                <w:szCs w:val="20"/>
              </w:rPr>
            </w:pPr>
            <w:r>
              <w:rPr>
                <w:rFonts w:ascii="Times New Roman" w:hAnsi="Times New Roman"/>
                <w:color w:val="000000"/>
                <w:sz w:val="20"/>
              </w:rPr>
              <w:t>Unidad sometida a ensayo</w:t>
            </w:r>
          </w:p>
        </w:tc>
        <w:tc>
          <w:tcPr>
            <w:tcW w:w="408" w:type="pct"/>
            <w:tcBorders>
              <w:top w:val="single" w:sz="4" w:space="0" w:color="auto"/>
              <w:left w:val="single" w:sz="4" w:space="0" w:color="auto"/>
              <w:right w:val="single" w:sz="4" w:space="0" w:color="auto"/>
            </w:tcBorders>
          </w:tcPr>
          <w:p w:rsidR="00070D75" w:rsidRPr="0065423A" w:rsidRDefault="00070D75" w:rsidP="002148BB">
            <w:pPr>
              <w:keepNext/>
              <w:keepLines/>
              <w:jc w:val="center"/>
              <w:rPr>
                <w:rFonts w:ascii="Times New Roman" w:hAnsi="Times New Roman"/>
                <w:color w:val="000000"/>
                <w:spacing w:val="-6"/>
                <w:sz w:val="20"/>
                <w:szCs w:val="20"/>
              </w:rPr>
            </w:pPr>
            <w:r>
              <w:rPr>
                <w:rFonts w:ascii="Times New Roman" w:hAnsi="Times New Roman"/>
                <w:color w:val="000000"/>
                <w:sz w:val="20"/>
              </w:rPr>
              <w:t>Dispositivo de cierre</w:t>
            </w:r>
          </w:p>
        </w:tc>
        <w:tc>
          <w:tcPr>
            <w:tcW w:w="946" w:type="pct"/>
            <w:tcBorders>
              <w:top w:val="single" w:sz="4" w:space="0" w:color="auto"/>
              <w:left w:val="single" w:sz="4" w:space="0" w:color="auto"/>
              <w:right w:val="single" w:sz="4" w:space="0" w:color="auto"/>
            </w:tcBorders>
          </w:tcPr>
          <w:p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Puerto de salida</w:t>
            </w:r>
          </w:p>
        </w:tc>
        <w:tc>
          <w:tcPr>
            <w:tcW w:w="551" w:type="pct"/>
            <w:tcBorders>
              <w:top w:val="single" w:sz="4" w:space="0" w:color="auto"/>
              <w:left w:val="single" w:sz="4" w:space="0" w:color="auto"/>
              <w:right w:val="single" w:sz="4" w:space="0" w:color="auto"/>
            </w:tcBorders>
          </w:tcPr>
          <w:p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Presión</w:t>
            </w:r>
          </w:p>
          <w:p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bar</w:t>
            </w:r>
          </w:p>
        </w:tc>
        <w:tc>
          <w:tcPr>
            <w:tcW w:w="553" w:type="pct"/>
            <w:tcBorders>
              <w:top w:val="single" w:sz="4" w:space="0" w:color="auto"/>
              <w:left w:val="single" w:sz="4" w:space="0" w:color="auto"/>
              <w:right w:val="single" w:sz="4" w:space="0" w:color="auto"/>
            </w:tcBorders>
          </w:tcPr>
          <w:p w:rsidR="00070D75"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z w:val="20"/>
              </w:rPr>
              <w:t>Tiempo de ensayo</w:t>
            </w:r>
          </w:p>
          <w:p w:rsidR="00070D75" w:rsidRPr="0065423A"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z w:val="20"/>
              </w:rPr>
              <w:t>s</w:t>
            </w:r>
          </w:p>
        </w:tc>
      </w:tr>
      <w:tr w:rsidR="006F107B" w:rsidRPr="0065423A" w:rsidTr="007D6756">
        <w:trPr>
          <w:cantSplit/>
        </w:trPr>
        <w:tc>
          <w:tcPr>
            <w:tcW w:w="884" w:type="pct"/>
            <w:vMerge w:val="restart"/>
            <w:tcBorders>
              <w:top w:val="single" w:sz="4" w:space="0" w:color="auto"/>
              <w:left w:val="single" w:sz="4" w:space="0" w:color="auto"/>
              <w:right w:val="single" w:sz="4" w:space="0" w:color="auto"/>
            </w:tcBorders>
          </w:tcPr>
          <w:p w:rsidR="006F107B" w:rsidRDefault="006F107B" w:rsidP="00550738">
            <w:pPr>
              <w:rPr>
                <w:rFonts w:ascii="Times New Roman" w:hAnsi="Times New Roman"/>
                <w:color w:val="000000"/>
                <w:sz w:val="20"/>
                <w:szCs w:val="20"/>
              </w:rPr>
            </w:pPr>
            <w:r>
              <w:rPr>
                <w:rFonts w:ascii="Times New Roman" w:hAnsi="Times New Roman"/>
                <w:color w:val="000000"/>
                <w:sz w:val="20"/>
              </w:rPr>
              <w:t>Válvula reguladora y cuerpo</w:t>
            </w:r>
          </w:p>
        </w:tc>
        <w:tc>
          <w:tcPr>
            <w:tcW w:w="1658" w:type="pct"/>
            <w:tcBorders>
              <w:top w:val="single" w:sz="4" w:space="0" w:color="auto"/>
              <w:left w:val="single" w:sz="4" w:space="0" w:color="auto"/>
              <w:bottom w:val="single" w:sz="4" w:space="0" w:color="auto"/>
              <w:right w:val="single" w:sz="4" w:space="0" w:color="auto"/>
            </w:tcBorders>
          </w:tcPr>
          <w:p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Trayectorias del flujo hasta el dispositivo de cierre</w:t>
            </w:r>
          </w:p>
        </w:tc>
        <w:tc>
          <w:tcPr>
            <w:tcW w:w="408" w:type="pct"/>
            <w:tcBorders>
              <w:top w:val="single" w:sz="4" w:space="0" w:color="auto"/>
              <w:left w:val="single" w:sz="4" w:space="0" w:color="auto"/>
              <w:bottom w:val="single" w:sz="4" w:space="0" w:color="auto"/>
              <w:right w:val="single" w:sz="4" w:space="0" w:color="auto"/>
            </w:tcBorders>
          </w:tcPr>
          <w:p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Cerrado</w:t>
            </w:r>
          </w:p>
        </w:tc>
        <w:tc>
          <w:tcPr>
            <w:tcW w:w="946" w:type="pct"/>
            <w:tcBorders>
              <w:top w:val="single" w:sz="4" w:space="0" w:color="auto"/>
              <w:left w:val="single" w:sz="4" w:space="0" w:color="auto"/>
              <w:bottom w:val="single" w:sz="4" w:space="0" w:color="auto"/>
              <w:right w:val="single" w:sz="4" w:space="0" w:color="auto"/>
            </w:tcBorders>
          </w:tcPr>
          <w:p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Abierto</w:t>
            </w:r>
          </w:p>
        </w:tc>
        <w:tc>
          <w:tcPr>
            <w:tcW w:w="551" w:type="pct"/>
            <w:tcBorders>
              <w:top w:val="single" w:sz="4" w:space="0" w:color="auto"/>
              <w:left w:val="single" w:sz="4" w:space="0" w:color="auto"/>
              <w:bottom w:val="single" w:sz="4" w:space="0" w:color="auto"/>
              <w:right w:val="single" w:sz="4" w:space="0" w:color="auto"/>
            </w:tcBorders>
          </w:tcPr>
          <w:p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16 ± 0,5</w:t>
            </w:r>
          </w:p>
        </w:tc>
        <w:tc>
          <w:tcPr>
            <w:tcW w:w="553" w:type="pct"/>
            <w:vMerge w:val="restart"/>
            <w:tcBorders>
              <w:left w:val="single" w:sz="4" w:space="0" w:color="auto"/>
              <w:right w:val="single" w:sz="4" w:space="0" w:color="auto"/>
            </w:tcBorders>
            <w:vAlign w:val="center"/>
          </w:tcPr>
          <w:p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60 ± 5</w:t>
            </w:r>
          </w:p>
        </w:tc>
      </w:tr>
      <w:tr w:rsidR="006F107B" w:rsidRPr="0065423A" w:rsidTr="007D6756">
        <w:trPr>
          <w:cantSplit/>
        </w:trPr>
        <w:tc>
          <w:tcPr>
            <w:tcW w:w="884" w:type="pct"/>
            <w:vMerge/>
            <w:tcBorders>
              <w:left w:val="single" w:sz="4" w:space="0" w:color="auto"/>
              <w:right w:val="single" w:sz="4" w:space="0" w:color="auto"/>
            </w:tcBorders>
          </w:tcPr>
          <w:p w:rsidR="006F107B" w:rsidRDefault="006F107B" w:rsidP="00550738">
            <w:pPr>
              <w:rPr>
                <w:rFonts w:ascii="Times New Roman" w:hAnsi="Times New Roman"/>
                <w:color w:val="000000"/>
                <w:sz w:val="20"/>
                <w:szCs w:val="20"/>
              </w:rPr>
            </w:pPr>
          </w:p>
        </w:tc>
        <w:tc>
          <w:tcPr>
            <w:tcW w:w="1658" w:type="pct"/>
            <w:vMerge w:val="restart"/>
            <w:tcBorders>
              <w:top w:val="single" w:sz="4" w:space="0" w:color="auto"/>
              <w:left w:val="single" w:sz="4" w:space="0" w:color="auto"/>
              <w:bottom w:val="single" w:sz="4" w:space="0" w:color="auto"/>
              <w:right w:val="single" w:sz="4" w:space="0" w:color="auto"/>
            </w:tcBorders>
            <w:vAlign w:val="center"/>
          </w:tcPr>
          <w:p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Trayectorias del flujo después del dispositivo de cierre</w:t>
            </w:r>
          </w:p>
        </w:tc>
        <w:tc>
          <w:tcPr>
            <w:tcW w:w="408" w:type="pct"/>
            <w:tcBorders>
              <w:top w:val="single" w:sz="4" w:space="0" w:color="auto"/>
              <w:left w:val="single" w:sz="4" w:space="0" w:color="auto"/>
              <w:bottom w:val="single" w:sz="4" w:space="0" w:color="auto"/>
              <w:right w:val="single" w:sz="4" w:space="0" w:color="auto"/>
            </w:tcBorders>
          </w:tcPr>
          <w:p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Abierto</w:t>
            </w:r>
          </w:p>
        </w:tc>
        <w:tc>
          <w:tcPr>
            <w:tcW w:w="946" w:type="pct"/>
            <w:tcBorders>
              <w:top w:val="single" w:sz="4" w:space="0" w:color="auto"/>
              <w:left w:val="single" w:sz="4" w:space="0" w:color="auto"/>
              <w:bottom w:val="single" w:sz="4" w:space="0" w:color="auto"/>
              <w:right w:val="single" w:sz="4" w:space="0" w:color="auto"/>
            </w:tcBorders>
          </w:tcPr>
          <w:p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Cerrado</w:t>
            </w:r>
          </w:p>
        </w:tc>
        <w:tc>
          <w:tcPr>
            <w:tcW w:w="551" w:type="pct"/>
            <w:tcBorders>
              <w:top w:val="single" w:sz="4" w:space="0" w:color="auto"/>
              <w:left w:val="single" w:sz="4" w:space="0" w:color="auto"/>
              <w:bottom w:val="single" w:sz="4" w:space="0" w:color="auto"/>
              <w:right w:val="single" w:sz="4" w:space="0" w:color="auto"/>
            </w:tcBorders>
          </w:tcPr>
          <w:p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 xml:space="preserve">4 ± 0,2 </w:t>
            </w:r>
          </w:p>
        </w:tc>
        <w:tc>
          <w:tcPr>
            <w:tcW w:w="553" w:type="pct"/>
            <w:vMerge/>
            <w:tcBorders>
              <w:left w:val="single" w:sz="4" w:space="0" w:color="auto"/>
              <w:right w:val="single" w:sz="4" w:space="0" w:color="auto"/>
            </w:tcBorders>
          </w:tcPr>
          <w:p w:rsidR="006F107B" w:rsidRDefault="006F107B" w:rsidP="00550738">
            <w:pPr>
              <w:jc w:val="center"/>
            </w:pPr>
          </w:p>
        </w:tc>
      </w:tr>
      <w:tr w:rsidR="006F107B" w:rsidRPr="0065423A" w:rsidTr="007D6756">
        <w:trPr>
          <w:cantSplit/>
        </w:trPr>
        <w:tc>
          <w:tcPr>
            <w:tcW w:w="884" w:type="pct"/>
            <w:vMerge/>
            <w:tcBorders>
              <w:left w:val="single" w:sz="4" w:space="0" w:color="auto"/>
              <w:bottom w:val="single" w:sz="4" w:space="0" w:color="auto"/>
              <w:right w:val="single" w:sz="4" w:space="0" w:color="auto"/>
            </w:tcBorders>
          </w:tcPr>
          <w:p w:rsidR="006F107B" w:rsidRPr="0065423A" w:rsidRDefault="006F107B" w:rsidP="00550738">
            <w:pPr>
              <w:rPr>
                <w:rFonts w:ascii="Times New Roman" w:hAnsi="Times New Roman"/>
                <w:color w:val="000000"/>
                <w:sz w:val="20"/>
                <w:szCs w:val="20"/>
              </w:rPr>
            </w:pPr>
          </w:p>
        </w:tc>
        <w:tc>
          <w:tcPr>
            <w:tcW w:w="1658" w:type="pct"/>
            <w:vMerge/>
            <w:tcBorders>
              <w:top w:val="single" w:sz="4" w:space="0" w:color="auto"/>
              <w:left w:val="single" w:sz="4" w:space="0" w:color="auto"/>
              <w:bottom w:val="single" w:sz="4" w:space="0" w:color="auto"/>
              <w:right w:val="single" w:sz="4" w:space="0" w:color="auto"/>
            </w:tcBorders>
          </w:tcPr>
          <w:p w:rsidR="006F107B" w:rsidRPr="0065423A" w:rsidRDefault="006F107B" w:rsidP="00550738">
            <w:pPr>
              <w:rPr>
                <w:rFonts w:ascii="Times New Roman" w:hAnsi="Times New Roman"/>
                <w:color w:val="000000"/>
                <w:sz w:val="20"/>
                <w:szCs w:val="20"/>
              </w:rPr>
            </w:pPr>
          </w:p>
        </w:tc>
        <w:tc>
          <w:tcPr>
            <w:tcW w:w="408" w:type="pct"/>
            <w:tcBorders>
              <w:top w:val="single" w:sz="4" w:space="0" w:color="auto"/>
              <w:left w:val="single" w:sz="4" w:space="0" w:color="auto"/>
              <w:bottom w:val="single" w:sz="4" w:space="0" w:color="auto"/>
              <w:right w:val="single" w:sz="4" w:space="0" w:color="auto"/>
            </w:tcBorders>
          </w:tcPr>
          <w:p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Abierto</w:t>
            </w:r>
          </w:p>
        </w:tc>
        <w:tc>
          <w:tcPr>
            <w:tcW w:w="946" w:type="pct"/>
            <w:tcBorders>
              <w:top w:val="single" w:sz="4" w:space="0" w:color="auto"/>
              <w:left w:val="single" w:sz="4" w:space="0" w:color="auto"/>
              <w:bottom w:val="single" w:sz="4" w:space="0" w:color="auto"/>
              <w:right w:val="single" w:sz="4" w:space="0" w:color="auto"/>
            </w:tcBorders>
          </w:tcPr>
          <w:p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Cerrado</w:t>
            </w:r>
          </w:p>
        </w:tc>
        <w:tc>
          <w:tcPr>
            <w:tcW w:w="551" w:type="pct"/>
            <w:tcBorders>
              <w:top w:val="single" w:sz="4" w:space="0" w:color="auto"/>
              <w:left w:val="single" w:sz="4" w:space="0" w:color="auto"/>
              <w:bottom w:val="single" w:sz="4" w:space="0" w:color="auto"/>
              <w:right w:val="single" w:sz="4" w:space="0" w:color="auto"/>
            </w:tcBorders>
          </w:tcPr>
          <w:p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 ± 0,02</w:t>
            </w:r>
          </w:p>
        </w:tc>
        <w:tc>
          <w:tcPr>
            <w:tcW w:w="553" w:type="pct"/>
            <w:vMerge/>
            <w:tcBorders>
              <w:left w:val="single" w:sz="4" w:space="0" w:color="auto"/>
              <w:right w:val="single" w:sz="4" w:space="0" w:color="auto"/>
            </w:tcBorders>
          </w:tcPr>
          <w:p w:rsidR="006F107B" w:rsidRDefault="006F107B" w:rsidP="00550738">
            <w:pPr>
              <w:jc w:val="center"/>
            </w:pPr>
          </w:p>
        </w:tc>
      </w:tr>
      <w:tr w:rsidR="006F107B" w:rsidRPr="0065423A" w:rsidTr="007D6756">
        <w:trPr>
          <w:cantSplit/>
        </w:trPr>
        <w:tc>
          <w:tcPr>
            <w:tcW w:w="884" w:type="pct"/>
            <w:vMerge w:val="restart"/>
            <w:tcBorders>
              <w:top w:val="single" w:sz="4" w:space="0" w:color="auto"/>
              <w:left w:val="single" w:sz="4" w:space="0" w:color="auto"/>
              <w:right w:val="single" w:sz="4" w:space="0" w:color="auto"/>
            </w:tcBorders>
          </w:tcPr>
          <w:p w:rsidR="006F107B" w:rsidRDefault="006F107B" w:rsidP="002148BB">
            <w:pPr>
              <w:rPr>
                <w:rFonts w:ascii="Times New Roman" w:hAnsi="Times New Roman"/>
                <w:color w:val="000000"/>
                <w:sz w:val="20"/>
                <w:szCs w:val="20"/>
              </w:rPr>
            </w:pPr>
            <w:r>
              <w:rPr>
                <w:rFonts w:ascii="Times New Roman" w:hAnsi="Times New Roman"/>
                <w:color w:val="000000"/>
                <w:sz w:val="20"/>
              </w:rPr>
              <w:t>Dispositivo desviador, restablecimiento manual</w:t>
            </w:r>
          </w:p>
        </w:tc>
        <w:tc>
          <w:tcPr>
            <w:tcW w:w="2066" w:type="pct"/>
            <w:gridSpan w:val="2"/>
            <w:tcBorders>
              <w:top w:val="single" w:sz="4" w:space="0" w:color="auto"/>
              <w:left w:val="single" w:sz="4" w:space="0" w:color="auto"/>
              <w:bottom w:val="single" w:sz="4" w:space="0" w:color="auto"/>
              <w:right w:val="single" w:sz="4" w:space="0" w:color="auto"/>
            </w:tcBorders>
          </w:tcPr>
          <w:p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Dispositivo de cierre abierto, dispositivo desviador en posición de bañera</w:t>
            </w:r>
          </w:p>
        </w:tc>
        <w:tc>
          <w:tcPr>
            <w:tcW w:w="946" w:type="pct"/>
            <w:tcBorders>
              <w:top w:val="single" w:sz="4" w:space="0" w:color="auto"/>
              <w:left w:val="single" w:sz="4" w:space="0" w:color="auto"/>
              <w:bottom w:val="single" w:sz="4" w:space="0" w:color="auto"/>
              <w:right w:val="single" w:sz="4" w:space="0" w:color="auto"/>
            </w:tcBorders>
          </w:tcPr>
          <w:p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A: cerrado/S: abierto</w:t>
            </w:r>
          </w:p>
        </w:tc>
        <w:tc>
          <w:tcPr>
            <w:tcW w:w="551" w:type="pct"/>
            <w:vMerge w:val="restart"/>
            <w:tcBorders>
              <w:top w:val="single" w:sz="4" w:space="0" w:color="auto"/>
              <w:left w:val="single" w:sz="4" w:space="0" w:color="auto"/>
              <w:right w:val="single" w:sz="4" w:space="0" w:color="auto"/>
            </w:tcBorders>
          </w:tcPr>
          <w:p w:rsidR="006F107B" w:rsidRDefault="006F107B" w:rsidP="00550738">
            <w:pPr>
              <w:jc w:val="center"/>
              <w:rPr>
                <w:rFonts w:ascii="Times New Roman" w:hAnsi="Times New Roman"/>
                <w:color w:val="000000"/>
                <w:sz w:val="20"/>
                <w:szCs w:val="20"/>
              </w:rPr>
            </w:pPr>
            <w:r>
              <w:rPr>
                <w:rFonts w:ascii="Times New Roman" w:hAnsi="Times New Roman"/>
                <w:color w:val="000000"/>
                <w:sz w:val="20"/>
              </w:rPr>
              <w:t>4 ± 0,2</w:t>
            </w:r>
          </w:p>
          <w:p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 ± 0,02</w:t>
            </w:r>
          </w:p>
        </w:tc>
        <w:tc>
          <w:tcPr>
            <w:tcW w:w="553" w:type="pct"/>
            <w:vMerge/>
            <w:tcBorders>
              <w:left w:val="single" w:sz="4" w:space="0" w:color="auto"/>
              <w:right w:val="single" w:sz="4" w:space="0" w:color="auto"/>
            </w:tcBorders>
            <w:vAlign w:val="center"/>
          </w:tcPr>
          <w:p w:rsidR="006F107B" w:rsidRDefault="006F107B" w:rsidP="00550738">
            <w:pPr>
              <w:jc w:val="center"/>
            </w:pPr>
          </w:p>
        </w:tc>
      </w:tr>
      <w:tr w:rsidR="006F107B" w:rsidRPr="0065423A" w:rsidTr="007D6756">
        <w:trPr>
          <w:cantSplit/>
        </w:trPr>
        <w:tc>
          <w:tcPr>
            <w:tcW w:w="884" w:type="pct"/>
            <w:vMerge/>
            <w:tcBorders>
              <w:left w:val="single" w:sz="4" w:space="0" w:color="auto"/>
              <w:bottom w:val="single" w:sz="4" w:space="0" w:color="auto"/>
              <w:right w:val="single" w:sz="4" w:space="0" w:color="auto"/>
            </w:tcBorders>
          </w:tcPr>
          <w:p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tcPr>
          <w:p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Dispositivo de cierre abierto, dispositivo desviador en posición de ducha</w:t>
            </w:r>
          </w:p>
        </w:tc>
        <w:tc>
          <w:tcPr>
            <w:tcW w:w="946" w:type="pct"/>
            <w:tcBorders>
              <w:top w:val="single" w:sz="4" w:space="0" w:color="auto"/>
              <w:left w:val="single" w:sz="4" w:space="0" w:color="auto"/>
              <w:bottom w:val="single" w:sz="4" w:space="0" w:color="auto"/>
              <w:right w:val="single" w:sz="4" w:space="0" w:color="auto"/>
            </w:tcBorders>
          </w:tcPr>
          <w:p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S: cerrado/A: abierto</w:t>
            </w:r>
          </w:p>
        </w:tc>
        <w:tc>
          <w:tcPr>
            <w:tcW w:w="551" w:type="pct"/>
            <w:vMerge/>
            <w:tcBorders>
              <w:left w:val="single" w:sz="4" w:space="0" w:color="auto"/>
              <w:bottom w:val="single" w:sz="4" w:space="0" w:color="auto"/>
              <w:right w:val="single" w:sz="4" w:space="0" w:color="auto"/>
            </w:tcBorders>
          </w:tcPr>
          <w:p w:rsidR="006F107B" w:rsidRPr="0065423A" w:rsidRDefault="006F107B" w:rsidP="00550738">
            <w:pPr>
              <w:jc w:val="center"/>
              <w:rPr>
                <w:rFonts w:ascii="Times New Roman" w:hAnsi="Times New Roman"/>
                <w:color w:val="000000"/>
                <w:sz w:val="20"/>
                <w:szCs w:val="20"/>
              </w:rPr>
            </w:pPr>
          </w:p>
        </w:tc>
        <w:tc>
          <w:tcPr>
            <w:tcW w:w="553" w:type="pct"/>
            <w:vMerge/>
            <w:tcBorders>
              <w:left w:val="single" w:sz="4" w:space="0" w:color="auto"/>
              <w:right w:val="single" w:sz="4" w:space="0" w:color="auto"/>
            </w:tcBorders>
          </w:tcPr>
          <w:p w:rsidR="006F107B" w:rsidRDefault="006F107B" w:rsidP="00550738">
            <w:pPr>
              <w:jc w:val="center"/>
            </w:pPr>
          </w:p>
        </w:tc>
      </w:tr>
      <w:tr w:rsidR="006F107B" w:rsidRPr="0065423A" w:rsidTr="007D6756">
        <w:trPr>
          <w:cantSplit/>
        </w:trPr>
        <w:tc>
          <w:tcPr>
            <w:tcW w:w="884" w:type="pct"/>
            <w:vMerge w:val="restart"/>
            <w:tcBorders>
              <w:top w:val="single" w:sz="4" w:space="0" w:color="auto"/>
              <w:left w:val="single" w:sz="4" w:space="0" w:color="auto"/>
              <w:right w:val="single" w:sz="4" w:space="0" w:color="auto"/>
            </w:tcBorders>
          </w:tcPr>
          <w:p w:rsidR="006F107B" w:rsidRDefault="006F107B" w:rsidP="002148BB">
            <w:pPr>
              <w:rPr>
                <w:rFonts w:ascii="Times New Roman" w:hAnsi="Times New Roman"/>
                <w:color w:val="000000"/>
                <w:sz w:val="20"/>
                <w:szCs w:val="20"/>
              </w:rPr>
            </w:pPr>
            <w:r>
              <w:rPr>
                <w:rFonts w:ascii="Times New Roman" w:hAnsi="Times New Roman"/>
                <w:color w:val="000000"/>
                <w:sz w:val="20"/>
              </w:rPr>
              <w:t>Dispositivo desviador, restablecimiento automático</w:t>
            </w:r>
          </w:p>
        </w:tc>
        <w:tc>
          <w:tcPr>
            <w:tcW w:w="2066" w:type="pct"/>
            <w:gridSpan w:val="2"/>
            <w:tcBorders>
              <w:top w:val="single" w:sz="4" w:space="0" w:color="auto"/>
              <w:left w:val="single" w:sz="4" w:space="0" w:color="auto"/>
              <w:bottom w:val="single" w:sz="4" w:space="0" w:color="auto"/>
              <w:right w:val="single" w:sz="4" w:space="0" w:color="auto"/>
            </w:tcBorders>
            <w:vAlign w:val="center"/>
          </w:tcPr>
          <w:p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Dispositivo de cierre abierto, dispositivo desviador en posición de bañera</w:t>
            </w:r>
          </w:p>
        </w:tc>
        <w:tc>
          <w:tcPr>
            <w:tcW w:w="946" w:type="pct"/>
            <w:vMerge w:val="restart"/>
            <w:tcBorders>
              <w:left w:val="single" w:sz="4" w:space="0" w:color="auto"/>
              <w:right w:val="single" w:sz="4" w:space="0" w:color="auto"/>
            </w:tcBorders>
          </w:tcPr>
          <w:p w:rsidR="006F107B" w:rsidRDefault="006F107B" w:rsidP="002148BB">
            <w:pPr>
              <w:jc w:val="center"/>
              <w:rPr>
                <w:rFonts w:ascii="Times New Roman" w:hAnsi="Times New Roman"/>
                <w:color w:val="000000"/>
                <w:sz w:val="20"/>
                <w:szCs w:val="20"/>
              </w:rPr>
            </w:pPr>
            <w:r>
              <w:rPr>
                <w:rFonts w:ascii="Times New Roman" w:hAnsi="Times New Roman"/>
                <w:color w:val="000000"/>
                <w:sz w:val="20"/>
              </w:rPr>
              <w:t>Ambos abiertos</w:t>
            </w:r>
          </w:p>
        </w:tc>
        <w:tc>
          <w:tcPr>
            <w:tcW w:w="551" w:type="pct"/>
            <w:tcBorders>
              <w:top w:val="single" w:sz="4" w:space="0" w:color="auto"/>
              <w:left w:val="single" w:sz="4" w:space="0" w:color="auto"/>
              <w:bottom w:val="single" w:sz="4" w:space="0" w:color="auto"/>
              <w:right w:val="single" w:sz="4" w:space="0" w:color="auto"/>
            </w:tcBorders>
          </w:tcPr>
          <w:p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4 ± 0,2</w:t>
            </w:r>
          </w:p>
        </w:tc>
        <w:tc>
          <w:tcPr>
            <w:tcW w:w="553" w:type="pct"/>
            <w:vMerge/>
            <w:tcBorders>
              <w:left w:val="single" w:sz="4" w:space="0" w:color="auto"/>
              <w:right w:val="single" w:sz="4" w:space="0" w:color="auto"/>
            </w:tcBorders>
            <w:vAlign w:val="center"/>
          </w:tcPr>
          <w:p w:rsidR="006F107B" w:rsidRPr="007B2498" w:rsidRDefault="006F107B" w:rsidP="00550738">
            <w:pPr>
              <w:jc w:val="center"/>
              <w:rPr>
                <w:rFonts w:ascii="Times New Roman" w:hAnsi="Times New Roman"/>
                <w:color w:val="000000"/>
                <w:sz w:val="20"/>
                <w:szCs w:val="20"/>
              </w:rPr>
            </w:pPr>
          </w:p>
        </w:tc>
      </w:tr>
      <w:tr w:rsidR="006F107B" w:rsidRPr="0065423A" w:rsidTr="007D6756">
        <w:trPr>
          <w:cantSplit/>
        </w:trPr>
        <w:tc>
          <w:tcPr>
            <w:tcW w:w="884" w:type="pct"/>
            <w:vMerge/>
            <w:tcBorders>
              <w:left w:val="single" w:sz="4" w:space="0" w:color="auto"/>
              <w:right w:val="single" w:sz="4" w:space="0" w:color="auto"/>
            </w:tcBorders>
          </w:tcPr>
          <w:p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vAlign w:val="center"/>
          </w:tcPr>
          <w:p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Dispositivo de cierre abierto, dispositivo desviador en posición de ducha</w:t>
            </w:r>
          </w:p>
        </w:tc>
        <w:tc>
          <w:tcPr>
            <w:tcW w:w="946" w:type="pct"/>
            <w:vMerge/>
            <w:tcBorders>
              <w:left w:val="single" w:sz="4" w:space="0" w:color="auto"/>
              <w:right w:val="single" w:sz="4" w:space="0" w:color="auto"/>
            </w:tcBorders>
          </w:tcPr>
          <w:p w:rsidR="006F107B" w:rsidRDefault="006F107B" w:rsidP="002148BB">
            <w:pPr>
              <w:jc w:val="center"/>
              <w:rPr>
                <w:rFonts w:ascii="Times New Roman" w:hAnsi="Times New Roman"/>
                <w:color w:val="000000"/>
                <w:sz w:val="20"/>
                <w:szCs w:val="20"/>
              </w:rPr>
            </w:pPr>
          </w:p>
        </w:tc>
        <w:tc>
          <w:tcPr>
            <w:tcW w:w="551" w:type="pct"/>
            <w:tcBorders>
              <w:top w:val="single" w:sz="4" w:space="0" w:color="auto"/>
              <w:left w:val="single" w:sz="4" w:space="0" w:color="auto"/>
              <w:bottom w:val="single" w:sz="4" w:space="0" w:color="auto"/>
              <w:right w:val="single" w:sz="4" w:space="0" w:color="auto"/>
            </w:tcBorders>
          </w:tcPr>
          <w:p w:rsidR="00A07B6D" w:rsidRDefault="00A07B6D" w:rsidP="00550738">
            <w:pPr>
              <w:jc w:val="center"/>
              <w:rPr>
                <w:rFonts w:ascii="Times New Roman" w:hAnsi="Times New Roman"/>
                <w:sz w:val="20"/>
                <w:szCs w:val="20"/>
              </w:rPr>
            </w:pPr>
            <w:r>
              <w:rPr>
                <w:rFonts w:ascii="Times New Roman" w:hAnsi="Times New Roman"/>
                <w:sz w:val="20"/>
              </w:rPr>
              <w:t>4 ± 0,2</w:t>
            </w:r>
          </w:p>
          <w:p w:rsidR="006F107B" w:rsidRPr="0087345B" w:rsidRDefault="006F107B" w:rsidP="00550738">
            <w:pPr>
              <w:jc w:val="center"/>
              <w:rPr>
                <w:rFonts w:ascii="Times New Roman" w:hAnsi="Times New Roman"/>
                <w:sz w:val="20"/>
                <w:szCs w:val="20"/>
              </w:rPr>
            </w:pPr>
            <w:r>
              <w:rPr>
                <w:rFonts w:ascii="Times New Roman" w:hAnsi="Times New Roman"/>
                <w:sz w:val="20"/>
              </w:rPr>
              <w:t>0,5 ± 0,02</w:t>
            </w:r>
          </w:p>
        </w:tc>
        <w:tc>
          <w:tcPr>
            <w:tcW w:w="553" w:type="pct"/>
            <w:vMerge/>
            <w:tcBorders>
              <w:left w:val="single" w:sz="4" w:space="0" w:color="auto"/>
              <w:right w:val="single" w:sz="4" w:space="0" w:color="auto"/>
            </w:tcBorders>
          </w:tcPr>
          <w:p w:rsidR="006F107B" w:rsidRPr="007B2498" w:rsidRDefault="006F107B" w:rsidP="00550738">
            <w:pPr>
              <w:jc w:val="center"/>
              <w:rPr>
                <w:rFonts w:ascii="Times New Roman" w:hAnsi="Times New Roman"/>
                <w:color w:val="000000"/>
                <w:sz w:val="20"/>
                <w:szCs w:val="20"/>
              </w:rPr>
            </w:pPr>
          </w:p>
        </w:tc>
      </w:tr>
      <w:tr w:rsidR="006F107B" w:rsidRPr="0065423A" w:rsidTr="007D6756">
        <w:trPr>
          <w:cantSplit/>
        </w:trPr>
        <w:tc>
          <w:tcPr>
            <w:tcW w:w="884" w:type="pct"/>
            <w:vMerge/>
            <w:tcBorders>
              <w:left w:val="single" w:sz="4" w:space="0" w:color="auto"/>
              <w:right w:val="single" w:sz="4" w:space="0" w:color="auto"/>
            </w:tcBorders>
          </w:tcPr>
          <w:p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tcPr>
          <w:p w:rsidR="006F107B" w:rsidRPr="0065423A" w:rsidRDefault="006F107B" w:rsidP="002148BB">
            <w:pPr>
              <w:rPr>
                <w:rFonts w:ascii="Times New Roman" w:hAnsi="Times New Roman"/>
                <w:color w:val="000000"/>
                <w:sz w:val="20"/>
                <w:szCs w:val="20"/>
              </w:rPr>
            </w:pPr>
            <w:r>
              <w:rPr>
                <w:rFonts w:ascii="Times New Roman" w:hAnsi="Times New Roman"/>
                <w:color w:val="000000"/>
                <w:sz w:val="20"/>
              </w:rPr>
              <w:t>Dispositivo de cierre cerrado</w:t>
            </w:r>
          </w:p>
        </w:tc>
        <w:tc>
          <w:tcPr>
            <w:tcW w:w="946" w:type="pct"/>
            <w:vMerge/>
            <w:tcBorders>
              <w:left w:val="single" w:sz="4" w:space="0" w:color="auto"/>
              <w:right w:val="single" w:sz="4" w:space="0" w:color="auto"/>
            </w:tcBorders>
          </w:tcPr>
          <w:p w:rsidR="006F107B" w:rsidRDefault="006F107B" w:rsidP="002148BB">
            <w:pPr>
              <w:jc w:val="center"/>
              <w:rPr>
                <w:rFonts w:ascii="Times New Roman" w:hAnsi="Times New Roman"/>
                <w:color w:val="000000"/>
                <w:sz w:val="20"/>
                <w:szCs w:val="20"/>
              </w:rPr>
            </w:pPr>
          </w:p>
        </w:tc>
        <w:tc>
          <w:tcPr>
            <w:tcW w:w="551" w:type="pct"/>
            <w:tcBorders>
              <w:top w:val="single" w:sz="4" w:space="0" w:color="auto"/>
              <w:left w:val="single" w:sz="4" w:space="0" w:color="auto"/>
              <w:bottom w:val="single" w:sz="4" w:space="0" w:color="auto"/>
              <w:right w:val="single" w:sz="4" w:space="0" w:color="auto"/>
            </w:tcBorders>
          </w:tcPr>
          <w:p w:rsidR="006F107B" w:rsidRPr="0087345B" w:rsidRDefault="006F107B" w:rsidP="00550738">
            <w:pPr>
              <w:jc w:val="center"/>
              <w:rPr>
                <w:rFonts w:ascii="Times New Roman" w:hAnsi="Times New Roman"/>
                <w:sz w:val="20"/>
                <w:szCs w:val="20"/>
              </w:rPr>
            </w:pPr>
          </w:p>
        </w:tc>
        <w:tc>
          <w:tcPr>
            <w:tcW w:w="553" w:type="pct"/>
            <w:vMerge/>
            <w:tcBorders>
              <w:left w:val="single" w:sz="4" w:space="0" w:color="auto"/>
              <w:right w:val="single" w:sz="4" w:space="0" w:color="auto"/>
            </w:tcBorders>
          </w:tcPr>
          <w:p w:rsidR="006F107B" w:rsidRPr="007B2498" w:rsidRDefault="006F107B" w:rsidP="00550738">
            <w:pPr>
              <w:jc w:val="center"/>
              <w:rPr>
                <w:rFonts w:ascii="Times New Roman" w:hAnsi="Times New Roman"/>
                <w:color w:val="000000"/>
                <w:sz w:val="20"/>
                <w:szCs w:val="20"/>
              </w:rPr>
            </w:pPr>
          </w:p>
        </w:tc>
      </w:tr>
      <w:tr w:rsidR="006F107B" w:rsidRPr="0065423A" w:rsidTr="007D6756">
        <w:trPr>
          <w:cantSplit/>
        </w:trPr>
        <w:tc>
          <w:tcPr>
            <w:tcW w:w="884" w:type="pct"/>
            <w:vMerge/>
            <w:tcBorders>
              <w:left w:val="single" w:sz="4" w:space="0" w:color="auto"/>
              <w:bottom w:val="single" w:sz="4" w:space="0" w:color="auto"/>
              <w:right w:val="single" w:sz="4" w:space="0" w:color="auto"/>
            </w:tcBorders>
          </w:tcPr>
          <w:p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vAlign w:val="center"/>
          </w:tcPr>
          <w:p w:rsidR="006F107B" w:rsidRDefault="006F107B" w:rsidP="002148BB">
            <w:pPr>
              <w:rPr>
                <w:rFonts w:ascii="Times New Roman" w:hAnsi="Times New Roman"/>
                <w:color w:val="000000"/>
                <w:sz w:val="20"/>
                <w:szCs w:val="20"/>
              </w:rPr>
            </w:pPr>
            <w:r>
              <w:rPr>
                <w:rFonts w:ascii="Times New Roman" w:hAnsi="Times New Roman"/>
                <w:color w:val="000000"/>
                <w:sz w:val="20"/>
              </w:rPr>
              <w:t>Dispositivo de cierre abierto, dispositivo desviador en posición de bañera</w:t>
            </w:r>
          </w:p>
        </w:tc>
        <w:tc>
          <w:tcPr>
            <w:tcW w:w="946" w:type="pct"/>
            <w:vMerge/>
            <w:tcBorders>
              <w:left w:val="single" w:sz="4" w:space="0" w:color="auto"/>
              <w:bottom w:val="single" w:sz="4" w:space="0" w:color="auto"/>
              <w:right w:val="single" w:sz="4" w:space="0" w:color="auto"/>
            </w:tcBorders>
          </w:tcPr>
          <w:p w:rsidR="006F107B" w:rsidRPr="0065423A" w:rsidRDefault="006F107B" w:rsidP="002148BB">
            <w:pPr>
              <w:jc w:val="center"/>
              <w:rPr>
                <w:rFonts w:ascii="Times New Roman" w:hAnsi="Times New Roman"/>
                <w:color w:val="000000"/>
                <w:sz w:val="20"/>
                <w:szCs w:val="20"/>
              </w:rPr>
            </w:pPr>
          </w:p>
        </w:tc>
        <w:tc>
          <w:tcPr>
            <w:tcW w:w="551" w:type="pct"/>
            <w:tcBorders>
              <w:top w:val="single" w:sz="4" w:space="0" w:color="auto"/>
              <w:left w:val="single" w:sz="4" w:space="0" w:color="auto"/>
              <w:bottom w:val="single" w:sz="4" w:space="0" w:color="auto"/>
              <w:right w:val="single" w:sz="4" w:space="0" w:color="auto"/>
            </w:tcBorders>
          </w:tcPr>
          <w:p w:rsidR="006F107B" w:rsidRPr="0087345B" w:rsidRDefault="006F107B" w:rsidP="00550738">
            <w:pPr>
              <w:jc w:val="center"/>
              <w:rPr>
                <w:rFonts w:ascii="Times New Roman" w:hAnsi="Times New Roman"/>
                <w:sz w:val="20"/>
                <w:szCs w:val="20"/>
              </w:rPr>
            </w:pPr>
            <w:r>
              <w:rPr>
                <w:rFonts w:ascii="Times New Roman" w:hAnsi="Times New Roman"/>
                <w:sz w:val="20"/>
              </w:rPr>
              <w:t>0,5 ± 0,02</w:t>
            </w:r>
          </w:p>
        </w:tc>
        <w:tc>
          <w:tcPr>
            <w:tcW w:w="553" w:type="pct"/>
            <w:vMerge/>
            <w:tcBorders>
              <w:left w:val="single" w:sz="4" w:space="0" w:color="auto"/>
              <w:right w:val="single" w:sz="4" w:space="0" w:color="auto"/>
            </w:tcBorders>
          </w:tcPr>
          <w:p w:rsidR="006F107B" w:rsidRPr="0065423A" w:rsidRDefault="006F107B" w:rsidP="00550738">
            <w:pPr>
              <w:jc w:val="center"/>
              <w:rPr>
                <w:rFonts w:ascii="Times New Roman" w:hAnsi="Times New Roman"/>
                <w:color w:val="000000"/>
                <w:sz w:val="20"/>
                <w:szCs w:val="20"/>
              </w:rPr>
            </w:pPr>
          </w:p>
        </w:tc>
      </w:tr>
      <w:tr w:rsidR="006F107B" w:rsidRPr="0065423A" w:rsidTr="007D6756">
        <w:trPr>
          <w:cantSplit/>
        </w:trPr>
        <w:tc>
          <w:tcPr>
            <w:tcW w:w="884" w:type="pct"/>
            <w:tcBorders>
              <w:top w:val="single" w:sz="4" w:space="0" w:color="auto"/>
              <w:left w:val="single" w:sz="4" w:space="0" w:color="auto"/>
              <w:bottom w:val="single" w:sz="4" w:space="0" w:color="auto"/>
              <w:right w:val="single" w:sz="4" w:space="0" w:color="auto"/>
            </w:tcBorders>
          </w:tcPr>
          <w:p w:rsidR="006F107B" w:rsidRDefault="006F107B" w:rsidP="00550738">
            <w:pPr>
              <w:rPr>
                <w:rFonts w:ascii="Times New Roman" w:hAnsi="Times New Roman"/>
                <w:color w:val="000000"/>
                <w:spacing w:val="-6"/>
                <w:sz w:val="20"/>
                <w:szCs w:val="20"/>
              </w:rPr>
            </w:pPr>
            <w:r>
              <w:rPr>
                <w:rFonts w:ascii="Times New Roman" w:hAnsi="Times New Roman"/>
                <w:color w:val="000000"/>
                <w:sz w:val="20"/>
              </w:rPr>
              <w:t>Válvula reguladora</w:t>
            </w:r>
          </w:p>
        </w:tc>
        <w:tc>
          <w:tcPr>
            <w:tcW w:w="1658" w:type="pct"/>
            <w:tcBorders>
              <w:top w:val="single" w:sz="4" w:space="0" w:color="auto"/>
              <w:left w:val="single" w:sz="4" w:space="0" w:color="auto"/>
              <w:bottom w:val="single" w:sz="4" w:space="0" w:color="auto"/>
              <w:right w:val="single" w:sz="4" w:space="0" w:color="auto"/>
            </w:tcBorders>
          </w:tcPr>
          <w:p w:rsidR="006F107B" w:rsidRPr="0065423A" w:rsidRDefault="002148BB" w:rsidP="002148BB">
            <w:pPr>
              <w:rPr>
                <w:rFonts w:ascii="Times New Roman" w:hAnsi="Times New Roman"/>
                <w:color w:val="000000"/>
                <w:spacing w:val="-6"/>
                <w:sz w:val="20"/>
                <w:szCs w:val="20"/>
              </w:rPr>
            </w:pPr>
            <w:r>
              <w:rPr>
                <w:rFonts w:ascii="Times New Roman" w:hAnsi="Times New Roman"/>
                <w:color w:val="000000"/>
                <w:sz w:val="20"/>
              </w:rPr>
              <w:t>Flujo transversal entre las conexiones de entrada</w:t>
            </w:r>
          </w:p>
        </w:tc>
        <w:tc>
          <w:tcPr>
            <w:tcW w:w="408" w:type="pct"/>
            <w:tcBorders>
              <w:top w:val="single" w:sz="4" w:space="0" w:color="auto"/>
              <w:left w:val="single" w:sz="4" w:space="0" w:color="auto"/>
              <w:bottom w:val="single" w:sz="4" w:space="0" w:color="auto"/>
              <w:right w:val="single" w:sz="4" w:space="0" w:color="auto"/>
            </w:tcBorders>
          </w:tcPr>
          <w:p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Cerrado</w:t>
            </w:r>
          </w:p>
        </w:tc>
        <w:tc>
          <w:tcPr>
            <w:tcW w:w="946" w:type="pct"/>
            <w:tcBorders>
              <w:top w:val="single" w:sz="4" w:space="0" w:color="auto"/>
              <w:left w:val="single" w:sz="4" w:space="0" w:color="auto"/>
              <w:bottom w:val="single" w:sz="4" w:space="0" w:color="auto"/>
              <w:right w:val="single" w:sz="4" w:space="0" w:color="auto"/>
            </w:tcBorders>
          </w:tcPr>
          <w:p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Abierto</w:t>
            </w:r>
          </w:p>
        </w:tc>
        <w:tc>
          <w:tcPr>
            <w:tcW w:w="551" w:type="pct"/>
            <w:tcBorders>
              <w:top w:val="single" w:sz="4" w:space="0" w:color="auto"/>
              <w:left w:val="single" w:sz="4" w:space="0" w:color="auto"/>
              <w:bottom w:val="single" w:sz="4" w:space="0" w:color="auto"/>
              <w:right w:val="single" w:sz="4" w:space="0" w:color="auto"/>
            </w:tcBorders>
          </w:tcPr>
          <w:p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4 ± 0,2</w:t>
            </w:r>
          </w:p>
        </w:tc>
        <w:tc>
          <w:tcPr>
            <w:tcW w:w="553" w:type="pct"/>
            <w:vMerge/>
            <w:tcBorders>
              <w:left w:val="single" w:sz="4" w:space="0" w:color="auto"/>
              <w:bottom w:val="single" w:sz="4" w:space="0" w:color="auto"/>
              <w:right w:val="single" w:sz="4" w:space="0" w:color="auto"/>
            </w:tcBorders>
          </w:tcPr>
          <w:p w:rsidR="006F107B" w:rsidRDefault="006F107B" w:rsidP="00550738">
            <w:pPr>
              <w:jc w:val="center"/>
            </w:pPr>
          </w:p>
        </w:tc>
      </w:tr>
    </w:tbl>
    <w:p w:rsidR="0065423A" w:rsidRDefault="0065423A" w:rsidP="00550738">
      <w:pPr>
        <w:jc w:val="both"/>
        <w:rPr>
          <w:rFonts w:ascii="Times New Roman" w:eastAsia="Times New Roman" w:hAnsi="Times New Roman"/>
          <w:i/>
          <w:sz w:val="20"/>
          <w:szCs w:val="20"/>
        </w:rPr>
      </w:pPr>
    </w:p>
    <w:p w:rsidR="00B12D8B" w:rsidRPr="00F559CB" w:rsidRDefault="00B12D8B" w:rsidP="00550738">
      <w:pPr>
        <w:jc w:val="both"/>
        <w:rPr>
          <w:rFonts w:ascii="Times New Roman" w:eastAsia="Times New Roman" w:hAnsi="Times New Roman"/>
          <w:sz w:val="20"/>
          <w:szCs w:val="20"/>
        </w:rPr>
      </w:pPr>
      <w:r>
        <w:rPr>
          <w:rFonts w:ascii="Times New Roman" w:hAnsi="Times New Roman"/>
          <w:sz w:val="20"/>
        </w:rPr>
        <w:t>A = bañera, S = ducha</w:t>
      </w:r>
    </w:p>
    <w:p w:rsidR="002D7E58" w:rsidRDefault="00ED6D8C" w:rsidP="00550738">
      <w:pPr>
        <w:pStyle w:val="LLPykala"/>
        <w:keepNext/>
        <w:keepLines/>
        <w:spacing w:before="240" w:after="240"/>
      </w:pPr>
      <w:r>
        <w:t>Artículo 11</w:t>
      </w:r>
    </w:p>
    <w:p w:rsidR="006D5BA9" w:rsidRPr="006D5BA9" w:rsidRDefault="006D5BA9" w:rsidP="00550738">
      <w:pPr>
        <w:pStyle w:val="LLPykalanOtsikko"/>
        <w:keepNext/>
        <w:keepLines/>
        <w:spacing w:after="240"/>
        <w:rPr>
          <w:i w:val="0"/>
        </w:rPr>
      </w:pPr>
      <w:r>
        <w:t>Resistencia a la presión</w:t>
      </w:r>
    </w:p>
    <w:p w:rsidR="006D5BA9" w:rsidRDefault="00C62FA4" w:rsidP="00CC2462">
      <w:pPr>
        <w:pStyle w:val="LLJohtolauseKappaleet"/>
      </w:pPr>
      <w:r>
        <w:t>Un laboratorio de ensayo acreditado someterá a ensayo la resistencia a la presión de los empalmes de agua. El ensayo de presión se realizará con agua fría a (25 ± 5) grados centígrados, tal como se recoge en la tabla 2. Durante el ensayo, no deberán generarse deformaciones o daños permanentes en los empalmes de agua.</w:t>
      </w:r>
    </w:p>
    <w:p w:rsidR="00781720" w:rsidRDefault="00781720" w:rsidP="00550738">
      <w:pPr>
        <w:spacing w:line="220" w:lineRule="exact"/>
        <w:ind w:firstLine="170"/>
        <w:jc w:val="both"/>
        <w:rPr>
          <w:rFonts w:ascii="Times New Roman" w:eastAsia="Times New Roman" w:hAnsi="Times New Roman"/>
          <w:i/>
          <w:sz w:val="20"/>
          <w:szCs w:val="20"/>
        </w:rPr>
      </w:pPr>
    </w:p>
    <w:p w:rsidR="00781720" w:rsidRPr="0008292C" w:rsidRDefault="00781720"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Tabla 2: Ensayo de presión del empalme de agua.</w:t>
      </w:r>
    </w:p>
    <w:tbl>
      <w:tblPr>
        <w:tblW w:w="68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tblPr>
      <w:tblGrid>
        <w:gridCol w:w="3149"/>
        <w:gridCol w:w="850"/>
        <w:gridCol w:w="851"/>
        <w:gridCol w:w="992"/>
        <w:gridCol w:w="992"/>
      </w:tblGrid>
      <w:tr w:rsidR="00432AE3" w:rsidRPr="0065423A" w:rsidTr="00432AE3">
        <w:trPr>
          <w:cantSplit/>
        </w:trPr>
        <w:tc>
          <w:tcPr>
            <w:tcW w:w="3149" w:type="dxa"/>
            <w:tcBorders>
              <w:top w:val="single" w:sz="4" w:space="0" w:color="auto"/>
              <w:left w:val="single" w:sz="4" w:space="0" w:color="auto"/>
              <w:right w:val="single" w:sz="4" w:space="0" w:color="auto"/>
            </w:tcBorders>
          </w:tcPr>
          <w:p w:rsidR="00432AE3" w:rsidRPr="0065423A" w:rsidRDefault="00432AE3" w:rsidP="002148BB">
            <w:pPr>
              <w:keepNext/>
              <w:keepLines/>
              <w:rPr>
                <w:rFonts w:ascii="Times New Roman" w:hAnsi="Times New Roman"/>
                <w:color w:val="000000"/>
                <w:sz w:val="20"/>
                <w:szCs w:val="20"/>
              </w:rPr>
            </w:pPr>
            <w:r>
              <w:rPr>
                <w:rFonts w:ascii="Times New Roman" w:hAnsi="Times New Roman"/>
                <w:color w:val="000000"/>
                <w:sz w:val="20"/>
              </w:rPr>
              <w:t>Unidad sometida a ensayo</w:t>
            </w:r>
          </w:p>
        </w:tc>
        <w:tc>
          <w:tcPr>
            <w:tcW w:w="850" w:type="dxa"/>
            <w:tcBorders>
              <w:top w:val="single" w:sz="4" w:space="0" w:color="auto"/>
              <w:left w:val="single" w:sz="4" w:space="0" w:color="auto"/>
              <w:right w:val="single" w:sz="4" w:space="0" w:color="auto"/>
            </w:tcBorders>
          </w:tcPr>
          <w:p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Dispositivo de cierre</w:t>
            </w:r>
          </w:p>
        </w:tc>
        <w:tc>
          <w:tcPr>
            <w:tcW w:w="851" w:type="dxa"/>
            <w:tcBorders>
              <w:top w:val="single" w:sz="4" w:space="0" w:color="auto"/>
              <w:left w:val="single" w:sz="4" w:space="0" w:color="auto"/>
              <w:right w:val="single" w:sz="4" w:space="0" w:color="auto"/>
            </w:tcBorders>
          </w:tcPr>
          <w:p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Salida</w:t>
            </w:r>
          </w:p>
        </w:tc>
        <w:tc>
          <w:tcPr>
            <w:tcW w:w="992" w:type="dxa"/>
            <w:tcBorders>
              <w:top w:val="single" w:sz="4" w:space="0" w:color="auto"/>
              <w:left w:val="single" w:sz="4" w:space="0" w:color="auto"/>
              <w:right w:val="single" w:sz="4" w:space="0" w:color="auto"/>
            </w:tcBorders>
          </w:tcPr>
          <w:p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Presión</w:t>
            </w:r>
          </w:p>
          <w:p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bar</w:t>
            </w:r>
          </w:p>
        </w:tc>
        <w:tc>
          <w:tcPr>
            <w:tcW w:w="992" w:type="dxa"/>
            <w:tcBorders>
              <w:top w:val="single" w:sz="4" w:space="0" w:color="auto"/>
              <w:left w:val="single" w:sz="4" w:space="0" w:color="auto"/>
              <w:right w:val="single" w:sz="4" w:space="0" w:color="auto"/>
            </w:tcBorders>
          </w:tcPr>
          <w:p w:rsidR="00432AE3"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Tiempo de ensayo</w:t>
            </w:r>
          </w:p>
          <w:p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s</w:t>
            </w:r>
          </w:p>
        </w:tc>
      </w:tr>
      <w:tr w:rsidR="00432AE3" w:rsidRPr="0065423A" w:rsidTr="00432AE3">
        <w:trPr>
          <w:cantSplit/>
        </w:trPr>
        <w:tc>
          <w:tcPr>
            <w:tcW w:w="3149" w:type="dxa"/>
            <w:tcBorders>
              <w:top w:val="single" w:sz="4" w:space="0" w:color="auto"/>
              <w:left w:val="single" w:sz="4" w:space="0" w:color="auto"/>
              <w:bottom w:val="single" w:sz="4" w:space="0" w:color="auto"/>
              <w:right w:val="single" w:sz="4" w:space="0" w:color="auto"/>
            </w:tcBorders>
          </w:tcPr>
          <w:p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Trayectorias del flujo hasta el dispositivo de cierre</w:t>
            </w:r>
          </w:p>
        </w:tc>
        <w:tc>
          <w:tcPr>
            <w:tcW w:w="850" w:type="dxa"/>
            <w:tcBorders>
              <w:top w:val="single" w:sz="4" w:space="0" w:color="auto"/>
              <w:left w:val="single" w:sz="4" w:space="0" w:color="auto"/>
              <w:bottom w:val="single" w:sz="4" w:space="0" w:color="auto"/>
              <w:right w:val="single" w:sz="4" w:space="0" w:color="auto"/>
            </w:tcBorders>
          </w:tcPr>
          <w:p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Cerrado</w:t>
            </w:r>
          </w:p>
        </w:tc>
        <w:tc>
          <w:tcPr>
            <w:tcW w:w="851" w:type="dxa"/>
            <w:tcBorders>
              <w:top w:val="single" w:sz="4" w:space="0" w:color="auto"/>
              <w:left w:val="single" w:sz="4" w:space="0" w:color="auto"/>
              <w:bottom w:val="single" w:sz="4" w:space="0" w:color="auto"/>
              <w:right w:val="single" w:sz="4" w:space="0" w:color="auto"/>
            </w:tcBorders>
          </w:tcPr>
          <w:p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Abierto</w:t>
            </w:r>
          </w:p>
        </w:tc>
        <w:tc>
          <w:tcPr>
            <w:tcW w:w="992" w:type="dxa"/>
            <w:tcBorders>
              <w:top w:val="single" w:sz="4" w:space="0" w:color="auto"/>
              <w:left w:val="single" w:sz="4" w:space="0" w:color="auto"/>
              <w:bottom w:val="single" w:sz="4" w:space="0" w:color="auto"/>
              <w:right w:val="single" w:sz="4" w:space="0" w:color="auto"/>
            </w:tcBorders>
          </w:tcPr>
          <w:p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25 ± 0,5</w:t>
            </w:r>
          </w:p>
        </w:tc>
        <w:tc>
          <w:tcPr>
            <w:tcW w:w="992" w:type="dxa"/>
            <w:tcBorders>
              <w:left w:val="single" w:sz="4" w:space="0" w:color="auto"/>
              <w:right w:val="single" w:sz="4" w:space="0" w:color="auto"/>
            </w:tcBorders>
          </w:tcPr>
          <w:p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60 ± 5</w:t>
            </w:r>
          </w:p>
        </w:tc>
      </w:tr>
      <w:tr w:rsidR="00432AE3" w:rsidRPr="0065423A" w:rsidTr="00432AE3">
        <w:trPr>
          <w:cantSplit/>
        </w:trPr>
        <w:tc>
          <w:tcPr>
            <w:tcW w:w="3149" w:type="dxa"/>
            <w:tcBorders>
              <w:top w:val="single" w:sz="4" w:space="0" w:color="auto"/>
              <w:left w:val="single" w:sz="4" w:space="0" w:color="auto"/>
              <w:bottom w:val="single" w:sz="4" w:space="0" w:color="auto"/>
              <w:right w:val="single" w:sz="4" w:space="0" w:color="auto"/>
            </w:tcBorders>
          </w:tcPr>
          <w:p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 xml:space="preserve">Trayectorias del flujo después del dispositivo de cierre </w:t>
            </w:r>
          </w:p>
        </w:tc>
        <w:tc>
          <w:tcPr>
            <w:tcW w:w="850" w:type="dxa"/>
            <w:tcBorders>
              <w:top w:val="single" w:sz="4" w:space="0" w:color="auto"/>
              <w:left w:val="single" w:sz="4" w:space="0" w:color="auto"/>
              <w:bottom w:val="single" w:sz="4" w:space="0" w:color="auto"/>
              <w:right w:val="single" w:sz="4" w:space="0" w:color="auto"/>
            </w:tcBorders>
          </w:tcPr>
          <w:p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Abierto</w:t>
            </w:r>
          </w:p>
        </w:tc>
        <w:tc>
          <w:tcPr>
            <w:tcW w:w="851" w:type="dxa"/>
            <w:tcBorders>
              <w:top w:val="single" w:sz="4" w:space="0" w:color="auto"/>
              <w:left w:val="single" w:sz="4" w:space="0" w:color="auto"/>
              <w:bottom w:val="single" w:sz="4" w:space="0" w:color="auto"/>
              <w:right w:val="single" w:sz="4" w:space="0" w:color="auto"/>
            </w:tcBorders>
          </w:tcPr>
          <w:p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Abierto</w:t>
            </w:r>
          </w:p>
        </w:tc>
        <w:tc>
          <w:tcPr>
            <w:tcW w:w="992" w:type="dxa"/>
            <w:tcBorders>
              <w:top w:val="single" w:sz="4" w:space="0" w:color="auto"/>
              <w:left w:val="single" w:sz="4" w:space="0" w:color="auto"/>
              <w:bottom w:val="single" w:sz="4" w:space="0" w:color="auto"/>
              <w:right w:val="single" w:sz="4" w:space="0" w:color="auto"/>
            </w:tcBorders>
          </w:tcPr>
          <w:p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 xml:space="preserve">4 ± 0,2 </w:t>
            </w:r>
          </w:p>
        </w:tc>
        <w:tc>
          <w:tcPr>
            <w:tcW w:w="992" w:type="dxa"/>
            <w:tcBorders>
              <w:left w:val="single" w:sz="4" w:space="0" w:color="auto"/>
              <w:bottom w:val="single" w:sz="4" w:space="0" w:color="auto"/>
              <w:right w:val="single" w:sz="4" w:space="0" w:color="auto"/>
            </w:tcBorders>
          </w:tcPr>
          <w:p w:rsidR="00432AE3" w:rsidRDefault="00432AE3" w:rsidP="002148BB">
            <w:pPr>
              <w:jc w:val="center"/>
            </w:pPr>
            <w:r>
              <w:rPr>
                <w:rFonts w:ascii="Times New Roman" w:hAnsi="Times New Roman"/>
                <w:color w:val="000000"/>
                <w:sz w:val="20"/>
              </w:rPr>
              <w:t>60 ± 5</w:t>
            </w:r>
          </w:p>
        </w:tc>
      </w:tr>
    </w:tbl>
    <w:p w:rsidR="004671DD" w:rsidRDefault="00F162EC" w:rsidP="00550738">
      <w:pPr>
        <w:pStyle w:val="LLPykala"/>
        <w:keepNext/>
        <w:keepLines/>
        <w:spacing w:before="240" w:after="240"/>
      </w:pPr>
      <w:r>
        <w:t>Artículo 12</w:t>
      </w:r>
    </w:p>
    <w:p w:rsidR="004671DD" w:rsidRDefault="009A1BF1" w:rsidP="00550738">
      <w:pPr>
        <w:pStyle w:val="LLPykalanOtsikko"/>
        <w:keepNext/>
        <w:keepLines/>
        <w:spacing w:after="240"/>
        <w:rPr>
          <w:i w:val="0"/>
        </w:rPr>
      </w:pPr>
      <w:r>
        <w:t>Caudal estándar</w:t>
      </w:r>
    </w:p>
    <w:p w:rsidR="00C15999" w:rsidRPr="00CC2462" w:rsidRDefault="00F0784A" w:rsidP="00CC2462">
      <w:pPr>
        <w:pStyle w:val="LLJohtolauseKappaleet"/>
      </w:pPr>
      <w:r>
        <w:t xml:space="preserve">Un laboratorio de ensayo acreditado someterá a ensayo el caudal estándar de los empalmes de agua. El caudal estándar se inspeccionará con un equipo de ensayo bajo una presión del </w:t>
      </w:r>
      <w:r>
        <w:lastRenderedPageBreak/>
        <w:t>agua de (3 0/+0,2) bar. Durante el ensayo, la válvula reguladora del empalme de agua estará completamente abierta. En un empalme de agua de tipo mixto, el caudal estándar se medirá con las siguientes temperaturas mixtas de agua: agua fría a (10–15) grados centígrados, 34 grados centígrados, 38 grados centígrados, 44 grados centígrados y agua caliente a (60–65) grados centígrados.</w:t>
      </w:r>
    </w:p>
    <w:p w:rsidR="00D72775" w:rsidRDefault="00F162EC" w:rsidP="00550738">
      <w:pPr>
        <w:pStyle w:val="LLPykala"/>
        <w:keepNext/>
        <w:keepLines/>
        <w:spacing w:before="240" w:after="240"/>
      </w:pPr>
      <w:r>
        <w:t>Artículo 13</w:t>
      </w:r>
    </w:p>
    <w:p w:rsidR="00D72775" w:rsidRDefault="00D72775" w:rsidP="00550738">
      <w:pPr>
        <w:pStyle w:val="LLPykalanOtsikko"/>
        <w:keepNext/>
        <w:keepLines/>
        <w:spacing w:after="240"/>
        <w:rPr>
          <w:i w:val="0"/>
        </w:rPr>
      </w:pPr>
      <w:r>
        <w:t>Características de control</w:t>
      </w:r>
    </w:p>
    <w:p w:rsidR="00800AEA" w:rsidRPr="00CC2462" w:rsidRDefault="003F3666" w:rsidP="00CC2462">
      <w:pPr>
        <w:pStyle w:val="LLJohtolauseKappaleet"/>
      </w:pPr>
      <w:r>
        <w:t>Un laboratorio de ensayo acreditado someterá a ensayo las características de control de los empalmes de agua de tipo mixto. El ensayo se realizará con un equipo de ensayo para empalmes de agua bajo una presión del agua de (3 0/+0,2) bar. Durante el ensayo se realizarán las pruebas indicadas en la tabla 3.</w:t>
      </w:r>
    </w:p>
    <w:p w:rsidR="00D85BA9" w:rsidRDefault="00D85BA9" w:rsidP="00550738">
      <w:pPr>
        <w:spacing w:line="220" w:lineRule="exact"/>
        <w:ind w:firstLine="170"/>
        <w:jc w:val="both"/>
        <w:rPr>
          <w:rFonts w:ascii="Times New Roman" w:eastAsia="Times New Roman" w:hAnsi="Times New Roman"/>
          <w:snapToGrid w:val="0"/>
          <w:spacing w:val="-2"/>
        </w:rPr>
      </w:pPr>
    </w:p>
    <w:p w:rsidR="00800AEA" w:rsidRPr="0008292C" w:rsidRDefault="00800AEA"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Tabla 3: Ensayo de las características de control de los empalmes de agua.</w:t>
      </w:r>
    </w:p>
    <w:tbl>
      <w:tblPr>
        <w:tblStyle w:val="Tablaconcuadrcula"/>
        <w:tblW w:w="5000" w:type="pct"/>
        <w:tblCellMar>
          <w:left w:w="57" w:type="dxa"/>
          <w:right w:w="57" w:type="dxa"/>
        </w:tblCellMar>
        <w:tblLook w:val="01E0"/>
      </w:tblPr>
      <w:tblGrid>
        <w:gridCol w:w="3441"/>
        <w:gridCol w:w="1435"/>
        <w:gridCol w:w="1865"/>
        <w:gridCol w:w="1719"/>
      </w:tblGrid>
      <w:tr w:rsidR="00872D80" w:rsidRPr="00CC2462" w:rsidTr="002148BB">
        <w:trPr>
          <w:cantSplit/>
        </w:trPr>
        <w:tc>
          <w:tcPr>
            <w:tcW w:w="2881" w:type="pct"/>
            <w:gridSpan w:val="2"/>
          </w:tcPr>
          <w:p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color w:val="000000"/>
                <w:sz w:val="20"/>
              </w:rPr>
              <w:t>Ensayo</w:t>
            </w:r>
          </w:p>
        </w:tc>
        <w:tc>
          <w:tcPr>
            <w:tcW w:w="2119" w:type="pct"/>
            <w:gridSpan w:val="2"/>
          </w:tcPr>
          <w:p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sz w:val="20"/>
              </w:rPr>
              <w:t>Requisito</w:t>
            </w:r>
          </w:p>
        </w:tc>
      </w:tr>
      <w:tr w:rsidR="009C10E4" w:rsidRPr="00CC2462" w:rsidTr="002148BB">
        <w:trPr>
          <w:cantSplit/>
        </w:trPr>
        <w:tc>
          <w:tcPr>
            <w:tcW w:w="2881" w:type="pct"/>
            <w:gridSpan w:val="2"/>
          </w:tcPr>
          <w:p w:rsidR="009C10E4" w:rsidRPr="00CC2462" w:rsidRDefault="009C10E4" w:rsidP="002148BB">
            <w:pPr>
              <w:suppressAutoHyphens/>
              <w:rPr>
                <w:rFonts w:ascii="Times New Roman" w:hAnsi="Times New Roman"/>
                <w:b/>
                <w:sz w:val="20"/>
                <w:szCs w:val="20"/>
              </w:rPr>
            </w:pPr>
            <w:r>
              <w:rPr>
                <w:rFonts w:ascii="Times New Roman" w:hAnsi="Times New Roman"/>
                <w:b/>
                <w:sz w:val="20"/>
              </w:rPr>
              <w:t xml:space="preserve">Grifo monomando </w:t>
            </w:r>
          </w:p>
        </w:tc>
        <w:tc>
          <w:tcPr>
            <w:tcW w:w="1102" w:type="pct"/>
          </w:tcPr>
          <w:p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Grifos de ducha, Gv</w:t>
            </w:r>
          </w:p>
        </w:tc>
        <w:tc>
          <w:tcPr>
            <w:tcW w:w="1017" w:type="pct"/>
          </w:tcPr>
          <w:p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Otros grifos, Gv</w:t>
            </w:r>
          </w:p>
        </w:tc>
      </w:tr>
      <w:tr w:rsidR="00C4435A" w:rsidRPr="00CC2462" w:rsidTr="002148BB">
        <w:trPr>
          <w:cantSplit/>
        </w:trPr>
        <w:tc>
          <w:tcPr>
            <w:tcW w:w="2034" w:type="pct"/>
            <w:vMerge w:val="restart"/>
          </w:tcPr>
          <w:p w:rsidR="00C4435A" w:rsidRPr="00CC2462" w:rsidRDefault="00001C34" w:rsidP="002148BB">
            <w:pPr>
              <w:suppressAutoHyphens/>
              <w:rPr>
                <w:rFonts w:ascii="Times New Roman" w:hAnsi="Times New Roman"/>
                <w:sz w:val="20"/>
                <w:szCs w:val="20"/>
              </w:rPr>
            </w:pPr>
            <w:r>
              <w:rPr>
                <w:rFonts w:ascii="Times New Roman" w:hAnsi="Times New Roman"/>
                <w:sz w:val="20"/>
              </w:rPr>
              <w:t>Sensibilidad de control de la temperatura mixta del agua T</w:t>
            </w:r>
            <w:r>
              <w:rPr>
                <w:rFonts w:ascii="Times New Roman" w:hAnsi="Times New Roman"/>
                <w:sz w:val="20"/>
                <w:vertAlign w:val="subscript"/>
              </w:rPr>
              <w:t>s</w:t>
            </w:r>
            <w:r>
              <w:rPr>
                <w:rFonts w:ascii="Times New Roman" w:hAnsi="Times New Roman"/>
                <w:sz w:val="20"/>
              </w:rPr>
              <w:t xml:space="preserve"> entre (T</w:t>
            </w:r>
            <w:r>
              <w:rPr>
                <w:rFonts w:ascii="Times New Roman" w:hAnsi="Times New Roman"/>
                <w:sz w:val="20"/>
                <w:vertAlign w:val="subscript"/>
              </w:rPr>
              <w:t>m</w:t>
            </w:r>
            <w:r>
              <w:rPr>
                <w:rFonts w:ascii="Times New Roman" w:hAnsi="Times New Roman"/>
                <w:sz w:val="20"/>
              </w:rPr>
              <w:t xml:space="preserve"> - 4) y (T</w:t>
            </w:r>
            <w:r>
              <w:rPr>
                <w:rFonts w:ascii="Times New Roman" w:hAnsi="Times New Roman"/>
                <w:sz w:val="20"/>
                <w:vertAlign w:val="subscript"/>
              </w:rPr>
              <w:t>m</w:t>
            </w:r>
            <w:r>
              <w:rPr>
                <w:rFonts w:ascii="Times New Roman" w:hAnsi="Times New Roman"/>
                <w:sz w:val="20"/>
              </w:rPr>
              <w:t xml:space="preserve"> + 4)</w:t>
            </w:r>
          </w:p>
        </w:tc>
        <w:tc>
          <w:tcPr>
            <w:tcW w:w="848" w:type="pct"/>
          </w:tcPr>
          <w:p w:rsidR="00C4435A" w:rsidRPr="00CC2462" w:rsidRDefault="00C4435A" w:rsidP="002148BB">
            <w:pPr>
              <w:suppressAutoHyphens/>
              <w:rPr>
                <w:rFonts w:ascii="Times New Roman" w:hAnsi="Times New Roman"/>
                <w:sz w:val="20"/>
                <w:szCs w:val="20"/>
              </w:rPr>
            </w:pPr>
            <w:r>
              <w:rPr>
                <w:rFonts w:ascii="Times New Roman" w:hAnsi="Times New Roman"/>
                <w:sz w:val="20"/>
              </w:rPr>
              <w:t>r &gt; 45 mm</w:t>
            </w:r>
          </w:p>
        </w:tc>
        <w:tc>
          <w:tcPr>
            <w:tcW w:w="1102" w:type="pct"/>
          </w:tcPr>
          <w:p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≥12 mm</w:t>
            </w:r>
          </w:p>
        </w:tc>
        <w:tc>
          <w:tcPr>
            <w:tcW w:w="1017" w:type="pct"/>
          </w:tcPr>
          <w:p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≥10 mm</w:t>
            </w:r>
          </w:p>
        </w:tc>
      </w:tr>
      <w:tr w:rsidR="00C4435A" w:rsidRPr="00CC2462" w:rsidTr="002148BB">
        <w:trPr>
          <w:cantSplit/>
        </w:trPr>
        <w:tc>
          <w:tcPr>
            <w:tcW w:w="2034" w:type="pct"/>
            <w:vMerge/>
          </w:tcPr>
          <w:p w:rsidR="00C4435A" w:rsidRPr="00CC2462" w:rsidRDefault="00C4435A" w:rsidP="002148BB">
            <w:pPr>
              <w:suppressAutoHyphens/>
              <w:rPr>
                <w:rFonts w:ascii="Times New Roman" w:hAnsi="Times New Roman"/>
                <w:sz w:val="20"/>
                <w:szCs w:val="20"/>
              </w:rPr>
            </w:pPr>
          </w:p>
        </w:tc>
        <w:tc>
          <w:tcPr>
            <w:tcW w:w="848" w:type="pct"/>
          </w:tcPr>
          <w:p w:rsidR="00C4435A" w:rsidRPr="00CC2462" w:rsidRDefault="00C4435A" w:rsidP="002148BB">
            <w:pPr>
              <w:suppressAutoHyphens/>
              <w:rPr>
                <w:rFonts w:ascii="Times New Roman" w:hAnsi="Times New Roman"/>
                <w:sz w:val="20"/>
                <w:szCs w:val="20"/>
              </w:rPr>
            </w:pPr>
            <w:r>
              <w:rPr>
                <w:rFonts w:ascii="Times New Roman" w:hAnsi="Times New Roman"/>
                <w:sz w:val="20"/>
              </w:rPr>
              <w:t>r ≤ 45 mm</w:t>
            </w:r>
          </w:p>
        </w:tc>
        <w:tc>
          <w:tcPr>
            <w:tcW w:w="1102" w:type="pct"/>
          </w:tcPr>
          <w:p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xml:space="preserve">≥12° o ≥12 mm </w:t>
            </w:r>
          </w:p>
        </w:tc>
        <w:tc>
          <w:tcPr>
            <w:tcW w:w="1017" w:type="pct"/>
          </w:tcPr>
          <w:p w:rsidR="00C4435A" w:rsidRPr="00CC2462" w:rsidRDefault="00EB7D9A" w:rsidP="002148BB">
            <w:pPr>
              <w:suppressAutoHyphens/>
              <w:jc w:val="center"/>
              <w:rPr>
                <w:rFonts w:ascii="Times New Roman" w:hAnsi="Times New Roman"/>
                <w:sz w:val="20"/>
                <w:szCs w:val="20"/>
              </w:rPr>
            </w:pPr>
            <w:r>
              <w:rPr>
                <w:rFonts w:ascii="Times New Roman" w:hAnsi="Times New Roman"/>
                <w:sz w:val="20"/>
              </w:rPr>
              <w:t>≥10° o ≥10 mm</w:t>
            </w:r>
          </w:p>
        </w:tc>
      </w:tr>
      <w:tr w:rsidR="009C10E4" w:rsidRPr="00CC2462" w:rsidTr="002148BB">
        <w:trPr>
          <w:cantSplit/>
        </w:trPr>
        <w:tc>
          <w:tcPr>
            <w:tcW w:w="2881" w:type="pct"/>
            <w:gridSpan w:val="2"/>
          </w:tcPr>
          <w:p w:rsidR="009C10E4" w:rsidRPr="00CC2462" w:rsidRDefault="009C10E4" w:rsidP="002148BB">
            <w:pPr>
              <w:suppressAutoHyphens/>
              <w:rPr>
                <w:rFonts w:ascii="Times New Roman" w:hAnsi="Times New Roman"/>
                <w:b/>
                <w:sz w:val="20"/>
                <w:szCs w:val="20"/>
              </w:rPr>
            </w:pPr>
            <w:r>
              <w:rPr>
                <w:rFonts w:ascii="Times New Roman" w:hAnsi="Times New Roman"/>
                <w:b/>
                <w:sz w:val="20"/>
              </w:rPr>
              <w:t>Grifo termostático</w:t>
            </w:r>
          </w:p>
        </w:tc>
        <w:tc>
          <w:tcPr>
            <w:tcW w:w="1102" w:type="pct"/>
          </w:tcPr>
          <w:p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Grifos de cocina</w:t>
            </w:r>
          </w:p>
        </w:tc>
        <w:tc>
          <w:tcPr>
            <w:tcW w:w="1017" w:type="pct"/>
          </w:tcPr>
          <w:p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Otros grifos</w:t>
            </w:r>
          </w:p>
        </w:tc>
      </w:tr>
      <w:tr w:rsidR="009C10E4" w:rsidRPr="00CC2462" w:rsidTr="002148BB">
        <w:trPr>
          <w:cantSplit/>
        </w:trPr>
        <w:tc>
          <w:tcPr>
            <w:tcW w:w="2881" w:type="pct"/>
            <w:gridSpan w:val="2"/>
          </w:tcPr>
          <w:p w:rsidR="009C10E4" w:rsidRPr="00CC2462" w:rsidRDefault="00001C34" w:rsidP="002148BB">
            <w:pPr>
              <w:suppressAutoHyphens/>
              <w:rPr>
                <w:rFonts w:ascii="Times New Roman" w:hAnsi="Times New Roman"/>
                <w:sz w:val="20"/>
                <w:szCs w:val="20"/>
              </w:rPr>
            </w:pPr>
            <w:r>
              <w:rPr>
                <w:rFonts w:ascii="Times New Roman" w:hAnsi="Times New Roman"/>
                <w:sz w:val="20"/>
              </w:rPr>
              <w:t xml:space="preserve">Sensibilidad de control entre 34 °C y 42 °C </w:t>
            </w:r>
          </w:p>
        </w:tc>
        <w:tc>
          <w:tcPr>
            <w:tcW w:w="1102" w:type="pct"/>
          </w:tcPr>
          <w:p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Gt ≥ 10 mm</w:t>
            </w:r>
          </w:p>
        </w:tc>
        <w:tc>
          <w:tcPr>
            <w:tcW w:w="1017" w:type="pct"/>
          </w:tcPr>
          <w:p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Gt ≥ 12 mm</w:t>
            </w:r>
          </w:p>
        </w:tc>
      </w:tr>
      <w:tr w:rsidR="00426180" w:rsidRPr="00CC2462" w:rsidTr="002148BB">
        <w:trPr>
          <w:cantSplit/>
        </w:trPr>
        <w:tc>
          <w:tcPr>
            <w:tcW w:w="2881" w:type="pct"/>
            <w:gridSpan w:val="2"/>
          </w:tcPr>
          <w:p w:rsidR="00426180" w:rsidRPr="00CC2462" w:rsidRDefault="00BF0424" w:rsidP="002148BB">
            <w:pPr>
              <w:suppressAutoHyphens/>
              <w:rPr>
                <w:rFonts w:ascii="Times New Roman" w:hAnsi="Times New Roman"/>
                <w:sz w:val="20"/>
                <w:szCs w:val="20"/>
              </w:rPr>
            </w:pPr>
            <w:r>
              <w:rPr>
                <w:rFonts w:ascii="Times New Roman" w:hAnsi="Times New Roman"/>
                <w:sz w:val="20"/>
              </w:rPr>
              <w:t>Al principio de las pruebas 1–3, T</w:t>
            </w:r>
            <w:r>
              <w:rPr>
                <w:rFonts w:ascii="Times New Roman" w:hAnsi="Times New Roman"/>
                <w:sz w:val="20"/>
                <w:vertAlign w:val="subscript"/>
              </w:rPr>
              <w:t>s</w:t>
            </w:r>
            <w:r>
              <w:rPr>
                <w:rFonts w:ascii="Times New Roman" w:hAnsi="Times New Roman"/>
                <w:sz w:val="20"/>
              </w:rPr>
              <w:t xml:space="preserve"> = (38 ± 1) °C</w:t>
            </w:r>
          </w:p>
        </w:tc>
        <w:tc>
          <w:tcPr>
            <w:tcW w:w="2119" w:type="pct"/>
            <w:gridSpan w:val="2"/>
          </w:tcPr>
          <w:p w:rsidR="00426180" w:rsidRPr="00CC2462" w:rsidRDefault="00426180" w:rsidP="002148BB">
            <w:pPr>
              <w:suppressAutoHyphens/>
              <w:jc w:val="center"/>
              <w:rPr>
                <w:rFonts w:ascii="Times New Roman" w:hAnsi="Times New Roman"/>
                <w:sz w:val="20"/>
                <w:szCs w:val="20"/>
              </w:rPr>
            </w:pPr>
          </w:p>
        </w:tc>
      </w:tr>
      <w:tr w:rsidR="00426180" w:rsidRPr="00CC2462" w:rsidTr="002148BB">
        <w:trPr>
          <w:cantSplit/>
        </w:trPr>
        <w:tc>
          <w:tcPr>
            <w:tcW w:w="2881" w:type="pct"/>
            <w:gridSpan w:val="2"/>
          </w:tcPr>
          <w:p w:rsidR="00426180" w:rsidRPr="00CC2462" w:rsidRDefault="00BF0424" w:rsidP="002148BB">
            <w:pPr>
              <w:suppressAutoHyphens/>
              <w:rPr>
                <w:rFonts w:ascii="Times New Roman" w:hAnsi="Times New Roman"/>
                <w:sz w:val="20"/>
                <w:szCs w:val="20"/>
              </w:rPr>
            </w:pPr>
            <w:r>
              <w:rPr>
                <w:rFonts w:ascii="Times New Roman" w:hAnsi="Times New Roman"/>
                <w:sz w:val="20"/>
              </w:rPr>
              <w:t>1 Seguridad si se interrumpe el suministro de agua fría, volumen de agua</w:t>
            </w:r>
          </w:p>
        </w:tc>
        <w:tc>
          <w:tcPr>
            <w:tcW w:w="2119" w:type="pct"/>
            <w:gridSpan w:val="2"/>
          </w:tcPr>
          <w:p w:rsidR="00426180" w:rsidRPr="00CC2462" w:rsidRDefault="002755DD" w:rsidP="002148BB">
            <w:pPr>
              <w:suppressAutoHyphens/>
              <w:rPr>
                <w:rFonts w:ascii="Times New Roman" w:hAnsi="Times New Roman"/>
                <w:sz w:val="20"/>
                <w:szCs w:val="20"/>
              </w:rPr>
            </w:pPr>
            <w:r>
              <w:rPr>
                <w:rFonts w:ascii="Times New Roman" w:hAnsi="Times New Roman"/>
                <w:sz w:val="20"/>
              </w:rPr>
              <w:t>5 s: ≤200 ml, 30 s: ≤300 ml,</w:t>
            </w:r>
          </w:p>
        </w:tc>
      </w:tr>
      <w:tr w:rsidR="00247C7A" w:rsidRPr="00CC2462" w:rsidTr="002148BB">
        <w:trPr>
          <w:cantSplit/>
        </w:trPr>
        <w:tc>
          <w:tcPr>
            <w:tcW w:w="2881" w:type="pct"/>
            <w:gridSpan w:val="2"/>
          </w:tcPr>
          <w:p w:rsidR="00247C7A" w:rsidRPr="00CC2462" w:rsidRDefault="00247C7A" w:rsidP="002148BB">
            <w:pPr>
              <w:suppressAutoHyphens/>
              <w:rPr>
                <w:rFonts w:ascii="Times New Roman" w:hAnsi="Times New Roman"/>
                <w:sz w:val="20"/>
                <w:szCs w:val="20"/>
              </w:rPr>
            </w:pPr>
            <w:r>
              <w:rPr>
                <w:rFonts w:ascii="Times New Roman" w:hAnsi="Times New Roman"/>
                <w:sz w:val="20"/>
              </w:rPr>
              <w:t>2 Estabilidad de la temperatura durante el cambio de la presión del agua fría</w:t>
            </w:r>
          </w:p>
          <w:p w:rsidR="00247C7A" w:rsidRPr="00CC2462" w:rsidRDefault="00247C7A" w:rsidP="002148BB">
            <w:pPr>
              <w:suppressAutoHyphens/>
              <w:rPr>
                <w:rFonts w:ascii="Times New Roman" w:hAnsi="Times New Roman"/>
                <w:sz w:val="20"/>
                <w:szCs w:val="20"/>
              </w:rPr>
            </w:pPr>
            <w:r>
              <w:rPr>
                <w:rFonts w:ascii="Times New Roman" w:hAnsi="Times New Roman"/>
                <w:sz w:val="20"/>
              </w:rPr>
              <w:t>Modificación de la presión: 3 bar ≥ 2 bar, 15 s ≥ 3 bar, 60 s ≥ 2 bar, 15 s ≥ 3 bar, 60 s</w:t>
            </w:r>
          </w:p>
        </w:tc>
        <w:tc>
          <w:tcPr>
            <w:tcW w:w="2119" w:type="pct"/>
            <w:gridSpan w:val="2"/>
            <w:vMerge w:val="restart"/>
          </w:tcPr>
          <w:p w:rsidR="00247C7A" w:rsidRPr="00CC2462" w:rsidRDefault="00247C7A" w:rsidP="002148BB">
            <w:pPr>
              <w:suppressAutoHyphens/>
              <w:rPr>
                <w:rFonts w:ascii="Times New Roman" w:hAnsi="Times New Roman"/>
                <w:sz w:val="20"/>
                <w:szCs w:val="20"/>
              </w:rPr>
            </w:pPr>
            <w:r>
              <w:rPr>
                <w:rFonts w:ascii="Times New Roman" w:hAnsi="Times New Roman"/>
                <w:sz w:val="20"/>
              </w:rPr>
              <w:t>Desviación máxima T</w:t>
            </w:r>
            <w:r>
              <w:rPr>
                <w:rFonts w:ascii="Times New Roman" w:hAnsi="Times New Roman"/>
                <w:sz w:val="20"/>
                <w:vertAlign w:val="subscript"/>
              </w:rPr>
              <w:t>s</w:t>
            </w:r>
            <w:r>
              <w:rPr>
                <w:rFonts w:ascii="Times New Roman" w:hAnsi="Times New Roman"/>
                <w:sz w:val="20"/>
              </w:rPr>
              <w:t xml:space="preserve"> 2 K 20 s y tras el restablecimiento. Además, desviación máxima T</w:t>
            </w:r>
            <w:r>
              <w:rPr>
                <w:rFonts w:ascii="Times New Roman" w:hAnsi="Times New Roman"/>
                <w:sz w:val="20"/>
                <w:vertAlign w:val="subscript"/>
              </w:rPr>
              <w:t>s</w:t>
            </w:r>
            <w:r>
              <w:rPr>
                <w:rFonts w:ascii="Times New Roman" w:hAnsi="Times New Roman"/>
                <w:sz w:val="20"/>
              </w:rPr>
              <w:t xml:space="preserve"> tras 3 K 1 s para otra salida diferente a la salida de la bañera. </w:t>
            </w:r>
          </w:p>
        </w:tc>
      </w:tr>
      <w:tr w:rsidR="00247C7A" w:rsidRPr="00CC2462" w:rsidTr="002148BB">
        <w:trPr>
          <w:cantSplit/>
        </w:trPr>
        <w:tc>
          <w:tcPr>
            <w:tcW w:w="2881" w:type="pct"/>
            <w:gridSpan w:val="2"/>
          </w:tcPr>
          <w:p w:rsidR="00247C7A" w:rsidRPr="00CC2462" w:rsidRDefault="00247C7A" w:rsidP="002148BB">
            <w:pPr>
              <w:suppressAutoHyphens/>
              <w:rPr>
                <w:rFonts w:ascii="Times New Roman" w:hAnsi="Times New Roman"/>
                <w:sz w:val="20"/>
                <w:szCs w:val="20"/>
              </w:rPr>
            </w:pPr>
            <w:r>
              <w:rPr>
                <w:rFonts w:ascii="Times New Roman" w:hAnsi="Times New Roman"/>
                <w:sz w:val="20"/>
              </w:rPr>
              <w:t>3 Estabilidad de la temperatura durante el cambio de la presión del agua caliente</w:t>
            </w:r>
          </w:p>
          <w:p w:rsidR="00247C7A" w:rsidRPr="00CC2462" w:rsidRDefault="00247C7A" w:rsidP="002148BB">
            <w:pPr>
              <w:suppressAutoHyphens/>
              <w:rPr>
                <w:rFonts w:ascii="Times New Roman" w:hAnsi="Times New Roman"/>
                <w:sz w:val="20"/>
                <w:szCs w:val="20"/>
              </w:rPr>
            </w:pPr>
            <w:r>
              <w:rPr>
                <w:rFonts w:ascii="Times New Roman" w:hAnsi="Times New Roman"/>
                <w:sz w:val="20"/>
              </w:rPr>
              <w:t>Modificación de la temperatura: agua caliente +65 °C ≥ +55 °C, 30 s ≥ +65 °C, 40 s</w:t>
            </w:r>
          </w:p>
        </w:tc>
        <w:tc>
          <w:tcPr>
            <w:tcW w:w="2119" w:type="pct"/>
            <w:gridSpan w:val="2"/>
            <w:vMerge/>
          </w:tcPr>
          <w:p w:rsidR="00247C7A" w:rsidRPr="00CC2462" w:rsidRDefault="00247C7A" w:rsidP="002148BB">
            <w:pPr>
              <w:suppressAutoHyphens/>
              <w:rPr>
                <w:rFonts w:ascii="Times New Roman" w:hAnsi="Times New Roman"/>
                <w:sz w:val="20"/>
                <w:szCs w:val="20"/>
              </w:rPr>
            </w:pPr>
          </w:p>
        </w:tc>
      </w:tr>
      <w:tr w:rsidR="00872D80" w:rsidRPr="00CC2462" w:rsidTr="002148BB">
        <w:trPr>
          <w:cantSplit/>
        </w:trPr>
        <w:tc>
          <w:tcPr>
            <w:tcW w:w="5000" w:type="pct"/>
            <w:gridSpan w:val="4"/>
          </w:tcPr>
          <w:p w:rsidR="002755DD" w:rsidRPr="00CC2462" w:rsidRDefault="00872D80" w:rsidP="002148BB">
            <w:pPr>
              <w:suppressAutoHyphens/>
              <w:spacing w:before="120"/>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s</w:t>
            </w:r>
            <w:r>
              <w:rPr>
                <w:rFonts w:ascii="Times New Roman" w:hAnsi="Times New Roman"/>
                <w:sz w:val="20"/>
              </w:rPr>
              <w:t xml:space="preserve">      temperatura mixta del agua</w:t>
            </w:r>
          </w:p>
          <w:p w:rsidR="002755DD" w:rsidRPr="00CC2462" w:rsidRDefault="002755DD" w:rsidP="002148BB">
            <w:pPr>
              <w:suppressAutoHyphens/>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m</w:t>
            </w:r>
            <w:r>
              <w:rPr>
                <w:rFonts w:ascii="Times New Roman" w:hAnsi="Times New Roman"/>
                <w:sz w:val="20"/>
              </w:rPr>
              <w:t xml:space="preserve">     temperatura media del agua fría y caliente</w:t>
            </w:r>
          </w:p>
          <w:p w:rsidR="009C10E4" w:rsidRPr="00CC2462" w:rsidRDefault="00872D80" w:rsidP="002148BB">
            <w:pPr>
              <w:suppressAutoHyphens/>
              <w:rPr>
                <w:rFonts w:ascii="Times New Roman" w:hAnsi="Times New Roman"/>
                <w:sz w:val="20"/>
                <w:szCs w:val="20"/>
              </w:rPr>
            </w:pPr>
            <w:r>
              <w:rPr>
                <w:rFonts w:ascii="Times New Roman" w:hAnsi="Times New Roman"/>
                <w:sz w:val="20"/>
              </w:rPr>
              <w:t>Gv    desplazamiento del final del mango accionador del grifo monomando o modificación del ángulo de rotación</w:t>
            </w:r>
          </w:p>
          <w:p w:rsidR="00872D80" w:rsidRPr="00CC2462" w:rsidRDefault="00EB7D9A" w:rsidP="002148BB">
            <w:pPr>
              <w:suppressAutoHyphens/>
              <w:rPr>
                <w:rFonts w:ascii="Times New Roman" w:hAnsi="Times New Roman"/>
                <w:sz w:val="20"/>
                <w:szCs w:val="20"/>
              </w:rPr>
            </w:pPr>
            <w:r>
              <w:rPr>
                <w:rFonts w:ascii="Times New Roman" w:hAnsi="Times New Roman"/>
                <w:sz w:val="20"/>
              </w:rPr>
              <w:t>r        distancia entre el final del mango accionador y el eje central del grifo monomando</w:t>
            </w:r>
          </w:p>
        </w:tc>
      </w:tr>
    </w:tbl>
    <w:p w:rsidR="002D7E58" w:rsidRDefault="002D7E58" w:rsidP="00550738">
      <w:pPr>
        <w:pStyle w:val="LLPykala"/>
        <w:keepNext/>
        <w:keepLines/>
        <w:spacing w:before="240" w:after="240"/>
      </w:pPr>
      <w:r>
        <w:t>Artículo 14</w:t>
      </w:r>
    </w:p>
    <w:p w:rsidR="006D5BA9" w:rsidRPr="006D5BA9" w:rsidRDefault="00BF7638" w:rsidP="00550738">
      <w:pPr>
        <w:pStyle w:val="LLPykalanOtsikko"/>
        <w:keepNext/>
        <w:keepLines/>
        <w:spacing w:after="240"/>
        <w:rPr>
          <w:i w:val="0"/>
        </w:rPr>
      </w:pPr>
      <w:r>
        <w:t>Resistencia</w:t>
      </w:r>
    </w:p>
    <w:p w:rsidR="006D5BA9" w:rsidRPr="00CC2462" w:rsidRDefault="00F10C4F" w:rsidP="00CC2462">
      <w:pPr>
        <w:pStyle w:val="LLJohtolauseKappaleet"/>
      </w:pPr>
      <w:r>
        <w:t>Un laboratorio de ensayo acreditado someterá a ensayo la resistencia del grifo monomando del empalme de agua. El ensayo se realizará con un equipo de ensayo en el que el flujo de agua se abra y se cierre de forma repetida mediante la válvula. Una válvula reguladora manual se cerrará a una velocidad angular de (60 ± 5) grados por segundo. Las posiciones de apertura y de cierre se mantendrán durante (5 ± 0,5) segundos. El número de ciclos operativos y las condiciones de ensayo durante la prueba de resistencia se muestran en la tabla 4.</w:t>
      </w:r>
    </w:p>
    <w:p w:rsidR="00AD41D1" w:rsidRDefault="00AD41D1" w:rsidP="00CC2462">
      <w:pPr>
        <w:pStyle w:val="LLJohtolauseKappaleet"/>
      </w:pPr>
      <w:r>
        <w:t>Tras el ensayo de resistencia, los empalmes de agua se sellarán cuando se sometan a ensayo conforme al artículo 10 de este Decreto.</w:t>
      </w:r>
    </w:p>
    <w:p w:rsidR="008C694D" w:rsidRPr="006D5BA9" w:rsidRDefault="008C694D" w:rsidP="00550738">
      <w:pPr>
        <w:ind w:firstLine="142"/>
        <w:jc w:val="both"/>
        <w:rPr>
          <w:rFonts w:ascii="Times New Roman" w:eastAsia="Times New Roman" w:hAnsi="Times New Roman"/>
          <w:snapToGrid w:val="0"/>
        </w:rPr>
      </w:pPr>
    </w:p>
    <w:p w:rsidR="006D5BA9" w:rsidRPr="0008292C" w:rsidRDefault="006D5BA9"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lastRenderedPageBreak/>
        <w:t>Tabla 4: Condiciones de ensayo para la prueba de resistencia y número de ciclos operativos.</w:t>
      </w:r>
    </w:p>
    <w:p w:rsidR="002D7E58" w:rsidRDefault="002D7E58" w:rsidP="002148BB">
      <w:pPr>
        <w:keepNext/>
        <w:keepLines/>
        <w:spacing w:line="276" w:lineRule="auto"/>
        <w:jc w:val="both"/>
        <w:rPr>
          <w:rFonts w:ascii="Times New Roman" w:hAnsi="Times New Roman"/>
        </w:rPr>
      </w:pPr>
    </w:p>
    <w:tbl>
      <w:tblPr>
        <w:tblStyle w:val="Tablaconcuadrcula"/>
        <w:tblW w:w="5000" w:type="pct"/>
        <w:tblCellMar>
          <w:left w:w="57" w:type="dxa"/>
          <w:right w:w="57" w:type="dxa"/>
        </w:tblCellMar>
        <w:tblLook w:val="01E0"/>
      </w:tblPr>
      <w:tblGrid>
        <w:gridCol w:w="3022"/>
        <w:gridCol w:w="1964"/>
        <w:gridCol w:w="1662"/>
        <w:gridCol w:w="1812"/>
      </w:tblGrid>
      <w:tr w:rsidR="000576D8" w:rsidRPr="008600FE" w:rsidTr="002148BB">
        <w:trPr>
          <w:cantSplit/>
        </w:trPr>
        <w:tc>
          <w:tcPr>
            <w:tcW w:w="1786" w:type="pct"/>
          </w:tcPr>
          <w:p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color w:val="000000"/>
                <w:sz w:val="20"/>
              </w:rPr>
              <w:t>Unidad sometida a ensayo</w:t>
            </w:r>
          </w:p>
        </w:tc>
        <w:tc>
          <w:tcPr>
            <w:tcW w:w="1161" w:type="pct"/>
          </w:tcPr>
          <w:p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Temperatura del agua °C</w:t>
            </w:r>
          </w:p>
          <w:p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(fría/caliente)</w:t>
            </w:r>
          </w:p>
        </w:tc>
        <w:tc>
          <w:tcPr>
            <w:tcW w:w="982" w:type="pct"/>
          </w:tcPr>
          <w:p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Presión y caudal</w:t>
            </w:r>
          </w:p>
        </w:tc>
        <w:tc>
          <w:tcPr>
            <w:tcW w:w="1071" w:type="pct"/>
          </w:tcPr>
          <w:p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sz w:val="20"/>
              </w:rPr>
              <w:t>Número de ciclos</w:t>
            </w:r>
          </w:p>
        </w:tc>
      </w:tr>
      <w:tr w:rsidR="001208D6" w:rsidRPr="008600FE" w:rsidTr="002148BB">
        <w:trPr>
          <w:cantSplit/>
        </w:trPr>
        <w:tc>
          <w:tcPr>
            <w:tcW w:w="1786" w:type="pct"/>
          </w:tcPr>
          <w:p w:rsidR="001208D6" w:rsidRPr="008600FE" w:rsidRDefault="001208D6" w:rsidP="002148BB">
            <w:pPr>
              <w:keepNext/>
              <w:keepLines/>
              <w:suppressAutoHyphens/>
              <w:rPr>
                <w:rFonts w:ascii="Times New Roman" w:hAnsi="Times New Roman"/>
                <w:sz w:val="20"/>
                <w:szCs w:val="20"/>
              </w:rPr>
            </w:pPr>
          </w:p>
        </w:tc>
        <w:tc>
          <w:tcPr>
            <w:tcW w:w="1161" w:type="pct"/>
          </w:tcPr>
          <w:p w:rsidR="001208D6" w:rsidRDefault="001208D6" w:rsidP="002148BB">
            <w:pPr>
              <w:keepNext/>
              <w:keepLines/>
              <w:suppressAutoHyphens/>
              <w:jc w:val="center"/>
              <w:rPr>
                <w:rFonts w:ascii="Times New Roman" w:hAnsi="Times New Roman"/>
                <w:spacing w:val="8"/>
                <w:sz w:val="20"/>
                <w:szCs w:val="20"/>
              </w:rPr>
            </w:pPr>
          </w:p>
        </w:tc>
        <w:tc>
          <w:tcPr>
            <w:tcW w:w="982" w:type="pct"/>
          </w:tcPr>
          <w:p w:rsidR="001208D6" w:rsidRPr="008600FE" w:rsidRDefault="001208D6" w:rsidP="002148BB">
            <w:pPr>
              <w:keepNext/>
              <w:keepLines/>
              <w:suppressAutoHyphens/>
              <w:rPr>
                <w:rFonts w:ascii="Times New Roman" w:hAnsi="Times New Roman"/>
                <w:sz w:val="20"/>
                <w:szCs w:val="20"/>
              </w:rPr>
            </w:pPr>
          </w:p>
        </w:tc>
        <w:tc>
          <w:tcPr>
            <w:tcW w:w="1071" w:type="pct"/>
          </w:tcPr>
          <w:p w:rsidR="001208D6" w:rsidRDefault="001208D6" w:rsidP="002148BB">
            <w:pPr>
              <w:keepNext/>
              <w:keepLines/>
              <w:suppressAutoHyphens/>
              <w:jc w:val="center"/>
              <w:rPr>
                <w:rFonts w:ascii="Times New Roman" w:hAnsi="Times New Roman"/>
                <w:sz w:val="20"/>
                <w:szCs w:val="20"/>
              </w:rPr>
            </w:pPr>
          </w:p>
        </w:tc>
      </w:tr>
      <w:tr w:rsidR="00F16AAE" w:rsidRPr="008600FE" w:rsidTr="002148BB">
        <w:trPr>
          <w:cantSplit/>
        </w:trPr>
        <w:tc>
          <w:tcPr>
            <w:tcW w:w="1786" w:type="pct"/>
          </w:tcPr>
          <w:p w:rsidR="00F16AAE" w:rsidRPr="008600FE" w:rsidRDefault="00F16AAE" w:rsidP="002148BB">
            <w:pPr>
              <w:suppressAutoHyphens/>
              <w:rPr>
                <w:rFonts w:ascii="Times New Roman" w:hAnsi="Times New Roman"/>
                <w:sz w:val="20"/>
                <w:szCs w:val="20"/>
              </w:rPr>
            </w:pPr>
            <w:r>
              <w:rPr>
                <w:rFonts w:ascii="Times New Roman" w:hAnsi="Times New Roman"/>
                <w:sz w:val="20"/>
              </w:rPr>
              <w:t>Válvula reguladora, atornillable</w:t>
            </w:r>
          </w:p>
        </w:tc>
        <w:tc>
          <w:tcPr>
            <w:tcW w:w="1161" w:type="pct"/>
          </w:tcPr>
          <w:p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(≤30)/(65 ± 2)</w:t>
            </w:r>
          </w:p>
        </w:tc>
        <w:tc>
          <w:tcPr>
            <w:tcW w:w="982" w:type="pct"/>
            <w:vMerge w:val="restart"/>
          </w:tcPr>
          <w:p w:rsidR="00F16AAE" w:rsidRDefault="00F16AAE" w:rsidP="002148BB">
            <w:pPr>
              <w:suppressAutoHyphens/>
              <w:rPr>
                <w:rFonts w:ascii="Times New Roman" w:hAnsi="Times New Roman"/>
                <w:sz w:val="20"/>
                <w:szCs w:val="20"/>
              </w:rPr>
            </w:pPr>
            <w:r>
              <w:rPr>
                <w:rFonts w:ascii="Times New Roman" w:hAnsi="Times New Roman"/>
                <w:sz w:val="20"/>
              </w:rPr>
              <w:t>(4 ± 0,5) bar</w:t>
            </w:r>
          </w:p>
          <w:p w:rsidR="00F16AAE" w:rsidRPr="008600FE" w:rsidRDefault="00F16AAE" w:rsidP="002148BB">
            <w:pPr>
              <w:suppressAutoHyphens/>
              <w:rPr>
                <w:rFonts w:ascii="Times New Roman" w:hAnsi="Times New Roman"/>
                <w:sz w:val="20"/>
                <w:szCs w:val="20"/>
              </w:rPr>
            </w:pPr>
            <w:r>
              <w:rPr>
                <w:rFonts w:ascii="Times New Roman" w:hAnsi="Times New Roman"/>
                <w:sz w:val="20"/>
              </w:rPr>
              <w:t>(0,1 ± 0,02) dm</w:t>
            </w:r>
            <w:r>
              <w:rPr>
                <w:rFonts w:ascii="Times New Roman" w:hAnsi="Times New Roman"/>
                <w:sz w:val="20"/>
                <w:vertAlign w:val="superscript"/>
              </w:rPr>
              <w:t>3</w:t>
            </w:r>
            <w:r>
              <w:rPr>
                <w:rFonts w:ascii="Times New Roman" w:hAnsi="Times New Roman"/>
                <w:sz w:val="20"/>
              </w:rPr>
              <w:t>/s</w:t>
            </w:r>
          </w:p>
        </w:tc>
        <w:tc>
          <w:tcPr>
            <w:tcW w:w="1071" w:type="pct"/>
          </w:tcPr>
          <w:p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200 000</w:t>
            </w:r>
          </w:p>
        </w:tc>
      </w:tr>
      <w:tr w:rsidR="00F16AAE" w:rsidRPr="008600FE" w:rsidTr="002148BB">
        <w:trPr>
          <w:cantSplit/>
        </w:trPr>
        <w:tc>
          <w:tcPr>
            <w:tcW w:w="1786" w:type="pct"/>
          </w:tcPr>
          <w:p w:rsidR="00F16AAE" w:rsidRDefault="00F16AAE" w:rsidP="002148BB">
            <w:pPr>
              <w:suppressAutoHyphens/>
              <w:rPr>
                <w:rFonts w:ascii="Times New Roman" w:hAnsi="Times New Roman"/>
                <w:sz w:val="20"/>
                <w:szCs w:val="20"/>
              </w:rPr>
            </w:pPr>
            <w:r>
              <w:rPr>
                <w:rFonts w:ascii="Times New Roman" w:hAnsi="Times New Roman"/>
                <w:sz w:val="20"/>
              </w:rPr>
              <w:t>Válvula reguladora, grifo monomando</w:t>
            </w:r>
          </w:p>
        </w:tc>
        <w:tc>
          <w:tcPr>
            <w:tcW w:w="1161" w:type="pct"/>
          </w:tcPr>
          <w:p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(≤30)/(65 ± 2)</w:t>
            </w:r>
          </w:p>
        </w:tc>
        <w:tc>
          <w:tcPr>
            <w:tcW w:w="982" w:type="pct"/>
            <w:vMerge/>
          </w:tcPr>
          <w:p w:rsidR="00F16AAE" w:rsidRPr="008600FE" w:rsidRDefault="00F16AAE" w:rsidP="002148BB">
            <w:pPr>
              <w:suppressAutoHyphens/>
              <w:rPr>
                <w:rFonts w:ascii="Times New Roman" w:hAnsi="Times New Roman"/>
                <w:sz w:val="20"/>
                <w:szCs w:val="20"/>
              </w:rPr>
            </w:pPr>
          </w:p>
        </w:tc>
        <w:tc>
          <w:tcPr>
            <w:tcW w:w="1071" w:type="pct"/>
          </w:tcPr>
          <w:p w:rsidR="00F16AAE" w:rsidRDefault="00F16AAE" w:rsidP="002148BB">
            <w:pPr>
              <w:suppressAutoHyphens/>
              <w:jc w:val="center"/>
              <w:rPr>
                <w:rFonts w:ascii="Times New Roman" w:hAnsi="Times New Roman"/>
                <w:sz w:val="20"/>
                <w:szCs w:val="20"/>
              </w:rPr>
            </w:pPr>
            <w:r>
              <w:rPr>
                <w:rFonts w:ascii="Times New Roman" w:hAnsi="Times New Roman"/>
                <w:sz w:val="20"/>
              </w:rPr>
              <w:t>70 000</w:t>
            </w:r>
            <w:r>
              <w:rPr>
                <w:rFonts w:ascii="Times New Roman" w:hAnsi="Times New Roman"/>
                <w:sz w:val="20"/>
                <w:vertAlign w:val="superscript"/>
              </w:rPr>
              <w:t>a)</w:t>
            </w:r>
          </w:p>
        </w:tc>
      </w:tr>
      <w:tr w:rsidR="00F16AAE" w:rsidRPr="008600FE" w:rsidTr="002148BB">
        <w:trPr>
          <w:cantSplit/>
        </w:trPr>
        <w:tc>
          <w:tcPr>
            <w:tcW w:w="1786" w:type="pct"/>
          </w:tcPr>
          <w:p w:rsidR="00F16AAE" w:rsidRPr="008600FE" w:rsidRDefault="00F16AAE" w:rsidP="002148BB">
            <w:pPr>
              <w:suppressAutoHyphens/>
              <w:rPr>
                <w:rFonts w:ascii="Times New Roman" w:hAnsi="Times New Roman"/>
                <w:sz w:val="20"/>
                <w:szCs w:val="20"/>
              </w:rPr>
            </w:pPr>
            <w:r>
              <w:rPr>
                <w:rFonts w:ascii="Times New Roman" w:hAnsi="Times New Roman"/>
                <w:sz w:val="20"/>
              </w:rPr>
              <w:t>Válvula reguladora, grifo termostático</w:t>
            </w:r>
          </w:p>
        </w:tc>
        <w:tc>
          <w:tcPr>
            <w:tcW w:w="1161" w:type="pct"/>
          </w:tcPr>
          <w:p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(≤30)/(65 ± 2)</w:t>
            </w:r>
          </w:p>
        </w:tc>
        <w:tc>
          <w:tcPr>
            <w:tcW w:w="982" w:type="pct"/>
            <w:vMerge/>
          </w:tcPr>
          <w:p w:rsidR="00F16AAE" w:rsidRPr="008600FE" w:rsidRDefault="00F16AAE" w:rsidP="002148BB">
            <w:pPr>
              <w:suppressAutoHyphens/>
              <w:rPr>
                <w:rFonts w:ascii="Times New Roman" w:hAnsi="Times New Roman"/>
                <w:sz w:val="20"/>
                <w:szCs w:val="20"/>
              </w:rPr>
            </w:pPr>
          </w:p>
        </w:tc>
        <w:tc>
          <w:tcPr>
            <w:tcW w:w="1071" w:type="pct"/>
          </w:tcPr>
          <w:p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50 000</w:t>
            </w:r>
          </w:p>
        </w:tc>
      </w:tr>
      <w:tr w:rsidR="00F16AAE" w:rsidRPr="008600FE" w:rsidTr="002148BB">
        <w:trPr>
          <w:cantSplit/>
        </w:trPr>
        <w:tc>
          <w:tcPr>
            <w:tcW w:w="1786" w:type="pct"/>
          </w:tcPr>
          <w:p w:rsidR="00F16AAE" w:rsidRDefault="00F16AAE" w:rsidP="002148BB">
            <w:pPr>
              <w:suppressAutoHyphens/>
              <w:rPr>
                <w:rFonts w:ascii="Times New Roman" w:hAnsi="Times New Roman"/>
                <w:sz w:val="20"/>
                <w:szCs w:val="20"/>
              </w:rPr>
            </w:pPr>
            <w:r>
              <w:rPr>
                <w:rFonts w:ascii="Times New Roman" w:hAnsi="Times New Roman"/>
                <w:sz w:val="20"/>
              </w:rPr>
              <w:t>Dispositivo desviador</w:t>
            </w:r>
          </w:p>
        </w:tc>
        <w:tc>
          <w:tcPr>
            <w:tcW w:w="1161" w:type="pct"/>
          </w:tcPr>
          <w:p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(≤30)/(65 ± 2)</w:t>
            </w:r>
          </w:p>
        </w:tc>
        <w:tc>
          <w:tcPr>
            <w:tcW w:w="982" w:type="pct"/>
            <w:vMerge/>
          </w:tcPr>
          <w:p w:rsidR="00F16AAE" w:rsidRPr="008600FE" w:rsidRDefault="00F16AAE" w:rsidP="002148BB">
            <w:pPr>
              <w:suppressAutoHyphens/>
              <w:rPr>
                <w:rFonts w:ascii="Times New Roman" w:hAnsi="Times New Roman"/>
                <w:sz w:val="20"/>
                <w:szCs w:val="20"/>
              </w:rPr>
            </w:pPr>
          </w:p>
        </w:tc>
        <w:tc>
          <w:tcPr>
            <w:tcW w:w="1071" w:type="pct"/>
          </w:tcPr>
          <w:p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30 000</w:t>
            </w:r>
          </w:p>
        </w:tc>
      </w:tr>
      <w:tr w:rsidR="00F16AAE" w:rsidRPr="008600FE" w:rsidTr="002148BB">
        <w:trPr>
          <w:cantSplit/>
        </w:trPr>
        <w:tc>
          <w:tcPr>
            <w:tcW w:w="1786" w:type="pct"/>
          </w:tcPr>
          <w:p w:rsidR="00F16AAE" w:rsidRDefault="00F16AAE" w:rsidP="002148BB">
            <w:pPr>
              <w:suppressAutoHyphens/>
              <w:rPr>
                <w:rFonts w:ascii="Times New Roman" w:hAnsi="Times New Roman"/>
                <w:sz w:val="20"/>
                <w:szCs w:val="20"/>
              </w:rPr>
            </w:pPr>
            <w:r>
              <w:rPr>
                <w:rFonts w:ascii="Times New Roman" w:hAnsi="Times New Roman"/>
                <w:sz w:val="20"/>
              </w:rPr>
              <w:t>Caño, inversión</w:t>
            </w:r>
          </w:p>
        </w:tc>
        <w:tc>
          <w:tcPr>
            <w:tcW w:w="1161" w:type="pct"/>
          </w:tcPr>
          <w:p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≤30</w:t>
            </w:r>
          </w:p>
        </w:tc>
        <w:tc>
          <w:tcPr>
            <w:tcW w:w="982" w:type="pct"/>
            <w:vMerge/>
          </w:tcPr>
          <w:p w:rsidR="00F16AAE" w:rsidRPr="008600FE" w:rsidRDefault="00F16AAE" w:rsidP="002148BB">
            <w:pPr>
              <w:suppressAutoHyphens/>
              <w:rPr>
                <w:rFonts w:ascii="Times New Roman" w:hAnsi="Times New Roman"/>
                <w:sz w:val="20"/>
                <w:szCs w:val="20"/>
              </w:rPr>
            </w:pPr>
          </w:p>
        </w:tc>
        <w:tc>
          <w:tcPr>
            <w:tcW w:w="1071" w:type="pct"/>
          </w:tcPr>
          <w:p w:rsidR="00F16AAE" w:rsidRDefault="00F16AAE" w:rsidP="002148BB">
            <w:pPr>
              <w:suppressAutoHyphens/>
              <w:jc w:val="center"/>
              <w:rPr>
                <w:rFonts w:ascii="Times New Roman" w:hAnsi="Times New Roman"/>
                <w:sz w:val="20"/>
                <w:szCs w:val="20"/>
              </w:rPr>
            </w:pPr>
            <w:r>
              <w:rPr>
                <w:rFonts w:ascii="Times New Roman" w:hAnsi="Times New Roman"/>
                <w:sz w:val="20"/>
              </w:rPr>
              <w:t>80 000</w:t>
            </w:r>
          </w:p>
        </w:tc>
      </w:tr>
      <w:tr w:rsidR="003339E4" w:rsidRPr="008600FE" w:rsidTr="002148BB">
        <w:trPr>
          <w:cantSplit/>
        </w:trPr>
        <w:tc>
          <w:tcPr>
            <w:tcW w:w="1786" w:type="pct"/>
          </w:tcPr>
          <w:p w:rsidR="003339E4" w:rsidRDefault="003339E4" w:rsidP="002148BB">
            <w:pPr>
              <w:suppressAutoHyphens/>
              <w:rPr>
                <w:rFonts w:ascii="Times New Roman" w:hAnsi="Times New Roman"/>
                <w:sz w:val="20"/>
                <w:szCs w:val="20"/>
              </w:rPr>
            </w:pPr>
            <w:r>
              <w:rPr>
                <w:rFonts w:ascii="Times New Roman" w:hAnsi="Times New Roman"/>
                <w:sz w:val="20"/>
              </w:rPr>
              <w:t>Válvula de la lavadora</w:t>
            </w:r>
          </w:p>
        </w:tc>
        <w:tc>
          <w:tcPr>
            <w:tcW w:w="1161" w:type="pct"/>
          </w:tcPr>
          <w:p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≤30</w:t>
            </w:r>
          </w:p>
        </w:tc>
        <w:tc>
          <w:tcPr>
            <w:tcW w:w="982" w:type="pct"/>
            <w:vMerge/>
          </w:tcPr>
          <w:p w:rsidR="003339E4" w:rsidRPr="008600FE" w:rsidRDefault="003339E4" w:rsidP="002148BB">
            <w:pPr>
              <w:suppressAutoHyphens/>
              <w:rPr>
                <w:rFonts w:ascii="Times New Roman" w:hAnsi="Times New Roman"/>
                <w:sz w:val="20"/>
                <w:szCs w:val="20"/>
              </w:rPr>
            </w:pPr>
          </w:p>
        </w:tc>
        <w:tc>
          <w:tcPr>
            <w:tcW w:w="1071" w:type="pct"/>
          </w:tcPr>
          <w:p w:rsidR="003339E4" w:rsidRDefault="003339E4" w:rsidP="002148BB">
            <w:pPr>
              <w:suppressAutoHyphens/>
              <w:jc w:val="center"/>
              <w:rPr>
                <w:rFonts w:ascii="Times New Roman" w:hAnsi="Times New Roman"/>
                <w:sz w:val="20"/>
                <w:szCs w:val="20"/>
              </w:rPr>
            </w:pPr>
            <w:r>
              <w:rPr>
                <w:rFonts w:ascii="Times New Roman" w:hAnsi="Times New Roman"/>
                <w:sz w:val="20"/>
              </w:rPr>
              <w:t>10 000</w:t>
            </w:r>
          </w:p>
        </w:tc>
      </w:tr>
      <w:tr w:rsidR="003339E4" w:rsidRPr="008600FE" w:rsidTr="002148BB">
        <w:trPr>
          <w:cantSplit/>
        </w:trPr>
        <w:tc>
          <w:tcPr>
            <w:tcW w:w="1786" w:type="pct"/>
          </w:tcPr>
          <w:p w:rsidR="003339E4" w:rsidRDefault="003339E4" w:rsidP="002148BB">
            <w:pPr>
              <w:suppressAutoHyphens/>
              <w:rPr>
                <w:rFonts w:ascii="Times New Roman" w:hAnsi="Times New Roman"/>
                <w:sz w:val="20"/>
                <w:szCs w:val="20"/>
              </w:rPr>
            </w:pPr>
            <w:r>
              <w:rPr>
                <w:rFonts w:ascii="Times New Roman" w:hAnsi="Times New Roman"/>
                <w:sz w:val="20"/>
              </w:rPr>
              <w:t>Empalme de agua electrónico, grifo para lavadora</w:t>
            </w:r>
          </w:p>
        </w:tc>
        <w:tc>
          <w:tcPr>
            <w:tcW w:w="1161" w:type="pct"/>
          </w:tcPr>
          <w:p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(≤30)/(65 ± 2)</w:t>
            </w:r>
          </w:p>
        </w:tc>
        <w:tc>
          <w:tcPr>
            <w:tcW w:w="982" w:type="pct"/>
            <w:vMerge/>
          </w:tcPr>
          <w:p w:rsidR="003339E4" w:rsidRPr="008600FE" w:rsidRDefault="003339E4" w:rsidP="002148BB">
            <w:pPr>
              <w:suppressAutoHyphens/>
              <w:rPr>
                <w:rFonts w:ascii="Times New Roman" w:hAnsi="Times New Roman"/>
                <w:sz w:val="20"/>
                <w:szCs w:val="20"/>
              </w:rPr>
            </w:pPr>
          </w:p>
        </w:tc>
        <w:tc>
          <w:tcPr>
            <w:tcW w:w="1071" w:type="pct"/>
          </w:tcPr>
          <w:p w:rsidR="003339E4" w:rsidRDefault="003339E4" w:rsidP="002148BB">
            <w:pPr>
              <w:suppressAutoHyphens/>
              <w:jc w:val="center"/>
              <w:rPr>
                <w:rFonts w:ascii="Times New Roman" w:hAnsi="Times New Roman"/>
                <w:sz w:val="20"/>
                <w:szCs w:val="20"/>
              </w:rPr>
            </w:pPr>
            <w:r>
              <w:rPr>
                <w:rFonts w:ascii="Times New Roman" w:hAnsi="Times New Roman"/>
                <w:sz w:val="20"/>
              </w:rPr>
              <w:t>210 000</w:t>
            </w:r>
          </w:p>
        </w:tc>
      </w:tr>
      <w:tr w:rsidR="003339E4" w:rsidRPr="008600FE" w:rsidTr="002148BB">
        <w:trPr>
          <w:cantSplit/>
        </w:trPr>
        <w:tc>
          <w:tcPr>
            <w:tcW w:w="1786" w:type="pct"/>
          </w:tcPr>
          <w:p w:rsidR="003339E4" w:rsidRPr="008600FE" w:rsidRDefault="003339E4" w:rsidP="002148BB">
            <w:pPr>
              <w:suppressAutoHyphens/>
              <w:rPr>
                <w:rFonts w:ascii="Times New Roman" w:hAnsi="Times New Roman"/>
                <w:sz w:val="20"/>
                <w:szCs w:val="20"/>
              </w:rPr>
            </w:pPr>
            <w:r>
              <w:rPr>
                <w:rFonts w:ascii="Times New Roman" w:hAnsi="Times New Roman"/>
                <w:sz w:val="20"/>
              </w:rPr>
              <w:t>Empalme de agua electrónico, mezclador</w:t>
            </w:r>
          </w:p>
        </w:tc>
        <w:tc>
          <w:tcPr>
            <w:tcW w:w="1161" w:type="pct"/>
          </w:tcPr>
          <w:p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(≤30)/(65 ± 2)</w:t>
            </w:r>
          </w:p>
        </w:tc>
        <w:tc>
          <w:tcPr>
            <w:tcW w:w="982" w:type="pct"/>
            <w:vMerge/>
          </w:tcPr>
          <w:p w:rsidR="003339E4" w:rsidRPr="008600FE" w:rsidRDefault="003339E4" w:rsidP="002148BB">
            <w:pPr>
              <w:suppressAutoHyphens/>
              <w:rPr>
                <w:rFonts w:ascii="Times New Roman" w:hAnsi="Times New Roman"/>
                <w:sz w:val="20"/>
                <w:szCs w:val="20"/>
              </w:rPr>
            </w:pPr>
          </w:p>
        </w:tc>
        <w:tc>
          <w:tcPr>
            <w:tcW w:w="1071" w:type="pct"/>
          </w:tcPr>
          <w:p w:rsidR="003339E4" w:rsidRPr="008600FE" w:rsidRDefault="003339E4" w:rsidP="002148BB">
            <w:pPr>
              <w:suppressAutoHyphens/>
              <w:jc w:val="center"/>
              <w:rPr>
                <w:rFonts w:ascii="Times New Roman" w:hAnsi="Times New Roman"/>
                <w:sz w:val="20"/>
                <w:szCs w:val="20"/>
              </w:rPr>
            </w:pPr>
            <w:r>
              <w:rPr>
                <w:rFonts w:ascii="Times New Roman" w:hAnsi="Times New Roman"/>
                <w:sz w:val="20"/>
              </w:rPr>
              <w:t>70 000</w:t>
            </w:r>
          </w:p>
        </w:tc>
      </w:tr>
      <w:tr w:rsidR="003339E4" w:rsidRPr="008600FE" w:rsidTr="002148BB">
        <w:trPr>
          <w:cantSplit/>
        </w:trPr>
        <w:tc>
          <w:tcPr>
            <w:tcW w:w="5000" w:type="pct"/>
            <w:gridSpan w:val="4"/>
          </w:tcPr>
          <w:p w:rsidR="003339E4" w:rsidRPr="008600FE" w:rsidRDefault="003339E4" w:rsidP="002148BB">
            <w:pPr>
              <w:suppressAutoHyphens/>
              <w:spacing w:before="60"/>
              <w:rPr>
                <w:rFonts w:ascii="Times New Roman" w:hAnsi="Times New Roman"/>
                <w:sz w:val="20"/>
                <w:szCs w:val="20"/>
              </w:rPr>
            </w:pPr>
            <w:r>
              <w:rPr>
                <w:rFonts w:ascii="Times New Roman" w:hAnsi="Times New Roman"/>
                <w:sz w:val="20"/>
              </w:rPr>
              <w:t>a) Grifos monomando: trayectoria rectangular o triangular, incluidos tres ciclos de apertura/cierre, duración del flujo (5 ± 0,5) s.</w:t>
            </w:r>
          </w:p>
        </w:tc>
      </w:tr>
    </w:tbl>
    <w:p w:rsidR="002D7E58" w:rsidRDefault="002D7E58" w:rsidP="00550738">
      <w:pPr>
        <w:pStyle w:val="LLPykala"/>
        <w:keepNext/>
        <w:keepLines/>
        <w:spacing w:before="240" w:after="240"/>
      </w:pPr>
      <w:r>
        <w:t>Artículo 15</w:t>
      </w:r>
    </w:p>
    <w:p w:rsidR="006D5BA9" w:rsidRDefault="00212378" w:rsidP="00550738">
      <w:pPr>
        <w:pStyle w:val="LLPykalanOtsikko"/>
        <w:keepNext/>
        <w:keepLines/>
        <w:spacing w:after="240"/>
        <w:rPr>
          <w:i w:val="0"/>
        </w:rPr>
      </w:pPr>
      <w:r>
        <w:t xml:space="preserve">Resistencia a la torsión del mecanismo conductor </w:t>
      </w:r>
    </w:p>
    <w:p w:rsidR="005D05AE" w:rsidRDefault="00EE2532" w:rsidP="00CC2462">
      <w:pPr>
        <w:pStyle w:val="LLJohtolauseKappaleet"/>
      </w:pPr>
      <w:r>
        <w:t>Un laboratorio de ensayo acreditado someterá a ensayo la resistencia a la torsión del mecanismo conductor del empalme de agua. El ensayo se realizará conforme a la tabla 5. Durante el ensayo, no deberán generarse deformaciones o daños permanentes en los empalmes de agua. Tras el ensayo, los empalmes de agua serán estancos. Los grifos termostáticos cumplirán los requisitos de las características de control.</w:t>
      </w:r>
    </w:p>
    <w:p w:rsidR="00F73882" w:rsidRPr="005D05AE" w:rsidRDefault="00F73882" w:rsidP="00550738">
      <w:pPr>
        <w:spacing w:line="220" w:lineRule="exact"/>
        <w:ind w:firstLine="170"/>
        <w:jc w:val="both"/>
        <w:rPr>
          <w:rFonts w:ascii="Times New Roman" w:eastAsia="Times New Roman" w:hAnsi="Times New Roman"/>
          <w:szCs w:val="24"/>
        </w:rPr>
      </w:pPr>
    </w:p>
    <w:p w:rsidR="004671DD" w:rsidRDefault="004671DD"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Tabla 5: Resistencia a la torsión del mecanismo conductor.</w:t>
      </w:r>
    </w:p>
    <w:p w:rsidR="002148BB" w:rsidRPr="0008292C" w:rsidRDefault="002148BB" w:rsidP="002148BB">
      <w:pPr>
        <w:keepNext/>
        <w:keepLines/>
        <w:spacing w:line="220" w:lineRule="exact"/>
        <w:jc w:val="both"/>
        <w:rPr>
          <w:rFonts w:ascii="Times New Roman" w:eastAsia="Times New Roman" w:hAnsi="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tblPr>
      <w:tblGrid>
        <w:gridCol w:w="4065"/>
        <w:gridCol w:w="1861"/>
        <w:gridCol w:w="2480"/>
      </w:tblGrid>
      <w:tr w:rsidR="005D05AE" w:rsidRPr="00CE2F4E" w:rsidTr="002148BB">
        <w:trPr>
          <w:cantSplit/>
        </w:trPr>
        <w:tc>
          <w:tcPr>
            <w:tcW w:w="2418" w:type="pct"/>
            <w:tcBorders>
              <w:top w:val="single" w:sz="6" w:space="0" w:color="auto"/>
              <w:left w:val="single" w:sz="6" w:space="0" w:color="auto"/>
              <w:bottom w:val="single" w:sz="6" w:space="0" w:color="auto"/>
            </w:tcBorders>
          </w:tcPr>
          <w:p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Unidad sometida a ensayo</w:t>
            </w:r>
          </w:p>
        </w:tc>
        <w:tc>
          <w:tcPr>
            <w:tcW w:w="1107" w:type="pct"/>
            <w:tcBorders>
              <w:top w:val="single" w:sz="6" w:space="0" w:color="auto"/>
            </w:tcBorders>
          </w:tcPr>
          <w:p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Par</w:t>
            </w:r>
          </w:p>
        </w:tc>
        <w:tc>
          <w:tcPr>
            <w:tcW w:w="1476" w:type="pct"/>
            <w:tcBorders>
              <w:top w:val="single" w:sz="6" w:space="0" w:color="auto"/>
              <w:bottom w:val="single" w:sz="6" w:space="0" w:color="auto"/>
              <w:right w:val="single" w:sz="6" w:space="0" w:color="auto"/>
            </w:tcBorders>
          </w:tcPr>
          <w:p w:rsidR="005D05AE" w:rsidRPr="00CE2F4E" w:rsidRDefault="005D05AE" w:rsidP="005B6A8E">
            <w:pPr>
              <w:keepNext/>
              <w:keepLines/>
              <w:jc w:val="center"/>
              <w:rPr>
                <w:rFonts w:ascii="Times New Roman" w:hAnsi="Times New Roman"/>
                <w:color w:val="000000"/>
                <w:sz w:val="20"/>
                <w:szCs w:val="20"/>
              </w:rPr>
            </w:pPr>
            <w:r>
              <w:rPr>
                <w:rFonts w:ascii="Times New Roman" w:hAnsi="Times New Roman"/>
                <w:color w:val="000000"/>
                <w:sz w:val="20"/>
              </w:rPr>
              <w:t>Tiempo de ensayo</w:t>
            </w:r>
          </w:p>
        </w:tc>
      </w:tr>
      <w:tr w:rsidR="005D05AE" w:rsidRPr="00CE2F4E" w:rsidTr="002148BB">
        <w:trPr>
          <w:cantSplit/>
        </w:trPr>
        <w:tc>
          <w:tcPr>
            <w:tcW w:w="2418" w:type="pct"/>
            <w:tcBorders>
              <w:top w:val="single" w:sz="6" w:space="0" w:color="auto"/>
              <w:left w:val="single" w:sz="6" w:space="0" w:color="auto"/>
              <w:bottom w:val="single" w:sz="6" w:space="0" w:color="auto"/>
            </w:tcBorders>
          </w:tcPr>
          <w:p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Válvula reguladora: direcciones de apertura/cierre</w:t>
            </w:r>
          </w:p>
        </w:tc>
        <w:tc>
          <w:tcPr>
            <w:tcW w:w="1107" w:type="pct"/>
            <w:tcBorders>
              <w:top w:val="single" w:sz="6" w:space="0" w:color="auto"/>
              <w:bottom w:val="single" w:sz="6" w:space="0" w:color="auto"/>
            </w:tcBorders>
          </w:tcPr>
          <w:p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(6 ± 0,2) Nm</w:t>
            </w:r>
          </w:p>
        </w:tc>
        <w:tc>
          <w:tcPr>
            <w:tcW w:w="1476" w:type="pct"/>
            <w:vMerge w:val="restart"/>
            <w:tcBorders>
              <w:top w:val="single" w:sz="6" w:space="0" w:color="auto"/>
              <w:bottom w:val="single" w:sz="6" w:space="0" w:color="auto"/>
              <w:right w:val="single" w:sz="6" w:space="0" w:color="auto"/>
            </w:tcBorders>
          </w:tcPr>
          <w:p w:rsidR="005D05AE" w:rsidRDefault="005D05AE" w:rsidP="00550738">
            <w:pPr>
              <w:jc w:val="center"/>
              <w:rPr>
                <w:rFonts w:ascii="Times New Roman" w:hAnsi="Times New Roman"/>
                <w:color w:val="000000"/>
                <w:sz w:val="20"/>
                <w:szCs w:val="20"/>
              </w:rPr>
            </w:pPr>
            <w:r>
              <w:rPr>
                <w:rFonts w:ascii="Times New Roman" w:hAnsi="Times New Roman"/>
                <w:color w:val="000000"/>
                <w:sz w:val="20"/>
              </w:rPr>
              <w:t>(300–315) s par</w:t>
            </w:r>
          </w:p>
          <w:p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Tiempo de aceleración (4–6) s</w:t>
            </w:r>
          </w:p>
        </w:tc>
      </w:tr>
      <w:tr w:rsidR="005D05AE" w:rsidRPr="00CE2F4E" w:rsidTr="002148BB">
        <w:trPr>
          <w:cantSplit/>
        </w:trPr>
        <w:tc>
          <w:tcPr>
            <w:tcW w:w="2418" w:type="pct"/>
            <w:tcBorders>
              <w:top w:val="single" w:sz="6" w:space="0" w:color="auto"/>
              <w:left w:val="single" w:sz="6" w:space="0" w:color="auto"/>
              <w:bottom w:val="single" w:sz="6" w:space="0" w:color="auto"/>
            </w:tcBorders>
          </w:tcPr>
          <w:p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Mango de control de la temperatura del grifo termostático</w:t>
            </w:r>
          </w:p>
        </w:tc>
        <w:tc>
          <w:tcPr>
            <w:tcW w:w="1107" w:type="pct"/>
            <w:tcBorders>
              <w:top w:val="single" w:sz="6" w:space="0" w:color="auto"/>
              <w:bottom w:val="single" w:sz="6" w:space="0" w:color="auto"/>
            </w:tcBorders>
          </w:tcPr>
          <w:p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(3+0/-0,15) Nm</w:t>
            </w:r>
          </w:p>
        </w:tc>
        <w:tc>
          <w:tcPr>
            <w:tcW w:w="1476" w:type="pct"/>
            <w:vMerge/>
            <w:tcBorders>
              <w:top w:val="single" w:sz="6" w:space="0" w:color="auto"/>
              <w:bottom w:val="single" w:sz="6" w:space="0" w:color="auto"/>
              <w:right w:val="single" w:sz="6" w:space="0" w:color="auto"/>
            </w:tcBorders>
          </w:tcPr>
          <w:p w:rsidR="005D05AE" w:rsidRPr="00CE2F4E" w:rsidRDefault="005D05AE" w:rsidP="00550738">
            <w:pPr>
              <w:rPr>
                <w:rFonts w:ascii="Times New Roman" w:hAnsi="Times New Roman"/>
                <w:color w:val="000000"/>
                <w:sz w:val="20"/>
                <w:szCs w:val="20"/>
              </w:rPr>
            </w:pPr>
          </w:p>
        </w:tc>
      </w:tr>
    </w:tbl>
    <w:p w:rsidR="002D7E58" w:rsidRDefault="002D7E58" w:rsidP="00550738">
      <w:pPr>
        <w:pStyle w:val="LLPykala"/>
        <w:keepNext/>
        <w:keepLines/>
        <w:spacing w:before="240" w:after="240"/>
      </w:pPr>
      <w:r>
        <w:t>Artículo 16</w:t>
      </w:r>
    </w:p>
    <w:p w:rsidR="006D5BA9" w:rsidRPr="006D5BA9" w:rsidRDefault="007A4CC9" w:rsidP="00550738">
      <w:pPr>
        <w:pStyle w:val="LLPykalanOtsikko"/>
        <w:keepNext/>
        <w:keepLines/>
        <w:spacing w:after="240"/>
        <w:rPr>
          <w:i w:val="0"/>
        </w:rPr>
      </w:pPr>
      <w:r>
        <w:t>Prevención del reflujo</w:t>
      </w:r>
    </w:p>
    <w:p w:rsidR="004E5E93" w:rsidRDefault="00EE2532" w:rsidP="00CC2462">
      <w:pPr>
        <w:pStyle w:val="LLJohtolauseKappaleet"/>
      </w:pPr>
      <w:r>
        <w:t xml:space="preserve">Un laboratorio de ensayo acreditado inspeccionará la protección del sifonaje de retorno de los empalmes de agua. </w:t>
      </w:r>
    </w:p>
    <w:p w:rsidR="002D7E58" w:rsidRDefault="002D7E58" w:rsidP="00550738">
      <w:pPr>
        <w:pStyle w:val="LLPykala"/>
        <w:keepNext/>
        <w:keepLines/>
        <w:spacing w:before="240" w:after="240"/>
      </w:pPr>
      <w:r>
        <w:t>Artículo 17</w:t>
      </w:r>
    </w:p>
    <w:p w:rsidR="006D5BA9" w:rsidRPr="006D5BA9" w:rsidRDefault="006D5BA9" w:rsidP="00550738">
      <w:pPr>
        <w:pStyle w:val="LLPykalanOtsikko"/>
        <w:keepNext/>
        <w:keepLines/>
        <w:spacing w:after="240"/>
        <w:rPr>
          <w:i w:val="0"/>
        </w:rPr>
      </w:pPr>
      <w:r>
        <w:t>Nivel de ruido</w:t>
      </w:r>
    </w:p>
    <w:p w:rsidR="002D7E58" w:rsidRPr="00CC2462" w:rsidRDefault="000752ED" w:rsidP="00CC2462">
      <w:pPr>
        <w:pStyle w:val="LLJohtolauseKappaleet"/>
      </w:pPr>
      <w:r>
        <w:t>Un laboratorio de ensayo acreditado medirá el nivel de ruido de los empalmes de agua. Para medir el nivel de ruido, la unidad sustituible del empalme de agua podrá sustituirse por resistencia al flujo. Este caudal se seleccionará de forma que se corresponda con la unidad sustituida con el fin de cumplir el requisito del caudal conforme al uso previsto de los empalmes de agua.</w:t>
      </w:r>
    </w:p>
    <w:p w:rsidR="008D4D36" w:rsidRDefault="00021660" w:rsidP="00CC2462">
      <w:pPr>
        <w:pStyle w:val="LLJohtolauseKappaleet"/>
      </w:pPr>
      <w:r>
        <w:lastRenderedPageBreak/>
        <w:t>El nivel de ruido de los empalmes de agua y el caudal correspondiente se medirán con una presión de agua de 0,1, 0,3 y 0,5 megapascales. Durante la medición, la presión de 0,3 megapascales que determina el grupo de ruido del empalme de agua se utiliza para encontrar el nivel máximo de ruido del grifo girando el mango accionador. El grupo de nivel de ruido se especificará sobre la base de la medición de tres muestras.</w:t>
      </w:r>
    </w:p>
    <w:p w:rsidR="002D7E58" w:rsidRDefault="002D7E58" w:rsidP="00550738">
      <w:pPr>
        <w:pStyle w:val="LLPykala"/>
        <w:keepNext/>
        <w:keepLines/>
        <w:spacing w:before="240" w:after="240"/>
      </w:pPr>
      <w:r>
        <w:t>Artículo 18</w:t>
      </w:r>
    </w:p>
    <w:p w:rsidR="006D5BA9" w:rsidRPr="006D5BA9" w:rsidRDefault="006D5BA9" w:rsidP="00550738">
      <w:pPr>
        <w:pStyle w:val="LLPykalanOtsikko"/>
        <w:keepNext/>
        <w:keepLines/>
        <w:spacing w:after="240"/>
        <w:rPr>
          <w:i w:val="0"/>
        </w:rPr>
      </w:pPr>
      <w:r>
        <w:t>Marcado</w:t>
      </w:r>
    </w:p>
    <w:p w:rsidR="008D4D36" w:rsidRPr="00CC2462" w:rsidRDefault="00C90E99" w:rsidP="00CC2462">
      <w:pPr>
        <w:pStyle w:val="LLJohtolauseKappaleet"/>
      </w:pPr>
      <w:r>
        <w:t xml:space="preserve">Un laboratorio de ensayo acreditado inspeccionará el marcado de los empalmes de agua. </w:t>
      </w:r>
    </w:p>
    <w:p w:rsidR="002D7E58" w:rsidRDefault="002D7E58" w:rsidP="00550738">
      <w:pPr>
        <w:pStyle w:val="LLPykala"/>
        <w:keepNext/>
        <w:keepLines/>
        <w:spacing w:before="240" w:after="240"/>
      </w:pPr>
      <w:r>
        <w:t>Artículo 19</w:t>
      </w:r>
    </w:p>
    <w:p w:rsidR="006D5BA9" w:rsidRPr="006D5BA9" w:rsidRDefault="006D5BA9" w:rsidP="00550738">
      <w:pPr>
        <w:pStyle w:val="LLPykalanOtsikko"/>
        <w:keepNext/>
        <w:keepLines/>
        <w:spacing w:after="240"/>
        <w:rPr>
          <w:i w:val="0"/>
        </w:rPr>
      </w:pPr>
      <w:r>
        <w:t>Ensayo de tipo</w:t>
      </w:r>
    </w:p>
    <w:p w:rsidR="0008438B" w:rsidRDefault="00CA2483" w:rsidP="00CC2462">
      <w:pPr>
        <w:pStyle w:val="LLJohtolauseKappaleet"/>
      </w:pPr>
      <w:r>
        <w:t>Un laboratorio de ensayo acreditado someterá a ensayo de tipo los empalmes de agua para la homologación de tipo de acuerdo con el alcance del ensayo que se muestra en la tabla 2.1.</w:t>
      </w:r>
    </w:p>
    <w:p w:rsidR="008D4D36" w:rsidRDefault="006D5BA9" w:rsidP="00CC2462">
      <w:pPr>
        <w:pStyle w:val="LLJohtolauseKappaleet"/>
      </w:pPr>
      <w:r>
        <w:t>Para el ensayo de tipo, además de muestras, el fabricante deberá presentar dibujos de productos, incluida la lista de piezas y las especificaciones de la materia prima y de los materiales, así como los certificados y las instrucciones de instalación.</w:t>
      </w:r>
    </w:p>
    <w:p w:rsidR="002D7E58" w:rsidRDefault="00ED6D8C" w:rsidP="00550738">
      <w:pPr>
        <w:pStyle w:val="LLPykala"/>
        <w:keepNext/>
        <w:keepLines/>
        <w:spacing w:before="240" w:after="240"/>
      </w:pPr>
      <w:r>
        <w:t>Artículo 20</w:t>
      </w:r>
    </w:p>
    <w:p w:rsidR="006D5BA9" w:rsidRPr="006D5BA9" w:rsidRDefault="006D5BA9" w:rsidP="00550738">
      <w:pPr>
        <w:pStyle w:val="LLPykalanOtsikko"/>
        <w:keepNext/>
        <w:keepLines/>
        <w:spacing w:after="240"/>
        <w:rPr>
          <w:i w:val="0"/>
        </w:rPr>
      </w:pPr>
      <w:r>
        <w:t>Control de calidad relativo a la homologación de tipo</w:t>
      </w:r>
    </w:p>
    <w:p w:rsidR="007A2E38" w:rsidRPr="002148BB" w:rsidRDefault="00E22470" w:rsidP="00CC2462">
      <w:pPr>
        <w:pStyle w:val="LLJohtolauseKappaleet"/>
      </w:pPr>
      <w:r>
        <w:t>El organismo de certificación para el control de la calidad garantizará que los empalmes de agua cumplan los requisitos para la homologación de tipo y las condiciones establecidas en la decisión de homologación de tipo.</w:t>
      </w:r>
    </w:p>
    <w:p w:rsidR="008D4D36" w:rsidRDefault="006D5BA9" w:rsidP="00CC2462">
      <w:pPr>
        <w:pStyle w:val="LLJohtolauseKappaleet"/>
      </w:pPr>
      <w:r>
        <w:t>Un organismo de certificación de la calidad llevará a cabo la inspección inicial de la planta de fabricación, la vigilancia continua del control interno de la calidad y el ensayo de muestras de productos aleatorias al menos una vez al año, o con mayor frecuencia si el producto no cumple los requisitos de homologación de tipo. El alcance del ensayo de muestras aleatorias se indica en la tabla 2.2 del anexo 2.</w:t>
      </w:r>
    </w:p>
    <w:p w:rsidR="008D4D36" w:rsidRDefault="00DF3012" w:rsidP="00CC2462">
      <w:pPr>
        <w:pStyle w:val="LLJohtolauseKappaleet"/>
      </w:pPr>
      <w:r>
        <w:t>El control de la calidad interno de la producción realizado por el fabricante cubrirá al menos las inspecciones y los ensayos recogidos en la tabla 3.1 del anexo 3.</w:t>
      </w:r>
    </w:p>
    <w:p w:rsidR="006A1A37" w:rsidRDefault="00ED6D8C" w:rsidP="00550738">
      <w:pPr>
        <w:pStyle w:val="LLPykala"/>
        <w:keepNext/>
        <w:keepLines/>
        <w:spacing w:before="240" w:after="240"/>
      </w:pPr>
      <w:r>
        <w:t>Artículo 21</w:t>
      </w:r>
    </w:p>
    <w:p w:rsidR="006A1A37" w:rsidRDefault="006A1A37" w:rsidP="00550738">
      <w:pPr>
        <w:pStyle w:val="LLPykalanOtsikko"/>
        <w:keepNext/>
        <w:keepLines/>
        <w:spacing w:after="240"/>
      </w:pPr>
      <w:r>
        <w:t>Entrada en vigor</w:t>
      </w:r>
    </w:p>
    <w:p w:rsidR="005320F8" w:rsidRDefault="006A1A37" w:rsidP="00550738">
      <w:pPr>
        <w:pStyle w:val="LLKappalejako"/>
      </w:pPr>
      <w:r>
        <w:t>El presente Decreto entrará en vigor el 1 de enero de 2020.</w:t>
      </w:r>
    </w:p>
    <w:p w:rsidR="006A1A37" w:rsidRDefault="006A1A37" w:rsidP="00550738">
      <w:pPr>
        <w:pStyle w:val="LLKappalejako"/>
      </w:pPr>
    </w:p>
    <w:p w:rsidR="006A1A37" w:rsidRDefault="006A1A37" w:rsidP="00550738">
      <w:pPr>
        <w:pStyle w:val="LLNormaali"/>
      </w:pPr>
    </w:p>
    <w:p w:rsidR="008D4D36" w:rsidRDefault="006A1A37" w:rsidP="00550738">
      <w:pPr>
        <w:pStyle w:val="LLPaivays"/>
      </w:pPr>
      <w:r>
        <w:t>En Helsinki, a 11 de abril de 2019.</w:t>
      </w:r>
    </w:p>
    <w:p w:rsidR="006A1A37" w:rsidRDefault="006A1A37" w:rsidP="00550738">
      <w:pPr>
        <w:pStyle w:val="LLPaivays"/>
      </w:pPr>
    </w:p>
    <w:p w:rsidR="006A1A37" w:rsidRDefault="00A37429" w:rsidP="002148BB">
      <w:pPr>
        <w:pStyle w:val="LLMinisterinAllekirjoitus"/>
        <w:keepNext/>
        <w:keepLines/>
      </w:pPr>
      <w:r>
        <w:t>El Ministro de Medio Ambiente, Energía y Vivienda Kimmo Tiilikainen</w:t>
      </w:r>
    </w:p>
    <w:p w:rsidR="008D4D36" w:rsidRPr="008D4D36" w:rsidRDefault="008D4D36" w:rsidP="002148BB">
      <w:pPr>
        <w:pStyle w:val="LLNormaali"/>
        <w:keepNext/>
        <w:keepLines/>
      </w:pPr>
    </w:p>
    <w:p w:rsidR="001E4DE2" w:rsidRDefault="008D4D36" w:rsidP="002148BB">
      <w:pPr>
        <w:pStyle w:val="LLMinisterinAllekirjoitus"/>
      </w:pPr>
      <w:r>
        <w:t>Especialista sénior Tomi Marjamäki</w:t>
      </w:r>
    </w:p>
    <w:p w:rsidR="006D5BA9" w:rsidRPr="006D5BA9" w:rsidRDefault="00A56177" w:rsidP="002148BB">
      <w:pPr>
        <w:keepNext/>
        <w:keepLines/>
        <w:pageBreakBefore/>
        <w:spacing w:before="240" w:after="60"/>
        <w:outlineLvl w:val="0"/>
        <w:rPr>
          <w:rFonts w:ascii="Times New Roman" w:eastAsia="Times New Roman" w:hAnsi="Times New Roman"/>
          <w:bCs/>
          <w:noProof/>
          <w:kern w:val="28"/>
          <w:sz w:val="24"/>
          <w:szCs w:val="24"/>
        </w:rPr>
      </w:pPr>
      <w:r>
        <w:rPr>
          <w:rFonts w:ascii="Times New Roman" w:hAnsi="Times New Roman"/>
          <w:sz w:val="24"/>
        </w:rPr>
        <w:lastRenderedPageBreak/>
        <w:t>Anexo 1</w:t>
      </w:r>
    </w:p>
    <w:p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Disolución de metales pesados: método de ensayo</w:t>
      </w:r>
    </w:p>
    <w:p w:rsidR="006D5BA9" w:rsidRPr="006D5BA9" w:rsidRDefault="00A56177" w:rsidP="002148BB">
      <w:pPr>
        <w:spacing w:after="120"/>
        <w:jc w:val="both"/>
        <w:rPr>
          <w:rFonts w:ascii="Times New Roman" w:eastAsia="Times New Roman" w:hAnsi="Times New Roman"/>
          <w:sz w:val="20"/>
          <w:szCs w:val="20"/>
        </w:rPr>
      </w:pPr>
      <w:r>
        <w:rPr>
          <w:rFonts w:ascii="Times New Roman" w:hAnsi="Times New Roman"/>
          <w:sz w:val="20"/>
        </w:rPr>
        <w:t>Se someterá a ensayo la disolución de metales pesados (cadmio y plomo) de las partes de latón de los empalmes de agua que entran en contacto con el agua. El ensayo se realizará en un empalme de agua no utilizado durante un período de ensayo de 10 días.</w:t>
      </w:r>
    </w:p>
    <w:p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Solución de ensayo</w:t>
      </w:r>
    </w:p>
    <w:p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La solución de ensayo (agua potable sintética) se preparará pesando 50 mg de NaCl, 50 mg de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y 50 mg de CaCO</w:t>
      </w:r>
      <w:r>
        <w:rPr>
          <w:rFonts w:ascii="Times New Roman" w:hAnsi="Times New Roman"/>
          <w:snapToGrid w:val="0"/>
          <w:sz w:val="20"/>
          <w:vertAlign w:val="subscript"/>
        </w:rPr>
        <w:t>3</w:t>
      </w:r>
      <w:r>
        <w:rPr>
          <w:rFonts w:ascii="Times New Roman" w:hAnsi="Times New Roman"/>
          <w:snapToGrid w:val="0"/>
          <w:sz w:val="20"/>
        </w:rPr>
        <w:t xml:space="preserve"> (todos de calidad p.a.) por litro de agua destilada y/o desionizada. La solución se removerá y se añadirán burbujas de CO</w:t>
      </w:r>
      <w:r>
        <w:rPr>
          <w:rFonts w:ascii="Times New Roman" w:hAnsi="Times New Roman"/>
          <w:snapToGrid w:val="0"/>
          <w:sz w:val="20"/>
          <w:vertAlign w:val="subscript"/>
        </w:rPr>
        <w:t>2</w:t>
      </w:r>
      <w:r>
        <w:rPr>
          <w:rFonts w:ascii="Times New Roman" w:hAnsi="Times New Roman"/>
          <w:snapToGrid w:val="0"/>
          <w:sz w:val="20"/>
        </w:rPr>
        <w:t xml:space="preserve"> hasta que todo el CaCO</w:t>
      </w:r>
      <w:r>
        <w:rPr>
          <w:rFonts w:ascii="Times New Roman" w:hAnsi="Times New Roman"/>
          <w:snapToGrid w:val="0"/>
          <w:sz w:val="20"/>
          <w:vertAlign w:val="subscript"/>
        </w:rPr>
        <w:t>3</w:t>
      </w:r>
      <w:r>
        <w:rPr>
          <w:rFonts w:ascii="Times New Roman" w:hAnsi="Times New Roman"/>
          <w:snapToGrid w:val="0"/>
          <w:sz w:val="20"/>
        </w:rPr>
        <w:t xml:space="preserve"> se haya disuelto. Posteriormente, se añadirán burbujas de aire a la solución mientras esta se remueve hasta que el valor del pH haya aumentado a 7,0 ± 0,1. Dado que el CaCO</w:t>
      </w:r>
      <w:r>
        <w:rPr>
          <w:rFonts w:ascii="Times New Roman" w:hAnsi="Times New Roman"/>
          <w:snapToGrid w:val="0"/>
          <w:sz w:val="20"/>
          <w:vertAlign w:val="subscript"/>
        </w:rPr>
        <w:t>3</w:t>
      </w:r>
      <w:r>
        <w:rPr>
          <w:rFonts w:ascii="Times New Roman" w:hAnsi="Times New Roman"/>
          <w:snapToGrid w:val="0"/>
          <w:sz w:val="20"/>
        </w:rPr>
        <w:t xml:space="preserve"> se disuelve muy lentamente, deberá garantizarse que todo el CaCO</w:t>
      </w:r>
      <w:r>
        <w:rPr>
          <w:rFonts w:ascii="Times New Roman" w:hAnsi="Times New Roman"/>
          <w:snapToGrid w:val="0"/>
          <w:sz w:val="20"/>
          <w:vertAlign w:val="superscript"/>
        </w:rPr>
        <w:t>3</w:t>
      </w:r>
      <w:r>
        <w:rPr>
          <w:rFonts w:ascii="Times New Roman" w:hAnsi="Times New Roman"/>
          <w:snapToGrid w:val="0"/>
          <w:sz w:val="20"/>
        </w:rPr>
        <w:t xml:space="preserve"> se ha disuelto antes de añadir las burbujas de aire; de lo contrario, la solución no se estabilizará.</w:t>
      </w:r>
    </w:p>
    <w:p w:rsidR="006D5BA9" w:rsidRPr="006D5BA9" w:rsidRDefault="006D5BA9" w:rsidP="002148BB">
      <w:pPr>
        <w:spacing w:after="120"/>
        <w:jc w:val="both"/>
        <w:rPr>
          <w:rFonts w:ascii="Times New Roman" w:eastAsia="Times New Roman" w:hAnsi="Times New Roman"/>
          <w:snapToGrid w:val="0"/>
          <w:sz w:val="20"/>
          <w:szCs w:val="20"/>
        </w:rPr>
      </w:pPr>
      <w:r>
        <w:rPr>
          <w:rFonts w:ascii="Times New Roman" w:hAnsi="Times New Roman"/>
          <w:snapToGrid w:val="0"/>
          <w:sz w:val="20"/>
        </w:rPr>
        <w:t>La solución de ensayo también podrá prepararse pesando 50 mg de NaCl, 50 mg de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y 37 mg de Ca(OH)</w:t>
      </w:r>
      <w:r>
        <w:rPr>
          <w:rFonts w:ascii="Times New Roman" w:hAnsi="Times New Roman"/>
          <w:snapToGrid w:val="0"/>
          <w:sz w:val="20"/>
          <w:vertAlign w:val="subscript"/>
        </w:rPr>
        <w:t>2</w:t>
      </w:r>
      <w:r>
        <w:rPr>
          <w:rFonts w:ascii="Times New Roman" w:hAnsi="Times New Roman"/>
          <w:snapToGrid w:val="0"/>
          <w:sz w:val="20"/>
        </w:rPr>
        <w:t xml:space="preserve"> (todos de calidad p.a.) por litro de agua destilada y/o desionizada. La solución se removerá hasta que el Ca(OH)</w:t>
      </w:r>
      <w:r>
        <w:rPr>
          <w:rFonts w:ascii="Times New Roman" w:hAnsi="Times New Roman"/>
          <w:snapToGrid w:val="0"/>
          <w:sz w:val="20"/>
          <w:vertAlign w:val="subscript"/>
        </w:rPr>
        <w:t>2</w:t>
      </w:r>
      <w:r>
        <w:rPr>
          <w:rFonts w:ascii="Times New Roman" w:hAnsi="Times New Roman"/>
          <w:snapToGrid w:val="0"/>
          <w:sz w:val="20"/>
        </w:rPr>
        <w:t xml:space="preserve"> casi se haya disuelto y se añadirán burbujas de CO</w:t>
      </w:r>
      <w:r>
        <w:rPr>
          <w:rFonts w:ascii="Times New Roman" w:hAnsi="Times New Roman"/>
          <w:snapToGrid w:val="0"/>
          <w:sz w:val="20"/>
          <w:vertAlign w:val="subscript"/>
        </w:rPr>
        <w:t>2</w:t>
      </w:r>
      <w:r>
        <w:rPr>
          <w:rFonts w:ascii="Times New Roman" w:hAnsi="Times New Roman"/>
          <w:snapToGrid w:val="0"/>
          <w:sz w:val="20"/>
        </w:rPr>
        <w:t xml:space="preserve"> hasta que el valor del pH se encuentre por debajo de 5. Posteriormente, se añadirán burbujas de aire a la solución mientras esta se remueve hasta que el valor del pH haya aumentado a 7,0 ± 0,1. Este método de preparación facilitará la disolución de las sales.</w:t>
      </w:r>
    </w:p>
    <w:p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El agua potable sintética o bien se preparará inmediatamente antes de cada sustitución de agua, o bien deberá garantizarse que la solución es transparente y posee un pH de 7,0 ± 0,1, al menos con respecto a las sustituciones de agua en los días 4, 8 y 9. Se tomará una muestra en blanco de la solución con respecto a las sustituciones de agua en los días 8 y 9.</w:t>
      </w:r>
    </w:p>
    <w:p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Equipo de análisis</w:t>
      </w:r>
    </w:p>
    <w:p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Espectrómetro de absorción atómica equipado con un horno de grafito u otro medidor suficientemente sensible. El límite de detección de la medición será de al menos 0,1 </w:t>
      </w:r>
      <w:r>
        <w:rPr>
          <w:rFonts w:ascii="Times New Roman" w:hAnsi="Times New Roman"/>
          <w:snapToGrid w:val="0"/>
          <w:sz w:val="20"/>
          <w:szCs w:val="20"/>
        </w:rPr>
        <w:sym w:font="Symbol" w:char="F06D"/>
      </w:r>
      <w:r>
        <w:rPr>
          <w:rFonts w:ascii="Times New Roman" w:hAnsi="Times New Roman"/>
          <w:snapToGrid w:val="0"/>
          <w:sz w:val="20"/>
        </w:rPr>
        <w:t xml:space="preserve">g/l para el plomo (Pb) y 0,02 </w:t>
      </w:r>
      <w:r>
        <w:rPr>
          <w:rFonts w:ascii="Times New Roman" w:hAnsi="Times New Roman"/>
          <w:snapToGrid w:val="0"/>
          <w:sz w:val="20"/>
          <w:szCs w:val="20"/>
        </w:rPr>
        <w:sym w:font="Symbol" w:char="F06D"/>
      </w:r>
      <w:r>
        <w:rPr>
          <w:rFonts w:ascii="Times New Roman" w:hAnsi="Times New Roman"/>
          <w:snapToGrid w:val="0"/>
          <w:sz w:val="20"/>
        </w:rPr>
        <w:t>g/l para el cadmio (Cd).</w:t>
      </w:r>
    </w:p>
    <w:p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Método de ensayo</w:t>
      </w:r>
    </w:p>
    <w:p w:rsidR="006D5BA9" w:rsidRPr="00D33680"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A las partes de la muestra que entren en contacto con el agua potable se les limpiará la grasa con etanol puro. A continuación, se dejará caer agua del grifo sobre la muestra durante una hora con el caudal estándar del empalme de agua.</w:t>
      </w:r>
    </w:p>
    <w:p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Los enchufes hechos de polietileno incoloro o con un revestimiento de película de polietileno se utilizarán en los puertos de flujo de la muestra. Los enchufes podrán estar hechos de otros materiales, siempre que no disuelvan el cadmio o el plomo. A continuación, la muestra se enjuagará inmediatamente con agua potable sintética, llenándola hasta la mitad y agitando durante medio minuto aproximadamente, tras lo cual se verterá el agua. Justo después, la muestra se llenará con agua potable sintética para liberar todo el aire que se encuentra dentro, y se bloquearán los puertos de flujo. </w:t>
      </w:r>
    </w:p>
    <w:p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El agua potable sintética se conservará en la muestra durante 1 día, tras lo cual se vaciará, se medirá el volumen de agua y se volverá a llenar la muestra. El agua potable sintética de la muestra se cambiará tras los días 1, 2, 3, 4, 7, 8 y 9. Se comprobará la cantidad de agua vaciada de la muestra para garantizar que se mantiene a un nivel constante (≈10 %).</w:t>
      </w:r>
    </w:p>
    <w:p w:rsidR="006D5BA9" w:rsidRPr="00CC2462" w:rsidRDefault="008A518D" w:rsidP="00550738">
      <w:pPr>
        <w:jc w:val="both"/>
        <w:rPr>
          <w:rFonts w:ascii="Times New Roman" w:eastAsia="Times New Roman" w:hAnsi="Times New Roman"/>
          <w:snapToGrid w:val="0"/>
          <w:sz w:val="20"/>
          <w:szCs w:val="20"/>
        </w:rPr>
      </w:pPr>
      <w:r>
        <w:rPr>
          <w:rFonts w:ascii="Times New Roman" w:hAnsi="Times New Roman"/>
          <w:snapToGrid w:val="0"/>
          <w:sz w:val="20"/>
        </w:rPr>
        <w:t>El cadmio y el plomo se analizará tras los días 8 y 9 a partir de la muestra de agua que se sustituya (período de ensayo días 9 y 10). Las concentraciones medidas menos las concentraciones correspondientes de la muestra en blanco se indicarán en los resultados (</w:t>
      </w:r>
      <w:r>
        <w:rPr>
          <w:rFonts w:ascii="Times New Roman" w:hAnsi="Times New Roman"/>
          <w:snapToGrid w:val="0"/>
          <w:sz w:val="20"/>
          <w:szCs w:val="20"/>
        </w:rPr>
        <w:sym w:font="Symbol" w:char="F06D"/>
      </w:r>
      <w:r>
        <w:rPr>
          <w:rFonts w:ascii="Times New Roman" w:hAnsi="Times New Roman"/>
          <w:snapToGrid w:val="0"/>
          <w:sz w:val="20"/>
        </w:rPr>
        <w:t>g/l). Además, se indicará el contenido total de cadmio y plomo (</w:t>
      </w:r>
      <w:r>
        <w:rPr>
          <w:rFonts w:ascii="Times New Roman" w:hAnsi="Times New Roman"/>
          <w:snapToGrid w:val="0"/>
          <w:sz w:val="20"/>
          <w:szCs w:val="20"/>
        </w:rPr>
        <w:sym w:font="Symbol" w:char="F06D"/>
      </w:r>
      <w:r>
        <w:rPr>
          <w:rFonts w:ascii="Times New Roman" w:hAnsi="Times New Roman"/>
          <w:snapToGrid w:val="0"/>
          <w:sz w:val="20"/>
        </w:rPr>
        <w:t>g) calculado a partir de las concentraciones y el volumen de agua de la muestra, y se indicará el volumen de agua en litros.</w:t>
      </w:r>
    </w:p>
    <w:p w:rsidR="006D5BA9" w:rsidRPr="006D5BA9" w:rsidRDefault="006D5BA9" w:rsidP="002148BB">
      <w:pPr>
        <w:keepNext/>
        <w:keepLines/>
        <w:pageBreakBefore/>
        <w:spacing w:before="240" w:after="60"/>
        <w:outlineLvl w:val="0"/>
        <w:rPr>
          <w:rFonts w:ascii="Times New Roman" w:eastAsia="Times New Roman" w:hAnsi="Times New Roman"/>
          <w:bCs/>
          <w:noProof/>
          <w:kern w:val="28"/>
          <w:sz w:val="24"/>
          <w:szCs w:val="24"/>
        </w:rPr>
      </w:pPr>
      <w:r>
        <w:rPr>
          <w:rFonts w:ascii="Times New Roman" w:hAnsi="Times New Roman"/>
          <w:sz w:val="24"/>
        </w:rPr>
        <w:lastRenderedPageBreak/>
        <w:t>Anexo 2</w:t>
      </w:r>
    </w:p>
    <w:p w:rsidR="006D5BA9" w:rsidRPr="006D5BA9" w:rsidRDefault="00A56177"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Ensayo de la homologación de tipo para empalmes de agua y control externo de la calidad</w:t>
      </w:r>
    </w:p>
    <w:p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p>
    <w:p w:rsidR="006D5BA9" w:rsidRPr="007D6756" w:rsidRDefault="006D5BA9" w:rsidP="002148BB">
      <w:pPr>
        <w:keepNext/>
        <w:keepLines/>
        <w:tabs>
          <w:tab w:val="left" w:pos="1276"/>
        </w:tabs>
        <w:spacing w:after="180"/>
        <w:rPr>
          <w:rFonts w:ascii="Times New Roman" w:eastAsia="Times New Roman" w:hAnsi="Times New Roman"/>
          <w:szCs w:val="24"/>
        </w:rPr>
      </w:pPr>
      <w:r>
        <w:rPr>
          <w:rFonts w:ascii="Times New Roman" w:hAnsi="Times New Roman"/>
        </w:rPr>
        <w:t>Tabla 2.1: Propiedades que deben someterse a ensayo en los ensayos de la homologación de tipo de los empalmes de agua y alcance del ensayo.</w:t>
      </w:r>
    </w:p>
    <w:tbl>
      <w:tblPr>
        <w:tblW w:w="7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3799"/>
        <w:gridCol w:w="3402"/>
      </w:tblGrid>
      <w:tr w:rsidR="00C13C32" w:rsidRPr="00C13C32" w:rsidTr="002148BB">
        <w:trPr>
          <w:cantSplit/>
          <w:trHeight w:val="253"/>
        </w:trPr>
        <w:tc>
          <w:tcPr>
            <w:tcW w:w="3799" w:type="dxa"/>
            <w:vMerge w:val="restart"/>
          </w:tcPr>
          <w:p w:rsidR="00C13C32" w:rsidRPr="00C13C32" w:rsidRDefault="00C13C32" w:rsidP="002148BB">
            <w:pPr>
              <w:keepNext/>
              <w:keepLines/>
              <w:rPr>
                <w:rFonts w:ascii="Times New Roman" w:hAnsi="Times New Roman"/>
                <w:b/>
              </w:rPr>
            </w:pPr>
            <w:r>
              <w:rPr>
                <w:rFonts w:ascii="Times New Roman" w:hAnsi="Times New Roman"/>
                <w:b/>
              </w:rPr>
              <w:t>Propiedad sometida a ensayo</w:t>
            </w:r>
          </w:p>
        </w:tc>
        <w:tc>
          <w:tcPr>
            <w:tcW w:w="3402" w:type="dxa"/>
            <w:vMerge w:val="restart"/>
          </w:tcPr>
          <w:p w:rsidR="00C13C32" w:rsidRPr="00C13C32" w:rsidRDefault="00C13C32" w:rsidP="002148BB">
            <w:pPr>
              <w:keepNext/>
              <w:keepLines/>
              <w:jc w:val="center"/>
              <w:rPr>
                <w:rFonts w:ascii="Times New Roman" w:hAnsi="Times New Roman"/>
                <w:b/>
              </w:rPr>
            </w:pPr>
            <w:r>
              <w:rPr>
                <w:rFonts w:ascii="Times New Roman" w:hAnsi="Times New Roman"/>
                <w:b/>
              </w:rPr>
              <w:t>Alcance del ensayo</w:t>
            </w:r>
          </w:p>
          <w:p w:rsidR="00C13C32" w:rsidRPr="00C13C32" w:rsidRDefault="00C13C32" w:rsidP="002148BB">
            <w:pPr>
              <w:keepNext/>
              <w:keepLines/>
              <w:jc w:val="center"/>
              <w:rPr>
                <w:rFonts w:ascii="Times New Roman" w:hAnsi="Times New Roman"/>
                <w:b/>
              </w:rPr>
            </w:pPr>
            <w:r>
              <w:rPr>
                <w:rFonts w:ascii="Times New Roman" w:hAnsi="Times New Roman"/>
                <w:b/>
              </w:rPr>
              <w:t>Unidad/producto</w:t>
            </w:r>
          </w:p>
        </w:tc>
      </w:tr>
      <w:tr w:rsidR="00C13C32" w:rsidRPr="00C13C32" w:rsidTr="002148BB">
        <w:trPr>
          <w:cantSplit/>
          <w:trHeight w:val="253"/>
        </w:trPr>
        <w:tc>
          <w:tcPr>
            <w:tcW w:w="3799" w:type="dxa"/>
            <w:vMerge/>
          </w:tcPr>
          <w:p w:rsidR="00C13C32" w:rsidRPr="00C13C32" w:rsidRDefault="00C13C32" w:rsidP="002148BB">
            <w:pPr>
              <w:rPr>
                <w:rFonts w:ascii="Times New Roman" w:hAnsi="Times New Roman"/>
                <w:b/>
              </w:rPr>
            </w:pPr>
          </w:p>
        </w:tc>
        <w:tc>
          <w:tcPr>
            <w:tcW w:w="3402" w:type="dxa"/>
            <w:vMerge/>
          </w:tcPr>
          <w:p w:rsidR="00C13C32" w:rsidRPr="00C13C32" w:rsidRDefault="00C13C32" w:rsidP="002148BB">
            <w:pPr>
              <w:jc w:val="center"/>
              <w:rPr>
                <w:rFonts w:ascii="Times New Roman" w:hAnsi="Times New Roman"/>
                <w:b/>
              </w:rPr>
            </w:pPr>
          </w:p>
        </w:tc>
      </w:tr>
      <w:tr w:rsidR="00C13C32" w:rsidRPr="00C13C32" w:rsidTr="002148BB">
        <w:trPr>
          <w:cantSplit/>
        </w:trPr>
        <w:tc>
          <w:tcPr>
            <w:tcW w:w="3799" w:type="dxa"/>
          </w:tcPr>
          <w:p w:rsidR="00C13C32" w:rsidRPr="00C13C32" w:rsidRDefault="00C13C32" w:rsidP="002148BB">
            <w:pPr>
              <w:rPr>
                <w:rFonts w:ascii="Times New Roman" w:hAnsi="Times New Roman"/>
              </w:rPr>
            </w:pPr>
            <w:r>
              <w:rPr>
                <w:rFonts w:ascii="Times New Roman" w:hAnsi="Times New Roman"/>
              </w:rPr>
              <w:t>Materiales, propiedades</w:t>
            </w:r>
          </w:p>
          <w:p w:rsidR="00C13C32" w:rsidRPr="00C13C32" w:rsidRDefault="00C13C32" w:rsidP="002148BB">
            <w:pPr>
              <w:rPr>
                <w:rFonts w:ascii="Times New Roman" w:hAnsi="Times New Roman"/>
              </w:rPr>
            </w:pPr>
            <w:r>
              <w:rPr>
                <w:rFonts w:ascii="Times New Roman" w:hAnsi="Times New Roman"/>
              </w:rPr>
              <w:t>Disolución de metales pesados</w:t>
            </w:r>
          </w:p>
        </w:tc>
        <w:tc>
          <w:tcPr>
            <w:tcW w:w="3402" w:type="dxa"/>
            <w:tcBorders>
              <w:bottom w:val="single" w:sz="4" w:space="0" w:color="auto"/>
            </w:tcBorders>
          </w:tcPr>
          <w:p w:rsidR="00C13C32" w:rsidRPr="00C13C32" w:rsidRDefault="00C13C32" w:rsidP="002148BB">
            <w:pPr>
              <w:jc w:val="center"/>
              <w:rPr>
                <w:rFonts w:ascii="Times New Roman" w:hAnsi="Times New Roman"/>
              </w:rPr>
            </w:pPr>
          </w:p>
          <w:p w:rsidR="00C13C32" w:rsidRPr="00C13C32" w:rsidRDefault="00C13C32" w:rsidP="002148BB">
            <w:pPr>
              <w:jc w:val="center"/>
              <w:rPr>
                <w:rFonts w:ascii="Times New Roman" w:hAnsi="Times New Roman"/>
                <w:spacing w:val="-4"/>
              </w:rPr>
            </w:pPr>
            <w:r>
              <w:rPr>
                <w:rFonts w:ascii="Times New Roman" w:hAnsi="Times New Roman"/>
              </w:rPr>
              <w:t>Una vez/materia prima/tipo de grifo</w:t>
            </w:r>
          </w:p>
        </w:tc>
      </w:tr>
      <w:tr w:rsidR="00C13C32" w:rsidRPr="00C13C32" w:rsidTr="002148BB">
        <w:trPr>
          <w:cantSplit/>
        </w:trPr>
        <w:tc>
          <w:tcPr>
            <w:tcW w:w="3799" w:type="dxa"/>
          </w:tcPr>
          <w:p w:rsidR="00C13C32" w:rsidRPr="00C13C32" w:rsidRDefault="00C13C32" w:rsidP="002148BB">
            <w:pPr>
              <w:rPr>
                <w:rFonts w:ascii="Times New Roman" w:hAnsi="Times New Roman"/>
              </w:rPr>
            </w:pPr>
            <w:r>
              <w:rPr>
                <w:rFonts w:ascii="Times New Roman" w:hAnsi="Times New Roman"/>
              </w:rPr>
              <w:t>Dimensiones</w:t>
            </w:r>
          </w:p>
        </w:tc>
        <w:tc>
          <w:tcPr>
            <w:tcW w:w="3402" w:type="dxa"/>
          </w:tcPr>
          <w:p w:rsidR="00C13C32" w:rsidRPr="00C13C32" w:rsidRDefault="00C13C32" w:rsidP="002148BB">
            <w:pPr>
              <w:jc w:val="center"/>
              <w:rPr>
                <w:rFonts w:ascii="Times New Roman" w:hAnsi="Times New Roman"/>
              </w:rPr>
            </w:pPr>
            <w:r>
              <w:rPr>
                <w:rFonts w:ascii="Times New Roman" w:hAnsi="Times New Roman"/>
              </w:rPr>
              <w:t>1</w:t>
            </w:r>
          </w:p>
        </w:tc>
      </w:tr>
      <w:tr w:rsidR="00C13C32" w:rsidRPr="00C13C32" w:rsidTr="002148BB">
        <w:trPr>
          <w:cantSplit/>
        </w:trPr>
        <w:tc>
          <w:tcPr>
            <w:tcW w:w="3799" w:type="dxa"/>
          </w:tcPr>
          <w:p w:rsidR="00C13C32" w:rsidRPr="00C13C32" w:rsidRDefault="00C13C32" w:rsidP="002148BB">
            <w:pPr>
              <w:rPr>
                <w:rFonts w:ascii="Times New Roman" w:hAnsi="Times New Roman"/>
              </w:rPr>
            </w:pPr>
            <w:r>
              <w:rPr>
                <w:rFonts w:ascii="Times New Roman" w:hAnsi="Times New Roman"/>
              </w:rPr>
              <w:t>Estanqueidad</w:t>
            </w:r>
          </w:p>
        </w:tc>
        <w:tc>
          <w:tcPr>
            <w:tcW w:w="3402" w:type="dxa"/>
          </w:tcPr>
          <w:p w:rsidR="00C13C32" w:rsidRPr="00C13C32" w:rsidRDefault="00C13C32" w:rsidP="002148BB">
            <w:pPr>
              <w:jc w:val="center"/>
              <w:rPr>
                <w:rFonts w:ascii="Times New Roman" w:hAnsi="Times New Roman"/>
              </w:rPr>
            </w:pPr>
            <w:r>
              <w:rPr>
                <w:rFonts w:ascii="Times New Roman" w:hAnsi="Times New Roman"/>
              </w:rPr>
              <w:t>1</w:t>
            </w:r>
          </w:p>
        </w:tc>
      </w:tr>
      <w:tr w:rsidR="00C13C32" w:rsidRPr="00C13C32" w:rsidTr="002148BB">
        <w:trPr>
          <w:cantSplit/>
        </w:trPr>
        <w:tc>
          <w:tcPr>
            <w:tcW w:w="3799" w:type="dxa"/>
          </w:tcPr>
          <w:p w:rsidR="00C13C32" w:rsidRPr="00C13C32" w:rsidRDefault="00C13C32" w:rsidP="002148BB">
            <w:pPr>
              <w:rPr>
                <w:rFonts w:ascii="Times New Roman" w:hAnsi="Times New Roman"/>
              </w:rPr>
            </w:pPr>
            <w:r>
              <w:rPr>
                <w:rFonts w:ascii="Times New Roman" w:hAnsi="Times New Roman"/>
              </w:rPr>
              <w:t>Resistencia a la presión</w:t>
            </w:r>
          </w:p>
        </w:tc>
        <w:tc>
          <w:tcPr>
            <w:tcW w:w="3402" w:type="dxa"/>
          </w:tcPr>
          <w:p w:rsidR="00C13C32" w:rsidRPr="00C13C32" w:rsidRDefault="00C13C32" w:rsidP="002148BB">
            <w:pPr>
              <w:jc w:val="center"/>
              <w:rPr>
                <w:rFonts w:ascii="Times New Roman" w:hAnsi="Times New Roman"/>
              </w:rPr>
            </w:pPr>
            <w:r>
              <w:rPr>
                <w:rFonts w:ascii="Times New Roman" w:hAnsi="Times New Roman"/>
              </w:rPr>
              <w:t>1</w:t>
            </w:r>
          </w:p>
        </w:tc>
      </w:tr>
      <w:tr w:rsidR="00C13C32" w:rsidRPr="00C13C32" w:rsidTr="002148BB">
        <w:trPr>
          <w:cantSplit/>
        </w:trPr>
        <w:tc>
          <w:tcPr>
            <w:tcW w:w="3799" w:type="dxa"/>
          </w:tcPr>
          <w:p w:rsidR="00C13C32" w:rsidRPr="00C13C32" w:rsidRDefault="00C13C32" w:rsidP="002148BB">
            <w:pPr>
              <w:rPr>
                <w:rFonts w:ascii="Times New Roman" w:hAnsi="Times New Roman"/>
              </w:rPr>
            </w:pPr>
            <w:r>
              <w:rPr>
                <w:rFonts w:ascii="Times New Roman" w:hAnsi="Times New Roman"/>
              </w:rPr>
              <w:t>Características técnicas del flujo</w:t>
            </w:r>
          </w:p>
        </w:tc>
        <w:tc>
          <w:tcPr>
            <w:tcW w:w="3402" w:type="dxa"/>
          </w:tcPr>
          <w:p w:rsidR="00C13C32" w:rsidRPr="00C13C32" w:rsidRDefault="00C13C32" w:rsidP="002148BB">
            <w:pPr>
              <w:jc w:val="center"/>
              <w:rPr>
                <w:rFonts w:ascii="Times New Roman" w:hAnsi="Times New Roman"/>
              </w:rPr>
            </w:pPr>
            <w:r>
              <w:rPr>
                <w:rFonts w:ascii="Times New Roman" w:hAnsi="Times New Roman"/>
              </w:rPr>
              <w:t>1</w:t>
            </w:r>
          </w:p>
        </w:tc>
      </w:tr>
      <w:tr w:rsidR="00C13C32" w:rsidRPr="00C13C32" w:rsidTr="002148BB">
        <w:trPr>
          <w:cantSplit/>
        </w:trPr>
        <w:tc>
          <w:tcPr>
            <w:tcW w:w="3799" w:type="dxa"/>
          </w:tcPr>
          <w:p w:rsidR="00C13C32" w:rsidRPr="00C13C32" w:rsidRDefault="00C13C32" w:rsidP="002148BB">
            <w:pPr>
              <w:rPr>
                <w:rFonts w:ascii="Times New Roman" w:hAnsi="Times New Roman"/>
              </w:rPr>
            </w:pPr>
            <w:r>
              <w:rPr>
                <w:rFonts w:ascii="Times New Roman" w:hAnsi="Times New Roman"/>
              </w:rPr>
              <w:t>Resistencia a la torsión de los mangos accionadores</w:t>
            </w:r>
          </w:p>
        </w:tc>
        <w:tc>
          <w:tcPr>
            <w:tcW w:w="3402" w:type="dxa"/>
          </w:tcPr>
          <w:p w:rsidR="00C13C32" w:rsidRPr="00C13C32" w:rsidRDefault="00C13C32" w:rsidP="002148BB">
            <w:pPr>
              <w:jc w:val="center"/>
              <w:rPr>
                <w:rFonts w:ascii="Times New Roman" w:hAnsi="Times New Roman"/>
              </w:rPr>
            </w:pPr>
            <w:r>
              <w:rPr>
                <w:rFonts w:ascii="Times New Roman" w:hAnsi="Times New Roman"/>
              </w:rPr>
              <w:t>1</w:t>
            </w:r>
          </w:p>
        </w:tc>
      </w:tr>
      <w:tr w:rsidR="00C13C32" w:rsidRPr="00C13C32" w:rsidTr="002148BB">
        <w:trPr>
          <w:cantSplit/>
        </w:trPr>
        <w:tc>
          <w:tcPr>
            <w:tcW w:w="3799" w:type="dxa"/>
          </w:tcPr>
          <w:p w:rsidR="00C13C32" w:rsidRPr="00C13C32" w:rsidRDefault="00C13C32" w:rsidP="002148BB">
            <w:pPr>
              <w:rPr>
                <w:rFonts w:ascii="Times New Roman" w:hAnsi="Times New Roman"/>
              </w:rPr>
            </w:pPr>
            <w:r>
              <w:rPr>
                <w:rFonts w:ascii="Times New Roman" w:hAnsi="Times New Roman"/>
              </w:rPr>
              <w:t>Resistencia a la abrasión</w:t>
            </w:r>
          </w:p>
        </w:tc>
        <w:tc>
          <w:tcPr>
            <w:tcW w:w="3402" w:type="dxa"/>
          </w:tcPr>
          <w:p w:rsidR="00C13C32" w:rsidRPr="00C13C32" w:rsidRDefault="00C13C32" w:rsidP="002148BB">
            <w:pPr>
              <w:jc w:val="center"/>
              <w:rPr>
                <w:rFonts w:ascii="Times New Roman" w:hAnsi="Times New Roman"/>
              </w:rPr>
            </w:pPr>
            <w:r>
              <w:rPr>
                <w:rFonts w:ascii="Times New Roman" w:hAnsi="Times New Roman"/>
              </w:rPr>
              <w:t>1</w:t>
            </w:r>
          </w:p>
        </w:tc>
      </w:tr>
      <w:tr w:rsidR="00C13C32" w:rsidRPr="00C13C32" w:rsidTr="002148BB">
        <w:trPr>
          <w:cantSplit/>
        </w:trPr>
        <w:tc>
          <w:tcPr>
            <w:tcW w:w="3799" w:type="dxa"/>
          </w:tcPr>
          <w:p w:rsidR="00C13C32" w:rsidRPr="00C13C32" w:rsidRDefault="00C13C32" w:rsidP="002148BB">
            <w:pPr>
              <w:rPr>
                <w:rFonts w:ascii="Times New Roman" w:hAnsi="Times New Roman"/>
              </w:rPr>
            </w:pPr>
            <w:r>
              <w:rPr>
                <w:rFonts w:ascii="Times New Roman" w:hAnsi="Times New Roman"/>
              </w:rPr>
              <w:t>Acústica</w:t>
            </w:r>
          </w:p>
        </w:tc>
        <w:tc>
          <w:tcPr>
            <w:tcW w:w="3402" w:type="dxa"/>
          </w:tcPr>
          <w:p w:rsidR="00C13C32" w:rsidRPr="00C13C32" w:rsidRDefault="00C13C32" w:rsidP="002148BB">
            <w:pPr>
              <w:jc w:val="center"/>
              <w:rPr>
                <w:rFonts w:ascii="Times New Roman" w:hAnsi="Times New Roman"/>
              </w:rPr>
            </w:pPr>
            <w:r>
              <w:rPr>
                <w:rFonts w:ascii="Times New Roman" w:hAnsi="Times New Roman"/>
              </w:rPr>
              <w:t>3</w:t>
            </w:r>
          </w:p>
        </w:tc>
      </w:tr>
    </w:tbl>
    <w:p w:rsidR="00C13C32" w:rsidRDefault="00C13C32" w:rsidP="00550738">
      <w:pPr>
        <w:rPr>
          <w:rFonts w:ascii="Times New Roman" w:hAnsi="Times New Roman"/>
          <w:i/>
        </w:rPr>
      </w:pPr>
    </w:p>
    <w:p w:rsidR="00442B19" w:rsidRPr="00C13C32" w:rsidRDefault="00442B19" w:rsidP="00550738">
      <w:pPr>
        <w:rPr>
          <w:rFonts w:ascii="Times New Roman" w:hAnsi="Times New Roman"/>
          <w:i/>
        </w:rPr>
      </w:pPr>
    </w:p>
    <w:p w:rsidR="00C13C32" w:rsidRPr="007D6756" w:rsidRDefault="00C13C32" w:rsidP="002148BB">
      <w:pPr>
        <w:keepNext/>
        <w:keepLines/>
        <w:tabs>
          <w:tab w:val="left" w:pos="1276"/>
        </w:tabs>
        <w:spacing w:after="180"/>
        <w:rPr>
          <w:rFonts w:ascii="Times New Roman" w:eastAsia="Times New Roman" w:hAnsi="Times New Roman"/>
          <w:szCs w:val="24"/>
        </w:rPr>
      </w:pPr>
      <w:r>
        <w:rPr>
          <w:rFonts w:ascii="Times New Roman" w:hAnsi="Times New Roman"/>
        </w:rPr>
        <w:t>Tabla 2.2: Ensayos e inspecciones del control de la calidad externo y alcance mínimo para los empalmes de agua.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3515"/>
        <w:gridCol w:w="3261"/>
      </w:tblGrid>
      <w:tr w:rsidR="00C13C32" w:rsidTr="002148BB">
        <w:trPr>
          <w:cantSplit/>
        </w:trPr>
        <w:tc>
          <w:tcPr>
            <w:tcW w:w="3515" w:type="dxa"/>
          </w:tcPr>
          <w:p w:rsidR="00C13C32" w:rsidRDefault="00C13C32" w:rsidP="002148BB">
            <w:pPr>
              <w:keepNext/>
              <w:keepLines/>
              <w:rPr>
                <w:rFonts w:ascii="Times New Roman" w:hAnsi="Times New Roman"/>
                <w:b/>
              </w:rPr>
            </w:pPr>
            <w:r>
              <w:rPr>
                <w:rFonts w:ascii="Times New Roman" w:hAnsi="Times New Roman"/>
                <w:b/>
              </w:rPr>
              <w:t>Ensayo</w:t>
            </w:r>
          </w:p>
        </w:tc>
        <w:tc>
          <w:tcPr>
            <w:tcW w:w="3261" w:type="dxa"/>
          </w:tcPr>
          <w:p w:rsidR="00C13C32" w:rsidRDefault="00C13C32" w:rsidP="002148BB">
            <w:pPr>
              <w:keepNext/>
              <w:keepLines/>
              <w:jc w:val="center"/>
              <w:rPr>
                <w:rFonts w:ascii="Times New Roman" w:hAnsi="Times New Roman"/>
                <w:b/>
              </w:rPr>
            </w:pPr>
            <w:r>
              <w:rPr>
                <w:rFonts w:ascii="Times New Roman" w:hAnsi="Times New Roman"/>
                <w:b/>
              </w:rPr>
              <w:t>Alcance del ensayo</w:t>
            </w:r>
          </w:p>
        </w:tc>
      </w:tr>
      <w:tr w:rsidR="00C13C32" w:rsidTr="002148BB">
        <w:trPr>
          <w:cantSplit/>
        </w:trPr>
        <w:tc>
          <w:tcPr>
            <w:tcW w:w="3515" w:type="dxa"/>
          </w:tcPr>
          <w:p w:rsidR="00C13C32" w:rsidRDefault="00C13C32" w:rsidP="00550738">
            <w:pPr>
              <w:rPr>
                <w:rFonts w:ascii="Times New Roman" w:hAnsi="Times New Roman"/>
              </w:rPr>
            </w:pPr>
            <w:r>
              <w:rPr>
                <w:rFonts w:ascii="Times New Roman" w:hAnsi="Times New Roman"/>
              </w:rPr>
              <w:t>Inspección visual</w:t>
            </w:r>
          </w:p>
        </w:tc>
        <w:tc>
          <w:tcPr>
            <w:tcW w:w="3261" w:type="dxa"/>
          </w:tcPr>
          <w:p w:rsidR="00C13C32" w:rsidRDefault="00C13C32" w:rsidP="00550738">
            <w:pPr>
              <w:jc w:val="center"/>
              <w:rPr>
                <w:rFonts w:ascii="Times New Roman" w:hAnsi="Times New Roman"/>
              </w:rPr>
            </w:pPr>
            <w:r>
              <w:rPr>
                <w:rFonts w:ascii="Times New Roman" w:hAnsi="Times New Roman"/>
              </w:rPr>
              <w:t>Una vez/producto</w:t>
            </w:r>
          </w:p>
        </w:tc>
      </w:tr>
      <w:tr w:rsidR="00C13C32" w:rsidTr="002148BB">
        <w:trPr>
          <w:cantSplit/>
        </w:trPr>
        <w:tc>
          <w:tcPr>
            <w:tcW w:w="3515" w:type="dxa"/>
          </w:tcPr>
          <w:p w:rsidR="00C13C32" w:rsidRDefault="00C13C32" w:rsidP="00550738">
            <w:pPr>
              <w:rPr>
                <w:rFonts w:ascii="Times New Roman" w:hAnsi="Times New Roman"/>
              </w:rPr>
            </w:pPr>
            <w:r>
              <w:rPr>
                <w:rFonts w:ascii="Times New Roman" w:hAnsi="Times New Roman"/>
              </w:rPr>
              <w:t>Estanqueidad</w:t>
            </w:r>
          </w:p>
        </w:tc>
        <w:tc>
          <w:tcPr>
            <w:tcW w:w="3261" w:type="dxa"/>
          </w:tcPr>
          <w:p w:rsidR="00C13C32" w:rsidRDefault="00C13C32" w:rsidP="00550738">
            <w:pPr>
              <w:jc w:val="center"/>
              <w:rPr>
                <w:rFonts w:ascii="Times New Roman" w:hAnsi="Times New Roman"/>
              </w:rPr>
            </w:pPr>
            <w:r>
              <w:rPr>
                <w:rFonts w:ascii="Times New Roman" w:hAnsi="Times New Roman"/>
              </w:rPr>
              <w:t xml:space="preserve">Una vez/año/gama de productos </w:t>
            </w:r>
          </w:p>
        </w:tc>
      </w:tr>
      <w:tr w:rsidR="00C13C32" w:rsidTr="002148BB">
        <w:trPr>
          <w:cantSplit/>
        </w:trPr>
        <w:tc>
          <w:tcPr>
            <w:tcW w:w="3515" w:type="dxa"/>
          </w:tcPr>
          <w:p w:rsidR="00C13C32" w:rsidRDefault="00C13C32" w:rsidP="00550738">
            <w:pPr>
              <w:rPr>
                <w:rFonts w:ascii="Times New Roman" w:hAnsi="Times New Roman"/>
              </w:rPr>
            </w:pPr>
            <w:r>
              <w:rPr>
                <w:rFonts w:ascii="Times New Roman" w:hAnsi="Times New Roman"/>
              </w:rPr>
              <w:t>Resistencia a la presión</w:t>
            </w:r>
          </w:p>
        </w:tc>
        <w:tc>
          <w:tcPr>
            <w:tcW w:w="3261" w:type="dxa"/>
          </w:tcPr>
          <w:p w:rsidR="00C13C32" w:rsidRDefault="00C13C32" w:rsidP="00550738">
            <w:pPr>
              <w:jc w:val="center"/>
              <w:rPr>
                <w:rFonts w:ascii="Times New Roman" w:hAnsi="Times New Roman"/>
              </w:rPr>
            </w:pPr>
            <w:r>
              <w:rPr>
                <w:rFonts w:ascii="Times New Roman" w:hAnsi="Times New Roman"/>
              </w:rPr>
              <w:t>Una vez/año/gama de productos</w:t>
            </w:r>
          </w:p>
        </w:tc>
      </w:tr>
      <w:tr w:rsidR="00C13C32" w:rsidTr="002148BB">
        <w:trPr>
          <w:cantSplit/>
        </w:trPr>
        <w:tc>
          <w:tcPr>
            <w:tcW w:w="3515" w:type="dxa"/>
          </w:tcPr>
          <w:p w:rsidR="00C13C32" w:rsidRDefault="00C13C32" w:rsidP="00550738">
            <w:pPr>
              <w:rPr>
                <w:rFonts w:ascii="Times New Roman" w:hAnsi="Times New Roman"/>
              </w:rPr>
            </w:pPr>
            <w:r>
              <w:rPr>
                <w:rFonts w:ascii="Times New Roman" w:hAnsi="Times New Roman"/>
              </w:rPr>
              <w:t>Acústica</w:t>
            </w:r>
          </w:p>
        </w:tc>
        <w:tc>
          <w:tcPr>
            <w:tcW w:w="3261" w:type="dxa"/>
          </w:tcPr>
          <w:p w:rsidR="00C13C32" w:rsidRDefault="00C13C32" w:rsidP="00550738">
            <w:pPr>
              <w:jc w:val="center"/>
              <w:rPr>
                <w:rFonts w:ascii="Times New Roman" w:hAnsi="Times New Roman"/>
              </w:rPr>
            </w:pPr>
            <w:r>
              <w:rPr>
                <w:rFonts w:ascii="Times New Roman" w:hAnsi="Times New Roman"/>
              </w:rPr>
              <w:t>Una vez/año</w:t>
            </w:r>
          </w:p>
        </w:tc>
      </w:tr>
    </w:tbl>
    <w:p w:rsidR="00DF3012" w:rsidRDefault="00DF3012" w:rsidP="002148BB">
      <w:pPr>
        <w:pStyle w:val="LLNormaali"/>
        <w:pageBreakBefore/>
      </w:pPr>
      <w:r>
        <w:lastRenderedPageBreak/>
        <w:t>Anexo 3</w:t>
      </w:r>
    </w:p>
    <w:p w:rsidR="00DF3012" w:rsidRPr="002148BB" w:rsidRDefault="00DF3012"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Ensayos del control de calidad interno del fabricante</w:t>
      </w:r>
    </w:p>
    <w:p w:rsidR="00D853B5" w:rsidRPr="002148BB" w:rsidRDefault="00D853B5" w:rsidP="002148BB">
      <w:pPr>
        <w:keepNext/>
        <w:keepLines/>
        <w:spacing w:before="240" w:after="60"/>
        <w:outlineLvl w:val="0"/>
        <w:rPr>
          <w:rFonts w:ascii="Times New Roman" w:eastAsia="Times New Roman" w:hAnsi="Times New Roman"/>
          <w:b/>
          <w:bCs/>
          <w:noProof/>
          <w:kern w:val="28"/>
          <w:sz w:val="24"/>
          <w:szCs w:val="24"/>
        </w:rPr>
      </w:pPr>
    </w:p>
    <w:p w:rsidR="00DF3012" w:rsidRPr="007D6756" w:rsidRDefault="00DF3012" w:rsidP="002148BB">
      <w:pPr>
        <w:pStyle w:val="LLNormaali"/>
        <w:keepNext/>
        <w:keepLines/>
      </w:pPr>
      <w:r>
        <w:t>Tabla 3.1: Ensayos e inspecciones del control de la calidad interno y alcance mínimo para los empalmes de agua.</w:t>
      </w:r>
    </w:p>
    <w:p w:rsidR="00DF3012" w:rsidRPr="00DF3012" w:rsidRDefault="00DF3012" w:rsidP="002148BB">
      <w:pPr>
        <w:pStyle w:val="LLNormaali"/>
        <w:keepNext/>
        <w:keepLines/>
      </w:pPr>
    </w:p>
    <w:tbl>
      <w:tblPr>
        <w:tblStyle w:val="Tablaconcuadrcula"/>
        <w:tblW w:w="5000" w:type="pct"/>
        <w:tblCellMar>
          <w:left w:w="57" w:type="dxa"/>
          <w:right w:w="57" w:type="dxa"/>
        </w:tblCellMar>
        <w:tblLook w:val="04A0"/>
      </w:tblPr>
      <w:tblGrid>
        <w:gridCol w:w="4218"/>
        <w:gridCol w:w="4242"/>
      </w:tblGrid>
      <w:tr w:rsidR="00DF3012" w:rsidRPr="00DF3012" w:rsidTr="002148BB">
        <w:trPr>
          <w:cantSplit/>
        </w:trPr>
        <w:tc>
          <w:tcPr>
            <w:tcW w:w="2493" w:type="pct"/>
          </w:tcPr>
          <w:p w:rsidR="00DF3012" w:rsidRPr="00DF3012" w:rsidRDefault="00DF3012" w:rsidP="002148BB">
            <w:pPr>
              <w:pStyle w:val="LLNormaali"/>
              <w:rPr>
                <w:b/>
              </w:rPr>
            </w:pPr>
            <w:r>
              <w:rPr>
                <w:b/>
              </w:rPr>
              <w:t>Ensayo</w:t>
            </w:r>
          </w:p>
        </w:tc>
        <w:tc>
          <w:tcPr>
            <w:tcW w:w="2507" w:type="pct"/>
          </w:tcPr>
          <w:p w:rsidR="00DF3012" w:rsidRPr="00DF3012" w:rsidRDefault="00DF3012" w:rsidP="002148BB">
            <w:pPr>
              <w:pStyle w:val="LLNormaali"/>
              <w:rPr>
                <w:b/>
              </w:rPr>
            </w:pPr>
            <w:r>
              <w:rPr>
                <w:b/>
              </w:rPr>
              <w:t>Alcance del ensayo</w:t>
            </w:r>
          </w:p>
        </w:tc>
      </w:tr>
      <w:tr w:rsidR="00DF3012" w:rsidRPr="00DF3012" w:rsidTr="002148BB">
        <w:trPr>
          <w:cantSplit/>
        </w:trPr>
        <w:tc>
          <w:tcPr>
            <w:tcW w:w="2493" w:type="pct"/>
          </w:tcPr>
          <w:p w:rsidR="00DF3012" w:rsidRPr="00DF3012" w:rsidRDefault="00DF3012" w:rsidP="002148BB">
            <w:pPr>
              <w:pStyle w:val="LLNormaali"/>
            </w:pPr>
            <w:r>
              <w:t>Inspección de aceptación de materiales: materias primas, juntas, otros componentes</w:t>
            </w:r>
          </w:p>
        </w:tc>
        <w:tc>
          <w:tcPr>
            <w:tcW w:w="2507" w:type="pct"/>
          </w:tcPr>
          <w:p w:rsidR="00DF3012" w:rsidRPr="00DF3012" w:rsidRDefault="00DF3012" w:rsidP="002148BB">
            <w:pPr>
              <w:pStyle w:val="LLNormaali"/>
            </w:pPr>
            <w:r>
              <w:t>Se registrará cada lote aceptado y se verificará la idoneidad del material aceptado</w:t>
            </w:r>
          </w:p>
        </w:tc>
      </w:tr>
      <w:tr w:rsidR="00DF3012" w:rsidRPr="00DF3012" w:rsidTr="002148BB">
        <w:trPr>
          <w:cantSplit/>
        </w:trPr>
        <w:tc>
          <w:tcPr>
            <w:tcW w:w="2493" w:type="pct"/>
          </w:tcPr>
          <w:p w:rsidR="00DF3012" w:rsidRPr="00DF3012" w:rsidRDefault="00DF3012" w:rsidP="002148BB">
            <w:pPr>
              <w:pStyle w:val="LLNormaali"/>
            </w:pPr>
            <w:r>
              <w:t>Proceso de fabricación</w:t>
            </w:r>
          </w:p>
          <w:p w:rsidR="00DF3012" w:rsidRPr="00DF3012" w:rsidRDefault="00DF3012" w:rsidP="002148BB">
            <w:pPr>
              <w:pStyle w:val="LLNormaali"/>
              <w:numPr>
                <w:ilvl w:val="0"/>
                <w:numId w:val="48"/>
              </w:numPr>
              <w:ind w:left="318" w:hanging="318"/>
            </w:pPr>
            <w:r>
              <w:t>Proceso de fundición</w:t>
            </w:r>
          </w:p>
          <w:p w:rsidR="00DF3012" w:rsidRPr="00DF3012" w:rsidRDefault="00DF3012" w:rsidP="002148BB">
            <w:pPr>
              <w:pStyle w:val="LLNormaali"/>
            </w:pPr>
          </w:p>
          <w:p w:rsidR="00DF3012" w:rsidRPr="00DF3012" w:rsidRDefault="00DF3012" w:rsidP="002148BB">
            <w:pPr>
              <w:pStyle w:val="LLNormaali"/>
              <w:numPr>
                <w:ilvl w:val="0"/>
                <w:numId w:val="48"/>
              </w:numPr>
              <w:ind w:left="318" w:hanging="318"/>
            </w:pPr>
            <w:r>
              <w:t>Instrumentos</w:t>
            </w:r>
          </w:p>
          <w:p w:rsidR="00DF3012" w:rsidRPr="00DF3012" w:rsidRDefault="00DF3012" w:rsidP="002148BB">
            <w:pPr>
              <w:pStyle w:val="LLNormaali"/>
            </w:pPr>
          </w:p>
          <w:p w:rsidR="00DF3012" w:rsidRPr="00DF3012" w:rsidRDefault="00DF3012" w:rsidP="002148BB">
            <w:pPr>
              <w:pStyle w:val="LLNormaali"/>
              <w:numPr>
                <w:ilvl w:val="0"/>
                <w:numId w:val="48"/>
              </w:numPr>
              <w:ind w:left="318" w:hanging="318"/>
            </w:pPr>
            <w:r>
              <w:t>Cromado</w:t>
            </w:r>
          </w:p>
          <w:p w:rsidR="00DF3012" w:rsidRPr="00DF3012" w:rsidRDefault="00DF3012" w:rsidP="002148BB">
            <w:pPr>
              <w:pStyle w:val="LLNormaali"/>
              <w:numPr>
                <w:ilvl w:val="0"/>
                <w:numId w:val="48"/>
              </w:numPr>
              <w:ind w:left="318" w:hanging="318"/>
            </w:pPr>
            <w:r>
              <w:t>Montaje</w:t>
            </w:r>
          </w:p>
        </w:tc>
        <w:tc>
          <w:tcPr>
            <w:tcW w:w="2507" w:type="pct"/>
          </w:tcPr>
          <w:p w:rsidR="00DF3012" w:rsidRPr="00DF3012" w:rsidRDefault="00DF3012" w:rsidP="002148BB">
            <w:pPr>
              <w:pStyle w:val="LLNormaali"/>
            </w:pPr>
          </w:p>
          <w:p w:rsidR="00DF3012" w:rsidRPr="00DF3012" w:rsidRDefault="00DF3012" w:rsidP="002148BB">
            <w:pPr>
              <w:pStyle w:val="LLNormaali"/>
              <w:numPr>
                <w:ilvl w:val="0"/>
                <w:numId w:val="48"/>
              </w:numPr>
              <w:ind w:left="318" w:hanging="318"/>
            </w:pPr>
            <w:r>
              <w:t>Control continuo de la temperatura y control visual</w:t>
            </w:r>
          </w:p>
          <w:p w:rsidR="00DF3012" w:rsidRPr="00DF3012" w:rsidRDefault="00DF3012" w:rsidP="002148BB">
            <w:pPr>
              <w:pStyle w:val="LLNormaali"/>
              <w:numPr>
                <w:ilvl w:val="0"/>
                <w:numId w:val="48"/>
              </w:numPr>
              <w:ind w:left="318" w:hanging="318"/>
            </w:pPr>
            <w:r>
              <w:t>Se determinarán las dimensiones más importantes y se controlará la estabilidad de las dimensiones</w:t>
            </w:r>
          </w:p>
          <w:p w:rsidR="00DF3012" w:rsidRPr="00DF3012" w:rsidRDefault="00DF3012" w:rsidP="002148BB">
            <w:pPr>
              <w:pStyle w:val="LLNormaali"/>
              <w:numPr>
                <w:ilvl w:val="0"/>
                <w:numId w:val="48"/>
              </w:numPr>
              <w:ind w:left="318" w:hanging="318"/>
            </w:pPr>
            <w:r>
              <w:t>Inspección visual</w:t>
            </w:r>
          </w:p>
          <w:p w:rsidR="00DF3012" w:rsidRPr="00DF3012" w:rsidRDefault="00DF3012" w:rsidP="002148BB">
            <w:pPr>
              <w:pStyle w:val="LLNormaali"/>
              <w:numPr>
                <w:ilvl w:val="0"/>
                <w:numId w:val="48"/>
              </w:numPr>
              <w:ind w:left="318" w:hanging="318"/>
            </w:pPr>
            <w:r>
              <w:t>Inspección visual</w:t>
            </w:r>
          </w:p>
        </w:tc>
      </w:tr>
      <w:tr w:rsidR="00DF3012" w:rsidRPr="00DF3012" w:rsidTr="002148BB">
        <w:trPr>
          <w:cantSplit/>
        </w:trPr>
        <w:tc>
          <w:tcPr>
            <w:tcW w:w="2493" w:type="pct"/>
          </w:tcPr>
          <w:p w:rsidR="00DF3012" w:rsidRPr="00DF3012" w:rsidRDefault="00DF3012" w:rsidP="002148BB">
            <w:pPr>
              <w:pStyle w:val="LLNormaali"/>
            </w:pPr>
            <w:r>
              <w:t>Características funcionales</w:t>
            </w:r>
          </w:p>
          <w:p w:rsidR="00DF3012" w:rsidRPr="00DF3012" w:rsidRDefault="00DF3012" w:rsidP="002148BB">
            <w:pPr>
              <w:pStyle w:val="LLNormaali"/>
              <w:numPr>
                <w:ilvl w:val="0"/>
                <w:numId w:val="48"/>
              </w:numPr>
              <w:ind w:left="318" w:hanging="318"/>
            </w:pPr>
            <w:r>
              <w:t>Estanqueidad</w:t>
            </w:r>
          </w:p>
        </w:tc>
        <w:tc>
          <w:tcPr>
            <w:tcW w:w="2507" w:type="pct"/>
          </w:tcPr>
          <w:p w:rsidR="00DF3012" w:rsidRPr="00DF3012" w:rsidRDefault="00DF3012" w:rsidP="002148BB">
            <w:pPr>
              <w:pStyle w:val="LLNormaali"/>
            </w:pPr>
          </w:p>
          <w:p w:rsidR="00DF3012" w:rsidRPr="00DF3012" w:rsidRDefault="00DF3012" w:rsidP="002148BB">
            <w:pPr>
              <w:pStyle w:val="LLNormaali"/>
              <w:numPr>
                <w:ilvl w:val="0"/>
                <w:numId w:val="48"/>
              </w:numPr>
              <w:ind w:left="318" w:hanging="318"/>
            </w:pPr>
            <w:r>
              <w:t>Todos los productos</w:t>
            </w:r>
          </w:p>
        </w:tc>
      </w:tr>
      <w:tr w:rsidR="00DF3012" w:rsidRPr="00DF3012" w:rsidTr="002148BB">
        <w:trPr>
          <w:cantSplit/>
        </w:trPr>
        <w:tc>
          <w:tcPr>
            <w:tcW w:w="2493" w:type="pct"/>
          </w:tcPr>
          <w:p w:rsidR="00DF3012" w:rsidRPr="00DF3012" w:rsidRDefault="00DF3012" w:rsidP="002148BB">
            <w:pPr>
              <w:pStyle w:val="LLNormaali"/>
            </w:pPr>
            <w:r>
              <w:t>Instrucciones de uso, procedimientos y dibujos</w:t>
            </w:r>
          </w:p>
        </w:tc>
        <w:tc>
          <w:tcPr>
            <w:tcW w:w="2507" w:type="pct"/>
          </w:tcPr>
          <w:p w:rsidR="00DF3012" w:rsidRPr="00DF3012" w:rsidRDefault="00DF3012" w:rsidP="002148BB">
            <w:pPr>
              <w:pStyle w:val="LLNormaali"/>
              <w:numPr>
                <w:ilvl w:val="0"/>
                <w:numId w:val="48"/>
              </w:numPr>
              <w:ind w:left="318" w:hanging="318"/>
            </w:pPr>
            <w:r>
              <w:t>Se documentarán las pautas para las etapas de producción. Se registrarán y se fecharán las modificaciones de los documentos.</w:t>
            </w:r>
          </w:p>
        </w:tc>
      </w:tr>
      <w:tr w:rsidR="00DF3012" w:rsidRPr="00DF3012" w:rsidTr="002148BB">
        <w:trPr>
          <w:cantSplit/>
        </w:trPr>
        <w:tc>
          <w:tcPr>
            <w:tcW w:w="2493" w:type="pct"/>
          </w:tcPr>
          <w:p w:rsidR="00DF3012" w:rsidRPr="00DF3012" w:rsidRDefault="00DF3012" w:rsidP="002148BB">
            <w:pPr>
              <w:pStyle w:val="LLNormaali"/>
            </w:pPr>
            <w:r>
              <w:t>Gestión de las reclamaciones</w:t>
            </w:r>
          </w:p>
        </w:tc>
        <w:tc>
          <w:tcPr>
            <w:tcW w:w="2507" w:type="pct"/>
          </w:tcPr>
          <w:p w:rsidR="00DF3012" w:rsidRPr="00DF3012" w:rsidRDefault="00901757" w:rsidP="002148BB">
            <w:pPr>
              <w:pStyle w:val="LLNormaali"/>
              <w:numPr>
                <w:ilvl w:val="0"/>
                <w:numId w:val="48"/>
              </w:numPr>
              <w:ind w:left="318" w:hanging="318"/>
            </w:pPr>
            <w:r>
              <w:t>Deberá haber un procedimiento para gestionar las reclamaciones.</w:t>
            </w:r>
          </w:p>
        </w:tc>
      </w:tr>
    </w:tbl>
    <w:p w:rsidR="00DF3012" w:rsidRDefault="00DF3012" w:rsidP="002148BB">
      <w:pPr>
        <w:pStyle w:val="LLNormaali"/>
      </w:pPr>
    </w:p>
    <w:sectPr w:rsidR="00DF3012" w:rsidSect="00C85EB5">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08B" w:rsidRDefault="008A008B">
      <w:r>
        <w:separator/>
      </w:r>
    </w:p>
  </w:endnote>
  <w:endnote w:type="continuationSeparator" w:id="0">
    <w:p w:rsidR="008A008B" w:rsidRDefault="008A00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699" w:rsidRDefault="00C3391A" w:rsidP="001310B9">
    <w:pPr>
      <w:pStyle w:val="Piedepgina"/>
      <w:framePr w:wrap="around" w:vAnchor="text" w:hAnchor="margin" w:xAlign="center" w:y="1"/>
      <w:rPr>
        <w:rStyle w:val="Nmerodepgina"/>
      </w:rPr>
    </w:pPr>
    <w:r>
      <w:rPr>
        <w:rStyle w:val="Nmerodepgina"/>
      </w:rPr>
      <w:fldChar w:fldCharType="begin"/>
    </w:r>
    <w:r w:rsidR="00185699">
      <w:rPr>
        <w:rStyle w:val="Nmerodepgina"/>
      </w:rPr>
      <w:instrText xml:space="preserve">PAGE  </w:instrText>
    </w:r>
    <w:r>
      <w:rPr>
        <w:rStyle w:val="Nmerodepgina"/>
      </w:rPr>
      <w:fldChar w:fldCharType="end"/>
    </w:r>
  </w:p>
  <w:p w:rsidR="00185699" w:rsidRDefault="0018569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768328"/>
      <w:docPartObj>
        <w:docPartGallery w:val="Page Numbers (Bottom of Page)"/>
        <w:docPartUnique/>
      </w:docPartObj>
    </w:sdtPr>
    <w:sdtEndPr>
      <w:rPr>
        <w:noProof/>
      </w:rPr>
    </w:sdtEndPr>
    <w:sdtContent>
      <w:p w:rsidR="00185699" w:rsidRDefault="00C3391A">
        <w:pPr>
          <w:pStyle w:val="Piedepgina"/>
        </w:pPr>
        <w:r>
          <w:fldChar w:fldCharType="begin"/>
        </w:r>
        <w:r w:rsidR="00185699">
          <w:instrText xml:space="preserve"> PAGE   \* MERGEFORMAT </w:instrText>
        </w:r>
        <w:r>
          <w:fldChar w:fldCharType="separate"/>
        </w:r>
        <w:r w:rsidR="001353CB">
          <w:rPr>
            <w:noProof/>
          </w:rPr>
          <w:t>8</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319" w:rsidRPr="007D6756" w:rsidRDefault="00243319">
    <w:pPr>
      <w:pStyle w:val="Piedepgina"/>
      <w:rPr>
        <w:rFonts w:ascii="Times New Roman" w:hAnsi="Times New Roman"/>
        <w:sz w:val="16"/>
        <w:szCs w:val="16"/>
      </w:rPr>
    </w:pPr>
    <w:r>
      <w:rPr>
        <w:rFonts w:ascii="Times New Roman" w:hAnsi="Times New Roman"/>
        <w:sz w:val="16"/>
      </w:rPr>
      <w:t>Directiva (UE) 2015/1535 del Parlamento Europeo y del Consejo (32015L1535) (DO L 241 de 17.9.2015, p.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08B" w:rsidRDefault="008A008B">
      <w:r>
        <w:separator/>
      </w:r>
    </w:p>
  </w:footnote>
  <w:footnote w:type="continuationSeparator" w:id="0">
    <w:p w:rsidR="008A008B" w:rsidRDefault="008A00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738" w:rsidRPr="00550738" w:rsidRDefault="00550738" w:rsidP="00243319">
    <w:pPr>
      <w:pStyle w:val="Encabezado"/>
      <w:jc w:val="righ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nsid w:val="19396618"/>
    <w:multiLevelType w:val="hybridMultilevel"/>
    <w:tmpl w:val="1F78A284"/>
    <w:lvl w:ilvl="0" w:tplc="075EE96A">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2">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3">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nsid w:val="3A4E7080"/>
    <w:multiLevelType w:val="hybridMultilevel"/>
    <w:tmpl w:val="562EBC76"/>
    <w:lvl w:ilvl="0" w:tplc="23E220B0">
      <w:start w:val="1"/>
      <w:numFmt w:val="lowerLetter"/>
      <w:lvlText w:val="%1)"/>
      <w:lvlJc w:val="left"/>
      <w:pPr>
        <w:ind w:left="536" w:hanging="360"/>
      </w:pPr>
      <w:rPr>
        <w:rFonts w:hint="default"/>
      </w:rPr>
    </w:lvl>
    <w:lvl w:ilvl="1" w:tplc="040B0019" w:tentative="1">
      <w:start w:val="1"/>
      <w:numFmt w:val="lowerLetter"/>
      <w:lvlText w:val="%2."/>
      <w:lvlJc w:val="left"/>
      <w:pPr>
        <w:ind w:left="1256" w:hanging="360"/>
      </w:pPr>
    </w:lvl>
    <w:lvl w:ilvl="2" w:tplc="040B001B" w:tentative="1">
      <w:start w:val="1"/>
      <w:numFmt w:val="lowerRoman"/>
      <w:lvlText w:val="%3."/>
      <w:lvlJc w:val="right"/>
      <w:pPr>
        <w:ind w:left="1976" w:hanging="180"/>
      </w:pPr>
    </w:lvl>
    <w:lvl w:ilvl="3" w:tplc="040B000F" w:tentative="1">
      <w:start w:val="1"/>
      <w:numFmt w:val="decimal"/>
      <w:lvlText w:val="%4."/>
      <w:lvlJc w:val="left"/>
      <w:pPr>
        <w:ind w:left="2696" w:hanging="360"/>
      </w:pPr>
    </w:lvl>
    <w:lvl w:ilvl="4" w:tplc="040B0019" w:tentative="1">
      <w:start w:val="1"/>
      <w:numFmt w:val="lowerLetter"/>
      <w:lvlText w:val="%5."/>
      <w:lvlJc w:val="left"/>
      <w:pPr>
        <w:ind w:left="3416" w:hanging="360"/>
      </w:pPr>
    </w:lvl>
    <w:lvl w:ilvl="5" w:tplc="040B001B" w:tentative="1">
      <w:start w:val="1"/>
      <w:numFmt w:val="lowerRoman"/>
      <w:lvlText w:val="%6."/>
      <w:lvlJc w:val="right"/>
      <w:pPr>
        <w:ind w:left="4136" w:hanging="180"/>
      </w:pPr>
    </w:lvl>
    <w:lvl w:ilvl="6" w:tplc="040B000F" w:tentative="1">
      <w:start w:val="1"/>
      <w:numFmt w:val="decimal"/>
      <w:lvlText w:val="%7."/>
      <w:lvlJc w:val="left"/>
      <w:pPr>
        <w:ind w:left="4856" w:hanging="360"/>
      </w:pPr>
    </w:lvl>
    <w:lvl w:ilvl="7" w:tplc="040B0019" w:tentative="1">
      <w:start w:val="1"/>
      <w:numFmt w:val="lowerLetter"/>
      <w:lvlText w:val="%8."/>
      <w:lvlJc w:val="left"/>
      <w:pPr>
        <w:ind w:left="5576" w:hanging="360"/>
      </w:pPr>
    </w:lvl>
    <w:lvl w:ilvl="8" w:tplc="040B001B" w:tentative="1">
      <w:start w:val="1"/>
      <w:numFmt w:val="lowerRoman"/>
      <w:lvlText w:val="%9."/>
      <w:lvlJc w:val="right"/>
      <w:pPr>
        <w:ind w:left="6296" w:hanging="180"/>
      </w:pPr>
    </w:lvl>
  </w:abstractNum>
  <w:abstractNum w:abstractNumId="2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1">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nsid w:val="3DF81EDA"/>
    <w:multiLevelType w:val="hybridMultilevel"/>
    <w:tmpl w:val="F464672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5">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nsid w:val="4AFB411F"/>
    <w:multiLevelType w:val="hybridMultilevel"/>
    <w:tmpl w:val="DEA046C2"/>
    <w:lvl w:ilvl="0" w:tplc="E6B2FA66">
      <w:start w:val="1"/>
      <w:numFmt w:val="lowerLetter"/>
      <w:lvlText w:val="%1)"/>
      <w:lvlJc w:val="left"/>
      <w:pPr>
        <w:ind w:left="720" w:hanging="360"/>
      </w:pPr>
      <w:rPr>
        <w:rFonts w:hint="default"/>
        <w:vertAlign w:val="superscrip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32">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5">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7">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5">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6">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7">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5"/>
  </w:num>
  <w:num w:numId="3">
    <w:abstractNumId w:val="27"/>
  </w:num>
  <w:num w:numId="4">
    <w:abstractNumId w:val="4"/>
  </w:num>
  <w:num w:numId="5">
    <w:abstractNumId w:val="31"/>
  </w:num>
  <w:num w:numId="6">
    <w:abstractNumId w:val="23"/>
  </w:num>
  <w:num w:numId="7">
    <w:abstractNumId w:val="26"/>
  </w:num>
  <w:num w:numId="8">
    <w:abstractNumId w:val="44"/>
  </w:num>
  <w:num w:numId="9">
    <w:abstractNumId w:val="39"/>
  </w:num>
  <w:num w:numId="10">
    <w:abstractNumId w:val="28"/>
  </w:num>
  <w:num w:numId="11">
    <w:abstractNumId w:val="13"/>
  </w:num>
  <w:num w:numId="12">
    <w:abstractNumId w:val="14"/>
  </w:num>
  <w:num w:numId="13">
    <w:abstractNumId w:val="8"/>
  </w:num>
  <w:num w:numId="14">
    <w:abstractNumId w:val="12"/>
  </w:num>
  <w:num w:numId="15">
    <w:abstractNumId w:val="42"/>
  </w:num>
  <w:num w:numId="16">
    <w:abstractNumId w:val="41"/>
  </w:num>
  <w:num w:numId="17">
    <w:abstractNumId w:val="16"/>
  </w:num>
  <w:num w:numId="18">
    <w:abstractNumId w:val="5"/>
  </w:num>
  <w:num w:numId="19">
    <w:abstractNumId w:val="32"/>
  </w:num>
  <w:num w:numId="20">
    <w:abstractNumId w:val="17"/>
  </w:num>
  <w:num w:numId="21">
    <w:abstractNumId w:val="38"/>
  </w:num>
  <w:num w:numId="22">
    <w:abstractNumId w:val="0"/>
  </w:num>
  <w:num w:numId="23">
    <w:abstractNumId w:val="3"/>
  </w:num>
  <w:num w:numId="24">
    <w:abstractNumId w:val="7"/>
  </w:num>
  <w:num w:numId="25">
    <w:abstractNumId w:val="11"/>
  </w:num>
  <w:num w:numId="26">
    <w:abstractNumId w:val="25"/>
  </w:num>
  <w:num w:numId="27">
    <w:abstractNumId w:val="20"/>
  </w:num>
  <w:num w:numId="28">
    <w:abstractNumId w:val="46"/>
  </w:num>
  <w:num w:numId="29">
    <w:abstractNumId w:val="37"/>
  </w:num>
  <w:num w:numId="30">
    <w:abstractNumId w:val="29"/>
  </w:num>
  <w:num w:numId="31">
    <w:abstractNumId w:val="18"/>
  </w:num>
  <w:num w:numId="32">
    <w:abstractNumId w:val="21"/>
  </w:num>
  <w:num w:numId="33">
    <w:abstractNumId w:val="6"/>
  </w:num>
  <w:num w:numId="34">
    <w:abstractNumId w:val="40"/>
  </w:num>
  <w:num w:numId="35">
    <w:abstractNumId w:val="15"/>
  </w:num>
  <w:num w:numId="36">
    <w:abstractNumId w:val="24"/>
  </w:num>
  <w:num w:numId="37">
    <w:abstractNumId w:val="36"/>
  </w:num>
  <w:num w:numId="38">
    <w:abstractNumId w:val="34"/>
  </w:num>
  <w:num w:numId="39">
    <w:abstractNumId w:val="2"/>
  </w:num>
  <w:num w:numId="40">
    <w:abstractNumId w:val="45"/>
  </w:num>
  <w:num w:numId="41">
    <w:abstractNumId w:val="33"/>
  </w:num>
  <w:num w:numId="42">
    <w:abstractNumId w:val="47"/>
  </w:num>
  <w:num w:numId="43">
    <w:abstractNumId w:val="43"/>
  </w:num>
  <w:num w:numId="44">
    <w:abstractNumId w:val="9"/>
  </w:num>
  <w:num w:numId="45">
    <w:abstractNumId w:val="22"/>
  </w:num>
  <w:num w:numId="46">
    <w:abstractNumId w:val="19"/>
  </w:num>
  <w:num w:numId="47">
    <w:abstractNumId w:val="30"/>
  </w:num>
  <w:num w:numId="48">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fi-FI"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i-FI" w:vendorID="22" w:dllVersion="513" w:checkStyle="1"/>
  <w:activeWritingStyle w:appName="MSWord" w:lang="sv-SE" w:vendorID="22" w:dllVersion="513" w:checkStyle="1"/>
  <w:proofState w:spelling="clean" w:grammar="clean"/>
  <w:attachedTemplate r:id="rId1"/>
  <w:stylePaneFormatFilter w:val="3001"/>
  <w:defaultTabStop w:val="1304"/>
  <w:hyphenationZone w:val="142"/>
  <w:doNotHyphenateCaps/>
  <w:characterSpacingControl w:val="doNotCompress"/>
  <w:hdrShapeDefaults>
    <o:shapedefaults v:ext="edit" spidmax="7170"/>
  </w:hdrShapeDefaults>
  <w:footnotePr>
    <w:footnote w:id="-1"/>
    <w:footnote w:id="0"/>
  </w:footnotePr>
  <w:endnotePr>
    <w:endnote w:id="-1"/>
    <w:endnote w:id="0"/>
  </w:endnotePr>
  <w:compat/>
  <w:rsids>
    <w:rsidRoot w:val="006A1A37"/>
    <w:rsid w:val="00000757"/>
    <w:rsid w:val="00000B13"/>
    <w:rsid w:val="00000D79"/>
    <w:rsid w:val="00001C34"/>
    <w:rsid w:val="00001C65"/>
    <w:rsid w:val="00001CEB"/>
    <w:rsid w:val="000026A6"/>
    <w:rsid w:val="00005736"/>
    <w:rsid w:val="00006166"/>
    <w:rsid w:val="00007C03"/>
    <w:rsid w:val="00007EA2"/>
    <w:rsid w:val="000131D0"/>
    <w:rsid w:val="0001433B"/>
    <w:rsid w:val="0001582F"/>
    <w:rsid w:val="00015D45"/>
    <w:rsid w:val="000166D0"/>
    <w:rsid w:val="00017270"/>
    <w:rsid w:val="000202BC"/>
    <w:rsid w:val="000208A6"/>
    <w:rsid w:val="00021660"/>
    <w:rsid w:val="0002194F"/>
    <w:rsid w:val="00023201"/>
    <w:rsid w:val="00024B6D"/>
    <w:rsid w:val="00026049"/>
    <w:rsid w:val="00030044"/>
    <w:rsid w:val="0003265F"/>
    <w:rsid w:val="0003393F"/>
    <w:rsid w:val="00034169"/>
    <w:rsid w:val="00034B95"/>
    <w:rsid w:val="0003652F"/>
    <w:rsid w:val="000370C8"/>
    <w:rsid w:val="00040D23"/>
    <w:rsid w:val="00043723"/>
    <w:rsid w:val="00047B66"/>
    <w:rsid w:val="000502E9"/>
    <w:rsid w:val="00050C95"/>
    <w:rsid w:val="00052549"/>
    <w:rsid w:val="00052E56"/>
    <w:rsid w:val="000543D1"/>
    <w:rsid w:val="000576D8"/>
    <w:rsid w:val="00060476"/>
    <w:rsid w:val="000608D6"/>
    <w:rsid w:val="00060DAE"/>
    <w:rsid w:val="00061325"/>
    <w:rsid w:val="000614BC"/>
    <w:rsid w:val="00061565"/>
    <w:rsid w:val="00061FE7"/>
    <w:rsid w:val="00062A38"/>
    <w:rsid w:val="000634E2"/>
    <w:rsid w:val="00063DCC"/>
    <w:rsid w:val="00066DC3"/>
    <w:rsid w:val="000677E9"/>
    <w:rsid w:val="00070B45"/>
    <w:rsid w:val="00070D75"/>
    <w:rsid w:val="0007188D"/>
    <w:rsid w:val="000722C4"/>
    <w:rsid w:val="00073A22"/>
    <w:rsid w:val="000752ED"/>
    <w:rsid w:val="00075ADB"/>
    <w:rsid w:val="000769BB"/>
    <w:rsid w:val="000776BB"/>
    <w:rsid w:val="00077867"/>
    <w:rsid w:val="000811EC"/>
    <w:rsid w:val="0008292C"/>
    <w:rsid w:val="00083E71"/>
    <w:rsid w:val="00084034"/>
    <w:rsid w:val="0008438B"/>
    <w:rsid w:val="000861FB"/>
    <w:rsid w:val="00086D51"/>
    <w:rsid w:val="00086E44"/>
    <w:rsid w:val="0009198D"/>
    <w:rsid w:val="0009275E"/>
    <w:rsid w:val="00093977"/>
    <w:rsid w:val="00094938"/>
    <w:rsid w:val="00094A2B"/>
    <w:rsid w:val="000968AF"/>
    <w:rsid w:val="0009707B"/>
    <w:rsid w:val="00097836"/>
    <w:rsid w:val="000A11C5"/>
    <w:rsid w:val="000A11C9"/>
    <w:rsid w:val="000A23C8"/>
    <w:rsid w:val="000A2C2D"/>
    <w:rsid w:val="000A3181"/>
    <w:rsid w:val="000A4346"/>
    <w:rsid w:val="000A48BD"/>
    <w:rsid w:val="000A4CC1"/>
    <w:rsid w:val="000A55E5"/>
    <w:rsid w:val="000A6C3E"/>
    <w:rsid w:val="000A7212"/>
    <w:rsid w:val="000A75CB"/>
    <w:rsid w:val="000A7669"/>
    <w:rsid w:val="000B0F5F"/>
    <w:rsid w:val="000B2410"/>
    <w:rsid w:val="000B43F5"/>
    <w:rsid w:val="000C13BA"/>
    <w:rsid w:val="000C15D4"/>
    <w:rsid w:val="000C1725"/>
    <w:rsid w:val="000C23FC"/>
    <w:rsid w:val="000C3A8E"/>
    <w:rsid w:val="000C4809"/>
    <w:rsid w:val="000C5020"/>
    <w:rsid w:val="000D0AA3"/>
    <w:rsid w:val="000D1D74"/>
    <w:rsid w:val="000D3443"/>
    <w:rsid w:val="000D425F"/>
    <w:rsid w:val="000D4882"/>
    <w:rsid w:val="000D5454"/>
    <w:rsid w:val="000D550A"/>
    <w:rsid w:val="000D74A1"/>
    <w:rsid w:val="000E0B7D"/>
    <w:rsid w:val="000E1BB8"/>
    <w:rsid w:val="000E2BF4"/>
    <w:rsid w:val="000E446C"/>
    <w:rsid w:val="000E741B"/>
    <w:rsid w:val="000F02E2"/>
    <w:rsid w:val="000F06B2"/>
    <w:rsid w:val="000F06E3"/>
    <w:rsid w:val="000F1313"/>
    <w:rsid w:val="000F1A50"/>
    <w:rsid w:val="000F1AE5"/>
    <w:rsid w:val="000F1F94"/>
    <w:rsid w:val="000F1F95"/>
    <w:rsid w:val="000F30AC"/>
    <w:rsid w:val="000F3FDB"/>
    <w:rsid w:val="000F5A45"/>
    <w:rsid w:val="000F66A0"/>
    <w:rsid w:val="000F6DC9"/>
    <w:rsid w:val="000F70C7"/>
    <w:rsid w:val="000F71FD"/>
    <w:rsid w:val="000F75A6"/>
    <w:rsid w:val="00100EB7"/>
    <w:rsid w:val="00103ACA"/>
    <w:rsid w:val="00103C5F"/>
    <w:rsid w:val="001044A0"/>
    <w:rsid w:val="001063A9"/>
    <w:rsid w:val="00106FD6"/>
    <w:rsid w:val="00107C32"/>
    <w:rsid w:val="00113CCD"/>
    <w:rsid w:val="00113D42"/>
    <w:rsid w:val="00113FEF"/>
    <w:rsid w:val="00114D89"/>
    <w:rsid w:val="00115868"/>
    <w:rsid w:val="001166D4"/>
    <w:rsid w:val="0011693E"/>
    <w:rsid w:val="00117C3F"/>
    <w:rsid w:val="001208D6"/>
    <w:rsid w:val="00120A6F"/>
    <w:rsid w:val="00120D3D"/>
    <w:rsid w:val="00121E3B"/>
    <w:rsid w:val="0012475C"/>
    <w:rsid w:val="00124C6B"/>
    <w:rsid w:val="00124F12"/>
    <w:rsid w:val="00127CDC"/>
    <w:rsid w:val="00127D8D"/>
    <w:rsid w:val="001305A0"/>
    <w:rsid w:val="001310B9"/>
    <w:rsid w:val="00131B1F"/>
    <w:rsid w:val="0013495D"/>
    <w:rsid w:val="001353CB"/>
    <w:rsid w:val="001421FF"/>
    <w:rsid w:val="001534DC"/>
    <w:rsid w:val="001619B4"/>
    <w:rsid w:val="00161A08"/>
    <w:rsid w:val="001628A5"/>
    <w:rsid w:val="00162A7C"/>
    <w:rsid w:val="00167060"/>
    <w:rsid w:val="00170B5F"/>
    <w:rsid w:val="00171AEB"/>
    <w:rsid w:val="00171F44"/>
    <w:rsid w:val="001729F4"/>
    <w:rsid w:val="00172F9D"/>
    <w:rsid w:val="001737ED"/>
    <w:rsid w:val="00173F89"/>
    <w:rsid w:val="00174FCA"/>
    <w:rsid w:val="00175AD6"/>
    <w:rsid w:val="00177976"/>
    <w:rsid w:val="001809D8"/>
    <w:rsid w:val="00182522"/>
    <w:rsid w:val="00185699"/>
    <w:rsid w:val="00185F2E"/>
    <w:rsid w:val="0019152A"/>
    <w:rsid w:val="0019244A"/>
    <w:rsid w:val="001942C3"/>
    <w:rsid w:val="00197B82"/>
    <w:rsid w:val="00197F54"/>
    <w:rsid w:val="001A0813"/>
    <w:rsid w:val="001A119D"/>
    <w:rsid w:val="001A15F0"/>
    <w:rsid w:val="001A17D8"/>
    <w:rsid w:val="001A1CC5"/>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6714"/>
    <w:rsid w:val="001C77EA"/>
    <w:rsid w:val="001D333D"/>
    <w:rsid w:val="001D74D6"/>
    <w:rsid w:val="001D7C93"/>
    <w:rsid w:val="001E07D9"/>
    <w:rsid w:val="001E0895"/>
    <w:rsid w:val="001E2815"/>
    <w:rsid w:val="001E3303"/>
    <w:rsid w:val="001E4DE2"/>
    <w:rsid w:val="001E6CCB"/>
    <w:rsid w:val="001E6CFE"/>
    <w:rsid w:val="001F0934"/>
    <w:rsid w:val="001F4F56"/>
    <w:rsid w:val="001F6E1A"/>
    <w:rsid w:val="001F7A9B"/>
    <w:rsid w:val="001F7A9D"/>
    <w:rsid w:val="002013EA"/>
    <w:rsid w:val="00203617"/>
    <w:rsid w:val="002042DB"/>
    <w:rsid w:val="002049A0"/>
    <w:rsid w:val="00204DAB"/>
    <w:rsid w:val="0020549F"/>
    <w:rsid w:val="00205D1B"/>
    <w:rsid w:val="00205F1C"/>
    <w:rsid w:val="002070FC"/>
    <w:rsid w:val="00212378"/>
    <w:rsid w:val="00213078"/>
    <w:rsid w:val="002133C2"/>
    <w:rsid w:val="002133CB"/>
    <w:rsid w:val="002148BB"/>
    <w:rsid w:val="00214F6B"/>
    <w:rsid w:val="00216F59"/>
    <w:rsid w:val="0021781C"/>
    <w:rsid w:val="00220C7D"/>
    <w:rsid w:val="002233F1"/>
    <w:rsid w:val="00223FC3"/>
    <w:rsid w:val="002305CB"/>
    <w:rsid w:val="00231DF8"/>
    <w:rsid w:val="00232CF3"/>
    <w:rsid w:val="00232E8B"/>
    <w:rsid w:val="00233151"/>
    <w:rsid w:val="00236F17"/>
    <w:rsid w:val="00241124"/>
    <w:rsid w:val="00241EBC"/>
    <w:rsid w:val="00242236"/>
    <w:rsid w:val="00243319"/>
    <w:rsid w:val="002445F2"/>
    <w:rsid w:val="002446DA"/>
    <w:rsid w:val="00244B73"/>
    <w:rsid w:val="00244ED7"/>
    <w:rsid w:val="00245257"/>
    <w:rsid w:val="00245365"/>
    <w:rsid w:val="0024571F"/>
    <w:rsid w:val="00245804"/>
    <w:rsid w:val="0024634E"/>
    <w:rsid w:val="002478DC"/>
    <w:rsid w:val="00247B38"/>
    <w:rsid w:val="00247C7A"/>
    <w:rsid w:val="00247D0A"/>
    <w:rsid w:val="002502FA"/>
    <w:rsid w:val="002505A5"/>
    <w:rsid w:val="00251092"/>
    <w:rsid w:val="002519A0"/>
    <w:rsid w:val="0025236F"/>
    <w:rsid w:val="002523B2"/>
    <w:rsid w:val="002529E7"/>
    <w:rsid w:val="00252C30"/>
    <w:rsid w:val="00252C37"/>
    <w:rsid w:val="00253030"/>
    <w:rsid w:val="00253ED4"/>
    <w:rsid w:val="00254B1E"/>
    <w:rsid w:val="00255C26"/>
    <w:rsid w:val="00255C8C"/>
    <w:rsid w:val="002568F3"/>
    <w:rsid w:val="002600EF"/>
    <w:rsid w:val="00260ED8"/>
    <w:rsid w:val="00261B3D"/>
    <w:rsid w:val="00263506"/>
    <w:rsid w:val="002637F9"/>
    <w:rsid w:val="002640C3"/>
    <w:rsid w:val="00264939"/>
    <w:rsid w:val="00266690"/>
    <w:rsid w:val="002705F7"/>
    <w:rsid w:val="00273B75"/>
    <w:rsid w:val="00273F65"/>
    <w:rsid w:val="002755DD"/>
    <w:rsid w:val="0027666C"/>
    <w:rsid w:val="002767A8"/>
    <w:rsid w:val="0027698E"/>
    <w:rsid w:val="00276C0A"/>
    <w:rsid w:val="00280518"/>
    <w:rsid w:val="0028520A"/>
    <w:rsid w:val="00292DB8"/>
    <w:rsid w:val="00293DCE"/>
    <w:rsid w:val="0029500E"/>
    <w:rsid w:val="00295268"/>
    <w:rsid w:val="002953B9"/>
    <w:rsid w:val="00296B10"/>
    <w:rsid w:val="002A0577"/>
    <w:rsid w:val="002A2066"/>
    <w:rsid w:val="002A4575"/>
    <w:rsid w:val="002A5827"/>
    <w:rsid w:val="002A630E"/>
    <w:rsid w:val="002A736D"/>
    <w:rsid w:val="002B0120"/>
    <w:rsid w:val="002B3891"/>
    <w:rsid w:val="002B4A7F"/>
    <w:rsid w:val="002B712B"/>
    <w:rsid w:val="002C14C8"/>
    <w:rsid w:val="002C19FF"/>
    <w:rsid w:val="002C25AD"/>
    <w:rsid w:val="002C3B1D"/>
    <w:rsid w:val="002C694B"/>
    <w:rsid w:val="002C6DEF"/>
    <w:rsid w:val="002D0561"/>
    <w:rsid w:val="002D158A"/>
    <w:rsid w:val="002D2DFF"/>
    <w:rsid w:val="002D4C0B"/>
    <w:rsid w:val="002D7E58"/>
    <w:rsid w:val="002E0619"/>
    <w:rsid w:val="002E0770"/>
    <w:rsid w:val="002E0859"/>
    <w:rsid w:val="002E136D"/>
    <w:rsid w:val="002E1C57"/>
    <w:rsid w:val="002E21BA"/>
    <w:rsid w:val="002E58B2"/>
    <w:rsid w:val="002E73F2"/>
    <w:rsid w:val="002F02BB"/>
    <w:rsid w:val="002F036A"/>
    <w:rsid w:val="002F0513"/>
    <w:rsid w:val="002F0DA6"/>
    <w:rsid w:val="002F191F"/>
    <w:rsid w:val="002F3ECD"/>
    <w:rsid w:val="002F486D"/>
    <w:rsid w:val="002F690F"/>
    <w:rsid w:val="0030010F"/>
    <w:rsid w:val="00302A04"/>
    <w:rsid w:val="00303A94"/>
    <w:rsid w:val="0030433D"/>
    <w:rsid w:val="00304948"/>
    <w:rsid w:val="003115B9"/>
    <w:rsid w:val="00311A68"/>
    <w:rsid w:val="00312ED2"/>
    <w:rsid w:val="00313379"/>
    <w:rsid w:val="0031475A"/>
    <w:rsid w:val="00314777"/>
    <w:rsid w:val="00314807"/>
    <w:rsid w:val="00315799"/>
    <w:rsid w:val="00317836"/>
    <w:rsid w:val="003206A2"/>
    <w:rsid w:val="003246A6"/>
    <w:rsid w:val="0032557F"/>
    <w:rsid w:val="00325F90"/>
    <w:rsid w:val="00326029"/>
    <w:rsid w:val="00327C20"/>
    <w:rsid w:val="0033013E"/>
    <w:rsid w:val="00331079"/>
    <w:rsid w:val="00332AFA"/>
    <w:rsid w:val="003339E4"/>
    <w:rsid w:val="00333C32"/>
    <w:rsid w:val="0033438A"/>
    <w:rsid w:val="00334D23"/>
    <w:rsid w:val="00336539"/>
    <w:rsid w:val="00337046"/>
    <w:rsid w:val="00337B35"/>
    <w:rsid w:val="00342547"/>
    <w:rsid w:val="003433C2"/>
    <w:rsid w:val="00347E93"/>
    <w:rsid w:val="00350D78"/>
    <w:rsid w:val="0035308D"/>
    <w:rsid w:val="00353702"/>
    <w:rsid w:val="003569FE"/>
    <w:rsid w:val="00360341"/>
    <w:rsid w:val="00360DD8"/>
    <w:rsid w:val="00360E69"/>
    <w:rsid w:val="00362079"/>
    <w:rsid w:val="003624AA"/>
    <w:rsid w:val="0036367F"/>
    <w:rsid w:val="00363B7B"/>
    <w:rsid w:val="00373F61"/>
    <w:rsid w:val="00374108"/>
    <w:rsid w:val="003741DD"/>
    <w:rsid w:val="0037489B"/>
    <w:rsid w:val="0037538C"/>
    <w:rsid w:val="0037558E"/>
    <w:rsid w:val="00375FB8"/>
    <w:rsid w:val="00377BFD"/>
    <w:rsid w:val="003801DE"/>
    <w:rsid w:val="0038158D"/>
    <w:rsid w:val="00381959"/>
    <w:rsid w:val="00384BEB"/>
    <w:rsid w:val="003856BD"/>
    <w:rsid w:val="0039043F"/>
    <w:rsid w:val="00390BBF"/>
    <w:rsid w:val="00392B9C"/>
    <w:rsid w:val="00392BB4"/>
    <w:rsid w:val="00393127"/>
    <w:rsid w:val="00394176"/>
    <w:rsid w:val="003A1F68"/>
    <w:rsid w:val="003A26DC"/>
    <w:rsid w:val="003A4E6A"/>
    <w:rsid w:val="003A58B2"/>
    <w:rsid w:val="003A7AF7"/>
    <w:rsid w:val="003B0771"/>
    <w:rsid w:val="003B1CA9"/>
    <w:rsid w:val="003B1D71"/>
    <w:rsid w:val="003B2B16"/>
    <w:rsid w:val="003B2DC7"/>
    <w:rsid w:val="003B2F0E"/>
    <w:rsid w:val="003B63D8"/>
    <w:rsid w:val="003B65C9"/>
    <w:rsid w:val="003C0684"/>
    <w:rsid w:val="003C2B7B"/>
    <w:rsid w:val="003C5C12"/>
    <w:rsid w:val="003C65E6"/>
    <w:rsid w:val="003C71ED"/>
    <w:rsid w:val="003D038A"/>
    <w:rsid w:val="003D6066"/>
    <w:rsid w:val="003D6403"/>
    <w:rsid w:val="003D7447"/>
    <w:rsid w:val="003E10C5"/>
    <w:rsid w:val="003E26AD"/>
    <w:rsid w:val="003E2774"/>
    <w:rsid w:val="003E3AA4"/>
    <w:rsid w:val="003E46C0"/>
    <w:rsid w:val="003E4F2F"/>
    <w:rsid w:val="003E5AFB"/>
    <w:rsid w:val="003F0137"/>
    <w:rsid w:val="003F0709"/>
    <w:rsid w:val="003F3666"/>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7FD9"/>
    <w:rsid w:val="00420AF8"/>
    <w:rsid w:val="0042177D"/>
    <w:rsid w:val="00421B61"/>
    <w:rsid w:val="00421C3C"/>
    <w:rsid w:val="004232D2"/>
    <w:rsid w:val="00424DB0"/>
    <w:rsid w:val="00424EDF"/>
    <w:rsid w:val="00426180"/>
    <w:rsid w:val="00427F43"/>
    <w:rsid w:val="004300A4"/>
    <w:rsid w:val="00431379"/>
    <w:rsid w:val="00431A47"/>
    <w:rsid w:val="00432AE3"/>
    <w:rsid w:val="004340A9"/>
    <w:rsid w:val="004348C9"/>
    <w:rsid w:val="004357BA"/>
    <w:rsid w:val="00436A88"/>
    <w:rsid w:val="00440C37"/>
    <w:rsid w:val="004417F1"/>
    <w:rsid w:val="00442197"/>
    <w:rsid w:val="00442B19"/>
    <w:rsid w:val="0044376A"/>
    <w:rsid w:val="00443949"/>
    <w:rsid w:val="00445534"/>
    <w:rsid w:val="004465E7"/>
    <w:rsid w:val="0045072D"/>
    <w:rsid w:val="00451B3B"/>
    <w:rsid w:val="00452280"/>
    <w:rsid w:val="004556A2"/>
    <w:rsid w:val="004558C8"/>
    <w:rsid w:val="00456116"/>
    <w:rsid w:val="00456368"/>
    <w:rsid w:val="0045667E"/>
    <w:rsid w:val="00456803"/>
    <w:rsid w:val="00460201"/>
    <w:rsid w:val="0046089E"/>
    <w:rsid w:val="004612E9"/>
    <w:rsid w:val="00463249"/>
    <w:rsid w:val="00463FD2"/>
    <w:rsid w:val="004671DD"/>
    <w:rsid w:val="0047100A"/>
    <w:rsid w:val="004752C5"/>
    <w:rsid w:val="004753A3"/>
    <w:rsid w:val="004768CC"/>
    <w:rsid w:val="00481B60"/>
    <w:rsid w:val="00482025"/>
    <w:rsid w:val="00483057"/>
    <w:rsid w:val="00483449"/>
    <w:rsid w:val="00485B55"/>
    <w:rsid w:val="00490C7F"/>
    <w:rsid w:val="0049168D"/>
    <w:rsid w:val="00492A6F"/>
    <w:rsid w:val="00493235"/>
    <w:rsid w:val="004941E5"/>
    <w:rsid w:val="00494F64"/>
    <w:rsid w:val="004967AF"/>
    <w:rsid w:val="004A0CA1"/>
    <w:rsid w:val="004A1491"/>
    <w:rsid w:val="004A20F3"/>
    <w:rsid w:val="004A3857"/>
    <w:rsid w:val="004A58F9"/>
    <w:rsid w:val="004A6E42"/>
    <w:rsid w:val="004B0FF6"/>
    <w:rsid w:val="004B4B00"/>
    <w:rsid w:val="004B5A50"/>
    <w:rsid w:val="004B7136"/>
    <w:rsid w:val="004B741F"/>
    <w:rsid w:val="004C0F0E"/>
    <w:rsid w:val="004C2447"/>
    <w:rsid w:val="004C45D0"/>
    <w:rsid w:val="004C56B7"/>
    <w:rsid w:val="004C5949"/>
    <w:rsid w:val="004C6D41"/>
    <w:rsid w:val="004D0F41"/>
    <w:rsid w:val="004D1C90"/>
    <w:rsid w:val="004D30BE"/>
    <w:rsid w:val="004D328B"/>
    <w:rsid w:val="004D35CD"/>
    <w:rsid w:val="004D3E0C"/>
    <w:rsid w:val="004D4146"/>
    <w:rsid w:val="004D7277"/>
    <w:rsid w:val="004D7EE0"/>
    <w:rsid w:val="004E0F73"/>
    <w:rsid w:val="004E2153"/>
    <w:rsid w:val="004E232B"/>
    <w:rsid w:val="004E5E93"/>
    <w:rsid w:val="004F1386"/>
    <w:rsid w:val="004F3408"/>
    <w:rsid w:val="004F37CF"/>
    <w:rsid w:val="004F45F5"/>
    <w:rsid w:val="004F6D83"/>
    <w:rsid w:val="00501DF5"/>
    <w:rsid w:val="005045AC"/>
    <w:rsid w:val="005078C4"/>
    <w:rsid w:val="00507AB7"/>
    <w:rsid w:val="005112AE"/>
    <w:rsid w:val="005121CA"/>
    <w:rsid w:val="00512DBE"/>
    <w:rsid w:val="00512F6F"/>
    <w:rsid w:val="005143DD"/>
    <w:rsid w:val="00515ED7"/>
    <w:rsid w:val="00516C58"/>
    <w:rsid w:val="0051737D"/>
    <w:rsid w:val="005224A0"/>
    <w:rsid w:val="0052352A"/>
    <w:rsid w:val="005248DC"/>
    <w:rsid w:val="00524CDE"/>
    <w:rsid w:val="00525752"/>
    <w:rsid w:val="00526862"/>
    <w:rsid w:val="00530FCD"/>
    <w:rsid w:val="00532011"/>
    <w:rsid w:val="005320F8"/>
    <w:rsid w:val="00533274"/>
    <w:rsid w:val="005359A7"/>
    <w:rsid w:val="00535DA6"/>
    <w:rsid w:val="00536E21"/>
    <w:rsid w:val="00537322"/>
    <w:rsid w:val="00540668"/>
    <w:rsid w:val="00540C5D"/>
    <w:rsid w:val="00541E6B"/>
    <w:rsid w:val="00541FC8"/>
    <w:rsid w:val="00543113"/>
    <w:rsid w:val="00546C4C"/>
    <w:rsid w:val="00550738"/>
    <w:rsid w:val="005514C4"/>
    <w:rsid w:val="0055413D"/>
    <w:rsid w:val="00555A17"/>
    <w:rsid w:val="00556BBA"/>
    <w:rsid w:val="00564DEC"/>
    <w:rsid w:val="005662AC"/>
    <w:rsid w:val="005747C4"/>
    <w:rsid w:val="005767C8"/>
    <w:rsid w:val="005815CB"/>
    <w:rsid w:val="00582EFF"/>
    <w:rsid w:val="005853E6"/>
    <w:rsid w:val="00587CD7"/>
    <w:rsid w:val="0059124A"/>
    <w:rsid w:val="00591464"/>
    <w:rsid w:val="005A10EA"/>
    <w:rsid w:val="005A1605"/>
    <w:rsid w:val="005A1C33"/>
    <w:rsid w:val="005A38B8"/>
    <w:rsid w:val="005A4C29"/>
    <w:rsid w:val="005A6734"/>
    <w:rsid w:val="005A7B14"/>
    <w:rsid w:val="005B0086"/>
    <w:rsid w:val="005B0251"/>
    <w:rsid w:val="005B0BF3"/>
    <w:rsid w:val="005B574D"/>
    <w:rsid w:val="005B6A8E"/>
    <w:rsid w:val="005B7A21"/>
    <w:rsid w:val="005C28BF"/>
    <w:rsid w:val="005C3891"/>
    <w:rsid w:val="005C3D11"/>
    <w:rsid w:val="005C4FE0"/>
    <w:rsid w:val="005C6E54"/>
    <w:rsid w:val="005C7E83"/>
    <w:rsid w:val="005D0466"/>
    <w:rsid w:val="005D047B"/>
    <w:rsid w:val="005D05AE"/>
    <w:rsid w:val="005D15B5"/>
    <w:rsid w:val="005D1D26"/>
    <w:rsid w:val="005D4881"/>
    <w:rsid w:val="005D569A"/>
    <w:rsid w:val="005D5B30"/>
    <w:rsid w:val="005D752A"/>
    <w:rsid w:val="005E079F"/>
    <w:rsid w:val="005E392C"/>
    <w:rsid w:val="005E7444"/>
    <w:rsid w:val="005F2B6B"/>
    <w:rsid w:val="005F35B9"/>
    <w:rsid w:val="005F3779"/>
    <w:rsid w:val="005F466A"/>
    <w:rsid w:val="005F5D85"/>
    <w:rsid w:val="005F6812"/>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181D"/>
    <w:rsid w:val="006253A0"/>
    <w:rsid w:val="0062665A"/>
    <w:rsid w:val="0062698C"/>
    <w:rsid w:val="00630648"/>
    <w:rsid w:val="006309A0"/>
    <w:rsid w:val="006372F4"/>
    <w:rsid w:val="00637C8E"/>
    <w:rsid w:val="00640A11"/>
    <w:rsid w:val="006428BE"/>
    <w:rsid w:val="00642E9F"/>
    <w:rsid w:val="00650521"/>
    <w:rsid w:val="00651023"/>
    <w:rsid w:val="006524E7"/>
    <w:rsid w:val="00653788"/>
    <w:rsid w:val="0065423A"/>
    <w:rsid w:val="006565C8"/>
    <w:rsid w:val="00660696"/>
    <w:rsid w:val="00660FA6"/>
    <w:rsid w:val="00661C40"/>
    <w:rsid w:val="00663CB3"/>
    <w:rsid w:val="00664184"/>
    <w:rsid w:val="006652DD"/>
    <w:rsid w:val="0066592E"/>
    <w:rsid w:val="006669BF"/>
    <w:rsid w:val="00670496"/>
    <w:rsid w:val="006724B9"/>
    <w:rsid w:val="00672E0E"/>
    <w:rsid w:val="00673FE4"/>
    <w:rsid w:val="006747C5"/>
    <w:rsid w:val="00676463"/>
    <w:rsid w:val="00680CBB"/>
    <w:rsid w:val="00683309"/>
    <w:rsid w:val="006834AF"/>
    <w:rsid w:val="00683843"/>
    <w:rsid w:val="00683F3E"/>
    <w:rsid w:val="0068454F"/>
    <w:rsid w:val="0068492B"/>
    <w:rsid w:val="00685B6B"/>
    <w:rsid w:val="00687BBE"/>
    <w:rsid w:val="00690920"/>
    <w:rsid w:val="00693643"/>
    <w:rsid w:val="00695838"/>
    <w:rsid w:val="00695D94"/>
    <w:rsid w:val="006960DA"/>
    <w:rsid w:val="006A0F0B"/>
    <w:rsid w:val="006A1A37"/>
    <w:rsid w:val="006A1E9E"/>
    <w:rsid w:val="006A21FC"/>
    <w:rsid w:val="006A2F36"/>
    <w:rsid w:val="006A5163"/>
    <w:rsid w:val="006B0989"/>
    <w:rsid w:val="006B0E5E"/>
    <w:rsid w:val="006B2658"/>
    <w:rsid w:val="006B2F61"/>
    <w:rsid w:val="006B4295"/>
    <w:rsid w:val="006B557E"/>
    <w:rsid w:val="006B6985"/>
    <w:rsid w:val="006B7B0A"/>
    <w:rsid w:val="006C070F"/>
    <w:rsid w:val="006C170E"/>
    <w:rsid w:val="006C38DC"/>
    <w:rsid w:val="006C45AA"/>
    <w:rsid w:val="006C4822"/>
    <w:rsid w:val="006D12BE"/>
    <w:rsid w:val="006D225C"/>
    <w:rsid w:val="006D3B6B"/>
    <w:rsid w:val="006D4C55"/>
    <w:rsid w:val="006D5BA9"/>
    <w:rsid w:val="006D642E"/>
    <w:rsid w:val="006E0967"/>
    <w:rsid w:val="006E45DD"/>
    <w:rsid w:val="006E4E3C"/>
    <w:rsid w:val="006E56A2"/>
    <w:rsid w:val="006E640F"/>
    <w:rsid w:val="006E6A64"/>
    <w:rsid w:val="006E7E9F"/>
    <w:rsid w:val="006F0B1A"/>
    <w:rsid w:val="006F107B"/>
    <w:rsid w:val="006F1A2F"/>
    <w:rsid w:val="006F20FD"/>
    <w:rsid w:val="006F3115"/>
    <w:rsid w:val="006F3607"/>
    <w:rsid w:val="006F5F3F"/>
    <w:rsid w:val="006F7C55"/>
    <w:rsid w:val="00700617"/>
    <w:rsid w:val="00701097"/>
    <w:rsid w:val="00701EDC"/>
    <w:rsid w:val="00702977"/>
    <w:rsid w:val="00702F51"/>
    <w:rsid w:val="00703CD6"/>
    <w:rsid w:val="00704DA4"/>
    <w:rsid w:val="0070655B"/>
    <w:rsid w:val="00711F7C"/>
    <w:rsid w:val="00712590"/>
    <w:rsid w:val="00712A36"/>
    <w:rsid w:val="0071463C"/>
    <w:rsid w:val="00715039"/>
    <w:rsid w:val="00716A6B"/>
    <w:rsid w:val="007179BE"/>
    <w:rsid w:val="00717A35"/>
    <w:rsid w:val="00717D2E"/>
    <w:rsid w:val="0072082F"/>
    <w:rsid w:val="00720B6F"/>
    <w:rsid w:val="00721D80"/>
    <w:rsid w:val="00722E11"/>
    <w:rsid w:val="00723434"/>
    <w:rsid w:val="0072425F"/>
    <w:rsid w:val="00724524"/>
    <w:rsid w:val="00725317"/>
    <w:rsid w:val="007264E0"/>
    <w:rsid w:val="007269A3"/>
    <w:rsid w:val="00726A28"/>
    <w:rsid w:val="0072735A"/>
    <w:rsid w:val="007275D7"/>
    <w:rsid w:val="007304CB"/>
    <w:rsid w:val="00734053"/>
    <w:rsid w:val="00734241"/>
    <w:rsid w:val="00736DB4"/>
    <w:rsid w:val="0073710B"/>
    <w:rsid w:val="0074053D"/>
    <w:rsid w:val="00740D24"/>
    <w:rsid w:val="00742899"/>
    <w:rsid w:val="007433F8"/>
    <w:rsid w:val="007501D0"/>
    <w:rsid w:val="007508DA"/>
    <w:rsid w:val="00751369"/>
    <w:rsid w:val="00751EF6"/>
    <w:rsid w:val="007543E9"/>
    <w:rsid w:val="007548FD"/>
    <w:rsid w:val="00755550"/>
    <w:rsid w:val="007573C3"/>
    <w:rsid w:val="0076001A"/>
    <w:rsid w:val="00760A57"/>
    <w:rsid w:val="00760DA7"/>
    <w:rsid w:val="0076239B"/>
    <w:rsid w:val="00766185"/>
    <w:rsid w:val="00771167"/>
    <w:rsid w:val="007736DF"/>
    <w:rsid w:val="00774E8C"/>
    <w:rsid w:val="00775119"/>
    <w:rsid w:val="0077554B"/>
    <w:rsid w:val="00775B66"/>
    <w:rsid w:val="0077641D"/>
    <w:rsid w:val="00780BBD"/>
    <w:rsid w:val="00781720"/>
    <w:rsid w:val="00783D28"/>
    <w:rsid w:val="00785D7E"/>
    <w:rsid w:val="007914C8"/>
    <w:rsid w:val="007919D0"/>
    <w:rsid w:val="00791DB7"/>
    <w:rsid w:val="00796058"/>
    <w:rsid w:val="007961ED"/>
    <w:rsid w:val="0079674C"/>
    <w:rsid w:val="00797CFD"/>
    <w:rsid w:val="007A1F5B"/>
    <w:rsid w:val="007A2E38"/>
    <w:rsid w:val="007A4CC9"/>
    <w:rsid w:val="007A4F7D"/>
    <w:rsid w:val="007A5C1E"/>
    <w:rsid w:val="007A5F41"/>
    <w:rsid w:val="007A669F"/>
    <w:rsid w:val="007A7E78"/>
    <w:rsid w:val="007B18ED"/>
    <w:rsid w:val="007B2660"/>
    <w:rsid w:val="007B29BB"/>
    <w:rsid w:val="007B2DFB"/>
    <w:rsid w:val="007B52B9"/>
    <w:rsid w:val="007B5D24"/>
    <w:rsid w:val="007B6F82"/>
    <w:rsid w:val="007C05F6"/>
    <w:rsid w:val="007C1B99"/>
    <w:rsid w:val="007C3603"/>
    <w:rsid w:val="007C3721"/>
    <w:rsid w:val="007C4179"/>
    <w:rsid w:val="007C5DA4"/>
    <w:rsid w:val="007C7399"/>
    <w:rsid w:val="007D1283"/>
    <w:rsid w:val="007D277B"/>
    <w:rsid w:val="007D2D4A"/>
    <w:rsid w:val="007D331F"/>
    <w:rsid w:val="007D46F9"/>
    <w:rsid w:val="007D4C94"/>
    <w:rsid w:val="007D4DF4"/>
    <w:rsid w:val="007D4E10"/>
    <w:rsid w:val="007D6756"/>
    <w:rsid w:val="007D7028"/>
    <w:rsid w:val="007E2B56"/>
    <w:rsid w:val="007E2F44"/>
    <w:rsid w:val="007E3BCF"/>
    <w:rsid w:val="007E421A"/>
    <w:rsid w:val="007E4274"/>
    <w:rsid w:val="007E4CE9"/>
    <w:rsid w:val="007E5567"/>
    <w:rsid w:val="007E6681"/>
    <w:rsid w:val="007E6A10"/>
    <w:rsid w:val="007E7C2D"/>
    <w:rsid w:val="007F17D0"/>
    <w:rsid w:val="007F197F"/>
    <w:rsid w:val="007F260B"/>
    <w:rsid w:val="007F46A7"/>
    <w:rsid w:val="007F6E4D"/>
    <w:rsid w:val="00800ADC"/>
    <w:rsid w:val="00800AEA"/>
    <w:rsid w:val="00803E18"/>
    <w:rsid w:val="00807643"/>
    <w:rsid w:val="00814E3D"/>
    <w:rsid w:val="00815458"/>
    <w:rsid w:val="00815669"/>
    <w:rsid w:val="00815D87"/>
    <w:rsid w:val="008208B7"/>
    <w:rsid w:val="00821567"/>
    <w:rsid w:val="0082305A"/>
    <w:rsid w:val="00823A40"/>
    <w:rsid w:val="00826432"/>
    <w:rsid w:val="00831EC7"/>
    <w:rsid w:val="00832A4D"/>
    <w:rsid w:val="008335B6"/>
    <w:rsid w:val="008357B3"/>
    <w:rsid w:val="0084002E"/>
    <w:rsid w:val="00841169"/>
    <w:rsid w:val="0084150F"/>
    <w:rsid w:val="00842B2C"/>
    <w:rsid w:val="00842B89"/>
    <w:rsid w:val="008434DE"/>
    <w:rsid w:val="00846891"/>
    <w:rsid w:val="008506B4"/>
    <w:rsid w:val="008506D5"/>
    <w:rsid w:val="00850724"/>
    <w:rsid w:val="00850AF4"/>
    <w:rsid w:val="0085139F"/>
    <w:rsid w:val="008516D7"/>
    <w:rsid w:val="00852C5E"/>
    <w:rsid w:val="00852F5A"/>
    <w:rsid w:val="00853D20"/>
    <w:rsid w:val="00853E81"/>
    <w:rsid w:val="00856BB8"/>
    <w:rsid w:val="008571E9"/>
    <w:rsid w:val="008600FE"/>
    <w:rsid w:val="00861733"/>
    <w:rsid w:val="00861A2E"/>
    <w:rsid w:val="00861A31"/>
    <w:rsid w:val="00862CEB"/>
    <w:rsid w:val="00863AA4"/>
    <w:rsid w:val="00863DDF"/>
    <w:rsid w:val="00866185"/>
    <w:rsid w:val="00866475"/>
    <w:rsid w:val="008704E9"/>
    <w:rsid w:val="0087128B"/>
    <w:rsid w:val="00872D80"/>
    <w:rsid w:val="00872E1F"/>
    <w:rsid w:val="00872F49"/>
    <w:rsid w:val="008731A2"/>
    <w:rsid w:val="0087345B"/>
    <w:rsid w:val="0087370F"/>
    <w:rsid w:val="00874D58"/>
    <w:rsid w:val="00876A7C"/>
    <w:rsid w:val="00876B11"/>
    <w:rsid w:val="00877266"/>
    <w:rsid w:val="008826AF"/>
    <w:rsid w:val="00883B15"/>
    <w:rsid w:val="00885DD6"/>
    <w:rsid w:val="00886C85"/>
    <w:rsid w:val="008903A6"/>
    <w:rsid w:val="008906AD"/>
    <w:rsid w:val="008907B4"/>
    <w:rsid w:val="00890B76"/>
    <w:rsid w:val="00890C18"/>
    <w:rsid w:val="00892348"/>
    <w:rsid w:val="00896B7D"/>
    <w:rsid w:val="00896F25"/>
    <w:rsid w:val="00896F9E"/>
    <w:rsid w:val="00897EA1"/>
    <w:rsid w:val="008A008B"/>
    <w:rsid w:val="008A518D"/>
    <w:rsid w:val="008A5B08"/>
    <w:rsid w:val="008A6284"/>
    <w:rsid w:val="008A6434"/>
    <w:rsid w:val="008B10BB"/>
    <w:rsid w:val="008B1700"/>
    <w:rsid w:val="008B2208"/>
    <w:rsid w:val="008B26BA"/>
    <w:rsid w:val="008B26DF"/>
    <w:rsid w:val="008B5067"/>
    <w:rsid w:val="008B6AF2"/>
    <w:rsid w:val="008B6E19"/>
    <w:rsid w:val="008B7338"/>
    <w:rsid w:val="008B782B"/>
    <w:rsid w:val="008B79F7"/>
    <w:rsid w:val="008B7B4B"/>
    <w:rsid w:val="008C059B"/>
    <w:rsid w:val="008C2174"/>
    <w:rsid w:val="008C2AFC"/>
    <w:rsid w:val="008C4A4D"/>
    <w:rsid w:val="008C5F70"/>
    <w:rsid w:val="008C694D"/>
    <w:rsid w:val="008C6CEB"/>
    <w:rsid w:val="008C6F48"/>
    <w:rsid w:val="008C712A"/>
    <w:rsid w:val="008D0FCE"/>
    <w:rsid w:val="008D1BEB"/>
    <w:rsid w:val="008D2404"/>
    <w:rsid w:val="008D3AA5"/>
    <w:rsid w:val="008D4752"/>
    <w:rsid w:val="008D4A96"/>
    <w:rsid w:val="008D4D36"/>
    <w:rsid w:val="008D6DA5"/>
    <w:rsid w:val="008D765A"/>
    <w:rsid w:val="008D78E1"/>
    <w:rsid w:val="008D7BB5"/>
    <w:rsid w:val="008E15F4"/>
    <w:rsid w:val="008E336B"/>
    <w:rsid w:val="008E3437"/>
    <w:rsid w:val="008E3838"/>
    <w:rsid w:val="008E3D10"/>
    <w:rsid w:val="008E5DE8"/>
    <w:rsid w:val="008F01C4"/>
    <w:rsid w:val="008F162A"/>
    <w:rsid w:val="008F1F22"/>
    <w:rsid w:val="008F471B"/>
    <w:rsid w:val="008F4DD4"/>
    <w:rsid w:val="008F55A2"/>
    <w:rsid w:val="008F6A51"/>
    <w:rsid w:val="008F6AC8"/>
    <w:rsid w:val="009014EA"/>
    <w:rsid w:val="00901757"/>
    <w:rsid w:val="009026C3"/>
    <w:rsid w:val="00902A54"/>
    <w:rsid w:val="009033B5"/>
    <w:rsid w:val="0090554B"/>
    <w:rsid w:val="009066F7"/>
    <w:rsid w:val="00907CDB"/>
    <w:rsid w:val="009104CE"/>
    <w:rsid w:val="0091070F"/>
    <w:rsid w:val="00911180"/>
    <w:rsid w:val="009126FE"/>
    <w:rsid w:val="00912A46"/>
    <w:rsid w:val="009142F6"/>
    <w:rsid w:val="00915E94"/>
    <w:rsid w:val="009227B4"/>
    <w:rsid w:val="009231B9"/>
    <w:rsid w:val="00925A7D"/>
    <w:rsid w:val="00925BA7"/>
    <w:rsid w:val="00926C86"/>
    <w:rsid w:val="00927758"/>
    <w:rsid w:val="00927D77"/>
    <w:rsid w:val="009309AB"/>
    <w:rsid w:val="00930B9A"/>
    <w:rsid w:val="00931A81"/>
    <w:rsid w:val="0093232A"/>
    <w:rsid w:val="00932830"/>
    <w:rsid w:val="00934693"/>
    <w:rsid w:val="009348DD"/>
    <w:rsid w:val="009351D7"/>
    <w:rsid w:val="00936812"/>
    <w:rsid w:val="0093694A"/>
    <w:rsid w:val="00936E0C"/>
    <w:rsid w:val="00937EDD"/>
    <w:rsid w:val="009404EC"/>
    <w:rsid w:val="00941491"/>
    <w:rsid w:val="00941D51"/>
    <w:rsid w:val="00943D06"/>
    <w:rsid w:val="00944CAD"/>
    <w:rsid w:val="00946CA5"/>
    <w:rsid w:val="00947D8C"/>
    <w:rsid w:val="009500E7"/>
    <w:rsid w:val="0095031F"/>
    <w:rsid w:val="009505AE"/>
    <w:rsid w:val="009513D6"/>
    <w:rsid w:val="00951B10"/>
    <w:rsid w:val="0095254D"/>
    <w:rsid w:val="00952BB2"/>
    <w:rsid w:val="00954A27"/>
    <w:rsid w:val="00955368"/>
    <w:rsid w:val="00956836"/>
    <w:rsid w:val="00956EB7"/>
    <w:rsid w:val="009577A3"/>
    <w:rsid w:val="00957B58"/>
    <w:rsid w:val="00960AD0"/>
    <w:rsid w:val="00963188"/>
    <w:rsid w:val="00964667"/>
    <w:rsid w:val="00967406"/>
    <w:rsid w:val="00982523"/>
    <w:rsid w:val="0098337C"/>
    <w:rsid w:val="0098383B"/>
    <w:rsid w:val="00987062"/>
    <w:rsid w:val="00990555"/>
    <w:rsid w:val="009918A7"/>
    <w:rsid w:val="00991A14"/>
    <w:rsid w:val="00994366"/>
    <w:rsid w:val="009947F3"/>
    <w:rsid w:val="00994A79"/>
    <w:rsid w:val="00995170"/>
    <w:rsid w:val="009977DD"/>
    <w:rsid w:val="00997C0F"/>
    <w:rsid w:val="009A1494"/>
    <w:rsid w:val="009A1BF1"/>
    <w:rsid w:val="009A23E4"/>
    <w:rsid w:val="009B0B47"/>
    <w:rsid w:val="009B0F48"/>
    <w:rsid w:val="009B1141"/>
    <w:rsid w:val="009B3382"/>
    <w:rsid w:val="009B3478"/>
    <w:rsid w:val="009B3A21"/>
    <w:rsid w:val="009B4CFF"/>
    <w:rsid w:val="009B5946"/>
    <w:rsid w:val="009B717E"/>
    <w:rsid w:val="009B71AB"/>
    <w:rsid w:val="009C10E4"/>
    <w:rsid w:val="009C2B77"/>
    <w:rsid w:val="009C4A36"/>
    <w:rsid w:val="009C5AEB"/>
    <w:rsid w:val="009D1283"/>
    <w:rsid w:val="009D22F8"/>
    <w:rsid w:val="009D7B40"/>
    <w:rsid w:val="009D7D94"/>
    <w:rsid w:val="009E0EB6"/>
    <w:rsid w:val="009E166A"/>
    <w:rsid w:val="009E3EA6"/>
    <w:rsid w:val="009E481E"/>
    <w:rsid w:val="009E4F60"/>
    <w:rsid w:val="009E4F6F"/>
    <w:rsid w:val="009E519A"/>
    <w:rsid w:val="009E5515"/>
    <w:rsid w:val="009E765A"/>
    <w:rsid w:val="009F263A"/>
    <w:rsid w:val="009F4241"/>
    <w:rsid w:val="009F5183"/>
    <w:rsid w:val="009F52F2"/>
    <w:rsid w:val="009F72FD"/>
    <w:rsid w:val="00A0024C"/>
    <w:rsid w:val="00A014EA"/>
    <w:rsid w:val="00A02F9B"/>
    <w:rsid w:val="00A05399"/>
    <w:rsid w:val="00A0547A"/>
    <w:rsid w:val="00A06CF5"/>
    <w:rsid w:val="00A07570"/>
    <w:rsid w:val="00A07B6D"/>
    <w:rsid w:val="00A1054A"/>
    <w:rsid w:val="00A105F8"/>
    <w:rsid w:val="00A14CBE"/>
    <w:rsid w:val="00A170CC"/>
    <w:rsid w:val="00A172DE"/>
    <w:rsid w:val="00A173AE"/>
    <w:rsid w:val="00A20A78"/>
    <w:rsid w:val="00A210D4"/>
    <w:rsid w:val="00A2129B"/>
    <w:rsid w:val="00A21ADC"/>
    <w:rsid w:val="00A25833"/>
    <w:rsid w:val="00A25C2F"/>
    <w:rsid w:val="00A27BCC"/>
    <w:rsid w:val="00A3091D"/>
    <w:rsid w:val="00A321C6"/>
    <w:rsid w:val="00A33806"/>
    <w:rsid w:val="00A34650"/>
    <w:rsid w:val="00A34BEC"/>
    <w:rsid w:val="00A3589E"/>
    <w:rsid w:val="00A35FFE"/>
    <w:rsid w:val="00A3683F"/>
    <w:rsid w:val="00A36A75"/>
    <w:rsid w:val="00A36F96"/>
    <w:rsid w:val="00A37429"/>
    <w:rsid w:val="00A37B8B"/>
    <w:rsid w:val="00A41323"/>
    <w:rsid w:val="00A43667"/>
    <w:rsid w:val="00A4401A"/>
    <w:rsid w:val="00A45011"/>
    <w:rsid w:val="00A46441"/>
    <w:rsid w:val="00A478FD"/>
    <w:rsid w:val="00A47912"/>
    <w:rsid w:val="00A503EE"/>
    <w:rsid w:val="00A52841"/>
    <w:rsid w:val="00A536E0"/>
    <w:rsid w:val="00A54615"/>
    <w:rsid w:val="00A549FB"/>
    <w:rsid w:val="00A54B91"/>
    <w:rsid w:val="00A54D43"/>
    <w:rsid w:val="00A55B06"/>
    <w:rsid w:val="00A55DEA"/>
    <w:rsid w:val="00A56177"/>
    <w:rsid w:val="00A5645A"/>
    <w:rsid w:val="00A62BF1"/>
    <w:rsid w:val="00A62C64"/>
    <w:rsid w:val="00A6367D"/>
    <w:rsid w:val="00A65997"/>
    <w:rsid w:val="00A66854"/>
    <w:rsid w:val="00A6779F"/>
    <w:rsid w:val="00A7038D"/>
    <w:rsid w:val="00A704A9"/>
    <w:rsid w:val="00A70622"/>
    <w:rsid w:val="00A712DA"/>
    <w:rsid w:val="00A71E9F"/>
    <w:rsid w:val="00A72647"/>
    <w:rsid w:val="00A730AA"/>
    <w:rsid w:val="00A74E2B"/>
    <w:rsid w:val="00A808D7"/>
    <w:rsid w:val="00A811DA"/>
    <w:rsid w:val="00A8125B"/>
    <w:rsid w:val="00A8134F"/>
    <w:rsid w:val="00A81402"/>
    <w:rsid w:val="00A82953"/>
    <w:rsid w:val="00A835AE"/>
    <w:rsid w:val="00A83834"/>
    <w:rsid w:val="00A83C7D"/>
    <w:rsid w:val="00A844AA"/>
    <w:rsid w:val="00A85386"/>
    <w:rsid w:val="00A8672B"/>
    <w:rsid w:val="00A877C7"/>
    <w:rsid w:val="00A90D5A"/>
    <w:rsid w:val="00A9153D"/>
    <w:rsid w:val="00A92A21"/>
    <w:rsid w:val="00A931F0"/>
    <w:rsid w:val="00A95673"/>
    <w:rsid w:val="00A95921"/>
    <w:rsid w:val="00A95B62"/>
    <w:rsid w:val="00A95D23"/>
    <w:rsid w:val="00AA1334"/>
    <w:rsid w:val="00AA1CC1"/>
    <w:rsid w:val="00AA30CA"/>
    <w:rsid w:val="00AA4121"/>
    <w:rsid w:val="00AA6E8E"/>
    <w:rsid w:val="00AB1A68"/>
    <w:rsid w:val="00AB353E"/>
    <w:rsid w:val="00AB3E0E"/>
    <w:rsid w:val="00AB445E"/>
    <w:rsid w:val="00AB4A50"/>
    <w:rsid w:val="00AB6042"/>
    <w:rsid w:val="00AC14B9"/>
    <w:rsid w:val="00AC2BF0"/>
    <w:rsid w:val="00AC2F49"/>
    <w:rsid w:val="00AC3BA6"/>
    <w:rsid w:val="00AC44C1"/>
    <w:rsid w:val="00AD07FE"/>
    <w:rsid w:val="00AD0A26"/>
    <w:rsid w:val="00AD21B7"/>
    <w:rsid w:val="00AD30DB"/>
    <w:rsid w:val="00AD3350"/>
    <w:rsid w:val="00AD3B0F"/>
    <w:rsid w:val="00AD3E93"/>
    <w:rsid w:val="00AD41D1"/>
    <w:rsid w:val="00AD5878"/>
    <w:rsid w:val="00AD632D"/>
    <w:rsid w:val="00AD75B9"/>
    <w:rsid w:val="00AD7DC0"/>
    <w:rsid w:val="00AD7FF9"/>
    <w:rsid w:val="00AE3A1F"/>
    <w:rsid w:val="00AE3D34"/>
    <w:rsid w:val="00AE580E"/>
    <w:rsid w:val="00AF04EA"/>
    <w:rsid w:val="00AF0995"/>
    <w:rsid w:val="00AF19A1"/>
    <w:rsid w:val="00AF3245"/>
    <w:rsid w:val="00AF34C9"/>
    <w:rsid w:val="00AF466E"/>
    <w:rsid w:val="00AF477A"/>
    <w:rsid w:val="00AF4803"/>
    <w:rsid w:val="00AF4C4C"/>
    <w:rsid w:val="00AF51CC"/>
    <w:rsid w:val="00AF62AA"/>
    <w:rsid w:val="00AF7B7E"/>
    <w:rsid w:val="00B004CF"/>
    <w:rsid w:val="00B01AE3"/>
    <w:rsid w:val="00B01C56"/>
    <w:rsid w:val="00B03AAF"/>
    <w:rsid w:val="00B055DB"/>
    <w:rsid w:val="00B1029E"/>
    <w:rsid w:val="00B10593"/>
    <w:rsid w:val="00B11F6F"/>
    <w:rsid w:val="00B1236E"/>
    <w:rsid w:val="00B12D8B"/>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5B11"/>
    <w:rsid w:val="00B36A40"/>
    <w:rsid w:val="00B40308"/>
    <w:rsid w:val="00B4051A"/>
    <w:rsid w:val="00B40531"/>
    <w:rsid w:val="00B40D6E"/>
    <w:rsid w:val="00B416B5"/>
    <w:rsid w:val="00B41701"/>
    <w:rsid w:val="00B42D9C"/>
    <w:rsid w:val="00B43BC5"/>
    <w:rsid w:val="00B46941"/>
    <w:rsid w:val="00B50676"/>
    <w:rsid w:val="00B51264"/>
    <w:rsid w:val="00B51451"/>
    <w:rsid w:val="00B51A90"/>
    <w:rsid w:val="00B523A3"/>
    <w:rsid w:val="00B5336D"/>
    <w:rsid w:val="00B5559F"/>
    <w:rsid w:val="00B56BCE"/>
    <w:rsid w:val="00B6025A"/>
    <w:rsid w:val="00B6050B"/>
    <w:rsid w:val="00B6196D"/>
    <w:rsid w:val="00B6486A"/>
    <w:rsid w:val="00B66882"/>
    <w:rsid w:val="00B67343"/>
    <w:rsid w:val="00B67E15"/>
    <w:rsid w:val="00B719E1"/>
    <w:rsid w:val="00B72DF4"/>
    <w:rsid w:val="00B72F51"/>
    <w:rsid w:val="00B73260"/>
    <w:rsid w:val="00B73393"/>
    <w:rsid w:val="00B73ECE"/>
    <w:rsid w:val="00B76478"/>
    <w:rsid w:val="00B77018"/>
    <w:rsid w:val="00B77E51"/>
    <w:rsid w:val="00B817A6"/>
    <w:rsid w:val="00B8432A"/>
    <w:rsid w:val="00B84E3D"/>
    <w:rsid w:val="00B858FE"/>
    <w:rsid w:val="00B872D6"/>
    <w:rsid w:val="00B9042C"/>
    <w:rsid w:val="00B9420D"/>
    <w:rsid w:val="00B95FAB"/>
    <w:rsid w:val="00B96D33"/>
    <w:rsid w:val="00B97461"/>
    <w:rsid w:val="00BA07E2"/>
    <w:rsid w:val="00BA2B10"/>
    <w:rsid w:val="00BA467A"/>
    <w:rsid w:val="00BB350B"/>
    <w:rsid w:val="00BB688F"/>
    <w:rsid w:val="00BB70AC"/>
    <w:rsid w:val="00BC1474"/>
    <w:rsid w:val="00BC283C"/>
    <w:rsid w:val="00BC50F7"/>
    <w:rsid w:val="00BC692D"/>
    <w:rsid w:val="00BC7C29"/>
    <w:rsid w:val="00BD2739"/>
    <w:rsid w:val="00BD465D"/>
    <w:rsid w:val="00BD55AF"/>
    <w:rsid w:val="00BE009D"/>
    <w:rsid w:val="00BE03B1"/>
    <w:rsid w:val="00BE074E"/>
    <w:rsid w:val="00BE0BC3"/>
    <w:rsid w:val="00BE3F31"/>
    <w:rsid w:val="00BF0424"/>
    <w:rsid w:val="00BF1E83"/>
    <w:rsid w:val="00BF29D9"/>
    <w:rsid w:val="00BF2C7A"/>
    <w:rsid w:val="00BF42DA"/>
    <w:rsid w:val="00BF6A94"/>
    <w:rsid w:val="00BF7638"/>
    <w:rsid w:val="00C01DCD"/>
    <w:rsid w:val="00C02835"/>
    <w:rsid w:val="00C10016"/>
    <w:rsid w:val="00C10E26"/>
    <w:rsid w:val="00C131FF"/>
    <w:rsid w:val="00C13C32"/>
    <w:rsid w:val="00C13E48"/>
    <w:rsid w:val="00C14CAE"/>
    <w:rsid w:val="00C15999"/>
    <w:rsid w:val="00C20617"/>
    <w:rsid w:val="00C22CBF"/>
    <w:rsid w:val="00C24BB4"/>
    <w:rsid w:val="00C25640"/>
    <w:rsid w:val="00C26932"/>
    <w:rsid w:val="00C32B61"/>
    <w:rsid w:val="00C3391A"/>
    <w:rsid w:val="00C36E9A"/>
    <w:rsid w:val="00C3764E"/>
    <w:rsid w:val="00C4269D"/>
    <w:rsid w:val="00C43B0D"/>
    <w:rsid w:val="00C43D48"/>
    <w:rsid w:val="00C4435A"/>
    <w:rsid w:val="00C46E51"/>
    <w:rsid w:val="00C51846"/>
    <w:rsid w:val="00C5185A"/>
    <w:rsid w:val="00C53C66"/>
    <w:rsid w:val="00C53D86"/>
    <w:rsid w:val="00C567FF"/>
    <w:rsid w:val="00C5702D"/>
    <w:rsid w:val="00C574E0"/>
    <w:rsid w:val="00C57814"/>
    <w:rsid w:val="00C6092A"/>
    <w:rsid w:val="00C60BD5"/>
    <w:rsid w:val="00C613F2"/>
    <w:rsid w:val="00C62FA4"/>
    <w:rsid w:val="00C643D4"/>
    <w:rsid w:val="00C6497C"/>
    <w:rsid w:val="00C66974"/>
    <w:rsid w:val="00C67B43"/>
    <w:rsid w:val="00C73070"/>
    <w:rsid w:val="00C73D6A"/>
    <w:rsid w:val="00C74666"/>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0E99"/>
    <w:rsid w:val="00C912AD"/>
    <w:rsid w:val="00C9368B"/>
    <w:rsid w:val="00C95454"/>
    <w:rsid w:val="00C95716"/>
    <w:rsid w:val="00C97827"/>
    <w:rsid w:val="00C97A03"/>
    <w:rsid w:val="00CA0357"/>
    <w:rsid w:val="00CA0CF5"/>
    <w:rsid w:val="00CA21C9"/>
    <w:rsid w:val="00CA2483"/>
    <w:rsid w:val="00CA3714"/>
    <w:rsid w:val="00CA3F71"/>
    <w:rsid w:val="00CA5A31"/>
    <w:rsid w:val="00CA5B28"/>
    <w:rsid w:val="00CA77FB"/>
    <w:rsid w:val="00CB0B8B"/>
    <w:rsid w:val="00CB27CC"/>
    <w:rsid w:val="00CB2B32"/>
    <w:rsid w:val="00CB2D86"/>
    <w:rsid w:val="00CB4A03"/>
    <w:rsid w:val="00CC16DD"/>
    <w:rsid w:val="00CC1BB0"/>
    <w:rsid w:val="00CC2462"/>
    <w:rsid w:val="00CC3D71"/>
    <w:rsid w:val="00CC4DA8"/>
    <w:rsid w:val="00CC5A11"/>
    <w:rsid w:val="00CC7214"/>
    <w:rsid w:val="00CD0C80"/>
    <w:rsid w:val="00CD661D"/>
    <w:rsid w:val="00CE2F4E"/>
    <w:rsid w:val="00CE3174"/>
    <w:rsid w:val="00CE43BD"/>
    <w:rsid w:val="00CE51C5"/>
    <w:rsid w:val="00CE6A12"/>
    <w:rsid w:val="00CE75E3"/>
    <w:rsid w:val="00CF1122"/>
    <w:rsid w:val="00CF127D"/>
    <w:rsid w:val="00CF561D"/>
    <w:rsid w:val="00CF6EB7"/>
    <w:rsid w:val="00CF7A94"/>
    <w:rsid w:val="00D00070"/>
    <w:rsid w:val="00D00BD0"/>
    <w:rsid w:val="00D0289E"/>
    <w:rsid w:val="00D03754"/>
    <w:rsid w:val="00D04186"/>
    <w:rsid w:val="00D045AC"/>
    <w:rsid w:val="00D04EF2"/>
    <w:rsid w:val="00D04F06"/>
    <w:rsid w:val="00D07BF0"/>
    <w:rsid w:val="00D10098"/>
    <w:rsid w:val="00D115D2"/>
    <w:rsid w:val="00D13544"/>
    <w:rsid w:val="00D13C8D"/>
    <w:rsid w:val="00D148A8"/>
    <w:rsid w:val="00D151B8"/>
    <w:rsid w:val="00D15630"/>
    <w:rsid w:val="00D1660D"/>
    <w:rsid w:val="00D168D5"/>
    <w:rsid w:val="00D17641"/>
    <w:rsid w:val="00D200F0"/>
    <w:rsid w:val="00D207E4"/>
    <w:rsid w:val="00D25FFD"/>
    <w:rsid w:val="00D26E24"/>
    <w:rsid w:val="00D276F1"/>
    <w:rsid w:val="00D278D8"/>
    <w:rsid w:val="00D30D9D"/>
    <w:rsid w:val="00D31C7F"/>
    <w:rsid w:val="00D33088"/>
    <w:rsid w:val="00D33680"/>
    <w:rsid w:val="00D33BD0"/>
    <w:rsid w:val="00D33D96"/>
    <w:rsid w:val="00D348B0"/>
    <w:rsid w:val="00D34A4F"/>
    <w:rsid w:val="00D366BD"/>
    <w:rsid w:val="00D36EB8"/>
    <w:rsid w:val="00D4041C"/>
    <w:rsid w:val="00D40A31"/>
    <w:rsid w:val="00D40ACA"/>
    <w:rsid w:val="00D441EB"/>
    <w:rsid w:val="00D44217"/>
    <w:rsid w:val="00D46B7E"/>
    <w:rsid w:val="00D4753B"/>
    <w:rsid w:val="00D50D0E"/>
    <w:rsid w:val="00D52659"/>
    <w:rsid w:val="00D54D11"/>
    <w:rsid w:val="00D602CD"/>
    <w:rsid w:val="00D603C6"/>
    <w:rsid w:val="00D60F32"/>
    <w:rsid w:val="00D62D3E"/>
    <w:rsid w:val="00D630CE"/>
    <w:rsid w:val="00D63547"/>
    <w:rsid w:val="00D67113"/>
    <w:rsid w:val="00D6785B"/>
    <w:rsid w:val="00D70765"/>
    <w:rsid w:val="00D708F9"/>
    <w:rsid w:val="00D72775"/>
    <w:rsid w:val="00D739FA"/>
    <w:rsid w:val="00D73A1F"/>
    <w:rsid w:val="00D75546"/>
    <w:rsid w:val="00D75D46"/>
    <w:rsid w:val="00D75E42"/>
    <w:rsid w:val="00D7667A"/>
    <w:rsid w:val="00D81152"/>
    <w:rsid w:val="00D81538"/>
    <w:rsid w:val="00D82045"/>
    <w:rsid w:val="00D828CE"/>
    <w:rsid w:val="00D82C22"/>
    <w:rsid w:val="00D83C60"/>
    <w:rsid w:val="00D840F4"/>
    <w:rsid w:val="00D84B29"/>
    <w:rsid w:val="00D85324"/>
    <w:rsid w:val="00D853B5"/>
    <w:rsid w:val="00D85BA9"/>
    <w:rsid w:val="00D85ED8"/>
    <w:rsid w:val="00D87C47"/>
    <w:rsid w:val="00D91DB6"/>
    <w:rsid w:val="00D92136"/>
    <w:rsid w:val="00D952A1"/>
    <w:rsid w:val="00D95FE3"/>
    <w:rsid w:val="00D96554"/>
    <w:rsid w:val="00DA2B6C"/>
    <w:rsid w:val="00DA35B5"/>
    <w:rsid w:val="00DA3F48"/>
    <w:rsid w:val="00DA6196"/>
    <w:rsid w:val="00DB1223"/>
    <w:rsid w:val="00DB2956"/>
    <w:rsid w:val="00DB487F"/>
    <w:rsid w:val="00DB6247"/>
    <w:rsid w:val="00DC0754"/>
    <w:rsid w:val="00DC1D7D"/>
    <w:rsid w:val="00DC1FC8"/>
    <w:rsid w:val="00DC2CAB"/>
    <w:rsid w:val="00DC3CC6"/>
    <w:rsid w:val="00DC5554"/>
    <w:rsid w:val="00DC604D"/>
    <w:rsid w:val="00DD033F"/>
    <w:rsid w:val="00DD0548"/>
    <w:rsid w:val="00DD0576"/>
    <w:rsid w:val="00DD09E5"/>
    <w:rsid w:val="00DD2F75"/>
    <w:rsid w:val="00DD74A7"/>
    <w:rsid w:val="00DD7657"/>
    <w:rsid w:val="00DE20E2"/>
    <w:rsid w:val="00DE2C53"/>
    <w:rsid w:val="00DE2CAD"/>
    <w:rsid w:val="00DE32DD"/>
    <w:rsid w:val="00DE7C00"/>
    <w:rsid w:val="00DF3012"/>
    <w:rsid w:val="00DF3BBD"/>
    <w:rsid w:val="00DF4746"/>
    <w:rsid w:val="00DF4844"/>
    <w:rsid w:val="00DF5083"/>
    <w:rsid w:val="00DF5087"/>
    <w:rsid w:val="00E012B8"/>
    <w:rsid w:val="00E01CF0"/>
    <w:rsid w:val="00E04C11"/>
    <w:rsid w:val="00E052A6"/>
    <w:rsid w:val="00E05762"/>
    <w:rsid w:val="00E1051A"/>
    <w:rsid w:val="00E157A3"/>
    <w:rsid w:val="00E163EC"/>
    <w:rsid w:val="00E22470"/>
    <w:rsid w:val="00E22C29"/>
    <w:rsid w:val="00E2369D"/>
    <w:rsid w:val="00E24146"/>
    <w:rsid w:val="00E254CA"/>
    <w:rsid w:val="00E25A1B"/>
    <w:rsid w:val="00E261DA"/>
    <w:rsid w:val="00E26380"/>
    <w:rsid w:val="00E314F3"/>
    <w:rsid w:val="00E345E3"/>
    <w:rsid w:val="00E363E1"/>
    <w:rsid w:val="00E37438"/>
    <w:rsid w:val="00E40FE6"/>
    <w:rsid w:val="00E43474"/>
    <w:rsid w:val="00E439D0"/>
    <w:rsid w:val="00E44C6B"/>
    <w:rsid w:val="00E45BC2"/>
    <w:rsid w:val="00E46150"/>
    <w:rsid w:val="00E46BEE"/>
    <w:rsid w:val="00E471A5"/>
    <w:rsid w:val="00E54355"/>
    <w:rsid w:val="00E562BB"/>
    <w:rsid w:val="00E56A47"/>
    <w:rsid w:val="00E574F2"/>
    <w:rsid w:val="00E60EF1"/>
    <w:rsid w:val="00E63A86"/>
    <w:rsid w:val="00E6442F"/>
    <w:rsid w:val="00E65820"/>
    <w:rsid w:val="00E66659"/>
    <w:rsid w:val="00E70B03"/>
    <w:rsid w:val="00E70EDE"/>
    <w:rsid w:val="00E81D6E"/>
    <w:rsid w:val="00E82D11"/>
    <w:rsid w:val="00E8300F"/>
    <w:rsid w:val="00E83757"/>
    <w:rsid w:val="00E846FF"/>
    <w:rsid w:val="00E92D87"/>
    <w:rsid w:val="00E940ED"/>
    <w:rsid w:val="00E94855"/>
    <w:rsid w:val="00E9582E"/>
    <w:rsid w:val="00E95E2E"/>
    <w:rsid w:val="00E95EB9"/>
    <w:rsid w:val="00E97615"/>
    <w:rsid w:val="00EA1DE3"/>
    <w:rsid w:val="00EA2351"/>
    <w:rsid w:val="00EA2B73"/>
    <w:rsid w:val="00EA6D0E"/>
    <w:rsid w:val="00EB124A"/>
    <w:rsid w:val="00EB1630"/>
    <w:rsid w:val="00EB2B72"/>
    <w:rsid w:val="00EB3776"/>
    <w:rsid w:val="00EB5118"/>
    <w:rsid w:val="00EB7D9A"/>
    <w:rsid w:val="00EC0A5A"/>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D8C"/>
    <w:rsid w:val="00ED6EF2"/>
    <w:rsid w:val="00ED7711"/>
    <w:rsid w:val="00ED7C82"/>
    <w:rsid w:val="00EE0696"/>
    <w:rsid w:val="00EE2532"/>
    <w:rsid w:val="00EE389E"/>
    <w:rsid w:val="00EE4232"/>
    <w:rsid w:val="00EE4362"/>
    <w:rsid w:val="00EE56E6"/>
    <w:rsid w:val="00EE6382"/>
    <w:rsid w:val="00EE6422"/>
    <w:rsid w:val="00EE6EBE"/>
    <w:rsid w:val="00EE75D5"/>
    <w:rsid w:val="00EF0CF0"/>
    <w:rsid w:val="00EF0E21"/>
    <w:rsid w:val="00EF121D"/>
    <w:rsid w:val="00EF3837"/>
    <w:rsid w:val="00EF3FC2"/>
    <w:rsid w:val="00EF5ACA"/>
    <w:rsid w:val="00EF64C2"/>
    <w:rsid w:val="00EF7C09"/>
    <w:rsid w:val="00F00363"/>
    <w:rsid w:val="00F013CA"/>
    <w:rsid w:val="00F01518"/>
    <w:rsid w:val="00F01B05"/>
    <w:rsid w:val="00F037E4"/>
    <w:rsid w:val="00F054DC"/>
    <w:rsid w:val="00F05555"/>
    <w:rsid w:val="00F059F8"/>
    <w:rsid w:val="00F05CA8"/>
    <w:rsid w:val="00F0784A"/>
    <w:rsid w:val="00F10C4F"/>
    <w:rsid w:val="00F11BFE"/>
    <w:rsid w:val="00F13B00"/>
    <w:rsid w:val="00F15900"/>
    <w:rsid w:val="00F162EC"/>
    <w:rsid w:val="00F16AAE"/>
    <w:rsid w:val="00F1713A"/>
    <w:rsid w:val="00F175B6"/>
    <w:rsid w:val="00F17A72"/>
    <w:rsid w:val="00F208B1"/>
    <w:rsid w:val="00F25E1D"/>
    <w:rsid w:val="00F26022"/>
    <w:rsid w:val="00F263E2"/>
    <w:rsid w:val="00F268D9"/>
    <w:rsid w:val="00F33691"/>
    <w:rsid w:val="00F34CBB"/>
    <w:rsid w:val="00F36AFD"/>
    <w:rsid w:val="00F3745E"/>
    <w:rsid w:val="00F37C8E"/>
    <w:rsid w:val="00F40066"/>
    <w:rsid w:val="00F41516"/>
    <w:rsid w:val="00F419B1"/>
    <w:rsid w:val="00F443A3"/>
    <w:rsid w:val="00F44F7B"/>
    <w:rsid w:val="00F45AE3"/>
    <w:rsid w:val="00F47FEA"/>
    <w:rsid w:val="00F50A15"/>
    <w:rsid w:val="00F5110F"/>
    <w:rsid w:val="00F5399B"/>
    <w:rsid w:val="00F540CD"/>
    <w:rsid w:val="00F54EAC"/>
    <w:rsid w:val="00F559CB"/>
    <w:rsid w:val="00F57621"/>
    <w:rsid w:val="00F57C9D"/>
    <w:rsid w:val="00F57DCF"/>
    <w:rsid w:val="00F60243"/>
    <w:rsid w:val="00F607FB"/>
    <w:rsid w:val="00F60D0A"/>
    <w:rsid w:val="00F61379"/>
    <w:rsid w:val="00F651F0"/>
    <w:rsid w:val="00F674CC"/>
    <w:rsid w:val="00F73882"/>
    <w:rsid w:val="00F73E50"/>
    <w:rsid w:val="00F76660"/>
    <w:rsid w:val="00F77553"/>
    <w:rsid w:val="00F77563"/>
    <w:rsid w:val="00F809BA"/>
    <w:rsid w:val="00F810F7"/>
    <w:rsid w:val="00F830A8"/>
    <w:rsid w:val="00F83968"/>
    <w:rsid w:val="00F87108"/>
    <w:rsid w:val="00F8748E"/>
    <w:rsid w:val="00F90715"/>
    <w:rsid w:val="00F9097C"/>
    <w:rsid w:val="00F9114B"/>
    <w:rsid w:val="00F93111"/>
    <w:rsid w:val="00F9318B"/>
    <w:rsid w:val="00F93578"/>
    <w:rsid w:val="00F93802"/>
    <w:rsid w:val="00F94AE0"/>
    <w:rsid w:val="00F95229"/>
    <w:rsid w:val="00F9586C"/>
    <w:rsid w:val="00F973F8"/>
    <w:rsid w:val="00F97695"/>
    <w:rsid w:val="00FA1026"/>
    <w:rsid w:val="00FA2BAB"/>
    <w:rsid w:val="00FA2BED"/>
    <w:rsid w:val="00FA300C"/>
    <w:rsid w:val="00FA6A64"/>
    <w:rsid w:val="00FB21EC"/>
    <w:rsid w:val="00FB2886"/>
    <w:rsid w:val="00FB6269"/>
    <w:rsid w:val="00FB7AA4"/>
    <w:rsid w:val="00FB7BE7"/>
    <w:rsid w:val="00FC0F79"/>
    <w:rsid w:val="00FC19DC"/>
    <w:rsid w:val="00FC3AED"/>
    <w:rsid w:val="00FC51DF"/>
    <w:rsid w:val="00FC6AD6"/>
    <w:rsid w:val="00FC7546"/>
    <w:rsid w:val="00FD036D"/>
    <w:rsid w:val="00FD1158"/>
    <w:rsid w:val="00FD1658"/>
    <w:rsid w:val="00FD20BE"/>
    <w:rsid w:val="00FD2A73"/>
    <w:rsid w:val="00FD49DA"/>
    <w:rsid w:val="00FE0AEA"/>
    <w:rsid w:val="00FE1AFF"/>
    <w:rsid w:val="00FE2325"/>
    <w:rsid w:val="00FE37EF"/>
    <w:rsid w:val="00FE5627"/>
    <w:rsid w:val="00FE64B9"/>
    <w:rsid w:val="00FE7770"/>
    <w:rsid w:val="00FF2180"/>
    <w:rsid w:val="00FF2B63"/>
    <w:rsid w:val="00FF33A7"/>
    <w:rsid w:val="00FF3F92"/>
    <w:rsid w:val="00FF6A9F"/>
    <w:rsid w:val="00FF74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A37"/>
    <w:rPr>
      <w:rFonts w:ascii="Calibri" w:eastAsia="Calibri" w:hAnsi="Calibri"/>
      <w:sz w:val="22"/>
      <w:szCs w:val="22"/>
    </w:rPr>
  </w:style>
  <w:style w:type="paragraph" w:styleId="Ttulo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412DDA"/>
    <w:pPr>
      <w:keepNext/>
      <w:spacing w:before="240" w:after="60"/>
      <w:outlineLvl w:val="2"/>
    </w:pPr>
    <w:rPr>
      <w:rFonts w:ascii="Arial" w:hAnsi="Arial" w:cs="Arial"/>
      <w:b/>
      <w:bCs/>
      <w:sz w:val="26"/>
      <w:szCs w:val="26"/>
    </w:rPr>
  </w:style>
  <w:style w:type="paragraph" w:styleId="Ttulo4">
    <w:name w:val="heading 4"/>
    <w:basedOn w:val="Normal"/>
    <w:next w:val="Normal"/>
    <w:qFormat/>
    <w:rsid w:val="00412DDA"/>
    <w:pPr>
      <w:keepNext/>
      <w:spacing w:before="240" w:after="60"/>
      <w:outlineLvl w:val="3"/>
    </w:pPr>
    <w:rPr>
      <w:b/>
      <w:bCs/>
      <w:sz w:val="28"/>
      <w:szCs w:val="28"/>
    </w:rPr>
  </w:style>
  <w:style w:type="paragraph" w:styleId="Ttulo5">
    <w:name w:val="heading 5"/>
    <w:basedOn w:val="Normal"/>
    <w:next w:val="Normal"/>
    <w:qFormat/>
    <w:rsid w:val="00412DDA"/>
    <w:pPr>
      <w:spacing w:before="240" w:after="60"/>
      <w:outlineLvl w:val="4"/>
    </w:pPr>
    <w:rPr>
      <w:b/>
      <w:bCs/>
      <w:i/>
      <w:iCs/>
      <w:sz w:val="26"/>
      <w:szCs w:val="26"/>
    </w:rPr>
  </w:style>
  <w:style w:type="paragraph" w:styleId="Ttulo6">
    <w:name w:val="heading 6"/>
    <w:basedOn w:val="Normal"/>
    <w:next w:val="Normal"/>
    <w:qFormat/>
    <w:rsid w:val="00412DDA"/>
    <w:pPr>
      <w:spacing w:before="240" w:after="60"/>
      <w:outlineLvl w:val="5"/>
    </w:pPr>
    <w:rPr>
      <w:b/>
      <w:bCs/>
    </w:rPr>
  </w:style>
  <w:style w:type="paragraph" w:styleId="Ttulo7">
    <w:name w:val="heading 7"/>
    <w:basedOn w:val="Normal"/>
    <w:next w:val="Normal"/>
    <w:qFormat/>
    <w:rsid w:val="00412DDA"/>
    <w:pPr>
      <w:spacing w:before="240" w:after="60"/>
      <w:outlineLvl w:val="6"/>
    </w:pPr>
  </w:style>
  <w:style w:type="paragraph" w:styleId="Ttulo8">
    <w:name w:val="heading 8"/>
    <w:basedOn w:val="Normal"/>
    <w:next w:val="Normal"/>
    <w:qFormat/>
    <w:rsid w:val="00412DDA"/>
    <w:pPr>
      <w:spacing w:before="240" w:after="60"/>
      <w:outlineLvl w:val="7"/>
    </w:pPr>
    <w:rPr>
      <w:i/>
      <w:iCs/>
    </w:rPr>
  </w:style>
  <w:style w:type="paragraph" w:styleId="Ttulo9">
    <w:name w:val="heading 9"/>
    <w:basedOn w:val="Normal"/>
    <w:next w:val="Normal"/>
    <w:qFormat/>
    <w:rsid w:val="00412DDA"/>
    <w:pPr>
      <w:spacing w:before="240" w:after="60"/>
      <w:outlineLvl w:val="8"/>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07EA2"/>
    <w:pPr>
      <w:tabs>
        <w:tab w:val="center" w:pos="4819"/>
        <w:tab w:val="right" w:pos="9638"/>
      </w:tabs>
    </w:pPr>
  </w:style>
  <w:style w:type="character" w:styleId="Nmerodepgina">
    <w:name w:val="page number"/>
    <w:basedOn w:val="Fuentedeprrafopredeter"/>
    <w:rsid w:val="00007EA2"/>
  </w:style>
  <w:style w:type="paragraph" w:customStyle="1" w:styleId="LLNormaali">
    <w:name w:val="LLNormaali"/>
    <w:rsid w:val="006E56A2"/>
    <w:pPr>
      <w:spacing w:line="220" w:lineRule="exact"/>
    </w:pPr>
    <w:rPr>
      <w:sz w:val="22"/>
      <w:szCs w:val="24"/>
    </w:rPr>
  </w:style>
  <w:style w:type="paragraph" w:styleId="Piedepgina">
    <w:name w:val="footer"/>
    <w:basedOn w:val="Normal"/>
    <w:link w:val="PiedepginaCar"/>
    <w:uiPriority w:val="99"/>
    <w:rsid w:val="002B712B"/>
    <w:pPr>
      <w:tabs>
        <w:tab w:val="center" w:pos="4819"/>
        <w:tab w:val="right" w:pos="9638"/>
      </w:tabs>
    </w:pPr>
  </w:style>
  <w:style w:type="paragraph" w:customStyle="1" w:styleId="LLKappalejako">
    <w:name w:val="LLKappalejako"/>
    <w:link w:val="LLKappalejakoChar"/>
    <w:autoRedefine/>
    <w:rsid w:val="008D4D36"/>
    <w:pPr>
      <w:spacing w:line="220" w:lineRule="exact"/>
      <w:ind w:firstLine="170"/>
      <w:jc w:val="both"/>
    </w:pPr>
    <w:rPr>
      <w:sz w:val="22"/>
      <w:szCs w:val="24"/>
    </w:rPr>
  </w:style>
  <w:style w:type="character" w:customStyle="1" w:styleId="LLKappalejakoChar">
    <w:name w:val="LLKappalejako Char"/>
    <w:link w:val="LLKappalejako"/>
    <w:locked/>
    <w:rsid w:val="008D4D36"/>
    <w:rPr>
      <w:sz w:val="22"/>
      <w:szCs w:val="24"/>
    </w:rPr>
  </w:style>
  <w:style w:type="table" w:styleId="Tablaconcuadrcula">
    <w:name w:val="Table Grid"/>
    <w:basedOn w:val="Tablanormal"/>
    <w:rsid w:val="007B6F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716A6B"/>
    <w:pPr>
      <w:spacing w:line="220" w:lineRule="exact"/>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Refdecomentario">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D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D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Textocomentario">
    <w:name w:val="annotation text"/>
    <w:basedOn w:val="Normal"/>
    <w:semiHidden/>
    <w:rsid w:val="00994A79"/>
    <w:rPr>
      <w:sz w:val="20"/>
      <w:szCs w:val="20"/>
    </w:rPr>
  </w:style>
  <w:style w:type="paragraph" w:styleId="TDC4">
    <w:name w:val="toc 4"/>
    <w:basedOn w:val="Normal"/>
    <w:next w:val="Normal"/>
    <w:autoRedefine/>
    <w:semiHidden/>
    <w:rsid w:val="00AA6E8E"/>
    <w:pPr>
      <w:spacing w:line="220" w:lineRule="exact"/>
    </w:pPr>
    <w:rPr>
      <w:caps/>
      <w:szCs w:val="18"/>
    </w:rPr>
  </w:style>
  <w:style w:type="paragraph" w:styleId="TDC5">
    <w:name w:val="toc 5"/>
    <w:basedOn w:val="Normal"/>
    <w:next w:val="Normal"/>
    <w:autoRedefine/>
    <w:semiHidden/>
    <w:rsid w:val="00FE7770"/>
    <w:pPr>
      <w:ind w:left="960"/>
    </w:pPr>
    <w:rPr>
      <w:sz w:val="18"/>
      <w:szCs w:val="18"/>
    </w:rPr>
  </w:style>
  <w:style w:type="paragraph" w:styleId="TDC6">
    <w:name w:val="toc 6"/>
    <w:basedOn w:val="Normal"/>
    <w:next w:val="Normal"/>
    <w:autoRedefine/>
    <w:semiHidden/>
    <w:rsid w:val="00FE7770"/>
    <w:pPr>
      <w:ind w:left="1200"/>
    </w:pPr>
    <w:rPr>
      <w:sz w:val="18"/>
      <w:szCs w:val="18"/>
    </w:rPr>
  </w:style>
  <w:style w:type="paragraph" w:styleId="TDC7">
    <w:name w:val="toc 7"/>
    <w:basedOn w:val="Normal"/>
    <w:next w:val="Normal"/>
    <w:autoRedefine/>
    <w:semiHidden/>
    <w:rsid w:val="00FE7770"/>
    <w:pPr>
      <w:ind w:left="1440"/>
    </w:pPr>
    <w:rPr>
      <w:sz w:val="18"/>
      <w:szCs w:val="18"/>
    </w:rPr>
  </w:style>
  <w:style w:type="paragraph" w:styleId="TDC8">
    <w:name w:val="toc 8"/>
    <w:basedOn w:val="Normal"/>
    <w:next w:val="Normal"/>
    <w:autoRedefine/>
    <w:semiHidden/>
    <w:rsid w:val="00FE7770"/>
    <w:pPr>
      <w:ind w:left="1680"/>
    </w:pPr>
    <w:rPr>
      <w:sz w:val="18"/>
      <w:szCs w:val="18"/>
    </w:rPr>
  </w:style>
  <w:style w:type="paragraph" w:styleId="TDC9">
    <w:name w:val="toc 9"/>
    <w:basedOn w:val="Normal"/>
    <w:next w:val="Normal"/>
    <w:autoRedefine/>
    <w:semiHidden/>
    <w:rsid w:val="00FE7770"/>
    <w:pPr>
      <w:ind w:left="1920"/>
    </w:pPr>
    <w:rPr>
      <w:sz w:val="18"/>
      <w:szCs w:val="18"/>
    </w:rPr>
  </w:style>
  <w:style w:type="character" w:styleId="Hipervnculo">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ndice1">
    <w:name w:val="index 1"/>
    <w:basedOn w:val="Normal"/>
    <w:next w:val="Normal"/>
    <w:autoRedefine/>
    <w:semiHidden/>
    <w:rsid w:val="0087128B"/>
    <w:pPr>
      <w:ind w:left="240" w:hanging="240"/>
    </w:pPr>
  </w:style>
  <w:style w:type="paragraph" w:styleId="ndice3">
    <w:name w:val="index 3"/>
    <w:basedOn w:val="Normal"/>
    <w:next w:val="Normal"/>
    <w:autoRedefine/>
    <w:semiHidden/>
    <w:rsid w:val="0087128B"/>
    <w:pPr>
      <w:ind w:left="720" w:hanging="240"/>
    </w:pPr>
  </w:style>
  <w:style w:type="paragraph" w:styleId="Textonotapie">
    <w:name w:val="footnote text"/>
    <w:basedOn w:val="Normal"/>
    <w:semiHidden/>
    <w:rsid w:val="00261B3D"/>
    <w:rPr>
      <w:sz w:val="20"/>
      <w:szCs w:val="20"/>
    </w:rPr>
  </w:style>
  <w:style w:type="character" w:styleId="Refdenotaalpi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Asuntodelcomentario">
    <w:name w:val="annotation subject"/>
    <w:basedOn w:val="Textocomentario"/>
    <w:next w:val="Textocomentario"/>
    <w:semiHidden/>
    <w:rsid w:val="00994A79"/>
    <w:rPr>
      <w:b/>
      <w:bCs/>
    </w:rPr>
  </w:style>
  <w:style w:type="paragraph" w:styleId="Textodeglobo">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D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es-ES"/>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Ttulo3Car">
    <w:name w:val="Título 3 Car"/>
    <w:link w:val="Ttulo3"/>
    <w:rsid w:val="006A1A37"/>
    <w:rPr>
      <w:rFonts w:ascii="Arial" w:hAnsi="Arial" w:cs="Arial"/>
      <w:b/>
      <w:bCs/>
      <w:sz w:val="26"/>
      <w:szCs w:val="26"/>
    </w:rPr>
  </w:style>
  <w:style w:type="paragraph" w:styleId="Prrafodelista">
    <w:name w:val="List Paragraph"/>
    <w:basedOn w:val="Normal"/>
    <w:uiPriority w:val="34"/>
    <w:qFormat/>
    <w:rsid w:val="00DA2B6C"/>
    <w:pPr>
      <w:ind w:left="720"/>
      <w:contextualSpacing/>
    </w:pPr>
  </w:style>
  <w:style w:type="character" w:customStyle="1" w:styleId="PiedepginaCar">
    <w:name w:val="Pie de página Car"/>
    <w:basedOn w:val="Fuentedeprrafopredeter"/>
    <w:link w:val="Piedepgina"/>
    <w:uiPriority w:val="99"/>
    <w:rsid w:val="00DA2B6C"/>
    <w:rPr>
      <w:rFonts w:ascii="Calibri" w:eastAsia="Calibri" w:hAnsi="Calibri"/>
      <w:sz w:val="22"/>
      <w:szCs w:val="22"/>
      <w:lang w:eastAsia="en-GB"/>
    </w:rPr>
  </w:style>
  <w:style w:type="paragraph" w:styleId="Textosinformato">
    <w:name w:val="Plain Text"/>
    <w:basedOn w:val="Normal"/>
    <w:link w:val="TextosinformatoCar"/>
    <w:uiPriority w:val="99"/>
    <w:unhideWhenUsed/>
    <w:rsid w:val="00EC0A5A"/>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EC0A5A"/>
    <w:rPr>
      <w:rFonts w:ascii="Consolas" w:hAnsi="Consolas"/>
      <w:sz w:val="21"/>
      <w:szCs w:val="21"/>
      <w:lang w:val="es-ES" w:eastAsia="en-GB"/>
    </w:rPr>
  </w:style>
</w:styles>
</file>

<file path=word/webSettings.xml><?xml version="1.0" encoding="utf-8"?>
<w:webSettings xmlns:r="http://schemas.openxmlformats.org/officeDocument/2006/relationships" xmlns:w="http://schemas.openxmlformats.org/wordprocessingml/2006/main">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2A53-0E5B-460E-9FF4-2CAC5B06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1</TotalTime>
  <Pages>9</Pages>
  <Words>2962</Words>
  <Characters>16297</Characters>
  <Application>Microsoft Office Word</Application>
  <DocSecurity>0</DocSecurity>
  <Lines>135</Lines>
  <Paragraphs>38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19221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alvar</cp:lastModifiedBy>
  <cp:revision>4</cp:revision>
  <cp:lastPrinted>2015-09-29T15:18:00Z</cp:lastPrinted>
  <dcterms:created xsi:type="dcterms:W3CDTF">2020-07-28T10:10:00Z</dcterms:created>
  <dcterms:modified xsi:type="dcterms:W3CDTF">2020-08-03T18:08:00Z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