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7C" w:rsidRPr="00B23501" w:rsidRDefault="0000457C" w:rsidP="0000457C">
      <w:pPr>
        <w:pStyle w:val="12PromKlEinlSatz"/>
        <w:keepNext w:val="0"/>
        <w:spacing w:before="0" w:after="120" w:line="240" w:lineRule="auto"/>
        <w:ind w:firstLine="0"/>
        <w:jc w:val="center"/>
        <w:rPr>
          <w:rFonts w:ascii="Courier New" w:hAnsi="Courier New"/>
          <w:snapToGrid/>
        </w:rPr>
      </w:pPr>
      <w:r>
        <w:rPr>
          <w:rFonts w:ascii="Courier New" w:hAnsi="Courier New"/>
          <w:snapToGrid/>
        </w:rPr>
        <w:t xml:space="preserve">1. </w:t>
      </w:r>
      <w:r>
        <w:rPr>
          <w:rFonts w:ascii="Courier New" w:hAnsi="Courier New"/>
          <w:snapToGrid/>
        </w:rPr>
        <w:t>------IND- 2019 0280 EE- MT- ------ 20190621 --- --- PROJET</w:t>
      </w:r>
    </w:p>
    <w:p w:rsidR="00E97C8D" w:rsidRPr="000F1F61" w:rsidRDefault="0000457C" w:rsidP="0000457C">
      <w:pPr>
        <w:pStyle w:val="Default"/>
        <w:jc w:val="right"/>
      </w:pPr>
      <w:r>
        <w:t>ABBOZZ</w:t>
      </w:r>
    </w:p>
    <w:p w:rsidR="00E97C8D" w:rsidRDefault="00E97C8D" w:rsidP="0000457C">
      <w:pPr>
        <w:pStyle w:val="Default"/>
        <w:jc w:val="right"/>
      </w:pPr>
      <w:r>
        <w:t>…….2019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F0FE1" w:rsidRPr="006F0FE1" w:rsidRDefault="006F0FE1" w:rsidP="0000457C">
      <w:pPr>
        <w:pStyle w:val="Default"/>
        <w:ind w:left="7788"/>
        <w:jc w:val="center"/>
      </w:pPr>
    </w:p>
    <w:p w:rsidR="00DF1C9F" w:rsidRPr="006F0FE1" w:rsidRDefault="00DF1C9F" w:rsidP="0000457C">
      <w:pPr>
        <w:pStyle w:val="eelnupealkiri"/>
        <w:widowControl/>
        <w:rPr>
          <w:szCs w:val="32"/>
        </w:rPr>
      </w:pPr>
      <w:r>
        <w:t>Att li jemenda l-Att dwar it-Tabakk</w:t>
      </w:r>
    </w:p>
    <w:p w:rsidR="00DF1C9F" w:rsidRPr="000F1F61" w:rsidRDefault="00DF1C9F" w:rsidP="0000457C">
      <w:pPr>
        <w:pStyle w:val="muudatustesissejuhatus"/>
        <w:keepNext/>
        <w:keepLines/>
        <w:widowControl/>
      </w:pPr>
      <w:r>
        <w:t>L-Att dwar it-Tabakk huwa emendat kif ġej:</w:t>
      </w:r>
    </w:p>
    <w:p w:rsidR="00DF1C9F" w:rsidRDefault="00DF1C9F" w:rsidP="0000457C">
      <w:pPr>
        <w:pStyle w:val="muutmisksk"/>
        <w:keepNext/>
        <w:keepLines/>
        <w:widowControl/>
      </w:pPr>
      <w:r>
        <w:rPr>
          <w:b/>
        </w:rPr>
        <w:t xml:space="preserve">1) </w:t>
      </w:r>
      <w:r>
        <w:t>l-§ 3(2) huwa emendat u fformulat kif ġej:</w:t>
      </w:r>
    </w:p>
    <w:p w:rsidR="00F3659F" w:rsidRDefault="00F3659F" w:rsidP="0000457C">
      <w:pPr>
        <w:pStyle w:val="muutmisksk"/>
        <w:widowControl/>
      </w:pPr>
      <w:r>
        <w:t>“(2) Il-prodotti tat-tabakk huma kkategorizzati bħala prodotti għat-tipjip, kif ukoll prodotti tat-tabakk li ma jdaħħnux u msaħħna.”;</w:t>
      </w:r>
    </w:p>
    <w:p w:rsidR="00CB4A82" w:rsidRDefault="00CB4A82" w:rsidP="0000457C">
      <w:pPr>
        <w:pStyle w:val="muutmisksk"/>
        <w:keepNext/>
        <w:keepLines/>
        <w:widowControl/>
      </w:pPr>
      <w:r>
        <w:rPr>
          <w:b/>
        </w:rPr>
        <w:t xml:space="preserve">2) </w:t>
      </w:r>
      <w:r>
        <w:t>l-§ 3(4) huwa emendat u fformulat kif ġej:</w:t>
      </w:r>
    </w:p>
    <w:p w:rsidR="00F3659F" w:rsidRDefault="00FA49AA" w:rsidP="0000457C">
      <w:pPr>
        <w:pStyle w:val="muutmisksk"/>
        <w:widowControl/>
      </w:pPr>
      <w:r>
        <w:t>“(4) Prodott tat-tabakk li ma jdaħħanx huwa prodott tat-tabakk (inkluż it-tabakk tal-magħda, it-tabakk tal-imnieħer, u t-tabakk għall-użu orali), li ma jinvolvix proċess ta’ kombustjoni u mhuwiex prodott tat-tabakk imsaħħan”;</w:t>
      </w:r>
    </w:p>
    <w:p w:rsidR="00F3659F" w:rsidRDefault="006405C9" w:rsidP="0000457C">
      <w:pPr>
        <w:pStyle w:val="muutmisksk"/>
        <w:keepNext/>
        <w:keepLines/>
        <w:widowControl/>
      </w:pPr>
      <w:r>
        <w:rPr>
          <w:b/>
        </w:rPr>
        <w:t>3)</w:t>
      </w:r>
      <w:r>
        <w:t xml:space="preserve"> il-paragrafu 6 jiżdied mal-§ 3 u jiġi fformulat kif ġej:</w:t>
      </w:r>
    </w:p>
    <w:p w:rsidR="00302BE2" w:rsidRDefault="00F3659F" w:rsidP="0000457C">
      <w:pPr>
        <w:pStyle w:val="muutmisksk"/>
        <w:widowControl/>
      </w:pPr>
      <w:r>
        <w:t>“(6) Prodott tat-tabakk imsaħħan huwa prodott tat-tabakk ġdid, li ma jinvolvix proċess ta’ kombustjoni tat-tabakk u li huwa kkunsmat bl-użu ta’ aċċessorju biex jissaħħan it-tabakk.”;</w:t>
      </w:r>
    </w:p>
    <w:p w:rsidR="00B0041E" w:rsidRDefault="006405C9" w:rsidP="0000457C">
      <w:pPr>
        <w:pStyle w:val="muutmisksk"/>
        <w:keepNext/>
        <w:keepLines/>
        <w:widowControl/>
      </w:pPr>
      <w:r>
        <w:rPr>
          <w:b w:val="1"/>
        </w:rPr>
        <w:t>4</w:t>
      </w:r>
      <w:r>
        <w:t>) l-ewwel sentenza tal-§ 8(52) hija fformulata kif ġej:</w:t>
      </w:r>
    </w:p>
    <w:p w:rsidR="00B0041E" w:rsidRDefault="00B0041E" w:rsidP="0000457C">
      <w:pPr>
        <w:pStyle w:val="muutmisksk"/>
        <w:widowControl/>
      </w:pPr>
      <w:r>
        <w:t>“Is-sigaretti, it-tabakk għat-tipjip għall-irrumblar tas-sigarretti, kif ukoll prodott tat-tabakk imsaħħan ma jistax ikollhom togħma karatterizzanti.”;</w:t>
      </w:r>
    </w:p>
    <w:p w:rsidR="000C419A" w:rsidRDefault="000C419A" w:rsidP="0000457C">
      <w:pPr>
        <w:pStyle w:val="muutmisksk"/>
        <w:keepNext/>
        <w:keepLines/>
        <w:widowControl/>
      </w:pPr>
      <w:r>
        <w:rPr>
          <w:b w:val="1"/>
        </w:rPr>
        <w:t>5</w:t>
      </w:r>
      <w:r>
        <w:t>) l-ewwel sentenza tal-§ 8(6) hija fformulata kif ġej:</w:t>
      </w:r>
    </w:p>
    <w:p w:rsidR="000C419A" w:rsidRDefault="000C419A" w:rsidP="0000457C">
      <w:pPr>
        <w:pStyle w:val="muutmisksk"/>
        <w:widowControl/>
      </w:pPr>
      <w:r>
        <w:t>“Il-kontenut tas-sigarretti, tat-tabakk għat-tipjip għall-irrumblar tas-sigaretti, kif ukoll tal-prodotti tat-tabakk imsaħħna—bħal filtri, karti, imballaġġ u kapsuli—ma jistgħux ikunu aromatizzanti.”;</w:t>
      </w:r>
    </w:p>
    <w:p w:rsidR="00F3659F" w:rsidRDefault="00544F55" w:rsidP="0000457C">
      <w:pPr>
        <w:pStyle w:val="muutmisksk"/>
        <w:keepNext/>
        <w:keepLines/>
        <w:widowControl/>
      </w:pPr>
      <w:r>
        <w:rPr>
          <w:b w:val="1"/>
        </w:rPr>
        <w:t>6</w:t>
      </w:r>
      <w:r>
        <w:t>) l-ewwel sentenza tal-§ 12(5) hija fformulata kif ġej:</w:t>
      </w:r>
    </w:p>
    <w:p w:rsidR="00F3659F" w:rsidRDefault="002A4570" w:rsidP="0000457C">
      <w:pPr>
        <w:pStyle w:val="muutmisksk"/>
        <w:widowControl/>
      </w:pPr>
      <w:r>
        <w:t>“L-informazzjoni fil-paragrafu 1 ta’ din it-taqsima tista’ tiġi ppreżentata fuq stikers fuq l-imballaġġ primarju u l-pakkett ikkombinat tal-prodott tat-tabakk, ħlief għas-sigarretti u t-tabakk għat-tipjip għall-irrumblar tas-sigarretti.”;</w:t>
      </w:r>
    </w:p>
    <w:p w:rsidR="00CB4A82" w:rsidRDefault="00544F55" w:rsidP="0000457C">
      <w:pPr>
        <w:pStyle w:val="muutmisksk"/>
        <w:keepNext/>
        <w:keepLines/>
        <w:widowControl/>
      </w:pPr>
      <w:r>
        <w:rPr>
          <w:b/>
        </w:rPr>
        <w:t>7</w:t>
      </w:r>
      <w:r>
        <w:t>) l-intestatura tal-§ 13 hija emendata u fformulata kif ġej:</w:t>
      </w:r>
    </w:p>
    <w:p w:rsidR="00CB4A82" w:rsidRDefault="00CB4A82" w:rsidP="0000457C">
      <w:pPr>
        <w:pStyle w:val="muutmisksk"/>
        <w:widowControl/>
      </w:pPr>
      <w:r>
        <w:t>“</w:t>
      </w:r>
      <w:r>
        <w:rPr>
          <w:b/>
        </w:rPr>
        <w:t xml:space="preserve">§ 13. </w:t>
      </w:r>
      <w:r>
        <w:rPr>
          <w:b w:val="1"/>
        </w:rPr>
        <w:t>Twissijiet tas-saħħa għall-prodotti tat-tabakk għat-tipjip</w:t>
      </w:r>
      <w:r>
        <w:t>”;</w:t>
      </w:r>
    </w:p>
    <w:p w:rsidR="00CB4A82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8) </w:t>
      </w:r>
      <w:r>
        <w:t>l-§ 13(1) huwa emendat u fformulat kif ġej:</w:t>
      </w:r>
    </w:p>
    <w:p w:rsidR="00CB4A82" w:rsidRDefault="00CB4A82" w:rsidP="0000457C">
      <w:pPr>
        <w:pStyle w:val="muutmisksk"/>
        <w:widowControl/>
      </w:pPr>
      <w:r>
        <w:t>“(1) It-twissijiet tas-saħħa għall-prodotti tat-tabakk għat-tipjip huma maqsuma fi twissijiet ġenerali, messaġġi ta’ informazzjoni u twissijiet tas-saħħa kkombinati.”;</w:t>
      </w:r>
    </w:p>
    <w:p w:rsidR="00CB4A82" w:rsidRDefault="00544F55" w:rsidP="0000457C">
      <w:pPr>
        <w:pStyle w:val="muutmisksk"/>
        <w:keepNext/>
        <w:keepLines/>
        <w:widowControl/>
      </w:pPr>
      <w:r>
        <w:rPr>
          <w:b w:val="1"/>
        </w:rPr>
        <w:t>9)</w:t>
      </w:r>
      <w:r>
        <w:t xml:space="preserve"> l-Att huwa ssupplimentat bl-§ 13</w:t>
      </w:r>
      <w:r>
        <w:rPr>
          <w:vertAlign w:val="superscript"/>
        </w:rPr>
        <w:t>1</w:t>
      </w:r>
      <w:r>
        <w:t xml:space="preserve"> kif ġej:</w:t>
      </w:r>
    </w:p>
    <w:p w:rsidR="00CB4A82" w:rsidRDefault="00CB4A82" w:rsidP="0000457C">
      <w:pPr>
        <w:pStyle w:val="muutmisksk"/>
        <w:widowControl/>
        <w:rPr>
          <w:b/>
        </w:rPr>
      </w:pPr>
      <w:r>
        <w:t>“</w:t>
      </w:r>
      <w:r>
        <w:rPr>
          <w:b/>
        </w:rPr>
        <w:t>13</w:t>
      </w:r>
      <w:r>
        <w:rPr>
          <w:b/>
          <w:vertAlign w:val="superscript"/>
        </w:rPr>
        <w:t>1</w:t>
      </w:r>
      <w:r>
        <w:rPr>
          <w:b/>
        </w:rPr>
        <w:t xml:space="preserve">. </w:t>
      </w:r>
      <w:r>
        <w:rPr>
          <w:b/>
        </w:rPr>
        <w:t>Twissija tas-saħħa għal prodotti tat-tabakk imsaħħna</w:t>
      </w:r>
    </w:p>
    <w:p w:rsidR="00FA49AA" w:rsidRDefault="00FA49AA" w:rsidP="0000457C">
      <w:pPr>
        <w:pStyle w:val="muutmisksk"/>
        <w:widowControl/>
      </w:pPr>
      <w:r>
        <w:t>(1) Kull imballaġġ primarju u pakkett ikkombinat ta’ prodott tat-tabakk imsaħħan għandu jkollu t-twissija tas-saħħa li ġejja:</w:t>
      </w:r>
    </w:p>
    <w:p w:rsidR="00FA49AA" w:rsidRDefault="00FA49AA" w:rsidP="0000457C">
      <w:pPr>
        <w:pStyle w:val="muudetavtekst"/>
      </w:pPr>
      <w:r>
        <w:t>“Dan il-prodott tat-tabakk jagħmel ħsara lil saħħtek u jagħmlek dipendenti.”.</w:t>
      </w:r>
    </w:p>
    <w:p w:rsidR="00FA49AA" w:rsidRDefault="00D5650D" w:rsidP="0000457C">
      <w:pPr>
        <w:pStyle w:val="muutmisksk"/>
        <w:widowControl/>
      </w:pPr>
      <w:r>
        <w:t>(2) It-twissija tas-saħħa stabbilita fil-paragrafu 1 ta’ din it-taqsima għandha tikkonforma mar-rekwiżiti speċifikati fl-§ 16(6), (10), (11) u (12) ta’ dan l-Att.</w:t>
      </w:r>
    </w:p>
    <w:p w:rsidR="00FA49AA" w:rsidRDefault="00D5650D" w:rsidP="0000457C">
      <w:pPr>
        <w:pStyle w:val="muutmisksk"/>
        <w:widowControl/>
      </w:pPr>
      <w:r>
        <w:t>(3) Flimkien mad-dispożizzjonijiet tal-paragrafu 2 ta’ din it-taqsima, it-twissija tas-saħħa għall-prodotti tat-tabakk imsaħħna għandha:</w:t>
      </w:r>
    </w:p>
    <w:p w:rsidR="00FA49AA" w:rsidRDefault="00D5650D" w:rsidP="0000457C">
      <w:pPr>
        <w:pStyle w:val="muudetavtekst"/>
      </w:pPr>
      <w:r>
        <w:t xml:space="preserve">1) fuq il-pakketti f’forma ta’ kubu u fuq kull pakkett ikkombinat tkun paralleli max-xifer laterali tal-imballaġġ primarju jew tal-pakkett ikkombinat. </w:t>
      </w:r>
      <w:r>
        <w:t>It-test tat-twissijiet tas-saħħa għandu jkun parallel għat-test ewlieni fuq il-wiċċ riżervat għal dawn it-twissijiet;</w:t>
      </w:r>
    </w:p>
    <w:p w:rsidR="00FA49AA" w:rsidRDefault="00D5650D" w:rsidP="0000457C">
      <w:pPr>
        <w:pStyle w:val="muudetavtekst"/>
      </w:pPr>
      <w:r>
        <w:t>2) tidher fuq l-akbar żewġ uċuħ tal-imballaġġ primarju u kwalunkwe pakkett ikkombinat;</w:t>
      </w:r>
    </w:p>
    <w:p w:rsidR="00CB4A82" w:rsidRDefault="00D5650D" w:rsidP="0000457C">
      <w:pPr>
        <w:pStyle w:val="muudetavtekst"/>
      </w:pPr>
      <w:r>
        <w:t>3) tgħatti 30 % tal-uċuħ tal-imballaġġ primarju u ta’ kull pakkett ikkombinat.”;</w:t>
      </w:r>
    </w:p>
    <w:p w:rsidR="00D5650D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10) </w:t>
      </w:r>
      <w:r>
        <w:t>l-§ 27(1) huwa emendat u fformulat kif ġej:</w:t>
      </w:r>
    </w:p>
    <w:p w:rsidR="00D5650D" w:rsidRDefault="00D5650D" w:rsidP="0000457C">
      <w:pPr>
        <w:pStyle w:val="muutmisksk"/>
        <w:widowControl/>
      </w:pPr>
      <w:r>
        <w:t xml:space="preserve">“(1) Mhuwiex permess li persuna taħt it-tmintax-il sena (minn hawn ’il quddiem: </w:t>
      </w:r>
      <w:r>
        <w:rPr>
          <w:i w:val="1"/>
        </w:rPr>
        <w:t>minuri</w:t>
      </w:r>
      <w:r>
        <w:t>) tpejjep jew tuża prodott tat-tabakk jew prodott użat bl-istess mod bħall-prodotti tat-tabakk.”;</w:t>
      </w:r>
    </w:p>
    <w:p w:rsidR="00D5650D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11) </w:t>
      </w:r>
      <w:r>
        <w:t>l-§ 29(2) huwa emendat u fformulat kif ġej:</w:t>
      </w:r>
    </w:p>
    <w:p w:rsidR="00D5650D" w:rsidRDefault="001B35A3" w:rsidP="0000457C">
      <w:pPr>
        <w:pStyle w:val="muutmisksk"/>
        <w:widowControl/>
      </w:pPr>
      <w:r>
        <w:t>“(2) Il-projbizzjoni stabbilita fil-paragrafu 1 ta’ din it-taqsima hija applikata għal sigarett elettroniku u għal prodott tat-tabakk imsaħħan, u l-punti 1 u 2 tal-paragrafu 1 japplikaw ukoll għal prodotti oħra użati bl-istess mod bħall-prodotti tat-tabakk.”;</w:t>
      </w:r>
    </w:p>
    <w:p w:rsidR="00D5650D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12) </w:t>
      </w:r>
      <w:r>
        <w:t>l-§ 30(5) huwa emendat u fformulat kif ġej:</w:t>
      </w:r>
    </w:p>
    <w:p w:rsidR="00D5650D" w:rsidRDefault="009F6B90" w:rsidP="0000457C">
      <w:pPr>
        <w:pStyle w:val="muutmisksk"/>
        <w:widowControl/>
      </w:pPr>
      <w:r>
        <w:t>“(5) Ir-restrizzjonijiet stabbiliti fil-paragrafu 2 ta’ din it-taqsima huma applikati wkoll għall-konsum tas-sigaretti elettroniċi u l-prodotti tat-tabakk imsaħħna.”;</w:t>
      </w:r>
    </w:p>
    <w:p w:rsidR="00C3258B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13) </w:t>
      </w:r>
      <w:r>
        <w:t>l-§ 31 huwa emendat u fformulat kif ġej:</w:t>
      </w:r>
    </w:p>
    <w:p w:rsidR="00C3258B" w:rsidRPr="00C3258B" w:rsidRDefault="00C3258B" w:rsidP="0000457C">
      <w:pPr>
        <w:pStyle w:val="muutmisksk"/>
        <w:widowControl/>
        <w:rPr>
          <w:b/>
        </w:rPr>
      </w:pPr>
      <w:r>
        <w:t>“</w:t>
      </w:r>
      <w:r>
        <w:rPr>
          <w:b/>
        </w:rPr>
        <w:t xml:space="preserve">§ 31. </w:t>
      </w:r>
      <w:r>
        <w:rPr>
          <w:b/>
        </w:rPr>
        <w:t>It-tipjip u l-konsum ta’ prodotti tat-tabakk imsaħħna fi stabbilimenti tal-catering</w:t>
      </w:r>
    </w:p>
    <w:p w:rsidR="00C3258B" w:rsidRDefault="00C3258B" w:rsidP="0000457C">
      <w:pPr>
        <w:pStyle w:val="muutmisksk"/>
        <w:widowControl/>
      </w:pPr>
      <w:r>
        <w:t>(1) Fi stabbilimenti tal-catering, it-tipjip u l-konsum ta’ prodotti tat-tabakk imsaħħna huwa permess biss f’żoni tat-tipjip magħżula apposta (kmamar tat-tipjip) jew fuq iż-żona ta’ barra estiża staġjonalment fil-viċinanza immedjata tal-istabbiliment tal-catering.</w:t>
      </w:r>
    </w:p>
    <w:p w:rsidR="00C3258B" w:rsidRDefault="00C3258B" w:rsidP="0000457C">
      <w:pPr>
        <w:pStyle w:val="muutmisksk"/>
        <w:widowControl/>
      </w:pPr>
      <w:r>
        <w:t>(2) Il-kamra tat-tipjip imsemmija fil-paragrafu 1 ta’ din it-taqsima m’għandhiex tforni l-bejgħ ta’ ikliet, li jinkludu l-preparazzjoni u s-servizz tagħhom għall-konsum fil-bini jew is-servizz tagħhom għall-konsum fil-bini.</w:t>
      </w:r>
    </w:p>
    <w:p w:rsidR="00C3258B" w:rsidRDefault="00C3258B" w:rsidP="0000457C">
      <w:pPr>
        <w:pStyle w:val="muutmisksk"/>
        <w:widowControl/>
      </w:pPr>
      <w:r>
        <w:t>(3) Il-bejjiegħ għandu jkollu d-dritt li jiċħad servizz lil persuna, li tinjora l-projbizzjonijiet u r-restrizzjonijiet fuq it-tipjip u l-konsum ta’ prodotti tat-tabakk imsaħħna fl-istabbiliment tal-catering, u jitlobha titlaq mill-post.”;</w:t>
      </w:r>
    </w:p>
    <w:p w:rsidR="009F6B90" w:rsidRDefault="00C3258B" w:rsidP="0000457C">
      <w:pPr>
        <w:pStyle w:val="muutmisksk"/>
        <w:keepNext/>
        <w:keepLines/>
        <w:widowControl/>
      </w:pPr>
      <w:r>
        <w:t>14) it-test tal-§ 47 huwa emendat u fformulat kif ġej:</w:t>
      </w:r>
    </w:p>
    <w:p w:rsidR="009F6B90" w:rsidRDefault="009F6B90" w:rsidP="0000457C">
      <w:pPr>
        <w:pStyle w:val="muutmisksk"/>
        <w:widowControl/>
      </w:pPr>
      <w:r>
        <w:t>“It-tipjip jew il-konsum ta’ prodott tat-tabakk jew ta’ prodott użat bl-istess mod bħall-prodotti tat-tabakk minn minuri għandu jkun punibbli b’multa sa 10 unitajiet ta’ multa.”;</w:t>
      </w:r>
    </w:p>
    <w:p w:rsidR="009C5189" w:rsidRDefault="00C3258B" w:rsidP="0000457C">
      <w:pPr>
        <w:pStyle w:val="muutmisksk"/>
        <w:keepNext/>
        <w:keepLines/>
        <w:widowControl/>
      </w:pPr>
      <w:r>
        <w:t>15) it-test tal-§ 49 huwa emendat u fformulat kif ġej:</w:t>
      </w:r>
    </w:p>
    <w:p w:rsidR="009C5189" w:rsidRDefault="009C5189" w:rsidP="0000457C">
      <w:pPr>
        <w:pStyle w:val="muutmisksk"/>
        <w:widowControl/>
      </w:pPr>
      <w:r>
        <w:t>“It-tipjip jew il-konsum ta’ prodott tat-tabakk imsaħħan jew prodott użat bl-istess mod bħall-prodotti tat-tabakk f’post fejn it-tipjip, jew il-konsum ta’ prodott tat-tabakk imsaħħan jew ta’ prodott użat bl-istess mod bħall-prodotti tat-tabakk huwa pprojbit, għandu jkun punibbli b’multa sa 20 unitajiet ta’ multa.”;</w:t>
      </w:r>
    </w:p>
    <w:p w:rsidR="009C5189" w:rsidRDefault="00C3258B" w:rsidP="0000457C">
      <w:pPr>
        <w:pStyle w:val="muutmisksk"/>
        <w:keepNext/>
        <w:keepLines/>
        <w:widowControl/>
      </w:pPr>
      <w:r>
        <w:rPr>
          <w:b/>
        </w:rPr>
        <w:t xml:space="preserve">16) </w:t>
      </w:r>
      <w:r>
        <w:t>l-§ 50(1) huwa emendat u fformulat kif ġej:</w:t>
      </w:r>
    </w:p>
    <w:p w:rsidR="009C5189" w:rsidRDefault="009C5189" w:rsidP="0000457C">
      <w:pPr>
        <w:pStyle w:val="muutmisksk"/>
        <w:widowControl/>
      </w:pPr>
      <w:r>
        <w:t>“(1) Il-permess tat-tipjip, jew il-konsum ta’ prodott tat-tabakk imsaħħan jew prodott użat bl-istess mod bħall-prodotti tat-tabakk f’post, fejn, skont il-liġi, it-tipjip, jew il-konsum ta’ prodott tat-tabakk imsaħħan jew ta’ prodott użat bl-istess mod bħall-prodotti tat-tabakk ,mhumiex permessi, kif ukoll il-ksur tar-rekwiżiti tal-kamra tat-tipjip għandhom ikunu punibbli b’multa sa 200 unità ta’ multa.”;</w:t>
      </w:r>
    </w:p>
    <w:p w:rsidR="000F1F61" w:rsidRDefault="000F1F61" w:rsidP="0000457C">
      <w:pPr>
        <w:pStyle w:val="muutmisksk"/>
        <w:widowControl/>
      </w:pPr>
      <w:r>
        <w:t>President tal-Parlament tal-Estonja</w:t>
      </w:r>
    </w:p>
    <w:p w:rsidR="000F1F61" w:rsidRDefault="000F1F61" w:rsidP="0000457C">
      <w:pPr>
        <w:pStyle w:val="muutmisksk"/>
        <w:widowControl/>
      </w:pPr>
      <w:r>
        <w:t xml:space="preserve">Tallinn, ........................... </w:t>
      </w:r>
      <w:r>
        <w:t>2019</w:t>
      </w:r>
    </w:p>
    <w:p w:rsidR="000F1F61" w:rsidRPr="000F1F61" w:rsidRDefault="000F1F61" w:rsidP="0000457C">
      <w:pPr>
        <w:pStyle w:val="muutmisksk"/>
        <w:widowControl/>
      </w:pPr>
      <w:r>
        <w:t xml:space="preserve">Mibdi mill-Gvern tar-Repubblika fil-....................... </w:t>
      </w:r>
      <w:r>
        <w:t>2019</w:t>
      </w:r>
    </w:p>
    <w:p w:rsidR="000F1F61" w:rsidRPr="000F1F61" w:rsidRDefault="000F1F61" w:rsidP="0000457C">
      <w:pPr>
        <w:pStyle w:val="muutmisksk"/>
        <w:widowControl/>
      </w:pPr>
      <w:r>
        <w:t>Iffirmat b’mod diġitali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F1F61" w:rsidRPr="000F1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:rsidR="004B08D1" w:rsidRDefault="004B08D1" w:rsidP="0000457C">
      <w:pPr>
        <w:spacing w:after="0" w:line="240" w:lineRule="auto"/>
      </w:pPr>
      <w:r>
        <w:separator/>
      </w:r>
    </w:p>
  </w:endnote>
  <w:endnote w:type="continuationSeparator" w:id="0">
    <w:p w:rsidR="004B08D1" w:rsidRDefault="004B08D1" w:rsidP="0000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:rsidR="004B08D1" w:rsidRDefault="004B08D1" w:rsidP="0000457C">
      <w:pPr>
        <w:spacing w:after="0" w:line="240" w:lineRule="auto"/>
      </w:pPr>
      <w:r>
        <w:separator/>
      </w:r>
    </w:p>
  </w:footnote>
  <w:footnote w:type="continuationSeparator" w:id="0">
    <w:p w:rsidR="004B08D1" w:rsidRDefault="004B08D1" w:rsidP="00004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9F"/>
    <w:rsid w:val="0000457C"/>
    <w:rsid w:val="00056899"/>
    <w:rsid w:val="000707A0"/>
    <w:rsid w:val="00083F9E"/>
    <w:rsid w:val="0009318D"/>
    <w:rsid w:val="000C419A"/>
    <w:rsid w:val="000F1F61"/>
    <w:rsid w:val="00117FE9"/>
    <w:rsid w:val="001A0F14"/>
    <w:rsid w:val="001B35A3"/>
    <w:rsid w:val="0028759C"/>
    <w:rsid w:val="00292FDA"/>
    <w:rsid w:val="002A4570"/>
    <w:rsid w:val="00302BE2"/>
    <w:rsid w:val="00316DFA"/>
    <w:rsid w:val="00342FCA"/>
    <w:rsid w:val="004371FC"/>
    <w:rsid w:val="004628AB"/>
    <w:rsid w:val="004A3CE7"/>
    <w:rsid w:val="004B08D1"/>
    <w:rsid w:val="004E2E5A"/>
    <w:rsid w:val="004F68F8"/>
    <w:rsid w:val="00544F55"/>
    <w:rsid w:val="00576D82"/>
    <w:rsid w:val="006405C9"/>
    <w:rsid w:val="006A413B"/>
    <w:rsid w:val="006F0FE1"/>
    <w:rsid w:val="00702706"/>
    <w:rsid w:val="0074406D"/>
    <w:rsid w:val="00762D57"/>
    <w:rsid w:val="00763AA4"/>
    <w:rsid w:val="00787AB4"/>
    <w:rsid w:val="007B3F29"/>
    <w:rsid w:val="007C37B1"/>
    <w:rsid w:val="00830A4B"/>
    <w:rsid w:val="008C30DF"/>
    <w:rsid w:val="008D1695"/>
    <w:rsid w:val="00917A01"/>
    <w:rsid w:val="00937BD8"/>
    <w:rsid w:val="00952903"/>
    <w:rsid w:val="00982C65"/>
    <w:rsid w:val="00986D51"/>
    <w:rsid w:val="009C5189"/>
    <w:rsid w:val="009F6B90"/>
    <w:rsid w:val="00A228FC"/>
    <w:rsid w:val="00A32CCA"/>
    <w:rsid w:val="00B0041E"/>
    <w:rsid w:val="00BC7517"/>
    <w:rsid w:val="00BD2AD3"/>
    <w:rsid w:val="00C3258B"/>
    <w:rsid w:val="00C57B18"/>
    <w:rsid w:val="00C71875"/>
    <w:rsid w:val="00C71CDF"/>
    <w:rsid w:val="00C74A67"/>
    <w:rsid w:val="00CB4A82"/>
    <w:rsid w:val="00CF6953"/>
    <w:rsid w:val="00D5650D"/>
    <w:rsid w:val="00DD0CD1"/>
    <w:rsid w:val="00DF1C9F"/>
    <w:rsid w:val="00E271A0"/>
    <w:rsid w:val="00E51B56"/>
    <w:rsid w:val="00E97C8D"/>
    <w:rsid w:val="00EA1E2C"/>
    <w:rsid w:val="00EB24C5"/>
    <w:rsid w:val="00F313F5"/>
    <w:rsid w:val="00F3659F"/>
    <w:rsid w:val="00F44C04"/>
    <w:rsid w:val="00F7405A"/>
    <w:rsid w:val="00F757D9"/>
    <w:rsid w:val="00FA49AA"/>
    <w:rsid w:val="00FB29EC"/>
    <w:rsid w:val="00F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="Calibri" w:eastAsia="Calibri" w:hAnsi="Calibri" w:cs="Times New Roman"/>
        <w:lang w:val="mt-MT" w:eastAsia="mt-MT" w:bidi="mt-M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lnupealkiri">
    <w:name w:val="eelnõu pealkiri"/>
    <w:basedOn w:val="Normal"/>
    <w:qFormat/>
    <w:rsid w:val="00DF1C9F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type="paragraph" w:customStyle="1" w:styleId="pealkiri">
    <w:name w:val="§_pealkiri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muutmisksk">
    <w:name w:val="muutmiskäsk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atustesissejuhatus">
    <w:name w:val="muudatuste sissejuhatus"/>
    <w:basedOn w:val="Normal"/>
    <w:next w:val="muutmisksk"/>
    <w:qFormat/>
    <w:rsid w:val="00DF1C9F"/>
    <w:pPr>
      <w:widowControl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">
    <w:name w:val="muudetav tekst"/>
    <w:basedOn w:val="Normal"/>
    <w:qFormat/>
    <w:rsid w:val="00DF1C9F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boldis">
    <w:name w:val="muudetav tekst boldis"/>
    <w:basedOn w:val="muudetavtekst"/>
    <w:qFormat/>
    <w:rsid w:val="00DF1C9F"/>
    <w:pPr>
      <w:jc w:val="left"/>
    </w:pPr>
    <w:rPr>
      <w:rFonts w:eastAsia="MS Gothic"/>
      <w:b/>
    </w:rPr>
  </w:style>
  <w:style w:type="paragraph" w:customStyle="1" w:styleId="muudetavtekstalljoonega">
    <w:name w:val="muudetav tekst alljoonega"/>
    <w:basedOn w:val="muudetavtekst"/>
    <w:qFormat/>
    <w:rsid w:val="00DF1C9F"/>
    <w:rPr>
      <w:u w:val="single"/>
    </w:rPr>
  </w:style>
  <w:style w:type="paragraph" w:customStyle="1" w:styleId="muutmiskskalljoonega">
    <w:name w:val="muutmiskäsk alljoonega"/>
    <w:basedOn w:val="muutmisksk"/>
    <w:qFormat/>
    <w:rsid w:val="00DF1C9F"/>
    <w:rPr>
      <w:u w:val="single"/>
    </w:rPr>
  </w:style>
  <w:style w:type="paragraph" w:customStyle="1" w:styleId="justumisetekst">
    <w:name w:val="jõustumise tekst"/>
    <w:basedOn w:val="muudetavtekst"/>
    <w:next w:val="Normal"/>
    <w:qFormat/>
    <w:rsid w:val="00DF1C9F"/>
    <w:pPr>
      <w:spacing w:before="120" w:after="120"/>
    </w:pPr>
  </w:style>
  <w:style w:type="character" w:customStyle="1" w:styleId="tyhik">
    <w:name w:val="tyhik"/>
    <w:rsid w:val="00DF1C9F"/>
    <w:rPr>
      <w:rFonts w:ascii="Times New Roman" w:hAnsi="Times New Roman" w:cs="Times New Roman" w:hint="default"/>
    </w:rPr>
  </w:style>
  <w:style w:type="paragraph" w:customStyle="1" w:styleId="Default">
    <w:name w:val="Default"/>
    <w:rsid w:val="00E97C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71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1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8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875"/>
    <w:rPr>
      <w:rFonts w:ascii="Segoe UI" w:hAnsi="Segoe UI" w:cs="Segoe UI"/>
      <w:sz w:val="18"/>
      <w:szCs w:val="18"/>
    </w:rPr>
  </w:style>
  <w:style w:type="paragraph" w:customStyle="1" w:styleId="12PromKlEinlSatz">
    <w:name w:val="12_PromKl_EinlSatz"/>
    <w:basedOn w:val="Normal"/>
    <w:next w:val="Normal"/>
    <w:rsid w:val="0000457C"/>
    <w:pPr>
      <w:keepNext/>
      <w:spacing w:before="160" w:after="0" w:line="220" w:lineRule="exact"/>
      <w:ind w:firstLine="397"/>
      <w:jc w:val="both"/>
    </w:pPr>
    <w:rPr>
      <w:rFonts w:ascii="Times New Roman" w:eastAsia="Times New Roman" w:hAnsi="Times New Roman"/>
      <w:snapToGrid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457C"/>
    <w:rPr>
      <w:sz w:val="22"/>
      <w:szCs w:val="22"/>
      <w:lang w:val="mt-MT"/>
    </w:rPr>
  </w:style>
  <w:style w:type="paragraph" w:styleId="Footer">
    <w:name w:val="footer"/>
    <w:basedOn w:val="Normal"/>
    <w:link w:val="Foot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0457C"/>
    <w:rPr>
      <w:sz w:val="22"/>
      <w:szCs w:val="22"/>
      <w:lang w:val="mt-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lnupealkiri">
    <w:name w:val="eelnõu pealkiri"/>
    <w:basedOn w:val="Normal"/>
    <w:qFormat/>
    <w:rsid w:val="00DF1C9F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type="paragraph" w:customStyle="1" w:styleId="pealkiri">
    <w:name w:val="§_pealkiri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muutmisksk">
    <w:name w:val="muutmiskäsk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atustesissejuhatus">
    <w:name w:val="muudatuste sissejuhatus"/>
    <w:basedOn w:val="Normal"/>
    <w:next w:val="muutmisksk"/>
    <w:qFormat/>
    <w:rsid w:val="00DF1C9F"/>
    <w:pPr>
      <w:widowControl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">
    <w:name w:val="muudetav tekst"/>
    <w:basedOn w:val="Normal"/>
    <w:qFormat/>
    <w:rsid w:val="00DF1C9F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boldis">
    <w:name w:val="muudetav tekst boldis"/>
    <w:basedOn w:val="muudetavtekst"/>
    <w:qFormat/>
    <w:rsid w:val="00DF1C9F"/>
    <w:pPr>
      <w:jc w:val="left"/>
    </w:pPr>
    <w:rPr>
      <w:rFonts w:eastAsia="MS Gothic"/>
      <w:b/>
    </w:rPr>
  </w:style>
  <w:style w:type="paragraph" w:customStyle="1" w:styleId="muudetavtekstalljoonega">
    <w:name w:val="muudetav tekst alljoonega"/>
    <w:basedOn w:val="muudetavtekst"/>
    <w:qFormat/>
    <w:rsid w:val="00DF1C9F"/>
    <w:rPr>
      <w:u w:val="single"/>
    </w:rPr>
  </w:style>
  <w:style w:type="paragraph" w:customStyle="1" w:styleId="muutmiskskalljoonega">
    <w:name w:val="muutmiskäsk alljoonega"/>
    <w:basedOn w:val="muutmisksk"/>
    <w:qFormat/>
    <w:rsid w:val="00DF1C9F"/>
    <w:rPr>
      <w:u w:val="single"/>
    </w:rPr>
  </w:style>
  <w:style w:type="paragraph" w:customStyle="1" w:styleId="justumisetekst">
    <w:name w:val="jõustumise tekst"/>
    <w:basedOn w:val="muudetavtekst"/>
    <w:next w:val="Normal"/>
    <w:qFormat/>
    <w:rsid w:val="00DF1C9F"/>
    <w:pPr>
      <w:spacing w:before="120" w:after="120"/>
    </w:pPr>
  </w:style>
  <w:style w:type="character" w:customStyle="1" w:styleId="tyhik">
    <w:name w:val="tyhik"/>
    <w:rsid w:val="00DF1C9F"/>
    <w:rPr>
      <w:rFonts w:ascii="Times New Roman" w:hAnsi="Times New Roman" w:cs="Times New Roman" w:hint="default"/>
    </w:rPr>
  </w:style>
  <w:style w:type="paragraph" w:customStyle="1" w:styleId="Default">
    <w:name w:val="Default"/>
    <w:rsid w:val="00E97C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71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1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8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875"/>
    <w:rPr>
      <w:rFonts w:ascii="Segoe UI" w:hAnsi="Segoe UI" w:cs="Segoe UI"/>
      <w:sz w:val="18"/>
      <w:szCs w:val="18"/>
    </w:rPr>
  </w:style>
  <w:style w:type="paragraph" w:customStyle="1" w:styleId="12PromKlEinlSatz">
    <w:name w:val="12_PromKl_EinlSatz"/>
    <w:basedOn w:val="Normal"/>
    <w:next w:val="Normal"/>
    <w:rsid w:val="0000457C"/>
    <w:pPr>
      <w:keepNext/>
      <w:spacing w:before="160" w:after="0" w:line="220" w:lineRule="exact"/>
      <w:ind w:firstLine="397"/>
      <w:jc w:val="both"/>
    </w:pPr>
    <w:rPr>
      <w:rFonts w:ascii="Times New Roman" w:eastAsia="Times New Roman" w:hAnsi="Times New Roman"/>
      <w:snapToGrid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457C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0457C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76125-29F7-4644-A7B1-F9BE3CAF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RIK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 Sarapuu</dc:creator>
  <cp:keywords/>
  <dc:description/>
  <cp:lastModifiedBy>DA</cp:lastModifiedBy>
  <cp:revision>3</cp:revision>
  <cp:lastPrinted>2019-03-26T14:28:00Z</cp:lastPrinted>
  <dcterms:created xsi:type="dcterms:W3CDTF">2019-06-14T14:56:00Z</dcterms:created>
  <dcterms:modified xsi:type="dcterms:W3CDTF">2019-06-18T12:34:00Z</dcterms:modified>
</cp:coreProperties>
</file>