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8 -->
  <w:body>
    <w:p w:rsidR="00846D15" w:rsidP="00846D15" w14:paraId="504B515F" w14:textId="77777777">
      <w:pPr>
        <w:jc w:val="center"/>
        <w:rPr>
          <w:b/>
          <w:sz w:val="44"/>
          <w:szCs w:val="44"/>
        </w:rPr>
      </w:pPr>
      <w:bookmarkStart w:id="0" w:name="_Toc530657542"/>
      <w:bookmarkStart w:id="1" w:name="_GoBack"/>
      <w:bookmarkEnd w:id="1"/>
    </w:p>
    <w:p w:rsidR="00846D15" w:rsidP="00846D15" w14:paraId="747D78DC" w14:textId="77777777">
      <w:pPr>
        <w:jc w:val="center"/>
        <w:rPr>
          <w:b/>
          <w:sz w:val="44"/>
          <w:szCs w:val="44"/>
        </w:rPr>
      </w:pPr>
    </w:p>
    <w:p w:rsidR="00846D15" w:rsidP="00846D15" w14:paraId="0C92777A" w14:textId="77777777">
      <w:pPr>
        <w:jc w:val="center"/>
        <w:rPr>
          <w:b/>
          <w:sz w:val="44"/>
          <w:szCs w:val="44"/>
        </w:rPr>
      </w:pPr>
    </w:p>
    <w:p w:rsidR="00846D15" w:rsidP="00846D15" w14:paraId="69FE37FE" w14:textId="77777777">
      <w:pPr>
        <w:jc w:val="center"/>
        <w:rPr>
          <w:b/>
          <w:sz w:val="44"/>
          <w:szCs w:val="44"/>
        </w:rPr>
      </w:pPr>
    </w:p>
    <w:p w:rsidR="00846D15" w:rsidP="00846D15" w14:paraId="58B6FFB6" w14:textId="77777777">
      <w:pPr>
        <w:jc w:val="center"/>
        <w:rPr>
          <w:b/>
          <w:sz w:val="44"/>
          <w:szCs w:val="44"/>
        </w:rPr>
      </w:pPr>
    </w:p>
    <w:p w:rsidR="00846D15" w:rsidP="00846D15" w14:paraId="7F7CCD4B" w14:textId="77777777">
      <w:pPr>
        <w:jc w:val="center"/>
        <w:rPr>
          <w:b/>
          <w:sz w:val="44"/>
          <w:szCs w:val="44"/>
        </w:rPr>
      </w:pPr>
    </w:p>
    <w:p w:rsidR="00846D15" w:rsidP="00846D15" w14:paraId="71DCB0D3" w14:textId="77777777">
      <w:pPr>
        <w:jc w:val="center"/>
        <w:rPr>
          <w:b/>
          <w:sz w:val="44"/>
          <w:szCs w:val="44"/>
        </w:rPr>
      </w:pPr>
    </w:p>
    <w:p w:rsidR="00846D15" w:rsidP="00846D15" w14:paraId="3A789526" w14:textId="77777777">
      <w:pPr>
        <w:jc w:val="center"/>
        <w:rPr>
          <w:b/>
          <w:sz w:val="44"/>
          <w:szCs w:val="44"/>
        </w:rPr>
      </w:pPr>
      <w:r w:rsidRPr="00DD6AC1">
        <w:rPr>
          <w:b/>
          <w:sz w:val="44"/>
          <w:szCs w:val="44"/>
        </w:rPr>
        <w:t>ZÁVĚREČNÁ ZPRÁVA Z HODNOCENÍ DOPADŮ REGULACE</w:t>
      </w:r>
    </w:p>
    <w:p w:rsidR="00846D15" w:rsidRPr="00681F48" w:rsidP="00846D15" w14:paraId="3EFEAE71" w14:textId="77777777">
      <w:pPr>
        <w:jc w:val="center"/>
        <w:rPr>
          <w:b/>
          <w:sz w:val="44"/>
          <w:szCs w:val="44"/>
        </w:rPr>
      </w:pPr>
    </w:p>
    <w:p w:rsidR="00846D15" w:rsidRPr="00A41664" w:rsidP="00846D15" w14:paraId="4B770482" w14:textId="3F2E1F18">
      <w:pPr>
        <w:jc w:val="center"/>
        <w:rPr>
          <w:b/>
          <w:sz w:val="28"/>
          <w:szCs w:val="28"/>
        </w:rPr>
      </w:pPr>
      <w:r>
        <w:rPr>
          <w:rFonts w:cs="Arial"/>
          <w:b/>
          <w:sz w:val="28"/>
          <w:szCs w:val="28"/>
        </w:rPr>
        <w:t>k návrhu zákona o vybraných výrobcích s ukončenou životností</w:t>
      </w:r>
    </w:p>
    <w:p w:rsidR="00846D15" w:rsidP="00846D15" w14:paraId="2FF4D8CD" w14:textId="77777777">
      <w:pPr>
        <w:jc w:val="center"/>
        <w:rPr>
          <w:b/>
          <w:sz w:val="28"/>
          <w:szCs w:val="28"/>
        </w:rPr>
      </w:pPr>
    </w:p>
    <w:p w:rsidR="00846D15" w:rsidP="00846D15" w14:paraId="5F2E07B0" w14:textId="77777777">
      <w:pPr>
        <w:jc w:val="center"/>
        <w:rPr>
          <w:b/>
          <w:sz w:val="28"/>
          <w:szCs w:val="28"/>
        </w:rPr>
      </w:pPr>
    </w:p>
    <w:p w:rsidR="00846D15" w:rsidP="00846D15" w14:paraId="03E9D544" w14:textId="77777777">
      <w:pPr>
        <w:jc w:val="center"/>
        <w:rPr>
          <w:b/>
          <w:sz w:val="28"/>
          <w:szCs w:val="28"/>
        </w:rPr>
      </w:pPr>
    </w:p>
    <w:p w:rsidR="00846D15" w:rsidP="00846D15" w14:paraId="3CA73B83" w14:textId="77777777">
      <w:pPr>
        <w:jc w:val="center"/>
        <w:rPr>
          <w:b/>
          <w:sz w:val="28"/>
          <w:szCs w:val="28"/>
        </w:rPr>
      </w:pPr>
    </w:p>
    <w:p w:rsidR="00846D15" w:rsidP="00846D15" w14:paraId="76A2F810" w14:textId="77777777">
      <w:pPr>
        <w:jc w:val="center"/>
        <w:rPr>
          <w:b/>
          <w:sz w:val="28"/>
          <w:szCs w:val="28"/>
        </w:rPr>
      </w:pPr>
    </w:p>
    <w:p w:rsidR="00846D15" w:rsidP="00846D15" w14:paraId="65137818" w14:textId="77777777">
      <w:pPr>
        <w:jc w:val="center"/>
        <w:rPr>
          <w:b/>
          <w:sz w:val="28"/>
          <w:szCs w:val="28"/>
        </w:rPr>
      </w:pPr>
    </w:p>
    <w:p w:rsidR="00846D15" w:rsidP="00846D15" w14:paraId="36F31B58" w14:textId="77777777">
      <w:pPr>
        <w:jc w:val="center"/>
        <w:rPr>
          <w:b/>
          <w:sz w:val="28"/>
          <w:szCs w:val="28"/>
        </w:rPr>
      </w:pPr>
    </w:p>
    <w:p w:rsidR="00846D15" w:rsidP="00846D15" w14:paraId="276CC4A7" w14:textId="77777777">
      <w:pPr>
        <w:jc w:val="center"/>
        <w:rPr>
          <w:b/>
          <w:sz w:val="28"/>
          <w:szCs w:val="28"/>
        </w:rPr>
      </w:pPr>
      <w:r w:rsidRPr="00545911">
        <w:rPr>
          <w:b/>
          <w:sz w:val="28"/>
          <w:szCs w:val="28"/>
          <w:lang w:eastAsia="cs-CZ" w:bidi="ar-SA"/>
        </w:rPr>
        <w:drawing>
          <wp:inline distT="0" distB="0" distL="0" distR="0">
            <wp:extent cx="2486025" cy="5143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3871" name="obrázek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6025" cy="514350"/>
                    </a:xfrm>
                    <a:prstGeom prst="rect">
                      <a:avLst/>
                    </a:prstGeom>
                    <a:noFill/>
                    <a:ln>
                      <a:noFill/>
                    </a:ln>
                  </pic:spPr>
                </pic:pic>
              </a:graphicData>
            </a:graphic>
          </wp:inline>
        </w:drawing>
      </w:r>
    </w:p>
    <w:p w:rsidR="00846D15" w:rsidP="00846D15" w14:paraId="12C111AA" w14:textId="2531D903">
      <w:pPr>
        <w:jc w:val="center"/>
        <w:rPr>
          <w:b/>
          <w:sz w:val="28"/>
          <w:szCs w:val="28"/>
        </w:rPr>
      </w:pPr>
      <w:r>
        <w:rPr>
          <w:b/>
          <w:sz w:val="28"/>
          <w:szCs w:val="28"/>
        </w:rPr>
        <w:t>2019</w:t>
      </w:r>
    </w:p>
    <w:p w:rsidR="00846D15" w:rsidP="00846D15" w14:paraId="13CF55D1" w14:textId="77777777">
      <w:pPr>
        <w:spacing w:line="240" w:lineRule="auto"/>
        <w:jc w:val="left"/>
        <w:rPr>
          <w:b/>
          <w:sz w:val="28"/>
          <w:szCs w:val="28"/>
        </w:rPr>
        <w:sectPr w:rsidSect="00D004E4">
          <w:headerReference w:type="default" r:id="rId7"/>
          <w:pgSz w:w="11906" w:h="16838"/>
          <w:pgMar w:top="1417" w:right="1417" w:bottom="1417" w:left="1417" w:header="708" w:footer="708" w:gutter="0"/>
          <w:cols w:space="708"/>
          <w:docGrid w:linePitch="360"/>
        </w:sectPr>
      </w:pPr>
    </w:p>
    <w:p w:rsidR="00CA37E5" w:rsidRPr="00155C04" w:rsidP="00954175" w14:paraId="36C60884" w14:textId="77777777">
      <w:pPr>
        <w:pStyle w:val="Title"/>
        <w:rPr>
          <w:rFonts w:cs="Arial"/>
          <w:sz w:val="28"/>
          <w:szCs w:val="28"/>
        </w:rPr>
      </w:pPr>
      <w:bookmarkStart w:id="2" w:name="_Toc441759827"/>
      <w:bookmarkStart w:id="3" w:name="_Toc14942074"/>
      <w:bookmarkEnd w:id="0"/>
      <w:bookmarkStart w:id="4" w:name="_Toc256000000"/>
      <w:r w:rsidRPr="00155C04">
        <w:rPr>
          <w:rFonts w:cs="Arial"/>
          <w:sz w:val="28"/>
          <w:szCs w:val="28"/>
        </w:rPr>
        <w:t>SHRNUTÍ ZÁVĚREČNÉ ZPRÁVY RIA</w:t>
      </w:r>
      <w:bookmarkEnd w:id="4"/>
      <w:bookmarkEnd w:id="2"/>
      <w:bookmarkEnd w:id="3"/>
    </w:p>
    <w:p w:rsidR="00CA37E5" w:rsidRPr="000B7CBF" w:rsidP="00CA37E5" w14:paraId="66418F8F" w14:textId="77777777">
      <w:pPr>
        <w:tabs>
          <w:tab w:val="left" w:pos="6660"/>
        </w:tabs>
        <w:spacing w:after="120" w:line="240" w:lineRule="auto"/>
        <w:jc w:val="center"/>
        <w:rPr>
          <w:rFonts w:eastAsia="MS Mincho" w:cs="Arial"/>
          <w:bCs/>
          <w:noProof w:val="0"/>
          <w:lang w:bidi="ar-SA"/>
        </w:rPr>
      </w:pPr>
      <w:r w:rsidRPr="000B7CBF">
        <w:rPr>
          <w:rFonts w:eastAsia="MS Mincho" w:cs="Arial"/>
          <w:bCs/>
          <w:noProof w:val="0"/>
          <w:lang w:bidi="ar-SA"/>
        </w:rPr>
        <w:t>1. Základní identifikační údaje</w:t>
      </w:r>
    </w:p>
    <w:tbl>
      <w:tblPr>
        <w:tblW w:w="9057"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tblPr>
      <w:tblGrid>
        <w:gridCol w:w="4644"/>
        <w:gridCol w:w="4413"/>
      </w:tblGrid>
      <w:tr w14:paraId="1E11AFE4" w14:textId="77777777" w:rsidTr="000C2C4A">
        <w:tblPrEx>
          <w:tblW w:w="9057"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tblPrEx>
        <w:trPr>
          <w:trHeight w:val="187"/>
        </w:trPr>
        <w:tc>
          <w:tcPr>
            <w:tcW w:w="9057" w:type="dxa"/>
            <w:gridSpan w:val="2"/>
            <w:tcBorders>
              <w:top w:val="single" w:sz="12" w:space="0" w:color="000000"/>
              <w:left w:val="single" w:sz="12" w:space="0" w:color="000000"/>
              <w:bottom w:val="single" w:sz="4" w:space="0" w:color="auto"/>
              <w:right w:val="single" w:sz="12" w:space="0" w:color="000000"/>
            </w:tcBorders>
            <w:shd w:val="clear" w:color="auto" w:fill="auto"/>
            <w:vAlign w:val="bottom"/>
          </w:tcPr>
          <w:p w:rsidR="002C2D60" w:rsidRPr="00C04D5B" w:rsidP="002C2D60" w14:paraId="62277072" w14:textId="6970AAEE">
            <w:pPr>
              <w:tabs>
                <w:tab w:val="left" w:pos="6660"/>
              </w:tabs>
              <w:spacing w:line="240" w:lineRule="auto"/>
              <w:jc w:val="center"/>
              <w:rPr>
                <w:rFonts w:eastAsia="MS Mincho" w:cs="Arial"/>
                <w:bCs/>
                <w:i/>
                <w:iCs/>
              </w:rPr>
            </w:pPr>
            <w:r w:rsidRPr="00C04D5B">
              <w:rPr>
                <w:rFonts w:eastAsia="MS Mincho" w:cs="Arial"/>
                <w:bCs/>
              </w:rPr>
              <w:t xml:space="preserve">Název </w:t>
            </w:r>
            <w:r>
              <w:rPr>
                <w:rFonts w:eastAsia="MS Mincho" w:cs="Arial"/>
                <w:bCs/>
              </w:rPr>
              <w:t xml:space="preserve">předpisu: </w:t>
            </w:r>
            <w:r w:rsidRPr="009E4392">
              <w:rPr>
                <w:rFonts w:eastAsia="MS Mincho" w:cs="Arial"/>
                <w:b/>
                <w:bCs/>
                <w:noProof w:val="0"/>
                <w:lang w:bidi="ar-SA"/>
              </w:rPr>
              <w:t>Návrh zákona o vybraných výrobcích s ukončenou životností</w:t>
            </w:r>
            <w:r w:rsidRPr="00C04D5B">
              <w:rPr>
                <w:rFonts w:eastAsia="MS Mincho" w:cs="Arial"/>
                <w:bCs/>
              </w:rPr>
              <w:t xml:space="preserve"> </w:t>
            </w:r>
          </w:p>
        </w:tc>
      </w:tr>
      <w:tr w14:paraId="31B407E2" w14:textId="77777777" w:rsidTr="000C2C4A">
        <w:tblPrEx>
          <w:tblW w:w="9057" w:type="dxa"/>
          <w:tblLayout w:type="fixed"/>
          <w:tblLook w:val="00A0"/>
        </w:tblPrEx>
        <w:trPr>
          <w:trHeight w:val="979"/>
        </w:trPr>
        <w:tc>
          <w:tcPr>
            <w:tcW w:w="4644" w:type="dxa"/>
            <w:tcBorders>
              <w:top w:val="single" w:sz="4" w:space="0" w:color="auto"/>
              <w:left w:val="single" w:sz="12" w:space="0" w:color="000000"/>
              <w:bottom w:val="single" w:sz="4" w:space="0" w:color="auto"/>
              <w:right w:val="single" w:sz="4" w:space="0" w:color="auto"/>
            </w:tcBorders>
            <w:shd w:val="clear" w:color="auto" w:fill="auto"/>
            <w:vAlign w:val="center"/>
          </w:tcPr>
          <w:p w:rsidR="002C2D60" w:rsidRPr="00C04D5B" w:rsidP="004300FB" w14:paraId="27957594" w14:textId="77777777">
            <w:pPr>
              <w:tabs>
                <w:tab w:val="left" w:pos="6660"/>
              </w:tabs>
              <w:spacing w:line="240" w:lineRule="auto"/>
              <w:jc w:val="center"/>
              <w:rPr>
                <w:rFonts w:eastAsia="MS Mincho" w:cs="Arial"/>
                <w:bCs/>
              </w:rPr>
            </w:pPr>
            <w:r w:rsidRPr="00C04D5B">
              <w:rPr>
                <w:rFonts w:eastAsia="MS Mincho" w:cs="Arial"/>
                <w:bCs/>
              </w:rPr>
              <w:t xml:space="preserve">Zpracovatel / zástupce předkladatele: </w:t>
            </w:r>
          </w:p>
          <w:p w:rsidR="002C2D60" w:rsidRPr="00C04D5B" w:rsidP="004300FB" w14:paraId="2BCC67A3" w14:textId="2A95D81E">
            <w:pPr>
              <w:tabs>
                <w:tab w:val="left" w:pos="6660"/>
              </w:tabs>
              <w:spacing w:line="240" w:lineRule="auto"/>
              <w:jc w:val="center"/>
              <w:rPr>
                <w:rFonts w:eastAsia="MS Mincho" w:cs="Arial"/>
                <w:bCs/>
                <w:u w:val="single"/>
              </w:rPr>
            </w:pPr>
            <w:r w:rsidRPr="000B7CBF">
              <w:rPr>
                <w:rFonts w:eastAsia="MS Mincho" w:cs="Arial"/>
                <w:bCs/>
                <w:noProof w:val="0"/>
                <w:lang w:bidi="ar-SA"/>
              </w:rPr>
              <w:t>Ministerstvo životního prostředí, Ministerstvo průmyslu a obchodu</w:t>
            </w:r>
            <w:r w:rsidRPr="00C04D5B">
              <w:rPr>
                <w:rFonts w:eastAsia="MS Mincho" w:cs="Arial"/>
                <w:bCs/>
                <w:u w:val="single"/>
              </w:rPr>
              <w:t xml:space="preserve"> </w:t>
            </w:r>
          </w:p>
        </w:tc>
        <w:tc>
          <w:tcPr>
            <w:tcW w:w="4413" w:type="dxa"/>
            <w:tcBorders>
              <w:top w:val="single" w:sz="4" w:space="0" w:color="auto"/>
              <w:left w:val="single" w:sz="4" w:space="0" w:color="auto"/>
              <w:bottom w:val="single" w:sz="4" w:space="0" w:color="auto"/>
              <w:right w:val="single" w:sz="12" w:space="0" w:color="000000"/>
            </w:tcBorders>
            <w:shd w:val="clear" w:color="auto" w:fill="auto"/>
            <w:vAlign w:val="center"/>
          </w:tcPr>
          <w:p w:rsidR="002C2D60" w:rsidRPr="00C04D5B" w:rsidP="004300FB" w14:paraId="5BB0ACE2" w14:textId="77777777">
            <w:pPr>
              <w:tabs>
                <w:tab w:val="left" w:pos="6660"/>
              </w:tabs>
              <w:spacing w:line="240" w:lineRule="auto"/>
              <w:jc w:val="center"/>
              <w:rPr>
                <w:rFonts w:eastAsia="MS Mincho" w:cs="Arial"/>
                <w:bCs/>
              </w:rPr>
            </w:pPr>
            <w:r w:rsidRPr="00C04D5B">
              <w:rPr>
                <w:rFonts w:eastAsia="MS Mincho" w:cs="Arial"/>
                <w:bCs/>
              </w:rPr>
              <w:t>Předpokládaný termín nabytí účinnosti, v případě dělené účinnosti rozveďte</w:t>
            </w:r>
          </w:p>
          <w:p w:rsidR="002C2D60" w:rsidRPr="00C04D5B" w:rsidP="004300FB" w14:paraId="2C7C2569" w14:textId="722B1124">
            <w:pPr>
              <w:tabs>
                <w:tab w:val="left" w:pos="6660"/>
              </w:tabs>
              <w:spacing w:line="240" w:lineRule="auto"/>
              <w:jc w:val="center"/>
              <w:rPr>
                <w:rFonts w:eastAsia="MS Mincho" w:cs="Arial"/>
                <w:bCs/>
              </w:rPr>
            </w:pPr>
            <w:r w:rsidRPr="000B7CBF">
              <w:rPr>
                <w:rFonts w:eastAsia="MS Mincho" w:cs="Arial"/>
                <w:bCs/>
                <w:noProof w:val="0"/>
                <w:lang w:bidi="ar-SA"/>
              </w:rPr>
              <w:t>1</w:t>
            </w:r>
            <w:r w:rsidRPr="000B7CBF">
              <w:rPr>
                <w:rFonts w:eastAsia="MS Mincho" w:cs="Arial"/>
                <w:i/>
                <w:iCs/>
                <w:noProof w:val="0"/>
                <w:lang w:bidi="ar-SA"/>
              </w:rPr>
              <w:t>.</w:t>
            </w:r>
            <w:r w:rsidRPr="000B7CBF">
              <w:rPr>
                <w:rFonts w:eastAsia="MS Mincho" w:cs="Arial"/>
                <w:bCs/>
                <w:noProof w:val="0"/>
                <w:lang w:bidi="ar-SA"/>
              </w:rPr>
              <w:t xml:space="preserve"> </w:t>
            </w:r>
            <w:r>
              <w:rPr>
                <w:rFonts w:eastAsia="MS Mincho" w:cs="Arial"/>
                <w:bCs/>
                <w:noProof w:val="0"/>
                <w:lang w:bidi="ar-SA"/>
              </w:rPr>
              <w:t>1. 2021</w:t>
            </w:r>
          </w:p>
        </w:tc>
      </w:tr>
      <w:tr w14:paraId="70277EDC"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rPr>
          <w:trHeight w:val="1080"/>
        </w:trPr>
        <w:tc>
          <w:tcPr>
            <w:tcW w:w="9057" w:type="dxa"/>
            <w:gridSpan w:val="2"/>
            <w:tcBorders>
              <w:top w:val="single" w:sz="12" w:space="0" w:color="000000"/>
              <w:left w:val="single" w:sz="12" w:space="0" w:color="000000"/>
              <w:right w:val="single" w:sz="12" w:space="0" w:color="000000"/>
            </w:tcBorders>
            <w:shd w:val="clear" w:color="auto" w:fill="auto"/>
            <w:vAlign w:val="center"/>
          </w:tcPr>
          <w:p w:rsidR="002C2D60" w:rsidRPr="000B7CBF" w:rsidP="002C2D60" w14:paraId="48C83C31" w14:textId="77777777">
            <w:pPr>
              <w:tabs>
                <w:tab w:val="left" w:pos="6660"/>
              </w:tabs>
              <w:spacing w:before="100" w:beforeAutospacing="1" w:line="240" w:lineRule="auto"/>
              <w:jc w:val="left"/>
              <w:rPr>
                <w:rFonts w:eastAsia="MS Mincho" w:cs="Arial"/>
                <w:bCs/>
                <w:noProof w:val="0"/>
                <w:lang w:bidi="ar-SA"/>
              </w:rPr>
            </w:pPr>
            <w:r w:rsidRPr="000B7CBF">
              <w:rPr>
                <w:rFonts w:eastAsia="MS Mincho" w:cs="Arial"/>
                <w:bCs/>
                <w:noProof w:val="0"/>
                <w:lang w:bidi="ar-SA"/>
              </w:rPr>
              <w:t xml:space="preserve">Implementace práva EU: </w:t>
            </w:r>
            <w:r>
              <w:rPr>
                <w:rFonts w:eastAsia="MS Mincho" w:cs="Arial"/>
                <w:bCs/>
                <w:i/>
                <w:noProof w:val="0"/>
                <w:lang w:bidi="ar-SA"/>
              </w:rPr>
              <w:t>Ano</w:t>
            </w:r>
            <w:r w:rsidRPr="000B7CBF">
              <w:rPr>
                <w:rFonts w:eastAsia="MS Mincho" w:cs="Arial"/>
                <w:noProof w:val="0"/>
                <w:lang w:bidi="ar-SA"/>
              </w:rPr>
              <w:t>; (p</w:t>
            </w:r>
            <w:r w:rsidRPr="000B7CBF">
              <w:rPr>
                <w:rFonts w:eastAsia="MS Mincho" w:cs="Arial"/>
                <w:bCs/>
                <w:noProof w:val="0"/>
                <w:lang w:bidi="ar-SA"/>
              </w:rPr>
              <w:t>okud zvolíte Ano):</w:t>
            </w:r>
          </w:p>
          <w:p w:rsidR="00DA6DDC" w:rsidP="002C2D60" w14:paraId="32F43359" w14:textId="77777777">
            <w:pPr>
              <w:tabs>
                <w:tab w:val="left" w:pos="6660"/>
              </w:tabs>
              <w:spacing w:after="120" w:line="240" w:lineRule="auto"/>
              <w:jc w:val="left"/>
              <w:rPr>
                <w:rFonts w:eastAsia="MS Mincho" w:cs="Arial"/>
                <w:i/>
                <w:iCs/>
                <w:noProof w:val="0"/>
                <w:lang w:bidi="ar-SA"/>
              </w:rPr>
            </w:pPr>
            <w:r w:rsidRPr="000B7CBF">
              <w:rPr>
                <w:rFonts w:eastAsia="MS Mincho" w:cs="Arial"/>
                <w:bCs/>
                <w:noProof w:val="0"/>
                <w:lang w:bidi="ar-SA"/>
              </w:rPr>
              <w:t>- uveďte termín stanovený pro implementaci:</w:t>
            </w:r>
            <w:r>
              <w:rPr>
                <w:rFonts w:eastAsia="MS Mincho" w:cs="Arial"/>
                <w:bCs/>
                <w:noProof w:val="0"/>
                <w:lang w:bidi="ar-SA"/>
              </w:rPr>
              <w:t xml:space="preserve"> 5. 7. 2020</w:t>
            </w:r>
            <w:r w:rsidRPr="000B7CBF">
              <w:rPr>
                <w:rFonts w:eastAsia="MS Mincho" w:cs="Arial"/>
                <w:i/>
                <w:iCs/>
                <w:noProof w:val="0"/>
                <w:lang w:bidi="ar-SA"/>
              </w:rPr>
              <w:t>.</w:t>
            </w:r>
            <w:r>
              <w:rPr>
                <w:rFonts w:eastAsia="MS Mincho" w:cs="Arial"/>
                <w:i/>
                <w:iCs/>
                <w:noProof w:val="0"/>
                <w:lang w:bidi="ar-SA"/>
              </w:rPr>
              <w:t xml:space="preserve"> </w:t>
            </w:r>
          </w:p>
          <w:p w:rsidR="002C2D60" w:rsidRPr="000B7CBF" w:rsidP="002C2D60" w14:paraId="44BA0D26" w14:textId="5D629BBF">
            <w:pPr>
              <w:tabs>
                <w:tab w:val="left" w:pos="6660"/>
              </w:tabs>
              <w:spacing w:after="120" w:line="240" w:lineRule="auto"/>
              <w:jc w:val="left"/>
              <w:rPr>
                <w:rFonts w:eastAsia="MS Mincho" w:cs="Arial"/>
                <w:i/>
                <w:iCs/>
                <w:noProof w:val="0"/>
                <w:lang w:bidi="ar-SA"/>
              </w:rPr>
            </w:pPr>
            <w:r>
              <w:rPr>
                <w:rFonts w:eastAsia="MS Mincho" w:cs="Arial"/>
                <w:bCs/>
                <w:noProof w:val="0"/>
                <w:lang w:bidi="ar-SA"/>
              </w:rPr>
              <w:t>Implementace je již částečně zajištěna stávajícími právními předpisy, které budou navrhovanou právní úpravou nahrazeny.</w:t>
            </w:r>
          </w:p>
          <w:p w:rsidR="002C2D60" w:rsidRPr="00C04D5B" w:rsidP="002C2D60" w14:paraId="2D6E00F5" w14:textId="3097537B">
            <w:pPr>
              <w:tabs>
                <w:tab w:val="left" w:pos="6660"/>
              </w:tabs>
              <w:spacing w:line="264" w:lineRule="auto"/>
              <w:jc w:val="left"/>
              <w:rPr>
                <w:rFonts w:eastAsia="MS Mincho" w:cs="Arial"/>
                <w:i/>
                <w:iCs/>
                <w:u w:val="single"/>
              </w:rPr>
            </w:pPr>
            <w:r w:rsidRPr="000B7CBF">
              <w:rPr>
                <w:rFonts w:eastAsia="MS Mincho" w:cs="Arial"/>
                <w:bCs/>
                <w:noProof w:val="0"/>
                <w:lang w:bidi="ar-SA"/>
              </w:rPr>
              <w:t xml:space="preserve">- uveďte, zda jde návrh nad rámec požadavků stanovených předpisem EU?: </w:t>
            </w:r>
            <w:r>
              <w:rPr>
                <w:rFonts w:eastAsia="MS Mincho" w:cs="Arial"/>
                <w:bCs/>
                <w:i/>
                <w:noProof w:val="0"/>
                <w:lang w:bidi="ar-SA"/>
              </w:rPr>
              <w:t>Ano</w:t>
            </w:r>
          </w:p>
        </w:tc>
      </w:tr>
      <w:tr w14:paraId="01F978DD"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12" w:space="0" w:color="auto"/>
              <w:left w:val="single" w:sz="12" w:space="0" w:color="auto"/>
              <w:bottom w:val="single" w:sz="12" w:space="0" w:color="auto"/>
              <w:right w:val="single" w:sz="12" w:space="0" w:color="auto"/>
            </w:tcBorders>
            <w:shd w:val="clear" w:color="auto" w:fill="99CCFF"/>
          </w:tcPr>
          <w:p w:rsidR="002C2D60" w:rsidRPr="00C04D5B" w:rsidP="004300FB" w14:paraId="363A9F2E" w14:textId="77777777">
            <w:pPr>
              <w:tabs>
                <w:tab w:val="left" w:pos="6660"/>
              </w:tabs>
              <w:spacing w:line="240" w:lineRule="auto"/>
              <w:rPr>
                <w:rFonts w:eastAsia="MS Mincho" w:cs="Arial"/>
                <w:bCs/>
              </w:rPr>
            </w:pPr>
            <w:r w:rsidRPr="00C04D5B">
              <w:rPr>
                <w:rFonts w:eastAsia="MS Mincho" w:cs="Arial"/>
                <w:bCs/>
              </w:rPr>
              <w:t xml:space="preserve">2. Cíl návrhu zákona </w:t>
            </w:r>
          </w:p>
        </w:tc>
      </w:tr>
      <w:tr w14:paraId="08AB6245"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12" w:space="0" w:color="auto"/>
              <w:left w:val="single" w:sz="12" w:space="0" w:color="auto"/>
              <w:bottom w:val="single" w:sz="12" w:space="0" w:color="auto"/>
              <w:right w:val="single" w:sz="12" w:space="0" w:color="auto"/>
            </w:tcBorders>
            <w:shd w:val="clear" w:color="auto" w:fill="auto"/>
          </w:tcPr>
          <w:p w:rsidR="002C2D60" w:rsidRPr="000B7CBF" w:rsidP="002C2D60" w14:paraId="5472CC2C" w14:textId="66BA7670">
            <w:pPr>
              <w:autoSpaceDE w:val="0"/>
              <w:autoSpaceDN w:val="0"/>
              <w:adjustRightInd w:val="0"/>
              <w:spacing w:after="120"/>
              <w:rPr>
                <w:rFonts w:cs="Arial"/>
                <w:noProof w:val="0"/>
                <w:color w:val="000000"/>
                <w:lang w:eastAsia="cs-CZ" w:bidi="ar-SA"/>
              </w:rPr>
            </w:pPr>
            <w:r w:rsidRPr="000B7CBF">
              <w:rPr>
                <w:rFonts w:cs="Arial"/>
                <w:noProof w:val="0"/>
                <w:color w:val="000000"/>
                <w:lang w:eastAsia="cs-CZ" w:bidi="ar-SA"/>
              </w:rPr>
              <w:t xml:space="preserve">Platný zákon o odpadech byl </w:t>
            </w:r>
            <w:r>
              <w:rPr>
                <w:rFonts w:cs="Arial"/>
                <w:noProof w:val="0"/>
                <w:color w:val="000000"/>
                <w:lang w:eastAsia="cs-CZ" w:bidi="ar-SA"/>
              </w:rPr>
              <w:t xml:space="preserve">již </w:t>
            </w:r>
            <w:r w:rsidRPr="000B7CBF">
              <w:rPr>
                <w:rFonts w:cs="Arial"/>
                <w:noProof w:val="0"/>
                <w:color w:val="000000"/>
                <w:lang w:eastAsia="cs-CZ" w:bidi="ar-SA"/>
              </w:rPr>
              <w:t xml:space="preserve">schválen v roce 2001. Tento zákon </w:t>
            </w:r>
            <w:r>
              <w:rPr>
                <w:rFonts w:cs="Arial"/>
                <w:noProof w:val="0"/>
                <w:color w:val="000000"/>
                <w:lang w:eastAsia="cs-CZ" w:bidi="ar-SA"/>
              </w:rPr>
              <w:t>byl</w:t>
            </w:r>
            <w:r w:rsidRPr="000B7CBF">
              <w:rPr>
                <w:rFonts w:cs="Arial"/>
                <w:noProof w:val="0"/>
                <w:color w:val="000000"/>
                <w:lang w:eastAsia="cs-CZ" w:bidi="ar-SA"/>
              </w:rPr>
              <w:t xml:space="preserve"> koncipován jako systematická a komplexní právní úprava odpadového hospodářství, která zajišťuje též povinnou implementaci pro tuto oblast platných předpisů EU. Zákon o odpadech byl </w:t>
            </w:r>
            <w:r>
              <w:rPr>
                <w:rFonts w:cs="Arial"/>
                <w:noProof w:val="0"/>
                <w:color w:val="000000"/>
                <w:lang w:eastAsia="cs-CZ" w:bidi="ar-SA"/>
              </w:rPr>
              <w:t xml:space="preserve">nicméně </w:t>
            </w:r>
            <w:r w:rsidRPr="000B7CBF">
              <w:rPr>
                <w:rFonts w:cs="Arial"/>
                <w:noProof w:val="0"/>
                <w:color w:val="000000"/>
                <w:lang w:eastAsia="cs-CZ" w:bidi="ar-SA"/>
              </w:rPr>
              <w:t>od doby svého schválení mnohokrát novelizován. Postupně tak byla nově zavedena, upravena nebo doplněna zejména problematika integrovaného systému plnění ohlašovacích povinností, poplatků za</w:t>
            </w:r>
            <w:r>
              <w:rPr>
                <w:rFonts w:cs="Arial"/>
                <w:noProof w:val="0"/>
                <w:color w:val="000000"/>
                <w:lang w:eastAsia="cs-CZ" w:bidi="ar-SA"/>
              </w:rPr>
              <w:t> </w:t>
            </w:r>
            <w:r w:rsidRPr="000B7CBF">
              <w:rPr>
                <w:rFonts w:cs="Arial"/>
                <w:noProof w:val="0"/>
                <w:color w:val="000000"/>
                <w:lang w:eastAsia="cs-CZ" w:bidi="ar-SA"/>
              </w:rPr>
              <w:t>komunální odpad, autovraků, přeshraniční přepravy odpadů, PCB</w:t>
            </w:r>
            <w:r>
              <w:rPr>
                <w:rFonts w:cs="Arial"/>
                <w:noProof w:val="0"/>
                <w:color w:val="000000"/>
                <w:lang w:eastAsia="cs-CZ" w:bidi="ar-SA"/>
              </w:rPr>
              <w:t xml:space="preserve"> (p</w:t>
            </w:r>
            <w:r>
              <w:rPr>
                <w:rFonts w:cs="Arial"/>
                <w:lang w:eastAsia="cs-CZ"/>
              </w:rPr>
              <w:t>olychlorované bifenyly)</w:t>
            </w:r>
            <w:r w:rsidRPr="000B7CBF">
              <w:rPr>
                <w:rFonts w:cs="Arial"/>
                <w:noProof w:val="0"/>
                <w:color w:val="000000"/>
                <w:lang w:eastAsia="cs-CZ" w:bidi="ar-SA"/>
              </w:rPr>
              <w:t>, elektrozařízení a</w:t>
            </w:r>
            <w:r>
              <w:rPr>
                <w:rFonts w:cs="Arial"/>
                <w:noProof w:val="0"/>
                <w:color w:val="000000"/>
                <w:lang w:eastAsia="cs-CZ" w:bidi="ar-SA"/>
              </w:rPr>
              <w:t> </w:t>
            </w:r>
            <w:r w:rsidRPr="000B7CBF">
              <w:rPr>
                <w:rFonts w:cs="Arial"/>
                <w:noProof w:val="0"/>
                <w:color w:val="000000"/>
                <w:lang w:eastAsia="cs-CZ" w:bidi="ar-SA"/>
              </w:rPr>
              <w:t>elektroodpadu, baterií a</w:t>
            </w:r>
            <w:r w:rsidR="00DA6DDC">
              <w:rPr>
                <w:rFonts w:cs="Arial"/>
                <w:noProof w:val="0"/>
                <w:color w:val="000000"/>
                <w:lang w:eastAsia="cs-CZ" w:bidi="ar-SA"/>
              </w:rPr>
              <w:t> </w:t>
            </w:r>
            <w:r w:rsidRPr="000B7CBF">
              <w:rPr>
                <w:rFonts w:cs="Arial"/>
                <w:noProof w:val="0"/>
                <w:color w:val="000000"/>
                <w:lang w:eastAsia="cs-CZ" w:bidi="ar-SA"/>
              </w:rPr>
              <w:t>akumulátorů a</w:t>
            </w:r>
            <w:r>
              <w:rPr>
                <w:rFonts w:cs="Arial"/>
                <w:noProof w:val="0"/>
                <w:color w:val="000000"/>
                <w:lang w:eastAsia="cs-CZ" w:bidi="ar-SA"/>
              </w:rPr>
              <w:t> </w:t>
            </w:r>
            <w:r w:rsidRPr="000B7CBF">
              <w:rPr>
                <w:rFonts w:cs="Arial"/>
                <w:noProof w:val="0"/>
                <w:color w:val="000000"/>
                <w:lang w:eastAsia="cs-CZ" w:bidi="ar-SA"/>
              </w:rPr>
              <w:t>hierarchie způsobů nakládání s odpady.</w:t>
            </w:r>
          </w:p>
          <w:p w:rsidR="002C2D60" w:rsidP="002C2D60" w14:paraId="530F99A9" w14:textId="372AA491">
            <w:pPr>
              <w:tabs>
                <w:tab w:val="left" w:pos="1037"/>
              </w:tabs>
              <w:spacing w:after="120"/>
              <w:rPr>
                <w:rFonts w:cs="Arial"/>
                <w:noProof w:val="0"/>
                <w:color w:val="000000"/>
                <w:lang w:eastAsia="cs-CZ" w:bidi="ar-SA"/>
              </w:rPr>
            </w:pPr>
            <w:r w:rsidRPr="000B7CBF">
              <w:rPr>
                <w:rFonts w:cs="Arial"/>
                <w:noProof w:val="0"/>
                <w:color w:val="000000"/>
                <w:lang w:eastAsia="cs-CZ" w:bidi="ar-SA"/>
              </w:rPr>
              <w:t>V důsledku tohoto značného zásahu do původní koncepce, resp. rozsahu zákona se jeví současné znění zákona jako velmi komplikované, nepřehledné a obtížně aplikovatelné. V</w:t>
            </w:r>
            <w:r w:rsidR="00DA6DDC">
              <w:rPr>
                <w:rFonts w:cs="Arial"/>
                <w:noProof w:val="0"/>
                <w:color w:val="000000"/>
                <w:lang w:eastAsia="cs-CZ" w:bidi="ar-SA"/>
              </w:rPr>
              <w:t> </w:t>
            </w:r>
            <w:r w:rsidRPr="000B7CBF">
              <w:rPr>
                <w:rFonts w:cs="Arial"/>
                <w:noProof w:val="0"/>
                <w:color w:val="000000"/>
                <w:lang w:eastAsia="cs-CZ" w:bidi="ar-SA"/>
              </w:rPr>
              <w:t xml:space="preserve">rámci aplikace stávajícího zákona se některé zavedené instituty neosvědčily nebo potřebují upravit, jiné instituty naopak zcela chybí. Zároveň se stále v souladu s rozvojem vědeckých poznatků operativně vyvíjí a mění i již transponované evropské právní předpisy. </w:t>
            </w:r>
          </w:p>
          <w:p w:rsidR="002C2D60" w:rsidRPr="006D57FE" w:rsidP="002C2D60" w14:paraId="1886D4E5" w14:textId="77777777">
            <w:pPr>
              <w:autoSpaceDE w:val="0"/>
              <w:autoSpaceDN w:val="0"/>
              <w:adjustRightInd w:val="0"/>
              <w:spacing w:after="120"/>
              <w:rPr>
                <w:noProof w:val="0"/>
                <w:color w:val="000000"/>
                <w:lang w:eastAsia="cs-CZ" w:bidi="ar-SA"/>
              </w:rPr>
            </w:pPr>
            <w:r w:rsidRPr="006D57FE">
              <w:rPr>
                <w:noProof w:val="0"/>
                <w:color w:val="000000"/>
                <w:lang w:eastAsia="cs-CZ" w:bidi="ar-SA"/>
              </w:rPr>
              <w:t xml:space="preserve">Během roku 2018 byly ze strany EU schváleny změny několika stávajících směrnic regulujících odpadové hospodářství (tzv. „balíček oběhového hospodářství“), přičemž pro oblast výrobků s ukončenou životností je nejdůležitější změna směrnice Evropského parlamentu a Rady (ES) č. 2008/98/ES o odpadech a o zrušení některých směrnic (tzv. rámcová směrnice o odpadech), která mění některé současné základní definice, některé nově stanovuje, a zároveň zavádí tzv. obecné minimální požadavky pro systémy rozšířené odpovědnosti výrobce.  </w:t>
            </w:r>
          </w:p>
          <w:p w:rsidR="002C2D60" w:rsidP="002C2D60" w14:paraId="07A20945" w14:textId="77777777">
            <w:pPr>
              <w:autoSpaceDE w:val="0"/>
              <w:autoSpaceDN w:val="0"/>
              <w:adjustRightInd w:val="0"/>
              <w:spacing w:after="120"/>
              <w:rPr>
                <w:noProof w:val="0"/>
                <w:color w:val="000000"/>
                <w:lang w:eastAsia="cs-CZ" w:bidi="ar-SA"/>
              </w:rPr>
            </w:pPr>
            <w:r w:rsidRPr="006D57FE">
              <w:rPr>
                <w:noProof w:val="0"/>
                <w:color w:val="000000"/>
                <w:lang w:eastAsia="cs-CZ" w:bidi="ar-SA"/>
              </w:rPr>
              <w:t>S ohledem na nezbytnost provedení transpozice nových evropských předpisů,</w:t>
            </w:r>
            <w:r w:rsidRPr="006D57FE">
              <w:rPr>
                <w:rFonts w:cs="Arial"/>
                <w:noProof w:val="0"/>
                <w:color w:val="000000"/>
                <w:lang w:eastAsia="cs-CZ" w:bidi="ar-SA"/>
              </w:rPr>
              <w:t xml:space="preserve"> potřebu zcela nové koncepce i detailní úpravy problematiky odpadového hospodářství, </w:t>
            </w:r>
            <w:r w:rsidRPr="006D57FE">
              <w:rPr>
                <w:noProof w:val="0"/>
                <w:color w:val="000000"/>
                <w:lang w:eastAsia="cs-CZ" w:bidi="ar-SA"/>
              </w:rPr>
              <w:t>a dále z důvodu nepřehlednosti stávajícího předpisu přistoupilo ministerstvo k vytvoření návrhu zákona o</w:t>
            </w:r>
            <w:r>
              <w:rPr>
                <w:noProof w:val="0"/>
                <w:color w:val="000000"/>
                <w:lang w:eastAsia="cs-CZ" w:bidi="ar-SA"/>
              </w:rPr>
              <w:t> </w:t>
            </w:r>
            <w:r w:rsidRPr="006D57FE">
              <w:rPr>
                <w:noProof w:val="0"/>
                <w:color w:val="000000"/>
                <w:lang w:eastAsia="cs-CZ" w:bidi="ar-SA"/>
              </w:rPr>
              <w:t>vybraných výrobcích s ukončenou životností.</w:t>
            </w:r>
          </w:p>
          <w:p w:rsidR="002C2D60" w:rsidRPr="00C04D5B" w:rsidP="00DA6DDC" w14:paraId="5A9E5EE5" w14:textId="417BF303">
            <w:pPr>
              <w:tabs>
                <w:tab w:val="left" w:pos="1037"/>
              </w:tabs>
              <w:rPr>
                <w:rFonts w:eastAsia="MS Mincho" w:cs="Arial"/>
                <w:bCs/>
              </w:rPr>
            </w:pPr>
            <w:r w:rsidRPr="000B7CBF">
              <w:rPr>
                <w:rFonts w:cs="Arial"/>
                <w:noProof w:val="0"/>
                <w:color w:val="000000"/>
                <w:lang w:eastAsia="cs-CZ" w:bidi="ar-SA"/>
              </w:rPr>
              <w:t>S novou právní úpravou v této oblasti počítají také Rozšířené teze rozvoje odpadového hospodářství v ČR schválené usnesením vlády ČR ze dne 25. srpna 2010 č. 604. Vyčlenění pravidel pro</w:t>
            </w:r>
            <w:r>
              <w:rPr>
                <w:rFonts w:cs="Arial"/>
                <w:noProof w:val="0"/>
                <w:color w:val="000000"/>
                <w:lang w:eastAsia="cs-CZ" w:bidi="ar-SA"/>
              </w:rPr>
              <w:t> </w:t>
            </w:r>
            <w:r w:rsidRPr="000B7CBF">
              <w:rPr>
                <w:rFonts w:cs="Arial"/>
                <w:noProof w:val="0"/>
                <w:color w:val="000000"/>
                <w:lang w:eastAsia="cs-CZ" w:bidi="ar-SA"/>
              </w:rPr>
              <w:t>nakládání s výrobky s ukončenou životností do samostatného zákona vychází také z</w:t>
            </w:r>
            <w:r>
              <w:rPr>
                <w:rFonts w:cs="Arial"/>
                <w:noProof w:val="0"/>
                <w:color w:val="000000"/>
                <w:lang w:eastAsia="cs-CZ" w:bidi="ar-SA"/>
              </w:rPr>
              <w:t> </w:t>
            </w:r>
            <w:r w:rsidRPr="000B7CBF">
              <w:rPr>
                <w:rFonts w:cs="Arial"/>
                <w:noProof w:val="0"/>
                <w:color w:val="000000"/>
                <w:lang w:eastAsia="cs-CZ" w:bidi="ar-SA"/>
              </w:rPr>
              <w:t xml:space="preserve">materiálu „Návrhy na řešení opatření k posílení konkurenceschopnosti a rozvoje </w:t>
            </w:r>
            <w:r w:rsidRPr="000B7CBF">
              <w:rPr>
                <w:rFonts w:cs="Arial"/>
                <w:noProof w:val="0"/>
                <w:color w:val="000000"/>
                <w:lang w:eastAsia="cs-CZ" w:bidi="ar-SA"/>
              </w:rPr>
              <w:t>podnikání v</w:t>
            </w:r>
            <w:r>
              <w:rPr>
                <w:rFonts w:cs="Arial"/>
                <w:noProof w:val="0"/>
                <w:color w:val="000000"/>
                <w:lang w:eastAsia="cs-CZ" w:bidi="ar-SA"/>
              </w:rPr>
              <w:t> </w:t>
            </w:r>
            <w:r w:rsidRPr="000B7CBF">
              <w:rPr>
                <w:rFonts w:cs="Arial"/>
                <w:noProof w:val="0"/>
                <w:color w:val="000000"/>
                <w:lang w:eastAsia="cs-CZ" w:bidi="ar-SA"/>
              </w:rPr>
              <w:t>České republice z pohledu ochrany životního prostředí“ (tzv. „ekoaudit“), který byl dne 31.</w:t>
            </w:r>
            <w:r>
              <w:rPr>
                <w:rFonts w:cs="Arial"/>
                <w:noProof w:val="0"/>
                <w:color w:val="000000"/>
                <w:lang w:eastAsia="cs-CZ" w:bidi="ar-SA"/>
              </w:rPr>
              <w:t> </w:t>
            </w:r>
            <w:r w:rsidRPr="000B7CBF">
              <w:rPr>
                <w:rFonts w:cs="Arial"/>
                <w:noProof w:val="0"/>
                <w:color w:val="000000"/>
                <w:lang w:eastAsia="cs-CZ" w:bidi="ar-SA"/>
              </w:rPr>
              <w:t>května 2010 schválen vládou ČR (usnesení č. 419) a který je cílený na</w:t>
            </w:r>
            <w:r w:rsidR="00DA6DDC">
              <w:rPr>
                <w:rFonts w:cs="Arial"/>
                <w:noProof w:val="0"/>
                <w:color w:val="000000"/>
                <w:lang w:eastAsia="cs-CZ" w:bidi="ar-SA"/>
              </w:rPr>
              <w:t> </w:t>
            </w:r>
            <w:r w:rsidRPr="000B7CBF">
              <w:rPr>
                <w:rFonts w:cs="Arial"/>
                <w:noProof w:val="0"/>
                <w:color w:val="000000"/>
                <w:lang w:eastAsia="cs-CZ" w:bidi="ar-SA"/>
              </w:rPr>
              <w:t>zjednodušení environmentální legislativy, resp. na</w:t>
            </w:r>
            <w:r>
              <w:rPr>
                <w:rFonts w:cs="Arial"/>
                <w:noProof w:val="0"/>
                <w:color w:val="000000"/>
                <w:lang w:eastAsia="cs-CZ" w:bidi="ar-SA"/>
              </w:rPr>
              <w:t> </w:t>
            </w:r>
            <w:r w:rsidRPr="000B7CBF">
              <w:rPr>
                <w:rFonts w:cs="Arial"/>
                <w:noProof w:val="0"/>
                <w:color w:val="000000"/>
                <w:lang w:eastAsia="cs-CZ" w:bidi="ar-SA"/>
              </w:rPr>
              <w:t>snížení administrativní náročnosti procesů spojených s</w:t>
            </w:r>
            <w:r>
              <w:rPr>
                <w:rFonts w:cs="Arial"/>
                <w:noProof w:val="0"/>
                <w:color w:val="000000"/>
                <w:lang w:eastAsia="cs-CZ" w:bidi="ar-SA"/>
              </w:rPr>
              <w:t> </w:t>
            </w:r>
            <w:r w:rsidRPr="000B7CBF">
              <w:rPr>
                <w:rFonts w:cs="Arial"/>
                <w:noProof w:val="0"/>
                <w:color w:val="000000"/>
                <w:lang w:eastAsia="cs-CZ" w:bidi="ar-SA"/>
              </w:rPr>
              <w:t>ochranou životního prostřed</w:t>
            </w:r>
            <w:r>
              <w:rPr>
                <w:rFonts w:cs="Arial"/>
                <w:noProof w:val="0"/>
                <w:color w:val="000000"/>
                <w:lang w:eastAsia="cs-CZ" w:bidi="ar-SA"/>
              </w:rPr>
              <w:t>í.</w:t>
            </w:r>
          </w:p>
        </w:tc>
      </w:tr>
      <w:tr w14:paraId="52D7AF4E"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4300FB" w14:paraId="31E5AAD6" w14:textId="77777777">
            <w:pPr>
              <w:tabs>
                <w:tab w:val="left" w:pos="1037"/>
              </w:tabs>
              <w:spacing w:line="240" w:lineRule="auto"/>
              <w:rPr>
                <w:rFonts w:eastAsia="MS Mincho" w:cs="Arial"/>
                <w:bCs/>
              </w:rPr>
            </w:pPr>
            <w:r w:rsidRPr="00C04D5B">
              <w:rPr>
                <w:rFonts w:eastAsia="MS Mincho" w:cs="Arial"/>
                <w:bCs/>
              </w:rPr>
              <w:t xml:space="preserve">3. </w:t>
            </w:r>
            <w:r w:rsidRPr="00C04D5B">
              <w:rPr>
                <w:rFonts w:eastAsia="MS Mincho" w:cs="Arial"/>
              </w:rPr>
              <w:t>Agregované</w:t>
            </w:r>
            <w:r w:rsidRPr="00C04D5B">
              <w:rPr>
                <w:rFonts w:eastAsia="MS Mincho" w:cs="Arial"/>
                <w:bCs/>
              </w:rPr>
              <w:t xml:space="preserve"> dopady návrhu zákona</w:t>
            </w:r>
          </w:p>
        </w:tc>
      </w:tr>
      <w:tr w14:paraId="6FD15B58"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376D1BD4" w14:textId="5E69A68E">
            <w:pPr>
              <w:tabs>
                <w:tab w:val="left" w:pos="1037"/>
              </w:tabs>
              <w:spacing w:line="240" w:lineRule="auto"/>
              <w:rPr>
                <w:rFonts w:eastAsia="MS Mincho" w:cs="Arial"/>
                <w:bCs/>
              </w:rPr>
            </w:pPr>
            <w:r w:rsidRPr="00C04D5B">
              <w:rPr>
                <w:rFonts w:eastAsia="MS Mincho" w:cs="Arial"/>
                <w:bCs/>
              </w:rPr>
              <w:t>3.1 Dopady na státní rozpočet a ostatní veřejné rozpočty:</w:t>
            </w:r>
            <w:r>
              <w:rPr>
                <w:rFonts w:eastAsia="MS Mincho" w:cs="Arial"/>
                <w:bCs/>
              </w:rPr>
              <w:t xml:space="preserve"> Ano</w:t>
            </w:r>
            <w:r w:rsidRPr="00C04D5B">
              <w:rPr>
                <w:rFonts w:eastAsia="MS Mincho" w:cs="Arial"/>
                <w:bCs/>
              </w:rPr>
              <w:t xml:space="preserve"> </w:t>
            </w:r>
          </w:p>
        </w:tc>
      </w:tr>
      <w:tr w14:paraId="16D351E8"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493BED" w:rsidRPr="00AF4885" w:rsidP="00AF4885" w14:paraId="65808F6A" w14:textId="1E2558B8">
            <w:pPr>
              <w:tabs>
                <w:tab w:val="left" w:pos="1037"/>
              </w:tabs>
              <w:spacing w:before="60"/>
              <w:rPr>
                <w:rFonts w:eastAsia="MS Mincho" w:cs="Arial"/>
                <w:bCs/>
                <w:noProof w:val="0"/>
                <w:lang w:bidi="ar-SA"/>
              </w:rPr>
            </w:pPr>
            <w:r>
              <w:rPr>
                <w:rFonts w:eastAsia="MS Mincho" w:cs="Arial"/>
                <w:bCs/>
                <w:noProof w:val="0"/>
                <w:lang w:bidi="ar-SA"/>
              </w:rPr>
              <w:t>S</w:t>
            </w:r>
            <w:r w:rsidRPr="00AF4885">
              <w:rPr>
                <w:rFonts w:eastAsia="MS Mincho" w:cs="Arial"/>
                <w:bCs/>
                <w:noProof w:val="0"/>
                <w:lang w:bidi="ar-SA"/>
              </w:rPr>
              <w:t>nížení rizika infringementu za neplnění cílů při sběru a zpracování vybraných výrobků (bod 1</w:t>
            </w:r>
            <w:r w:rsidR="00C00728">
              <w:rPr>
                <w:rFonts w:eastAsia="MS Mincho" w:cs="Arial"/>
                <w:bCs/>
                <w:noProof w:val="0"/>
                <w:lang w:bidi="ar-SA"/>
              </w:rPr>
              <w:t>2</w:t>
            </w:r>
            <w:r w:rsidRPr="00AF4885">
              <w:rPr>
                <w:rFonts w:eastAsia="MS Mincho" w:cs="Arial"/>
                <w:bCs/>
                <w:noProof w:val="0"/>
                <w:lang w:bidi="ar-SA"/>
              </w:rPr>
              <w:t xml:space="preserve"> a</w:t>
            </w:r>
            <w:r>
              <w:rPr>
                <w:rFonts w:eastAsia="MS Mincho" w:cs="Arial"/>
                <w:bCs/>
                <w:noProof w:val="0"/>
                <w:lang w:bidi="ar-SA"/>
              </w:rPr>
              <w:t> </w:t>
            </w:r>
            <w:r w:rsidRPr="00AF4885">
              <w:rPr>
                <w:rFonts w:eastAsia="MS Mincho" w:cs="Arial"/>
                <w:bCs/>
                <w:noProof w:val="0"/>
                <w:lang w:bidi="ar-SA"/>
              </w:rPr>
              <w:t>1</w:t>
            </w:r>
            <w:r w:rsidR="00C00728">
              <w:rPr>
                <w:rFonts w:eastAsia="MS Mincho" w:cs="Arial"/>
                <w:bCs/>
                <w:noProof w:val="0"/>
                <w:lang w:bidi="ar-SA"/>
              </w:rPr>
              <w:t>6</w:t>
            </w:r>
            <w:r w:rsidRPr="00AF4885">
              <w:rPr>
                <w:rFonts w:eastAsia="MS Mincho" w:cs="Arial"/>
                <w:bCs/>
                <w:noProof w:val="0"/>
                <w:lang w:bidi="ar-SA"/>
              </w:rPr>
              <w:t>) a dále u ekomodulace (bod 8)</w:t>
            </w:r>
          </w:p>
          <w:p w:rsidR="00AF4885" w:rsidRPr="00A56F6C" w:rsidP="00AF4885" w14:paraId="567F1205" w14:textId="0BE8CAA1">
            <w:pPr>
              <w:spacing w:before="60"/>
              <w:rPr>
                <w:rFonts w:eastAsia="MS Mincho"/>
                <w:lang w:bidi="ar-SA"/>
              </w:rPr>
            </w:pPr>
            <w:r>
              <w:rPr>
                <w:rFonts w:eastAsia="MS Mincho" w:cs="Arial"/>
                <w:bCs/>
                <w:noProof w:val="0"/>
                <w:lang w:bidi="ar-SA"/>
              </w:rPr>
              <w:t>Z</w:t>
            </w:r>
            <w:r w:rsidRPr="00AF4885" w:rsidR="002C2D60">
              <w:rPr>
                <w:rFonts w:eastAsia="MS Mincho" w:cs="Arial"/>
                <w:bCs/>
                <w:noProof w:val="0"/>
                <w:lang w:bidi="ar-SA"/>
              </w:rPr>
              <w:t xml:space="preserve">lepšení </w:t>
            </w:r>
            <w:r w:rsidRPr="00AF4885" w:rsidR="00BA7CAF">
              <w:rPr>
                <w:rFonts w:eastAsia="MS Mincho" w:cs="Arial"/>
                <w:bCs/>
                <w:noProof w:val="0"/>
                <w:lang w:bidi="ar-SA"/>
              </w:rPr>
              <w:t>státního dohledu (</w:t>
            </w:r>
            <w:r w:rsidRPr="00AF4885" w:rsidR="002C2D60">
              <w:rPr>
                <w:rFonts w:eastAsia="MS Mincho" w:cs="Arial"/>
                <w:bCs/>
                <w:noProof w:val="0"/>
                <w:lang w:bidi="ar-SA"/>
              </w:rPr>
              <w:t>kontrolní činnosti</w:t>
            </w:r>
            <w:r w:rsidRPr="00AF4885" w:rsidR="00BA7CAF">
              <w:rPr>
                <w:rFonts w:eastAsia="MS Mincho" w:cs="Arial"/>
                <w:bCs/>
                <w:noProof w:val="0"/>
                <w:lang w:bidi="ar-SA"/>
              </w:rPr>
              <w:t>)</w:t>
            </w:r>
            <w:r w:rsidRPr="00AF4885" w:rsidR="002C2D60">
              <w:rPr>
                <w:rFonts w:eastAsia="MS Mincho" w:cs="Arial"/>
                <w:bCs/>
                <w:noProof w:val="0"/>
                <w:lang w:bidi="ar-SA"/>
              </w:rPr>
              <w:t xml:space="preserve"> u míst zpětného odběru (ZO) (bod 1)</w:t>
            </w:r>
            <w:r>
              <w:rPr>
                <w:rFonts w:eastAsia="MS Mincho" w:cs="Arial"/>
                <w:bCs/>
                <w:noProof w:val="0"/>
                <w:lang w:bidi="ar-SA"/>
              </w:rPr>
              <w:t>,</w:t>
            </w:r>
            <w:r w:rsidRPr="00493BED" w:rsidR="002C2D60">
              <w:rPr>
                <w:rFonts w:eastAsia="MS Mincho"/>
                <w:lang w:bidi="ar-SA"/>
              </w:rPr>
              <w:t xml:space="preserve"> </w:t>
            </w:r>
            <w:r w:rsidR="00BA7CAF">
              <w:rPr>
                <w:rFonts w:eastAsia="MS Mincho"/>
                <w:lang w:bidi="ar-SA"/>
              </w:rPr>
              <w:t>u</w:t>
            </w:r>
            <w:r w:rsidRPr="00493BED" w:rsidR="002C2D60">
              <w:rPr>
                <w:rFonts w:eastAsia="MS Mincho"/>
                <w:lang w:bidi="ar-SA"/>
              </w:rPr>
              <w:t xml:space="preserve"> KS </w:t>
            </w:r>
            <w:r>
              <w:rPr>
                <w:rFonts w:eastAsia="MS Mincho"/>
                <w:lang w:bidi="ar-SA"/>
              </w:rPr>
              <w:t xml:space="preserve">(bod 2, </w:t>
            </w:r>
            <w:r w:rsidR="00C00728">
              <w:rPr>
                <w:rFonts w:eastAsia="MS Mincho"/>
                <w:lang w:bidi="ar-SA"/>
              </w:rPr>
              <w:t>10</w:t>
            </w:r>
            <w:r>
              <w:rPr>
                <w:rFonts w:eastAsia="MS Mincho"/>
                <w:lang w:bidi="ar-SA"/>
              </w:rPr>
              <w:t>, 1</w:t>
            </w:r>
            <w:r w:rsidR="00C00728">
              <w:rPr>
                <w:rFonts w:eastAsia="MS Mincho"/>
                <w:lang w:bidi="ar-SA"/>
              </w:rPr>
              <w:t>1</w:t>
            </w:r>
            <w:r>
              <w:rPr>
                <w:rFonts w:eastAsia="MS Mincho"/>
                <w:lang w:bidi="ar-SA"/>
              </w:rPr>
              <w:t>, 1</w:t>
            </w:r>
            <w:r w:rsidR="00C00728">
              <w:rPr>
                <w:rFonts w:eastAsia="MS Mincho"/>
                <w:lang w:bidi="ar-SA"/>
              </w:rPr>
              <w:t>2</w:t>
            </w:r>
            <w:r>
              <w:rPr>
                <w:rFonts w:eastAsia="MS Mincho"/>
                <w:lang w:bidi="ar-SA"/>
              </w:rPr>
              <w:t xml:space="preserve">) a u výrobců vybraných výrobků s ukončenou životností </w:t>
            </w:r>
            <w:r>
              <w:rPr>
                <w:rFonts w:cs="Arial"/>
              </w:rPr>
              <w:t xml:space="preserve">ohledně </w:t>
            </w:r>
            <w:r w:rsidRPr="00B1740A">
              <w:rPr>
                <w:rFonts w:cs="Arial"/>
              </w:rPr>
              <w:t xml:space="preserve">splnění podmínek nastavené hustoty </w:t>
            </w:r>
            <w:r>
              <w:rPr>
                <w:rFonts w:cs="Arial"/>
              </w:rPr>
              <w:t xml:space="preserve">sběrné </w:t>
            </w:r>
            <w:r w:rsidRPr="00B1740A">
              <w:rPr>
                <w:rFonts w:cs="Arial"/>
              </w:rPr>
              <w:t xml:space="preserve">sítě </w:t>
            </w:r>
            <w:r>
              <w:rPr>
                <w:rFonts w:cs="Arial"/>
              </w:rPr>
              <w:t>(bod 1</w:t>
            </w:r>
            <w:r w:rsidR="00C00728">
              <w:rPr>
                <w:rFonts w:cs="Arial"/>
              </w:rPr>
              <w:t>8</w:t>
            </w:r>
            <w:r>
              <w:rPr>
                <w:rFonts w:cs="Arial"/>
              </w:rPr>
              <w:t>, 1</w:t>
            </w:r>
            <w:r w:rsidR="00C00728">
              <w:rPr>
                <w:rFonts w:cs="Arial"/>
              </w:rPr>
              <w:t>9</w:t>
            </w:r>
            <w:r>
              <w:rPr>
                <w:rFonts w:cs="Arial"/>
              </w:rPr>
              <w:t xml:space="preserve">, </w:t>
            </w:r>
            <w:r w:rsidR="00C00728">
              <w:rPr>
                <w:rFonts w:cs="Arial"/>
              </w:rPr>
              <w:t>20</w:t>
            </w:r>
            <w:r>
              <w:rPr>
                <w:rFonts w:cs="Arial"/>
              </w:rPr>
              <w:t xml:space="preserve"> a 2</w:t>
            </w:r>
            <w:r w:rsidR="00C00728">
              <w:rPr>
                <w:rFonts w:cs="Arial"/>
              </w:rPr>
              <w:t>3</w:t>
            </w:r>
            <w:r>
              <w:rPr>
                <w:rFonts w:cs="Arial"/>
              </w:rPr>
              <w:t xml:space="preserve">), </w:t>
            </w:r>
            <w:r w:rsidR="00FB7994">
              <w:rPr>
                <w:rFonts w:cs="Arial"/>
              </w:rPr>
              <w:t>čímž se</w:t>
            </w:r>
            <w:r>
              <w:rPr>
                <w:rFonts w:cs="Arial"/>
              </w:rPr>
              <w:t> zvyšuje vymahatelnost</w:t>
            </w:r>
          </w:p>
          <w:p w:rsidR="00F221FD" w:rsidRPr="00AF4885" w:rsidP="00AF4885" w14:paraId="32A2AD39" w14:textId="7CB248D8">
            <w:pPr>
              <w:tabs>
                <w:tab w:val="left" w:pos="1037"/>
              </w:tabs>
              <w:spacing w:before="60"/>
              <w:rPr>
                <w:rFonts w:eastAsia="MS Mincho" w:cs="Arial"/>
                <w:b/>
                <w:bCs/>
                <w:noProof w:val="0"/>
                <w:lang w:bidi="ar-SA"/>
              </w:rPr>
            </w:pPr>
            <w:r w:rsidRPr="00AF4885">
              <w:rPr>
                <w:rFonts w:eastAsia="MS Mincho" w:cs="Arial"/>
                <w:b/>
                <w:bCs/>
                <w:noProof w:val="0"/>
                <w:lang w:bidi="ar-SA"/>
              </w:rPr>
              <w:t>M</w:t>
            </w:r>
            <w:r w:rsidR="002B5956">
              <w:rPr>
                <w:rFonts w:eastAsia="MS Mincho" w:cs="Arial"/>
                <w:b/>
                <w:bCs/>
                <w:noProof w:val="0"/>
                <w:lang w:bidi="ar-SA"/>
              </w:rPr>
              <w:t>inisterstvo životního prostředí</w:t>
            </w:r>
          </w:p>
          <w:p w:rsidR="002C2D60" w:rsidRPr="00AF4885" w:rsidP="00AF4885" w14:paraId="33312026" w14:textId="7B147635">
            <w:pPr>
              <w:pStyle w:val="ListParagraph"/>
              <w:numPr>
                <w:ilvl w:val="0"/>
                <w:numId w:val="121"/>
              </w:numPr>
              <w:tabs>
                <w:tab w:val="left" w:pos="1037"/>
              </w:tabs>
              <w:spacing w:before="60"/>
              <w:contextualSpacing w:val="0"/>
              <w:rPr>
                <w:rFonts w:eastAsia="MS Mincho" w:cs="Arial"/>
                <w:bCs/>
                <w:noProof w:val="0"/>
                <w:lang w:bidi="ar-SA"/>
              </w:rPr>
            </w:pPr>
            <w:r w:rsidRPr="00AF4885">
              <w:rPr>
                <w:rFonts w:eastAsia="MS Mincho" w:cs="Arial"/>
                <w:bCs/>
                <w:noProof w:val="0"/>
                <w:lang w:bidi="ar-SA"/>
              </w:rPr>
              <w:t>rozšíření aktuálního registru míst ZO elektrozařízení (EEZ) cca 1,4 mil. Kč (bod 3),</w:t>
            </w:r>
          </w:p>
          <w:p w:rsidR="00F221FD" w:rsidRPr="00AF4885" w:rsidP="00AF4885" w14:paraId="1EE5A19E" w14:textId="465A2FF4">
            <w:pPr>
              <w:pStyle w:val="ListParagraph"/>
              <w:numPr>
                <w:ilvl w:val="0"/>
                <w:numId w:val="121"/>
              </w:numPr>
              <w:spacing w:before="60"/>
              <w:contextualSpacing w:val="0"/>
              <w:rPr>
                <w:rFonts w:eastAsia="MS Mincho" w:cs="Arial"/>
                <w:bCs/>
                <w:noProof w:val="0"/>
                <w:lang w:bidi="ar-SA"/>
              </w:rPr>
            </w:pPr>
            <w:r w:rsidRPr="00AF4885">
              <w:rPr>
                <w:rFonts w:eastAsia="MS Mincho" w:cs="Arial"/>
                <w:bCs/>
                <w:noProof w:val="0"/>
                <w:lang w:bidi="ar-SA"/>
              </w:rPr>
              <w:t>j</w:t>
            </w:r>
            <w:r w:rsidRPr="00AF4885">
              <w:rPr>
                <w:rFonts w:cs="Arial"/>
              </w:rPr>
              <w:t xml:space="preserve">ednorázová administrativní zátěž spojená s udělením nových oprávnění k provozování KS – cca 730 tis. Kč </w:t>
            </w:r>
            <w:r w:rsidRPr="00AF4885" w:rsidR="002C2D60">
              <w:rPr>
                <w:rFonts w:eastAsia="MS Mincho" w:cs="Arial"/>
                <w:bCs/>
                <w:noProof w:val="0"/>
                <w:lang w:bidi="ar-SA"/>
              </w:rPr>
              <w:t>(bod 4),</w:t>
            </w:r>
          </w:p>
          <w:p w:rsidR="00493BED" w:rsidRPr="00AF4885" w:rsidP="00AF4885" w14:paraId="372DE9F6" w14:textId="1954A8E5">
            <w:pPr>
              <w:pStyle w:val="ListParagraph"/>
              <w:numPr>
                <w:ilvl w:val="0"/>
                <w:numId w:val="121"/>
              </w:numPr>
              <w:spacing w:before="60"/>
              <w:contextualSpacing w:val="0"/>
              <w:rPr>
                <w:rFonts w:eastAsia="MS Mincho" w:cs="Arial"/>
                <w:bCs/>
                <w:noProof w:val="0"/>
                <w:lang w:bidi="ar-SA"/>
              </w:rPr>
            </w:pPr>
            <w:r w:rsidRPr="00AF4885">
              <w:rPr>
                <w:rFonts w:eastAsia="MS Mincho" w:cs="Arial"/>
                <w:bCs/>
                <w:noProof w:val="0"/>
                <w:lang w:bidi="ar-SA"/>
              </w:rPr>
              <w:t xml:space="preserve">mírné navýšení administrativní zátěže (AZ) spojené s komunikací s MPO </w:t>
            </w:r>
            <w:r w:rsidRPr="00AF4885">
              <w:rPr>
                <w:rFonts w:eastAsia="MS Mincho" w:cs="Arial"/>
                <w:bCs/>
                <w:noProof w:val="0"/>
                <w:lang w:bidi="ar-SA"/>
              </w:rPr>
              <w:t xml:space="preserve">- </w:t>
            </w:r>
            <w:r w:rsidRPr="00AF4885">
              <w:rPr>
                <w:rFonts w:cs="Arial"/>
              </w:rPr>
              <w:t>cca 550</w:t>
            </w:r>
            <w:r w:rsidR="00A56F6C">
              <w:rPr>
                <w:rFonts w:cs="Arial"/>
              </w:rPr>
              <w:t> </w:t>
            </w:r>
            <w:r w:rsidRPr="00A56F6C">
              <w:rPr>
                <w:rFonts w:cs="Arial"/>
              </w:rPr>
              <w:t>Kč/žádost</w:t>
            </w:r>
            <w:r w:rsidRPr="00AF4885">
              <w:rPr>
                <w:rFonts w:eastAsia="MS Mincho" w:cs="Arial"/>
                <w:bCs/>
                <w:noProof w:val="0"/>
                <w:lang w:bidi="ar-SA"/>
              </w:rPr>
              <w:t xml:space="preserve"> </w:t>
            </w:r>
            <w:r w:rsidRPr="00AF4885">
              <w:rPr>
                <w:rFonts w:eastAsia="MS Mincho" w:cs="Arial"/>
                <w:bCs/>
                <w:noProof w:val="0"/>
                <w:lang w:bidi="ar-SA"/>
              </w:rPr>
              <w:t>(bod 7),</w:t>
            </w:r>
            <w:r w:rsidRPr="00AF4885">
              <w:rPr>
                <w:rFonts w:eastAsia="MS Mincho" w:cs="Arial"/>
                <w:bCs/>
                <w:noProof w:val="0"/>
                <w:lang w:bidi="ar-SA"/>
              </w:rPr>
              <w:t xml:space="preserve"> </w:t>
            </w:r>
          </w:p>
          <w:p w:rsidR="002C2D60" w:rsidP="00AF4885" w14:paraId="7EAB2B57" w14:textId="5EA175D0">
            <w:pPr>
              <w:pStyle w:val="ListParagraph"/>
              <w:numPr>
                <w:ilvl w:val="0"/>
                <w:numId w:val="121"/>
              </w:numPr>
              <w:spacing w:before="60"/>
              <w:contextualSpacing w:val="0"/>
              <w:rPr>
                <w:rFonts w:eastAsia="MS Mincho" w:cs="Arial"/>
                <w:bCs/>
                <w:noProof w:val="0"/>
                <w:lang w:bidi="ar-SA"/>
              </w:rPr>
            </w:pPr>
            <w:r w:rsidRPr="00AF4885">
              <w:rPr>
                <w:rFonts w:eastAsia="MS Mincho" w:cs="Arial"/>
                <w:bCs/>
                <w:noProof w:val="0"/>
                <w:lang w:bidi="ar-SA"/>
              </w:rPr>
              <w:t>náklady na případné správní řízení o odebrání oprávnění k provozování KS – 55 tis. Kč/správní řízení (bod 1</w:t>
            </w:r>
            <w:r w:rsidR="00C00728">
              <w:rPr>
                <w:rFonts w:eastAsia="MS Mincho" w:cs="Arial"/>
                <w:bCs/>
                <w:noProof w:val="0"/>
                <w:lang w:bidi="ar-SA"/>
              </w:rPr>
              <w:t>2</w:t>
            </w:r>
            <w:r w:rsidRPr="00AF4885">
              <w:rPr>
                <w:rFonts w:eastAsia="MS Mincho" w:cs="Arial"/>
                <w:bCs/>
                <w:noProof w:val="0"/>
                <w:lang w:bidi="ar-SA"/>
              </w:rPr>
              <w:t>),</w:t>
            </w:r>
          </w:p>
          <w:p w:rsidR="00534B26" w:rsidP="00AF4885" w14:paraId="2505DED2" w14:textId="0C5E2A4C">
            <w:pPr>
              <w:pStyle w:val="ListParagraph"/>
              <w:numPr>
                <w:ilvl w:val="0"/>
                <w:numId w:val="121"/>
              </w:numPr>
              <w:spacing w:before="60"/>
              <w:contextualSpacing w:val="0"/>
              <w:rPr>
                <w:rFonts w:eastAsia="MS Mincho" w:cs="Arial"/>
                <w:bCs/>
                <w:noProof w:val="0"/>
                <w:lang w:bidi="ar-SA"/>
              </w:rPr>
            </w:pPr>
            <w:r w:rsidRPr="00C22698">
              <w:rPr>
                <w:rFonts w:eastAsia="MS Mincho" w:cs="Arial"/>
                <w:bCs/>
                <w:noProof w:val="0"/>
                <w:lang w:bidi="ar-SA"/>
              </w:rPr>
              <w:t>vydávání Seznamu nepovolených internetových obchodů EEZ a blokace internetových stránek prodejců EEZ ze zemí mimo EU, zejména třetích zemí, kteří neplní své povinnosti výrobce související se zpětným odběrem (</w:t>
            </w:r>
            <w:r>
              <w:rPr>
                <w:rFonts w:eastAsia="MS Mincho" w:cs="Arial"/>
                <w:bCs/>
                <w:noProof w:val="0"/>
                <w:lang w:bidi="ar-SA"/>
              </w:rPr>
              <w:t>bod 15</w:t>
            </w:r>
            <w:r w:rsidRPr="00C22698">
              <w:rPr>
                <w:rFonts w:eastAsia="MS Mincho" w:cs="Arial"/>
                <w:bCs/>
                <w:noProof w:val="0"/>
                <w:lang w:bidi="ar-SA"/>
              </w:rPr>
              <w:t>)</w:t>
            </w:r>
          </w:p>
          <w:p w:rsidR="00484698" w:rsidRPr="003507D2" w:rsidP="00484698" w14:paraId="71A6B343" w14:textId="77777777">
            <w:pPr>
              <w:spacing w:before="60"/>
              <w:rPr>
                <w:rFonts w:eastAsia="MS Mincho" w:cs="Arial"/>
                <w:b/>
                <w:bCs/>
                <w:noProof w:val="0"/>
                <w:lang w:bidi="ar-SA"/>
              </w:rPr>
            </w:pPr>
            <w:r w:rsidRPr="003507D2">
              <w:rPr>
                <w:rFonts w:eastAsia="MS Mincho" w:cs="Arial"/>
                <w:b/>
                <w:bCs/>
                <w:noProof w:val="0"/>
                <w:lang w:bidi="ar-SA"/>
              </w:rPr>
              <w:t>S</w:t>
            </w:r>
            <w:r>
              <w:rPr>
                <w:rFonts w:eastAsia="MS Mincho" w:cs="Arial"/>
                <w:b/>
                <w:bCs/>
                <w:noProof w:val="0"/>
                <w:lang w:bidi="ar-SA"/>
              </w:rPr>
              <w:t>tátní fond životního prostředí ČR</w:t>
            </w:r>
          </w:p>
          <w:p w:rsidR="00484698" w:rsidRPr="003507D2" w:rsidP="00484698" w14:paraId="23380136" w14:textId="77777777">
            <w:pPr>
              <w:pStyle w:val="ListParagraph"/>
              <w:numPr>
                <w:ilvl w:val="0"/>
                <w:numId w:val="149"/>
              </w:numPr>
              <w:spacing w:before="60"/>
              <w:rPr>
                <w:rFonts w:eastAsia="MS Mincho" w:cs="Arial"/>
                <w:bCs/>
                <w:noProof w:val="0"/>
                <w:lang w:bidi="ar-SA"/>
              </w:rPr>
            </w:pPr>
            <w:r w:rsidRPr="003507D2">
              <w:rPr>
                <w:rFonts w:eastAsia="MS Mincho" w:cs="Arial"/>
                <w:bCs/>
                <w:noProof w:val="0"/>
                <w:lang w:bidi="ar-SA"/>
              </w:rPr>
              <w:t>finanční prostředky z rezervy KS (v případě jeho zániku</w:t>
            </w:r>
            <w:r>
              <w:rPr>
                <w:rFonts w:eastAsia="MS Mincho" w:cs="Arial"/>
                <w:bCs/>
                <w:noProof w:val="0"/>
                <w:lang w:bidi="ar-SA"/>
              </w:rPr>
              <w:t xml:space="preserve"> </w:t>
            </w:r>
            <w:r>
              <w:t>oprávnění k provozování KS</w:t>
            </w:r>
            <w:r>
              <w:rPr>
                <w:rFonts w:eastAsia="MS Mincho" w:cs="Arial"/>
                <w:bCs/>
                <w:noProof w:val="0"/>
                <w:lang w:bidi="ar-SA"/>
              </w:rPr>
              <w:t xml:space="preserve"> či změny provozovatele KS</w:t>
            </w:r>
            <w:r w:rsidRPr="003507D2">
              <w:rPr>
                <w:rFonts w:eastAsia="MS Mincho" w:cs="Arial"/>
                <w:bCs/>
                <w:noProof w:val="0"/>
                <w:lang w:bidi="ar-SA"/>
              </w:rPr>
              <w:t>) na zajištění nakládání s</w:t>
            </w:r>
            <w:r>
              <w:rPr>
                <w:rFonts w:eastAsia="MS Mincho" w:cs="Arial"/>
                <w:bCs/>
                <w:noProof w:val="0"/>
                <w:lang w:bidi="ar-SA"/>
              </w:rPr>
              <w:t> </w:t>
            </w:r>
            <w:r w:rsidRPr="003507D2">
              <w:rPr>
                <w:rFonts w:eastAsia="MS Mincho" w:cs="Arial"/>
                <w:bCs/>
                <w:noProof w:val="0"/>
                <w:lang w:bidi="ar-SA"/>
              </w:rPr>
              <w:t>VUŽ</w:t>
            </w:r>
            <w:r>
              <w:rPr>
                <w:rFonts w:eastAsia="MS Mincho" w:cs="Arial"/>
                <w:bCs/>
                <w:noProof w:val="0"/>
                <w:lang w:bidi="ar-SA"/>
              </w:rPr>
              <w:t xml:space="preserve"> (bod 13)</w:t>
            </w:r>
          </w:p>
          <w:p w:rsidR="00493BED" w:rsidP="00AF4885" w14:paraId="7604261F" w14:textId="77777777">
            <w:pPr>
              <w:tabs>
                <w:tab w:val="left" w:pos="1037"/>
              </w:tabs>
              <w:spacing w:before="60"/>
              <w:rPr>
                <w:rFonts w:eastAsia="MS Mincho" w:cs="Arial"/>
                <w:bCs/>
                <w:noProof w:val="0"/>
                <w:lang w:bidi="ar-SA"/>
              </w:rPr>
            </w:pPr>
            <w:r w:rsidRPr="00AF4885">
              <w:rPr>
                <w:rFonts w:eastAsia="MS Mincho" w:cs="Arial"/>
                <w:b/>
                <w:bCs/>
                <w:noProof w:val="0"/>
                <w:lang w:bidi="ar-SA"/>
              </w:rPr>
              <w:t>CENIA</w:t>
            </w:r>
            <w:r w:rsidRPr="00AF4885">
              <w:rPr>
                <w:rFonts w:eastAsia="MS Mincho" w:cs="Arial"/>
                <w:bCs/>
                <w:noProof w:val="0"/>
                <w:lang w:bidi="ar-SA"/>
              </w:rPr>
              <w:t xml:space="preserve"> </w:t>
            </w:r>
          </w:p>
          <w:p w:rsidR="00493BED" w:rsidRPr="00AF4885" w:rsidP="00AF4885" w14:paraId="04706F16" w14:textId="4D8AF443">
            <w:pPr>
              <w:pStyle w:val="ListParagraph"/>
              <w:numPr>
                <w:ilvl w:val="0"/>
                <w:numId w:val="121"/>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snížení AZ zrušením povinnosti zpracování roční zprávy výrobci vozidel či akreditovanými zástupci – 40 tis. Kč (bod </w:t>
            </w:r>
            <w:r w:rsidR="00C00728">
              <w:rPr>
                <w:rFonts w:eastAsia="MS Mincho" w:cs="Arial"/>
                <w:bCs/>
                <w:noProof w:val="0"/>
                <w:lang w:bidi="ar-SA"/>
              </w:rPr>
              <w:t>25</w:t>
            </w:r>
            <w:r w:rsidRPr="00AF4885">
              <w:rPr>
                <w:rFonts w:eastAsia="MS Mincho" w:cs="Arial"/>
                <w:bCs/>
                <w:noProof w:val="0"/>
                <w:lang w:bidi="ar-SA"/>
              </w:rPr>
              <w:t>),</w:t>
            </w:r>
          </w:p>
          <w:p w:rsidR="00493BED" w:rsidP="00AF4885" w14:paraId="6F8D44C4" w14:textId="5E238B3E">
            <w:pPr>
              <w:tabs>
                <w:tab w:val="left" w:pos="1037"/>
              </w:tabs>
              <w:spacing w:before="60"/>
              <w:rPr>
                <w:rFonts w:eastAsia="MS Mincho" w:cs="Arial"/>
                <w:bCs/>
                <w:noProof w:val="0"/>
                <w:lang w:bidi="ar-SA"/>
              </w:rPr>
            </w:pPr>
            <w:r w:rsidRPr="00AF4885">
              <w:rPr>
                <w:rFonts w:eastAsia="MS Mincho" w:cs="Arial"/>
                <w:b/>
                <w:bCs/>
                <w:noProof w:val="0"/>
                <w:lang w:bidi="ar-SA"/>
              </w:rPr>
              <w:t>M</w:t>
            </w:r>
            <w:r w:rsidR="002B5956">
              <w:rPr>
                <w:rFonts w:eastAsia="MS Mincho" w:cs="Arial"/>
                <w:b/>
                <w:bCs/>
                <w:noProof w:val="0"/>
                <w:lang w:bidi="ar-SA"/>
              </w:rPr>
              <w:t>inisterstvo průmyslu a obchodu</w:t>
            </w:r>
            <w:r w:rsidRPr="00AF4885">
              <w:rPr>
                <w:rFonts w:eastAsia="MS Mincho" w:cs="Arial"/>
                <w:bCs/>
                <w:noProof w:val="0"/>
                <w:lang w:bidi="ar-SA"/>
              </w:rPr>
              <w:t xml:space="preserve"> </w:t>
            </w:r>
          </w:p>
          <w:p w:rsidR="00493BED" w:rsidRPr="00AF4885" w:rsidP="00AF4885" w14:paraId="1BE97858" w14:textId="3EA5B9DC">
            <w:pPr>
              <w:pStyle w:val="ListParagraph"/>
              <w:numPr>
                <w:ilvl w:val="0"/>
                <w:numId w:val="121"/>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mírné navýšení nákladů na zpracování zaslaných nákladů a vytvoření stanoviska spojené s komunikací s MŽP ohledně oprávnění – 11 700 Kč/žádost (bod </w:t>
            </w:r>
            <w:r w:rsidRPr="00AF4885">
              <w:rPr>
                <w:rFonts w:eastAsia="MS Mincho" w:cs="Arial"/>
                <w:bCs/>
                <w:noProof w:val="0"/>
                <w:lang w:bidi="ar-SA"/>
              </w:rPr>
              <w:t>7),</w:t>
            </w:r>
          </w:p>
          <w:p w:rsidR="00493BED" w:rsidRPr="00AF4885" w:rsidP="00AF4885" w14:paraId="3CE4DD63" w14:textId="14A1A6D0">
            <w:pPr>
              <w:pStyle w:val="ListParagraph"/>
              <w:numPr>
                <w:ilvl w:val="0"/>
                <w:numId w:val="121"/>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navýšení nákladů na provoz ČOI </w:t>
            </w:r>
            <w:r>
              <w:rPr>
                <w:rFonts w:cs="Arial"/>
              </w:rPr>
              <w:t>z důvodu rozšíření kompetencí v oblasti kontroly vybraných výrobků a zajištění jejich ZO</w:t>
            </w:r>
            <w:r w:rsidRPr="00493BED">
              <w:rPr>
                <w:rFonts w:eastAsia="MS Mincho" w:cs="Arial"/>
                <w:bCs/>
                <w:noProof w:val="0"/>
                <w:lang w:bidi="ar-SA"/>
              </w:rPr>
              <w:t xml:space="preserve"> </w:t>
            </w:r>
            <w:r w:rsidRPr="00AF4885">
              <w:rPr>
                <w:rFonts w:eastAsia="MS Mincho" w:cs="Arial"/>
                <w:bCs/>
                <w:noProof w:val="0"/>
                <w:lang w:bidi="ar-SA"/>
              </w:rPr>
              <w:t>–</w:t>
            </w:r>
            <w:r>
              <w:rPr>
                <w:rFonts w:eastAsia="MS Mincho" w:cs="Arial"/>
                <w:bCs/>
                <w:noProof w:val="0"/>
                <w:lang w:bidi="ar-SA"/>
              </w:rPr>
              <w:t xml:space="preserve"> 1,</w:t>
            </w:r>
            <w:r w:rsidRPr="00AF4885">
              <w:rPr>
                <w:rFonts w:eastAsia="MS Mincho" w:cs="Arial"/>
                <w:bCs/>
                <w:noProof w:val="0"/>
                <w:lang w:bidi="ar-SA"/>
              </w:rPr>
              <w:t>14</w:t>
            </w:r>
            <w:r>
              <w:rPr>
                <w:rFonts w:eastAsia="MS Mincho" w:cs="Arial"/>
                <w:bCs/>
                <w:noProof w:val="0"/>
                <w:lang w:bidi="ar-SA"/>
              </w:rPr>
              <w:t xml:space="preserve"> mil.</w:t>
            </w:r>
            <w:r w:rsidRPr="00AF4885">
              <w:rPr>
                <w:rFonts w:eastAsia="MS Mincho" w:cs="Arial"/>
                <w:bCs/>
                <w:noProof w:val="0"/>
                <w:lang w:bidi="ar-SA"/>
              </w:rPr>
              <w:t xml:space="preserve"> Kč (bod 2</w:t>
            </w:r>
            <w:r w:rsidR="00C00728">
              <w:rPr>
                <w:rFonts w:eastAsia="MS Mincho" w:cs="Arial"/>
                <w:bCs/>
                <w:noProof w:val="0"/>
                <w:lang w:bidi="ar-SA"/>
              </w:rPr>
              <w:t>6</w:t>
            </w:r>
            <w:r w:rsidRPr="00AF4885">
              <w:rPr>
                <w:rFonts w:eastAsia="MS Mincho" w:cs="Arial"/>
                <w:bCs/>
                <w:noProof w:val="0"/>
                <w:lang w:bidi="ar-SA"/>
              </w:rPr>
              <w:t>).</w:t>
            </w:r>
          </w:p>
          <w:p w:rsidR="002C2D60" w:rsidP="002C2D60" w14:paraId="3AB664E1" w14:textId="77777777">
            <w:pPr>
              <w:tabs>
                <w:tab w:val="left" w:pos="1037"/>
              </w:tabs>
              <w:spacing w:after="120"/>
              <w:rPr>
                <w:b/>
                <w:bCs/>
                <w:noProof w:val="0"/>
                <w:lang w:eastAsia="cs-CZ" w:bidi="ar-SA"/>
              </w:rPr>
            </w:pPr>
            <w:r w:rsidRPr="00233901">
              <w:rPr>
                <w:b/>
                <w:bCs/>
                <w:noProof w:val="0"/>
                <w:lang w:eastAsia="cs-CZ" w:bidi="ar-SA"/>
              </w:rPr>
              <w:t>Veškeré dopady do platové oblasti a úpravy systemizovaných míst v kapitolách MŽP a MPO budou zajištěny v rámci dosavadních limitů objemu prostředků na platy a personálních kapacit dotčených kapitol, tzn. s neutrálním rozpočtovým dopadem v platové oblasti.</w:t>
            </w:r>
          </w:p>
          <w:p w:rsidR="002C2D60" w:rsidRPr="00C04D5B" w:rsidP="002C2D60" w14:paraId="4DAA3C2C" w14:textId="7996BC4F">
            <w:pPr>
              <w:tabs>
                <w:tab w:val="left" w:pos="1037"/>
              </w:tabs>
              <w:spacing w:line="240" w:lineRule="auto"/>
              <w:rPr>
                <w:rFonts w:eastAsia="MS Mincho" w:cs="Arial"/>
                <w:bCs/>
              </w:rPr>
            </w:pPr>
            <w:r w:rsidRPr="007E50BD">
              <w:rPr>
                <w:b/>
                <w:bCs/>
                <w:noProof w:val="0"/>
                <w:lang w:eastAsia="cs-CZ" w:bidi="ar-SA"/>
              </w:rPr>
              <w:t>Všechny náklady, které s sebou aplikace nového zákona přinese, budou kryty v rámci stávajících schválených prostředků a nebudou vznášeny dodatečné požadavky nad rámec schváleného státního rozpočtu a střednědobého rozpočtového výhledu.</w:t>
            </w:r>
          </w:p>
        </w:tc>
      </w:tr>
      <w:tr w14:paraId="6778B93D"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43F9F6AA" w14:textId="270FD59D">
            <w:pPr>
              <w:tabs>
                <w:tab w:val="left" w:pos="1037"/>
              </w:tabs>
              <w:spacing w:line="240" w:lineRule="auto"/>
              <w:rPr>
                <w:rFonts w:eastAsia="MS Mincho" w:cs="Arial"/>
                <w:bCs/>
              </w:rPr>
            </w:pPr>
            <w:r>
              <w:rPr>
                <w:rFonts w:eastAsia="MS Mincho" w:cs="Arial"/>
                <w:bCs/>
              </w:rPr>
              <w:t>3.2 Dopady na mezinárodní konkurenceschopnost ČR</w:t>
            </w:r>
            <w:r w:rsidRPr="00C04D5B">
              <w:rPr>
                <w:rFonts w:eastAsia="MS Mincho" w:cs="Arial"/>
                <w:bCs/>
              </w:rPr>
              <w:t xml:space="preserve">: </w:t>
            </w:r>
            <w:r>
              <w:rPr>
                <w:rFonts w:eastAsia="MS Mincho" w:cs="Arial"/>
                <w:bCs/>
                <w:i/>
              </w:rPr>
              <w:t>Ne</w:t>
            </w:r>
          </w:p>
        </w:tc>
      </w:tr>
      <w:tr w14:paraId="1CEB23DA"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C04D5B" w:rsidP="004300FB" w14:paraId="1D673F11" w14:textId="2582B54A">
            <w:pPr>
              <w:tabs>
                <w:tab w:val="left" w:pos="1037"/>
              </w:tabs>
              <w:spacing w:line="240" w:lineRule="auto"/>
              <w:rPr>
                <w:rFonts w:eastAsia="MS Mincho" w:cs="Arial"/>
                <w:bCs/>
              </w:rPr>
            </w:pPr>
          </w:p>
        </w:tc>
      </w:tr>
      <w:tr w14:paraId="2507AB3F"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03CB3046" w14:textId="7A8BA81D">
            <w:pPr>
              <w:tabs>
                <w:tab w:val="left" w:pos="1037"/>
              </w:tabs>
              <w:spacing w:line="240" w:lineRule="auto"/>
              <w:rPr>
                <w:rFonts w:eastAsia="MS Mincho" w:cs="Arial"/>
                <w:bCs/>
              </w:rPr>
            </w:pPr>
            <w:r w:rsidRPr="00C04D5B">
              <w:rPr>
                <w:rFonts w:eastAsia="MS Mincho" w:cs="Arial"/>
                <w:bCs/>
              </w:rPr>
              <w:t>3.</w:t>
            </w:r>
            <w:r>
              <w:rPr>
                <w:rFonts w:eastAsia="MS Mincho" w:cs="Arial"/>
                <w:bCs/>
              </w:rPr>
              <w:t>3</w:t>
            </w:r>
            <w:r w:rsidRPr="00C04D5B">
              <w:rPr>
                <w:rFonts w:eastAsia="MS Mincho" w:cs="Arial"/>
                <w:bCs/>
              </w:rPr>
              <w:t xml:space="preserve"> Dopady na podnikatelské </w:t>
            </w:r>
            <w:r>
              <w:rPr>
                <w:rFonts w:eastAsia="MS Mincho" w:cs="Arial"/>
                <w:bCs/>
              </w:rPr>
              <w:t>prostředí</w:t>
            </w:r>
            <w:r w:rsidRPr="00C04D5B">
              <w:rPr>
                <w:rFonts w:eastAsia="MS Mincho" w:cs="Arial"/>
                <w:bCs/>
              </w:rPr>
              <w:t xml:space="preserve">: </w:t>
            </w:r>
            <w:r>
              <w:rPr>
                <w:rFonts w:eastAsia="MS Mincho" w:cs="Arial"/>
                <w:bCs/>
                <w:i/>
              </w:rPr>
              <w:t>Ano</w:t>
            </w:r>
          </w:p>
        </w:tc>
      </w:tr>
      <w:tr w14:paraId="11AA3FF2"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rPr>
          <w:trHeight w:val="972"/>
        </w:trPr>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A56F6C" w:rsidRPr="00AF4885" w:rsidP="00AF4885" w14:paraId="44DF6788" w14:textId="78753558">
            <w:pPr>
              <w:tabs>
                <w:tab w:val="left" w:pos="1037"/>
              </w:tabs>
              <w:spacing w:before="60"/>
              <w:rPr>
                <w:rFonts w:eastAsia="MS Mincho" w:cs="Arial"/>
                <w:b/>
                <w:bCs/>
              </w:rPr>
            </w:pPr>
            <w:r w:rsidRPr="00AF4885">
              <w:rPr>
                <w:rFonts w:eastAsia="MS Mincho" w:cs="Arial"/>
                <w:b/>
                <w:bCs/>
              </w:rPr>
              <w:t>Místa ZO</w:t>
            </w:r>
          </w:p>
          <w:p w:rsidR="002C2D60" w:rsidRPr="00AF4885" w:rsidP="00AF4885" w14:paraId="679BF3D7" w14:textId="18893283">
            <w:pPr>
              <w:pStyle w:val="ListParagraph"/>
              <w:numPr>
                <w:ilvl w:val="0"/>
                <w:numId w:val="129"/>
              </w:numPr>
              <w:tabs>
                <w:tab w:val="left" w:pos="1037"/>
              </w:tabs>
              <w:spacing w:before="60"/>
              <w:contextualSpacing w:val="0"/>
              <w:rPr>
                <w:rFonts w:eastAsia="MS Mincho" w:cs="Arial"/>
                <w:bCs/>
                <w:noProof w:val="0"/>
                <w:lang w:bidi="ar-SA"/>
              </w:rPr>
            </w:pPr>
            <w:r w:rsidRPr="00AF4885">
              <w:rPr>
                <w:rFonts w:eastAsia="MS Mincho" w:cs="Arial"/>
                <w:bCs/>
                <w:noProof w:val="0"/>
                <w:lang w:bidi="ar-SA"/>
              </w:rPr>
              <w:t>mírné navýšení AZ na vedení průběžné evidence a roční hlášení (bod 1)</w:t>
            </w:r>
            <w:r w:rsidR="00151931">
              <w:rPr>
                <w:rFonts w:eastAsia="MS Mincho" w:cs="Arial"/>
                <w:bCs/>
                <w:noProof w:val="0"/>
                <w:lang w:bidi="ar-SA"/>
              </w:rPr>
              <w:t>.</w:t>
            </w:r>
          </w:p>
          <w:p w:rsidR="00BA7CAF" w:rsidRPr="00AF4885" w:rsidP="00AF4885" w14:paraId="537B67DC" w14:textId="6688678A">
            <w:pPr>
              <w:tabs>
                <w:tab w:val="left" w:pos="1037"/>
              </w:tabs>
              <w:spacing w:before="60"/>
              <w:rPr>
                <w:rFonts w:eastAsia="MS Mincho" w:cs="Arial"/>
                <w:b/>
                <w:bCs/>
                <w:noProof w:val="0"/>
                <w:lang w:bidi="ar-SA"/>
              </w:rPr>
            </w:pPr>
            <w:r w:rsidRPr="00AF4885">
              <w:rPr>
                <w:rFonts w:eastAsia="MS Mincho" w:cs="Arial"/>
                <w:b/>
                <w:bCs/>
                <w:noProof w:val="0"/>
                <w:lang w:bidi="ar-SA"/>
              </w:rPr>
              <w:t>Kolektivní systémy</w:t>
            </w:r>
          </w:p>
          <w:p w:rsidR="002C2D60" w:rsidRPr="00AF4885" w:rsidP="00AF4885" w14:paraId="7980CD70" w14:textId="6B72DE95">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na propojení systémů – 30 tis. Kč/KS (bod 3),</w:t>
            </w:r>
          </w:p>
          <w:p w:rsidR="002C2D60" w:rsidRPr="00AF4885" w:rsidP="00AF4885" w14:paraId="4F7B6CF9" w14:textId="5E53CA99">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spojené s novými žádostmi o oprávnění k provozování KS – 0,3 – 2 mil. Kč (bod 4),</w:t>
            </w:r>
          </w:p>
          <w:p w:rsidR="002C2D60" w:rsidRPr="00AF4885" w:rsidP="00AF4885" w14:paraId="4D107129" w14:textId="686C8796">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v případě potřeby přesmluvnění – desítky mil. Kč (bod 4),</w:t>
            </w:r>
          </w:p>
          <w:p w:rsidR="002C2D60" w:rsidRPr="00AF4885" w:rsidP="00AF4885" w14:paraId="0AD21088" w14:textId="529E3E72">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riziko ukončení činnosti některých současných KS (bod 4),</w:t>
            </w:r>
          </w:p>
          <w:p w:rsidR="002C2D60" w:rsidRPr="00AF4885" w:rsidP="00AF4885" w14:paraId="6648087C" w14:textId="679D11C8">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vyšší právní jistota, transparentnost, možnost volby vhodnější právní formy (bod 5),</w:t>
            </w:r>
          </w:p>
          <w:p w:rsidR="002C2D60" w:rsidRPr="00AF4885" w:rsidP="00AF4885" w14:paraId="747A633F" w14:textId="587C45F9">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na přizpůsobení se požadavkům specifikovaným MŽP (bod 5),</w:t>
            </w:r>
          </w:p>
          <w:p w:rsidR="002C2D60" w:rsidRPr="00AF4885" w:rsidP="00AF4885" w14:paraId="163E5ECD" w14:textId="249A470E">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na prokazování dostatečných finančních záruk (bod 6),</w:t>
            </w:r>
          </w:p>
          <w:p w:rsidR="002C2D60" w:rsidP="00AF4885" w14:paraId="71C79C23" w14:textId="426D91E9">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jednorázové zvýšení AZ z důvodu kalkulace příspěvků (ekomodulace) - 137 tis. Kč (bod 8),</w:t>
            </w:r>
          </w:p>
          <w:p w:rsidR="002C2D60" w:rsidP="00AF4885" w14:paraId="11BDD75D" w14:textId="4CFEBB38">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odborná studie jako podklad pro ekomodulaci – 200 tis. Kč/skupinu výrobků (bod 8),</w:t>
            </w:r>
          </w:p>
          <w:p w:rsidR="008D7E8F" w:rsidRPr="00AF4885" w:rsidP="008D7E8F" w14:paraId="155694EB" w14:textId="2BF6EDD6">
            <w:pPr>
              <w:pStyle w:val="ListParagraph"/>
              <w:numPr>
                <w:ilvl w:val="0"/>
                <w:numId w:val="125"/>
              </w:numPr>
              <w:tabs>
                <w:tab w:val="left" w:pos="1037"/>
              </w:tabs>
              <w:spacing w:before="60"/>
              <w:contextualSpacing w:val="0"/>
              <w:rPr>
                <w:rFonts w:eastAsia="MS Mincho" w:cs="Arial"/>
                <w:bCs/>
                <w:noProof w:val="0"/>
                <w:lang w:bidi="ar-SA"/>
              </w:rPr>
            </w:pPr>
            <w:r>
              <w:rPr>
                <w:rFonts w:eastAsia="MS Mincho" w:cs="Arial"/>
                <w:bCs/>
                <w:noProof w:val="0"/>
                <w:lang w:bidi="ar-SA"/>
              </w:rPr>
              <w:t xml:space="preserve">náklady na vytvoření finanční rezervy </w:t>
            </w:r>
            <w:r w:rsidR="003F01B8">
              <w:rPr>
                <w:rFonts w:eastAsia="MS Mincho" w:cs="Arial"/>
                <w:bCs/>
                <w:noProof w:val="0"/>
                <w:lang w:bidi="ar-SA"/>
              </w:rPr>
              <w:t xml:space="preserve">při přechodu z „průběžného“ na „zálohový“ systém </w:t>
            </w:r>
            <w:r>
              <w:rPr>
                <w:rFonts w:eastAsia="MS Mincho" w:cs="Arial"/>
                <w:bCs/>
                <w:noProof w:val="0"/>
                <w:lang w:bidi="ar-SA"/>
              </w:rPr>
              <w:t>(bod 9)</w:t>
            </w:r>
            <w:r w:rsidR="00151931">
              <w:rPr>
                <w:rFonts w:eastAsia="MS Mincho" w:cs="Arial"/>
                <w:bCs/>
                <w:noProof w:val="0"/>
                <w:lang w:bidi="ar-SA"/>
              </w:rPr>
              <w:t>,</w:t>
            </w:r>
          </w:p>
          <w:p w:rsidR="002C2D60" w:rsidRPr="00AF4885" w:rsidP="00AF4885" w14:paraId="68F248A9" w14:textId="626380DD">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možnost sdílet náklady s ostatními KS, snížení podnikatelských rizik (bod </w:t>
            </w:r>
            <w:r w:rsidR="008D7E8F">
              <w:rPr>
                <w:rFonts w:eastAsia="MS Mincho" w:cs="Arial"/>
                <w:bCs/>
                <w:noProof w:val="0"/>
                <w:lang w:bidi="ar-SA"/>
              </w:rPr>
              <w:t>10</w:t>
            </w:r>
            <w:r w:rsidRPr="00AF4885">
              <w:rPr>
                <w:rFonts w:eastAsia="MS Mincho" w:cs="Arial"/>
                <w:bCs/>
                <w:noProof w:val="0"/>
                <w:lang w:bidi="ar-SA"/>
              </w:rPr>
              <w:t>),</w:t>
            </w:r>
          </w:p>
          <w:p w:rsidR="002C2D60" w:rsidRPr="00AF4885" w:rsidP="00AF4885" w14:paraId="31DA790D" w14:textId="1E537DBF">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navýšení AZ (bod </w:t>
            </w:r>
            <w:r w:rsidR="008D7E8F">
              <w:rPr>
                <w:rFonts w:eastAsia="MS Mincho" w:cs="Arial"/>
                <w:bCs/>
                <w:noProof w:val="0"/>
                <w:lang w:bidi="ar-SA"/>
              </w:rPr>
              <w:t>10</w:t>
            </w:r>
            <w:r w:rsidRPr="00AF4885">
              <w:rPr>
                <w:rFonts w:eastAsia="MS Mincho" w:cs="Arial"/>
                <w:bCs/>
                <w:noProof w:val="0"/>
                <w:lang w:bidi="ar-SA"/>
              </w:rPr>
              <w:t>),</w:t>
            </w:r>
          </w:p>
          <w:p w:rsidR="002C2D60" w:rsidRPr="00AF4885" w:rsidP="00AF4885" w14:paraId="2562B2A7" w14:textId="040BCB9A">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na audit – 100 – 400 tis. Kč/rok (bod 1</w:t>
            </w:r>
            <w:r w:rsidR="008D7E8F">
              <w:rPr>
                <w:rFonts w:eastAsia="MS Mincho" w:cs="Arial"/>
                <w:bCs/>
                <w:noProof w:val="0"/>
                <w:lang w:bidi="ar-SA"/>
              </w:rPr>
              <w:t>1</w:t>
            </w:r>
            <w:r w:rsidRPr="00AF4885">
              <w:rPr>
                <w:rFonts w:eastAsia="MS Mincho" w:cs="Arial"/>
                <w:bCs/>
                <w:noProof w:val="0"/>
                <w:lang w:bidi="ar-SA"/>
              </w:rPr>
              <w:t>),</w:t>
            </w:r>
          </w:p>
          <w:p w:rsidR="002C2D60" w:rsidRPr="00AF4885" w:rsidP="00AF4885" w14:paraId="566C7CB8" w14:textId="538E83CC">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náklady spojené s přípravou podkladů pro správní řízení o odebrání oprávnění k provozování KS při neplnění podmínek - 36 tis. Kč (bod 1</w:t>
            </w:r>
            <w:r w:rsidR="008D7E8F">
              <w:rPr>
                <w:rFonts w:eastAsia="MS Mincho" w:cs="Arial"/>
                <w:bCs/>
                <w:noProof w:val="0"/>
                <w:lang w:bidi="ar-SA"/>
              </w:rPr>
              <w:t>2</w:t>
            </w:r>
            <w:r w:rsidRPr="00AF4885">
              <w:rPr>
                <w:rFonts w:eastAsia="MS Mincho" w:cs="Arial"/>
                <w:bCs/>
                <w:noProof w:val="0"/>
                <w:lang w:bidi="ar-SA"/>
              </w:rPr>
              <w:t>),</w:t>
            </w:r>
          </w:p>
          <w:p w:rsidR="002C2D60" w:rsidRPr="00AF4885" w:rsidP="00AF4885" w14:paraId="1AF986B2" w14:textId="7CED597E">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zamezení freeridingu a špatného finančního plánování KS pro EEZ (bod 1</w:t>
            </w:r>
            <w:r w:rsidR="008D7E8F">
              <w:rPr>
                <w:rFonts w:eastAsia="MS Mincho" w:cs="Arial"/>
                <w:bCs/>
                <w:noProof w:val="0"/>
                <w:lang w:bidi="ar-SA"/>
              </w:rPr>
              <w:t>7</w:t>
            </w:r>
            <w:r w:rsidRPr="00AF4885">
              <w:rPr>
                <w:rFonts w:eastAsia="MS Mincho" w:cs="Arial"/>
                <w:bCs/>
                <w:noProof w:val="0"/>
                <w:lang w:bidi="ar-SA"/>
              </w:rPr>
              <w:t>),</w:t>
            </w:r>
          </w:p>
          <w:p w:rsidR="002C2D60" w:rsidRPr="00AF4885" w:rsidP="00AF4885" w14:paraId="71B12B0F" w14:textId="388F449D">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výrobci EEZ, KS - zvýšení přehlednosti a usnadnění kontroly splnění podmínek stanovené hustoty sítě míst ZO pro EEZ (bod 1</w:t>
            </w:r>
            <w:r w:rsidR="008D7E8F">
              <w:rPr>
                <w:rFonts w:eastAsia="MS Mincho" w:cs="Arial"/>
                <w:bCs/>
                <w:noProof w:val="0"/>
                <w:lang w:bidi="ar-SA"/>
              </w:rPr>
              <w:t>8</w:t>
            </w:r>
            <w:r w:rsidRPr="00AF4885">
              <w:rPr>
                <w:rFonts w:eastAsia="MS Mincho" w:cs="Arial"/>
                <w:bCs/>
                <w:noProof w:val="0"/>
                <w:lang w:bidi="ar-SA"/>
              </w:rPr>
              <w:t>),</w:t>
            </w:r>
          </w:p>
          <w:p w:rsidR="002C2D60" w:rsidP="00AF4885" w14:paraId="34CDDAD5" w14:textId="6B480F07">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výrobci EEZ, KS - náklady spojené s vytvářením míst ZO pro EEZ (bod 1</w:t>
            </w:r>
            <w:r w:rsidR="008D7E8F">
              <w:rPr>
                <w:rFonts w:eastAsia="MS Mincho" w:cs="Arial"/>
                <w:bCs/>
                <w:noProof w:val="0"/>
                <w:lang w:bidi="ar-SA"/>
              </w:rPr>
              <w:t>8</w:t>
            </w:r>
            <w:r w:rsidRPr="00AF4885">
              <w:rPr>
                <w:rFonts w:eastAsia="MS Mincho" w:cs="Arial"/>
                <w:bCs/>
                <w:noProof w:val="0"/>
                <w:lang w:bidi="ar-SA"/>
              </w:rPr>
              <w:t>),</w:t>
            </w:r>
          </w:p>
          <w:p w:rsidR="007A69C5" w:rsidP="00AF4885" w14:paraId="6CF7C28A" w14:textId="46757122">
            <w:pPr>
              <w:pStyle w:val="ListParagraph"/>
              <w:numPr>
                <w:ilvl w:val="0"/>
                <w:numId w:val="125"/>
              </w:numPr>
              <w:tabs>
                <w:tab w:val="left" w:pos="1037"/>
              </w:tabs>
              <w:spacing w:before="60"/>
              <w:contextualSpacing w:val="0"/>
              <w:rPr>
                <w:rFonts w:eastAsia="MS Mincho" w:cs="Arial"/>
                <w:bCs/>
                <w:noProof w:val="0"/>
                <w:lang w:bidi="ar-SA"/>
              </w:rPr>
            </w:pPr>
            <w:r w:rsidRPr="007A69C5">
              <w:rPr>
                <w:rFonts w:eastAsia="MS Mincho" w:cs="Arial"/>
                <w:bCs/>
                <w:noProof w:val="0"/>
                <w:lang w:bidi="ar-SA"/>
              </w:rPr>
              <w:t>výrobci EEZ, KS - s</w:t>
            </w:r>
            <w:r w:rsidRPr="007A69C5">
              <w:t>nadnější zřízení nových míst ZO pro EEZ v menších obcích</w:t>
            </w:r>
            <w:r>
              <w:rPr>
                <w:sz w:val="20"/>
                <w:szCs w:val="20"/>
              </w:rPr>
              <w:t xml:space="preserve"> </w:t>
            </w:r>
            <w:r w:rsidRPr="00AF4885">
              <w:rPr>
                <w:rFonts w:eastAsia="MS Mincho" w:cs="Arial"/>
                <w:bCs/>
                <w:noProof w:val="0"/>
                <w:lang w:bidi="ar-SA"/>
              </w:rPr>
              <w:t>(bod 1</w:t>
            </w:r>
            <w:r w:rsidR="008D7E8F">
              <w:rPr>
                <w:rFonts w:eastAsia="MS Mincho" w:cs="Arial"/>
                <w:bCs/>
                <w:noProof w:val="0"/>
                <w:lang w:bidi="ar-SA"/>
              </w:rPr>
              <w:t>8</w:t>
            </w:r>
            <w:r w:rsidRPr="00AF4885">
              <w:rPr>
                <w:rFonts w:eastAsia="MS Mincho" w:cs="Arial"/>
                <w:bCs/>
                <w:noProof w:val="0"/>
                <w:lang w:bidi="ar-SA"/>
              </w:rPr>
              <w:t>),</w:t>
            </w:r>
          </w:p>
          <w:p w:rsidR="007A69C5" w:rsidP="00AF4885" w14:paraId="4BEFFCE3" w14:textId="72443428">
            <w:pPr>
              <w:pStyle w:val="ListParagraph"/>
              <w:numPr>
                <w:ilvl w:val="0"/>
                <w:numId w:val="125"/>
              </w:numPr>
              <w:tabs>
                <w:tab w:val="left" w:pos="1037"/>
              </w:tabs>
              <w:spacing w:before="60"/>
              <w:contextualSpacing w:val="0"/>
              <w:rPr>
                <w:rFonts w:eastAsia="MS Mincho" w:cs="Arial"/>
                <w:bCs/>
                <w:noProof w:val="0"/>
                <w:lang w:bidi="ar-SA"/>
              </w:rPr>
            </w:pPr>
            <w:r w:rsidRPr="004F2CF7">
              <w:rPr>
                <w:rFonts w:eastAsia="MS Mincho" w:cs="Arial"/>
                <w:bCs/>
                <w:noProof w:val="0"/>
                <w:lang w:bidi="ar-SA"/>
              </w:rPr>
              <w:t>z</w:t>
            </w:r>
            <w:r>
              <w:rPr>
                <w:rFonts w:eastAsia="MS Mincho" w:cs="Arial"/>
                <w:bCs/>
                <w:noProof w:val="0"/>
                <w:lang w:bidi="ar-SA"/>
              </w:rPr>
              <w:t xml:space="preserve">amezení freeridingu </w:t>
            </w:r>
            <w:r w:rsidRPr="004F2CF7">
              <w:rPr>
                <w:rFonts w:eastAsia="MS Mincho" w:cs="Arial"/>
                <w:bCs/>
                <w:noProof w:val="0"/>
                <w:lang w:bidi="ar-SA"/>
              </w:rPr>
              <w:t>u individuálně plnících výrobců a přenášení nákladů za ZO pneumatik na KS</w:t>
            </w:r>
            <w:r>
              <w:rPr>
                <w:rFonts w:eastAsia="MS Mincho" w:cs="Arial"/>
                <w:bCs/>
                <w:noProof w:val="0"/>
                <w:lang w:bidi="ar-SA"/>
              </w:rPr>
              <w:t xml:space="preserve"> (bod 2</w:t>
            </w:r>
            <w:r w:rsidR="008D7E8F">
              <w:rPr>
                <w:rFonts w:eastAsia="MS Mincho" w:cs="Arial"/>
                <w:bCs/>
                <w:noProof w:val="0"/>
                <w:lang w:bidi="ar-SA"/>
              </w:rPr>
              <w:t>3</w:t>
            </w:r>
            <w:r>
              <w:rPr>
                <w:rFonts w:eastAsia="MS Mincho" w:cs="Arial"/>
                <w:bCs/>
                <w:noProof w:val="0"/>
                <w:lang w:bidi="ar-SA"/>
              </w:rPr>
              <w:t>),</w:t>
            </w:r>
          </w:p>
          <w:p w:rsidR="007A69C5" w:rsidRPr="00AF4885" w:rsidP="00AF4885" w14:paraId="5993FF77" w14:textId="3D91DACB">
            <w:pPr>
              <w:pStyle w:val="ListParagraph"/>
              <w:numPr>
                <w:ilvl w:val="0"/>
                <w:numId w:val="125"/>
              </w:numPr>
              <w:tabs>
                <w:tab w:val="left" w:pos="1037"/>
              </w:tabs>
              <w:spacing w:before="60"/>
              <w:contextualSpacing w:val="0"/>
              <w:rPr>
                <w:rFonts w:eastAsia="MS Mincho" w:cs="Arial"/>
                <w:bCs/>
                <w:noProof w:val="0"/>
                <w:lang w:bidi="ar-SA"/>
              </w:rPr>
            </w:pPr>
            <w:r w:rsidRPr="004F2CF7">
              <w:rPr>
                <w:rFonts w:eastAsia="MS Mincho" w:cs="Arial"/>
                <w:bCs/>
                <w:noProof w:val="0"/>
                <w:lang w:bidi="ar-SA"/>
              </w:rPr>
              <w:t>KS na pneumatiky – snížení nákladů na ZO odpadních pneumatik (bod 2</w:t>
            </w:r>
            <w:r w:rsidR="008D7E8F">
              <w:rPr>
                <w:rFonts w:eastAsia="MS Mincho" w:cs="Arial"/>
                <w:bCs/>
                <w:noProof w:val="0"/>
                <w:lang w:bidi="ar-SA"/>
              </w:rPr>
              <w:t>3</w:t>
            </w:r>
            <w:r w:rsidRPr="004F2CF7">
              <w:rPr>
                <w:rFonts w:eastAsia="MS Mincho" w:cs="Arial"/>
                <w:bCs/>
                <w:noProof w:val="0"/>
                <w:lang w:bidi="ar-SA"/>
              </w:rPr>
              <w:t>)</w:t>
            </w:r>
            <w:r w:rsidR="00151931">
              <w:rPr>
                <w:rFonts w:eastAsia="MS Mincho" w:cs="Arial"/>
                <w:bCs/>
                <w:noProof w:val="0"/>
                <w:lang w:bidi="ar-SA"/>
              </w:rPr>
              <w:t>.</w:t>
            </w:r>
          </w:p>
          <w:p w:rsidR="00BA7CAF" w:rsidRPr="00AF4885" w:rsidP="00AF4885" w14:paraId="446BDAED" w14:textId="78BAA177">
            <w:pPr>
              <w:tabs>
                <w:tab w:val="left" w:pos="1037"/>
              </w:tabs>
              <w:spacing w:before="60"/>
              <w:rPr>
                <w:rFonts w:eastAsia="MS Mincho" w:cs="Arial"/>
                <w:b/>
                <w:bCs/>
                <w:noProof w:val="0"/>
                <w:lang w:bidi="ar-SA"/>
              </w:rPr>
            </w:pPr>
            <w:r w:rsidRPr="00AF4885">
              <w:rPr>
                <w:rFonts w:eastAsia="MS Mincho" w:cs="Arial"/>
                <w:b/>
                <w:bCs/>
                <w:noProof w:val="0"/>
                <w:lang w:bidi="ar-SA"/>
              </w:rPr>
              <w:t>Výrobci vybraných výrobků</w:t>
            </w:r>
          </w:p>
          <w:p w:rsidR="00A56F6C" w:rsidP="00AF4885" w14:paraId="0725CFDC" w14:textId="77777777">
            <w:pPr>
              <w:pStyle w:val="ListParagraph"/>
              <w:numPr>
                <w:ilvl w:val="0"/>
                <w:numId w:val="125"/>
              </w:numPr>
              <w:tabs>
                <w:tab w:val="left" w:pos="1037"/>
              </w:tabs>
              <w:spacing w:before="60"/>
              <w:contextualSpacing w:val="0"/>
              <w:rPr>
                <w:rFonts w:eastAsia="MS Mincho" w:cs="Arial"/>
                <w:bCs/>
                <w:noProof w:val="0"/>
                <w:lang w:bidi="ar-SA"/>
              </w:rPr>
            </w:pPr>
            <w:r w:rsidRPr="00AC4401">
              <w:rPr>
                <w:rFonts w:eastAsia="MS Mincho" w:cs="Arial"/>
                <w:bCs/>
                <w:noProof w:val="0"/>
                <w:lang w:bidi="ar-SA"/>
              </w:rPr>
              <w:t>zjednodušení povinného informování spotřebitelů, snížení AZ (bod 3),</w:t>
            </w:r>
          </w:p>
          <w:p w:rsidR="00A56F6C" w:rsidP="00AF4885" w14:paraId="395E4350" w14:textId="77777777">
            <w:pPr>
              <w:pStyle w:val="ListParagraph"/>
              <w:numPr>
                <w:ilvl w:val="0"/>
                <w:numId w:val="125"/>
              </w:numPr>
              <w:tabs>
                <w:tab w:val="left" w:pos="1037"/>
              </w:tabs>
              <w:spacing w:before="60"/>
              <w:contextualSpacing w:val="0"/>
              <w:rPr>
                <w:rFonts w:eastAsia="MS Mincho" w:cs="Arial"/>
                <w:bCs/>
                <w:noProof w:val="0"/>
                <w:lang w:bidi="ar-SA"/>
              </w:rPr>
            </w:pPr>
            <w:r w:rsidRPr="000B7CBF">
              <w:rPr>
                <w:rFonts w:eastAsia="MS Mincho" w:cs="Arial"/>
                <w:bCs/>
                <w:noProof w:val="0"/>
                <w:lang w:bidi="ar-SA"/>
              </w:rPr>
              <w:t xml:space="preserve">mírné navýšení AZ </w:t>
            </w:r>
            <w:r>
              <w:rPr>
                <w:rFonts w:eastAsia="MS Mincho" w:cs="Arial"/>
                <w:bCs/>
                <w:noProof w:val="0"/>
                <w:lang w:bidi="ar-SA"/>
              </w:rPr>
              <w:t>výrobců na zapojení</w:t>
            </w:r>
            <w:r w:rsidRPr="000B7CBF">
              <w:rPr>
                <w:rFonts w:eastAsia="MS Mincho" w:cs="Arial"/>
                <w:bCs/>
                <w:noProof w:val="0"/>
                <w:lang w:bidi="ar-SA"/>
              </w:rPr>
              <w:t xml:space="preserve"> do registru míst </w:t>
            </w:r>
            <w:r>
              <w:rPr>
                <w:rFonts w:eastAsia="MS Mincho" w:cs="Arial"/>
                <w:bCs/>
                <w:noProof w:val="0"/>
                <w:lang w:bidi="ar-SA"/>
              </w:rPr>
              <w:t>ZO (bod 3</w:t>
            </w:r>
            <w:r w:rsidRPr="000B7CBF">
              <w:rPr>
                <w:rFonts w:eastAsia="MS Mincho" w:cs="Arial"/>
                <w:bCs/>
                <w:noProof w:val="0"/>
                <w:lang w:bidi="ar-SA"/>
              </w:rPr>
              <w:t>),</w:t>
            </w:r>
          </w:p>
          <w:p w:rsidR="00BA7CAF" w:rsidRPr="00AF4885" w:rsidP="00AF4885" w14:paraId="3A8F793B" w14:textId="70493325">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udržení či vznik kvalitních partnerů v oblasti ZO (bod 4),</w:t>
            </w:r>
          </w:p>
          <w:p w:rsidR="00A56F6C" w:rsidP="00AF4885" w14:paraId="45543110" w14:textId="0EE365F2">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změna výše příspěvků na zajištění sdruženého plnění (rozdílná výše příspěvků pro</w:t>
            </w:r>
            <w:r>
              <w:rPr>
                <w:rFonts w:eastAsia="MS Mincho" w:cs="Arial"/>
                <w:bCs/>
                <w:noProof w:val="0"/>
                <w:lang w:bidi="ar-SA"/>
              </w:rPr>
              <w:t> </w:t>
            </w:r>
            <w:r w:rsidRPr="00AF4885">
              <w:rPr>
                <w:rFonts w:eastAsia="MS Mincho" w:cs="Arial"/>
                <w:bCs/>
                <w:noProof w:val="0"/>
                <w:lang w:bidi="ar-SA"/>
              </w:rPr>
              <w:t>výrobky</w:t>
            </w:r>
            <w:r w:rsidR="003F01B8">
              <w:rPr>
                <w:rFonts w:eastAsia="MS Mincho" w:cs="Arial"/>
                <w:bCs/>
                <w:noProof w:val="0"/>
                <w:lang w:bidi="ar-SA"/>
              </w:rPr>
              <w:t xml:space="preserve"> v závislosti na jejich „ekologické šetrnosti“</w:t>
            </w:r>
            <w:r w:rsidRPr="00AF4885">
              <w:rPr>
                <w:rFonts w:eastAsia="MS Mincho" w:cs="Arial"/>
                <w:bCs/>
                <w:noProof w:val="0"/>
                <w:lang w:bidi="ar-SA"/>
              </w:rPr>
              <w:t>) (bod 8),</w:t>
            </w:r>
          </w:p>
          <w:p w:rsidR="00334D1D" w:rsidRPr="00AF4885" w:rsidP="00AF4885" w14:paraId="38BE0692" w14:textId="3B0EF812">
            <w:pPr>
              <w:pStyle w:val="ListParagraph"/>
              <w:numPr>
                <w:ilvl w:val="0"/>
                <w:numId w:val="125"/>
              </w:numPr>
              <w:tabs>
                <w:tab w:val="left" w:pos="1037"/>
              </w:tabs>
              <w:spacing w:before="60"/>
              <w:contextualSpacing w:val="0"/>
              <w:rPr>
                <w:rFonts w:eastAsia="MS Mincho" w:cs="Arial"/>
                <w:bCs/>
                <w:noProof w:val="0"/>
                <w:lang w:bidi="ar-SA"/>
              </w:rPr>
            </w:pPr>
            <w:r w:rsidRPr="00C22698">
              <w:rPr>
                <w:rFonts w:eastAsia="MS Mincho" w:cs="Arial"/>
                <w:bCs/>
                <w:noProof w:val="0"/>
                <w:lang w:bidi="ar-SA"/>
              </w:rPr>
              <w:t>ochrana výrobců, kteří řádně odvádí do KS příspěvky na ZO, aby byly tyto prostřeky účelově využity i v případě zániku KS (bod 13)</w:t>
            </w:r>
            <w:r w:rsidR="00151931">
              <w:rPr>
                <w:rFonts w:eastAsia="MS Mincho" w:cs="Arial"/>
                <w:bCs/>
                <w:noProof w:val="0"/>
                <w:lang w:bidi="ar-SA"/>
              </w:rPr>
              <w:t>.</w:t>
            </w:r>
          </w:p>
          <w:p w:rsidR="007D6F2C" w:rsidP="00AF4885" w14:paraId="489E3572" w14:textId="77777777">
            <w:pPr>
              <w:tabs>
                <w:tab w:val="left" w:pos="1037"/>
              </w:tabs>
              <w:spacing w:before="60"/>
              <w:rPr>
                <w:rFonts w:eastAsia="MS Mincho" w:cs="Arial"/>
                <w:b/>
                <w:bCs/>
                <w:noProof w:val="0"/>
                <w:lang w:bidi="ar-SA"/>
              </w:rPr>
            </w:pPr>
            <w:r>
              <w:rPr>
                <w:rFonts w:eastAsia="MS Mincho" w:cs="Arial"/>
                <w:b/>
                <w:bCs/>
                <w:noProof w:val="0"/>
                <w:lang w:bidi="ar-SA"/>
              </w:rPr>
              <w:t>Výrobci elektrozařízení</w:t>
            </w:r>
          </w:p>
          <w:p w:rsidR="007D6F2C" w:rsidP="00C22698" w14:paraId="438C767E" w14:textId="44BE5C9E">
            <w:pPr>
              <w:pStyle w:val="ListParagraph"/>
              <w:numPr>
                <w:ilvl w:val="0"/>
                <w:numId w:val="125"/>
              </w:numPr>
              <w:tabs>
                <w:tab w:val="left" w:pos="1037"/>
              </w:tabs>
              <w:spacing w:before="60"/>
              <w:contextualSpacing w:val="0"/>
              <w:rPr>
                <w:rFonts w:eastAsia="MS Mincho" w:cs="Arial"/>
                <w:bCs/>
                <w:noProof w:val="0"/>
                <w:lang w:bidi="ar-SA"/>
              </w:rPr>
            </w:pPr>
            <w:r w:rsidRPr="00C22698">
              <w:rPr>
                <w:rFonts w:eastAsia="MS Mincho" w:cs="Arial"/>
                <w:bCs/>
                <w:noProof w:val="0"/>
                <w:lang w:bidi="ar-SA"/>
              </w:rPr>
              <w:t>zdražení příspěvků</w:t>
            </w:r>
            <w:r>
              <w:rPr>
                <w:rFonts w:eastAsia="MS Mincho" w:cs="Arial"/>
                <w:bCs/>
                <w:noProof w:val="0"/>
                <w:lang w:bidi="ar-SA"/>
              </w:rPr>
              <w:t xml:space="preserve"> za kolektivní plnění povinností výrobců při přechodu KS z</w:t>
            </w:r>
            <w:r w:rsidR="00334D1D">
              <w:rPr>
                <w:rFonts w:eastAsia="MS Mincho" w:cs="Arial"/>
                <w:bCs/>
                <w:noProof w:val="0"/>
                <w:lang w:bidi="ar-SA"/>
              </w:rPr>
              <w:t> </w:t>
            </w:r>
            <w:r>
              <w:rPr>
                <w:rFonts w:eastAsia="MS Mincho" w:cs="Arial"/>
                <w:bCs/>
                <w:noProof w:val="0"/>
                <w:lang w:bidi="ar-SA"/>
              </w:rPr>
              <w:t>„průběžného“ na „zálohový“ systém financování,</w:t>
            </w:r>
            <w:r w:rsidRPr="00C22698">
              <w:rPr>
                <w:rFonts w:eastAsia="MS Mincho" w:cs="Arial"/>
                <w:bCs/>
                <w:noProof w:val="0"/>
                <w:lang w:bidi="ar-SA"/>
              </w:rPr>
              <w:t xml:space="preserve"> z důvodu tvorby rezervy KS</w:t>
            </w:r>
            <w:r>
              <w:rPr>
                <w:rFonts w:eastAsia="MS Mincho" w:cs="Arial"/>
                <w:bCs/>
                <w:noProof w:val="0"/>
                <w:lang w:bidi="ar-SA"/>
              </w:rPr>
              <w:t xml:space="preserve"> (bod</w:t>
            </w:r>
            <w:r w:rsidR="00334D1D">
              <w:rPr>
                <w:rFonts w:eastAsia="MS Mincho" w:cs="Arial"/>
                <w:bCs/>
                <w:noProof w:val="0"/>
                <w:lang w:bidi="ar-SA"/>
              </w:rPr>
              <w:t> </w:t>
            </w:r>
            <w:r>
              <w:rPr>
                <w:rFonts w:eastAsia="MS Mincho" w:cs="Arial"/>
                <w:bCs/>
                <w:noProof w:val="0"/>
                <w:lang w:bidi="ar-SA"/>
              </w:rPr>
              <w:t>9)</w:t>
            </w:r>
            <w:r w:rsidR="00151931">
              <w:rPr>
                <w:rFonts w:eastAsia="MS Mincho" w:cs="Arial"/>
                <w:bCs/>
                <w:noProof w:val="0"/>
                <w:lang w:bidi="ar-SA"/>
              </w:rPr>
              <w:t>,</w:t>
            </w:r>
          </w:p>
          <w:p w:rsidR="00334D1D" w:rsidRPr="00C22698" w:rsidP="00C22698" w14:paraId="5D71E006" w14:textId="484F8F66">
            <w:pPr>
              <w:pStyle w:val="ListParagraph"/>
              <w:numPr>
                <w:ilvl w:val="0"/>
                <w:numId w:val="125"/>
              </w:numPr>
              <w:tabs>
                <w:tab w:val="left" w:pos="1037"/>
              </w:tabs>
              <w:spacing w:before="60"/>
              <w:contextualSpacing w:val="0"/>
              <w:rPr>
                <w:rFonts w:eastAsia="MS Mincho" w:cs="Arial"/>
                <w:bCs/>
                <w:noProof w:val="0"/>
                <w:lang w:bidi="ar-SA"/>
              </w:rPr>
            </w:pPr>
            <w:r w:rsidRPr="00C22698">
              <w:rPr>
                <w:rFonts w:eastAsia="MS Mincho" w:cs="Arial"/>
                <w:bCs/>
                <w:noProof w:val="0"/>
                <w:lang w:bidi="ar-SA"/>
              </w:rPr>
              <w:t>zamezení freeridingu pro internetové prodejce EEZ ze zemí mimo EU, zejména ze třetích zemí</w:t>
            </w:r>
            <w:r>
              <w:rPr>
                <w:rFonts w:eastAsia="MS Mincho" w:cs="Arial"/>
                <w:bCs/>
                <w:noProof w:val="0"/>
                <w:lang w:bidi="ar-SA"/>
              </w:rPr>
              <w:t>, a tím o</w:t>
            </w:r>
            <w:r w:rsidRPr="00C22698">
              <w:rPr>
                <w:rFonts w:eastAsia="MS Mincho" w:cs="Arial"/>
                <w:bCs/>
                <w:noProof w:val="0"/>
                <w:lang w:bidi="ar-SA"/>
              </w:rPr>
              <w:t>chrana zájmů výrobců a prodejců EEZ</w:t>
            </w:r>
            <w:r w:rsidRPr="00C22698" w:rsidR="003F01B8">
              <w:rPr>
                <w:rFonts w:eastAsia="MS Mincho" w:cs="Arial"/>
                <w:bCs/>
                <w:noProof w:val="0"/>
                <w:lang w:bidi="ar-SA"/>
              </w:rPr>
              <w:t>, kteří řádně pl</w:t>
            </w:r>
            <w:r w:rsidRPr="00C22698">
              <w:rPr>
                <w:rFonts w:eastAsia="MS Mincho" w:cs="Arial"/>
                <w:bCs/>
                <w:noProof w:val="0"/>
                <w:lang w:bidi="ar-SA"/>
              </w:rPr>
              <w:t>ní zákonné povin</w:t>
            </w:r>
            <w:r>
              <w:rPr>
                <w:rFonts w:eastAsia="MS Mincho" w:cs="Arial"/>
                <w:bCs/>
                <w:noProof w:val="0"/>
                <w:lang w:bidi="ar-SA"/>
              </w:rPr>
              <w:t>n</w:t>
            </w:r>
            <w:r w:rsidRPr="00C22698">
              <w:rPr>
                <w:rFonts w:eastAsia="MS Mincho" w:cs="Arial"/>
                <w:bCs/>
                <w:noProof w:val="0"/>
                <w:lang w:bidi="ar-SA"/>
              </w:rPr>
              <w:t xml:space="preserve">osti, </w:t>
            </w:r>
            <w:r>
              <w:rPr>
                <w:rFonts w:eastAsia="MS Mincho" w:cs="Arial"/>
                <w:bCs/>
                <w:noProof w:val="0"/>
                <w:lang w:bidi="ar-SA"/>
              </w:rPr>
              <w:t xml:space="preserve">a </w:t>
            </w:r>
            <w:r w:rsidRPr="00C22698">
              <w:rPr>
                <w:rFonts w:eastAsia="MS Mincho" w:cs="Arial"/>
                <w:bCs/>
                <w:noProof w:val="0"/>
                <w:lang w:bidi="ar-SA"/>
              </w:rPr>
              <w:t xml:space="preserve">snížení </w:t>
            </w:r>
            <w:r>
              <w:rPr>
                <w:rFonts w:eastAsia="MS Mincho" w:cs="Arial"/>
                <w:bCs/>
                <w:noProof w:val="0"/>
                <w:lang w:bidi="ar-SA"/>
              </w:rPr>
              <w:t xml:space="preserve">jejich </w:t>
            </w:r>
            <w:r w:rsidRPr="00C22698">
              <w:rPr>
                <w:rFonts w:eastAsia="MS Mincho" w:cs="Arial"/>
                <w:bCs/>
                <w:noProof w:val="0"/>
                <w:lang w:bidi="ar-SA"/>
              </w:rPr>
              <w:t>nákladů na sběr a recyklaci EEZ</w:t>
            </w:r>
            <w:r>
              <w:rPr>
                <w:rFonts w:eastAsia="MS Mincho" w:cs="Arial"/>
                <w:bCs/>
                <w:noProof w:val="0"/>
                <w:lang w:bidi="ar-SA"/>
              </w:rPr>
              <w:t xml:space="preserve"> (bod 15)</w:t>
            </w:r>
            <w:r w:rsidR="00151931">
              <w:rPr>
                <w:rFonts w:eastAsia="MS Mincho" w:cs="Arial"/>
                <w:bCs/>
                <w:noProof w:val="0"/>
                <w:lang w:bidi="ar-SA"/>
              </w:rPr>
              <w:t>.</w:t>
            </w:r>
          </w:p>
          <w:p w:rsidR="00BA7CAF" w:rsidRPr="00AF4885" w:rsidP="00AF4885" w14:paraId="54C44AAA" w14:textId="5E0854D7">
            <w:pPr>
              <w:tabs>
                <w:tab w:val="left" w:pos="1037"/>
              </w:tabs>
              <w:spacing w:before="60"/>
              <w:rPr>
                <w:rFonts w:eastAsia="MS Mincho" w:cs="Arial"/>
                <w:b/>
                <w:bCs/>
                <w:noProof w:val="0"/>
                <w:lang w:bidi="ar-SA"/>
              </w:rPr>
            </w:pPr>
            <w:r w:rsidRPr="00AF4885">
              <w:rPr>
                <w:rFonts w:eastAsia="MS Mincho" w:cs="Arial"/>
                <w:b/>
                <w:bCs/>
                <w:noProof w:val="0"/>
                <w:lang w:bidi="ar-SA"/>
              </w:rPr>
              <w:t>V</w:t>
            </w:r>
            <w:r w:rsidRPr="00AF4885" w:rsidR="002C2D60">
              <w:rPr>
                <w:rFonts w:eastAsia="MS Mincho" w:cs="Arial"/>
                <w:b/>
                <w:bCs/>
                <w:noProof w:val="0"/>
                <w:lang w:bidi="ar-SA"/>
              </w:rPr>
              <w:t xml:space="preserve">ýrobci lithiových baterií a akumulátorů </w:t>
            </w:r>
          </w:p>
          <w:p w:rsidR="002C2D60" w:rsidRPr="00AF4885" w:rsidP="00AF4885" w14:paraId="5850E4EF" w14:textId="44CABDAB">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náklady na finanční rezervu (kauci) - 16,2 mil. Kč/rok (bod </w:t>
            </w:r>
            <w:r w:rsidR="008D7E8F">
              <w:rPr>
                <w:rFonts w:eastAsia="MS Mincho" w:cs="Arial"/>
                <w:bCs/>
                <w:noProof w:val="0"/>
                <w:lang w:bidi="ar-SA"/>
              </w:rPr>
              <w:t>2</w:t>
            </w:r>
            <w:r w:rsidRPr="00AF4885">
              <w:rPr>
                <w:rFonts w:eastAsia="MS Mincho" w:cs="Arial"/>
                <w:bCs/>
                <w:noProof w:val="0"/>
                <w:lang w:bidi="ar-SA"/>
              </w:rPr>
              <w:t>1),</w:t>
            </w:r>
          </w:p>
          <w:p w:rsidR="002C2D60" w:rsidRPr="00AF4885" w:rsidP="00AF4885" w14:paraId="326B9092" w14:textId="63FE1056">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sjednocení podmínek způsobu plnění povinností výrobců Li-baterií a akumulátorů (KS vs. individuální plnění), omezení rizika free-ridingu (bod </w:t>
            </w:r>
            <w:r w:rsidR="008D7E8F">
              <w:rPr>
                <w:rFonts w:eastAsia="MS Mincho" w:cs="Arial"/>
                <w:bCs/>
                <w:noProof w:val="0"/>
                <w:lang w:bidi="ar-SA"/>
              </w:rPr>
              <w:t>2</w:t>
            </w:r>
            <w:r w:rsidRPr="00AF4885">
              <w:rPr>
                <w:rFonts w:eastAsia="MS Mincho" w:cs="Arial"/>
                <w:bCs/>
                <w:noProof w:val="0"/>
                <w:lang w:bidi="ar-SA"/>
              </w:rPr>
              <w:t>1)</w:t>
            </w:r>
            <w:r w:rsidR="00151931">
              <w:rPr>
                <w:rFonts w:eastAsia="MS Mincho" w:cs="Arial"/>
                <w:bCs/>
                <w:noProof w:val="0"/>
                <w:lang w:bidi="ar-SA"/>
              </w:rPr>
              <w:t>.</w:t>
            </w:r>
          </w:p>
          <w:p w:rsidR="00BA7CAF" w:rsidRPr="00AF4885" w:rsidP="00AF4885" w14:paraId="033F9348" w14:textId="6250AF60">
            <w:pPr>
              <w:tabs>
                <w:tab w:val="left" w:pos="1037"/>
              </w:tabs>
              <w:spacing w:before="60"/>
              <w:rPr>
                <w:rFonts w:eastAsia="MS Mincho" w:cs="Arial"/>
                <w:b/>
                <w:bCs/>
                <w:noProof w:val="0"/>
                <w:lang w:bidi="ar-SA"/>
              </w:rPr>
            </w:pPr>
            <w:r w:rsidRPr="00AF4885">
              <w:rPr>
                <w:rFonts w:eastAsia="MS Mincho" w:cs="Arial"/>
                <w:b/>
                <w:bCs/>
                <w:noProof w:val="0"/>
                <w:lang w:bidi="ar-SA"/>
              </w:rPr>
              <w:t>V</w:t>
            </w:r>
            <w:r w:rsidRPr="00AF4885" w:rsidR="002C2D60">
              <w:rPr>
                <w:rFonts w:eastAsia="MS Mincho" w:cs="Arial"/>
                <w:b/>
                <w:bCs/>
                <w:noProof w:val="0"/>
                <w:lang w:bidi="ar-SA"/>
              </w:rPr>
              <w:t xml:space="preserve">ýrobci pneumatik </w:t>
            </w:r>
          </w:p>
          <w:p w:rsidR="00151931" w:rsidP="00AF4885" w14:paraId="76E33100" w14:textId="5CB11F43">
            <w:pPr>
              <w:pStyle w:val="ListParagraph"/>
              <w:numPr>
                <w:ilvl w:val="0"/>
                <w:numId w:val="125"/>
              </w:numPr>
              <w:tabs>
                <w:tab w:val="left" w:pos="1037"/>
              </w:tabs>
              <w:spacing w:before="60"/>
              <w:contextualSpacing w:val="0"/>
              <w:rPr>
                <w:rFonts w:eastAsia="MS Mincho" w:cs="Arial"/>
                <w:bCs/>
                <w:noProof w:val="0"/>
                <w:lang w:bidi="ar-SA"/>
              </w:rPr>
            </w:pPr>
            <w:r w:rsidRPr="00C22698">
              <w:rPr>
                <w:rFonts w:eastAsia="MS Mincho" w:cs="Arial"/>
                <w:bCs/>
                <w:noProof w:val="0"/>
                <w:lang w:bidi="ar-SA"/>
              </w:rPr>
              <w:t>narovnání podmínek mezi výrobci plnícími povinnosti individuálně a kolektivně</w:t>
            </w:r>
            <w:r>
              <w:rPr>
                <w:rFonts w:eastAsia="MS Mincho" w:cs="Arial"/>
                <w:bCs/>
                <w:noProof w:val="0"/>
                <w:lang w:bidi="ar-SA"/>
              </w:rPr>
              <w:t xml:space="preserve"> z důvodu </w:t>
            </w:r>
            <w:r w:rsidRPr="00F30ECA">
              <w:rPr>
                <w:rFonts w:eastAsia="MS Mincho" w:cs="Arial"/>
                <w:bCs/>
                <w:noProof w:val="0"/>
                <w:lang w:bidi="ar-SA"/>
              </w:rPr>
              <w:t xml:space="preserve">definování hustoty sběrné sítě odpadních pneumatik </w:t>
            </w:r>
            <w:r>
              <w:rPr>
                <w:rFonts w:eastAsia="MS Mincho" w:cs="Arial"/>
                <w:bCs/>
                <w:noProof w:val="0"/>
                <w:lang w:bidi="ar-SA"/>
              </w:rPr>
              <w:t>(bod 23),</w:t>
            </w:r>
          </w:p>
          <w:p w:rsidR="002C2D60" w:rsidRPr="00AF4885" w:rsidP="00AF4885" w14:paraId="0F515E39" w14:textId="4C76F122">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rozšíření odpovědnosti výrobce – finanční zajištění recyklace pneumatik (bod </w:t>
            </w:r>
            <w:r w:rsidR="00C13C09">
              <w:rPr>
                <w:rFonts w:eastAsia="MS Mincho" w:cs="Arial"/>
                <w:bCs/>
                <w:noProof w:val="0"/>
                <w:lang w:bidi="ar-SA"/>
              </w:rPr>
              <w:t>2</w:t>
            </w:r>
            <w:r w:rsidR="002B5956">
              <w:rPr>
                <w:rFonts w:eastAsia="MS Mincho" w:cs="Arial"/>
                <w:bCs/>
                <w:noProof w:val="0"/>
                <w:lang w:bidi="ar-SA"/>
              </w:rPr>
              <w:t>4</w:t>
            </w:r>
            <w:r w:rsidRPr="00AF4885">
              <w:rPr>
                <w:rFonts w:eastAsia="MS Mincho" w:cs="Arial"/>
                <w:bCs/>
                <w:noProof w:val="0"/>
                <w:lang w:bidi="ar-SA"/>
              </w:rPr>
              <w:t>)</w:t>
            </w:r>
            <w:r w:rsidR="00151931">
              <w:rPr>
                <w:rFonts w:eastAsia="MS Mincho" w:cs="Arial"/>
                <w:bCs/>
                <w:noProof w:val="0"/>
                <w:lang w:bidi="ar-SA"/>
              </w:rPr>
              <w:t>.</w:t>
            </w:r>
          </w:p>
          <w:p w:rsidR="001C52FC" w:rsidRPr="00AF4885" w:rsidP="00AF4885" w14:paraId="5153B727" w14:textId="54A95852">
            <w:pPr>
              <w:spacing w:before="60"/>
              <w:rPr>
                <w:rFonts w:eastAsia="MS Mincho" w:cs="Arial"/>
                <w:b/>
                <w:bCs/>
                <w:noProof w:val="0"/>
                <w:lang w:bidi="ar-SA"/>
              </w:rPr>
            </w:pPr>
            <w:r w:rsidRPr="00AF4885">
              <w:rPr>
                <w:rFonts w:eastAsia="MS Mincho" w:cs="Arial"/>
                <w:b/>
                <w:bCs/>
                <w:noProof w:val="0"/>
                <w:lang w:bidi="ar-SA"/>
              </w:rPr>
              <w:t>Z</w:t>
            </w:r>
            <w:r w:rsidRPr="00AF4885" w:rsidR="002C2D60">
              <w:rPr>
                <w:rFonts w:eastAsia="MS Mincho" w:cs="Arial"/>
                <w:b/>
                <w:bCs/>
                <w:noProof w:val="0"/>
                <w:lang w:bidi="ar-SA"/>
              </w:rPr>
              <w:t xml:space="preserve">pracovatelé pneumatik </w:t>
            </w:r>
          </w:p>
          <w:p w:rsidR="002B5956" w:rsidRPr="00C22698" w:rsidP="00C22698" w14:paraId="047AA030" w14:textId="0A0D8304">
            <w:pPr>
              <w:pStyle w:val="ListParagraph"/>
              <w:numPr>
                <w:ilvl w:val="0"/>
                <w:numId w:val="125"/>
              </w:numPr>
              <w:tabs>
                <w:tab w:val="left" w:pos="1037"/>
              </w:tabs>
              <w:spacing w:before="60"/>
              <w:rPr>
                <w:rFonts w:eastAsia="MS Mincho" w:cs="Arial"/>
                <w:b/>
                <w:bCs/>
                <w:noProof w:val="0"/>
                <w:lang w:bidi="ar-SA"/>
              </w:rPr>
            </w:pPr>
            <w:r w:rsidRPr="00C22698">
              <w:rPr>
                <w:rFonts w:eastAsia="MS Mincho" w:cs="Arial"/>
                <w:bCs/>
                <w:noProof w:val="0"/>
                <w:lang w:bidi="ar-SA"/>
              </w:rPr>
              <w:t xml:space="preserve">stabilní investiční prostředí a další rozvoj recyklačního sektoru pneumatik (finanční podpora vzniku nových kapacit na materiálové využití pneumatik) (bod </w:t>
            </w:r>
            <w:r w:rsidRPr="00C22698" w:rsidR="00C13C09">
              <w:rPr>
                <w:rFonts w:eastAsia="MS Mincho" w:cs="Arial"/>
                <w:bCs/>
                <w:noProof w:val="0"/>
                <w:lang w:bidi="ar-SA"/>
              </w:rPr>
              <w:t>2</w:t>
            </w:r>
            <w:r w:rsidRPr="00C22698">
              <w:rPr>
                <w:rFonts w:eastAsia="MS Mincho" w:cs="Arial"/>
                <w:bCs/>
                <w:noProof w:val="0"/>
                <w:lang w:bidi="ar-SA"/>
              </w:rPr>
              <w:t>4</w:t>
            </w:r>
            <w:r w:rsidRPr="00C22698">
              <w:rPr>
                <w:rFonts w:eastAsia="MS Mincho" w:cs="Arial"/>
                <w:bCs/>
                <w:noProof w:val="0"/>
                <w:lang w:bidi="ar-SA"/>
              </w:rPr>
              <w:t>).</w:t>
            </w:r>
            <w:r w:rsidRPr="00C22698">
              <w:rPr>
                <w:rFonts w:eastAsia="MS Mincho" w:cs="Arial"/>
                <w:b/>
                <w:bCs/>
                <w:noProof w:val="0"/>
                <w:lang w:bidi="ar-SA"/>
              </w:rPr>
              <w:t xml:space="preserve"> </w:t>
            </w:r>
          </w:p>
          <w:p w:rsidR="002B5956" w:rsidP="002B5956" w14:paraId="29C4E8C2" w14:textId="6F60141F">
            <w:pPr>
              <w:tabs>
                <w:tab w:val="left" w:pos="1037"/>
              </w:tabs>
              <w:spacing w:before="60"/>
              <w:rPr>
                <w:rFonts w:eastAsia="MS Mincho" w:cs="Arial"/>
                <w:bCs/>
                <w:noProof w:val="0"/>
                <w:lang w:bidi="ar-SA"/>
              </w:rPr>
            </w:pPr>
            <w:r w:rsidRPr="00AF4885">
              <w:rPr>
                <w:rFonts w:eastAsia="MS Mincho" w:cs="Arial"/>
                <w:b/>
                <w:bCs/>
                <w:noProof w:val="0"/>
                <w:lang w:bidi="ar-SA"/>
              </w:rPr>
              <w:t>Výrobci vozidel</w:t>
            </w:r>
            <w:r w:rsidRPr="00AF4885">
              <w:rPr>
                <w:rFonts w:eastAsia="MS Mincho" w:cs="Arial"/>
                <w:bCs/>
                <w:noProof w:val="0"/>
                <w:lang w:bidi="ar-SA"/>
              </w:rPr>
              <w:t xml:space="preserve"> </w:t>
            </w:r>
          </w:p>
          <w:p w:rsidR="002B5956" w:rsidP="002B5956" w14:paraId="02223452" w14:textId="03EAAFC6">
            <w:pPr>
              <w:pStyle w:val="ListParagraph"/>
              <w:numPr>
                <w:ilvl w:val="0"/>
                <w:numId w:val="125"/>
              </w:numPr>
              <w:tabs>
                <w:tab w:val="left" w:pos="1037"/>
              </w:tabs>
              <w:spacing w:before="60"/>
              <w:contextualSpacing w:val="0"/>
              <w:rPr>
                <w:rFonts w:eastAsia="MS Mincho" w:cs="Arial"/>
                <w:bCs/>
                <w:noProof w:val="0"/>
                <w:lang w:bidi="ar-SA"/>
              </w:rPr>
            </w:pPr>
            <w:r w:rsidRPr="00AF4885">
              <w:rPr>
                <w:rFonts w:eastAsia="MS Mincho" w:cs="Arial"/>
                <w:bCs/>
                <w:noProof w:val="0"/>
                <w:lang w:bidi="ar-SA"/>
              </w:rPr>
              <w:t xml:space="preserve">náklady na zavedení a vybrání poplatku na ZO pneumatik (bod </w:t>
            </w:r>
            <w:r w:rsidR="00C22698">
              <w:rPr>
                <w:rFonts w:eastAsia="MS Mincho" w:cs="Arial"/>
                <w:bCs/>
                <w:noProof w:val="0"/>
                <w:lang w:bidi="ar-SA"/>
              </w:rPr>
              <w:t>22</w:t>
            </w:r>
            <w:r w:rsidRPr="00AF4885">
              <w:rPr>
                <w:rFonts w:eastAsia="MS Mincho" w:cs="Arial"/>
                <w:bCs/>
                <w:noProof w:val="0"/>
                <w:lang w:bidi="ar-SA"/>
              </w:rPr>
              <w:t>),</w:t>
            </w:r>
          </w:p>
          <w:p w:rsidR="002C2D60" w:rsidRPr="00C22698" w:rsidP="00C22698" w14:paraId="3241641B" w14:textId="5D65F9E6">
            <w:pPr>
              <w:pStyle w:val="ListParagraph"/>
              <w:numPr>
                <w:ilvl w:val="0"/>
                <w:numId w:val="125"/>
              </w:numPr>
              <w:tabs>
                <w:tab w:val="left" w:pos="1037"/>
              </w:tabs>
              <w:spacing w:before="60"/>
              <w:contextualSpacing w:val="0"/>
              <w:rPr>
                <w:rFonts w:eastAsia="MS Mincho" w:cs="Arial"/>
                <w:bCs/>
                <w:noProof w:val="0"/>
                <w:lang w:bidi="ar-SA"/>
              </w:rPr>
            </w:pPr>
            <w:r w:rsidRPr="008015F4">
              <w:rPr>
                <w:rFonts w:eastAsia="MS Mincho" w:cs="Arial"/>
                <w:bCs/>
                <w:noProof w:val="0"/>
                <w:lang w:bidi="ar-SA"/>
              </w:rPr>
              <w:t xml:space="preserve">výrobci vozidel či akreditovaní zástupci - snížení AZ zrušením povinnosti odesílat roční zprávu – 304 tis. Kč/rok (bod </w:t>
            </w:r>
            <w:r>
              <w:rPr>
                <w:rFonts w:eastAsia="MS Mincho" w:cs="Arial"/>
                <w:bCs/>
                <w:noProof w:val="0"/>
                <w:lang w:bidi="ar-SA"/>
              </w:rPr>
              <w:t>25</w:t>
            </w:r>
            <w:r w:rsidRPr="008015F4">
              <w:rPr>
                <w:rFonts w:eastAsia="MS Mincho" w:cs="Arial"/>
                <w:bCs/>
                <w:noProof w:val="0"/>
                <w:lang w:bidi="ar-SA"/>
              </w:rPr>
              <w:t>).</w:t>
            </w:r>
          </w:p>
        </w:tc>
      </w:tr>
      <w:tr w14:paraId="51001D06"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4B63DC1D" w14:textId="6247F44B">
            <w:pPr>
              <w:tabs>
                <w:tab w:val="left" w:pos="1037"/>
              </w:tabs>
              <w:spacing w:line="240" w:lineRule="auto"/>
              <w:rPr>
                <w:rFonts w:eastAsia="MS Mincho" w:cs="Arial"/>
                <w:bCs/>
              </w:rPr>
            </w:pPr>
            <w:r>
              <w:rPr>
                <w:rFonts w:eastAsia="MS Mincho" w:cs="Arial"/>
                <w:bCs/>
              </w:rPr>
              <w:t>3.4</w:t>
            </w:r>
            <w:r w:rsidRPr="00C04D5B">
              <w:rPr>
                <w:rFonts w:eastAsia="MS Mincho" w:cs="Arial"/>
                <w:bCs/>
              </w:rPr>
              <w:t xml:space="preserve"> Dopady na územní samosprávné celky (obce, kraje)</w:t>
            </w:r>
            <w:r>
              <w:rPr>
                <w:rFonts w:eastAsia="MS Mincho" w:cs="Arial"/>
                <w:bCs/>
              </w:rPr>
              <w:t>:</w:t>
            </w:r>
            <w:r w:rsidRPr="00C04D5B">
              <w:rPr>
                <w:rFonts w:eastAsia="MS Mincho" w:cs="Arial"/>
                <w:bCs/>
              </w:rPr>
              <w:t xml:space="preserve"> </w:t>
            </w:r>
            <w:r>
              <w:rPr>
                <w:rFonts w:eastAsia="MS Mincho" w:cs="Arial"/>
                <w:bCs/>
                <w:i/>
              </w:rPr>
              <w:t>Ano</w:t>
            </w:r>
          </w:p>
        </w:tc>
      </w:tr>
      <w:tr w14:paraId="4E05D437"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A56F6C" w:rsidP="00AF4885" w14:paraId="7E929E38" w14:textId="2C30C486">
            <w:pPr>
              <w:tabs>
                <w:tab w:val="left" w:pos="1037"/>
              </w:tabs>
              <w:spacing w:after="120"/>
              <w:rPr>
                <w:noProof w:val="0"/>
                <w:color w:val="000000"/>
                <w:lang w:eastAsia="cs-CZ" w:bidi="ar-SA"/>
              </w:rPr>
            </w:pPr>
            <w:r>
              <w:rPr>
                <w:noProof w:val="0"/>
                <w:color w:val="000000"/>
                <w:lang w:eastAsia="cs-CZ" w:bidi="ar-SA"/>
              </w:rPr>
              <w:t>Jednorázová administrativní zátěž k</w:t>
            </w:r>
            <w:r w:rsidRPr="007E32C4">
              <w:rPr>
                <w:noProof w:val="0"/>
                <w:color w:val="000000"/>
                <w:lang w:eastAsia="cs-CZ" w:bidi="ar-SA"/>
              </w:rPr>
              <w:t>raj</w:t>
            </w:r>
            <w:r>
              <w:rPr>
                <w:noProof w:val="0"/>
                <w:color w:val="000000"/>
                <w:lang w:eastAsia="cs-CZ" w:bidi="ar-SA"/>
              </w:rPr>
              <w:t>ských úřadů</w:t>
            </w:r>
            <w:r w:rsidRPr="007E32C4">
              <w:rPr>
                <w:noProof w:val="0"/>
                <w:color w:val="000000"/>
                <w:lang w:eastAsia="cs-CZ" w:bidi="ar-SA"/>
              </w:rPr>
              <w:t xml:space="preserve"> </w:t>
            </w:r>
            <w:r>
              <w:rPr>
                <w:noProof w:val="0"/>
                <w:color w:val="000000"/>
                <w:lang w:eastAsia="cs-CZ" w:bidi="ar-SA"/>
              </w:rPr>
              <w:t>na vydávání</w:t>
            </w:r>
            <w:r w:rsidRPr="007E32C4">
              <w:rPr>
                <w:noProof w:val="0"/>
                <w:color w:val="000000"/>
                <w:lang w:eastAsia="cs-CZ" w:bidi="ar-SA"/>
              </w:rPr>
              <w:t xml:space="preserve"> </w:t>
            </w:r>
            <w:r>
              <w:rPr>
                <w:noProof w:val="0"/>
                <w:color w:val="000000"/>
                <w:lang w:eastAsia="cs-CZ" w:bidi="ar-SA"/>
              </w:rPr>
              <w:t>souhlasů</w:t>
            </w:r>
            <w:r w:rsidRPr="007E32C4">
              <w:rPr>
                <w:noProof w:val="0"/>
                <w:color w:val="000000"/>
                <w:lang w:eastAsia="cs-CZ" w:bidi="ar-SA"/>
              </w:rPr>
              <w:t>/povolení k provozu zařízení</w:t>
            </w:r>
            <w:r>
              <w:rPr>
                <w:noProof w:val="0"/>
                <w:color w:val="000000"/>
                <w:lang w:eastAsia="cs-CZ" w:bidi="ar-SA"/>
              </w:rPr>
              <w:t xml:space="preserve"> (oprávnění sbírat OEEZ) se odhaduje na </w:t>
            </w:r>
            <w:r w:rsidRPr="007E32C4">
              <w:rPr>
                <w:noProof w:val="0"/>
                <w:color w:val="000000"/>
                <w:lang w:eastAsia="cs-CZ" w:bidi="ar-SA"/>
              </w:rPr>
              <w:t>2 500–14 100 Kč</w:t>
            </w:r>
            <w:r>
              <w:rPr>
                <w:noProof w:val="0"/>
                <w:color w:val="000000"/>
                <w:lang w:eastAsia="cs-CZ" w:bidi="ar-SA"/>
              </w:rPr>
              <w:t>/</w:t>
            </w:r>
            <w:r w:rsidRPr="007E32C4">
              <w:rPr>
                <w:noProof w:val="0"/>
                <w:color w:val="000000"/>
                <w:lang w:eastAsia="cs-CZ" w:bidi="ar-SA"/>
              </w:rPr>
              <w:t>rozhodnutí. Předpokládáme však minimální množství žádostí, protože subjekty, které chtějí přebírat a</w:t>
            </w:r>
            <w:r w:rsidR="00DA6DDC">
              <w:rPr>
                <w:noProof w:val="0"/>
                <w:color w:val="000000"/>
                <w:lang w:eastAsia="cs-CZ" w:bidi="ar-SA"/>
              </w:rPr>
              <w:t> </w:t>
            </w:r>
            <w:r w:rsidRPr="007E32C4">
              <w:rPr>
                <w:noProof w:val="0"/>
                <w:color w:val="000000"/>
                <w:lang w:eastAsia="cs-CZ" w:bidi="ar-SA"/>
              </w:rPr>
              <w:t>zpracovávat OEEZ už souhlas/povolení k provozu zařízení obvykle mají</w:t>
            </w:r>
            <w:r w:rsidR="00D44334">
              <w:rPr>
                <w:noProof w:val="0"/>
                <w:color w:val="000000"/>
                <w:lang w:eastAsia="cs-CZ" w:bidi="ar-SA"/>
              </w:rPr>
              <w:t xml:space="preserve"> (bod 1</w:t>
            </w:r>
            <w:r w:rsidR="002B5956">
              <w:rPr>
                <w:noProof w:val="0"/>
                <w:color w:val="000000"/>
                <w:lang w:eastAsia="cs-CZ" w:bidi="ar-SA"/>
              </w:rPr>
              <w:t>6</w:t>
            </w:r>
            <w:r w:rsidR="00D44334">
              <w:rPr>
                <w:noProof w:val="0"/>
                <w:color w:val="000000"/>
                <w:lang w:eastAsia="cs-CZ" w:bidi="ar-SA"/>
              </w:rPr>
              <w:t>)</w:t>
            </w:r>
            <w:r w:rsidRPr="007E32C4">
              <w:rPr>
                <w:noProof w:val="0"/>
                <w:color w:val="000000"/>
                <w:lang w:eastAsia="cs-CZ" w:bidi="ar-SA"/>
              </w:rPr>
              <w:t>.</w:t>
            </w:r>
          </w:p>
          <w:p w:rsidR="00B16F3E" w:rsidRPr="00AF4885" w:rsidP="00DA6DDC" w14:paraId="0C665CE1" w14:textId="401DD374">
            <w:pPr>
              <w:tabs>
                <w:tab w:val="left" w:pos="1037"/>
              </w:tabs>
              <w:spacing w:after="120"/>
              <w:rPr>
                <w:rFonts w:eastAsia="MS Mincho" w:cs="Arial"/>
                <w:bCs/>
                <w:noProof w:val="0"/>
                <w:lang w:bidi="ar-SA"/>
              </w:rPr>
            </w:pPr>
            <w:r>
              <w:rPr>
                <w:rFonts w:eastAsia="MS Mincho" w:cs="Arial"/>
                <w:bCs/>
                <w:noProof w:val="0"/>
                <w:lang w:bidi="ar-SA"/>
              </w:rPr>
              <w:t>S</w:t>
            </w:r>
            <w:r w:rsidRPr="00AF4885" w:rsidR="002C2D60">
              <w:rPr>
                <w:rFonts w:eastAsia="MS Mincho" w:cs="Arial"/>
                <w:bCs/>
                <w:noProof w:val="0"/>
                <w:lang w:bidi="ar-SA"/>
              </w:rPr>
              <w:t xml:space="preserve">nížení nákladů na likvidaci </w:t>
            </w:r>
            <w:r w:rsidRPr="00AF4885">
              <w:rPr>
                <w:rFonts w:eastAsia="MS Mincho" w:cs="Arial"/>
                <w:bCs/>
                <w:noProof w:val="0"/>
                <w:lang w:bidi="ar-SA"/>
              </w:rPr>
              <w:t xml:space="preserve">vybraných výrobků s ukončenou životností </w:t>
            </w:r>
            <w:r w:rsidRPr="00AF4885" w:rsidR="002C2D60">
              <w:rPr>
                <w:rFonts w:eastAsia="MS Mincho" w:cs="Arial"/>
                <w:bCs/>
                <w:noProof w:val="0"/>
                <w:lang w:bidi="ar-SA"/>
              </w:rPr>
              <w:t>odhozených na</w:t>
            </w:r>
            <w:r w:rsidR="00DA6DDC">
              <w:rPr>
                <w:rFonts w:eastAsia="MS Mincho" w:cs="Arial"/>
                <w:bCs/>
                <w:noProof w:val="0"/>
                <w:lang w:bidi="ar-SA"/>
              </w:rPr>
              <w:t> </w:t>
            </w:r>
            <w:r w:rsidRPr="00AF4885" w:rsidR="002C2D60">
              <w:rPr>
                <w:rFonts w:eastAsia="MS Mincho" w:cs="Arial"/>
                <w:bCs/>
                <w:noProof w:val="0"/>
                <w:lang w:bidi="ar-SA"/>
              </w:rPr>
              <w:t>černých skládkách, v</w:t>
            </w:r>
            <w:r w:rsidRPr="00AF4885">
              <w:rPr>
                <w:rFonts w:eastAsia="MS Mincho" w:cs="Arial"/>
                <w:bCs/>
                <w:noProof w:val="0"/>
                <w:lang w:bidi="ar-SA"/>
              </w:rPr>
              <w:t> </w:t>
            </w:r>
            <w:r w:rsidRPr="00AF4885" w:rsidR="002C2D60">
              <w:rPr>
                <w:rFonts w:eastAsia="MS Mincho" w:cs="Arial"/>
                <w:bCs/>
                <w:noProof w:val="0"/>
                <w:lang w:bidi="ar-SA"/>
              </w:rPr>
              <w:t>příkopech</w:t>
            </w:r>
            <w:r w:rsidRPr="00AF4885">
              <w:rPr>
                <w:rFonts w:eastAsia="MS Mincho" w:cs="Arial"/>
                <w:bCs/>
                <w:noProof w:val="0"/>
                <w:lang w:bidi="ar-SA"/>
              </w:rPr>
              <w:t xml:space="preserve"> apod.</w:t>
            </w:r>
            <w:r w:rsidRPr="00AF4885" w:rsidR="002C2D60">
              <w:rPr>
                <w:rFonts w:eastAsia="MS Mincho" w:cs="Arial"/>
                <w:bCs/>
                <w:noProof w:val="0"/>
                <w:lang w:bidi="ar-SA"/>
              </w:rPr>
              <w:t xml:space="preserve"> </w:t>
            </w:r>
            <w:r>
              <w:rPr>
                <w:rFonts w:eastAsia="MS Mincho" w:cs="Arial"/>
                <w:bCs/>
                <w:noProof w:val="0"/>
                <w:lang w:bidi="ar-SA"/>
              </w:rPr>
              <w:t xml:space="preserve">(zejména OEEZ a pneumatiky), </w:t>
            </w:r>
            <w:r w:rsidRPr="00AF4885" w:rsidR="002C2D60">
              <w:rPr>
                <w:rFonts w:eastAsia="MS Mincho" w:cs="Arial"/>
                <w:bCs/>
                <w:noProof w:val="0"/>
                <w:lang w:bidi="ar-SA"/>
              </w:rPr>
              <w:t>hašení hořících skládek pneumatik atd.</w:t>
            </w:r>
            <w:r w:rsidR="00F221FD">
              <w:rPr>
                <w:rFonts w:eastAsia="MS Mincho" w:cs="Arial"/>
                <w:bCs/>
                <w:noProof w:val="0"/>
                <w:lang w:bidi="ar-SA"/>
              </w:rPr>
              <w:t xml:space="preserve"> (</w:t>
            </w:r>
            <w:r w:rsidRPr="000B7CBF" w:rsidR="00F221FD">
              <w:rPr>
                <w:rFonts w:eastAsia="MS Mincho" w:cs="Arial"/>
                <w:bCs/>
                <w:noProof w:val="0"/>
                <w:lang w:bidi="ar-SA"/>
              </w:rPr>
              <w:t>zlepšením informovanosti spotřebitelů</w:t>
            </w:r>
            <w:r w:rsidR="00F221FD">
              <w:rPr>
                <w:rFonts w:eastAsia="MS Mincho" w:cs="Arial"/>
                <w:bCs/>
                <w:noProof w:val="0"/>
                <w:lang w:bidi="ar-SA"/>
              </w:rPr>
              <w:t xml:space="preserve">, </w:t>
            </w:r>
            <w:r w:rsidRPr="000B7CBF" w:rsidR="00F221FD">
              <w:rPr>
                <w:rFonts w:eastAsia="MS Mincho" w:cs="Arial"/>
                <w:bCs/>
                <w:noProof w:val="0"/>
                <w:lang w:bidi="ar-SA"/>
              </w:rPr>
              <w:t>zpřísněním podmínek pro</w:t>
            </w:r>
            <w:r w:rsidR="00DA6DDC">
              <w:rPr>
                <w:rFonts w:eastAsia="MS Mincho" w:cs="Arial"/>
                <w:bCs/>
                <w:noProof w:val="0"/>
                <w:lang w:bidi="ar-SA"/>
              </w:rPr>
              <w:t> </w:t>
            </w:r>
            <w:r w:rsidRPr="000B7CBF" w:rsidR="00F221FD">
              <w:rPr>
                <w:rFonts w:eastAsia="MS Mincho" w:cs="Arial"/>
                <w:bCs/>
                <w:noProof w:val="0"/>
                <w:lang w:bidi="ar-SA"/>
              </w:rPr>
              <w:t>založení KS</w:t>
            </w:r>
            <w:r w:rsidR="00F221FD">
              <w:rPr>
                <w:rFonts w:eastAsia="MS Mincho" w:cs="Arial"/>
                <w:bCs/>
                <w:noProof w:val="0"/>
                <w:lang w:bidi="ar-SA"/>
              </w:rPr>
              <w:t xml:space="preserve">, </w:t>
            </w:r>
            <w:r w:rsidRPr="000B7CBF" w:rsidR="00F221FD">
              <w:rPr>
                <w:rFonts w:eastAsia="MS Mincho" w:cs="Arial"/>
                <w:bCs/>
                <w:noProof w:val="0"/>
                <w:lang w:bidi="ar-SA"/>
              </w:rPr>
              <w:t>k</w:t>
            </w:r>
            <w:r w:rsidR="00F221FD">
              <w:rPr>
                <w:rFonts w:eastAsia="MS Mincho" w:cs="Arial"/>
                <w:bCs/>
                <w:noProof w:val="0"/>
                <w:lang w:bidi="ar-SA"/>
              </w:rPr>
              <w:t>ontrolou</w:t>
            </w:r>
            <w:r w:rsidRPr="000B7CBF" w:rsidR="00F221FD">
              <w:rPr>
                <w:rFonts w:eastAsia="MS Mincho" w:cs="Arial"/>
                <w:bCs/>
                <w:noProof w:val="0"/>
                <w:lang w:bidi="ar-SA"/>
              </w:rPr>
              <w:t xml:space="preserve"> ze</w:t>
            </w:r>
            <w:r w:rsidR="00F221FD">
              <w:rPr>
                <w:rFonts w:eastAsia="MS Mincho" w:cs="Arial"/>
                <w:bCs/>
                <w:noProof w:val="0"/>
                <w:lang w:bidi="ar-SA"/>
              </w:rPr>
              <w:t> </w:t>
            </w:r>
            <w:r w:rsidRPr="000B7CBF" w:rsidR="00F221FD">
              <w:rPr>
                <w:rFonts w:eastAsia="MS Mincho" w:cs="Arial"/>
                <w:bCs/>
                <w:noProof w:val="0"/>
                <w:lang w:bidi="ar-SA"/>
              </w:rPr>
              <w:t>strany ČOI</w:t>
            </w:r>
            <w:r w:rsidR="00F221FD">
              <w:rPr>
                <w:rFonts w:eastAsia="MS Mincho" w:cs="Arial"/>
                <w:bCs/>
                <w:noProof w:val="0"/>
                <w:lang w:bidi="ar-SA"/>
              </w:rPr>
              <w:t>).</w:t>
            </w:r>
          </w:p>
        </w:tc>
      </w:tr>
      <w:tr w14:paraId="5256966E"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50AB2FD3" w14:textId="5C37615E">
            <w:pPr>
              <w:tabs>
                <w:tab w:val="left" w:pos="1037"/>
                <w:tab w:val="left" w:pos="3970"/>
              </w:tabs>
              <w:spacing w:line="240" w:lineRule="auto"/>
              <w:rPr>
                <w:rFonts w:eastAsia="MS Mincho" w:cs="Arial"/>
                <w:bCs/>
              </w:rPr>
            </w:pPr>
            <w:r w:rsidRPr="00C04D5B">
              <w:rPr>
                <w:rFonts w:eastAsia="MS Mincho" w:cs="Arial"/>
                <w:bCs/>
              </w:rPr>
              <w:t>3.</w:t>
            </w:r>
            <w:r>
              <w:rPr>
                <w:rFonts w:eastAsia="MS Mincho" w:cs="Arial"/>
                <w:bCs/>
              </w:rPr>
              <w:t>5</w:t>
            </w:r>
            <w:r w:rsidRPr="00C04D5B">
              <w:rPr>
                <w:rFonts w:eastAsia="MS Mincho" w:cs="Arial"/>
                <w:bCs/>
              </w:rPr>
              <w:t xml:space="preserve"> Sociální dopady: </w:t>
            </w:r>
            <w:r>
              <w:rPr>
                <w:rFonts w:eastAsia="MS Mincho" w:cs="Arial"/>
                <w:bCs/>
                <w:i/>
              </w:rPr>
              <w:t>Ano</w:t>
            </w:r>
          </w:p>
        </w:tc>
      </w:tr>
      <w:tr w14:paraId="4DEE7CD7"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B16F3E" w:rsidP="00AF4885" w14:paraId="5ED5DF90" w14:textId="26D21B69">
            <w:pPr>
              <w:rPr>
                <w:rFonts w:eastAsia="MS Mincho"/>
                <w:lang w:bidi="ar-SA"/>
              </w:rPr>
            </w:pPr>
            <w:r>
              <w:rPr>
                <w:rFonts w:eastAsia="MS Mincho" w:cs="Arial"/>
                <w:bCs/>
                <w:noProof w:val="0"/>
                <w:lang w:bidi="ar-SA"/>
              </w:rPr>
              <w:t>Z</w:t>
            </w:r>
            <w:r w:rsidRPr="00D14E4C">
              <w:rPr>
                <w:rFonts w:eastAsia="MS Mincho" w:cs="Arial"/>
                <w:bCs/>
                <w:noProof w:val="0"/>
                <w:lang w:bidi="ar-SA"/>
              </w:rPr>
              <w:t>jednoduš</w:t>
            </w:r>
            <w:r>
              <w:rPr>
                <w:rFonts w:eastAsia="MS Mincho" w:cs="Arial"/>
                <w:bCs/>
                <w:noProof w:val="0"/>
                <w:lang w:bidi="ar-SA"/>
              </w:rPr>
              <w:t>ení přístupu</w:t>
            </w:r>
            <w:r w:rsidRPr="00D14E4C">
              <w:rPr>
                <w:rFonts w:eastAsia="MS Mincho" w:cs="Arial"/>
                <w:bCs/>
                <w:noProof w:val="0"/>
                <w:lang w:bidi="ar-SA"/>
              </w:rPr>
              <w:t xml:space="preserve"> </w:t>
            </w:r>
            <w:r>
              <w:rPr>
                <w:rFonts w:eastAsia="MS Mincho" w:cs="Arial"/>
                <w:bCs/>
                <w:noProof w:val="0"/>
                <w:lang w:bidi="ar-SA"/>
              </w:rPr>
              <w:t xml:space="preserve">občanů </w:t>
            </w:r>
            <w:r w:rsidRPr="00D14E4C">
              <w:rPr>
                <w:rFonts w:eastAsia="MS Mincho" w:cs="Arial"/>
                <w:bCs/>
                <w:noProof w:val="0"/>
                <w:lang w:bidi="ar-SA"/>
              </w:rPr>
              <w:t xml:space="preserve">k informacím o místech ZO </w:t>
            </w:r>
            <w:r>
              <w:rPr>
                <w:rFonts w:eastAsia="MS Mincho" w:cs="Arial"/>
                <w:bCs/>
                <w:noProof w:val="0"/>
                <w:lang w:bidi="ar-SA"/>
              </w:rPr>
              <w:t xml:space="preserve">a </w:t>
            </w:r>
            <w:r w:rsidRPr="000B7CBF">
              <w:rPr>
                <w:rFonts w:eastAsia="MS Mincho" w:cs="Arial"/>
                <w:bCs/>
                <w:noProof w:val="0"/>
                <w:lang w:bidi="ar-SA"/>
              </w:rPr>
              <w:t>zle</w:t>
            </w:r>
            <w:r>
              <w:rPr>
                <w:rFonts w:eastAsia="MS Mincho" w:cs="Arial"/>
                <w:bCs/>
                <w:noProof w:val="0"/>
                <w:lang w:bidi="ar-SA"/>
              </w:rPr>
              <w:t>pší dostupnost míst ZO vybraných výrobků s ukončenou životností.</w:t>
            </w:r>
          </w:p>
        </w:tc>
      </w:tr>
      <w:tr w14:paraId="7196B670"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D14E4C" w14:paraId="513822AA" w14:textId="65725D6A">
            <w:pPr>
              <w:tabs>
                <w:tab w:val="left" w:pos="1037"/>
              </w:tabs>
              <w:spacing w:line="240" w:lineRule="auto"/>
              <w:rPr>
                <w:rFonts w:eastAsia="MS Mincho" w:cs="Arial"/>
                <w:bCs/>
              </w:rPr>
            </w:pPr>
            <w:r>
              <w:rPr>
                <w:rFonts w:eastAsia="MS Mincho" w:cs="Arial"/>
                <w:bCs/>
              </w:rPr>
              <w:t>3.6 Dopady na spotřebitele</w:t>
            </w:r>
            <w:r w:rsidRPr="00C04D5B">
              <w:rPr>
                <w:rFonts w:eastAsia="MS Mincho" w:cs="Arial"/>
                <w:bCs/>
              </w:rPr>
              <w:t xml:space="preserve">: </w:t>
            </w:r>
            <w:r w:rsidR="00D14E4C">
              <w:rPr>
                <w:rFonts w:eastAsia="MS Mincho" w:cs="Arial"/>
                <w:bCs/>
                <w:i/>
              </w:rPr>
              <w:t>Ano</w:t>
            </w:r>
          </w:p>
        </w:tc>
      </w:tr>
      <w:tr w14:paraId="19E89E1B"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B16F3E" w:rsidP="00B16F3E" w14:paraId="0098A5B2" w14:textId="77777777">
            <w:pPr>
              <w:rPr>
                <w:rFonts w:eastAsia="MS Mincho" w:cs="Arial"/>
                <w:bCs/>
                <w:noProof w:val="0"/>
                <w:lang w:bidi="ar-SA"/>
              </w:rPr>
            </w:pPr>
            <w:r>
              <w:rPr>
                <w:rFonts w:eastAsia="MS Mincho" w:cs="Arial"/>
                <w:bCs/>
                <w:noProof w:val="0"/>
                <w:lang w:bidi="ar-SA"/>
              </w:rPr>
              <w:t>M</w:t>
            </w:r>
            <w:r w:rsidRPr="008077AD">
              <w:rPr>
                <w:rFonts w:eastAsia="MS Mincho" w:cs="Arial"/>
                <w:bCs/>
                <w:noProof w:val="0"/>
                <w:lang w:bidi="ar-SA"/>
              </w:rPr>
              <w:t xml:space="preserve">ožnost mírného zvýšení recyklačního poplatku v důsledku nutnosti vyšších investic </w:t>
            </w:r>
            <w:r w:rsidRPr="0063093E">
              <w:rPr>
                <w:rFonts w:eastAsia="MS Mincho" w:cs="Arial"/>
                <w:bCs/>
                <w:noProof w:val="0"/>
                <w:lang w:bidi="ar-SA"/>
              </w:rPr>
              <w:t xml:space="preserve">KS </w:t>
            </w:r>
            <w:r w:rsidRPr="008077AD">
              <w:rPr>
                <w:rFonts w:eastAsia="MS Mincho" w:cs="Arial"/>
                <w:bCs/>
                <w:noProof w:val="0"/>
                <w:lang w:bidi="ar-SA"/>
              </w:rPr>
              <w:t>do propagace a osvěty.</w:t>
            </w:r>
            <w:r>
              <w:rPr>
                <w:rFonts w:eastAsia="MS Mincho" w:cs="Arial"/>
                <w:bCs/>
                <w:noProof w:val="0"/>
                <w:lang w:bidi="ar-SA"/>
              </w:rPr>
              <w:t xml:space="preserve"> </w:t>
            </w:r>
          </w:p>
          <w:p w:rsidR="00B16F3E" w:rsidRPr="004E4805" w:rsidP="00B16F3E" w14:paraId="59A13C72" w14:textId="7577CA6C">
            <w:pPr>
              <w:rPr>
                <w:rFonts w:eastAsia="MS Mincho" w:cs="Arial"/>
                <w:bCs/>
                <w:noProof w:val="0"/>
                <w:lang w:bidi="ar-SA"/>
              </w:rPr>
            </w:pPr>
            <w:r>
              <w:t>Z</w:t>
            </w:r>
            <w:r w:rsidRPr="00F004DF">
              <w:t>dražení výrobků, které budou v rámci ekomodulace vyhodnoceny jako environmentálně málo šetrné. Oproti tomu ceny environmentálně šetrných výrobků by měly zůstat nedotčeny</w:t>
            </w:r>
            <w:r>
              <w:t>, příp. by mohlo dojít ke snížení cen.</w:t>
            </w:r>
          </w:p>
          <w:p w:rsidR="002C2D60" w:rsidRPr="00AF4885" w:rsidP="00AF4885" w14:paraId="3DE1C8FE" w14:textId="6F769647">
            <w:pPr>
              <w:tabs>
                <w:tab w:val="left" w:pos="1037"/>
              </w:tabs>
              <w:spacing w:after="120"/>
              <w:rPr>
                <w:rFonts w:eastAsia="MS Mincho" w:cs="Arial"/>
                <w:bCs/>
                <w:noProof w:val="0"/>
                <w:lang w:bidi="ar-SA"/>
              </w:rPr>
            </w:pPr>
            <w:r w:rsidRPr="00B16F3E">
              <w:rPr>
                <w:rFonts w:eastAsia="MS Mincho" w:cs="Arial"/>
                <w:bCs/>
                <w:noProof w:val="0"/>
                <w:lang w:bidi="ar-SA"/>
              </w:rPr>
              <w:t xml:space="preserve">Zvýšení ochrany spotřebitele rozšířením kompetencí ČOI </w:t>
            </w:r>
            <w:r w:rsidRPr="00B16F3E">
              <w:rPr>
                <w:rFonts w:cs="Arial"/>
              </w:rPr>
              <w:t>v oblasti kontroly vybraných výrobků a</w:t>
            </w:r>
            <w:r>
              <w:rPr>
                <w:rFonts w:cs="Arial"/>
              </w:rPr>
              <w:t> </w:t>
            </w:r>
            <w:r w:rsidRPr="00B16F3E">
              <w:rPr>
                <w:rFonts w:cs="Arial"/>
              </w:rPr>
              <w:t>zajištění jejich ZO</w:t>
            </w:r>
            <w:r w:rsidRPr="00B16F3E">
              <w:rPr>
                <w:rFonts w:eastAsia="MS Mincho" w:cs="Arial"/>
                <w:bCs/>
                <w:noProof w:val="0"/>
                <w:lang w:bidi="ar-SA"/>
              </w:rPr>
              <w:t>.</w:t>
            </w:r>
          </w:p>
        </w:tc>
      </w:tr>
      <w:tr w14:paraId="61F3DD26"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0C061F85" w14:textId="0C901047">
            <w:pPr>
              <w:tabs>
                <w:tab w:val="left" w:pos="1037"/>
              </w:tabs>
              <w:spacing w:line="240" w:lineRule="auto"/>
              <w:rPr>
                <w:rFonts w:eastAsia="MS Mincho" w:cs="Arial"/>
                <w:bCs/>
              </w:rPr>
            </w:pPr>
            <w:r w:rsidRPr="00C04D5B">
              <w:rPr>
                <w:rFonts w:eastAsia="MS Mincho" w:cs="Arial"/>
                <w:bCs/>
              </w:rPr>
              <w:t>3.</w:t>
            </w:r>
            <w:r>
              <w:rPr>
                <w:rFonts w:eastAsia="MS Mincho" w:cs="Arial"/>
                <w:bCs/>
              </w:rPr>
              <w:t>7</w:t>
            </w:r>
            <w:r w:rsidRPr="00C04D5B">
              <w:rPr>
                <w:rFonts w:eastAsia="MS Mincho" w:cs="Arial"/>
                <w:bCs/>
              </w:rPr>
              <w:t xml:space="preserve"> Dopady na životní prostředí: </w:t>
            </w:r>
            <w:r>
              <w:rPr>
                <w:rFonts w:eastAsia="MS Mincho" w:cs="Arial"/>
                <w:bCs/>
                <w:i/>
              </w:rPr>
              <w:t>Ano</w:t>
            </w:r>
          </w:p>
        </w:tc>
      </w:tr>
      <w:tr w14:paraId="08A3DE6B"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B16F3E" w:rsidP="00B16F3E" w14:paraId="0517FD52" w14:textId="77777777">
            <w:pPr>
              <w:tabs>
                <w:tab w:val="left" w:pos="1037"/>
              </w:tabs>
              <w:spacing w:after="120"/>
              <w:rPr>
                <w:rFonts w:eastAsia="MS Mincho" w:cs="Arial"/>
                <w:bCs/>
                <w:noProof w:val="0"/>
                <w:lang w:bidi="ar-SA"/>
              </w:rPr>
            </w:pPr>
            <w:r>
              <w:rPr>
                <w:rFonts w:eastAsia="MS Mincho" w:cs="Arial"/>
                <w:bCs/>
                <w:noProof w:val="0"/>
                <w:lang w:bidi="ar-SA"/>
              </w:rPr>
              <w:t xml:space="preserve">Navrhovaná právní úprava bude mít pozitivní dopady na životní prostředí v podobě </w:t>
            </w:r>
            <w:r w:rsidRPr="00401AF6">
              <w:rPr>
                <w:rFonts w:eastAsia="MS Mincho" w:cs="Arial"/>
                <w:bCs/>
                <w:noProof w:val="0"/>
                <w:lang w:bidi="ar-SA"/>
              </w:rPr>
              <w:t xml:space="preserve">snížení rizika </w:t>
            </w:r>
            <w:r w:rsidRPr="00730308">
              <w:rPr>
                <w:rFonts w:eastAsia="MS Mincho" w:cs="Arial"/>
                <w:bCs/>
                <w:noProof w:val="0"/>
                <w:lang w:bidi="ar-SA"/>
              </w:rPr>
              <w:t xml:space="preserve">úniku </w:t>
            </w:r>
            <w:r>
              <w:rPr>
                <w:rFonts w:eastAsia="MS Mincho" w:cs="Arial"/>
                <w:bCs/>
                <w:noProof w:val="0"/>
                <w:lang w:bidi="ar-SA"/>
              </w:rPr>
              <w:t>(kontaminace)</w:t>
            </w:r>
            <w:r w:rsidRPr="00730308">
              <w:rPr>
                <w:rFonts w:eastAsia="MS Mincho" w:cs="Arial"/>
                <w:bCs/>
                <w:noProof w:val="0"/>
                <w:lang w:bidi="ar-SA"/>
              </w:rPr>
              <w:t xml:space="preserve"> nebezpečných látek obsažených </w:t>
            </w:r>
            <w:r>
              <w:rPr>
                <w:rFonts w:eastAsia="MS Mincho" w:cs="Arial"/>
                <w:bCs/>
                <w:noProof w:val="0"/>
                <w:lang w:bidi="ar-SA"/>
              </w:rPr>
              <w:t>ve vybraných výrobcích s ukončenou životností do ŽP a</w:t>
            </w:r>
            <w:r w:rsidRPr="00730308">
              <w:rPr>
                <w:rFonts w:eastAsia="MS Mincho" w:cs="Arial"/>
                <w:bCs/>
                <w:noProof w:val="0"/>
                <w:lang w:bidi="ar-SA"/>
              </w:rPr>
              <w:t xml:space="preserve"> zamezení vzniku případné ekologické zátěže</w:t>
            </w:r>
            <w:r>
              <w:rPr>
                <w:rFonts w:eastAsia="MS Mincho" w:cs="Arial"/>
                <w:bCs/>
                <w:noProof w:val="0"/>
                <w:lang w:bidi="ar-SA"/>
              </w:rPr>
              <w:t>. Vhodnou recyklací vybraných výrobků s ukončenou životností dále dojde k</w:t>
            </w:r>
            <w:r w:rsidRPr="00150A0D">
              <w:rPr>
                <w:rFonts w:eastAsia="MS Mincho" w:cs="Arial"/>
                <w:bCs/>
                <w:noProof w:val="0"/>
                <w:lang w:bidi="ar-SA"/>
              </w:rPr>
              <w:t xml:space="preserve"> </w:t>
            </w:r>
            <w:r>
              <w:rPr>
                <w:rFonts w:eastAsia="MS Mincho" w:cs="Arial"/>
                <w:bCs/>
                <w:noProof w:val="0"/>
                <w:lang w:bidi="ar-SA"/>
              </w:rPr>
              <w:t>úspoře materiálů i energií.</w:t>
            </w:r>
          </w:p>
          <w:p w:rsidR="002C2D60" w:rsidRPr="00C04D5B" w:rsidP="00AF4885" w14:paraId="6377DE9B" w14:textId="116585E4">
            <w:pPr>
              <w:rPr>
                <w:rFonts w:eastAsia="MS Mincho" w:cs="Arial"/>
                <w:bCs/>
              </w:rPr>
            </w:pPr>
            <w:r>
              <w:t>Pozitivní dopady na životní prostřdí lze spatřovat také v z</w:t>
            </w:r>
            <w:r w:rsidRPr="00F004DF">
              <w:t>avedení ekomodulace jako zcela nového environmentálně-ekonomického nástroje</w:t>
            </w:r>
            <w:r>
              <w:t>.</w:t>
            </w:r>
            <w:r w:rsidRPr="00F004DF">
              <w:t xml:space="preserve"> Stanovení rozdílné </w:t>
            </w:r>
            <w:r>
              <w:t xml:space="preserve">(vyšší) </w:t>
            </w:r>
            <w:r w:rsidRPr="00F004DF">
              <w:t xml:space="preserve">úrovně příspěvků za sdružené plnění </w:t>
            </w:r>
            <w:r>
              <w:t xml:space="preserve">u </w:t>
            </w:r>
            <w:r w:rsidRPr="00F004DF">
              <w:t xml:space="preserve">výrobků, které budou v rámci ekomodulace vyhodnoceny jako environmentálně málo šetrné povede k motivaci výrobců používat environmentálně šetrnější řešení. </w:t>
            </w:r>
            <w:r>
              <w:t>Očekáváme, že tím d</w:t>
            </w:r>
            <w:r w:rsidRPr="00F004DF">
              <w:t>ojde ke zvýšení recyklace a sníží se skládkování a energetické využití odpadů vznikajících při zpracování zpětně odebraných výrobků.</w:t>
            </w:r>
            <w:r w:rsidRPr="005A730D">
              <w:t xml:space="preserve"> </w:t>
            </w:r>
            <w:r w:rsidRPr="00F004DF">
              <w:t>Pokud budou povinné osoby i nadále uvádět na trh výrobky, které budou ekomodulací znevýhodněny, projeví se toto znevýhodnění do ceny výrobků. Spotřebitel pak bude ekonomicky motivován k volbě environmentálně šetrnějších výrobků, neboť výrobky zatížené ekomodulací budou dražší.</w:t>
            </w:r>
          </w:p>
        </w:tc>
      </w:tr>
      <w:tr w14:paraId="1C49F5CB"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119856E3" w14:textId="7ECE27BC">
            <w:pPr>
              <w:tabs>
                <w:tab w:val="left" w:pos="1037"/>
              </w:tabs>
              <w:spacing w:line="240" w:lineRule="auto"/>
              <w:rPr>
                <w:rFonts w:eastAsia="MS Mincho" w:cs="Arial"/>
                <w:bCs/>
              </w:rPr>
            </w:pPr>
            <w:r>
              <w:rPr>
                <w:rFonts w:eastAsia="MS Mincho" w:cs="Arial"/>
                <w:bCs/>
              </w:rPr>
              <w:t>3.8 Dopady ve vztahu k zákazu diskriminace a ve vztahu k rovnosti žen a mužů</w:t>
            </w:r>
            <w:r w:rsidRPr="00C04D5B">
              <w:rPr>
                <w:rFonts w:eastAsia="MS Mincho" w:cs="Arial"/>
                <w:bCs/>
              </w:rPr>
              <w:t xml:space="preserve">: </w:t>
            </w:r>
            <w:r>
              <w:rPr>
                <w:rFonts w:eastAsia="MS Mincho" w:cs="Arial"/>
                <w:bCs/>
                <w:i/>
              </w:rPr>
              <w:t>Ne</w:t>
            </w:r>
          </w:p>
        </w:tc>
      </w:tr>
      <w:tr w14:paraId="7DBBC050"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C04D5B" w:rsidP="004300FB" w14:paraId="5C67307B" w14:textId="45D75913">
            <w:pPr>
              <w:tabs>
                <w:tab w:val="left" w:pos="1037"/>
              </w:tabs>
              <w:spacing w:line="240" w:lineRule="auto"/>
              <w:rPr>
                <w:rFonts w:eastAsia="MS Mincho" w:cs="Arial"/>
                <w:bCs/>
              </w:rPr>
            </w:pPr>
          </w:p>
        </w:tc>
      </w:tr>
      <w:tr w14:paraId="3C0860DD"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26CDB0E7" w14:textId="7180F874">
            <w:pPr>
              <w:tabs>
                <w:tab w:val="left" w:pos="1037"/>
              </w:tabs>
              <w:spacing w:line="240" w:lineRule="auto"/>
              <w:rPr>
                <w:rFonts w:eastAsia="MS Mincho" w:cs="Arial"/>
                <w:bCs/>
              </w:rPr>
            </w:pPr>
            <w:r>
              <w:rPr>
                <w:rFonts w:eastAsia="MS Mincho" w:cs="Arial"/>
                <w:bCs/>
              </w:rPr>
              <w:t>3.9 Dopady na výkon státní statistické služby</w:t>
            </w:r>
            <w:r w:rsidRPr="00C04D5B">
              <w:rPr>
                <w:rFonts w:eastAsia="MS Mincho" w:cs="Arial"/>
                <w:bCs/>
              </w:rPr>
              <w:t xml:space="preserve">: </w:t>
            </w:r>
            <w:r>
              <w:rPr>
                <w:rFonts w:eastAsia="MS Mincho" w:cs="Arial"/>
                <w:bCs/>
                <w:i/>
              </w:rPr>
              <w:t>Ne</w:t>
            </w:r>
          </w:p>
        </w:tc>
      </w:tr>
      <w:tr w14:paraId="3F783041"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C04D5B" w:rsidP="003D31B5" w14:paraId="2878DB0C" w14:textId="7BC87013">
            <w:pPr>
              <w:tabs>
                <w:tab w:val="left" w:pos="1037"/>
              </w:tabs>
              <w:spacing w:line="240" w:lineRule="auto"/>
              <w:rPr>
                <w:rFonts w:eastAsia="MS Mincho" w:cs="Arial"/>
                <w:bCs/>
              </w:rPr>
            </w:pPr>
          </w:p>
        </w:tc>
      </w:tr>
      <w:tr w14:paraId="2C62AC22"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00DFFFBD" w14:textId="53808582">
            <w:pPr>
              <w:tabs>
                <w:tab w:val="left" w:pos="1037"/>
              </w:tabs>
              <w:spacing w:line="240" w:lineRule="auto"/>
              <w:rPr>
                <w:rFonts w:eastAsia="MS Mincho" w:cs="Arial"/>
                <w:bCs/>
              </w:rPr>
            </w:pPr>
            <w:r>
              <w:rPr>
                <w:rFonts w:eastAsia="MS Mincho" w:cs="Arial"/>
                <w:bCs/>
              </w:rPr>
              <w:t>3.10 Korupční rizika</w:t>
            </w:r>
            <w:r w:rsidRPr="00C04D5B">
              <w:rPr>
                <w:rFonts w:eastAsia="MS Mincho" w:cs="Arial"/>
                <w:bCs/>
              </w:rPr>
              <w:t xml:space="preserve">: </w:t>
            </w:r>
            <w:r>
              <w:rPr>
                <w:rFonts w:eastAsia="MS Mincho" w:cs="Arial"/>
                <w:bCs/>
                <w:i/>
              </w:rPr>
              <w:t>Ne</w:t>
            </w:r>
          </w:p>
        </w:tc>
      </w:tr>
      <w:tr w14:paraId="2147C77C"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C04D5B" w:rsidP="00AF4885" w14:paraId="60727037" w14:textId="048EA8C4">
            <w:pPr>
              <w:rPr>
                <w:rFonts w:eastAsia="MS Mincho" w:cs="Arial"/>
                <w:bCs/>
              </w:rPr>
            </w:pPr>
            <w:r w:rsidRPr="00F004DF">
              <w:t xml:space="preserve">Určité riziko lze spatřovat v důsledku zavedení ekomodulace jako zcela nového environmentálně-ekonomického nástroje. Zde lze předpokládat existenci určitého rizika ovlivňování </w:t>
            </w:r>
            <w:r>
              <w:t>KS</w:t>
            </w:r>
            <w:r w:rsidRPr="00F004DF">
              <w:t xml:space="preserve"> při určování skupin výrobků, které mají být v rámci ekomodulace zvýhodňovány či naopak nezvýhodňovány, a</w:t>
            </w:r>
            <w:r w:rsidR="00D44334">
              <w:t> </w:t>
            </w:r>
            <w:r w:rsidRPr="00F004DF">
              <w:t>to v rámci sazebníků příspěvků za</w:t>
            </w:r>
            <w:r>
              <w:t> </w:t>
            </w:r>
            <w:r w:rsidRPr="00F004DF">
              <w:t xml:space="preserve">služby kolektivního plnění. Evropská komise by měla k této problematice teprve v budoucnu vydat informační materiály, jakým způsobem by měla být ekomodulace v praxi realizována. Vhledem k tomu, že směrnice o odpadech stanovuje ekomodulaci jako povinnost pro výrobce, resp. systémy rozšířené odpovědnosti výrobců, nejsou tato potenciální korupční rizika na straně státní správy, ale na straně </w:t>
            </w:r>
            <w:r>
              <w:t>KS</w:t>
            </w:r>
            <w:r w:rsidRPr="00F004DF">
              <w:t>. Ministerstvo by v této souvislosti mělo být v</w:t>
            </w:r>
            <w:r>
              <w:t> </w:t>
            </w:r>
            <w:r w:rsidRPr="00F004DF">
              <w:t xml:space="preserve">pozici dozorového orgánu, a to s ohledem na kompetenci kontrolovat činnost </w:t>
            </w:r>
            <w:r>
              <w:t>KS</w:t>
            </w:r>
            <w:r w:rsidRPr="00F004DF">
              <w:t>.</w:t>
            </w:r>
          </w:p>
        </w:tc>
      </w:tr>
      <w:tr w14:paraId="35290E2F"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c>
          <w:tcPr>
            <w:tcW w:w="9057" w:type="dxa"/>
            <w:gridSpan w:val="2"/>
            <w:tcBorders>
              <w:top w:val="single" w:sz="4" w:space="0" w:color="auto"/>
              <w:left w:val="single" w:sz="12" w:space="0" w:color="auto"/>
              <w:bottom w:val="single" w:sz="12" w:space="0" w:color="auto"/>
              <w:right w:val="single" w:sz="12" w:space="0" w:color="auto"/>
            </w:tcBorders>
            <w:shd w:val="clear" w:color="auto" w:fill="99CCFF"/>
          </w:tcPr>
          <w:p w:rsidR="002C2D60" w:rsidRPr="00C04D5B" w:rsidP="002C2D60" w14:paraId="59BCA594" w14:textId="3B96BA9C">
            <w:pPr>
              <w:tabs>
                <w:tab w:val="left" w:pos="1037"/>
              </w:tabs>
              <w:spacing w:line="240" w:lineRule="auto"/>
              <w:rPr>
                <w:rFonts w:eastAsia="MS Mincho" w:cs="Arial"/>
                <w:bCs/>
              </w:rPr>
            </w:pPr>
            <w:r>
              <w:rPr>
                <w:rFonts w:eastAsia="MS Mincho" w:cs="Arial"/>
                <w:bCs/>
              </w:rPr>
              <w:t>3.11 Dopady na bezpečnost nebo obranu státu</w:t>
            </w:r>
            <w:r w:rsidRPr="00C04D5B">
              <w:rPr>
                <w:rFonts w:eastAsia="MS Mincho" w:cs="Arial"/>
                <w:bCs/>
              </w:rPr>
              <w:t xml:space="preserve">: </w:t>
            </w:r>
            <w:r>
              <w:rPr>
                <w:rFonts w:eastAsia="MS Mincho" w:cs="Arial"/>
                <w:bCs/>
                <w:i/>
              </w:rPr>
              <w:t>Ne</w:t>
            </w:r>
          </w:p>
        </w:tc>
      </w:tr>
      <w:tr w14:paraId="64664E15" w14:textId="77777777" w:rsidTr="000C2C4A">
        <w:tblPrEx>
          <w:tblW w:w="9057" w:type="dxa"/>
          <w:tblBorders>
            <w:top w:val="single" w:sz="4" w:space="0" w:color="auto"/>
            <w:left w:val="single" w:sz="4" w:space="0" w:color="auto"/>
            <w:bottom w:val="single" w:sz="4" w:space="0" w:color="auto"/>
            <w:right w:val="single" w:sz="4" w:space="0" w:color="auto"/>
          </w:tblBorders>
          <w:tblLayout w:type="fixed"/>
          <w:tblLook w:val="00A0"/>
        </w:tblPrEx>
        <w:trPr>
          <w:trHeight w:val="281"/>
        </w:trPr>
        <w:tc>
          <w:tcPr>
            <w:tcW w:w="9057" w:type="dxa"/>
            <w:gridSpan w:val="2"/>
            <w:tcBorders>
              <w:top w:val="single" w:sz="4" w:space="0" w:color="auto"/>
              <w:left w:val="single" w:sz="12" w:space="0" w:color="auto"/>
              <w:bottom w:val="single" w:sz="12" w:space="0" w:color="auto"/>
              <w:right w:val="single" w:sz="12" w:space="0" w:color="auto"/>
            </w:tcBorders>
            <w:shd w:val="clear" w:color="auto" w:fill="auto"/>
          </w:tcPr>
          <w:p w:rsidR="002C2D60" w:rsidRPr="00C04D5B" w:rsidP="004300FB" w14:paraId="0311FEBD" w14:textId="2F89BB04">
            <w:pPr>
              <w:tabs>
                <w:tab w:val="left" w:pos="1037"/>
              </w:tabs>
              <w:spacing w:line="240" w:lineRule="auto"/>
              <w:rPr>
                <w:rFonts w:eastAsia="MS Mincho" w:cs="Arial"/>
                <w:bCs/>
              </w:rPr>
            </w:pPr>
          </w:p>
        </w:tc>
      </w:tr>
    </w:tbl>
    <w:p w:rsidR="00A56F6C" w14:paraId="42A0AD01" w14:textId="32808C79"/>
    <w:p w:rsidR="00A56F6C" w14:paraId="0899CB83" w14:textId="77777777">
      <w:r>
        <w:br w:type="page"/>
      </w:r>
    </w:p>
    <w:p w:rsidR="005A744C" w:rsidRPr="009A7E46" w:rsidP="008015F4" w14:paraId="3B4C4B59" w14:textId="77777777">
      <w:pPr>
        <w:pStyle w:val="TOC1"/>
        <w:rPr>
          <w:sz w:val="24"/>
          <w:szCs w:val="24"/>
          <w:lang w:eastAsia="cs-CZ"/>
        </w:rPr>
      </w:pPr>
      <w:r w:rsidRPr="009A7E46">
        <w:rPr>
          <w:sz w:val="24"/>
          <w:szCs w:val="24"/>
          <w:lang w:eastAsia="cs-CZ"/>
        </w:rPr>
        <w:t>Obsah</w:t>
      </w:r>
      <w:r w:rsidRPr="009A7E46" w:rsidR="00737B4A">
        <w:rPr>
          <w:sz w:val="24"/>
          <w:szCs w:val="24"/>
          <w:lang w:eastAsia="cs-CZ"/>
        </w:rPr>
        <w:t xml:space="preserve"> závěrečné zprávy </w:t>
      </w:r>
      <w:r w:rsidRPr="009A7E46" w:rsidR="001C3F74">
        <w:rPr>
          <w:sz w:val="24"/>
          <w:szCs w:val="24"/>
          <w:lang w:eastAsia="cs-CZ"/>
        </w:rPr>
        <w:t xml:space="preserve">Z </w:t>
      </w:r>
      <w:r w:rsidRPr="009A7E46" w:rsidR="00737B4A">
        <w:rPr>
          <w:sz w:val="24"/>
          <w:szCs w:val="24"/>
          <w:lang w:eastAsia="cs-CZ"/>
        </w:rPr>
        <w:t>hodnocení dopadů regulace</w:t>
      </w:r>
    </w:p>
    <w:p w14:paraId="1802F5F4" w14:textId="77777777">
      <w:pPr>
        <w:pStyle w:val="TOC1"/>
        <w:rPr>
          <w:rFonts w:asciiTheme="minorHAnsi" w:hAnsiTheme="minorHAnsi"/>
          <w:noProof/>
          <w:sz w:val="22"/>
        </w:rPr>
      </w:pPr>
      <w:r w:rsidRPr="00962E44">
        <w:rPr>
          <w:rFonts w:ascii="Times New Roman" w:hAnsi="Times New Roman"/>
          <w:lang w:eastAsia="cs-CZ"/>
        </w:rPr>
        <w:fldChar w:fldCharType="begin"/>
      </w:r>
      <w:r w:rsidRPr="00962E44" w:rsidR="005A744C">
        <w:rPr>
          <w:rFonts w:ascii="Times New Roman" w:hAnsi="Times New Roman"/>
          <w:lang w:eastAsia="cs-CZ"/>
        </w:rPr>
        <w:instrText xml:space="preserve"> TOC \o "1-1" \h \z \u </w:instrText>
      </w:r>
      <w:r w:rsidRPr="00962E44">
        <w:rPr>
          <w:rFonts w:ascii="Times New Roman" w:hAnsi="Times New Roman"/>
          <w:lang w:eastAsia="cs-CZ"/>
        </w:rPr>
        <w:fldChar w:fldCharType="separate"/>
      </w:r>
      <w:hyperlink w:anchor="_Toc256000000" w:history="1">
        <w:r w:rsidRPr="00155C04">
          <w:rPr>
            <w:rStyle w:val="Hyperlink"/>
            <w:rFonts w:cs="Arial"/>
          </w:rPr>
          <w:t>SHRNUTÍ ZÁVĚREČNÉ ZPRÁVY RIA</w:t>
        </w:r>
        <w:r>
          <w:tab/>
        </w:r>
        <w:r>
          <w:fldChar w:fldCharType="begin"/>
        </w:r>
        <w:r>
          <w:instrText xml:space="preserve"> PAGEREF _Toc256000000 \h </w:instrText>
        </w:r>
        <w:r>
          <w:fldChar w:fldCharType="separate"/>
        </w:r>
        <w:r>
          <w:t>- 1 -</w:t>
        </w:r>
        <w:r>
          <w:fldChar w:fldCharType="end"/>
        </w:r>
      </w:hyperlink>
    </w:p>
    <w:p>
      <w:pPr>
        <w:pStyle w:val="TOC1"/>
        <w:rPr>
          <w:rFonts w:asciiTheme="minorHAnsi" w:hAnsiTheme="minorHAnsi"/>
          <w:noProof/>
          <w:sz w:val="22"/>
        </w:rPr>
      </w:pPr>
      <w:hyperlink w:anchor="_Toc256000001" w:history="1">
        <w:r>
          <w:rPr>
            <w:rStyle w:val="Hyperlink"/>
          </w:rPr>
          <w:t xml:space="preserve">I. </w:t>
        </w:r>
        <w:r w:rsidRPr="0046292D" w:rsidR="0046292D">
          <w:rPr>
            <w:rStyle w:val="Hyperlink"/>
          </w:rPr>
          <w:t>Odpovědnost výrobce</w:t>
        </w:r>
        <w:r w:rsidR="0046292D">
          <w:rPr>
            <w:rStyle w:val="Hyperlink"/>
          </w:rPr>
          <w:t xml:space="preserve"> za výrobky s ukončenou životností</w:t>
        </w:r>
        <w:r>
          <w:tab/>
        </w:r>
        <w:r>
          <w:fldChar w:fldCharType="begin"/>
        </w:r>
        <w:r>
          <w:instrText xml:space="preserve"> PAGEREF _Toc256000001 \h </w:instrText>
        </w:r>
        <w:r>
          <w:fldChar w:fldCharType="separate"/>
        </w:r>
        <w:r>
          <w:t>- 8 -</w:t>
        </w:r>
        <w:r>
          <w:fldChar w:fldCharType="end"/>
        </w:r>
      </w:hyperlink>
    </w:p>
    <w:p>
      <w:pPr>
        <w:pStyle w:val="TOC1"/>
        <w:rPr>
          <w:rFonts w:asciiTheme="minorHAnsi" w:hAnsiTheme="minorHAnsi"/>
          <w:noProof/>
          <w:sz w:val="22"/>
        </w:rPr>
      </w:pPr>
      <w:hyperlink w:anchor="_Toc256000002" w:history="1">
        <w:r>
          <w:rPr>
            <w:rStyle w:val="Hyperlink"/>
          </w:rPr>
          <w:t>1</w:t>
        </w:r>
        <w:r>
          <w:rPr>
            <w:rFonts w:asciiTheme="minorHAnsi" w:hAnsiTheme="minorHAnsi"/>
            <w:noProof/>
            <w:sz w:val="22"/>
          </w:rPr>
          <w:tab/>
        </w:r>
        <w:r w:rsidRPr="00ED38E9">
          <w:rPr>
            <w:rStyle w:val="Hyperlink"/>
          </w:rPr>
          <w:t xml:space="preserve">Zjednodušený </w:t>
        </w:r>
        <w:r w:rsidRPr="006A3043">
          <w:rPr>
            <w:rStyle w:val="Hyperlink"/>
          </w:rPr>
          <w:t>odpadový</w:t>
        </w:r>
        <w:r w:rsidRPr="00ED38E9">
          <w:rPr>
            <w:rStyle w:val="Hyperlink"/>
          </w:rPr>
          <w:t xml:space="preserve"> režim</w:t>
        </w:r>
        <w:r w:rsidR="00A37B0C">
          <w:rPr>
            <w:rStyle w:val="Hyperlink"/>
          </w:rPr>
          <w:t xml:space="preserve"> (§ 9)</w:t>
        </w:r>
        <w:r>
          <w:tab/>
        </w:r>
        <w:r>
          <w:fldChar w:fldCharType="begin"/>
        </w:r>
        <w:r>
          <w:instrText xml:space="preserve"> PAGEREF _Toc256000002 \h </w:instrText>
        </w:r>
        <w:r>
          <w:fldChar w:fldCharType="separate"/>
        </w:r>
        <w:r>
          <w:t>- 8 -</w:t>
        </w:r>
        <w:r>
          <w:fldChar w:fldCharType="end"/>
        </w:r>
      </w:hyperlink>
    </w:p>
    <w:p>
      <w:pPr>
        <w:pStyle w:val="TOC1"/>
        <w:rPr>
          <w:rFonts w:asciiTheme="minorHAnsi" w:hAnsiTheme="minorHAnsi"/>
          <w:noProof/>
          <w:sz w:val="22"/>
        </w:rPr>
      </w:pPr>
      <w:hyperlink w:anchor="_Toc256000003" w:history="1">
        <w:r>
          <w:rPr>
            <w:rStyle w:val="Hyperlink"/>
          </w:rPr>
          <w:t>2</w:t>
        </w:r>
        <w:r>
          <w:rPr>
            <w:rFonts w:asciiTheme="minorHAnsi" w:hAnsiTheme="minorHAnsi"/>
            <w:noProof/>
            <w:sz w:val="22"/>
          </w:rPr>
          <w:tab/>
        </w:r>
        <w:r w:rsidRPr="00352D5E">
          <w:rPr>
            <w:rStyle w:val="Hyperlink"/>
          </w:rPr>
          <w:t xml:space="preserve">Informování konečného uživatele </w:t>
        </w:r>
        <w:r w:rsidRPr="00F97AF3">
          <w:rPr>
            <w:rStyle w:val="Hyperlink"/>
          </w:rPr>
          <w:t>a osvětová činnost</w:t>
        </w:r>
        <w:r>
          <w:rPr>
            <w:rStyle w:val="Hyperlink"/>
          </w:rPr>
          <w:t xml:space="preserve"> (§ 12)</w:t>
        </w:r>
        <w:r>
          <w:tab/>
        </w:r>
        <w:r>
          <w:fldChar w:fldCharType="begin"/>
        </w:r>
        <w:r>
          <w:instrText xml:space="preserve"> PAGEREF _Toc256000003 \h </w:instrText>
        </w:r>
        <w:r>
          <w:fldChar w:fldCharType="separate"/>
        </w:r>
        <w:r>
          <w:t>- 15 -</w:t>
        </w:r>
        <w:r>
          <w:fldChar w:fldCharType="end"/>
        </w:r>
      </w:hyperlink>
    </w:p>
    <w:p>
      <w:pPr>
        <w:pStyle w:val="TOC1"/>
        <w:rPr>
          <w:rFonts w:asciiTheme="minorHAnsi" w:hAnsiTheme="minorHAnsi"/>
          <w:noProof/>
          <w:sz w:val="22"/>
        </w:rPr>
      </w:pPr>
      <w:hyperlink w:anchor="_Toc256000004" w:history="1">
        <w:r>
          <w:rPr>
            <w:rStyle w:val="Hyperlink"/>
          </w:rPr>
          <w:t>3</w:t>
        </w:r>
        <w:r>
          <w:rPr>
            <w:rFonts w:asciiTheme="minorHAnsi" w:hAnsiTheme="minorHAnsi"/>
            <w:noProof/>
            <w:sz w:val="22"/>
          </w:rPr>
          <w:tab/>
        </w:r>
        <w:r w:rsidRPr="00ED38E9">
          <w:rPr>
            <w:rStyle w:val="Hyperlink"/>
          </w:rPr>
          <w:t>Registr míst zpětného odběru</w:t>
        </w:r>
        <w:r w:rsidR="00C3407C">
          <w:rPr>
            <w:rStyle w:val="Hyperlink"/>
          </w:rPr>
          <w:t xml:space="preserve"> (§ 14 a § 18</w:t>
        </w:r>
        <w:r w:rsidR="00FE5334">
          <w:rPr>
            <w:rStyle w:val="Hyperlink"/>
          </w:rPr>
          <w:t>)</w:t>
        </w:r>
        <w:r>
          <w:tab/>
        </w:r>
        <w:r>
          <w:fldChar w:fldCharType="begin"/>
        </w:r>
        <w:r>
          <w:instrText xml:space="preserve"> PAGEREF _Toc256000004 \h </w:instrText>
        </w:r>
        <w:r>
          <w:fldChar w:fldCharType="separate"/>
        </w:r>
        <w:r>
          <w:t>- 21 -</w:t>
        </w:r>
        <w:r>
          <w:fldChar w:fldCharType="end"/>
        </w:r>
      </w:hyperlink>
    </w:p>
    <w:p>
      <w:pPr>
        <w:pStyle w:val="TOC1"/>
        <w:rPr>
          <w:rFonts w:asciiTheme="minorHAnsi" w:hAnsiTheme="minorHAnsi"/>
          <w:noProof/>
          <w:sz w:val="22"/>
        </w:rPr>
      </w:pPr>
      <w:hyperlink w:anchor="_Toc256000005" w:history="1">
        <w:r>
          <w:rPr>
            <w:rStyle w:val="Hyperlink"/>
          </w:rPr>
          <w:t>4</w:t>
        </w:r>
        <w:r>
          <w:rPr>
            <w:rFonts w:asciiTheme="minorHAnsi" w:hAnsiTheme="minorHAnsi"/>
            <w:noProof/>
            <w:sz w:val="22"/>
          </w:rPr>
          <w:tab/>
        </w:r>
        <w:r w:rsidRPr="00ED38E9">
          <w:rPr>
            <w:rStyle w:val="Hyperlink"/>
          </w:rPr>
          <w:t xml:space="preserve">Oprávnění k provozování </w:t>
        </w:r>
        <w:r w:rsidRPr="00ED38E9" w:rsidR="00DA1276">
          <w:rPr>
            <w:rStyle w:val="Hyperlink"/>
          </w:rPr>
          <w:t>kolektivního systému</w:t>
        </w:r>
        <w:r w:rsidR="0004161E">
          <w:rPr>
            <w:rStyle w:val="Hyperlink"/>
          </w:rPr>
          <w:t xml:space="preserve"> (§ 36)</w:t>
        </w:r>
        <w:r>
          <w:tab/>
        </w:r>
        <w:r>
          <w:fldChar w:fldCharType="begin"/>
        </w:r>
        <w:r>
          <w:instrText xml:space="preserve"> PAGEREF _Toc256000005 \h </w:instrText>
        </w:r>
        <w:r>
          <w:fldChar w:fldCharType="separate"/>
        </w:r>
        <w:r>
          <w:t>- 25 -</w:t>
        </w:r>
        <w:r>
          <w:fldChar w:fldCharType="end"/>
        </w:r>
      </w:hyperlink>
    </w:p>
    <w:p>
      <w:pPr>
        <w:pStyle w:val="TOC1"/>
        <w:rPr>
          <w:rFonts w:asciiTheme="minorHAnsi" w:hAnsiTheme="minorHAnsi"/>
          <w:noProof/>
          <w:sz w:val="22"/>
        </w:rPr>
      </w:pPr>
      <w:hyperlink w:anchor="_Toc256000006" w:history="1">
        <w:r>
          <w:rPr>
            <w:rStyle w:val="Hyperlink"/>
          </w:rPr>
          <w:t>5</w:t>
        </w:r>
        <w:r>
          <w:rPr>
            <w:rFonts w:asciiTheme="minorHAnsi" w:hAnsiTheme="minorHAnsi"/>
            <w:noProof/>
            <w:sz w:val="22"/>
          </w:rPr>
          <w:tab/>
        </w:r>
        <w:r w:rsidRPr="00ED38E9">
          <w:rPr>
            <w:rStyle w:val="Hyperlink"/>
          </w:rPr>
          <w:t xml:space="preserve">Právní forma </w:t>
        </w:r>
        <w:r>
          <w:rPr>
            <w:rStyle w:val="Hyperlink"/>
          </w:rPr>
          <w:t>kolektivního systému</w:t>
        </w:r>
        <w:r>
          <w:rPr>
            <w:rStyle w:val="Hyperlink"/>
          </w:rPr>
          <w:t xml:space="preserve"> (§ 36 odst. 2)</w:t>
        </w:r>
        <w:r>
          <w:tab/>
        </w:r>
        <w:r>
          <w:fldChar w:fldCharType="begin"/>
        </w:r>
        <w:r>
          <w:instrText xml:space="preserve"> PAGEREF _Toc256000006 \h </w:instrText>
        </w:r>
        <w:r>
          <w:fldChar w:fldCharType="separate"/>
        </w:r>
        <w:r>
          <w:t>- 35 -</w:t>
        </w:r>
        <w:r>
          <w:fldChar w:fldCharType="end"/>
        </w:r>
      </w:hyperlink>
    </w:p>
    <w:p>
      <w:pPr>
        <w:pStyle w:val="TOC1"/>
        <w:rPr>
          <w:rFonts w:asciiTheme="minorHAnsi" w:hAnsiTheme="minorHAnsi"/>
          <w:noProof/>
          <w:sz w:val="22"/>
        </w:rPr>
      </w:pPr>
      <w:hyperlink w:anchor="_Toc256000007" w:history="1">
        <w:r>
          <w:rPr>
            <w:rStyle w:val="Hyperlink"/>
          </w:rPr>
          <w:t>6</w:t>
        </w:r>
        <w:r>
          <w:rPr>
            <w:rFonts w:asciiTheme="minorHAnsi" w:hAnsiTheme="minorHAnsi"/>
            <w:noProof/>
            <w:sz w:val="22"/>
          </w:rPr>
          <w:tab/>
        </w:r>
        <w:r w:rsidRPr="00ED38E9">
          <w:rPr>
            <w:rStyle w:val="Hyperlink"/>
          </w:rPr>
          <w:t>Prokázání dostatečných záruk o schopnosti dlouhodobého financování projektu při žádosti o udělení oprávnění</w:t>
        </w:r>
        <w:r>
          <w:rPr>
            <w:rStyle w:val="Hyperlink"/>
          </w:rPr>
          <w:t xml:space="preserve"> k provozování KS</w:t>
        </w:r>
        <w:r>
          <w:rPr>
            <w:rStyle w:val="Hyperlink"/>
          </w:rPr>
          <w:t xml:space="preserve"> (36 odst. 2 písm. </w:t>
        </w:r>
        <w:r w:rsidR="000F533C">
          <w:rPr>
            <w:rStyle w:val="Hyperlink"/>
          </w:rPr>
          <w:t>j</w:t>
        </w:r>
        <w:r>
          <w:rPr>
            <w:rStyle w:val="Hyperlink"/>
          </w:rPr>
          <w:t>)</w:t>
        </w:r>
        <w:r>
          <w:tab/>
        </w:r>
        <w:r>
          <w:fldChar w:fldCharType="begin"/>
        </w:r>
        <w:r>
          <w:instrText xml:space="preserve"> PAGEREF _Toc256000007 \h </w:instrText>
        </w:r>
        <w:r>
          <w:fldChar w:fldCharType="separate"/>
        </w:r>
        <w:r>
          <w:t>- 38 -</w:t>
        </w:r>
        <w:r>
          <w:fldChar w:fldCharType="end"/>
        </w:r>
      </w:hyperlink>
    </w:p>
    <w:p>
      <w:pPr>
        <w:pStyle w:val="TOC1"/>
        <w:rPr>
          <w:rFonts w:asciiTheme="minorHAnsi" w:hAnsiTheme="minorHAnsi"/>
          <w:noProof/>
          <w:sz w:val="22"/>
        </w:rPr>
      </w:pPr>
      <w:hyperlink w:anchor="_Toc256000008" w:history="1">
        <w:r>
          <w:rPr>
            <w:rStyle w:val="Hyperlink"/>
          </w:rPr>
          <w:t>7</w:t>
        </w:r>
        <w:r>
          <w:rPr>
            <w:rFonts w:asciiTheme="minorHAnsi" w:hAnsiTheme="minorHAnsi"/>
            <w:noProof/>
            <w:sz w:val="22"/>
          </w:rPr>
          <w:tab/>
        </w:r>
        <w:r>
          <w:rPr>
            <w:rStyle w:val="Hyperlink"/>
          </w:rPr>
          <w:t xml:space="preserve">Zapojení </w:t>
        </w:r>
        <w:r w:rsidRPr="00ED38E9">
          <w:rPr>
            <w:rStyle w:val="Hyperlink"/>
          </w:rPr>
          <w:t>Ministerstv</w:t>
        </w:r>
        <w:r>
          <w:rPr>
            <w:rStyle w:val="Hyperlink"/>
          </w:rPr>
          <w:t>a</w:t>
        </w:r>
        <w:r w:rsidRPr="00ED38E9">
          <w:rPr>
            <w:rStyle w:val="Hyperlink"/>
          </w:rPr>
          <w:t xml:space="preserve"> průmyslu a obchodu </w:t>
        </w:r>
        <w:r>
          <w:rPr>
            <w:rStyle w:val="Hyperlink"/>
          </w:rPr>
          <w:t>do řízení ve věcech oprávnění k provozování KS</w:t>
        </w:r>
        <w:r>
          <w:rPr>
            <w:rStyle w:val="Hyperlink"/>
          </w:rPr>
          <w:t xml:space="preserve"> (§ 39)</w:t>
        </w:r>
        <w:r>
          <w:tab/>
        </w:r>
        <w:r>
          <w:fldChar w:fldCharType="begin"/>
        </w:r>
        <w:r>
          <w:instrText xml:space="preserve"> PAGEREF _Toc256000008 \h </w:instrText>
        </w:r>
        <w:r>
          <w:fldChar w:fldCharType="separate"/>
        </w:r>
        <w:r>
          <w:t>- 40 -</w:t>
        </w:r>
        <w:r>
          <w:fldChar w:fldCharType="end"/>
        </w:r>
      </w:hyperlink>
    </w:p>
    <w:p>
      <w:pPr>
        <w:pStyle w:val="TOC1"/>
        <w:rPr>
          <w:rFonts w:asciiTheme="minorHAnsi" w:hAnsiTheme="minorHAnsi"/>
          <w:noProof/>
          <w:sz w:val="22"/>
        </w:rPr>
      </w:pPr>
      <w:hyperlink w:anchor="_Toc256000009" w:history="1">
        <w:r>
          <w:rPr>
            <w:rStyle w:val="Hyperlink"/>
            <w:rFonts w:cs="Times New Roman"/>
          </w:rPr>
          <w:t>8</w:t>
        </w:r>
        <w:r>
          <w:rPr>
            <w:rFonts w:asciiTheme="minorHAnsi" w:hAnsiTheme="minorHAnsi" w:cs="Times New Roman"/>
            <w:noProof/>
            <w:sz w:val="22"/>
          </w:rPr>
          <w:tab/>
        </w:r>
        <w:r w:rsidRPr="00F004DF">
          <w:rPr>
            <w:rStyle w:val="Hyperlink"/>
            <w:rFonts w:cs="Times New Roman"/>
          </w:rPr>
          <w:t>Povinnost kolektivních systémů provádět tzv. ekomodulaci</w:t>
        </w:r>
        <w:r w:rsidRPr="00F004DF">
          <w:rPr>
            <w:rStyle w:val="Hyperlink"/>
            <w:rFonts w:cs="Times New Roman"/>
          </w:rPr>
          <w:t xml:space="preserve"> (§ 45 odst. 6)</w:t>
        </w:r>
        <w:r>
          <w:tab/>
        </w:r>
        <w:r>
          <w:fldChar w:fldCharType="begin"/>
        </w:r>
        <w:r>
          <w:instrText xml:space="preserve"> PAGEREF _Toc256000009 \h </w:instrText>
        </w:r>
        <w:r>
          <w:fldChar w:fldCharType="separate"/>
        </w:r>
        <w:r>
          <w:t>- 42 -</w:t>
        </w:r>
        <w:r>
          <w:fldChar w:fldCharType="end"/>
        </w:r>
      </w:hyperlink>
    </w:p>
    <w:p>
      <w:pPr>
        <w:pStyle w:val="TOC1"/>
        <w:rPr>
          <w:rFonts w:asciiTheme="minorHAnsi" w:hAnsiTheme="minorHAnsi"/>
          <w:noProof/>
          <w:sz w:val="22"/>
        </w:rPr>
      </w:pPr>
      <w:hyperlink w:anchor="_Toc256000010" w:history="1">
        <w:r>
          <w:rPr>
            <w:rStyle w:val="Hyperlink"/>
          </w:rPr>
          <w:t>9</w:t>
        </w:r>
        <w:r>
          <w:rPr>
            <w:rFonts w:asciiTheme="minorHAnsi" w:hAnsiTheme="minorHAnsi"/>
            <w:noProof/>
            <w:sz w:val="22"/>
          </w:rPr>
          <w:tab/>
        </w:r>
        <w:r>
          <w:rPr>
            <w:rStyle w:val="Hyperlink"/>
          </w:rPr>
          <w:t>Rezerva (§ 49)</w:t>
        </w:r>
        <w:r>
          <w:tab/>
        </w:r>
        <w:r>
          <w:fldChar w:fldCharType="begin"/>
        </w:r>
        <w:r>
          <w:instrText xml:space="preserve"> PAGEREF _Toc256000010 \h </w:instrText>
        </w:r>
        <w:r>
          <w:fldChar w:fldCharType="separate"/>
        </w:r>
        <w:r>
          <w:t>- 47 -</w:t>
        </w:r>
        <w:r>
          <w:fldChar w:fldCharType="end"/>
        </w:r>
      </w:hyperlink>
    </w:p>
    <w:p>
      <w:pPr>
        <w:pStyle w:val="TOC1"/>
        <w:rPr>
          <w:rFonts w:asciiTheme="minorHAnsi" w:hAnsiTheme="minorHAnsi"/>
          <w:noProof/>
          <w:sz w:val="22"/>
        </w:rPr>
      </w:pPr>
      <w:hyperlink w:anchor="_Toc256000011" w:history="1">
        <w:r>
          <w:rPr>
            <w:rStyle w:val="Hyperlink"/>
          </w:rPr>
          <w:t>10</w:t>
        </w:r>
        <w:r>
          <w:rPr>
            <w:rFonts w:asciiTheme="minorHAnsi" w:hAnsiTheme="minorHAnsi"/>
            <w:noProof/>
            <w:sz w:val="22"/>
          </w:rPr>
          <w:tab/>
        </w:r>
        <w:r w:rsidRPr="00ED38E9">
          <w:rPr>
            <w:rStyle w:val="Hyperlink"/>
          </w:rPr>
          <w:t xml:space="preserve">Spolupráce </w:t>
        </w:r>
        <w:r>
          <w:rPr>
            <w:rStyle w:val="Hyperlink"/>
          </w:rPr>
          <w:t>mezi</w:t>
        </w:r>
        <w:r w:rsidRPr="00ED38E9">
          <w:rPr>
            <w:rStyle w:val="Hyperlink"/>
          </w:rPr>
          <w:t xml:space="preserve"> KS</w:t>
        </w:r>
        <w:r>
          <w:rPr>
            <w:rStyle w:val="Hyperlink"/>
          </w:rPr>
          <w:t xml:space="preserve"> (§ 5</w:t>
        </w:r>
        <w:r w:rsidR="00C23A89">
          <w:rPr>
            <w:rStyle w:val="Hyperlink"/>
          </w:rPr>
          <w:t>1</w:t>
        </w:r>
        <w:r>
          <w:rPr>
            <w:rStyle w:val="Hyperlink"/>
          </w:rPr>
          <w:t>)</w:t>
        </w:r>
        <w:r>
          <w:tab/>
        </w:r>
        <w:r>
          <w:fldChar w:fldCharType="begin"/>
        </w:r>
        <w:r>
          <w:instrText xml:space="preserve"> PAGEREF _Toc256000011 \h </w:instrText>
        </w:r>
        <w:r>
          <w:fldChar w:fldCharType="separate"/>
        </w:r>
        <w:r>
          <w:t>- 52 -</w:t>
        </w:r>
        <w:r>
          <w:fldChar w:fldCharType="end"/>
        </w:r>
      </w:hyperlink>
    </w:p>
    <w:p>
      <w:pPr>
        <w:pStyle w:val="TOC1"/>
        <w:rPr>
          <w:rFonts w:asciiTheme="minorHAnsi" w:hAnsiTheme="minorHAnsi"/>
          <w:noProof/>
          <w:sz w:val="22"/>
        </w:rPr>
      </w:pPr>
      <w:hyperlink w:anchor="_Toc256000012" w:history="1">
        <w:r>
          <w:rPr>
            <w:rStyle w:val="Hyperlink"/>
          </w:rPr>
          <w:t>11</w:t>
        </w:r>
        <w:r>
          <w:rPr>
            <w:rFonts w:asciiTheme="minorHAnsi" w:hAnsiTheme="minorHAnsi"/>
            <w:noProof/>
            <w:sz w:val="22"/>
          </w:rPr>
          <w:tab/>
        </w:r>
        <w:r>
          <w:rPr>
            <w:rStyle w:val="Hyperlink"/>
          </w:rPr>
          <w:t xml:space="preserve">Ověřování údajů - </w:t>
        </w:r>
        <w:r w:rsidRPr="00ED38E9" w:rsidR="00DB3E7D">
          <w:rPr>
            <w:rStyle w:val="Hyperlink"/>
          </w:rPr>
          <w:t xml:space="preserve">Povinnost </w:t>
        </w:r>
        <w:r w:rsidR="00DB3E7D">
          <w:rPr>
            <w:rStyle w:val="Hyperlink"/>
          </w:rPr>
          <w:t>provádět audit</w:t>
        </w:r>
        <w:r w:rsidRPr="00ED38E9" w:rsidR="00DB3E7D">
          <w:rPr>
            <w:rStyle w:val="Hyperlink"/>
          </w:rPr>
          <w:t xml:space="preserve"> </w:t>
        </w:r>
        <w:r w:rsidR="00C23A89">
          <w:rPr>
            <w:rStyle w:val="Hyperlink"/>
          </w:rPr>
          <w:t>(§ 55</w:t>
        </w:r>
        <w:r w:rsidR="00DB3E7D">
          <w:rPr>
            <w:rStyle w:val="Hyperlink"/>
          </w:rPr>
          <w:t>)</w:t>
        </w:r>
        <w:r>
          <w:tab/>
        </w:r>
        <w:r>
          <w:fldChar w:fldCharType="begin"/>
        </w:r>
        <w:r>
          <w:instrText xml:space="preserve"> PAGEREF _Toc256000012 \h </w:instrText>
        </w:r>
        <w:r>
          <w:fldChar w:fldCharType="separate"/>
        </w:r>
        <w:r>
          <w:t>- 54 -</w:t>
        </w:r>
        <w:r>
          <w:fldChar w:fldCharType="end"/>
        </w:r>
      </w:hyperlink>
    </w:p>
    <w:p>
      <w:pPr>
        <w:pStyle w:val="TOC1"/>
        <w:rPr>
          <w:rFonts w:asciiTheme="minorHAnsi" w:hAnsiTheme="minorHAnsi"/>
          <w:noProof/>
          <w:sz w:val="22"/>
        </w:rPr>
      </w:pPr>
      <w:hyperlink w:anchor="_Toc256000013" w:history="1">
        <w:r>
          <w:rPr>
            <w:rStyle w:val="Hyperlink"/>
          </w:rPr>
          <w:t>12</w:t>
        </w:r>
        <w:r>
          <w:rPr>
            <w:rFonts w:asciiTheme="minorHAnsi" w:hAnsiTheme="minorHAnsi"/>
            <w:noProof/>
            <w:sz w:val="22"/>
          </w:rPr>
          <w:tab/>
        </w:r>
        <w:r w:rsidRPr="00ED38E9">
          <w:rPr>
            <w:rStyle w:val="Hyperlink"/>
          </w:rPr>
          <w:t>Odebrání oprávnění k provozování KS</w:t>
        </w:r>
        <w:r w:rsidRPr="00ED38E9">
          <w:rPr>
            <w:rStyle w:val="Hyperlink"/>
          </w:rPr>
          <w:t xml:space="preserve"> </w:t>
        </w:r>
        <w:r w:rsidR="00C23A89">
          <w:rPr>
            <w:rStyle w:val="Hyperlink"/>
          </w:rPr>
          <w:t>(§ 57</w:t>
        </w:r>
        <w:r>
          <w:rPr>
            <w:rStyle w:val="Hyperlink"/>
          </w:rPr>
          <w:t>)</w:t>
        </w:r>
        <w:r>
          <w:tab/>
        </w:r>
        <w:r>
          <w:fldChar w:fldCharType="begin"/>
        </w:r>
        <w:r>
          <w:instrText xml:space="preserve"> PAGEREF _Toc256000013 \h </w:instrText>
        </w:r>
        <w:r>
          <w:fldChar w:fldCharType="separate"/>
        </w:r>
        <w:r>
          <w:t>- 57 -</w:t>
        </w:r>
        <w:r>
          <w:fldChar w:fldCharType="end"/>
        </w:r>
      </w:hyperlink>
    </w:p>
    <w:p>
      <w:pPr>
        <w:pStyle w:val="TOC1"/>
        <w:rPr>
          <w:rFonts w:asciiTheme="minorHAnsi" w:hAnsiTheme="minorHAnsi"/>
          <w:noProof/>
          <w:sz w:val="22"/>
        </w:rPr>
      </w:pPr>
      <w:hyperlink w:anchor="_Toc256000014" w:history="1">
        <w:r>
          <w:rPr>
            <w:rStyle w:val="Hyperlink"/>
          </w:rPr>
          <w:t>13</w:t>
        </w:r>
        <w:r>
          <w:rPr>
            <w:rFonts w:asciiTheme="minorHAnsi" w:hAnsiTheme="minorHAnsi"/>
            <w:noProof/>
            <w:sz w:val="22"/>
          </w:rPr>
          <w:tab/>
        </w:r>
        <w:r>
          <w:rPr>
            <w:rStyle w:val="Hyperlink"/>
          </w:rPr>
          <w:t xml:space="preserve">Převod peněžních prostředků při zániku </w:t>
        </w:r>
        <w:r w:rsidR="00963FAF">
          <w:rPr>
            <w:rStyle w:val="Hyperlink"/>
          </w:rPr>
          <w:t xml:space="preserve">oprávnění k provozování KS </w:t>
        </w:r>
        <w:r>
          <w:rPr>
            <w:rStyle w:val="Hyperlink"/>
          </w:rPr>
          <w:t>(§</w:t>
        </w:r>
        <w:r w:rsidR="00963FAF">
          <w:rPr>
            <w:rStyle w:val="Hyperlink"/>
          </w:rPr>
          <w:t> </w:t>
        </w:r>
        <w:r>
          <w:rPr>
            <w:rStyle w:val="Hyperlink"/>
          </w:rPr>
          <w:t>58)</w:t>
        </w:r>
        <w:r>
          <w:tab/>
        </w:r>
        <w:r>
          <w:fldChar w:fldCharType="begin"/>
        </w:r>
        <w:r>
          <w:instrText xml:space="preserve"> PAGEREF _Toc256000014 \h </w:instrText>
        </w:r>
        <w:r>
          <w:fldChar w:fldCharType="separate"/>
        </w:r>
        <w:r>
          <w:t>- 62 -</w:t>
        </w:r>
        <w:r>
          <w:fldChar w:fldCharType="end"/>
        </w:r>
      </w:hyperlink>
    </w:p>
    <w:p>
      <w:pPr>
        <w:pStyle w:val="TOC1"/>
        <w:rPr>
          <w:rFonts w:asciiTheme="minorHAnsi" w:hAnsiTheme="minorHAnsi"/>
          <w:noProof/>
          <w:sz w:val="22"/>
        </w:rPr>
      </w:pPr>
      <w:hyperlink w:anchor="_Toc256000015" w:history="1">
        <w:r>
          <w:rPr>
            <w:rStyle w:val="Hyperlink"/>
          </w:rPr>
          <w:t>14</w:t>
        </w:r>
        <w:r>
          <w:rPr>
            <w:rFonts w:asciiTheme="minorHAnsi" w:hAnsiTheme="minorHAnsi"/>
            <w:noProof/>
            <w:sz w:val="22"/>
          </w:rPr>
          <w:tab/>
        </w:r>
        <w:r w:rsidRPr="00ED38E9">
          <w:rPr>
            <w:rStyle w:val="Hyperlink"/>
          </w:rPr>
          <w:t xml:space="preserve">Zpětný odběr </w:t>
        </w:r>
        <w:r w:rsidR="00711A48">
          <w:rPr>
            <w:rStyle w:val="Hyperlink"/>
          </w:rPr>
          <w:t xml:space="preserve">odpadních </w:t>
        </w:r>
        <w:r w:rsidR="001C6618">
          <w:rPr>
            <w:rStyle w:val="Hyperlink"/>
          </w:rPr>
          <w:t>EEZ</w:t>
        </w:r>
        <w:r w:rsidR="00445AB4">
          <w:rPr>
            <w:rStyle w:val="Hyperlink"/>
          </w:rPr>
          <w:t xml:space="preserve"> v ČR a </w:t>
        </w:r>
        <w:r w:rsidR="001C6618">
          <w:rPr>
            <w:rStyle w:val="Hyperlink"/>
          </w:rPr>
          <w:t>vybraných evropských státech</w:t>
        </w:r>
        <w:r>
          <w:tab/>
        </w:r>
        <w:r>
          <w:fldChar w:fldCharType="begin"/>
        </w:r>
        <w:r>
          <w:instrText xml:space="preserve"> PAGEREF _Toc256000015 \h </w:instrText>
        </w:r>
        <w:r>
          <w:fldChar w:fldCharType="separate"/>
        </w:r>
        <w:r>
          <w:t>- 67 -</w:t>
        </w:r>
        <w:r>
          <w:fldChar w:fldCharType="end"/>
        </w:r>
      </w:hyperlink>
    </w:p>
    <w:p>
      <w:pPr>
        <w:pStyle w:val="TOC1"/>
        <w:rPr>
          <w:rFonts w:asciiTheme="minorHAnsi" w:hAnsiTheme="minorHAnsi"/>
          <w:noProof/>
          <w:sz w:val="22"/>
        </w:rPr>
      </w:pPr>
      <w:hyperlink w:anchor="_Toc256000016" w:history="1">
        <w:r>
          <w:rPr>
            <w:rStyle w:val="Hyperlink"/>
          </w:rPr>
          <w:t>15</w:t>
        </w:r>
        <w:r>
          <w:rPr>
            <w:rFonts w:asciiTheme="minorHAnsi" w:hAnsiTheme="minorHAnsi"/>
            <w:noProof/>
            <w:sz w:val="22"/>
          </w:rPr>
          <w:tab/>
        </w:r>
        <w:r>
          <w:rPr>
            <w:rStyle w:val="Hyperlink"/>
          </w:rPr>
          <w:t>Seznam nepovolených internetových obchodů</w:t>
        </w:r>
        <w:r w:rsidRPr="00C806DA">
          <w:rPr>
            <w:rStyle w:val="Hyperlink"/>
          </w:rPr>
          <w:t xml:space="preserve"> </w:t>
        </w:r>
        <w:r w:rsidR="00C10E76">
          <w:rPr>
            <w:rStyle w:val="Hyperlink"/>
          </w:rPr>
          <w:t>(§ 62)</w:t>
        </w:r>
        <w:r>
          <w:tab/>
        </w:r>
        <w:r>
          <w:fldChar w:fldCharType="begin"/>
        </w:r>
        <w:r>
          <w:instrText xml:space="preserve"> PAGEREF _Toc256000016 \h </w:instrText>
        </w:r>
        <w:r>
          <w:fldChar w:fldCharType="separate"/>
        </w:r>
        <w:r>
          <w:t>- 104 -</w:t>
        </w:r>
        <w:r>
          <w:fldChar w:fldCharType="end"/>
        </w:r>
      </w:hyperlink>
    </w:p>
    <w:p>
      <w:pPr>
        <w:pStyle w:val="TOC1"/>
        <w:rPr>
          <w:rFonts w:asciiTheme="minorHAnsi" w:hAnsiTheme="minorHAnsi"/>
          <w:noProof/>
          <w:sz w:val="22"/>
        </w:rPr>
      </w:pPr>
      <w:hyperlink w:anchor="_Toc256000017" w:history="1">
        <w:r>
          <w:rPr>
            <w:rStyle w:val="Hyperlink"/>
          </w:rPr>
          <w:t>16</w:t>
        </w:r>
        <w:r>
          <w:rPr>
            <w:rFonts w:asciiTheme="minorHAnsi" w:hAnsiTheme="minorHAnsi"/>
            <w:noProof/>
            <w:sz w:val="22"/>
          </w:rPr>
          <w:tab/>
        </w:r>
        <w:r w:rsidRPr="00F72DE3">
          <w:rPr>
            <w:rStyle w:val="Hyperlink"/>
          </w:rPr>
          <w:t xml:space="preserve">Oprávnění sbírat EEZ </w:t>
        </w:r>
        <w:r w:rsidR="00C23A89">
          <w:rPr>
            <w:rStyle w:val="Hyperlink"/>
          </w:rPr>
          <w:t>(§ 65 odst. 1</w:t>
        </w:r>
        <w:r w:rsidR="00F72DE3">
          <w:rPr>
            <w:rStyle w:val="Hyperlink"/>
          </w:rPr>
          <w:t>)</w:t>
        </w:r>
        <w:r>
          <w:tab/>
        </w:r>
        <w:r>
          <w:fldChar w:fldCharType="begin"/>
        </w:r>
        <w:r>
          <w:instrText xml:space="preserve"> PAGEREF _Toc256000017 \h </w:instrText>
        </w:r>
        <w:r>
          <w:fldChar w:fldCharType="separate"/>
        </w:r>
        <w:r>
          <w:t>- 109 -</w:t>
        </w:r>
        <w:r>
          <w:fldChar w:fldCharType="end"/>
        </w:r>
      </w:hyperlink>
    </w:p>
    <w:p>
      <w:pPr>
        <w:pStyle w:val="TOC1"/>
        <w:rPr>
          <w:rFonts w:asciiTheme="minorHAnsi" w:hAnsiTheme="minorHAnsi"/>
          <w:noProof/>
          <w:sz w:val="22"/>
        </w:rPr>
      </w:pPr>
      <w:hyperlink w:anchor="_Toc256000018" w:history="1">
        <w:r>
          <w:rPr>
            <w:rStyle w:val="Hyperlink"/>
          </w:rPr>
          <w:t>17</w:t>
        </w:r>
        <w:r>
          <w:rPr>
            <w:rFonts w:asciiTheme="minorHAnsi" w:hAnsiTheme="minorHAnsi"/>
            <w:noProof/>
            <w:sz w:val="22"/>
          </w:rPr>
          <w:tab/>
        </w:r>
        <w:r>
          <w:rPr>
            <w:rStyle w:val="Hyperlink"/>
          </w:rPr>
          <w:t xml:space="preserve">Omezení </w:t>
        </w:r>
        <w:r w:rsidRPr="00ED38E9">
          <w:rPr>
            <w:rStyle w:val="Hyperlink"/>
          </w:rPr>
          <w:t xml:space="preserve">plnění povinností výrobců v rámci více kolektivních systémů pro </w:t>
        </w:r>
        <w:r>
          <w:rPr>
            <w:rStyle w:val="Hyperlink"/>
          </w:rPr>
          <w:t>stejnou skupinu elektrozařízení</w:t>
        </w:r>
        <w:r w:rsidR="001535DE">
          <w:rPr>
            <w:rStyle w:val="Hyperlink"/>
          </w:rPr>
          <w:t xml:space="preserve"> (§ 46 odst. 2 písm. a)</w:t>
        </w:r>
        <w:r>
          <w:tab/>
        </w:r>
        <w:r>
          <w:fldChar w:fldCharType="begin"/>
        </w:r>
        <w:r>
          <w:instrText xml:space="preserve"> PAGEREF _Toc256000018 \h </w:instrText>
        </w:r>
        <w:r>
          <w:fldChar w:fldCharType="separate"/>
        </w:r>
        <w:r>
          <w:t>- 113 -</w:t>
        </w:r>
        <w:r>
          <w:fldChar w:fldCharType="end"/>
        </w:r>
      </w:hyperlink>
    </w:p>
    <w:p>
      <w:pPr>
        <w:pStyle w:val="TOC1"/>
        <w:rPr>
          <w:rFonts w:asciiTheme="minorHAnsi" w:hAnsiTheme="minorHAnsi"/>
          <w:noProof/>
          <w:sz w:val="22"/>
        </w:rPr>
      </w:pPr>
      <w:hyperlink w:anchor="_Toc256000019" w:history="1">
        <w:r>
          <w:rPr>
            <w:rStyle w:val="Hyperlink"/>
          </w:rPr>
          <w:t>18</w:t>
        </w:r>
        <w:r>
          <w:rPr>
            <w:rFonts w:asciiTheme="minorHAnsi" w:hAnsiTheme="minorHAnsi"/>
            <w:noProof/>
            <w:sz w:val="22"/>
          </w:rPr>
          <w:tab/>
        </w:r>
        <w:r w:rsidRPr="00F038D7">
          <w:rPr>
            <w:rStyle w:val="Hyperlink"/>
          </w:rPr>
          <w:t>Hustota sběrné sítě pro OEEZ pocházející z domácností (§ 65 odst. 2)</w:t>
        </w:r>
        <w:r>
          <w:tab/>
        </w:r>
        <w:r>
          <w:fldChar w:fldCharType="begin"/>
        </w:r>
        <w:r>
          <w:instrText xml:space="preserve"> PAGEREF _Toc256000019 \h </w:instrText>
        </w:r>
        <w:r>
          <w:fldChar w:fldCharType="separate"/>
        </w:r>
        <w:r>
          <w:t>- 116 -</w:t>
        </w:r>
        <w:r>
          <w:fldChar w:fldCharType="end"/>
        </w:r>
      </w:hyperlink>
    </w:p>
    <w:p>
      <w:pPr>
        <w:pStyle w:val="TOC1"/>
        <w:rPr>
          <w:rFonts w:asciiTheme="minorHAnsi" w:hAnsiTheme="minorHAnsi"/>
          <w:noProof/>
          <w:sz w:val="22"/>
        </w:rPr>
      </w:pPr>
      <w:hyperlink w:anchor="_Toc256000020" w:history="1">
        <w:r>
          <w:rPr>
            <w:rStyle w:val="Hyperlink"/>
          </w:rPr>
          <w:t>19</w:t>
        </w:r>
        <w:r>
          <w:rPr>
            <w:rFonts w:asciiTheme="minorHAnsi" w:hAnsiTheme="minorHAnsi"/>
            <w:noProof/>
            <w:sz w:val="22"/>
          </w:rPr>
          <w:tab/>
        </w:r>
        <w:r w:rsidRPr="001D602A">
          <w:rPr>
            <w:rStyle w:val="Hyperlink"/>
          </w:rPr>
          <w:t xml:space="preserve">Hustota sběrné sítě pro </w:t>
        </w:r>
        <w:r w:rsidRPr="00CF75FD">
          <w:rPr>
            <w:rStyle w:val="Hyperlink"/>
          </w:rPr>
          <w:t>přenosné baterie a akumulátory (§ 83</w:t>
        </w:r>
        <w:r w:rsidRPr="001D602A">
          <w:rPr>
            <w:rStyle w:val="Hyperlink"/>
          </w:rPr>
          <w:t xml:space="preserve"> odst. 2)</w:t>
        </w:r>
        <w:r>
          <w:tab/>
        </w:r>
        <w:r>
          <w:fldChar w:fldCharType="begin"/>
        </w:r>
        <w:r>
          <w:instrText xml:space="preserve"> PAGEREF _Toc256000020 \h </w:instrText>
        </w:r>
        <w:r>
          <w:fldChar w:fldCharType="separate"/>
        </w:r>
        <w:r>
          <w:t>- 124 -</w:t>
        </w:r>
        <w:r>
          <w:fldChar w:fldCharType="end"/>
        </w:r>
      </w:hyperlink>
    </w:p>
    <w:p>
      <w:pPr>
        <w:pStyle w:val="TOC1"/>
        <w:rPr>
          <w:rFonts w:asciiTheme="minorHAnsi" w:hAnsiTheme="minorHAnsi"/>
          <w:noProof/>
          <w:sz w:val="22"/>
        </w:rPr>
      </w:pPr>
      <w:hyperlink w:anchor="_Toc256000021" w:history="1">
        <w:r>
          <w:rPr>
            <w:rStyle w:val="Hyperlink"/>
          </w:rPr>
          <w:t>20</w:t>
        </w:r>
        <w:r>
          <w:rPr>
            <w:rFonts w:asciiTheme="minorHAnsi" w:hAnsiTheme="minorHAnsi"/>
            <w:noProof/>
            <w:sz w:val="22"/>
          </w:rPr>
          <w:tab/>
        </w:r>
        <w:r w:rsidRPr="001D602A">
          <w:rPr>
            <w:rStyle w:val="Hyperlink"/>
          </w:rPr>
          <w:t xml:space="preserve">Hustota sběrné sítě </w:t>
        </w:r>
        <w:r>
          <w:rPr>
            <w:rStyle w:val="Hyperlink"/>
          </w:rPr>
          <w:t>automobilových baterií</w:t>
        </w:r>
        <w:r w:rsidRPr="00CF75FD">
          <w:rPr>
            <w:rStyle w:val="Hyperlink"/>
          </w:rPr>
          <w:t xml:space="preserve"> a ak</w:t>
        </w:r>
        <w:r>
          <w:rPr>
            <w:rStyle w:val="Hyperlink"/>
          </w:rPr>
          <w:t>umulátorů (§ 84</w:t>
        </w:r>
        <w:r w:rsidRPr="001D602A">
          <w:rPr>
            <w:rStyle w:val="Hyperlink"/>
          </w:rPr>
          <w:t xml:space="preserve"> odst. 2)</w:t>
        </w:r>
        <w:r>
          <w:tab/>
        </w:r>
        <w:r>
          <w:fldChar w:fldCharType="begin"/>
        </w:r>
        <w:r>
          <w:instrText xml:space="preserve"> PAGEREF _Toc256000021 \h </w:instrText>
        </w:r>
        <w:r>
          <w:fldChar w:fldCharType="separate"/>
        </w:r>
        <w:r>
          <w:t>- 130 -</w:t>
        </w:r>
        <w:r>
          <w:fldChar w:fldCharType="end"/>
        </w:r>
      </w:hyperlink>
    </w:p>
    <w:p>
      <w:pPr>
        <w:pStyle w:val="TOC1"/>
        <w:rPr>
          <w:rFonts w:asciiTheme="minorHAnsi" w:hAnsiTheme="minorHAnsi"/>
          <w:noProof/>
          <w:sz w:val="22"/>
        </w:rPr>
      </w:pPr>
      <w:hyperlink w:anchor="_Toc256000022" w:history="1">
        <w:r>
          <w:rPr>
            <w:rStyle w:val="Hyperlink"/>
          </w:rPr>
          <w:t>21</w:t>
        </w:r>
        <w:r>
          <w:rPr>
            <w:rFonts w:asciiTheme="minorHAnsi" w:hAnsiTheme="minorHAnsi"/>
            <w:noProof/>
            <w:sz w:val="22"/>
          </w:rPr>
          <w:tab/>
        </w:r>
        <w:r>
          <w:rPr>
            <w:rStyle w:val="Hyperlink"/>
          </w:rPr>
          <w:t>L</w:t>
        </w:r>
        <w:r w:rsidRPr="00DF0ADE">
          <w:rPr>
            <w:rStyle w:val="Hyperlink"/>
          </w:rPr>
          <w:t>ithiové</w:t>
        </w:r>
        <w:r w:rsidRPr="00ED38E9">
          <w:rPr>
            <w:rStyle w:val="Hyperlink"/>
          </w:rPr>
          <w:t xml:space="preserve"> </w:t>
        </w:r>
        <w:r>
          <w:rPr>
            <w:rStyle w:val="Hyperlink"/>
          </w:rPr>
          <w:t>b</w:t>
        </w:r>
        <w:r w:rsidR="00DF0ADE">
          <w:rPr>
            <w:rStyle w:val="Hyperlink"/>
          </w:rPr>
          <w:t xml:space="preserve">aterie a </w:t>
        </w:r>
        <w:r w:rsidRPr="00DF0ADE" w:rsidR="00DF0ADE">
          <w:rPr>
            <w:rStyle w:val="Hyperlink"/>
          </w:rPr>
          <w:t xml:space="preserve">akumulátory – </w:t>
        </w:r>
        <w:r w:rsidR="00C23A89">
          <w:rPr>
            <w:rStyle w:val="Hyperlink"/>
          </w:rPr>
          <w:t>(§ 84 a § 85</w:t>
        </w:r>
        <w:r w:rsidR="00B61F73">
          <w:rPr>
            <w:rStyle w:val="Hyperlink"/>
          </w:rPr>
          <w:t>)</w:t>
        </w:r>
        <w:r>
          <w:tab/>
        </w:r>
        <w:r>
          <w:fldChar w:fldCharType="begin"/>
        </w:r>
        <w:r>
          <w:instrText xml:space="preserve"> PAGEREF _Toc256000022 \h </w:instrText>
        </w:r>
        <w:r>
          <w:fldChar w:fldCharType="separate"/>
        </w:r>
        <w:r>
          <w:t>- 134 -</w:t>
        </w:r>
        <w:r>
          <w:fldChar w:fldCharType="end"/>
        </w:r>
      </w:hyperlink>
    </w:p>
    <w:p>
      <w:pPr>
        <w:pStyle w:val="TOC1"/>
        <w:rPr>
          <w:rFonts w:asciiTheme="minorHAnsi" w:hAnsiTheme="minorHAnsi"/>
          <w:noProof/>
          <w:sz w:val="22"/>
        </w:rPr>
      </w:pPr>
      <w:hyperlink w:anchor="_Toc256000023" w:history="1">
        <w:r>
          <w:rPr>
            <w:rStyle w:val="Hyperlink"/>
            <w:rFonts w:ascii="Symbol" w:hAnsi="Symbol"/>
            <w:lang w:eastAsia="cs-CZ"/>
          </w:rPr>
          <w:sym w:font="Symbol" w:char="F0B7"/>
        </w:r>
        <w:r>
          <w:rPr>
            <w:rFonts w:asciiTheme="minorHAnsi" w:hAnsiTheme="minorHAnsi"/>
            <w:noProof/>
            <w:sz w:val="22"/>
            <w:lang w:eastAsia="cs-CZ"/>
          </w:rPr>
          <w:tab/>
        </w:r>
        <w:r w:rsidRPr="0015050F">
          <w:rPr>
            <w:rStyle w:val="Hyperlink"/>
            <w:lang w:eastAsia="cs-CZ"/>
          </w:rPr>
          <w:t>Nařízení Komise (EU) č. 1103/2010</w:t>
        </w:r>
        <w:r w:rsidRPr="0015050F">
          <w:rPr>
            <w:rStyle w:val="Hyperlink"/>
            <w:lang w:eastAsia="cs-CZ"/>
          </w:rPr>
          <w:t xml:space="preserve"> ze dne 29. listopadu 2010, kterým se stanoví pravidla podle směrnice Evropského parlamentu a Rady 2006/66/ES týkající se označování kapacity přenosných sekundárních (schopných opětovného nabití) a automobilových baterií a akumulátorů</w:t>
        </w:r>
        <w:r>
          <w:rPr>
            <w:rStyle w:val="Hyperlink"/>
            <w:lang w:eastAsia="cs-CZ"/>
          </w:rPr>
          <w:t>,</w:t>
        </w:r>
        <w:r>
          <w:tab/>
        </w:r>
        <w:r>
          <w:fldChar w:fldCharType="begin"/>
        </w:r>
        <w:r>
          <w:instrText xml:space="preserve"> PAGEREF _Toc256000023 \h </w:instrText>
        </w:r>
        <w:r>
          <w:fldChar w:fldCharType="separate"/>
        </w:r>
        <w:r>
          <w:t>- 138 -</w:t>
        </w:r>
        <w:r>
          <w:fldChar w:fldCharType="end"/>
        </w:r>
      </w:hyperlink>
    </w:p>
    <w:p>
      <w:pPr>
        <w:pStyle w:val="TOC1"/>
        <w:rPr>
          <w:rFonts w:asciiTheme="minorHAnsi" w:hAnsiTheme="minorHAnsi"/>
          <w:noProof/>
          <w:sz w:val="22"/>
        </w:rPr>
      </w:pPr>
      <w:hyperlink w:anchor="_Toc256000024" w:history="1">
        <w:r>
          <w:rPr>
            <w:rStyle w:val="Hyperlink"/>
          </w:rPr>
          <w:t>22</w:t>
        </w:r>
        <w:r>
          <w:rPr>
            <w:rFonts w:asciiTheme="minorHAnsi" w:hAnsiTheme="minorHAnsi"/>
            <w:noProof/>
            <w:sz w:val="22"/>
          </w:rPr>
          <w:tab/>
        </w:r>
        <w:r>
          <w:rPr>
            <w:rStyle w:val="Hyperlink"/>
          </w:rPr>
          <w:t>Povinnosti výrobců pneumatik</w:t>
        </w:r>
        <w:r>
          <w:rPr>
            <w:rStyle w:val="Hyperlink"/>
          </w:rPr>
          <w:t>, které jsou uváděny na trh jako součást či</w:t>
        </w:r>
        <w:r w:rsidR="00F068A9">
          <w:rPr>
            <w:rStyle w:val="Hyperlink"/>
          </w:rPr>
          <w:t> </w:t>
        </w:r>
        <w:r>
          <w:rPr>
            <w:rStyle w:val="Hyperlink"/>
          </w:rPr>
          <w:t xml:space="preserve">příslušenství funkčního celku </w:t>
        </w:r>
        <w:r w:rsidR="00614519">
          <w:rPr>
            <w:rStyle w:val="Hyperlink"/>
          </w:rPr>
          <w:t xml:space="preserve">(§ </w:t>
        </w:r>
        <w:r>
          <w:rPr>
            <w:rStyle w:val="Hyperlink"/>
          </w:rPr>
          <w:t>3 odst. 1, písm. l</w:t>
        </w:r>
        <w:r w:rsidR="005D7988">
          <w:rPr>
            <w:rStyle w:val="Hyperlink"/>
          </w:rPr>
          <w:t>)</w:t>
        </w:r>
        <w:r>
          <w:tab/>
        </w:r>
        <w:r>
          <w:fldChar w:fldCharType="begin"/>
        </w:r>
        <w:r>
          <w:instrText xml:space="preserve"> PAGEREF _Toc256000024 \h </w:instrText>
        </w:r>
        <w:r>
          <w:fldChar w:fldCharType="separate"/>
        </w:r>
        <w:r>
          <w:t>- 144 -</w:t>
        </w:r>
        <w:r>
          <w:fldChar w:fldCharType="end"/>
        </w:r>
      </w:hyperlink>
    </w:p>
    <w:p>
      <w:pPr>
        <w:pStyle w:val="TOC1"/>
        <w:rPr>
          <w:rFonts w:asciiTheme="minorHAnsi" w:hAnsiTheme="minorHAnsi"/>
          <w:noProof/>
          <w:sz w:val="22"/>
        </w:rPr>
      </w:pPr>
      <w:hyperlink w:anchor="_Toc256000025" w:history="1">
        <w:r>
          <w:rPr>
            <w:rStyle w:val="Hyperlink"/>
          </w:rPr>
          <w:t>23</w:t>
        </w:r>
        <w:r>
          <w:rPr>
            <w:rFonts w:asciiTheme="minorHAnsi" w:hAnsiTheme="minorHAnsi"/>
            <w:noProof/>
            <w:sz w:val="22"/>
          </w:rPr>
          <w:tab/>
        </w:r>
        <w:r w:rsidRPr="001D602A">
          <w:rPr>
            <w:rStyle w:val="Hyperlink"/>
          </w:rPr>
          <w:t xml:space="preserve">Hustota sběrné sítě </w:t>
        </w:r>
        <w:r>
          <w:rPr>
            <w:rStyle w:val="Hyperlink"/>
          </w:rPr>
          <w:t>odpadních pneumatik</w:t>
        </w:r>
        <w:r w:rsidRPr="00CF75FD">
          <w:rPr>
            <w:rStyle w:val="Hyperlink"/>
          </w:rPr>
          <w:t xml:space="preserve"> (§ </w:t>
        </w:r>
        <w:r>
          <w:rPr>
            <w:rStyle w:val="Hyperlink"/>
          </w:rPr>
          <w:t>9</w:t>
        </w:r>
        <w:r w:rsidRPr="00CF75FD">
          <w:rPr>
            <w:rStyle w:val="Hyperlink"/>
          </w:rPr>
          <w:t>3</w:t>
        </w:r>
        <w:r w:rsidRPr="001D602A">
          <w:rPr>
            <w:rStyle w:val="Hyperlink"/>
          </w:rPr>
          <w:t xml:space="preserve"> odst. 2)</w:t>
        </w:r>
        <w:r>
          <w:tab/>
        </w:r>
        <w:r>
          <w:fldChar w:fldCharType="begin"/>
        </w:r>
        <w:r>
          <w:instrText xml:space="preserve"> PAGEREF _Toc256000025 \h </w:instrText>
        </w:r>
        <w:r>
          <w:fldChar w:fldCharType="separate"/>
        </w:r>
        <w:r>
          <w:t>- 150 -</w:t>
        </w:r>
        <w:r>
          <w:fldChar w:fldCharType="end"/>
        </w:r>
      </w:hyperlink>
    </w:p>
    <w:p>
      <w:pPr>
        <w:pStyle w:val="TOC1"/>
        <w:rPr>
          <w:rFonts w:asciiTheme="minorHAnsi" w:hAnsiTheme="minorHAnsi"/>
          <w:noProof/>
          <w:sz w:val="22"/>
        </w:rPr>
      </w:pPr>
      <w:hyperlink w:anchor="_Toc256000026" w:history="1">
        <w:r>
          <w:rPr>
            <w:rStyle w:val="Hyperlink"/>
          </w:rPr>
          <w:t>24</w:t>
        </w:r>
        <w:r>
          <w:rPr>
            <w:rFonts w:asciiTheme="minorHAnsi" w:hAnsiTheme="minorHAnsi"/>
            <w:noProof/>
            <w:sz w:val="22"/>
          </w:rPr>
          <w:tab/>
        </w:r>
        <w:r>
          <w:rPr>
            <w:rStyle w:val="Hyperlink"/>
          </w:rPr>
          <w:t>Materiálové v</w:t>
        </w:r>
        <w:r w:rsidR="00C23A89">
          <w:rPr>
            <w:rStyle w:val="Hyperlink"/>
          </w:rPr>
          <w:t>yužití odpadních pneumatik (§ 94</w:t>
        </w:r>
        <w:r>
          <w:rPr>
            <w:rStyle w:val="Hyperlink"/>
          </w:rPr>
          <w:t>)</w:t>
        </w:r>
        <w:r>
          <w:tab/>
        </w:r>
        <w:r>
          <w:fldChar w:fldCharType="begin"/>
        </w:r>
        <w:r>
          <w:instrText xml:space="preserve"> PAGEREF _Toc256000026 \h </w:instrText>
        </w:r>
        <w:r>
          <w:fldChar w:fldCharType="separate"/>
        </w:r>
        <w:r>
          <w:t>- 155 -</w:t>
        </w:r>
        <w:r>
          <w:fldChar w:fldCharType="end"/>
        </w:r>
      </w:hyperlink>
    </w:p>
    <w:p>
      <w:pPr>
        <w:pStyle w:val="TOC1"/>
        <w:rPr>
          <w:rFonts w:asciiTheme="minorHAnsi" w:hAnsiTheme="minorHAnsi"/>
          <w:noProof/>
          <w:sz w:val="22"/>
        </w:rPr>
      </w:pPr>
      <w:hyperlink w:anchor="_Toc256000027" w:history="1">
        <w:r>
          <w:rPr>
            <w:rStyle w:val="Hyperlink"/>
          </w:rPr>
          <w:t>25</w:t>
        </w:r>
        <w:r>
          <w:rPr>
            <w:rFonts w:asciiTheme="minorHAnsi" w:hAnsiTheme="minorHAnsi"/>
            <w:noProof/>
            <w:sz w:val="22"/>
          </w:rPr>
          <w:tab/>
        </w:r>
        <w:r w:rsidRPr="0046292D">
          <w:rPr>
            <w:rStyle w:val="Hyperlink"/>
          </w:rPr>
          <w:t xml:space="preserve">Povinnosti výrobců </w:t>
        </w:r>
        <w:r w:rsidRPr="0046292D" w:rsidR="008D450B">
          <w:rPr>
            <w:rStyle w:val="Hyperlink"/>
          </w:rPr>
          <w:t xml:space="preserve">vozidel </w:t>
        </w:r>
        <w:r w:rsidRPr="0046292D">
          <w:rPr>
            <w:rStyle w:val="Hyperlink"/>
          </w:rPr>
          <w:t>a akreditovaných zástupců – roční zprávy</w:t>
        </w:r>
        <w:r>
          <w:tab/>
        </w:r>
        <w:r>
          <w:fldChar w:fldCharType="begin"/>
        </w:r>
        <w:r>
          <w:instrText xml:space="preserve"> PAGEREF _Toc256000027 \h </w:instrText>
        </w:r>
        <w:r>
          <w:fldChar w:fldCharType="separate"/>
        </w:r>
        <w:r>
          <w:t>- 161 -</w:t>
        </w:r>
        <w:r>
          <w:fldChar w:fldCharType="end"/>
        </w:r>
      </w:hyperlink>
    </w:p>
    <w:p>
      <w:pPr>
        <w:pStyle w:val="TOC1"/>
        <w:rPr>
          <w:rFonts w:asciiTheme="minorHAnsi" w:hAnsiTheme="minorHAnsi"/>
          <w:noProof/>
          <w:sz w:val="22"/>
        </w:rPr>
      </w:pPr>
      <w:hyperlink w:anchor="_Toc256000028" w:history="1">
        <w:r>
          <w:rPr>
            <w:rStyle w:val="Hyperlink"/>
          </w:rPr>
          <w:t>26</w:t>
        </w:r>
        <w:r>
          <w:rPr>
            <w:rFonts w:asciiTheme="minorHAnsi" w:hAnsiTheme="minorHAnsi"/>
            <w:noProof/>
            <w:sz w:val="22"/>
          </w:rPr>
          <w:tab/>
        </w:r>
        <w:r w:rsidRPr="00ED38E9">
          <w:rPr>
            <w:rStyle w:val="Hyperlink"/>
          </w:rPr>
          <w:t>Rozšíření působnosti ČOI</w:t>
        </w:r>
        <w:r w:rsidR="005D7988">
          <w:rPr>
            <w:rStyle w:val="Hyperlink"/>
          </w:rPr>
          <w:t xml:space="preserve"> (§ 1</w:t>
        </w:r>
        <w:r w:rsidR="00C23A89">
          <w:rPr>
            <w:rStyle w:val="Hyperlink"/>
          </w:rPr>
          <w:t>2</w:t>
        </w:r>
        <w:r w:rsidR="005D7988">
          <w:rPr>
            <w:rStyle w:val="Hyperlink"/>
          </w:rPr>
          <w:t>3)</w:t>
        </w:r>
        <w:r>
          <w:tab/>
        </w:r>
        <w:r>
          <w:fldChar w:fldCharType="begin"/>
        </w:r>
        <w:r>
          <w:instrText xml:space="preserve"> PAGEREF _Toc256000028 \h </w:instrText>
        </w:r>
        <w:r>
          <w:fldChar w:fldCharType="separate"/>
        </w:r>
        <w:r>
          <w:t>- 166 -</w:t>
        </w:r>
        <w:r>
          <w:fldChar w:fldCharType="end"/>
        </w:r>
      </w:hyperlink>
    </w:p>
    <w:p>
      <w:pPr>
        <w:pStyle w:val="TOC1"/>
        <w:rPr>
          <w:rFonts w:asciiTheme="minorHAnsi" w:hAnsiTheme="minorHAnsi"/>
          <w:noProof/>
          <w:sz w:val="22"/>
        </w:rPr>
      </w:pPr>
      <w:hyperlink w:anchor="_Toc256000029" w:history="1">
        <w:r>
          <w:rPr>
            <w:rStyle w:val="Hyperlink"/>
          </w:rPr>
          <w:t>27</w:t>
        </w:r>
        <w:r>
          <w:rPr>
            <w:rFonts w:asciiTheme="minorHAnsi" w:hAnsiTheme="minorHAnsi"/>
            <w:noProof/>
            <w:sz w:val="22"/>
          </w:rPr>
          <w:tab/>
        </w:r>
        <w:r>
          <w:rPr>
            <w:rStyle w:val="Hyperlink"/>
          </w:rPr>
          <w:t>Celkové shrnutí nákladů a přínosů</w:t>
        </w:r>
        <w:r w:rsidRPr="00ED38E9">
          <w:rPr>
            <w:rStyle w:val="Hyperlink"/>
          </w:rPr>
          <w:t xml:space="preserve"> </w:t>
        </w:r>
        <w:r w:rsidR="008D7904">
          <w:rPr>
            <w:rStyle w:val="Hyperlink"/>
          </w:rPr>
          <w:t>návrhu zákona</w:t>
        </w:r>
        <w:r>
          <w:tab/>
        </w:r>
        <w:r>
          <w:fldChar w:fldCharType="begin"/>
        </w:r>
        <w:r>
          <w:instrText xml:space="preserve"> PAGEREF _Toc256000029 \h </w:instrText>
        </w:r>
        <w:r>
          <w:fldChar w:fldCharType="separate"/>
        </w:r>
        <w:r>
          <w:t>- 170 -</w:t>
        </w:r>
        <w:r>
          <w:fldChar w:fldCharType="end"/>
        </w:r>
      </w:hyperlink>
    </w:p>
    <w:p>
      <w:pPr>
        <w:pStyle w:val="TOC1"/>
        <w:rPr>
          <w:rFonts w:asciiTheme="minorHAnsi" w:hAnsiTheme="minorHAnsi"/>
          <w:noProof/>
          <w:sz w:val="22"/>
        </w:rPr>
      </w:pPr>
      <w:hyperlink w:anchor="_Toc256000030" w:history="1">
        <w:r>
          <w:rPr>
            <w:rStyle w:val="Hyperlink"/>
          </w:rPr>
          <w:t>28</w:t>
        </w:r>
        <w:r>
          <w:rPr>
            <w:rFonts w:asciiTheme="minorHAnsi" w:hAnsiTheme="minorHAnsi"/>
            <w:noProof/>
            <w:sz w:val="22"/>
          </w:rPr>
          <w:tab/>
        </w:r>
        <w:r w:rsidRPr="00ED38E9">
          <w:rPr>
            <w:rStyle w:val="Hyperlink"/>
          </w:rPr>
          <w:t>Implementace doporučené varianty a vynucování</w:t>
        </w:r>
        <w:r>
          <w:tab/>
        </w:r>
        <w:r>
          <w:fldChar w:fldCharType="begin"/>
        </w:r>
        <w:r>
          <w:instrText xml:space="preserve"> PAGEREF _Toc256000030 \h </w:instrText>
        </w:r>
        <w:r>
          <w:fldChar w:fldCharType="separate"/>
        </w:r>
        <w:r>
          <w:t>- 181 -</w:t>
        </w:r>
        <w:r>
          <w:fldChar w:fldCharType="end"/>
        </w:r>
      </w:hyperlink>
    </w:p>
    <w:p>
      <w:pPr>
        <w:pStyle w:val="TOC1"/>
        <w:rPr>
          <w:rFonts w:asciiTheme="minorHAnsi" w:hAnsiTheme="minorHAnsi"/>
          <w:noProof/>
          <w:sz w:val="22"/>
        </w:rPr>
      </w:pPr>
      <w:hyperlink w:anchor="_Toc256000031" w:history="1">
        <w:r>
          <w:rPr>
            <w:rStyle w:val="Hyperlink"/>
          </w:rPr>
          <w:t>29</w:t>
        </w:r>
        <w:r>
          <w:rPr>
            <w:rFonts w:asciiTheme="minorHAnsi" w:hAnsiTheme="minorHAnsi"/>
            <w:noProof/>
            <w:sz w:val="22"/>
          </w:rPr>
          <w:tab/>
        </w:r>
        <w:r w:rsidRPr="00ED38E9">
          <w:rPr>
            <w:rStyle w:val="Hyperlink"/>
          </w:rPr>
          <w:t>Přezkum účinnosti regulace</w:t>
        </w:r>
        <w:r>
          <w:tab/>
        </w:r>
        <w:r>
          <w:fldChar w:fldCharType="begin"/>
        </w:r>
        <w:r>
          <w:instrText xml:space="preserve"> PAGEREF _Toc256000031 \h </w:instrText>
        </w:r>
        <w:r>
          <w:fldChar w:fldCharType="separate"/>
        </w:r>
        <w:r>
          <w:t>- 184 -</w:t>
        </w:r>
        <w:r>
          <w:fldChar w:fldCharType="end"/>
        </w:r>
      </w:hyperlink>
    </w:p>
    <w:p>
      <w:pPr>
        <w:pStyle w:val="TOC1"/>
        <w:rPr>
          <w:rFonts w:asciiTheme="minorHAnsi" w:hAnsiTheme="minorHAnsi"/>
          <w:noProof/>
          <w:sz w:val="22"/>
        </w:rPr>
      </w:pPr>
      <w:hyperlink w:anchor="_Toc256000032" w:history="1">
        <w:r>
          <w:rPr>
            <w:rStyle w:val="Hyperlink"/>
          </w:rPr>
          <w:t>30</w:t>
        </w:r>
        <w:r>
          <w:rPr>
            <w:rFonts w:asciiTheme="minorHAnsi" w:hAnsiTheme="minorHAnsi"/>
            <w:noProof/>
            <w:sz w:val="22"/>
          </w:rPr>
          <w:tab/>
        </w:r>
        <w:r w:rsidRPr="00ED38E9">
          <w:rPr>
            <w:rStyle w:val="Hyperlink"/>
          </w:rPr>
          <w:t>Konzultace a zdroje dat</w:t>
        </w:r>
        <w:r>
          <w:tab/>
        </w:r>
        <w:r>
          <w:fldChar w:fldCharType="begin"/>
        </w:r>
        <w:r>
          <w:instrText xml:space="preserve"> PAGEREF _Toc256000032 \h </w:instrText>
        </w:r>
        <w:r>
          <w:fldChar w:fldCharType="separate"/>
        </w:r>
        <w:r>
          <w:t>- 184 -</w:t>
        </w:r>
        <w:r>
          <w:fldChar w:fldCharType="end"/>
        </w:r>
      </w:hyperlink>
    </w:p>
    <w:p>
      <w:pPr>
        <w:pStyle w:val="TOC1"/>
        <w:rPr>
          <w:rFonts w:asciiTheme="minorHAnsi" w:hAnsiTheme="minorHAnsi"/>
          <w:noProof/>
          <w:sz w:val="22"/>
        </w:rPr>
      </w:pPr>
      <w:hyperlink w:anchor="_Toc256000033" w:history="1">
        <w:r>
          <w:rPr>
            <w:rStyle w:val="Hyperlink"/>
          </w:rPr>
          <w:t>31</w:t>
        </w:r>
        <w:r>
          <w:rPr>
            <w:rFonts w:asciiTheme="minorHAnsi" w:hAnsiTheme="minorHAnsi"/>
            <w:noProof/>
            <w:sz w:val="22"/>
          </w:rPr>
          <w:tab/>
        </w:r>
        <w:r w:rsidRPr="00ED38E9">
          <w:rPr>
            <w:rStyle w:val="Hyperlink"/>
          </w:rPr>
          <w:t>Seznam použitých zkratek</w:t>
        </w:r>
        <w:r>
          <w:tab/>
        </w:r>
        <w:r>
          <w:fldChar w:fldCharType="begin"/>
        </w:r>
        <w:r>
          <w:instrText xml:space="preserve"> PAGEREF _Toc256000033 \h </w:instrText>
        </w:r>
        <w:r>
          <w:fldChar w:fldCharType="separate"/>
        </w:r>
        <w:r>
          <w:t>- 185 -</w:t>
        </w:r>
        <w:r>
          <w:fldChar w:fldCharType="end"/>
        </w:r>
      </w:hyperlink>
    </w:p>
    <w:p>
      <w:pPr>
        <w:pStyle w:val="TOC1"/>
        <w:rPr>
          <w:rFonts w:asciiTheme="minorHAnsi" w:hAnsiTheme="minorHAnsi"/>
          <w:noProof/>
          <w:sz w:val="22"/>
        </w:rPr>
      </w:pPr>
      <w:hyperlink w:anchor="_Toc256000034" w:history="1">
        <w:r>
          <w:rPr>
            <w:rStyle w:val="Hyperlink"/>
          </w:rPr>
          <w:t>32</w:t>
        </w:r>
        <w:r>
          <w:rPr>
            <w:rFonts w:asciiTheme="minorHAnsi" w:hAnsiTheme="minorHAnsi"/>
            <w:noProof/>
            <w:sz w:val="22"/>
          </w:rPr>
          <w:tab/>
        </w:r>
        <w:r w:rsidRPr="00ED38E9">
          <w:rPr>
            <w:rStyle w:val="Hyperlink"/>
          </w:rPr>
          <w:t>Vysvětl</w:t>
        </w:r>
        <w:r w:rsidRPr="00ED38E9" w:rsidR="00E46D4B">
          <w:rPr>
            <w:rStyle w:val="Hyperlink"/>
          </w:rPr>
          <w:t>ení</w:t>
        </w:r>
        <w:r w:rsidRPr="00ED38E9">
          <w:rPr>
            <w:rStyle w:val="Hyperlink"/>
          </w:rPr>
          <w:t xml:space="preserve"> k </w:t>
        </w:r>
        <w:r w:rsidR="00970211">
          <w:rPr>
            <w:rStyle w:val="Hyperlink"/>
          </w:rPr>
          <w:t>závěrečné zprávě z hodnocení dopadů regulace</w:t>
        </w:r>
        <w:r w:rsidRPr="00ED38E9" w:rsidR="003A4E77">
          <w:rPr>
            <w:rStyle w:val="Hyperlink"/>
          </w:rPr>
          <w:t xml:space="preserve"> a</w:t>
        </w:r>
        <w:r w:rsidR="00D73208">
          <w:rPr>
            <w:rStyle w:val="Hyperlink"/>
          </w:rPr>
          <w:t> </w:t>
        </w:r>
        <w:r w:rsidRPr="00ED38E9" w:rsidR="003A4E77">
          <w:rPr>
            <w:rStyle w:val="Hyperlink"/>
          </w:rPr>
          <w:t>jeho kapitolám</w:t>
        </w:r>
        <w:r>
          <w:tab/>
        </w:r>
        <w:r>
          <w:fldChar w:fldCharType="begin"/>
        </w:r>
        <w:r>
          <w:instrText xml:space="preserve"> PAGEREF _Toc256000034 \h </w:instrText>
        </w:r>
        <w:r>
          <w:fldChar w:fldCharType="separate"/>
        </w:r>
        <w:r>
          <w:t>- 186 -</w:t>
        </w:r>
        <w:r>
          <w:fldChar w:fldCharType="end"/>
        </w:r>
      </w:hyperlink>
    </w:p>
    <w:p>
      <w:pPr>
        <w:pStyle w:val="TOC1"/>
        <w:rPr>
          <w:rFonts w:asciiTheme="minorHAnsi" w:hAnsiTheme="minorHAnsi"/>
          <w:noProof/>
          <w:sz w:val="22"/>
        </w:rPr>
      </w:pPr>
      <w:hyperlink w:anchor="_Toc256000035" w:history="1">
        <w:r>
          <w:rPr>
            <w:rStyle w:val="Hyperlink"/>
          </w:rPr>
          <w:t>33</w:t>
        </w:r>
        <w:r>
          <w:rPr>
            <w:rFonts w:asciiTheme="minorHAnsi" w:hAnsiTheme="minorHAnsi"/>
            <w:noProof/>
            <w:sz w:val="22"/>
          </w:rPr>
          <w:tab/>
        </w:r>
        <w:r w:rsidRPr="00ED38E9">
          <w:rPr>
            <w:rStyle w:val="Hyperlink"/>
          </w:rPr>
          <w:t>Kontakt na zpracovatele RIA</w:t>
        </w:r>
        <w:r>
          <w:tab/>
        </w:r>
        <w:r>
          <w:fldChar w:fldCharType="begin"/>
        </w:r>
        <w:r>
          <w:instrText xml:space="preserve"> PAGEREF _Toc256000035 \h </w:instrText>
        </w:r>
        <w:r>
          <w:fldChar w:fldCharType="separate"/>
        </w:r>
        <w:r>
          <w:t>- 187 -</w:t>
        </w:r>
        <w:r>
          <w:fldChar w:fldCharType="end"/>
        </w:r>
      </w:hyperlink>
    </w:p>
    <w:p>
      <w:pPr>
        <w:pStyle w:val="TOC1"/>
        <w:rPr>
          <w:rFonts w:asciiTheme="minorHAnsi" w:hAnsiTheme="minorHAnsi"/>
          <w:noProof/>
          <w:sz w:val="22"/>
        </w:rPr>
      </w:pPr>
      <w:hyperlink w:anchor="_Toc256000036" w:history="1">
        <w:r w:rsidRPr="007B71CF">
          <w:rPr>
            <w:rStyle w:val="Hyperlink"/>
            <w:rFonts w:cs="Arial"/>
          </w:rPr>
          <w:t>Příloha</w:t>
        </w:r>
        <w:r w:rsidRPr="007B71CF" w:rsidR="007B71CF">
          <w:rPr>
            <w:rStyle w:val="Hyperlink"/>
            <w:rFonts w:cs="Arial"/>
          </w:rPr>
          <w:t xml:space="preserve">: </w:t>
        </w:r>
        <w:r w:rsidRPr="007B71CF">
          <w:rPr>
            <w:rStyle w:val="Hyperlink"/>
            <w:rFonts w:cs="Arial"/>
          </w:rPr>
          <w:t>Úroveň soutěže mezi KS a její dopady na hospodářskou soutěž</w:t>
        </w:r>
        <w:r>
          <w:tab/>
        </w:r>
        <w:r>
          <w:fldChar w:fldCharType="begin"/>
        </w:r>
        <w:r>
          <w:instrText xml:space="preserve"> PAGEREF _Toc256000036 \h </w:instrText>
        </w:r>
        <w:r>
          <w:fldChar w:fldCharType="separate"/>
        </w:r>
        <w:r>
          <w:t>- 188 -</w:t>
        </w:r>
        <w:r>
          <w:fldChar w:fldCharType="end"/>
        </w:r>
      </w:hyperlink>
    </w:p>
    <w:p w:rsidRPr="00962E44" w:rsidP="005A744C">
      <w:pPr>
        <w:rPr>
          <w:lang w:eastAsia="cs-CZ"/>
        </w:rPr>
      </w:pPr>
      <w:r w:rsidRPr="00962E44">
        <w:rPr>
          <w:lang w:eastAsia="cs-CZ"/>
        </w:rPr>
        <w:fldChar w:fldCharType="end"/>
      </w:r>
    </w:p>
    <w:p w:rsidR="00704CCB" w:rsidRPr="00ED38E9" w14:paraId="44A25587" w14:textId="77777777">
      <w:pPr>
        <w:spacing w:line="240" w:lineRule="auto"/>
        <w:jc w:val="left"/>
        <w:rPr>
          <w:rFonts w:cs="Arial"/>
          <w:b/>
          <w:bCs/>
          <w:kern w:val="28"/>
          <w:sz w:val="32"/>
          <w:szCs w:val="32"/>
        </w:rPr>
      </w:pPr>
      <w:r w:rsidRPr="00ED38E9">
        <w:rPr>
          <w:rFonts w:cs="Arial"/>
        </w:rPr>
        <w:br w:type="page"/>
      </w:r>
    </w:p>
    <w:p w:rsidR="0046292D" w:rsidRPr="0046292D" w:rsidP="0046292D" w14:paraId="22B7E540" w14:textId="77777777">
      <w:pPr>
        <w:pStyle w:val="Heading1"/>
        <w:numPr>
          <w:ilvl w:val="0"/>
          <w:numId w:val="0"/>
        </w:numPr>
        <w:ind w:left="432"/>
        <w:jc w:val="center"/>
        <w:rPr>
          <w:sz w:val="32"/>
          <w:u w:val="single"/>
        </w:rPr>
      </w:pPr>
      <w:bookmarkStart w:id="5" w:name="_Toc530657544"/>
      <w:bookmarkStart w:id="6" w:name="_Toc2842663"/>
      <w:bookmarkStart w:id="7" w:name="_Toc13746043"/>
      <w:bookmarkStart w:id="8" w:name="_Toc14942075"/>
      <w:bookmarkStart w:id="9" w:name="_Toc441759828"/>
      <w:bookmarkStart w:id="10" w:name="_Toc256000001"/>
      <w:r>
        <w:rPr>
          <w:sz w:val="32"/>
          <w:u w:val="single"/>
        </w:rPr>
        <w:t xml:space="preserve">I. </w:t>
      </w:r>
      <w:r w:rsidRPr="0046292D">
        <w:rPr>
          <w:sz w:val="32"/>
          <w:u w:val="single"/>
        </w:rPr>
        <w:t>Odpovědnost výrobce</w:t>
      </w:r>
      <w:r>
        <w:rPr>
          <w:sz w:val="32"/>
          <w:u w:val="single"/>
        </w:rPr>
        <w:t xml:space="preserve"> za výrobky s ukončenou životností</w:t>
      </w:r>
      <w:bookmarkEnd w:id="10"/>
      <w:bookmarkEnd w:id="5"/>
      <w:bookmarkEnd w:id="6"/>
      <w:bookmarkEnd w:id="7"/>
      <w:bookmarkEnd w:id="8"/>
    </w:p>
    <w:p w:rsidR="00EF3B62" w:rsidRPr="00ED38E9" w:rsidP="006A3043" w14:paraId="03E28D7D" w14:textId="77777777">
      <w:pPr>
        <w:pStyle w:val="Heading1"/>
      </w:pPr>
      <w:bookmarkStart w:id="11" w:name="_Toc14942076"/>
      <w:bookmarkStart w:id="12" w:name="_Toc256000002"/>
      <w:r w:rsidRPr="00ED38E9">
        <w:t xml:space="preserve">Zjednodušený </w:t>
      </w:r>
      <w:r w:rsidRPr="006A3043">
        <w:t>odpadový</w:t>
      </w:r>
      <w:r w:rsidRPr="00ED38E9">
        <w:t xml:space="preserve"> režim</w:t>
      </w:r>
      <w:bookmarkEnd w:id="9"/>
      <w:r w:rsidR="00A37B0C">
        <w:t xml:space="preserve"> (§ 9)</w:t>
      </w:r>
      <w:bookmarkEnd w:id="12"/>
      <w:bookmarkEnd w:id="11"/>
    </w:p>
    <w:p w:rsidR="004F311D" w:rsidRPr="00ED38E9" w:rsidP="005D660F" w14:paraId="255AA198" w14:textId="77777777">
      <w:pPr>
        <w:pStyle w:val="Heading2"/>
      </w:pPr>
      <w:bookmarkStart w:id="13" w:name="_Toc441759829"/>
      <w:r w:rsidRPr="00ED38E9">
        <w:t>Důvod předložení a cíle</w:t>
      </w:r>
      <w:bookmarkEnd w:id="13"/>
    </w:p>
    <w:p w:rsidR="004F311D" w:rsidRPr="00ED38E9" w:rsidP="00BF16B7" w14:paraId="20F60C01" w14:textId="77777777">
      <w:pPr>
        <w:pStyle w:val="Heading3"/>
      </w:pPr>
      <w:r w:rsidRPr="00ED38E9">
        <w:t>Definice problému</w:t>
      </w:r>
    </w:p>
    <w:p w:rsidR="004F311D" w:rsidP="00936929" w14:paraId="1A37364B" w14:textId="77777777">
      <w:pPr>
        <w:rPr>
          <w:rFonts w:cs="Arial"/>
        </w:rPr>
      </w:pPr>
      <w:r w:rsidRPr="00ED38E9">
        <w:rPr>
          <w:rFonts w:cs="Arial"/>
        </w:rPr>
        <w:t>Dle současné</w:t>
      </w:r>
      <w:r w:rsidRPr="00ED38E9" w:rsidR="002B5D43">
        <w:rPr>
          <w:rFonts w:cs="Arial"/>
        </w:rPr>
        <w:t>ho</w:t>
      </w:r>
      <w:r w:rsidRPr="00ED38E9">
        <w:rPr>
          <w:rFonts w:cs="Arial"/>
        </w:rPr>
        <w:t xml:space="preserve"> zákona se některé </w:t>
      </w:r>
      <w:r w:rsidRPr="00ED38E9" w:rsidR="00C94CD5">
        <w:rPr>
          <w:rFonts w:cs="Arial"/>
        </w:rPr>
        <w:t xml:space="preserve">zpětně odebrané </w:t>
      </w:r>
      <w:r w:rsidRPr="00ED38E9">
        <w:rPr>
          <w:rFonts w:cs="Arial"/>
        </w:rPr>
        <w:t>výrobky stávají odpadem (např. baterie a</w:t>
      </w:r>
      <w:r w:rsidRPr="00ED38E9" w:rsidR="00C94CD5">
        <w:rPr>
          <w:rFonts w:cs="Arial"/>
        </w:rPr>
        <w:t xml:space="preserve"> akumulátory, pneumatiky) </w:t>
      </w:r>
      <w:r w:rsidRPr="00ED38E9">
        <w:rPr>
          <w:rFonts w:cs="Arial"/>
        </w:rPr>
        <w:t>až ve chvíli, kdy dojde k jejímu předání osobě oprávněné ke</w:t>
      </w:r>
      <w:r w:rsidRPr="00ED38E9" w:rsidR="00C94CD5">
        <w:rPr>
          <w:rFonts w:cs="Arial"/>
        </w:rPr>
        <w:t> </w:t>
      </w:r>
      <w:r w:rsidRPr="00ED38E9">
        <w:rPr>
          <w:rFonts w:cs="Arial"/>
        </w:rPr>
        <w:t xml:space="preserve">zpracování. Z tohoto důvodu některá zařízení (místa zpětného odběru) nespadají pod zákon </w:t>
      </w:r>
      <w:r w:rsidRPr="00ED38E9" w:rsidR="00820A7A">
        <w:rPr>
          <w:rFonts w:cs="Arial"/>
        </w:rPr>
        <w:t>č. 185/2001 Sb., o odpadech</w:t>
      </w:r>
      <w:r w:rsidR="00820A7A">
        <w:rPr>
          <w:rFonts w:cs="Arial"/>
        </w:rPr>
        <w:t xml:space="preserve"> </w:t>
      </w:r>
      <w:r w:rsidRPr="00EE03D9" w:rsidR="00820A7A">
        <w:rPr>
          <w:rFonts w:cs="Arial"/>
        </w:rPr>
        <w:t>a o změně některých dalších zákonů</w:t>
      </w:r>
      <w:r w:rsidR="00820A7A">
        <w:rPr>
          <w:rFonts w:cs="Arial"/>
        </w:rPr>
        <w:t xml:space="preserve">, ve znění pozdějších předpisů </w:t>
      </w:r>
      <w:r w:rsidRPr="00ED38E9" w:rsidR="00820A7A">
        <w:rPr>
          <w:rFonts w:eastAsia="SimSun" w:cs="Arial"/>
          <w:lang w:eastAsia="zh-CN"/>
        </w:rPr>
        <w:t>(dále jen „zákon o odpadech“)</w:t>
      </w:r>
      <w:r w:rsidR="00820A7A">
        <w:rPr>
          <w:rFonts w:eastAsia="SimSun" w:cs="Arial"/>
          <w:lang w:eastAsia="zh-CN"/>
        </w:rPr>
        <w:t>,</w:t>
      </w:r>
      <w:r w:rsidRPr="00ED38E9">
        <w:rPr>
          <w:rFonts w:cs="Arial"/>
        </w:rPr>
        <w:t xml:space="preserve"> a není zde možný řádný dohled některých kontrolních orgánů, čímž </w:t>
      </w:r>
      <w:r w:rsidR="00A37B0C">
        <w:rPr>
          <w:rFonts w:cs="Arial"/>
        </w:rPr>
        <w:t>se zvyšuje</w:t>
      </w:r>
      <w:r w:rsidRPr="00ED38E9">
        <w:rPr>
          <w:rFonts w:cs="Arial"/>
        </w:rPr>
        <w:t xml:space="preserve"> rizik</w:t>
      </w:r>
      <w:r w:rsidR="00A37B0C">
        <w:rPr>
          <w:rFonts w:cs="Arial"/>
        </w:rPr>
        <w:t>o</w:t>
      </w:r>
      <w:r w:rsidRPr="00ED38E9">
        <w:rPr>
          <w:rFonts w:cs="Arial"/>
        </w:rPr>
        <w:t xml:space="preserve"> </w:t>
      </w:r>
      <w:r w:rsidR="00A37B0C">
        <w:rPr>
          <w:rFonts w:cs="Arial"/>
        </w:rPr>
        <w:t xml:space="preserve">možného </w:t>
      </w:r>
      <w:r w:rsidRPr="00ED38E9">
        <w:rPr>
          <w:rFonts w:cs="Arial"/>
        </w:rPr>
        <w:t>ohrožení životního prostředí a</w:t>
      </w:r>
      <w:r w:rsidR="00A37B0C">
        <w:rPr>
          <w:rFonts w:cs="Arial"/>
        </w:rPr>
        <w:t> při nesprávném nakládání s těmito zpětně odebranými</w:t>
      </w:r>
      <w:r w:rsidRPr="00ED38E9" w:rsidR="00A37B0C">
        <w:rPr>
          <w:rFonts w:cs="Arial"/>
        </w:rPr>
        <w:t xml:space="preserve"> výrobky </w:t>
      </w:r>
      <w:r w:rsidR="00A37B0C">
        <w:rPr>
          <w:rFonts w:cs="Arial"/>
        </w:rPr>
        <w:t xml:space="preserve">i </w:t>
      </w:r>
      <w:r w:rsidRPr="00ED38E9">
        <w:rPr>
          <w:rFonts w:cs="Arial"/>
        </w:rPr>
        <w:t>ekologick</w:t>
      </w:r>
      <w:r w:rsidR="00A37B0C">
        <w:rPr>
          <w:rFonts w:cs="Arial"/>
        </w:rPr>
        <w:t>á</w:t>
      </w:r>
      <w:r w:rsidRPr="00ED38E9">
        <w:rPr>
          <w:rFonts w:cs="Arial"/>
        </w:rPr>
        <w:t xml:space="preserve"> zátěž.</w:t>
      </w:r>
    </w:p>
    <w:p w:rsidR="004F311D" w:rsidRPr="00ED38E9" w:rsidP="00BF16B7" w14:paraId="21FD0907" w14:textId="77777777">
      <w:pPr>
        <w:pStyle w:val="Heading3"/>
      </w:pPr>
      <w:r w:rsidRPr="00ED38E9">
        <w:t>Popis existujícího právního stavu v dané oblasti</w:t>
      </w:r>
    </w:p>
    <w:p w:rsidR="004F311D" w:rsidP="00936929" w14:paraId="03502205" w14:textId="38196BC6">
      <w:pPr>
        <w:rPr>
          <w:rFonts w:cs="Arial"/>
        </w:rPr>
      </w:pPr>
      <w:r w:rsidRPr="00ED38E9">
        <w:rPr>
          <w:rFonts w:cs="Arial"/>
        </w:rPr>
        <w:t>Zákon o odpadech v § 38 uvádí, že zpětně odebraný výrobek</w:t>
      </w:r>
      <w:r w:rsidRPr="00ED38E9" w:rsidR="0044305E">
        <w:rPr>
          <w:rFonts w:cs="Arial"/>
        </w:rPr>
        <w:t xml:space="preserve"> se stává odpadem ve chvíli předání osobě oprávněné k jeho využití nebo odstranění. Do této doby nejsou zpětně odebrané v</w:t>
      </w:r>
      <w:r w:rsidRPr="00ED38E9" w:rsidR="0025418D">
        <w:rPr>
          <w:rFonts w:cs="Arial"/>
        </w:rPr>
        <w:t>ýrobky odpadem</w:t>
      </w:r>
      <w:r w:rsidR="00A37B0C">
        <w:rPr>
          <w:rFonts w:cs="Arial"/>
        </w:rPr>
        <w:t>,</w:t>
      </w:r>
      <w:r w:rsidRPr="00ED38E9" w:rsidR="0025418D">
        <w:rPr>
          <w:rFonts w:cs="Arial"/>
        </w:rPr>
        <w:t xml:space="preserve"> a tak se na míst</w:t>
      </w:r>
      <w:r w:rsidRPr="00ED38E9" w:rsidR="0044305E">
        <w:rPr>
          <w:rFonts w:cs="Arial"/>
        </w:rPr>
        <w:t>a zpětného odběru nevztahují povinnosti dle</w:t>
      </w:r>
      <w:r w:rsidR="00DA6DDC">
        <w:rPr>
          <w:rFonts w:cs="Arial"/>
        </w:rPr>
        <w:t> </w:t>
      </w:r>
      <w:r w:rsidRPr="00ED38E9" w:rsidR="0044305E">
        <w:rPr>
          <w:rFonts w:cs="Arial"/>
        </w:rPr>
        <w:t>tohoto zákona. V případě průmyslových baterií a akumulátorů se tak naopak děje ji</w:t>
      </w:r>
      <w:r w:rsidR="00571A8E">
        <w:rPr>
          <w:rFonts w:cs="Arial"/>
        </w:rPr>
        <w:t>ž v míst</w:t>
      </w:r>
      <w:r w:rsidRPr="00ED38E9" w:rsidR="0044305E">
        <w:rPr>
          <w:rFonts w:cs="Arial"/>
        </w:rPr>
        <w:t>ě odděleného sběru, což v některých případech komplikuje jejich sběr.</w:t>
      </w:r>
    </w:p>
    <w:p w:rsidR="0044305E" w:rsidRPr="00ED38E9" w:rsidP="00BF16B7" w14:paraId="0F8A427E" w14:textId="77777777">
      <w:pPr>
        <w:pStyle w:val="Heading3"/>
      </w:pPr>
      <w:r w:rsidRPr="00ED38E9">
        <w:t>Identifikace dotčených subjektů</w:t>
      </w:r>
    </w:p>
    <w:p w:rsidR="0044305E" w:rsidRPr="00ED38E9" w:rsidP="00221615" w14:paraId="4625922C" w14:textId="77777777">
      <w:pPr>
        <w:pStyle w:val="ListParagraph"/>
        <w:numPr>
          <w:ilvl w:val="0"/>
          <w:numId w:val="1"/>
        </w:numPr>
        <w:contextualSpacing w:val="0"/>
        <w:rPr>
          <w:rFonts w:cs="Arial"/>
          <w:noProof w:val="0"/>
        </w:rPr>
      </w:pPr>
      <w:r w:rsidRPr="00ED38E9">
        <w:rPr>
          <w:rFonts w:cs="Arial"/>
          <w:noProof w:val="0"/>
        </w:rPr>
        <w:t>výrobci (kolektivní systémy),</w:t>
      </w:r>
    </w:p>
    <w:p w:rsidR="0044305E" w:rsidRPr="00ED38E9" w:rsidP="00221615" w14:paraId="2A6576E1" w14:textId="77777777">
      <w:pPr>
        <w:pStyle w:val="ListParagraph"/>
        <w:numPr>
          <w:ilvl w:val="0"/>
          <w:numId w:val="1"/>
        </w:numPr>
        <w:contextualSpacing w:val="0"/>
        <w:rPr>
          <w:rFonts w:cs="Arial"/>
          <w:noProof w:val="0"/>
        </w:rPr>
      </w:pPr>
      <w:r w:rsidRPr="00ED38E9">
        <w:rPr>
          <w:rFonts w:cs="Arial"/>
          <w:noProof w:val="0"/>
        </w:rPr>
        <w:t>provozovatelé sběrných míst (obce, prodejci),</w:t>
      </w:r>
    </w:p>
    <w:p w:rsidR="0044305E" w:rsidRPr="00ED38E9" w:rsidP="00221615" w14:paraId="118E67DD" w14:textId="77777777">
      <w:pPr>
        <w:pStyle w:val="ListParagraph"/>
        <w:numPr>
          <w:ilvl w:val="0"/>
          <w:numId w:val="1"/>
        </w:numPr>
        <w:contextualSpacing w:val="0"/>
        <w:rPr>
          <w:rFonts w:cs="Arial"/>
          <w:noProof w:val="0"/>
        </w:rPr>
      </w:pPr>
      <w:r w:rsidRPr="00ED38E9">
        <w:rPr>
          <w:rFonts w:cs="Arial"/>
          <w:noProof w:val="0"/>
        </w:rPr>
        <w:t>krajské úřady,</w:t>
      </w:r>
    </w:p>
    <w:p w:rsidR="0044305E" w:rsidRPr="00ED38E9" w:rsidP="00221615" w14:paraId="1F333FC3" w14:textId="77777777">
      <w:pPr>
        <w:pStyle w:val="ListParagraph"/>
        <w:numPr>
          <w:ilvl w:val="0"/>
          <w:numId w:val="1"/>
        </w:numPr>
        <w:contextualSpacing w:val="0"/>
        <w:rPr>
          <w:rFonts w:cs="Arial"/>
          <w:noProof w:val="0"/>
        </w:rPr>
      </w:pPr>
      <w:r w:rsidRPr="00ED38E9">
        <w:rPr>
          <w:rFonts w:cs="Arial"/>
          <w:noProof w:val="0"/>
        </w:rPr>
        <w:t>obce,</w:t>
      </w:r>
    </w:p>
    <w:p w:rsidR="0044305E" w:rsidRPr="00ED38E9" w:rsidP="00221615" w14:paraId="0C21D158" w14:textId="77777777">
      <w:pPr>
        <w:pStyle w:val="ListParagraph"/>
        <w:numPr>
          <w:ilvl w:val="0"/>
          <w:numId w:val="1"/>
        </w:numPr>
        <w:contextualSpacing w:val="0"/>
        <w:rPr>
          <w:rFonts w:cs="Arial"/>
          <w:noProof w:val="0"/>
        </w:rPr>
      </w:pPr>
      <w:r w:rsidRPr="00ED38E9">
        <w:rPr>
          <w:rFonts w:cs="Arial"/>
          <w:noProof w:val="0"/>
        </w:rPr>
        <w:t>Ministerstvo životního prostředí (MŽP, ministerstvo),</w:t>
      </w:r>
    </w:p>
    <w:p w:rsidR="0025418D" w:rsidP="00221615" w14:paraId="0868C49C" w14:textId="77777777">
      <w:pPr>
        <w:pStyle w:val="ListParagraph"/>
        <w:numPr>
          <w:ilvl w:val="0"/>
          <w:numId w:val="1"/>
        </w:numPr>
        <w:contextualSpacing w:val="0"/>
        <w:rPr>
          <w:rFonts w:cs="Arial"/>
          <w:noProof w:val="0"/>
        </w:rPr>
      </w:pPr>
      <w:r w:rsidRPr="00ED38E9">
        <w:rPr>
          <w:rFonts w:cs="Arial"/>
          <w:noProof w:val="0"/>
        </w:rPr>
        <w:t>Česká inspekce životního prostředí (ČIŽP).</w:t>
      </w:r>
    </w:p>
    <w:p w:rsidR="0025418D" w:rsidRPr="00ED38E9" w:rsidP="00BF16B7" w14:paraId="019D05A9" w14:textId="77777777">
      <w:pPr>
        <w:pStyle w:val="Heading3"/>
      </w:pPr>
      <w:r w:rsidRPr="00ED38E9">
        <w:t>Popis cílového stavu</w:t>
      </w:r>
    </w:p>
    <w:p w:rsidR="0025418D" w:rsidP="00936929" w14:paraId="7FEEDDC9" w14:textId="77777777">
      <w:pPr>
        <w:rPr>
          <w:rFonts w:cs="Arial"/>
        </w:rPr>
      </w:pPr>
      <w:r w:rsidRPr="00ED38E9">
        <w:rPr>
          <w:rFonts w:cs="Arial"/>
        </w:rPr>
        <w:t xml:space="preserve">Hlavním cílem je, aby </w:t>
      </w:r>
      <w:r w:rsidR="00A37B0C">
        <w:rPr>
          <w:rFonts w:cs="Arial"/>
        </w:rPr>
        <w:t xml:space="preserve">provozovatelé </w:t>
      </w:r>
      <w:r w:rsidRPr="00ED38E9">
        <w:rPr>
          <w:rFonts w:cs="Arial"/>
        </w:rPr>
        <w:t>míst zpětného odběru měl</w:t>
      </w:r>
      <w:r w:rsidR="00A37B0C">
        <w:rPr>
          <w:rFonts w:cs="Arial"/>
        </w:rPr>
        <w:t>i</w:t>
      </w:r>
      <w:r w:rsidRPr="00ED38E9">
        <w:rPr>
          <w:rFonts w:cs="Arial"/>
        </w:rPr>
        <w:t xml:space="preserve"> určité povinnosti ze zákona, ale nebyl</w:t>
      </w:r>
      <w:r w:rsidR="00A37B0C">
        <w:rPr>
          <w:rFonts w:cs="Arial"/>
        </w:rPr>
        <w:t>i</w:t>
      </w:r>
      <w:r w:rsidRPr="00ED38E9">
        <w:rPr>
          <w:rFonts w:cs="Arial"/>
        </w:rPr>
        <w:t xml:space="preserve"> zatížen</w:t>
      </w:r>
      <w:r w:rsidR="00A37B0C">
        <w:rPr>
          <w:rFonts w:cs="Arial"/>
        </w:rPr>
        <w:t>i</w:t>
      </w:r>
      <w:r w:rsidRPr="00ED38E9">
        <w:rPr>
          <w:rFonts w:cs="Arial"/>
        </w:rPr>
        <w:t xml:space="preserve"> složitou administrativnou jako u zařízení k využívání, odstraňování, sběru nebo výkupu odpadů.</w:t>
      </w:r>
    </w:p>
    <w:p w:rsidR="0025418D" w:rsidRPr="00ED38E9" w:rsidP="00BF16B7" w14:paraId="0FD766F1" w14:textId="77777777">
      <w:pPr>
        <w:pStyle w:val="Heading3"/>
      </w:pPr>
      <w:r w:rsidRPr="00ED38E9">
        <w:t>Zhodnocení rizika</w:t>
      </w:r>
    </w:p>
    <w:p w:rsidR="0025418D" w:rsidP="00936929" w14:paraId="5594F6ED" w14:textId="77777777">
      <w:pPr>
        <w:rPr>
          <w:rFonts w:cs="Arial"/>
        </w:rPr>
      </w:pPr>
      <w:r w:rsidRPr="00ED38E9">
        <w:rPr>
          <w:rFonts w:cs="Arial"/>
        </w:rPr>
        <w:t>V</w:t>
      </w:r>
      <w:r w:rsidRPr="00ED38E9" w:rsidR="00190573">
        <w:rPr>
          <w:rFonts w:cs="Arial"/>
        </w:rPr>
        <w:t> případě p</w:t>
      </w:r>
      <w:r w:rsidR="0021531D">
        <w:rPr>
          <w:rFonts w:cs="Arial"/>
        </w:rPr>
        <w:t>onechání současného stavu nejsou</w:t>
      </w:r>
      <w:r w:rsidR="00A37B0C">
        <w:rPr>
          <w:rFonts w:cs="Arial"/>
        </w:rPr>
        <w:t xml:space="preserve"> </w:t>
      </w:r>
      <w:r w:rsidR="0021531D">
        <w:rPr>
          <w:rFonts w:cs="Arial"/>
        </w:rPr>
        <w:t>k dispozici</w:t>
      </w:r>
      <w:r w:rsidRPr="00ED38E9" w:rsidR="00190573">
        <w:rPr>
          <w:rFonts w:cs="Arial"/>
        </w:rPr>
        <w:t xml:space="preserve"> dostatečné </w:t>
      </w:r>
      <w:r w:rsidRPr="00ED38E9">
        <w:rPr>
          <w:rFonts w:cs="Arial"/>
        </w:rPr>
        <w:t xml:space="preserve">nástroje </w:t>
      </w:r>
      <w:r w:rsidRPr="00ED38E9" w:rsidR="00190573">
        <w:rPr>
          <w:rFonts w:cs="Arial"/>
        </w:rPr>
        <w:t>v případě kontrol míst zpětného odběru. V případě zařazení těchto míst</w:t>
      </w:r>
      <w:r w:rsidR="0021531D">
        <w:rPr>
          <w:rFonts w:cs="Arial"/>
        </w:rPr>
        <w:t xml:space="preserve"> do odpadového režimu </w:t>
      </w:r>
      <w:r w:rsidR="00A37B0C">
        <w:rPr>
          <w:rFonts w:cs="Arial"/>
        </w:rPr>
        <w:t xml:space="preserve">může dojít k výraznému navýšení </w:t>
      </w:r>
      <w:r w:rsidRPr="00ED38E9" w:rsidR="00190573">
        <w:rPr>
          <w:rFonts w:cs="Arial"/>
        </w:rPr>
        <w:t>nákladů nejen u míst zpětného odběru, ale i na straně státní správy.</w:t>
      </w:r>
    </w:p>
    <w:p w:rsidR="00190573" w:rsidRPr="00ED38E9" w:rsidP="002564B6" w14:paraId="6356C77D" w14:textId="77777777">
      <w:pPr>
        <w:pStyle w:val="Heading2"/>
        <w:spacing w:before="120" w:after="120"/>
      </w:pPr>
      <w:bookmarkStart w:id="14" w:name="_Toc441759830"/>
      <w:r w:rsidRPr="00ED38E9">
        <w:t>Návrh variant řešení</w:t>
      </w:r>
      <w:bookmarkEnd w:id="14"/>
    </w:p>
    <w:p w:rsidR="00190573" w:rsidRPr="00ED38E9" w:rsidP="002564B6" w14:paraId="132FFF6C" w14:textId="77777777">
      <w:pPr>
        <w:pStyle w:val="Heading3"/>
        <w:keepNext/>
        <w:widowControl/>
      </w:pPr>
      <w:r w:rsidRPr="00ED38E9">
        <w:t>Varianta 0</w:t>
      </w:r>
    </w:p>
    <w:p w:rsidR="00190573" w:rsidP="00221615" w14:paraId="33669320" w14:textId="77777777">
      <w:pPr>
        <w:spacing w:after="0"/>
        <w:rPr>
          <w:rFonts w:cs="Arial"/>
        </w:rPr>
      </w:pPr>
      <w:r w:rsidRPr="00ED38E9">
        <w:rPr>
          <w:rFonts w:cs="Arial"/>
        </w:rPr>
        <w:t xml:space="preserve">Ponechání současného stavu, kdy místa zpětného odběru výrobků (prodejci, servisy) </w:t>
      </w:r>
      <w:r w:rsidR="00A37B0C">
        <w:rPr>
          <w:rFonts w:cs="Arial"/>
        </w:rPr>
        <w:t>nemusí žádat o</w:t>
      </w:r>
      <w:r w:rsidRPr="00ED38E9" w:rsidR="00A37B0C">
        <w:rPr>
          <w:rFonts w:cs="Arial"/>
        </w:rPr>
        <w:t xml:space="preserve"> </w:t>
      </w:r>
      <w:r w:rsidRPr="00ED38E9">
        <w:rPr>
          <w:rFonts w:cs="Arial"/>
        </w:rPr>
        <w:t>souhlas dle § 14 zákona o odpadech, protože dle současního znění zákona se zpětně odebraný výrobek stá</w:t>
      </w:r>
      <w:r w:rsidRPr="00ED38E9" w:rsidR="002B5D43">
        <w:rPr>
          <w:rFonts w:cs="Arial"/>
        </w:rPr>
        <w:t>vá</w:t>
      </w:r>
      <w:r w:rsidRPr="00ED38E9">
        <w:rPr>
          <w:rFonts w:cs="Arial"/>
        </w:rPr>
        <w:t xml:space="preserve"> odpadem ve chvíli, kdy je předán osobě oprávně</w:t>
      </w:r>
      <w:r w:rsidR="0089277C">
        <w:rPr>
          <w:rFonts w:cs="Arial"/>
        </w:rPr>
        <w:t>né k využití nebo odstranění (§ </w:t>
      </w:r>
      <w:r w:rsidRPr="00ED38E9">
        <w:rPr>
          <w:rFonts w:cs="Arial"/>
        </w:rPr>
        <w:t>38 zákona o odpadech).</w:t>
      </w:r>
    </w:p>
    <w:p w:rsidR="00E15550" w:rsidRPr="00ED38E9" w:rsidP="00BF16B7" w14:paraId="0126F1A5" w14:textId="77777777">
      <w:pPr>
        <w:pStyle w:val="Heading3"/>
      </w:pPr>
      <w:r w:rsidRPr="00ED38E9">
        <w:t>Varianta 1</w:t>
      </w:r>
    </w:p>
    <w:p w:rsidR="00E15550" w:rsidP="00221615" w14:paraId="4E10F133" w14:textId="77777777">
      <w:pPr>
        <w:spacing w:after="0"/>
        <w:rPr>
          <w:rFonts w:cs="Arial"/>
        </w:rPr>
      </w:pPr>
      <w:r w:rsidRPr="00ED38E9">
        <w:rPr>
          <w:rFonts w:cs="Arial"/>
        </w:rPr>
        <w:t>Zahrnutí míst zpětného odběru jako zařízení ke sběru odpadů, včetně povinnosti mít souhlas dle § 14 zákona o odpadech, vést průběžnou evidenci včetně zasílání ročních hlášení.</w:t>
      </w:r>
    </w:p>
    <w:p w:rsidR="00463825" w:rsidRPr="00ED38E9" w:rsidP="00BF16B7" w14:paraId="7B021C73" w14:textId="77777777">
      <w:pPr>
        <w:pStyle w:val="Heading3"/>
      </w:pPr>
      <w:r w:rsidRPr="00ED38E9">
        <w:t>Varianta 2</w:t>
      </w:r>
    </w:p>
    <w:p w:rsidR="00463825" w:rsidP="00221615" w14:paraId="1B0A54CD" w14:textId="6E0F14FB">
      <w:pPr>
        <w:spacing w:after="0"/>
        <w:rPr>
          <w:rFonts w:cs="Arial"/>
        </w:rPr>
      </w:pPr>
      <w:r w:rsidRPr="00ED38E9">
        <w:rPr>
          <w:rFonts w:cs="Arial"/>
        </w:rPr>
        <w:t>Zahrnutí míst zpětného odběru jako zařízení ke sběru odpadů, bez povinnosti mít souhlas dle</w:t>
      </w:r>
      <w:r w:rsidR="004114EA">
        <w:rPr>
          <w:rFonts w:cs="Arial"/>
        </w:rPr>
        <w:t> </w:t>
      </w:r>
      <w:r w:rsidRPr="00ED38E9">
        <w:rPr>
          <w:rFonts w:cs="Arial"/>
        </w:rPr>
        <w:t>§</w:t>
      </w:r>
      <w:r w:rsidR="004114EA">
        <w:rPr>
          <w:rFonts w:cs="Arial"/>
        </w:rPr>
        <w:t> </w:t>
      </w:r>
      <w:r w:rsidRPr="00ED38E9">
        <w:rPr>
          <w:rFonts w:cs="Arial"/>
        </w:rPr>
        <w:t>14 zákona o odpadech</w:t>
      </w:r>
      <w:r w:rsidR="00A64F41">
        <w:rPr>
          <w:rFonts w:cs="Arial"/>
        </w:rPr>
        <w:t xml:space="preserve"> a vést průběžnou odpadovou evidenci</w:t>
      </w:r>
      <w:r w:rsidR="004C35BF">
        <w:rPr>
          <w:rFonts w:cs="Arial"/>
        </w:rPr>
        <w:t>. V</w:t>
      </w:r>
      <w:r w:rsidR="00A64F41">
        <w:rPr>
          <w:rFonts w:cs="Arial"/>
        </w:rPr>
        <w:t>ýrobce, jakožto zřizovatel místa zpětného odběru</w:t>
      </w:r>
      <w:r w:rsidR="00625F7A">
        <w:rPr>
          <w:rFonts w:cs="Arial"/>
        </w:rPr>
        <w:t>,</w:t>
      </w:r>
      <w:r w:rsidR="00A64F41">
        <w:rPr>
          <w:rFonts w:cs="Arial"/>
        </w:rPr>
        <w:t xml:space="preserve"> však může požadovat po místě zp</w:t>
      </w:r>
      <w:r w:rsidR="0089277C">
        <w:rPr>
          <w:rFonts w:cs="Arial"/>
        </w:rPr>
        <w:t>ětného odběru vedení evidence o </w:t>
      </w:r>
      <w:r w:rsidR="00A64F41">
        <w:rPr>
          <w:rFonts w:cs="Arial"/>
        </w:rPr>
        <w:t>množství zpětně odebraných výrobků</w:t>
      </w:r>
      <w:r w:rsidR="00625F7A">
        <w:rPr>
          <w:rFonts w:cs="Arial"/>
        </w:rPr>
        <w:t>.</w:t>
      </w:r>
      <w:r w:rsidRPr="00ED38E9">
        <w:rPr>
          <w:rFonts w:cs="Arial"/>
        </w:rPr>
        <w:t xml:space="preserve"> </w:t>
      </w:r>
      <w:r w:rsidR="00625F7A">
        <w:rPr>
          <w:rFonts w:cs="Arial"/>
        </w:rPr>
        <w:t xml:space="preserve">Jedná se o </w:t>
      </w:r>
      <w:r w:rsidRPr="00ED38E9">
        <w:rPr>
          <w:rFonts w:cs="Arial"/>
        </w:rPr>
        <w:t xml:space="preserve">tzv. „zjednodušený </w:t>
      </w:r>
      <w:r w:rsidR="006270B5">
        <w:rPr>
          <w:rFonts w:cs="Arial"/>
        </w:rPr>
        <w:t xml:space="preserve">odpadový </w:t>
      </w:r>
      <w:r w:rsidRPr="00ED38E9">
        <w:rPr>
          <w:rFonts w:cs="Arial"/>
        </w:rPr>
        <w:t>řežim“.</w:t>
      </w:r>
      <w:r w:rsidRPr="008E6682" w:rsidR="008E6682">
        <w:rPr>
          <w:rFonts w:cs="Arial"/>
        </w:rPr>
        <w:t xml:space="preserve"> </w:t>
      </w:r>
      <w:r w:rsidRPr="00ED38E9" w:rsidR="008E6682">
        <w:rPr>
          <w:rFonts w:cs="Arial"/>
        </w:rPr>
        <w:t xml:space="preserve">Evidence bude </w:t>
      </w:r>
      <w:r w:rsidR="008E6682">
        <w:rPr>
          <w:rFonts w:cs="Arial"/>
        </w:rPr>
        <w:t xml:space="preserve">ve Variantě 2 </w:t>
      </w:r>
      <w:r w:rsidRPr="00ED38E9" w:rsidR="008E6682">
        <w:rPr>
          <w:rFonts w:cs="Arial"/>
        </w:rPr>
        <w:t>zjednodušena</w:t>
      </w:r>
      <w:r w:rsidR="008E6682">
        <w:rPr>
          <w:rFonts w:cs="Arial"/>
        </w:rPr>
        <w:t>.</w:t>
      </w:r>
    </w:p>
    <w:p w:rsidR="006368E6" w:rsidRPr="00ED38E9" w:rsidP="00221615" w14:paraId="7663FB09" w14:textId="77777777">
      <w:pPr>
        <w:spacing w:after="120"/>
        <w:rPr>
          <w:rFonts w:cs="Arial"/>
        </w:rPr>
      </w:pPr>
    </w:p>
    <w:p w:rsidR="006468A1" w:rsidRPr="00ED38E9" w:rsidP="00221615" w14:paraId="74A27BCE" w14:textId="77777777">
      <w:pPr>
        <w:pStyle w:val="Heading2"/>
        <w:spacing w:before="120" w:after="120"/>
      </w:pPr>
      <w:bookmarkStart w:id="15" w:name="_Toc441759831"/>
      <w:r w:rsidRPr="00ED38E9">
        <w:t>Vyhodnocení nákladů a přínosů</w:t>
      </w:r>
      <w:bookmarkEnd w:id="15"/>
    </w:p>
    <w:p w:rsidR="006468A1" w:rsidRPr="00ED38E9" w:rsidP="00BF16B7" w14:paraId="187491A3" w14:textId="77777777">
      <w:pPr>
        <w:pStyle w:val="Heading3"/>
      </w:pPr>
      <w:r w:rsidRPr="00ED38E9">
        <w:t>Identifikace nákladů a přínosů</w:t>
      </w:r>
    </w:p>
    <w:p w:rsidR="006468A1" w:rsidRPr="00ED38E9" w:rsidP="00936929" w14:paraId="4B03E12C" w14:textId="77777777">
      <w:pPr>
        <w:rPr>
          <w:rFonts w:cs="Arial"/>
        </w:rPr>
      </w:pPr>
      <w:r w:rsidRPr="00ED38E9">
        <w:rPr>
          <w:rFonts w:cs="Arial"/>
        </w:rPr>
        <w:t xml:space="preserve">Z pohledu přínosů </w:t>
      </w:r>
      <w:r w:rsidRPr="00ED38E9" w:rsidR="002B5D43">
        <w:rPr>
          <w:rFonts w:cs="Arial"/>
        </w:rPr>
        <w:t xml:space="preserve">se </w:t>
      </w:r>
      <w:r w:rsidRPr="00ED38E9">
        <w:rPr>
          <w:rFonts w:cs="Arial"/>
        </w:rPr>
        <w:t xml:space="preserve">uvedené varianty </w:t>
      </w:r>
      <w:r w:rsidR="006270B5">
        <w:rPr>
          <w:rFonts w:cs="Arial"/>
        </w:rPr>
        <w:t xml:space="preserve">1 a 2 </w:t>
      </w:r>
      <w:r w:rsidRPr="00ED38E9" w:rsidR="002B5D43">
        <w:rPr>
          <w:rFonts w:cs="Arial"/>
        </w:rPr>
        <w:t>významně neliší</w:t>
      </w:r>
      <w:r w:rsidRPr="00ED38E9">
        <w:rPr>
          <w:rFonts w:cs="Arial"/>
        </w:rPr>
        <w:t xml:space="preserve">, </w:t>
      </w:r>
      <w:r w:rsidR="006270B5">
        <w:rPr>
          <w:rFonts w:cs="Arial"/>
        </w:rPr>
        <w:t>ale v porovnání s variantou 0 mají v</w:t>
      </w:r>
      <w:r w:rsidRPr="00ED38E9">
        <w:rPr>
          <w:rFonts w:cs="Arial"/>
        </w:rPr>
        <w:t>arianty 1 a 2 lepší možnosti dohledu nad danými komoditami. Základní odlišnosti v uvedených variantách ale shledáváme zejména v nákladech, které jsou spojené s:</w:t>
      </w:r>
    </w:p>
    <w:p w:rsidR="00747098" w:rsidRPr="00ED38E9" w:rsidP="003C445B" w14:paraId="6EE22F58" w14:textId="77777777">
      <w:pPr>
        <w:pStyle w:val="ListParagraph"/>
        <w:numPr>
          <w:ilvl w:val="0"/>
          <w:numId w:val="57"/>
        </w:numPr>
        <w:contextualSpacing w:val="0"/>
        <w:rPr>
          <w:rFonts w:cs="Arial"/>
        </w:rPr>
      </w:pPr>
      <w:r w:rsidRPr="00ED38E9">
        <w:rPr>
          <w:rFonts w:cs="Arial"/>
        </w:rPr>
        <w:t xml:space="preserve">žádostí o udělení souhlasu k provozování zařízení k využívání, odstraňování, sběru nebo výkupu odpadů, </w:t>
      </w:r>
    </w:p>
    <w:p w:rsidR="00747098" w:rsidRPr="00ED38E9" w:rsidP="003C445B" w14:paraId="763F456A" w14:textId="77777777">
      <w:pPr>
        <w:pStyle w:val="ListParagraph"/>
        <w:numPr>
          <w:ilvl w:val="0"/>
          <w:numId w:val="57"/>
        </w:numPr>
        <w:contextualSpacing w:val="0"/>
        <w:rPr>
          <w:rFonts w:cs="Arial"/>
        </w:rPr>
      </w:pPr>
      <w:r w:rsidRPr="00ED38E9">
        <w:rPr>
          <w:rFonts w:cs="Arial"/>
        </w:rPr>
        <w:t>s průběžnou evidencí a ohlašováním,</w:t>
      </w:r>
    </w:p>
    <w:p w:rsidR="006368E6" w:rsidP="003C445B" w14:paraId="7456FCD9" w14:textId="77777777">
      <w:pPr>
        <w:pStyle w:val="ListParagraph"/>
        <w:numPr>
          <w:ilvl w:val="0"/>
          <w:numId w:val="57"/>
        </w:numPr>
        <w:contextualSpacing w:val="0"/>
        <w:rPr>
          <w:rFonts w:cs="Arial"/>
        </w:rPr>
      </w:pPr>
      <w:r w:rsidRPr="00ED38E9">
        <w:rPr>
          <w:rFonts w:cs="Arial"/>
        </w:rPr>
        <w:t>s evidencí při přepravě odpadů.</w:t>
      </w:r>
    </w:p>
    <w:p w:rsidR="00242C3C" w:rsidRPr="00221615" w:rsidP="00412DA2" w14:paraId="50629B61" w14:textId="77777777">
      <w:pPr>
        <w:keepNext/>
        <w:numPr>
          <w:ilvl w:val="0"/>
          <w:numId w:val="38"/>
        </w:numPr>
        <w:spacing w:before="360" w:after="120"/>
        <w:ind w:left="714" w:hanging="357"/>
        <w:rPr>
          <w:rFonts w:cs="Arial"/>
          <w:b/>
          <w:bCs/>
          <w:noProof w:val="0"/>
        </w:rPr>
      </w:pPr>
      <w:r w:rsidRPr="00221615">
        <w:rPr>
          <w:rFonts w:cs="Arial"/>
          <w:b/>
          <w:noProof w:val="0"/>
          <w:lang w:bidi="ar-SA"/>
        </w:rPr>
        <w:t>Varianta</w:t>
      </w:r>
      <w:r w:rsidRPr="00221615">
        <w:rPr>
          <w:rFonts w:cs="Arial"/>
          <w:b/>
          <w:bCs/>
          <w:noProof w:val="0"/>
        </w:rPr>
        <w:t xml:space="preserve"> 0</w:t>
      </w:r>
    </w:p>
    <w:p w:rsidR="00242C3C" w:rsidRPr="00221615" w:rsidP="00DA6DDC" w14:paraId="71EFB0A7" w14:textId="77777777">
      <w:pPr>
        <w:pStyle w:val="Normlntun"/>
        <w:spacing w:before="240" w:line="276" w:lineRule="auto"/>
        <w:rPr>
          <w:rFonts w:cs="Arial"/>
          <w:szCs w:val="24"/>
        </w:rPr>
      </w:pPr>
      <w:r w:rsidRPr="00221615">
        <w:rPr>
          <w:rFonts w:cs="Arial"/>
          <w:szCs w:val="24"/>
        </w:rPr>
        <w:t>Dopady na státní rozpočet a ostatní veřejné rozpočty</w:t>
      </w:r>
    </w:p>
    <w:p w:rsidR="009829B0" w:rsidP="00936929" w14:paraId="1358DD66" w14:textId="77777777">
      <w:pPr>
        <w:rPr>
          <w:rFonts w:cs="Arial"/>
        </w:rPr>
      </w:pPr>
      <w:r w:rsidRPr="006368E6">
        <w:rPr>
          <w:rFonts w:cs="Arial"/>
        </w:rPr>
        <w:t>Současný stav nepředstavuje dopady na státní rozpočet a ostatní veřejné rozpočty.</w:t>
      </w:r>
    </w:p>
    <w:p w:rsidR="009829B0" w:rsidRPr="00221615" w:rsidP="00B66397" w14:paraId="533246BA" w14:textId="77777777">
      <w:pPr>
        <w:pStyle w:val="Normlntun"/>
        <w:spacing w:before="240" w:line="276" w:lineRule="auto"/>
        <w:rPr>
          <w:rFonts w:cs="Arial"/>
          <w:szCs w:val="24"/>
        </w:rPr>
      </w:pPr>
      <w:r w:rsidRPr="00221615">
        <w:rPr>
          <w:rFonts w:cs="Arial"/>
          <w:szCs w:val="24"/>
        </w:rPr>
        <w:t xml:space="preserve">Dopady na </w:t>
      </w:r>
      <w:r w:rsidRPr="00221615" w:rsidR="002B3F84">
        <w:rPr>
          <w:rFonts w:cs="Arial"/>
          <w:szCs w:val="24"/>
        </w:rPr>
        <w:t>podnikatelské subjekty</w:t>
      </w:r>
    </w:p>
    <w:p w:rsidR="00747098" w:rsidRPr="00A64F41" w:rsidP="003C445B" w14:paraId="4AD04202" w14:textId="77777777">
      <w:pPr>
        <w:pStyle w:val="Normlntun"/>
        <w:numPr>
          <w:ilvl w:val="0"/>
          <w:numId w:val="59"/>
        </w:numPr>
        <w:spacing w:after="0" w:line="276" w:lineRule="auto"/>
        <w:rPr>
          <w:rFonts w:cs="Arial"/>
          <w:szCs w:val="22"/>
        </w:rPr>
      </w:pPr>
      <w:r w:rsidRPr="00621B3E">
        <w:rPr>
          <w:rFonts w:cs="Arial"/>
          <w:szCs w:val="22"/>
        </w:rPr>
        <w:t>Ž</w:t>
      </w:r>
      <w:r w:rsidRPr="006F5445" w:rsidR="002B3F84">
        <w:rPr>
          <w:rFonts w:cs="Arial"/>
          <w:szCs w:val="22"/>
        </w:rPr>
        <w:t>ádost o udělení souhlasu</w:t>
      </w:r>
      <w:r w:rsidRPr="00621B3E" w:rsidR="00242C3C">
        <w:rPr>
          <w:rFonts w:cs="Arial"/>
          <w:szCs w:val="22"/>
        </w:rPr>
        <w:t xml:space="preserve"> k provozování zařízení ke sběru odpadů</w:t>
      </w:r>
    </w:p>
    <w:p w:rsidR="00242C3C" w:rsidRPr="00ED38E9" w:rsidP="00936929" w14:paraId="32812AE8" w14:textId="77777777">
      <w:pPr>
        <w:rPr>
          <w:rFonts w:cs="Arial"/>
        </w:rPr>
      </w:pPr>
      <w:r w:rsidRPr="00ED38E9">
        <w:rPr>
          <w:rFonts w:cs="Arial"/>
        </w:rPr>
        <w:t xml:space="preserve">U této varianty nejsou žádné </w:t>
      </w:r>
      <w:r w:rsidRPr="00ED38E9" w:rsidR="009829B0">
        <w:rPr>
          <w:rFonts w:cs="Arial"/>
        </w:rPr>
        <w:t>náklady, protože sběrná místa nežádají o souhlas ke sběru odpadů dle zákona o odpadech.</w:t>
      </w:r>
    </w:p>
    <w:p w:rsidR="009829B0" w:rsidRPr="00ED38E9" w:rsidP="003C445B" w14:paraId="2057DA81" w14:textId="77777777">
      <w:pPr>
        <w:pStyle w:val="Normlntun"/>
        <w:numPr>
          <w:ilvl w:val="0"/>
          <w:numId w:val="59"/>
        </w:numPr>
        <w:spacing w:after="0" w:line="276" w:lineRule="auto"/>
        <w:rPr>
          <w:rFonts w:cs="Arial"/>
        </w:rPr>
      </w:pPr>
      <w:r w:rsidRPr="00ED38E9">
        <w:rPr>
          <w:rFonts w:cs="Arial"/>
        </w:rPr>
        <w:t>Průběžná evidence, roční hlášení</w:t>
      </w:r>
    </w:p>
    <w:p w:rsidR="009829B0" w:rsidRPr="00ED38E9" w:rsidP="00936929" w14:paraId="656640A2" w14:textId="5C8E658A">
      <w:pPr>
        <w:rPr>
          <w:rFonts w:cs="Arial"/>
        </w:rPr>
      </w:pPr>
      <w:r w:rsidRPr="00ED38E9">
        <w:rPr>
          <w:rFonts w:cs="Arial"/>
        </w:rPr>
        <w:t xml:space="preserve">Sběrná místa nemusí vést průběžnou evidenci. Většinou ji ale vedou, aby </w:t>
      </w:r>
      <w:r w:rsidRPr="00ED38E9" w:rsidR="002B5D43">
        <w:rPr>
          <w:rFonts w:cs="Arial"/>
        </w:rPr>
        <w:t xml:space="preserve">měla </w:t>
      </w:r>
      <w:r w:rsidRPr="00ED38E9">
        <w:rPr>
          <w:rFonts w:cs="Arial"/>
        </w:rPr>
        <w:t>přehled o</w:t>
      </w:r>
      <w:r w:rsidRPr="00ED38E9" w:rsidR="008C475D">
        <w:rPr>
          <w:rFonts w:cs="Arial"/>
        </w:rPr>
        <w:t> </w:t>
      </w:r>
      <w:r w:rsidRPr="00ED38E9">
        <w:rPr>
          <w:rFonts w:cs="Arial"/>
        </w:rPr>
        <w:t>naplněnosti sběrných nádob, kontejnerů či skladů</w:t>
      </w:r>
      <w:r w:rsidRPr="00ED38E9" w:rsidR="002B5D43">
        <w:rPr>
          <w:rFonts w:cs="Arial"/>
        </w:rPr>
        <w:t>,</w:t>
      </w:r>
      <w:r w:rsidRPr="00ED38E9">
        <w:rPr>
          <w:rFonts w:cs="Arial"/>
        </w:rPr>
        <w:t xml:space="preserve"> a mohl</w:t>
      </w:r>
      <w:r w:rsidRPr="00ED38E9" w:rsidR="002B5D43">
        <w:rPr>
          <w:rFonts w:cs="Arial"/>
        </w:rPr>
        <w:t>a</w:t>
      </w:r>
      <w:r w:rsidRPr="00ED38E9">
        <w:rPr>
          <w:rFonts w:cs="Arial"/>
        </w:rPr>
        <w:t xml:space="preserve"> pak včas objednat svoz. Doklad o</w:t>
      </w:r>
      <w:r w:rsidR="009E568F">
        <w:rPr>
          <w:rFonts w:cs="Arial"/>
        </w:rPr>
        <w:t> </w:t>
      </w:r>
      <w:r w:rsidRPr="00ED38E9">
        <w:rPr>
          <w:rFonts w:cs="Arial"/>
        </w:rPr>
        <w:t xml:space="preserve">převzetí </w:t>
      </w:r>
      <w:r w:rsidRPr="00ED38E9" w:rsidR="008C475D">
        <w:rPr>
          <w:rFonts w:cs="Arial"/>
        </w:rPr>
        <w:t>předávají u některých komodit pouze právnickým osobám, případně fyzickým osobám a na vyžádání.</w:t>
      </w:r>
    </w:p>
    <w:p w:rsidR="009829B0" w:rsidRPr="00ED38E9" w:rsidP="003C445B" w14:paraId="1ECA626B" w14:textId="77777777">
      <w:pPr>
        <w:pStyle w:val="Normlntun"/>
        <w:numPr>
          <w:ilvl w:val="0"/>
          <w:numId w:val="59"/>
        </w:numPr>
        <w:spacing w:after="0" w:line="276" w:lineRule="auto"/>
        <w:ind w:left="714" w:hanging="357"/>
        <w:rPr>
          <w:rFonts w:cs="Arial"/>
        </w:rPr>
      </w:pPr>
      <w:r w:rsidRPr="00ED38E9">
        <w:rPr>
          <w:rFonts w:cs="Arial"/>
        </w:rPr>
        <w:t>Evidence při přepravě odpadů</w:t>
      </w:r>
    </w:p>
    <w:p w:rsidR="008C475D" w:rsidP="00936929" w14:paraId="552E54FF" w14:textId="189490F3">
      <w:pPr>
        <w:rPr>
          <w:rFonts w:cs="Arial"/>
        </w:rPr>
      </w:pPr>
      <w:r w:rsidRPr="00ED38E9">
        <w:rPr>
          <w:rFonts w:cs="Arial"/>
        </w:rPr>
        <w:t>Systém svozu probíhá na základě dohod či smluv s kolektivním systémem či jiným subjektem. Svoz je pak realizován na základě telefonické žádosti nebo nahlášení objemu prostřednictvím elektronického systému. Při samotném odvozu pak probíhá jednoduchá administrativa a</w:t>
      </w:r>
      <w:r w:rsidR="009E568F">
        <w:rPr>
          <w:rFonts w:cs="Arial"/>
        </w:rPr>
        <w:t> </w:t>
      </w:r>
      <w:r w:rsidRPr="00ED38E9">
        <w:rPr>
          <w:rFonts w:cs="Arial"/>
        </w:rPr>
        <w:t xml:space="preserve">následně svozová firma dodatečně dodá doklady o skutečném množství výrobků s ukončenou životností, které převzala, protože se jedná o údaj hmotnostní, který lze </w:t>
      </w:r>
      <w:r w:rsidR="006270B5">
        <w:rPr>
          <w:rFonts w:cs="Arial"/>
        </w:rPr>
        <w:t xml:space="preserve">snadno </w:t>
      </w:r>
      <w:r w:rsidRPr="00ED38E9">
        <w:rPr>
          <w:rFonts w:cs="Arial"/>
        </w:rPr>
        <w:t>zjistit po</w:t>
      </w:r>
      <w:r w:rsidRPr="00ED38E9" w:rsidR="002B5D43">
        <w:rPr>
          <w:rFonts w:cs="Arial"/>
        </w:rPr>
        <w:t>u</w:t>
      </w:r>
      <w:r w:rsidRPr="00ED38E9">
        <w:rPr>
          <w:rFonts w:cs="Arial"/>
        </w:rPr>
        <w:t>ze zvážením vozidla. Vozidla převážející výrobky s ukončenou životností nemusí být označena</w:t>
      </w:r>
      <w:r w:rsidR="006270B5">
        <w:rPr>
          <w:rFonts w:cs="Arial"/>
        </w:rPr>
        <w:t xml:space="preserve"> jako vozidla převážející odpady</w:t>
      </w:r>
      <w:r w:rsidRPr="00ED38E9">
        <w:rPr>
          <w:rFonts w:cs="Arial"/>
        </w:rPr>
        <w:t>.</w:t>
      </w:r>
    </w:p>
    <w:p w:rsidR="00B14B61" w:rsidRPr="00ED38E9" w:rsidP="00221615" w14:paraId="6D7FA854" w14:textId="77777777">
      <w:pPr>
        <w:spacing w:after="120"/>
        <w:rPr>
          <w:rFonts w:cs="Arial"/>
        </w:rPr>
      </w:pPr>
    </w:p>
    <w:p w:rsidR="008C475D" w:rsidRPr="00ED38E9" w:rsidP="00221615" w14:paraId="55699BB8" w14:textId="77777777">
      <w:pPr>
        <w:pStyle w:val="Normlntun"/>
        <w:spacing w:after="0" w:line="276" w:lineRule="auto"/>
        <w:rPr>
          <w:rFonts w:cs="Arial"/>
        </w:rPr>
      </w:pPr>
      <w:r w:rsidRPr="00ED38E9">
        <w:rPr>
          <w:rFonts w:cs="Arial"/>
        </w:rPr>
        <w:t>Dopady na územní samosprávné celky (obce, kraje)</w:t>
      </w:r>
    </w:p>
    <w:p w:rsidR="008C475D" w:rsidP="00936929" w14:paraId="4F87CFC3" w14:textId="77777777">
      <w:pPr>
        <w:rPr>
          <w:rFonts w:cs="Arial"/>
        </w:rPr>
      </w:pPr>
      <w:r w:rsidRPr="00ED38E9">
        <w:rPr>
          <w:rFonts w:cs="Arial"/>
        </w:rPr>
        <w:t>Současný stav představuje pouze dopady na obce</w:t>
      </w:r>
      <w:r w:rsidRPr="00ED38E9" w:rsidR="004673B1">
        <w:rPr>
          <w:rFonts w:cs="Arial"/>
        </w:rPr>
        <w:t xml:space="preserve"> a kraje</w:t>
      </w:r>
      <w:r w:rsidRPr="00ED38E9">
        <w:rPr>
          <w:rFonts w:cs="Arial"/>
        </w:rPr>
        <w:t>, které jsou</w:t>
      </w:r>
      <w:r w:rsidRPr="00ED38E9" w:rsidR="004673B1">
        <w:rPr>
          <w:rFonts w:cs="Arial"/>
        </w:rPr>
        <w:t xml:space="preserve"> provozovatelem zařízení, které provozuje místo</w:t>
      </w:r>
      <w:r w:rsidRPr="00ED38E9">
        <w:rPr>
          <w:rFonts w:cs="Arial"/>
        </w:rPr>
        <w:t xml:space="preserve"> zpětného odběru (například sběrný dvůr ve vlastnictví obce)</w:t>
      </w:r>
      <w:r w:rsidRPr="00ED38E9" w:rsidR="002B5D43">
        <w:rPr>
          <w:rFonts w:cs="Arial"/>
        </w:rPr>
        <w:t>.</w:t>
      </w:r>
      <w:r w:rsidRPr="00ED38E9">
        <w:rPr>
          <w:rFonts w:cs="Arial"/>
        </w:rPr>
        <w:t xml:space="preserve"> </w:t>
      </w:r>
      <w:r w:rsidRPr="00ED38E9" w:rsidR="002B5D43">
        <w:rPr>
          <w:rFonts w:cs="Arial"/>
        </w:rPr>
        <w:t>N</w:t>
      </w:r>
      <w:r w:rsidRPr="00ED38E9">
        <w:rPr>
          <w:rFonts w:cs="Arial"/>
        </w:rPr>
        <w:t xml:space="preserve">áklady </w:t>
      </w:r>
      <w:r w:rsidRPr="00ED38E9" w:rsidR="002B5D43">
        <w:rPr>
          <w:rFonts w:cs="Arial"/>
        </w:rPr>
        <w:t xml:space="preserve">jsou </w:t>
      </w:r>
      <w:r w:rsidRPr="00ED38E9">
        <w:rPr>
          <w:rFonts w:cs="Arial"/>
        </w:rPr>
        <w:t xml:space="preserve">srovnatelné s náklady podnikatelských subjetků </w:t>
      </w:r>
      <w:r w:rsidRPr="00ED38E9" w:rsidR="002B5D43">
        <w:rPr>
          <w:rFonts w:cs="Arial"/>
        </w:rPr>
        <w:t xml:space="preserve">uvedenými </w:t>
      </w:r>
      <w:r w:rsidRPr="00ED38E9">
        <w:rPr>
          <w:rFonts w:cs="Arial"/>
        </w:rPr>
        <w:t>výše.</w:t>
      </w:r>
    </w:p>
    <w:p w:rsidR="008C475D" w:rsidRPr="00ED38E9" w:rsidP="00412DA2" w14:paraId="613EF6F9" w14:textId="77777777">
      <w:pPr>
        <w:pStyle w:val="Normlntun"/>
        <w:spacing w:before="240" w:after="0" w:line="276" w:lineRule="auto"/>
        <w:rPr>
          <w:rFonts w:cs="Arial"/>
        </w:rPr>
      </w:pPr>
      <w:r w:rsidRPr="00ED38E9">
        <w:rPr>
          <w:rFonts w:cs="Arial"/>
        </w:rPr>
        <w:t>Sociální dopady</w:t>
      </w:r>
    </w:p>
    <w:p w:rsidR="008C475D" w:rsidP="00936929" w14:paraId="4795945C" w14:textId="77777777">
      <w:pPr>
        <w:rPr>
          <w:rFonts w:cs="Arial"/>
        </w:rPr>
      </w:pPr>
      <w:r w:rsidRPr="00ED38E9">
        <w:rPr>
          <w:rFonts w:cs="Arial"/>
        </w:rPr>
        <w:t>Současný stav nepředstavuje dopady na sociální oblast.</w:t>
      </w:r>
    </w:p>
    <w:p w:rsidR="008C475D" w:rsidRPr="00ED38E9" w:rsidP="00412DA2" w14:paraId="76D944F0" w14:textId="77777777">
      <w:pPr>
        <w:pStyle w:val="Normlntun"/>
        <w:spacing w:before="240" w:after="0" w:line="276" w:lineRule="auto"/>
        <w:rPr>
          <w:rFonts w:cs="Arial"/>
        </w:rPr>
      </w:pPr>
      <w:r w:rsidRPr="00ED38E9">
        <w:rPr>
          <w:rFonts w:cs="Arial"/>
        </w:rPr>
        <w:t>Dopady na životní prostředí</w:t>
      </w:r>
    </w:p>
    <w:p w:rsidR="008C475D" w:rsidP="00936929" w14:paraId="0836B5BC" w14:textId="77777777">
      <w:pPr>
        <w:rPr>
          <w:rFonts w:cs="Arial"/>
        </w:rPr>
      </w:pPr>
      <w:r w:rsidRPr="00ED38E9">
        <w:rPr>
          <w:rFonts w:cs="Arial"/>
        </w:rPr>
        <w:t>V případě, že se na místa zpětného odběru výrobků nevz</w:t>
      </w:r>
      <w:r w:rsidRPr="00ED38E9" w:rsidR="002B5D43">
        <w:rPr>
          <w:rFonts w:cs="Arial"/>
        </w:rPr>
        <w:t>t</w:t>
      </w:r>
      <w:r w:rsidRPr="00ED38E9">
        <w:rPr>
          <w:rFonts w:cs="Arial"/>
        </w:rPr>
        <w:t>ahují povinnosti dle zákona o odpadech, tak není možné případná problémová místa kontrolovat</w:t>
      </w:r>
      <w:r w:rsidR="001E19E6">
        <w:rPr>
          <w:rFonts w:cs="Arial"/>
        </w:rPr>
        <w:t>,</w:t>
      </w:r>
      <w:r w:rsidRPr="00ED38E9">
        <w:rPr>
          <w:rFonts w:cs="Arial"/>
        </w:rPr>
        <w:t xml:space="preserve"> a zamezit tím riziku ohrožení životního prostředí a </w:t>
      </w:r>
      <w:r w:rsidR="006270B5">
        <w:rPr>
          <w:rFonts w:cs="Arial"/>
        </w:rPr>
        <w:t xml:space="preserve">následnými </w:t>
      </w:r>
      <w:r w:rsidRPr="00ED38E9">
        <w:rPr>
          <w:rFonts w:cs="Arial"/>
        </w:rPr>
        <w:t>velmi vysoký</w:t>
      </w:r>
      <w:r w:rsidR="006270B5">
        <w:rPr>
          <w:rFonts w:cs="Arial"/>
        </w:rPr>
        <w:t>mi</w:t>
      </w:r>
      <w:r w:rsidRPr="00ED38E9">
        <w:rPr>
          <w:rFonts w:cs="Arial"/>
        </w:rPr>
        <w:t xml:space="preserve"> náklad</w:t>
      </w:r>
      <w:r w:rsidR="006270B5">
        <w:rPr>
          <w:rFonts w:cs="Arial"/>
        </w:rPr>
        <w:t>y</w:t>
      </w:r>
      <w:r w:rsidRPr="00ED38E9">
        <w:rPr>
          <w:rFonts w:cs="Arial"/>
        </w:rPr>
        <w:t xml:space="preserve"> spojený</w:t>
      </w:r>
      <w:r w:rsidR="006270B5">
        <w:rPr>
          <w:rFonts w:cs="Arial"/>
        </w:rPr>
        <w:t>mi</w:t>
      </w:r>
      <w:r w:rsidRPr="00ED38E9">
        <w:rPr>
          <w:rFonts w:cs="Arial"/>
        </w:rPr>
        <w:t xml:space="preserve"> s případnými ekologickými zátěžemi, které bez dostatečné kontroly mohou vzniknout.</w:t>
      </w:r>
    </w:p>
    <w:p w:rsidR="001403A1" w:rsidRPr="00ED38E9" w:rsidP="00936929" w14:paraId="35E69B3B" w14:textId="77777777">
      <w:pPr>
        <w:rPr>
          <w:rFonts w:cs="Arial"/>
        </w:rPr>
      </w:pPr>
    </w:p>
    <w:p w:rsidR="0044305E" w:rsidRPr="00221615" w:rsidP="003C445B" w14:paraId="6ADDE72B" w14:textId="77777777">
      <w:pPr>
        <w:keepNext/>
        <w:numPr>
          <w:ilvl w:val="0"/>
          <w:numId w:val="38"/>
        </w:numPr>
        <w:spacing w:after="0"/>
        <w:rPr>
          <w:rFonts w:cs="Arial"/>
          <w:b/>
        </w:rPr>
      </w:pPr>
      <w:r w:rsidRPr="00221615">
        <w:rPr>
          <w:rFonts w:cs="Arial"/>
          <w:b/>
        </w:rPr>
        <w:t>Varianta 1</w:t>
      </w:r>
    </w:p>
    <w:p w:rsidR="004C3E42" w:rsidRPr="00ED38E9" w:rsidP="00221615" w14:paraId="5DFA5A6D" w14:textId="77777777">
      <w:pPr>
        <w:pStyle w:val="Normlntun"/>
        <w:spacing w:after="0" w:line="276" w:lineRule="auto"/>
        <w:rPr>
          <w:rFonts w:cs="Arial"/>
        </w:rPr>
      </w:pPr>
      <w:r w:rsidRPr="00ED38E9">
        <w:rPr>
          <w:rFonts w:cs="Arial"/>
        </w:rPr>
        <w:t>Dopady na státní rozpočet a ostatní veřejné rozpočty</w:t>
      </w:r>
    </w:p>
    <w:p w:rsidR="004C3E42" w:rsidRPr="00ED38E9" w:rsidP="00936929" w14:paraId="686BE089" w14:textId="77777777">
      <w:pPr>
        <w:rPr>
          <w:rFonts w:cs="Arial"/>
        </w:rPr>
      </w:pPr>
      <w:r w:rsidRPr="00ED38E9">
        <w:rPr>
          <w:rFonts w:cs="Arial"/>
        </w:rPr>
        <w:t>Zavedení</w:t>
      </w:r>
      <w:r w:rsidR="006270B5">
        <w:rPr>
          <w:rFonts w:cs="Arial"/>
        </w:rPr>
        <w:t>m</w:t>
      </w:r>
      <w:r w:rsidRPr="00ED38E9">
        <w:rPr>
          <w:rFonts w:cs="Arial"/>
        </w:rPr>
        <w:t xml:space="preserve"> určitých povinností místům zpětného odběru a možnost</w:t>
      </w:r>
      <w:r w:rsidR="006270B5">
        <w:rPr>
          <w:rFonts w:cs="Arial"/>
        </w:rPr>
        <w:t>í</w:t>
      </w:r>
      <w:r w:rsidRPr="00ED38E9">
        <w:rPr>
          <w:rFonts w:cs="Arial"/>
        </w:rPr>
        <w:t xml:space="preserve"> kontrol</w:t>
      </w:r>
      <w:r w:rsidR="006270B5">
        <w:rPr>
          <w:rFonts w:cs="Arial"/>
        </w:rPr>
        <w:t>y</w:t>
      </w:r>
      <w:r w:rsidRPr="00ED38E9">
        <w:rPr>
          <w:rFonts w:cs="Arial"/>
        </w:rPr>
        <w:t xml:space="preserve"> ze strany kontrolních orgánů (ministerstvo, ČIŽP) </w:t>
      </w:r>
      <w:r w:rsidR="006270B5">
        <w:rPr>
          <w:rFonts w:cs="Arial"/>
        </w:rPr>
        <w:t>lze</w:t>
      </w:r>
      <w:r w:rsidRPr="00ED38E9" w:rsidR="006270B5">
        <w:rPr>
          <w:rFonts w:cs="Arial"/>
        </w:rPr>
        <w:t xml:space="preserve"> </w:t>
      </w:r>
      <w:r w:rsidRPr="00ED38E9">
        <w:rPr>
          <w:rFonts w:cs="Arial"/>
        </w:rPr>
        <w:t>očekávat</w:t>
      </w:r>
      <w:r w:rsidR="006270B5">
        <w:rPr>
          <w:rFonts w:cs="Arial"/>
        </w:rPr>
        <w:t xml:space="preserve"> navýšení</w:t>
      </w:r>
      <w:r w:rsidRPr="00ED38E9">
        <w:rPr>
          <w:rFonts w:cs="Arial"/>
        </w:rPr>
        <w:t xml:space="preserve"> kontrolní činnost</w:t>
      </w:r>
      <w:r w:rsidR="006270B5">
        <w:rPr>
          <w:rFonts w:cs="Arial"/>
        </w:rPr>
        <w:t>i.</w:t>
      </w:r>
      <w:r w:rsidRPr="00ED38E9">
        <w:rPr>
          <w:rFonts w:cs="Arial"/>
        </w:rPr>
        <w:t xml:space="preserve"> Předpokládáme však, že veškerá činnost bude řešena </w:t>
      </w:r>
      <w:r w:rsidRPr="00ED38E9" w:rsidR="00F53878">
        <w:rPr>
          <w:rFonts w:cs="Arial"/>
        </w:rPr>
        <w:t>v rámci současné pracovní činnosti daných subjektů a nebude vyžadovat navýšení finančních prostředků na výkon státní správy.</w:t>
      </w:r>
    </w:p>
    <w:p w:rsidR="004C3E42" w:rsidRPr="00ED38E9" w:rsidP="00B66397" w14:paraId="2F3B4720" w14:textId="77777777">
      <w:pPr>
        <w:pStyle w:val="Normlntun"/>
        <w:spacing w:before="240" w:after="0" w:line="276" w:lineRule="auto"/>
        <w:rPr>
          <w:rFonts w:cs="Arial"/>
        </w:rPr>
      </w:pPr>
      <w:r w:rsidRPr="00ED38E9">
        <w:rPr>
          <w:rFonts w:cs="Arial"/>
        </w:rPr>
        <w:t>Dopady na podnikatelské subjekty</w:t>
      </w:r>
    </w:p>
    <w:p w:rsidR="00735FE3" w:rsidRPr="00ED38E9" w:rsidP="003C445B" w14:paraId="1024605C" w14:textId="77777777">
      <w:pPr>
        <w:pStyle w:val="Normlntun"/>
        <w:numPr>
          <w:ilvl w:val="0"/>
          <w:numId w:val="60"/>
        </w:numPr>
        <w:spacing w:after="0" w:line="276" w:lineRule="auto"/>
        <w:rPr>
          <w:rFonts w:cs="Arial"/>
        </w:rPr>
      </w:pPr>
      <w:r w:rsidRPr="00ED38E9">
        <w:rPr>
          <w:rFonts w:cs="Arial"/>
        </w:rPr>
        <w:t>Žádost o udělení souhlasu k provozování zařízení ke sběru odpadů</w:t>
      </w:r>
    </w:p>
    <w:p w:rsidR="00B74989" w:rsidRPr="00ED38E9" w:rsidP="00AB6F15" w14:paraId="5E9152B5" w14:textId="77777777">
      <w:pPr>
        <w:rPr>
          <w:rFonts w:cs="Arial"/>
        </w:rPr>
      </w:pPr>
      <w:r w:rsidRPr="00ED38E9">
        <w:rPr>
          <w:rFonts w:cs="Arial"/>
        </w:rPr>
        <w:t>V případě, že by o souhlas dle § 14 zákona o odpadech žáda</w:t>
      </w:r>
      <w:r w:rsidR="006270B5">
        <w:rPr>
          <w:rFonts w:cs="Arial"/>
        </w:rPr>
        <w:t>ly</w:t>
      </w:r>
      <w:r w:rsidRPr="00ED38E9">
        <w:rPr>
          <w:rFonts w:cs="Arial"/>
        </w:rPr>
        <w:t xml:space="preserve"> všechny subjekty, které budou zapojeny do zpětného odběru, </w:t>
      </w:r>
      <w:r w:rsidR="006270B5">
        <w:rPr>
          <w:rFonts w:cs="Arial"/>
        </w:rPr>
        <w:t>bude se jednat</w:t>
      </w:r>
      <w:r w:rsidRPr="00ED38E9">
        <w:rPr>
          <w:rFonts w:cs="Arial"/>
        </w:rPr>
        <w:t xml:space="preserve"> o velký počet subjektů</w:t>
      </w:r>
      <w:r w:rsidR="006270B5">
        <w:rPr>
          <w:rFonts w:cs="Arial"/>
        </w:rPr>
        <w:t>.</w:t>
      </w:r>
      <w:r w:rsidRPr="00ED38E9">
        <w:rPr>
          <w:rFonts w:cs="Arial"/>
        </w:rPr>
        <w:t xml:space="preserve"> </w:t>
      </w:r>
      <w:r w:rsidR="006270B5">
        <w:rPr>
          <w:rFonts w:cs="Arial"/>
        </w:rPr>
        <w:t xml:space="preserve">V současnosti </w:t>
      </w:r>
      <w:r w:rsidRPr="00ED38E9">
        <w:rPr>
          <w:rFonts w:cs="Arial"/>
        </w:rPr>
        <w:t xml:space="preserve">evidujeme </w:t>
      </w:r>
      <w:r w:rsidR="006270B5">
        <w:rPr>
          <w:rFonts w:cs="Arial"/>
        </w:rPr>
        <w:t>tisíce</w:t>
      </w:r>
      <w:r w:rsidRPr="00ED38E9" w:rsidR="006270B5">
        <w:rPr>
          <w:rFonts w:cs="Arial"/>
        </w:rPr>
        <w:t xml:space="preserve"> </w:t>
      </w:r>
      <w:r w:rsidRPr="00ED38E9">
        <w:rPr>
          <w:rFonts w:cs="Arial"/>
        </w:rPr>
        <w:t>míst zpětného odběru:</w:t>
      </w:r>
    </w:p>
    <w:p w:rsidR="00B74989" w:rsidRPr="00ED38E9" w:rsidP="003C445B" w14:paraId="081EC6D2" w14:textId="77777777">
      <w:pPr>
        <w:pStyle w:val="ListParagraph"/>
        <w:numPr>
          <w:ilvl w:val="0"/>
          <w:numId w:val="58"/>
        </w:numPr>
        <w:contextualSpacing w:val="0"/>
        <w:rPr>
          <w:rFonts w:cs="Arial"/>
        </w:rPr>
      </w:pPr>
      <w:r w:rsidRPr="00ED38E9">
        <w:rPr>
          <w:rFonts w:cs="Arial"/>
        </w:rPr>
        <w:t xml:space="preserve">odpadní pneumatiky - cca </w:t>
      </w:r>
      <w:r w:rsidR="006270B5">
        <w:rPr>
          <w:rFonts w:cs="Arial"/>
        </w:rPr>
        <w:t>4 0</w:t>
      </w:r>
      <w:r w:rsidR="00A86DF2">
        <w:rPr>
          <w:rFonts w:cs="Arial"/>
        </w:rPr>
        <w:t>50</w:t>
      </w:r>
      <w:r w:rsidRPr="00ED38E9">
        <w:rPr>
          <w:rFonts w:cs="Arial"/>
        </w:rPr>
        <w:t xml:space="preserve"> subjektů,</w:t>
      </w:r>
    </w:p>
    <w:p w:rsidR="00B74989" w:rsidRPr="00ED38E9" w:rsidP="003C445B" w14:paraId="1FBE0A55" w14:textId="77777777">
      <w:pPr>
        <w:pStyle w:val="ListParagraph"/>
        <w:numPr>
          <w:ilvl w:val="0"/>
          <w:numId w:val="58"/>
        </w:numPr>
        <w:contextualSpacing w:val="0"/>
        <w:rPr>
          <w:rFonts w:cs="Arial"/>
        </w:rPr>
      </w:pPr>
      <w:r w:rsidRPr="00ED38E9">
        <w:rPr>
          <w:rFonts w:cs="Arial"/>
        </w:rPr>
        <w:t>baterie a akumulátory - cca 23 300 subjektů,</w:t>
      </w:r>
    </w:p>
    <w:p w:rsidR="00B74989" w:rsidRPr="00ED38E9" w:rsidP="003C445B" w14:paraId="589F2084" w14:textId="77777777">
      <w:pPr>
        <w:pStyle w:val="ListParagraph"/>
        <w:numPr>
          <w:ilvl w:val="0"/>
          <w:numId w:val="58"/>
        </w:numPr>
        <w:contextualSpacing w:val="0"/>
        <w:rPr>
          <w:rFonts w:cs="Arial"/>
        </w:rPr>
      </w:pPr>
      <w:r w:rsidRPr="00ED38E9">
        <w:rPr>
          <w:rFonts w:cs="Arial"/>
        </w:rPr>
        <w:t>elektrozařízení - cca 27 3</w:t>
      </w:r>
      <w:r w:rsidR="00C87069">
        <w:rPr>
          <w:rFonts w:cs="Arial"/>
        </w:rPr>
        <w:t>00</w:t>
      </w:r>
      <w:r w:rsidRPr="00ED38E9">
        <w:rPr>
          <w:rFonts w:cs="Arial"/>
        </w:rPr>
        <w:t xml:space="preserve"> subjektů.</w:t>
      </w:r>
    </w:p>
    <w:p w:rsidR="00197DAD" w:rsidP="00AB6F15" w14:paraId="6BAF4649" w14:textId="588BDEB1">
      <w:pPr>
        <w:rPr>
          <w:rFonts w:cs="Arial"/>
        </w:rPr>
      </w:pPr>
      <w:r w:rsidRPr="00ED38E9">
        <w:rPr>
          <w:rFonts w:cs="Arial"/>
        </w:rPr>
        <w:t>Celkově odhadujeme, že by se povinnost žádat o souhlas dle § 14 zákona o odpadech mohla dotknout cca 3</w:t>
      </w:r>
      <w:r>
        <w:rPr>
          <w:rFonts w:cs="Arial"/>
        </w:rPr>
        <w:t>2</w:t>
      </w:r>
      <w:r w:rsidRPr="00ED38E9">
        <w:rPr>
          <w:rFonts w:cs="Arial"/>
        </w:rPr>
        <w:t xml:space="preserve"> tis. subjektů, protože většina míst zpětného oběru, kde je možné ponechat elektrozařízení,  slouží i jako místo zpětného odběru pro baterie a akumulátory (kontejnery, sběrné dvory, prodejci elektroniky apod.). Náklady na přípravu podkladů nejsme schopni přesně určit, ale časová náročnost na vytvoření dokumentace a předání krajskému úřadu je odhadována až na 40 hodin (pracovní týden) a dále pak cca 2 hodiny spojené s místním šetřením krajského úřadu na provozovně. Jedná se o hrubý odhad, který se může lišit dle</w:t>
      </w:r>
      <w:r w:rsidR="000A77E7">
        <w:rPr>
          <w:rFonts w:cs="Arial"/>
        </w:rPr>
        <w:t> </w:t>
      </w:r>
      <w:r w:rsidRPr="00ED38E9">
        <w:rPr>
          <w:rFonts w:cs="Arial"/>
        </w:rPr>
        <w:t>velikosti subjektu, komunikace a dalších parametr</w:t>
      </w:r>
      <w:r w:rsidRPr="00ED38E9" w:rsidR="002B5D43">
        <w:rPr>
          <w:rFonts w:cs="Arial"/>
        </w:rPr>
        <w:t>ů</w:t>
      </w:r>
      <w:r w:rsidRPr="00ED38E9">
        <w:rPr>
          <w:rFonts w:cs="Arial"/>
        </w:rPr>
        <w:t>, které ovlivňují časovou náročnost.</w:t>
      </w:r>
      <w:r w:rsidRPr="00ED38E9" w:rsidR="005F41E2">
        <w:rPr>
          <w:rFonts w:cs="Arial"/>
        </w:rPr>
        <w:t xml:space="preserve"> Celkové náklady jsou pak odhadovány na cca </w:t>
      </w:r>
      <w:r w:rsidRPr="00221615">
        <w:rPr>
          <w:rFonts w:cs="Arial"/>
        </w:rPr>
        <w:t>4</w:t>
      </w:r>
      <w:r w:rsidR="00093115">
        <w:rPr>
          <w:rFonts w:cs="Arial"/>
        </w:rPr>
        <w:t>26</w:t>
      </w:r>
      <w:r w:rsidRPr="00197DAD">
        <w:rPr>
          <w:rFonts w:cs="Arial"/>
        </w:rPr>
        <w:t xml:space="preserve"> </w:t>
      </w:r>
      <w:r w:rsidRPr="00197DAD" w:rsidR="005F41E2">
        <w:rPr>
          <w:rFonts w:cs="Arial"/>
        </w:rPr>
        <w:t xml:space="preserve">mil. </w:t>
      </w:r>
      <w:r w:rsidRPr="00ED38E9" w:rsidR="005F41E2">
        <w:rPr>
          <w:rFonts w:cs="Arial"/>
        </w:rPr>
        <w:t>Kč v prvním roce účinnosti zákona</w:t>
      </w:r>
      <w:r>
        <w:rPr>
          <w:rFonts w:cs="Arial"/>
        </w:rPr>
        <w:t>.</w:t>
      </w:r>
      <w:r w:rsidR="0089277C">
        <w:rPr>
          <w:rFonts w:cs="Arial"/>
        </w:rPr>
        <w:t xml:space="preserve"> </w:t>
      </w:r>
      <w:r>
        <w:rPr>
          <w:rFonts w:cs="Arial"/>
        </w:rPr>
        <w:t>Tyto náklady se budou po několika letech opakovat</w:t>
      </w:r>
      <w:r w:rsidRPr="00ED38E9" w:rsidR="00F22629">
        <w:rPr>
          <w:rFonts w:cs="Arial"/>
        </w:rPr>
        <w:t>, protože souhlas může být udělen pouze na dobu určitou</w:t>
      </w:r>
      <w:r w:rsidRPr="00ED38E9" w:rsidR="005F41E2">
        <w:rPr>
          <w:rFonts w:cs="Arial"/>
        </w:rPr>
        <w:t xml:space="preserve"> (</w:t>
      </w:r>
      <w:r>
        <w:rPr>
          <w:rFonts w:cs="Arial"/>
        </w:rPr>
        <w:t xml:space="preserve">max. </w:t>
      </w:r>
      <w:r w:rsidRPr="00ED38E9" w:rsidR="005F41E2">
        <w:rPr>
          <w:rFonts w:cs="Arial"/>
        </w:rPr>
        <w:t>5 let).</w:t>
      </w:r>
    </w:p>
    <w:p w:rsidR="00AB6F15" w:rsidRPr="008A08F3" w14:paraId="3E2852A9" w14:textId="77777777">
      <w:pPr>
        <w:pStyle w:val="Caption"/>
        <w:rPr>
          <w:sz w:val="20"/>
          <w:szCs w:val="20"/>
        </w:rPr>
      </w:pPr>
    </w:p>
    <w:p w:rsidR="00B74989" w:rsidRPr="008A08F3" w14:paraId="2BF7E5DA" w14:textId="77777777">
      <w:pPr>
        <w:pStyle w:val="Caption"/>
        <w:rPr>
          <w:sz w:val="20"/>
          <w:szCs w:val="20"/>
        </w:rPr>
      </w:pPr>
      <w:r w:rsidRPr="008A08F3">
        <w:rPr>
          <w:sz w:val="20"/>
          <w:szCs w:val="20"/>
        </w:rPr>
        <w:t xml:space="preserve">Tabulka </w:t>
      </w:r>
      <w:r w:rsidRPr="008A08F3" w:rsidR="00773064">
        <w:rPr>
          <w:sz w:val="20"/>
          <w:szCs w:val="20"/>
        </w:rPr>
        <w:fldChar w:fldCharType="begin"/>
      </w:r>
      <w:r w:rsidRPr="008A08F3">
        <w:rPr>
          <w:sz w:val="20"/>
          <w:szCs w:val="20"/>
        </w:rPr>
        <w:instrText xml:space="preserve"> SEQ Tabulka \* ARABIC </w:instrText>
      </w:r>
      <w:r w:rsidRPr="008A08F3" w:rsidR="00773064">
        <w:rPr>
          <w:sz w:val="20"/>
          <w:szCs w:val="20"/>
        </w:rPr>
        <w:fldChar w:fldCharType="separate"/>
      </w:r>
      <w:r w:rsidRPr="008A08F3">
        <w:rPr>
          <w:sz w:val="20"/>
          <w:szCs w:val="20"/>
        </w:rPr>
        <w:t>1</w:t>
      </w:r>
      <w:r w:rsidRPr="008A08F3" w:rsidR="00773064">
        <w:rPr>
          <w:sz w:val="20"/>
          <w:szCs w:val="20"/>
        </w:rPr>
        <w:fldChar w:fldCharType="end"/>
      </w:r>
      <w:r w:rsidRPr="008A08F3">
        <w:rPr>
          <w:sz w:val="20"/>
          <w:szCs w:val="20"/>
        </w:rPr>
        <w:t>: Odhadované náklady provozovatelů sběrných míst</w:t>
      </w:r>
    </w:p>
    <w:tbl>
      <w:tblPr>
        <w:tblW w:w="7689" w:type="dxa"/>
        <w:tblInd w:w="75" w:type="dxa"/>
        <w:tblCellMar>
          <w:left w:w="70" w:type="dxa"/>
          <w:right w:w="70" w:type="dxa"/>
        </w:tblCellMar>
        <w:tblLook w:val="04A0"/>
      </w:tblPr>
      <w:tblGrid>
        <w:gridCol w:w="6389"/>
        <w:gridCol w:w="1300"/>
      </w:tblGrid>
      <w:tr w14:paraId="1F01005A" w14:textId="77777777" w:rsidTr="00B66397">
        <w:tblPrEx>
          <w:tblW w:w="7689" w:type="dxa"/>
          <w:tblInd w:w="75" w:type="dxa"/>
          <w:tblCellMar>
            <w:left w:w="70" w:type="dxa"/>
            <w:right w:w="70" w:type="dxa"/>
          </w:tblCellMar>
          <w:tblLook w:val="04A0"/>
        </w:tblPrEx>
        <w:trPr>
          <w:trHeight w:val="409"/>
        </w:trPr>
        <w:tc>
          <w:tcPr>
            <w:tcW w:w="7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1DA" w:rsidRPr="008A08F3" w:rsidP="001401DA" w14:paraId="6039A878" w14:textId="77777777">
            <w:pPr>
              <w:spacing w:line="240" w:lineRule="auto"/>
              <w:jc w:val="left"/>
              <w:rPr>
                <w:b/>
                <w:bCs/>
                <w:noProof w:val="0"/>
                <w:color w:val="000000"/>
                <w:sz w:val="20"/>
                <w:szCs w:val="20"/>
                <w:lang w:eastAsia="cs-CZ" w:bidi="ar-SA"/>
              </w:rPr>
            </w:pPr>
            <w:r w:rsidRPr="008A08F3">
              <w:rPr>
                <w:b/>
                <w:bCs/>
                <w:noProof w:val="0"/>
                <w:color w:val="000000"/>
                <w:sz w:val="20"/>
                <w:szCs w:val="20"/>
                <w:lang w:eastAsia="cs-CZ" w:bidi="ar-SA"/>
              </w:rPr>
              <w:t>Náklady provozovatelů sběrných míst</w:t>
            </w:r>
          </w:p>
        </w:tc>
      </w:tr>
      <w:tr w14:paraId="55974542"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047740BC"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počet subjektů (ks)</w:t>
            </w:r>
          </w:p>
        </w:tc>
        <w:tc>
          <w:tcPr>
            <w:tcW w:w="130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6DFB1D13" w14:textId="77777777">
            <w:pPr>
              <w:spacing w:line="240" w:lineRule="auto"/>
              <w:jc w:val="right"/>
              <w:rPr>
                <w:noProof w:val="0"/>
                <w:color w:val="000000"/>
                <w:sz w:val="20"/>
                <w:szCs w:val="20"/>
                <w:lang w:eastAsia="cs-CZ" w:bidi="ar-SA"/>
              </w:rPr>
            </w:pPr>
            <w:r w:rsidRPr="008A08F3">
              <w:rPr>
                <w:noProof w:val="0"/>
                <w:color w:val="000000"/>
                <w:sz w:val="20"/>
                <w:szCs w:val="20"/>
                <w:lang w:eastAsia="cs-CZ" w:bidi="ar-SA"/>
              </w:rPr>
              <w:t>3</w:t>
            </w:r>
            <w:r w:rsidRPr="008A08F3" w:rsidR="00197DAD">
              <w:rPr>
                <w:noProof w:val="0"/>
                <w:color w:val="000000"/>
                <w:sz w:val="20"/>
                <w:szCs w:val="20"/>
                <w:lang w:eastAsia="cs-CZ" w:bidi="ar-SA"/>
              </w:rPr>
              <w:t>2</w:t>
            </w:r>
            <w:r w:rsidRPr="008A08F3">
              <w:rPr>
                <w:noProof w:val="0"/>
                <w:color w:val="000000"/>
                <w:sz w:val="20"/>
                <w:szCs w:val="20"/>
                <w:lang w:eastAsia="cs-CZ" w:bidi="ar-SA"/>
              </w:rPr>
              <w:t xml:space="preserve"> 000</w:t>
            </w:r>
          </w:p>
        </w:tc>
      </w:tr>
      <w:tr w14:paraId="4DD073D8"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2748C96C" w14:textId="7B3E05B1">
            <w:pPr>
              <w:spacing w:line="240" w:lineRule="auto"/>
              <w:jc w:val="left"/>
              <w:rPr>
                <w:noProof w:val="0"/>
                <w:color w:val="000000"/>
                <w:sz w:val="20"/>
                <w:szCs w:val="20"/>
                <w:lang w:eastAsia="cs-CZ" w:bidi="ar-SA"/>
              </w:rPr>
            </w:pPr>
            <w:r w:rsidRPr="008A08F3">
              <w:rPr>
                <w:noProof w:val="0"/>
                <w:color w:val="000000"/>
                <w:sz w:val="20"/>
                <w:szCs w:val="20"/>
                <w:lang w:eastAsia="cs-CZ" w:bidi="ar-SA"/>
              </w:rPr>
              <w:t>m</w:t>
            </w:r>
            <w:r w:rsidR="00571A8E">
              <w:rPr>
                <w:noProof w:val="0"/>
                <w:color w:val="000000"/>
                <w:sz w:val="20"/>
                <w:szCs w:val="20"/>
                <w:lang w:eastAsia="cs-CZ" w:bidi="ar-SA"/>
              </w:rPr>
              <w:t>zdové a režijní náklady (Kč/hod</w:t>
            </w:r>
            <w:r w:rsidRPr="008A08F3">
              <w:rPr>
                <w:noProof w:val="0"/>
                <w:color w:val="000000"/>
                <w:sz w:val="20"/>
                <w:szCs w:val="20"/>
                <w:lang w:eastAsia="cs-CZ" w:bidi="ar-SA"/>
              </w:rPr>
              <w:t>)*</w:t>
            </w:r>
          </w:p>
        </w:tc>
        <w:tc>
          <w:tcPr>
            <w:tcW w:w="1300" w:type="dxa"/>
            <w:tcBorders>
              <w:top w:val="nil"/>
              <w:left w:val="nil"/>
              <w:bottom w:val="single" w:sz="4" w:space="0" w:color="auto"/>
              <w:right w:val="single" w:sz="4" w:space="0" w:color="auto"/>
            </w:tcBorders>
            <w:shd w:val="clear" w:color="auto" w:fill="auto"/>
            <w:noWrap/>
            <w:vAlign w:val="center"/>
            <w:hideMark/>
          </w:tcPr>
          <w:p w:rsidR="001401DA" w:rsidRPr="008A08F3" w:rsidP="00093115" w14:paraId="2E6402E9" w14:textId="008867F3">
            <w:pPr>
              <w:spacing w:line="240" w:lineRule="auto"/>
              <w:jc w:val="right"/>
              <w:rPr>
                <w:noProof w:val="0"/>
                <w:color w:val="000000"/>
                <w:sz w:val="20"/>
                <w:szCs w:val="20"/>
                <w:lang w:eastAsia="cs-CZ" w:bidi="ar-SA"/>
              </w:rPr>
            </w:pPr>
            <w:r w:rsidRPr="008A08F3">
              <w:rPr>
                <w:noProof w:val="0"/>
                <w:color w:val="000000"/>
                <w:sz w:val="20"/>
                <w:szCs w:val="20"/>
                <w:lang w:eastAsia="cs-CZ" w:bidi="ar-SA"/>
              </w:rPr>
              <w:t>3</w:t>
            </w:r>
            <w:r w:rsidR="00093115">
              <w:rPr>
                <w:noProof w:val="0"/>
                <w:color w:val="000000"/>
                <w:sz w:val="20"/>
                <w:szCs w:val="20"/>
                <w:lang w:eastAsia="cs-CZ" w:bidi="ar-SA"/>
              </w:rPr>
              <w:t>17</w:t>
            </w:r>
          </w:p>
        </w:tc>
      </w:tr>
      <w:tr w14:paraId="79F0173A"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50F8FF15" w14:textId="1FD6B532">
            <w:pPr>
              <w:spacing w:line="240" w:lineRule="auto"/>
              <w:jc w:val="left"/>
              <w:rPr>
                <w:noProof w:val="0"/>
                <w:color w:val="000000"/>
                <w:sz w:val="20"/>
                <w:szCs w:val="20"/>
                <w:lang w:eastAsia="cs-CZ" w:bidi="ar-SA"/>
              </w:rPr>
            </w:pPr>
            <w:r w:rsidRPr="008A08F3">
              <w:rPr>
                <w:noProof w:val="0"/>
                <w:color w:val="000000"/>
                <w:sz w:val="20"/>
                <w:szCs w:val="20"/>
                <w:lang w:eastAsia="cs-CZ" w:bidi="ar-SA"/>
              </w:rPr>
              <w:t>časová nároč</w:t>
            </w:r>
            <w:r w:rsidR="00571A8E">
              <w:rPr>
                <w:noProof w:val="0"/>
                <w:color w:val="000000"/>
                <w:sz w:val="20"/>
                <w:szCs w:val="20"/>
                <w:lang w:eastAsia="cs-CZ" w:bidi="ar-SA"/>
              </w:rPr>
              <w:t>nost na přípravu 1 žádosti (hod</w:t>
            </w:r>
            <w:r w:rsidRPr="008A08F3">
              <w:rPr>
                <w:noProof w:val="0"/>
                <w:color w:val="000000"/>
                <w:sz w:val="20"/>
                <w:szCs w:val="20"/>
                <w:lang w:eastAsia="cs-CZ" w:bidi="ar-SA"/>
              </w:rPr>
              <w:t>/žádost)**</w:t>
            </w:r>
          </w:p>
        </w:tc>
        <w:tc>
          <w:tcPr>
            <w:tcW w:w="130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7B5EABC1" w14:textId="77777777">
            <w:pPr>
              <w:spacing w:line="240" w:lineRule="auto"/>
              <w:jc w:val="right"/>
              <w:rPr>
                <w:noProof w:val="0"/>
                <w:color w:val="000000"/>
                <w:sz w:val="20"/>
                <w:szCs w:val="20"/>
                <w:lang w:eastAsia="cs-CZ" w:bidi="ar-SA"/>
              </w:rPr>
            </w:pPr>
            <w:r w:rsidRPr="008A08F3">
              <w:rPr>
                <w:noProof w:val="0"/>
                <w:color w:val="000000"/>
                <w:sz w:val="20"/>
                <w:szCs w:val="20"/>
                <w:lang w:eastAsia="cs-CZ" w:bidi="ar-SA"/>
              </w:rPr>
              <w:t>40</w:t>
            </w:r>
          </w:p>
        </w:tc>
      </w:tr>
      <w:tr w14:paraId="496D4013"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0AB7FFB0" w14:textId="03E4367B">
            <w:pPr>
              <w:spacing w:line="240" w:lineRule="auto"/>
              <w:jc w:val="left"/>
              <w:rPr>
                <w:noProof w:val="0"/>
                <w:color w:val="000000"/>
                <w:sz w:val="20"/>
                <w:szCs w:val="20"/>
                <w:lang w:eastAsia="cs-CZ" w:bidi="ar-SA"/>
              </w:rPr>
            </w:pPr>
            <w:r w:rsidRPr="008A08F3">
              <w:rPr>
                <w:noProof w:val="0"/>
                <w:color w:val="000000"/>
                <w:sz w:val="20"/>
                <w:szCs w:val="20"/>
                <w:lang w:eastAsia="cs-CZ" w:bidi="ar-SA"/>
              </w:rPr>
              <w:t xml:space="preserve">časová náročnost spojená s místním šetřením </w:t>
            </w:r>
            <w:r w:rsidR="00571A8E">
              <w:rPr>
                <w:noProof w:val="0"/>
                <w:color w:val="000000"/>
                <w:sz w:val="20"/>
                <w:szCs w:val="20"/>
                <w:lang w:eastAsia="cs-CZ" w:bidi="ar-SA"/>
              </w:rPr>
              <w:t>(hod</w:t>
            </w:r>
            <w:r w:rsidRPr="008A08F3">
              <w:rPr>
                <w:noProof w:val="0"/>
                <w:color w:val="000000"/>
                <w:sz w:val="20"/>
                <w:szCs w:val="20"/>
                <w:lang w:eastAsia="cs-CZ" w:bidi="ar-SA"/>
              </w:rPr>
              <w:t>/žádost)**</w:t>
            </w:r>
          </w:p>
        </w:tc>
        <w:tc>
          <w:tcPr>
            <w:tcW w:w="130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4FD8C0E7" w14:textId="77777777">
            <w:pPr>
              <w:spacing w:line="240" w:lineRule="auto"/>
              <w:jc w:val="right"/>
              <w:rPr>
                <w:noProof w:val="0"/>
                <w:color w:val="000000"/>
                <w:sz w:val="20"/>
                <w:szCs w:val="20"/>
                <w:lang w:eastAsia="cs-CZ" w:bidi="ar-SA"/>
              </w:rPr>
            </w:pPr>
            <w:r w:rsidRPr="008A08F3">
              <w:rPr>
                <w:noProof w:val="0"/>
                <w:color w:val="000000"/>
                <w:sz w:val="20"/>
                <w:szCs w:val="20"/>
                <w:lang w:eastAsia="cs-CZ" w:bidi="ar-SA"/>
              </w:rPr>
              <w:t>2</w:t>
            </w:r>
          </w:p>
        </w:tc>
      </w:tr>
      <w:tr w14:paraId="13DBA8E6"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8" w:space="0" w:color="auto"/>
              <w:right w:val="single" w:sz="4" w:space="0" w:color="auto"/>
            </w:tcBorders>
            <w:shd w:val="clear" w:color="auto" w:fill="auto"/>
            <w:noWrap/>
            <w:vAlign w:val="center"/>
            <w:hideMark/>
          </w:tcPr>
          <w:p w:rsidR="001401DA" w:rsidRPr="008A08F3" w:rsidP="001401DA" w14:paraId="7F3FF0CA"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mzdové a režijní náklady na zpracování (Kč/žádost)</w:t>
            </w:r>
          </w:p>
        </w:tc>
        <w:tc>
          <w:tcPr>
            <w:tcW w:w="1300" w:type="dxa"/>
            <w:tcBorders>
              <w:top w:val="nil"/>
              <w:left w:val="nil"/>
              <w:bottom w:val="single" w:sz="8" w:space="0" w:color="auto"/>
              <w:right w:val="single" w:sz="4" w:space="0" w:color="auto"/>
            </w:tcBorders>
            <w:shd w:val="clear" w:color="auto" w:fill="auto"/>
            <w:noWrap/>
            <w:vAlign w:val="center"/>
            <w:hideMark/>
          </w:tcPr>
          <w:p w:rsidR="001401DA" w:rsidRPr="008A08F3" w:rsidP="001401DA" w14:paraId="5305780F" w14:textId="571AD8D8">
            <w:pPr>
              <w:spacing w:line="240" w:lineRule="auto"/>
              <w:jc w:val="right"/>
              <w:rPr>
                <w:noProof w:val="0"/>
                <w:color w:val="000000"/>
                <w:sz w:val="20"/>
                <w:szCs w:val="20"/>
                <w:lang w:eastAsia="cs-CZ" w:bidi="ar-SA"/>
              </w:rPr>
            </w:pPr>
            <w:r>
              <w:rPr>
                <w:noProof w:val="0"/>
                <w:color w:val="000000"/>
                <w:sz w:val="20"/>
                <w:szCs w:val="20"/>
                <w:lang w:eastAsia="cs-CZ" w:bidi="ar-SA"/>
              </w:rPr>
              <w:t>13 314</w:t>
            </w:r>
          </w:p>
        </w:tc>
      </w:tr>
      <w:tr w14:paraId="02946B6A" w14:textId="77777777" w:rsidTr="00B66397">
        <w:tblPrEx>
          <w:tblW w:w="7689" w:type="dxa"/>
          <w:tblInd w:w="75" w:type="dxa"/>
          <w:tblCellMar>
            <w:left w:w="70" w:type="dxa"/>
            <w:right w:w="70" w:type="dxa"/>
          </w:tblCellMar>
          <w:tblLook w:val="04A0"/>
        </w:tblPrEx>
        <w:trPr>
          <w:trHeight w:val="409"/>
        </w:trPr>
        <w:tc>
          <w:tcPr>
            <w:tcW w:w="6389"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6CEB4409" w14:textId="77777777">
            <w:pPr>
              <w:spacing w:line="240" w:lineRule="auto"/>
              <w:jc w:val="left"/>
              <w:rPr>
                <w:b/>
                <w:bCs/>
                <w:noProof w:val="0"/>
                <w:color w:val="000000"/>
                <w:sz w:val="20"/>
                <w:szCs w:val="20"/>
                <w:lang w:eastAsia="cs-CZ" w:bidi="ar-SA"/>
              </w:rPr>
            </w:pPr>
            <w:r w:rsidRPr="008A08F3">
              <w:rPr>
                <w:b/>
                <w:bCs/>
                <w:noProof w:val="0"/>
                <w:color w:val="000000"/>
                <w:sz w:val="20"/>
                <w:szCs w:val="20"/>
                <w:lang w:eastAsia="cs-CZ" w:bidi="ar-SA"/>
              </w:rPr>
              <w:t>Odhadované náklady při celkovém počtu subjektů (Kč)</w:t>
            </w:r>
          </w:p>
        </w:tc>
        <w:tc>
          <w:tcPr>
            <w:tcW w:w="130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189E0E39" w14:textId="0FCBC814">
            <w:pPr>
              <w:spacing w:line="240" w:lineRule="auto"/>
              <w:jc w:val="right"/>
              <w:rPr>
                <w:b/>
                <w:bCs/>
                <w:noProof w:val="0"/>
                <w:color w:val="000000"/>
                <w:sz w:val="20"/>
                <w:szCs w:val="20"/>
                <w:lang w:eastAsia="cs-CZ" w:bidi="ar-SA"/>
              </w:rPr>
            </w:pPr>
            <w:r>
              <w:rPr>
                <w:b/>
                <w:bCs/>
                <w:noProof w:val="0"/>
                <w:color w:val="000000"/>
                <w:sz w:val="20"/>
                <w:szCs w:val="20"/>
                <w:lang w:eastAsia="cs-CZ" w:bidi="ar-SA"/>
              </w:rPr>
              <w:t>426 048</w:t>
            </w:r>
            <w:r w:rsidRPr="008A08F3">
              <w:rPr>
                <w:b/>
                <w:bCs/>
                <w:noProof w:val="0"/>
                <w:color w:val="000000"/>
                <w:sz w:val="20"/>
                <w:szCs w:val="20"/>
                <w:lang w:eastAsia="cs-CZ" w:bidi="ar-SA"/>
              </w:rPr>
              <w:t xml:space="preserve"> 000</w:t>
            </w:r>
          </w:p>
        </w:tc>
      </w:tr>
    </w:tbl>
    <w:p w:rsidR="001401DA" w:rsidRPr="008A08F3" w:rsidP="00221615" w14:paraId="12E978A8" w14:textId="257FF727">
      <w:pPr>
        <w:spacing w:before="60"/>
        <w:rPr>
          <w:color w:val="000000"/>
          <w:sz w:val="20"/>
          <w:szCs w:val="20"/>
        </w:rPr>
      </w:pPr>
      <w:r w:rsidRPr="008A08F3">
        <w:rPr>
          <w:sz w:val="20"/>
          <w:szCs w:val="20"/>
        </w:rPr>
        <w:t>* vychází z průměrné h</w:t>
      </w:r>
      <w:r w:rsidRPr="008A08F3">
        <w:rPr>
          <w:color w:val="000000"/>
          <w:sz w:val="20"/>
          <w:szCs w:val="20"/>
        </w:rPr>
        <w:t>odinové sazby pro podnikatelský sektor, která v</w:t>
      </w:r>
      <w:r w:rsidR="00093115">
        <w:rPr>
          <w:color w:val="000000"/>
          <w:sz w:val="20"/>
          <w:szCs w:val="20"/>
        </w:rPr>
        <w:t>ychází z průměrné mzdy roku 2018</w:t>
      </w:r>
      <w:r w:rsidRPr="008A08F3">
        <w:rPr>
          <w:color w:val="000000"/>
          <w:sz w:val="20"/>
          <w:szCs w:val="20"/>
        </w:rPr>
        <w:t xml:space="preserve"> (ČSÚ) pro sektor E – mj. činnosti související s odpady, s připočítáním 35 % odvodů na zdravotní a sociální pojištění a</w:t>
      </w:r>
      <w:r w:rsidR="00093115">
        <w:rPr>
          <w:color w:val="000000"/>
          <w:sz w:val="20"/>
          <w:szCs w:val="20"/>
        </w:rPr>
        <w:t> </w:t>
      </w:r>
      <w:r w:rsidRPr="008A08F3">
        <w:rPr>
          <w:color w:val="000000"/>
          <w:sz w:val="20"/>
          <w:szCs w:val="20"/>
        </w:rPr>
        <w:t>43</w:t>
      </w:r>
      <w:r w:rsidR="00093115">
        <w:rPr>
          <w:color w:val="000000"/>
          <w:sz w:val="20"/>
          <w:szCs w:val="20"/>
        </w:rPr>
        <w:t> </w:t>
      </w:r>
      <w:r w:rsidRPr="008A08F3">
        <w:rPr>
          <w:color w:val="000000"/>
          <w:sz w:val="20"/>
          <w:szCs w:val="20"/>
        </w:rPr>
        <w:t>% režijních nákladů.</w:t>
      </w:r>
    </w:p>
    <w:p w:rsidR="00B74989" w:rsidRPr="00ED38E9" w:rsidP="00DA6DDC" w14:paraId="59FDCE61" w14:textId="0CBCC2F5">
      <w:pPr>
        <w:spacing w:before="60"/>
        <w:rPr>
          <w:rFonts w:cs="Arial"/>
        </w:rPr>
      </w:pPr>
      <w:r w:rsidRPr="008A08F3">
        <w:rPr>
          <w:color w:val="000000"/>
          <w:sz w:val="20"/>
          <w:szCs w:val="20"/>
        </w:rPr>
        <w:t>** zdroj Hodnocení dopadů regulace k věcnému záměru zákona o výrobcích s ukončenou životností</w:t>
      </w:r>
      <w:r w:rsidRPr="00ED38E9">
        <w:rPr>
          <w:rFonts w:cs="Arial"/>
        </w:rPr>
        <w:t xml:space="preserve"> </w:t>
      </w:r>
    </w:p>
    <w:p w:rsidR="008501E6" w:rsidRPr="00ED38E9" w:rsidP="003C445B" w14:paraId="78E336C0" w14:textId="77777777">
      <w:pPr>
        <w:pStyle w:val="Normlntun"/>
        <w:numPr>
          <w:ilvl w:val="0"/>
          <w:numId w:val="60"/>
        </w:numPr>
        <w:spacing w:after="0"/>
        <w:rPr>
          <w:rFonts w:cs="Arial"/>
        </w:rPr>
      </w:pPr>
      <w:r w:rsidRPr="00ED38E9">
        <w:rPr>
          <w:rFonts w:cs="Arial"/>
        </w:rPr>
        <w:t>Průběžná evidence, roční hlášení</w:t>
      </w:r>
    </w:p>
    <w:p w:rsidR="008501E6" w:rsidRPr="00ED38E9" w:rsidP="00AB6F15" w14:paraId="3FB869F2" w14:textId="645EC2C2">
      <w:pPr>
        <w:rPr>
          <w:rFonts w:cs="Arial"/>
        </w:rPr>
      </w:pPr>
      <w:r w:rsidRPr="00ED38E9">
        <w:rPr>
          <w:rFonts w:cs="Arial"/>
        </w:rPr>
        <w:t>U stanovení nákladů na průběžnou evidenci vycházíme z konzultací, které v minulosti proběhly,</w:t>
      </w:r>
      <w:r w:rsidR="00CB4D7C">
        <w:rPr>
          <w:rFonts w:cs="Arial"/>
        </w:rPr>
        <w:t xml:space="preserve"> v nichž bylo zjištěno,</w:t>
      </w:r>
      <w:r w:rsidRPr="00ED38E9">
        <w:rPr>
          <w:rFonts w:cs="Arial"/>
        </w:rPr>
        <w:t xml:space="preserve"> že časová náročnost na odeslání a samotné vyplnění formuláře je odhadována na cca 30 minut</w:t>
      </w:r>
      <w:r w:rsidRPr="00ED38E9" w:rsidR="004F5364">
        <w:rPr>
          <w:rFonts w:cs="Arial"/>
        </w:rPr>
        <w:t>. Č</w:t>
      </w:r>
      <w:r w:rsidRPr="00ED38E9">
        <w:rPr>
          <w:rFonts w:cs="Arial"/>
        </w:rPr>
        <w:t>asová náročnost může být závislá také na</w:t>
      </w:r>
      <w:r w:rsidR="00CB4D7C">
        <w:rPr>
          <w:rFonts w:cs="Arial"/>
        </w:rPr>
        <w:t> </w:t>
      </w:r>
      <w:r w:rsidRPr="00ED38E9">
        <w:rPr>
          <w:rFonts w:cs="Arial"/>
        </w:rPr>
        <w:t>využívaném softwaru</w:t>
      </w:r>
      <w:r w:rsidRPr="00ED38E9" w:rsidR="004F5364">
        <w:rPr>
          <w:rFonts w:cs="Arial"/>
        </w:rPr>
        <w:t>, jehož pořizovací cena se pohybuje v rozmezí cca 4,5</w:t>
      </w:r>
      <w:r w:rsidR="00571A8E">
        <w:rPr>
          <w:rFonts w:cs="Arial"/>
        </w:rPr>
        <w:t xml:space="preserve"> </w:t>
      </w:r>
      <w:r w:rsidRPr="00ED38E9" w:rsidR="004F5364">
        <w:rPr>
          <w:rFonts w:cs="Arial"/>
        </w:rPr>
        <w:t>–</w:t>
      </w:r>
      <w:r w:rsidR="00571A8E">
        <w:rPr>
          <w:rFonts w:cs="Arial"/>
        </w:rPr>
        <w:t xml:space="preserve"> </w:t>
      </w:r>
      <w:r w:rsidRPr="00ED38E9" w:rsidR="004F5364">
        <w:rPr>
          <w:rFonts w:cs="Arial"/>
        </w:rPr>
        <w:t>35 tis. Kč</w:t>
      </w:r>
      <w:r w:rsidRPr="00ED38E9" w:rsidR="002B5D43">
        <w:rPr>
          <w:rFonts w:cs="Arial"/>
        </w:rPr>
        <w:t xml:space="preserve"> </w:t>
      </w:r>
      <w:r w:rsidRPr="00ED38E9" w:rsidR="002B5D43">
        <w:rPr>
          <w:rFonts w:cs="Arial"/>
        </w:rPr>
        <w:br/>
      </w:r>
      <w:r w:rsidRPr="00ED38E9" w:rsidR="004F5364">
        <w:rPr>
          <w:rFonts w:cs="Arial"/>
        </w:rPr>
        <w:t>a systém je pak možné rozšířit o různé moduly, jejichž cena se pohybuje od 920 Kč do</w:t>
      </w:r>
      <w:r w:rsidR="00CB4D7C">
        <w:rPr>
          <w:rFonts w:cs="Arial"/>
        </w:rPr>
        <w:t> </w:t>
      </w:r>
      <w:r w:rsidRPr="00ED38E9" w:rsidR="004F5364">
        <w:rPr>
          <w:rFonts w:cs="Arial"/>
        </w:rPr>
        <w:t>4 950 Kč (zdroj: Inisoft)</w:t>
      </w:r>
      <w:r w:rsidRPr="00ED38E9">
        <w:rPr>
          <w:rFonts w:cs="Arial"/>
        </w:rPr>
        <w:t>. Výrobci uvedli, že evidence zpětného odběru se může pohybovat v rozmezí 1–208 hodin ročně. Celkové náklady jsou pak při počtu cca 3</w:t>
      </w:r>
      <w:r w:rsidR="00CB4D7C">
        <w:rPr>
          <w:rFonts w:cs="Arial"/>
        </w:rPr>
        <w:t>2</w:t>
      </w:r>
      <w:r w:rsidRPr="00ED38E9">
        <w:rPr>
          <w:rFonts w:cs="Arial"/>
        </w:rPr>
        <w:t xml:space="preserve"> tis. subjektů odhadovány až</w:t>
      </w:r>
      <w:r w:rsidR="00571A8E">
        <w:rPr>
          <w:rFonts w:cs="Arial"/>
        </w:rPr>
        <w:t> </w:t>
      </w:r>
      <w:r w:rsidRPr="00ED38E9">
        <w:rPr>
          <w:rFonts w:cs="Arial"/>
        </w:rPr>
        <w:t>na</w:t>
      </w:r>
      <w:r w:rsidR="004114EA">
        <w:rPr>
          <w:rFonts w:cs="Arial"/>
        </w:rPr>
        <w:t> </w:t>
      </w:r>
      <w:r w:rsidRPr="00ED38E9">
        <w:rPr>
          <w:rFonts w:cs="Arial"/>
        </w:rPr>
        <w:t xml:space="preserve">částku </w:t>
      </w:r>
      <w:r w:rsidRPr="00ED38E9" w:rsidR="003F3B54">
        <w:rPr>
          <w:rFonts w:cs="Arial"/>
        </w:rPr>
        <w:t xml:space="preserve">cca </w:t>
      </w:r>
      <w:r w:rsidR="00093115">
        <w:rPr>
          <w:rFonts w:cs="Arial"/>
        </w:rPr>
        <w:t>15,2 mil. – 2,12</w:t>
      </w:r>
      <w:r w:rsidRPr="00ED38E9" w:rsidR="003F3B54">
        <w:rPr>
          <w:rFonts w:cs="Arial"/>
        </w:rPr>
        <w:t xml:space="preserve"> mld. Kč v případě, že se za daných podmínek zapojí všechny subjekty. </w:t>
      </w:r>
    </w:p>
    <w:p w:rsidR="00412DA2" w14:paraId="4C177F15" w14:textId="27A5FF79">
      <w:pPr>
        <w:rPr>
          <w:b/>
          <w:spacing w:val="10"/>
          <w:sz w:val="20"/>
          <w:szCs w:val="20"/>
        </w:rPr>
      </w:pPr>
    </w:p>
    <w:p w:rsidR="008853F0" w14:paraId="1370B549" w14:textId="77777777">
      <w:pPr>
        <w:rPr>
          <w:b/>
          <w:spacing w:val="10"/>
          <w:sz w:val="20"/>
          <w:szCs w:val="20"/>
        </w:rPr>
      </w:pPr>
      <w:r>
        <w:rPr>
          <w:sz w:val="20"/>
          <w:szCs w:val="20"/>
        </w:rPr>
        <w:br w:type="page"/>
      </w:r>
    </w:p>
    <w:p w:rsidR="00F22629" w:rsidRPr="008A08F3" w:rsidP="00412DA2" w14:paraId="4C762293" w14:textId="5AB2ABAB">
      <w:pPr>
        <w:pStyle w:val="Caption"/>
        <w:spacing w:before="120"/>
        <w:contextualSpacing w:val="0"/>
        <w:rPr>
          <w:sz w:val="20"/>
          <w:szCs w:val="20"/>
        </w:rPr>
      </w:pPr>
      <w:r>
        <w:rPr>
          <w:sz w:val="20"/>
          <w:szCs w:val="20"/>
        </w:rPr>
        <w:t>T</w:t>
      </w:r>
      <w:r w:rsidRPr="008A08F3">
        <w:rPr>
          <w:sz w:val="20"/>
          <w:szCs w:val="20"/>
        </w:rPr>
        <w:t xml:space="preserve">abulka </w:t>
      </w:r>
      <w:r w:rsidRPr="008A08F3" w:rsidR="00773064">
        <w:rPr>
          <w:sz w:val="20"/>
          <w:szCs w:val="20"/>
        </w:rPr>
        <w:fldChar w:fldCharType="begin"/>
      </w:r>
      <w:r w:rsidRPr="008A08F3">
        <w:rPr>
          <w:sz w:val="20"/>
          <w:szCs w:val="20"/>
        </w:rPr>
        <w:instrText xml:space="preserve"> SEQ Tabulka \* ARABIC </w:instrText>
      </w:r>
      <w:r w:rsidRPr="008A08F3" w:rsidR="00773064">
        <w:rPr>
          <w:sz w:val="20"/>
          <w:szCs w:val="20"/>
        </w:rPr>
        <w:fldChar w:fldCharType="separate"/>
      </w:r>
      <w:r w:rsidRPr="008A08F3">
        <w:rPr>
          <w:sz w:val="20"/>
          <w:szCs w:val="20"/>
        </w:rPr>
        <w:t>2</w:t>
      </w:r>
      <w:r w:rsidRPr="008A08F3" w:rsidR="00773064">
        <w:rPr>
          <w:sz w:val="20"/>
          <w:szCs w:val="20"/>
        </w:rPr>
        <w:fldChar w:fldCharType="end"/>
      </w:r>
      <w:r w:rsidRPr="008A08F3">
        <w:rPr>
          <w:sz w:val="20"/>
          <w:szCs w:val="20"/>
        </w:rPr>
        <w:t>: Odhadované náklady na sběrná místa (evidence, zaslání roční zprávy)</w:t>
      </w:r>
    </w:p>
    <w:tbl>
      <w:tblPr>
        <w:tblW w:w="9020" w:type="dxa"/>
        <w:tblInd w:w="75" w:type="dxa"/>
        <w:tblCellMar>
          <w:left w:w="70" w:type="dxa"/>
          <w:right w:w="70" w:type="dxa"/>
        </w:tblCellMar>
        <w:tblLook w:val="04A0"/>
      </w:tblPr>
      <w:tblGrid>
        <w:gridCol w:w="6254"/>
        <w:gridCol w:w="1220"/>
        <w:gridCol w:w="1546"/>
      </w:tblGrid>
      <w:tr w14:paraId="4424B2A0" w14:textId="77777777" w:rsidTr="001401DA">
        <w:tblPrEx>
          <w:tblW w:w="9020" w:type="dxa"/>
          <w:tblInd w:w="75" w:type="dxa"/>
          <w:tblCellMar>
            <w:left w:w="70" w:type="dxa"/>
            <w:right w:w="70" w:type="dxa"/>
          </w:tblCellMar>
          <w:tblLook w:val="04A0"/>
        </w:tblPrEx>
        <w:trPr>
          <w:trHeight w:val="402"/>
        </w:trPr>
        <w:tc>
          <w:tcPr>
            <w:tcW w:w="9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1DA" w:rsidRPr="008A08F3" w:rsidP="00412DA2" w14:paraId="6B19497A" w14:textId="77777777">
            <w:pPr>
              <w:keepNext/>
              <w:spacing w:line="240" w:lineRule="auto"/>
              <w:jc w:val="left"/>
              <w:rPr>
                <w:b/>
                <w:bCs/>
                <w:noProof w:val="0"/>
                <w:color w:val="000000"/>
                <w:sz w:val="20"/>
                <w:szCs w:val="20"/>
                <w:lang w:eastAsia="cs-CZ" w:bidi="ar-SA"/>
              </w:rPr>
            </w:pPr>
            <w:r w:rsidRPr="008A08F3">
              <w:rPr>
                <w:b/>
                <w:bCs/>
                <w:noProof w:val="0"/>
                <w:color w:val="000000"/>
                <w:sz w:val="20"/>
                <w:szCs w:val="20"/>
                <w:lang w:eastAsia="cs-CZ" w:bidi="ar-SA"/>
              </w:rPr>
              <w:t>Náklady na evidenci a zaslání roční zprávy sběrných míst</w:t>
            </w:r>
          </w:p>
        </w:tc>
      </w:tr>
      <w:tr w14:paraId="78E3766C"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412DA2" w14:paraId="4EE56DC7" w14:textId="77777777">
            <w:pPr>
              <w:keepNext/>
              <w:spacing w:line="240" w:lineRule="auto"/>
              <w:jc w:val="left"/>
              <w:rPr>
                <w:noProof w:val="0"/>
                <w:color w:val="000000"/>
                <w:sz w:val="20"/>
                <w:szCs w:val="20"/>
                <w:lang w:eastAsia="cs-CZ" w:bidi="ar-SA"/>
              </w:rPr>
            </w:pPr>
            <w:r w:rsidRPr="008A08F3">
              <w:rPr>
                <w:noProof w:val="0"/>
                <w:color w:val="000000"/>
                <w:sz w:val="20"/>
                <w:szCs w:val="20"/>
                <w:lang w:eastAsia="cs-CZ" w:bidi="ar-SA"/>
              </w:rPr>
              <w:t>počet subjektů (ks)</w:t>
            </w:r>
          </w:p>
        </w:tc>
        <w:tc>
          <w:tcPr>
            <w:tcW w:w="27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01DA" w:rsidRPr="008A08F3" w:rsidP="00412DA2" w14:paraId="52B15A56" w14:textId="77777777">
            <w:pPr>
              <w:keepNext/>
              <w:spacing w:line="240" w:lineRule="auto"/>
              <w:jc w:val="center"/>
              <w:rPr>
                <w:noProof w:val="0"/>
                <w:color w:val="000000"/>
                <w:sz w:val="20"/>
                <w:szCs w:val="20"/>
                <w:lang w:eastAsia="cs-CZ" w:bidi="ar-SA"/>
              </w:rPr>
            </w:pPr>
            <w:r w:rsidRPr="008A08F3">
              <w:rPr>
                <w:noProof w:val="0"/>
                <w:color w:val="000000"/>
                <w:sz w:val="20"/>
                <w:szCs w:val="20"/>
                <w:lang w:eastAsia="cs-CZ" w:bidi="ar-SA"/>
              </w:rPr>
              <w:t>3</w:t>
            </w:r>
            <w:r w:rsidRPr="008A08F3" w:rsidR="008C2B0A">
              <w:rPr>
                <w:noProof w:val="0"/>
                <w:color w:val="000000"/>
                <w:sz w:val="20"/>
                <w:szCs w:val="20"/>
                <w:lang w:eastAsia="cs-CZ" w:bidi="ar-SA"/>
              </w:rPr>
              <w:t>2</w:t>
            </w:r>
            <w:r w:rsidRPr="008A08F3">
              <w:rPr>
                <w:noProof w:val="0"/>
                <w:color w:val="000000"/>
                <w:sz w:val="20"/>
                <w:szCs w:val="20"/>
                <w:lang w:eastAsia="cs-CZ" w:bidi="ar-SA"/>
              </w:rPr>
              <w:t xml:space="preserve"> 000</w:t>
            </w:r>
          </w:p>
        </w:tc>
      </w:tr>
      <w:tr w14:paraId="2EEC82E2"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4942FDA0"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mzdové a režijní náklady (Kč/hod)*</w:t>
            </w:r>
          </w:p>
        </w:tc>
        <w:tc>
          <w:tcPr>
            <w:tcW w:w="27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01DA" w:rsidRPr="008A08F3" w:rsidP="001401DA" w14:paraId="2A08CEA6" w14:textId="6A31C1BE">
            <w:pPr>
              <w:spacing w:line="240" w:lineRule="auto"/>
              <w:jc w:val="center"/>
              <w:rPr>
                <w:noProof w:val="0"/>
                <w:color w:val="000000"/>
                <w:sz w:val="20"/>
                <w:szCs w:val="20"/>
                <w:lang w:eastAsia="cs-CZ" w:bidi="ar-SA"/>
              </w:rPr>
            </w:pPr>
            <w:r>
              <w:rPr>
                <w:noProof w:val="0"/>
                <w:color w:val="000000"/>
                <w:sz w:val="20"/>
                <w:szCs w:val="20"/>
                <w:lang w:eastAsia="cs-CZ" w:bidi="ar-SA"/>
              </w:rPr>
              <w:t>317</w:t>
            </w:r>
          </w:p>
        </w:tc>
      </w:tr>
      <w:tr w14:paraId="175FF798"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4265E401"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 </w:t>
            </w:r>
          </w:p>
        </w:tc>
        <w:tc>
          <w:tcPr>
            <w:tcW w:w="122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59E8D447" w14:textId="77777777">
            <w:pPr>
              <w:spacing w:line="240" w:lineRule="auto"/>
              <w:jc w:val="center"/>
              <w:rPr>
                <w:b/>
                <w:bCs/>
                <w:noProof w:val="0"/>
                <w:color w:val="000000"/>
                <w:sz w:val="20"/>
                <w:szCs w:val="20"/>
                <w:lang w:eastAsia="cs-CZ" w:bidi="ar-SA"/>
              </w:rPr>
            </w:pPr>
            <w:r w:rsidRPr="008A08F3">
              <w:rPr>
                <w:b/>
                <w:bCs/>
                <w:noProof w:val="0"/>
                <w:color w:val="000000"/>
                <w:sz w:val="20"/>
                <w:szCs w:val="20"/>
                <w:lang w:eastAsia="cs-CZ" w:bidi="ar-SA"/>
              </w:rPr>
              <w:t>od</w:t>
            </w:r>
          </w:p>
        </w:tc>
        <w:tc>
          <w:tcPr>
            <w:tcW w:w="1546"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5424806F" w14:textId="77777777">
            <w:pPr>
              <w:spacing w:line="240" w:lineRule="auto"/>
              <w:jc w:val="center"/>
              <w:rPr>
                <w:b/>
                <w:bCs/>
                <w:noProof w:val="0"/>
                <w:color w:val="000000"/>
                <w:sz w:val="20"/>
                <w:szCs w:val="20"/>
                <w:lang w:eastAsia="cs-CZ" w:bidi="ar-SA"/>
              </w:rPr>
            </w:pPr>
            <w:r w:rsidRPr="008A08F3">
              <w:rPr>
                <w:b/>
                <w:bCs/>
                <w:noProof w:val="0"/>
                <w:color w:val="000000"/>
                <w:sz w:val="20"/>
                <w:szCs w:val="20"/>
                <w:lang w:eastAsia="cs-CZ" w:bidi="ar-SA"/>
              </w:rPr>
              <w:t>do</w:t>
            </w:r>
          </w:p>
        </w:tc>
      </w:tr>
      <w:tr w14:paraId="4A12C17A"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57AA50D1"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časová náročnost na vedení evidence (hod/ročně)**</w:t>
            </w:r>
          </w:p>
        </w:tc>
        <w:tc>
          <w:tcPr>
            <w:tcW w:w="122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3BEB5085"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1</w:t>
            </w:r>
          </w:p>
        </w:tc>
        <w:tc>
          <w:tcPr>
            <w:tcW w:w="1546"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4D7CDC0D"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208</w:t>
            </w:r>
          </w:p>
        </w:tc>
      </w:tr>
      <w:tr w14:paraId="10A3092D"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4C954E98"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časová náročnost na vyplnění roční zprávy (hod/ročně)**</w:t>
            </w:r>
          </w:p>
        </w:tc>
        <w:tc>
          <w:tcPr>
            <w:tcW w:w="122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16F4FEEE"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0,5</w:t>
            </w:r>
          </w:p>
        </w:tc>
        <w:tc>
          <w:tcPr>
            <w:tcW w:w="1546"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4FE49E8B"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0,5</w:t>
            </w:r>
          </w:p>
        </w:tc>
      </w:tr>
      <w:tr w14:paraId="3CC92901"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8" w:space="0" w:color="auto"/>
              <w:right w:val="single" w:sz="4" w:space="0" w:color="auto"/>
            </w:tcBorders>
            <w:shd w:val="clear" w:color="auto" w:fill="auto"/>
            <w:noWrap/>
            <w:vAlign w:val="center"/>
            <w:hideMark/>
          </w:tcPr>
          <w:p w:rsidR="001401DA" w:rsidRPr="008A08F3" w:rsidP="001401DA" w14:paraId="59A3AC2F"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Odhadované náklady na 1 subjekt (Kč/ročně)</w:t>
            </w:r>
          </w:p>
        </w:tc>
        <w:tc>
          <w:tcPr>
            <w:tcW w:w="1220" w:type="dxa"/>
            <w:tcBorders>
              <w:top w:val="nil"/>
              <w:left w:val="nil"/>
              <w:bottom w:val="single" w:sz="8" w:space="0" w:color="auto"/>
              <w:right w:val="single" w:sz="4" w:space="0" w:color="auto"/>
            </w:tcBorders>
            <w:shd w:val="clear" w:color="auto" w:fill="auto"/>
            <w:noWrap/>
            <w:vAlign w:val="center"/>
            <w:hideMark/>
          </w:tcPr>
          <w:p w:rsidR="001401DA" w:rsidRPr="008A08F3" w:rsidP="001401DA" w14:paraId="771160AF" w14:textId="3A42DC6B">
            <w:pPr>
              <w:spacing w:line="240" w:lineRule="auto"/>
              <w:jc w:val="center"/>
              <w:rPr>
                <w:noProof w:val="0"/>
                <w:color w:val="000000"/>
                <w:sz w:val="20"/>
                <w:szCs w:val="20"/>
                <w:lang w:eastAsia="cs-CZ" w:bidi="ar-SA"/>
              </w:rPr>
            </w:pPr>
            <w:r>
              <w:rPr>
                <w:noProof w:val="0"/>
                <w:color w:val="000000"/>
                <w:sz w:val="20"/>
                <w:szCs w:val="20"/>
                <w:lang w:eastAsia="cs-CZ" w:bidi="ar-SA"/>
              </w:rPr>
              <w:t>476</w:t>
            </w:r>
          </w:p>
        </w:tc>
        <w:tc>
          <w:tcPr>
            <w:tcW w:w="1546" w:type="dxa"/>
            <w:tcBorders>
              <w:top w:val="nil"/>
              <w:left w:val="nil"/>
              <w:bottom w:val="single" w:sz="8" w:space="0" w:color="auto"/>
              <w:right w:val="single" w:sz="4" w:space="0" w:color="auto"/>
            </w:tcBorders>
            <w:shd w:val="clear" w:color="auto" w:fill="auto"/>
            <w:noWrap/>
            <w:vAlign w:val="center"/>
            <w:hideMark/>
          </w:tcPr>
          <w:p w:rsidR="001401DA" w:rsidRPr="008A08F3" w:rsidP="001401DA" w14:paraId="70B72311" w14:textId="7CFA6F56">
            <w:pPr>
              <w:spacing w:line="240" w:lineRule="auto"/>
              <w:jc w:val="center"/>
              <w:rPr>
                <w:noProof w:val="0"/>
                <w:color w:val="000000"/>
                <w:sz w:val="20"/>
                <w:szCs w:val="20"/>
                <w:lang w:eastAsia="cs-CZ" w:bidi="ar-SA"/>
              </w:rPr>
            </w:pPr>
            <w:r>
              <w:rPr>
                <w:noProof w:val="0"/>
                <w:color w:val="000000"/>
                <w:sz w:val="20"/>
                <w:szCs w:val="20"/>
                <w:lang w:eastAsia="cs-CZ" w:bidi="ar-SA"/>
              </w:rPr>
              <w:t>66 095</w:t>
            </w:r>
          </w:p>
        </w:tc>
      </w:tr>
      <w:tr w14:paraId="55848634" w14:textId="77777777" w:rsidTr="001401DA">
        <w:tblPrEx>
          <w:tblW w:w="9020" w:type="dxa"/>
          <w:tblInd w:w="75" w:type="dxa"/>
          <w:tblCellMar>
            <w:left w:w="70" w:type="dxa"/>
            <w:right w:w="70" w:type="dxa"/>
          </w:tblCellMar>
          <w:tblLook w:val="04A0"/>
        </w:tblPrEx>
        <w:trPr>
          <w:trHeight w:val="402"/>
        </w:trPr>
        <w:tc>
          <w:tcPr>
            <w:tcW w:w="6254"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0C36DF83" w14:textId="77777777">
            <w:pPr>
              <w:spacing w:line="240" w:lineRule="auto"/>
              <w:jc w:val="left"/>
              <w:rPr>
                <w:b/>
                <w:bCs/>
                <w:noProof w:val="0"/>
                <w:color w:val="000000"/>
                <w:sz w:val="20"/>
                <w:szCs w:val="20"/>
                <w:lang w:eastAsia="cs-CZ" w:bidi="ar-SA"/>
              </w:rPr>
            </w:pPr>
            <w:r w:rsidRPr="008A08F3">
              <w:rPr>
                <w:b/>
                <w:bCs/>
                <w:noProof w:val="0"/>
                <w:color w:val="000000"/>
                <w:sz w:val="20"/>
                <w:szCs w:val="20"/>
                <w:lang w:eastAsia="cs-CZ" w:bidi="ar-SA"/>
              </w:rPr>
              <w:t>Odhadované náklady při počtu 5 500 subjektů (Kč/ročně)</w:t>
            </w:r>
          </w:p>
        </w:tc>
        <w:tc>
          <w:tcPr>
            <w:tcW w:w="1220" w:type="dxa"/>
            <w:tcBorders>
              <w:top w:val="nil"/>
              <w:left w:val="nil"/>
              <w:bottom w:val="single" w:sz="4" w:space="0" w:color="auto"/>
              <w:right w:val="single" w:sz="4" w:space="0" w:color="auto"/>
            </w:tcBorders>
            <w:shd w:val="clear" w:color="auto" w:fill="auto"/>
            <w:noWrap/>
            <w:vAlign w:val="center"/>
            <w:hideMark/>
          </w:tcPr>
          <w:p w:rsidR="001401DA" w:rsidRPr="008A08F3" w:rsidP="008C2B0A" w14:paraId="30295764" w14:textId="7315D237">
            <w:pPr>
              <w:spacing w:line="240" w:lineRule="auto"/>
              <w:jc w:val="center"/>
              <w:rPr>
                <w:b/>
                <w:bCs/>
                <w:noProof w:val="0"/>
                <w:color w:val="000000"/>
                <w:sz w:val="20"/>
                <w:szCs w:val="20"/>
                <w:lang w:eastAsia="cs-CZ" w:bidi="ar-SA"/>
              </w:rPr>
            </w:pPr>
            <w:r>
              <w:rPr>
                <w:b/>
                <w:bCs/>
                <w:noProof w:val="0"/>
                <w:color w:val="000000"/>
                <w:sz w:val="20"/>
                <w:szCs w:val="20"/>
                <w:lang w:eastAsia="cs-CZ" w:bidi="ar-SA"/>
              </w:rPr>
              <w:t>15 232</w:t>
            </w:r>
            <w:r w:rsidRPr="008A08F3">
              <w:rPr>
                <w:b/>
                <w:bCs/>
                <w:noProof w:val="0"/>
                <w:color w:val="000000"/>
                <w:sz w:val="20"/>
                <w:szCs w:val="20"/>
                <w:lang w:eastAsia="cs-CZ" w:bidi="ar-SA"/>
              </w:rPr>
              <w:t xml:space="preserve"> 000</w:t>
            </w:r>
          </w:p>
        </w:tc>
        <w:tc>
          <w:tcPr>
            <w:tcW w:w="1546" w:type="dxa"/>
            <w:tcBorders>
              <w:top w:val="nil"/>
              <w:left w:val="nil"/>
              <w:bottom w:val="single" w:sz="4" w:space="0" w:color="auto"/>
              <w:right w:val="single" w:sz="4" w:space="0" w:color="auto"/>
            </w:tcBorders>
            <w:shd w:val="clear" w:color="auto" w:fill="auto"/>
            <w:noWrap/>
            <w:vAlign w:val="center"/>
            <w:hideMark/>
          </w:tcPr>
          <w:p w:rsidR="001401DA" w:rsidRPr="008A08F3" w:rsidP="00093115" w14:paraId="3D0A7703" w14:textId="421A665E">
            <w:pPr>
              <w:spacing w:line="240" w:lineRule="auto"/>
              <w:jc w:val="center"/>
              <w:rPr>
                <w:b/>
                <w:bCs/>
                <w:noProof w:val="0"/>
                <w:color w:val="000000"/>
                <w:sz w:val="20"/>
                <w:szCs w:val="20"/>
                <w:lang w:eastAsia="cs-CZ" w:bidi="ar-SA"/>
              </w:rPr>
            </w:pPr>
            <w:r w:rsidRPr="008A08F3">
              <w:rPr>
                <w:b/>
                <w:bCs/>
                <w:noProof w:val="0"/>
                <w:color w:val="000000"/>
                <w:sz w:val="20"/>
                <w:szCs w:val="20"/>
                <w:lang w:eastAsia="cs-CZ" w:bidi="ar-SA"/>
              </w:rPr>
              <w:t>2</w:t>
            </w:r>
            <w:r w:rsidR="00093115">
              <w:rPr>
                <w:b/>
                <w:bCs/>
                <w:noProof w:val="0"/>
                <w:color w:val="000000"/>
                <w:sz w:val="20"/>
                <w:szCs w:val="20"/>
                <w:lang w:eastAsia="cs-CZ" w:bidi="ar-SA"/>
              </w:rPr>
              <w:t> 115 024</w:t>
            </w:r>
            <w:r w:rsidRPr="008A08F3">
              <w:rPr>
                <w:b/>
                <w:bCs/>
                <w:noProof w:val="0"/>
                <w:color w:val="000000"/>
                <w:sz w:val="20"/>
                <w:szCs w:val="20"/>
                <w:lang w:eastAsia="cs-CZ" w:bidi="ar-SA"/>
              </w:rPr>
              <w:t xml:space="preserve"> 000</w:t>
            </w:r>
          </w:p>
        </w:tc>
      </w:tr>
    </w:tbl>
    <w:p w:rsidR="008C2B0A" w:rsidRPr="008A08F3" w:rsidP="008C2B0A" w14:paraId="581D6A1B" w14:textId="5EB1D89C">
      <w:pPr>
        <w:spacing w:before="60"/>
        <w:rPr>
          <w:color w:val="000000"/>
          <w:sz w:val="20"/>
          <w:szCs w:val="20"/>
        </w:rPr>
      </w:pPr>
      <w:r w:rsidRPr="008A08F3">
        <w:rPr>
          <w:sz w:val="20"/>
          <w:szCs w:val="20"/>
        </w:rPr>
        <w:t>* vychází z průměrné h</w:t>
      </w:r>
      <w:r w:rsidRPr="008A08F3">
        <w:rPr>
          <w:color w:val="000000"/>
          <w:sz w:val="20"/>
          <w:szCs w:val="20"/>
        </w:rPr>
        <w:t>odinové sazby pro podnikatelský sektor, která vychází z průměrné mzdy roku 201</w:t>
      </w:r>
      <w:r w:rsidR="00093115">
        <w:rPr>
          <w:color w:val="000000"/>
          <w:sz w:val="20"/>
          <w:szCs w:val="20"/>
        </w:rPr>
        <w:t>8</w:t>
      </w:r>
      <w:r w:rsidRPr="008A08F3">
        <w:rPr>
          <w:color w:val="000000"/>
          <w:sz w:val="20"/>
          <w:szCs w:val="20"/>
        </w:rPr>
        <w:t xml:space="preserve"> (ČSÚ) pro sektor E – mj. činnosti související s odpady, s připočítáním 35 % odvodů na zdravotní a sociální pojištění a</w:t>
      </w:r>
      <w:r w:rsidR="00093115">
        <w:rPr>
          <w:color w:val="000000"/>
          <w:sz w:val="20"/>
          <w:szCs w:val="20"/>
        </w:rPr>
        <w:t> </w:t>
      </w:r>
      <w:r w:rsidRPr="008A08F3">
        <w:rPr>
          <w:color w:val="000000"/>
          <w:sz w:val="20"/>
          <w:szCs w:val="20"/>
        </w:rPr>
        <w:t>43</w:t>
      </w:r>
      <w:r w:rsidR="00093115">
        <w:rPr>
          <w:color w:val="000000"/>
          <w:sz w:val="20"/>
          <w:szCs w:val="20"/>
        </w:rPr>
        <w:t> </w:t>
      </w:r>
      <w:r w:rsidRPr="008A08F3">
        <w:rPr>
          <w:color w:val="000000"/>
          <w:sz w:val="20"/>
          <w:szCs w:val="20"/>
        </w:rPr>
        <w:t>% režijních nákladů.</w:t>
      </w:r>
    </w:p>
    <w:p w:rsidR="00F22629" w:rsidRPr="008A08F3" w:rsidP="008C2B0A" w14:paraId="7B7C7941" w14:textId="77777777">
      <w:pPr>
        <w:rPr>
          <w:color w:val="000000"/>
          <w:sz w:val="20"/>
          <w:szCs w:val="20"/>
        </w:rPr>
      </w:pPr>
      <w:r w:rsidRPr="008A08F3">
        <w:rPr>
          <w:color w:val="000000"/>
          <w:sz w:val="20"/>
          <w:szCs w:val="20"/>
        </w:rPr>
        <w:t>** zdroj Hodnocení dopadů regulace k věcnému záměru zákona o výrobcích s ukončenou životností</w:t>
      </w:r>
    </w:p>
    <w:p w:rsidR="00517B1B" w:rsidRPr="00ED38E9" w:rsidP="003C445B" w14:paraId="7084B097" w14:textId="77777777">
      <w:pPr>
        <w:pStyle w:val="Normlntun"/>
        <w:numPr>
          <w:ilvl w:val="0"/>
          <w:numId w:val="60"/>
        </w:numPr>
        <w:spacing w:after="0"/>
        <w:rPr>
          <w:rFonts w:cs="Arial"/>
        </w:rPr>
      </w:pPr>
      <w:r w:rsidRPr="00ED38E9">
        <w:rPr>
          <w:rFonts w:cs="Arial"/>
        </w:rPr>
        <w:t>Evidence při přepravě odpadů</w:t>
      </w:r>
    </w:p>
    <w:p w:rsidR="00517B1B" w:rsidP="00936929" w14:paraId="2D777171" w14:textId="77777777">
      <w:pPr>
        <w:rPr>
          <w:rFonts w:cs="Arial"/>
        </w:rPr>
      </w:pPr>
      <w:r w:rsidRPr="00ED38E9">
        <w:rPr>
          <w:rFonts w:cs="Arial"/>
        </w:rPr>
        <w:t>Evidence při přepravě výrobků s ukončenou životností v tzv. tv</w:t>
      </w:r>
      <w:r w:rsidR="00B752EC">
        <w:rPr>
          <w:rFonts w:cs="Arial"/>
        </w:rPr>
        <w:t>r</w:t>
      </w:r>
      <w:r w:rsidRPr="00ED38E9">
        <w:rPr>
          <w:rFonts w:cs="Arial"/>
        </w:rPr>
        <w:t>dém režimu je srovnatelná s evidencí, která v současné době již probíhá mezi některými místy zpětného odběru a svozovými společnostmi. Navýšení oproti současnému stavu je odhadováno cca ve výši 250–500 Kč</w:t>
      </w:r>
      <w:r w:rsidR="008C2B0A">
        <w:rPr>
          <w:rFonts w:cs="Arial"/>
        </w:rPr>
        <w:t>/</w:t>
      </w:r>
      <w:r w:rsidRPr="00ED38E9">
        <w:rPr>
          <w:rFonts w:cs="Arial"/>
        </w:rPr>
        <w:t>vozidlo</w:t>
      </w:r>
      <w:r w:rsidR="008C2B0A">
        <w:rPr>
          <w:rFonts w:cs="Arial"/>
        </w:rPr>
        <w:t xml:space="preserve"> z důvodu</w:t>
      </w:r>
      <w:r w:rsidRPr="00ED38E9">
        <w:rPr>
          <w:rFonts w:cs="Arial"/>
        </w:rPr>
        <w:t xml:space="preserve"> </w:t>
      </w:r>
      <w:r w:rsidR="008C2B0A">
        <w:rPr>
          <w:rFonts w:cs="Arial"/>
        </w:rPr>
        <w:t xml:space="preserve">potřeby </w:t>
      </w:r>
      <w:r w:rsidRPr="00ED38E9">
        <w:rPr>
          <w:rFonts w:cs="Arial"/>
        </w:rPr>
        <w:t>zakoup</w:t>
      </w:r>
      <w:r w:rsidR="008C2B0A">
        <w:rPr>
          <w:rFonts w:cs="Arial"/>
        </w:rPr>
        <w:t>ení</w:t>
      </w:r>
      <w:r w:rsidRPr="00ED38E9">
        <w:rPr>
          <w:rFonts w:cs="Arial"/>
        </w:rPr>
        <w:t xml:space="preserve"> ADR tabulk</w:t>
      </w:r>
      <w:r w:rsidR="008C2B0A">
        <w:rPr>
          <w:rFonts w:cs="Arial"/>
        </w:rPr>
        <w:t>y</w:t>
      </w:r>
      <w:r w:rsidRPr="00ED38E9">
        <w:rPr>
          <w:rFonts w:cs="Arial"/>
        </w:rPr>
        <w:t xml:space="preserve"> A, která označuje vozidla převážející odpad.</w:t>
      </w:r>
    </w:p>
    <w:p w:rsidR="004673B1" w:rsidRPr="00ED38E9" w:rsidP="00221615" w14:paraId="0BEED6AA" w14:textId="77777777">
      <w:pPr>
        <w:pStyle w:val="Normlntun"/>
        <w:spacing w:after="0"/>
        <w:rPr>
          <w:rFonts w:cs="Arial"/>
        </w:rPr>
      </w:pPr>
      <w:r w:rsidRPr="00ED38E9">
        <w:rPr>
          <w:rFonts w:cs="Arial"/>
        </w:rPr>
        <w:t>Dopady na územní samosprávné celky (obce, kraje)</w:t>
      </w:r>
    </w:p>
    <w:p w:rsidR="004673B1" w:rsidRPr="00ED38E9" w:rsidP="00936929" w14:paraId="64ADFD37" w14:textId="77777777">
      <w:pPr>
        <w:rPr>
          <w:rFonts w:cs="Arial"/>
        </w:rPr>
      </w:pPr>
      <w:r w:rsidRPr="00ED38E9">
        <w:rPr>
          <w:rFonts w:cs="Arial"/>
        </w:rPr>
        <w:t xml:space="preserve">Dopady na obce a kraje jsou v případě, že daný subjekt je vlastníkem či provozovatelem zařízení (úřad, škola, sběrný dvůr apd.), které provozuje </w:t>
      </w:r>
      <w:r w:rsidRPr="00ED38E9" w:rsidR="002B5D43">
        <w:rPr>
          <w:rFonts w:cs="Arial"/>
        </w:rPr>
        <w:t xml:space="preserve">jako </w:t>
      </w:r>
      <w:r w:rsidRPr="00ED38E9">
        <w:rPr>
          <w:rFonts w:cs="Arial"/>
        </w:rPr>
        <w:t>místo zpětného odběru</w:t>
      </w:r>
      <w:r w:rsidRPr="00ED38E9" w:rsidR="002B5D43">
        <w:rPr>
          <w:rFonts w:cs="Arial"/>
        </w:rPr>
        <w:t>,</w:t>
      </w:r>
      <w:r w:rsidRPr="00ED38E9">
        <w:rPr>
          <w:rFonts w:cs="Arial"/>
        </w:rPr>
        <w:t xml:space="preserve"> jsou popsány výše v kapitole týkající se dopadů na podnikatelské subjekty.</w:t>
      </w:r>
    </w:p>
    <w:p w:rsidR="005C475B" w:rsidRPr="00ED38E9" w:rsidP="00892679" w14:paraId="01D80F6F" w14:textId="378B3A1A">
      <w:pPr>
        <w:rPr>
          <w:rFonts w:cs="Arial"/>
        </w:rPr>
      </w:pPr>
      <w:r w:rsidRPr="00ED38E9">
        <w:rPr>
          <w:rFonts w:cs="Arial"/>
        </w:rPr>
        <w:t>Další dopady pak vznikají v souvislosti s udělením souhlasu k provozování zařízení ke sběru odpadů. Na základě komunikace s krajskými úřady vyplynulo, že časová náročnost je závislá na typu subjektu a dalších parametrech a pohybuje se v rozmezí cca 7</w:t>
      </w:r>
      <w:r w:rsidR="00571A8E">
        <w:rPr>
          <w:rFonts w:cs="Arial"/>
        </w:rPr>
        <w:t xml:space="preserve"> </w:t>
      </w:r>
      <w:r w:rsidRPr="00ED38E9">
        <w:rPr>
          <w:rFonts w:cs="Arial"/>
        </w:rPr>
        <w:t>–</w:t>
      </w:r>
      <w:r w:rsidR="00571A8E">
        <w:rPr>
          <w:rFonts w:cs="Arial"/>
        </w:rPr>
        <w:t xml:space="preserve"> </w:t>
      </w:r>
      <w:r w:rsidRPr="00ED38E9">
        <w:rPr>
          <w:rFonts w:cs="Arial"/>
        </w:rPr>
        <w:t>40 hodin čistého času (přijetí žádosti, zaevidování, vytvoření spisu a soupisu pro spis, prostudování podání, případné přerušení správního řízení - výzva k doplnění, prostudování doplnění, oznámení o zahájení řízení obci, na jejímž katastrálním území provoz je, místní šetření a vydání rozhodnutí</w:t>
      </w:r>
      <w:r w:rsidRPr="00ED38E9" w:rsidR="002B5D43">
        <w:rPr>
          <w:rFonts w:cs="Arial"/>
        </w:rPr>
        <w:t>)</w:t>
      </w:r>
      <w:r w:rsidRPr="00ED38E9">
        <w:rPr>
          <w:rFonts w:cs="Arial"/>
        </w:rPr>
        <w:t>.</w:t>
      </w:r>
      <w:r w:rsidRPr="00ED38E9">
        <w:rPr>
          <w:rFonts w:cs="Arial"/>
        </w:rPr>
        <w:t xml:space="preserve"> V případě, že by o tento souhlas měly žádat všechny subjekty, které budou zapojeny do</w:t>
      </w:r>
      <w:r w:rsidR="009E568F">
        <w:rPr>
          <w:rFonts w:cs="Arial"/>
        </w:rPr>
        <w:t> </w:t>
      </w:r>
      <w:r w:rsidRPr="00ED38E9">
        <w:rPr>
          <w:rFonts w:cs="Arial"/>
        </w:rPr>
        <w:t xml:space="preserve">zpětného odběru, </w:t>
      </w:r>
      <w:r w:rsidR="008C2B0A">
        <w:rPr>
          <w:rFonts w:cs="Arial"/>
        </w:rPr>
        <w:t>bude se jednat</w:t>
      </w:r>
      <w:r w:rsidRPr="00ED38E9">
        <w:rPr>
          <w:rFonts w:cs="Arial"/>
        </w:rPr>
        <w:t xml:space="preserve"> o velký počet subjektů</w:t>
      </w:r>
      <w:r w:rsidR="008C2B0A">
        <w:rPr>
          <w:rFonts w:cs="Arial"/>
        </w:rPr>
        <w:t xml:space="preserve">. </w:t>
      </w:r>
    </w:p>
    <w:p w:rsidR="00E96639" w:rsidRPr="00ED38E9" w:rsidP="00AB6F15" w14:paraId="58D4D0BE" w14:textId="29C1E5E2">
      <w:pPr>
        <w:rPr>
          <w:rFonts w:cs="Arial"/>
        </w:rPr>
      </w:pPr>
      <w:r w:rsidRPr="00ED38E9">
        <w:rPr>
          <w:rFonts w:cs="Arial"/>
        </w:rPr>
        <w:t xml:space="preserve">Celkově odhadujeme, že by se povinnost žádat o souhlas dle § 14 zákona o odpadech mohla </w:t>
      </w:r>
      <w:r w:rsidRPr="00892679">
        <w:rPr>
          <w:rFonts w:cs="Arial"/>
        </w:rPr>
        <w:t>dotknout cca 3</w:t>
      </w:r>
      <w:r w:rsidRPr="00892679" w:rsidR="008C2B0A">
        <w:rPr>
          <w:rFonts w:cs="Arial"/>
        </w:rPr>
        <w:t>2</w:t>
      </w:r>
      <w:r w:rsidRPr="00892679">
        <w:rPr>
          <w:rFonts w:cs="Arial"/>
        </w:rPr>
        <w:t xml:space="preserve"> tis. subjektů, protože</w:t>
      </w:r>
      <w:r w:rsidRPr="00ED38E9">
        <w:rPr>
          <w:rFonts w:cs="Arial"/>
        </w:rPr>
        <w:t xml:space="preserve"> většina míst zpětného oběru, kde je možné ponechat elektrozařízení, slouží i jako místo zpětného odběru pro baterie a akumulátory (kontejnery, sběrné dvory, prodejci elektroniky apod.)</w:t>
      </w:r>
      <w:r w:rsidRPr="00ED38E9" w:rsidR="003B3CAF">
        <w:rPr>
          <w:rFonts w:cs="Arial"/>
        </w:rPr>
        <w:t xml:space="preserve">. V daném případě se náklady na výkon státní správy budou pohybovat v rozmezí cca </w:t>
      </w:r>
      <w:r w:rsidR="00093115">
        <w:rPr>
          <w:rFonts w:cs="Arial"/>
        </w:rPr>
        <w:t>83</w:t>
      </w:r>
      <w:r w:rsidR="00B16E08">
        <w:rPr>
          <w:rFonts w:cs="Arial"/>
        </w:rPr>
        <w:t xml:space="preserve"> </w:t>
      </w:r>
      <w:r w:rsidRPr="00ED38E9" w:rsidR="003B3CAF">
        <w:rPr>
          <w:rFonts w:cs="Arial"/>
        </w:rPr>
        <w:t>–</w:t>
      </w:r>
      <w:r w:rsidR="00B16E08">
        <w:rPr>
          <w:rFonts w:cs="Arial"/>
        </w:rPr>
        <w:t xml:space="preserve"> </w:t>
      </w:r>
      <w:r w:rsidRPr="00ED38E9" w:rsidR="003B3CAF">
        <w:rPr>
          <w:rFonts w:cs="Arial"/>
        </w:rPr>
        <w:t>4</w:t>
      </w:r>
      <w:r w:rsidR="00093115">
        <w:rPr>
          <w:rFonts w:cs="Arial"/>
        </w:rPr>
        <w:t>74</w:t>
      </w:r>
      <w:r w:rsidRPr="00ED38E9" w:rsidR="003B3CAF">
        <w:rPr>
          <w:rFonts w:cs="Arial"/>
        </w:rPr>
        <w:t xml:space="preserve"> mil. Kč</w:t>
      </w:r>
      <w:r w:rsidRPr="00ED38E9" w:rsidR="00B74989">
        <w:rPr>
          <w:rFonts w:cs="Arial"/>
        </w:rPr>
        <w:t xml:space="preserve"> v prvním roce účinnosti. </w:t>
      </w:r>
    </w:p>
    <w:p w:rsidR="00AD267D" w:rsidRPr="008A08F3" w:rsidP="00DA6DDC" w14:paraId="7758E46F" w14:textId="77777777">
      <w:pPr>
        <w:pStyle w:val="Caption"/>
        <w:rPr>
          <w:sz w:val="20"/>
          <w:szCs w:val="20"/>
        </w:rPr>
      </w:pPr>
      <w:r w:rsidRPr="008A08F3">
        <w:rPr>
          <w:sz w:val="20"/>
          <w:szCs w:val="20"/>
        </w:rPr>
        <w:t xml:space="preserve">Tabulka </w:t>
      </w:r>
      <w:r w:rsidRPr="008A08F3" w:rsidR="00773064">
        <w:rPr>
          <w:sz w:val="20"/>
          <w:szCs w:val="20"/>
        </w:rPr>
        <w:fldChar w:fldCharType="begin"/>
      </w:r>
      <w:r w:rsidRPr="008A08F3">
        <w:rPr>
          <w:sz w:val="20"/>
          <w:szCs w:val="20"/>
        </w:rPr>
        <w:instrText xml:space="preserve"> SEQ Tabulka \* ARABIC </w:instrText>
      </w:r>
      <w:r w:rsidRPr="008A08F3" w:rsidR="00773064">
        <w:rPr>
          <w:sz w:val="20"/>
          <w:szCs w:val="20"/>
        </w:rPr>
        <w:fldChar w:fldCharType="separate"/>
      </w:r>
      <w:r w:rsidRPr="008A08F3">
        <w:rPr>
          <w:sz w:val="20"/>
          <w:szCs w:val="20"/>
        </w:rPr>
        <w:t>3</w:t>
      </w:r>
      <w:r w:rsidRPr="008A08F3" w:rsidR="00773064">
        <w:rPr>
          <w:sz w:val="20"/>
          <w:szCs w:val="20"/>
        </w:rPr>
        <w:fldChar w:fldCharType="end"/>
      </w:r>
      <w:r w:rsidRPr="008A08F3">
        <w:rPr>
          <w:sz w:val="20"/>
          <w:szCs w:val="20"/>
        </w:rPr>
        <w:t>: Odhadované náklady KÚ při počtu 3</w:t>
      </w:r>
      <w:r w:rsidRPr="008A08F3" w:rsidR="008C2B0A">
        <w:rPr>
          <w:sz w:val="20"/>
          <w:szCs w:val="20"/>
        </w:rPr>
        <w:t>2</w:t>
      </w:r>
      <w:r w:rsidRPr="008A08F3">
        <w:rPr>
          <w:sz w:val="20"/>
          <w:szCs w:val="20"/>
        </w:rPr>
        <w:t xml:space="preserve"> tis. žádostí</w:t>
      </w:r>
    </w:p>
    <w:tbl>
      <w:tblPr>
        <w:tblW w:w="8851" w:type="dxa"/>
        <w:tblInd w:w="75" w:type="dxa"/>
        <w:tblCellMar>
          <w:left w:w="70" w:type="dxa"/>
          <w:right w:w="70" w:type="dxa"/>
        </w:tblCellMar>
        <w:tblLook w:val="04A0"/>
      </w:tblPr>
      <w:tblGrid>
        <w:gridCol w:w="5732"/>
        <w:gridCol w:w="1559"/>
        <w:gridCol w:w="1560"/>
      </w:tblGrid>
      <w:tr w14:paraId="4D37FD8B" w14:textId="77777777" w:rsidTr="00412DA2">
        <w:tblPrEx>
          <w:tblW w:w="8851" w:type="dxa"/>
          <w:tblInd w:w="75" w:type="dxa"/>
          <w:tblCellMar>
            <w:left w:w="70" w:type="dxa"/>
            <w:right w:w="70" w:type="dxa"/>
          </w:tblCellMar>
          <w:tblLook w:val="04A0"/>
        </w:tblPrEx>
        <w:trPr>
          <w:trHeight w:val="402"/>
        </w:trPr>
        <w:tc>
          <w:tcPr>
            <w:tcW w:w="88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1DA" w:rsidRPr="008A08F3" w:rsidP="00DA6DDC" w14:paraId="28407E3F" w14:textId="3DD70C6C">
            <w:pPr>
              <w:keepNext/>
              <w:spacing w:line="240" w:lineRule="auto"/>
              <w:jc w:val="left"/>
              <w:rPr>
                <w:b/>
                <w:bCs/>
                <w:noProof w:val="0"/>
                <w:color w:val="000000"/>
                <w:sz w:val="20"/>
                <w:szCs w:val="20"/>
                <w:lang w:eastAsia="cs-CZ" w:bidi="ar-SA"/>
              </w:rPr>
            </w:pPr>
            <w:r w:rsidRPr="008A08F3">
              <w:rPr>
                <w:b/>
                <w:bCs/>
                <w:noProof w:val="0"/>
                <w:color w:val="000000"/>
                <w:sz w:val="20"/>
                <w:szCs w:val="20"/>
                <w:lang w:eastAsia="cs-CZ" w:bidi="ar-SA"/>
              </w:rPr>
              <w:t xml:space="preserve">Náklady krajských úřadů </w:t>
            </w:r>
          </w:p>
        </w:tc>
      </w:tr>
      <w:tr w14:paraId="5A54AB66"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A63EA0" w14:paraId="7806A259" w14:textId="0D83476B">
            <w:pPr>
              <w:spacing w:line="240" w:lineRule="auto"/>
              <w:jc w:val="left"/>
              <w:rPr>
                <w:noProof w:val="0"/>
                <w:color w:val="000000"/>
                <w:sz w:val="20"/>
                <w:szCs w:val="20"/>
                <w:lang w:eastAsia="cs-CZ" w:bidi="ar-SA"/>
              </w:rPr>
            </w:pPr>
            <w:r w:rsidRPr="008A08F3">
              <w:rPr>
                <w:noProof w:val="0"/>
                <w:color w:val="000000"/>
                <w:sz w:val="20"/>
                <w:szCs w:val="20"/>
                <w:lang w:eastAsia="cs-CZ" w:bidi="ar-SA"/>
              </w:rPr>
              <w:t xml:space="preserve">počet </w:t>
            </w:r>
            <w:r w:rsidR="00571A8E">
              <w:rPr>
                <w:noProof w:val="0"/>
                <w:color w:val="000000"/>
                <w:sz w:val="20"/>
                <w:szCs w:val="20"/>
                <w:lang w:eastAsia="cs-CZ" w:bidi="ar-SA"/>
              </w:rPr>
              <w:t>žádostí</w:t>
            </w:r>
            <w:r w:rsidRPr="008A08F3" w:rsidR="00A63EA0">
              <w:rPr>
                <w:noProof w:val="0"/>
                <w:color w:val="000000"/>
                <w:sz w:val="20"/>
                <w:szCs w:val="20"/>
                <w:lang w:eastAsia="cs-CZ" w:bidi="ar-SA"/>
              </w:rPr>
              <w:t xml:space="preserve"> </w:t>
            </w:r>
            <w:r w:rsidR="00A63EA0">
              <w:rPr>
                <w:noProof w:val="0"/>
                <w:color w:val="000000"/>
                <w:sz w:val="20"/>
                <w:szCs w:val="20"/>
                <w:lang w:eastAsia="cs-CZ" w:bidi="ar-SA"/>
              </w:rPr>
              <w:t>(počet subjektů)</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01DA" w:rsidRPr="008A08F3" w:rsidP="008C2B0A" w14:paraId="318F1CE8"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3</w:t>
            </w:r>
            <w:r w:rsidRPr="008A08F3" w:rsidR="008C2B0A">
              <w:rPr>
                <w:noProof w:val="0"/>
                <w:color w:val="000000"/>
                <w:sz w:val="20"/>
                <w:szCs w:val="20"/>
                <w:lang w:eastAsia="cs-CZ" w:bidi="ar-SA"/>
              </w:rPr>
              <w:t>2</w:t>
            </w:r>
            <w:r w:rsidRPr="008A08F3">
              <w:rPr>
                <w:noProof w:val="0"/>
                <w:color w:val="000000"/>
                <w:sz w:val="20"/>
                <w:szCs w:val="20"/>
                <w:lang w:eastAsia="cs-CZ" w:bidi="ar-SA"/>
              </w:rPr>
              <w:t xml:space="preserve"> 000</w:t>
            </w:r>
          </w:p>
        </w:tc>
      </w:tr>
      <w:tr w14:paraId="1B11F326"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7D404DF4" w14:textId="34923E31">
            <w:pPr>
              <w:spacing w:line="240" w:lineRule="auto"/>
              <w:jc w:val="left"/>
              <w:rPr>
                <w:noProof w:val="0"/>
                <w:color w:val="000000"/>
                <w:sz w:val="20"/>
                <w:szCs w:val="20"/>
                <w:lang w:eastAsia="cs-CZ" w:bidi="ar-SA"/>
              </w:rPr>
            </w:pPr>
            <w:r w:rsidRPr="008A08F3">
              <w:rPr>
                <w:noProof w:val="0"/>
                <w:color w:val="000000"/>
                <w:sz w:val="20"/>
                <w:szCs w:val="20"/>
                <w:lang w:eastAsia="cs-CZ" w:bidi="ar-SA"/>
              </w:rPr>
              <w:t>platová třída</w:t>
            </w:r>
            <w:r w:rsidR="00A63EA0">
              <w:rPr>
                <w:noProof w:val="0"/>
                <w:color w:val="000000"/>
                <w:sz w:val="20"/>
                <w:szCs w:val="20"/>
                <w:lang w:eastAsia="cs-CZ" w:bidi="ar-SA"/>
              </w:rPr>
              <w:t xml:space="preserve"> zaměstnance KÚ</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01DA" w:rsidRPr="008A08F3" w:rsidP="001401DA" w14:paraId="26FB8B0B"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11</w:t>
            </w:r>
          </w:p>
        </w:tc>
      </w:tr>
      <w:tr w14:paraId="7C7F8625"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1AA9BD97" w14:textId="184AD376">
            <w:pPr>
              <w:spacing w:line="240" w:lineRule="auto"/>
              <w:jc w:val="left"/>
              <w:rPr>
                <w:noProof w:val="0"/>
                <w:color w:val="000000"/>
                <w:sz w:val="20"/>
                <w:szCs w:val="20"/>
                <w:lang w:eastAsia="cs-CZ" w:bidi="ar-SA"/>
              </w:rPr>
            </w:pPr>
            <w:r w:rsidRPr="008A08F3">
              <w:rPr>
                <w:noProof w:val="0"/>
                <w:color w:val="000000"/>
                <w:sz w:val="20"/>
                <w:szCs w:val="20"/>
                <w:lang w:eastAsia="cs-CZ" w:bidi="ar-SA"/>
              </w:rPr>
              <w:t>m</w:t>
            </w:r>
            <w:r w:rsidR="00571A8E">
              <w:rPr>
                <w:noProof w:val="0"/>
                <w:color w:val="000000"/>
                <w:sz w:val="20"/>
                <w:szCs w:val="20"/>
                <w:lang w:eastAsia="cs-CZ" w:bidi="ar-SA"/>
              </w:rPr>
              <w:t>zdové a režijní náklady (Kč/hod</w:t>
            </w:r>
            <w:r w:rsidRPr="008A08F3">
              <w:rPr>
                <w:noProof w:val="0"/>
                <w:color w:val="000000"/>
                <w:sz w:val="20"/>
                <w:szCs w:val="20"/>
                <w:lang w:eastAsia="cs-CZ" w:bidi="ar-SA"/>
              </w:rPr>
              <w:t>)*</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01DA" w:rsidRPr="008A08F3" w:rsidP="001401DA" w14:paraId="7CDB19F3" w14:textId="70F93526">
            <w:pPr>
              <w:spacing w:line="240" w:lineRule="auto"/>
              <w:jc w:val="center"/>
              <w:rPr>
                <w:noProof w:val="0"/>
                <w:color w:val="000000"/>
                <w:sz w:val="20"/>
                <w:szCs w:val="20"/>
                <w:lang w:eastAsia="cs-CZ" w:bidi="ar-SA"/>
              </w:rPr>
            </w:pPr>
            <w:r w:rsidRPr="008A08F3">
              <w:rPr>
                <w:noProof w:val="0"/>
                <w:color w:val="000000"/>
                <w:sz w:val="20"/>
                <w:szCs w:val="20"/>
                <w:lang w:eastAsia="cs-CZ" w:bidi="ar-SA"/>
              </w:rPr>
              <w:t>3</w:t>
            </w:r>
            <w:r w:rsidR="00093115">
              <w:rPr>
                <w:noProof w:val="0"/>
                <w:color w:val="000000"/>
                <w:sz w:val="20"/>
                <w:szCs w:val="20"/>
                <w:lang w:eastAsia="cs-CZ" w:bidi="ar-SA"/>
              </w:rPr>
              <w:t>70</w:t>
            </w:r>
          </w:p>
        </w:tc>
      </w:tr>
      <w:tr w14:paraId="01C728DA"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434A37D8"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114D43CC" w14:textId="77777777">
            <w:pPr>
              <w:spacing w:line="240" w:lineRule="auto"/>
              <w:jc w:val="center"/>
              <w:rPr>
                <w:b/>
                <w:bCs/>
                <w:noProof w:val="0"/>
                <w:color w:val="000000"/>
                <w:sz w:val="20"/>
                <w:szCs w:val="20"/>
                <w:lang w:eastAsia="cs-CZ" w:bidi="ar-SA"/>
              </w:rPr>
            </w:pPr>
            <w:r w:rsidRPr="008A08F3">
              <w:rPr>
                <w:b/>
                <w:bCs/>
                <w:noProof w:val="0"/>
                <w:color w:val="000000"/>
                <w:sz w:val="20"/>
                <w:szCs w:val="20"/>
                <w:lang w:eastAsia="cs-CZ" w:bidi="ar-SA"/>
              </w:rPr>
              <w:t>od</w:t>
            </w:r>
          </w:p>
        </w:tc>
        <w:tc>
          <w:tcPr>
            <w:tcW w:w="156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5C2E92EB" w14:textId="77777777">
            <w:pPr>
              <w:spacing w:line="240" w:lineRule="auto"/>
              <w:jc w:val="center"/>
              <w:rPr>
                <w:b/>
                <w:bCs/>
                <w:noProof w:val="0"/>
                <w:color w:val="000000"/>
                <w:sz w:val="20"/>
                <w:szCs w:val="20"/>
                <w:lang w:eastAsia="cs-CZ" w:bidi="ar-SA"/>
              </w:rPr>
            </w:pPr>
            <w:r w:rsidRPr="008A08F3">
              <w:rPr>
                <w:b/>
                <w:bCs/>
                <w:noProof w:val="0"/>
                <w:color w:val="000000"/>
                <w:sz w:val="20"/>
                <w:szCs w:val="20"/>
                <w:lang w:eastAsia="cs-CZ" w:bidi="ar-SA"/>
              </w:rPr>
              <w:t>do</w:t>
            </w:r>
          </w:p>
        </w:tc>
      </w:tr>
      <w:tr w14:paraId="7B5FD54F"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1401DA" w14:paraId="5076E0C0" w14:textId="3849E335">
            <w:pPr>
              <w:spacing w:line="240" w:lineRule="auto"/>
              <w:jc w:val="left"/>
              <w:rPr>
                <w:noProof w:val="0"/>
                <w:color w:val="000000"/>
                <w:sz w:val="20"/>
                <w:szCs w:val="20"/>
                <w:lang w:eastAsia="cs-CZ" w:bidi="ar-SA"/>
              </w:rPr>
            </w:pPr>
            <w:r w:rsidRPr="008A08F3">
              <w:rPr>
                <w:noProof w:val="0"/>
                <w:color w:val="000000"/>
                <w:sz w:val="20"/>
                <w:szCs w:val="20"/>
                <w:lang w:eastAsia="cs-CZ" w:bidi="ar-SA"/>
              </w:rPr>
              <w:t>časová náročno</w:t>
            </w:r>
            <w:r w:rsidR="00571A8E">
              <w:rPr>
                <w:noProof w:val="0"/>
                <w:color w:val="000000"/>
                <w:sz w:val="20"/>
                <w:szCs w:val="20"/>
                <w:lang w:eastAsia="cs-CZ" w:bidi="ar-SA"/>
              </w:rPr>
              <w:t>st na zpracování 1 žádosti (hod</w:t>
            </w:r>
            <w:r w:rsidRPr="008A08F3">
              <w:rPr>
                <w:noProof w:val="0"/>
                <w:color w:val="000000"/>
                <w:sz w:val="20"/>
                <w:szCs w:val="20"/>
                <w:lang w:eastAsia="cs-CZ" w:bidi="ar-SA"/>
              </w:rPr>
              <w:t>/žádost)**</w:t>
            </w:r>
          </w:p>
        </w:tc>
        <w:tc>
          <w:tcPr>
            <w:tcW w:w="1559"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7B99105F"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7</w:t>
            </w:r>
          </w:p>
        </w:tc>
        <w:tc>
          <w:tcPr>
            <w:tcW w:w="1560"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3A160F90" w14:textId="77777777">
            <w:pPr>
              <w:spacing w:line="240" w:lineRule="auto"/>
              <w:jc w:val="center"/>
              <w:rPr>
                <w:noProof w:val="0"/>
                <w:color w:val="000000"/>
                <w:sz w:val="20"/>
                <w:szCs w:val="20"/>
                <w:lang w:eastAsia="cs-CZ" w:bidi="ar-SA"/>
              </w:rPr>
            </w:pPr>
            <w:r w:rsidRPr="008A08F3">
              <w:rPr>
                <w:noProof w:val="0"/>
                <w:color w:val="000000"/>
                <w:sz w:val="20"/>
                <w:szCs w:val="20"/>
                <w:lang w:eastAsia="cs-CZ" w:bidi="ar-SA"/>
              </w:rPr>
              <w:t>40</w:t>
            </w:r>
          </w:p>
        </w:tc>
      </w:tr>
      <w:tr w14:paraId="364CE43D"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8" w:space="0" w:color="auto"/>
              <w:right w:val="single" w:sz="4" w:space="0" w:color="auto"/>
            </w:tcBorders>
            <w:shd w:val="clear" w:color="auto" w:fill="auto"/>
            <w:noWrap/>
            <w:vAlign w:val="center"/>
            <w:hideMark/>
          </w:tcPr>
          <w:p w:rsidR="001401DA" w:rsidRPr="008A08F3" w:rsidP="001401DA" w14:paraId="26873B46" w14:textId="77777777">
            <w:pPr>
              <w:spacing w:line="240" w:lineRule="auto"/>
              <w:jc w:val="left"/>
              <w:rPr>
                <w:noProof w:val="0"/>
                <w:color w:val="000000"/>
                <w:sz w:val="20"/>
                <w:szCs w:val="20"/>
                <w:lang w:eastAsia="cs-CZ" w:bidi="ar-SA"/>
              </w:rPr>
            </w:pPr>
            <w:r w:rsidRPr="008A08F3">
              <w:rPr>
                <w:noProof w:val="0"/>
                <w:color w:val="000000"/>
                <w:sz w:val="20"/>
                <w:szCs w:val="20"/>
                <w:lang w:eastAsia="cs-CZ" w:bidi="ar-SA"/>
              </w:rPr>
              <w:t>mzdové a režijní náklady na zpracování (Kč/žádost)</w:t>
            </w:r>
          </w:p>
        </w:tc>
        <w:tc>
          <w:tcPr>
            <w:tcW w:w="1559" w:type="dxa"/>
            <w:tcBorders>
              <w:top w:val="nil"/>
              <w:left w:val="nil"/>
              <w:bottom w:val="single" w:sz="8" w:space="0" w:color="auto"/>
              <w:right w:val="single" w:sz="4" w:space="0" w:color="auto"/>
            </w:tcBorders>
            <w:shd w:val="clear" w:color="auto" w:fill="auto"/>
            <w:noWrap/>
            <w:vAlign w:val="center"/>
            <w:hideMark/>
          </w:tcPr>
          <w:p w:rsidR="001401DA" w:rsidRPr="008A08F3" w:rsidP="00093115" w14:paraId="2CF9C4C6" w14:textId="704C19DA">
            <w:pPr>
              <w:spacing w:line="240" w:lineRule="auto"/>
              <w:jc w:val="center"/>
              <w:rPr>
                <w:noProof w:val="0"/>
                <w:color w:val="000000"/>
                <w:sz w:val="20"/>
                <w:szCs w:val="20"/>
                <w:lang w:eastAsia="cs-CZ" w:bidi="ar-SA"/>
              </w:rPr>
            </w:pPr>
            <w:r w:rsidRPr="008A08F3">
              <w:rPr>
                <w:noProof w:val="0"/>
                <w:color w:val="000000"/>
                <w:sz w:val="20"/>
                <w:szCs w:val="20"/>
                <w:lang w:eastAsia="cs-CZ" w:bidi="ar-SA"/>
              </w:rPr>
              <w:t xml:space="preserve">2 </w:t>
            </w:r>
            <w:r w:rsidR="00093115">
              <w:rPr>
                <w:noProof w:val="0"/>
                <w:color w:val="000000"/>
                <w:sz w:val="20"/>
                <w:szCs w:val="20"/>
                <w:lang w:eastAsia="cs-CZ" w:bidi="ar-SA"/>
              </w:rPr>
              <w:t>590</w:t>
            </w:r>
          </w:p>
        </w:tc>
        <w:tc>
          <w:tcPr>
            <w:tcW w:w="1560" w:type="dxa"/>
            <w:tcBorders>
              <w:top w:val="nil"/>
              <w:left w:val="nil"/>
              <w:bottom w:val="single" w:sz="8" w:space="0" w:color="auto"/>
              <w:right w:val="single" w:sz="4" w:space="0" w:color="auto"/>
            </w:tcBorders>
            <w:shd w:val="clear" w:color="auto" w:fill="auto"/>
            <w:noWrap/>
            <w:vAlign w:val="center"/>
            <w:hideMark/>
          </w:tcPr>
          <w:p w:rsidR="001401DA" w:rsidRPr="008A08F3" w:rsidP="001401DA" w14:paraId="04FE9954" w14:textId="5BC9B168">
            <w:pPr>
              <w:spacing w:line="240" w:lineRule="auto"/>
              <w:jc w:val="center"/>
              <w:rPr>
                <w:noProof w:val="0"/>
                <w:color w:val="000000"/>
                <w:sz w:val="20"/>
                <w:szCs w:val="20"/>
                <w:lang w:eastAsia="cs-CZ" w:bidi="ar-SA"/>
              </w:rPr>
            </w:pPr>
            <w:r w:rsidRPr="008A08F3">
              <w:rPr>
                <w:noProof w:val="0"/>
                <w:color w:val="000000"/>
                <w:sz w:val="20"/>
                <w:szCs w:val="20"/>
                <w:lang w:eastAsia="cs-CZ" w:bidi="ar-SA"/>
              </w:rPr>
              <w:t>1</w:t>
            </w:r>
            <w:r w:rsidR="00093115">
              <w:rPr>
                <w:noProof w:val="0"/>
                <w:color w:val="000000"/>
                <w:sz w:val="20"/>
                <w:szCs w:val="20"/>
                <w:lang w:eastAsia="cs-CZ" w:bidi="ar-SA"/>
              </w:rPr>
              <w:t xml:space="preserve">4 </w:t>
            </w:r>
            <w:r w:rsidRPr="008A08F3">
              <w:rPr>
                <w:noProof w:val="0"/>
                <w:color w:val="000000"/>
                <w:sz w:val="20"/>
                <w:szCs w:val="20"/>
                <w:lang w:eastAsia="cs-CZ" w:bidi="ar-SA"/>
              </w:rPr>
              <w:t>8</w:t>
            </w:r>
            <w:r w:rsidR="00093115">
              <w:rPr>
                <w:noProof w:val="0"/>
                <w:color w:val="000000"/>
                <w:sz w:val="20"/>
                <w:szCs w:val="20"/>
                <w:lang w:eastAsia="cs-CZ" w:bidi="ar-SA"/>
              </w:rPr>
              <w:t>0</w:t>
            </w:r>
            <w:r w:rsidRPr="008A08F3">
              <w:rPr>
                <w:noProof w:val="0"/>
                <w:color w:val="000000"/>
                <w:sz w:val="20"/>
                <w:szCs w:val="20"/>
                <w:lang w:eastAsia="cs-CZ" w:bidi="ar-SA"/>
              </w:rPr>
              <w:t>0</w:t>
            </w:r>
          </w:p>
        </w:tc>
      </w:tr>
      <w:tr w14:paraId="618971E5" w14:textId="77777777" w:rsidTr="00412DA2">
        <w:tblPrEx>
          <w:tblW w:w="8851" w:type="dxa"/>
          <w:tblInd w:w="75" w:type="dxa"/>
          <w:tblCellMar>
            <w:left w:w="70" w:type="dxa"/>
            <w:right w:w="70" w:type="dxa"/>
          </w:tblCellMar>
          <w:tblLook w:val="04A0"/>
        </w:tblPrEx>
        <w:trPr>
          <w:trHeight w:val="402"/>
        </w:trPr>
        <w:tc>
          <w:tcPr>
            <w:tcW w:w="5732" w:type="dxa"/>
            <w:tcBorders>
              <w:top w:val="nil"/>
              <w:left w:val="single" w:sz="4" w:space="0" w:color="auto"/>
              <w:bottom w:val="single" w:sz="4" w:space="0" w:color="auto"/>
              <w:right w:val="single" w:sz="4" w:space="0" w:color="auto"/>
            </w:tcBorders>
            <w:shd w:val="clear" w:color="auto" w:fill="auto"/>
            <w:noWrap/>
            <w:vAlign w:val="center"/>
            <w:hideMark/>
          </w:tcPr>
          <w:p w:rsidR="001401DA" w:rsidRPr="008A08F3" w:rsidP="00571A8E" w14:paraId="3EDCBEE5" w14:textId="788836BD">
            <w:pPr>
              <w:spacing w:line="240" w:lineRule="auto"/>
              <w:jc w:val="left"/>
              <w:rPr>
                <w:b/>
                <w:bCs/>
                <w:noProof w:val="0"/>
                <w:color w:val="000000"/>
                <w:sz w:val="20"/>
                <w:szCs w:val="20"/>
                <w:lang w:eastAsia="cs-CZ" w:bidi="ar-SA"/>
              </w:rPr>
            </w:pPr>
            <w:r>
              <w:rPr>
                <w:b/>
                <w:bCs/>
                <w:noProof w:val="0"/>
                <w:color w:val="000000"/>
                <w:sz w:val="20"/>
                <w:szCs w:val="20"/>
                <w:lang w:eastAsia="cs-CZ" w:bidi="ar-SA"/>
              </w:rPr>
              <w:t>Odhadované náklady</w:t>
            </w:r>
            <w:r w:rsidR="00571A8E">
              <w:rPr>
                <w:b/>
                <w:bCs/>
                <w:noProof w:val="0"/>
                <w:color w:val="000000"/>
                <w:sz w:val="20"/>
                <w:szCs w:val="20"/>
                <w:lang w:eastAsia="cs-CZ" w:bidi="ar-SA"/>
              </w:rPr>
              <w:t xml:space="preserve"> KÚ</w:t>
            </w:r>
            <w:r>
              <w:rPr>
                <w:b/>
                <w:bCs/>
                <w:noProof w:val="0"/>
                <w:color w:val="000000"/>
                <w:sz w:val="20"/>
                <w:szCs w:val="20"/>
                <w:lang w:eastAsia="cs-CZ" w:bidi="ar-SA"/>
              </w:rPr>
              <w:t xml:space="preserve"> celkem</w:t>
            </w:r>
            <w:r w:rsidRPr="008A08F3">
              <w:rPr>
                <w:b/>
                <w:bCs/>
                <w:noProof w:val="0"/>
                <w:color w:val="000000"/>
                <w:sz w:val="20"/>
                <w:szCs w:val="20"/>
                <w:lang w:eastAsia="cs-CZ" w:bidi="ar-SA"/>
              </w:rPr>
              <w:t xml:space="preserve"> (Kč)</w:t>
            </w:r>
          </w:p>
        </w:tc>
        <w:tc>
          <w:tcPr>
            <w:tcW w:w="1559" w:type="dxa"/>
            <w:tcBorders>
              <w:top w:val="nil"/>
              <w:left w:val="nil"/>
              <w:bottom w:val="single" w:sz="4" w:space="0" w:color="auto"/>
              <w:right w:val="single" w:sz="4" w:space="0" w:color="auto"/>
            </w:tcBorders>
            <w:shd w:val="clear" w:color="auto" w:fill="auto"/>
            <w:noWrap/>
            <w:vAlign w:val="center"/>
            <w:hideMark/>
          </w:tcPr>
          <w:p w:rsidR="001401DA" w:rsidRPr="008A08F3" w:rsidP="001401DA" w14:paraId="35941CA7" w14:textId="3EC92EBD">
            <w:pPr>
              <w:spacing w:line="240" w:lineRule="auto"/>
              <w:jc w:val="center"/>
              <w:rPr>
                <w:b/>
                <w:bCs/>
                <w:noProof w:val="0"/>
                <w:color w:val="000000"/>
                <w:sz w:val="20"/>
                <w:szCs w:val="20"/>
                <w:lang w:eastAsia="cs-CZ" w:bidi="ar-SA"/>
              </w:rPr>
            </w:pPr>
            <w:r>
              <w:rPr>
                <w:b/>
                <w:bCs/>
                <w:noProof w:val="0"/>
                <w:color w:val="000000"/>
                <w:sz w:val="20"/>
                <w:szCs w:val="20"/>
                <w:lang w:eastAsia="cs-CZ" w:bidi="ar-SA"/>
              </w:rPr>
              <w:t>82 880</w:t>
            </w:r>
            <w:r w:rsidRPr="008A08F3">
              <w:rPr>
                <w:b/>
                <w:bCs/>
                <w:noProof w:val="0"/>
                <w:color w:val="000000"/>
                <w:sz w:val="20"/>
                <w:szCs w:val="20"/>
                <w:lang w:eastAsia="cs-CZ" w:bidi="ar-SA"/>
              </w:rPr>
              <w:t xml:space="preserve"> 000</w:t>
            </w:r>
          </w:p>
        </w:tc>
        <w:tc>
          <w:tcPr>
            <w:tcW w:w="1560" w:type="dxa"/>
            <w:tcBorders>
              <w:top w:val="nil"/>
              <w:left w:val="nil"/>
              <w:bottom w:val="single" w:sz="4" w:space="0" w:color="auto"/>
              <w:right w:val="single" w:sz="4" w:space="0" w:color="auto"/>
            </w:tcBorders>
            <w:shd w:val="clear" w:color="auto" w:fill="auto"/>
            <w:noWrap/>
            <w:vAlign w:val="center"/>
            <w:hideMark/>
          </w:tcPr>
          <w:p w:rsidR="001401DA" w:rsidRPr="008A08F3" w:rsidP="008C2B0A" w14:paraId="0E1BF4C2" w14:textId="39CA3A15">
            <w:pPr>
              <w:spacing w:line="240" w:lineRule="auto"/>
              <w:jc w:val="center"/>
              <w:rPr>
                <w:b/>
                <w:bCs/>
                <w:noProof w:val="0"/>
                <w:color w:val="000000"/>
                <w:sz w:val="20"/>
                <w:szCs w:val="20"/>
                <w:lang w:eastAsia="cs-CZ" w:bidi="ar-SA"/>
              </w:rPr>
            </w:pPr>
            <w:r>
              <w:rPr>
                <w:b/>
                <w:bCs/>
                <w:noProof w:val="0"/>
                <w:color w:val="000000"/>
                <w:sz w:val="20"/>
                <w:szCs w:val="20"/>
                <w:lang w:eastAsia="cs-CZ" w:bidi="ar-SA"/>
              </w:rPr>
              <w:t>473 600</w:t>
            </w:r>
            <w:r w:rsidRPr="008A08F3">
              <w:rPr>
                <w:b/>
                <w:bCs/>
                <w:noProof w:val="0"/>
                <w:color w:val="000000"/>
                <w:sz w:val="20"/>
                <w:szCs w:val="20"/>
                <w:lang w:eastAsia="cs-CZ" w:bidi="ar-SA"/>
              </w:rPr>
              <w:t xml:space="preserve"> 000</w:t>
            </w:r>
          </w:p>
        </w:tc>
      </w:tr>
    </w:tbl>
    <w:p w:rsidR="00B16E08" w:rsidRPr="008A08F3" w:rsidP="00B16E08" w14:paraId="70E3399A" w14:textId="77777777">
      <w:pPr>
        <w:autoSpaceDE w:val="0"/>
        <w:autoSpaceDN w:val="0"/>
        <w:adjustRightInd w:val="0"/>
        <w:spacing w:after="120" w:line="240" w:lineRule="auto"/>
        <w:rPr>
          <w:color w:val="000000"/>
          <w:sz w:val="20"/>
          <w:szCs w:val="20"/>
        </w:rPr>
      </w:pPr>
      <w:r w:rsidRPr="008A08F3">
        <w:rPr>
          <w:color w:val="000000"/>
          <w:sz w:val="20"/>
          <w:szCs w:val="20"/>
        </w:rPr>
        <w:t>* Výpočet administrativní zátěže je proveden dle Standardního nákladového modelu s využitím Metodiky stanovení plánovaných nákladů na výkon státní správy, Ministerstvo vnitra, 2007</w:t>
      </w:r>
    </w:p>
    <w:p w:rsidR="00B16E08" w:rsidRPr="008A08F3" w:rsidP="00221615" w14:paraId="5825B9DC" w14:textId="77777777">
      <w:pPr>
        <w:rPr>
          <w:color w:val="000000"/>
          <w:sz w:val="20"/>
          <w:szCs w:val="20"/>
        </w:rPr>
      </w:pPr>
      <w:r w:rsidRPr="008A08F3">
        <w:rPr>
          <w:color w:val="000000"/>
          <w:sz w:val="20"/>
          <w:szCs w:val="20"/>
        </w:rPr>
        <w:t>** zdroj Hodnocení dopadů regulace k věcnému záměru zákona o výrobcích s ukončenou životností</w:t>
      </w:r>
    </w:p>
    <w:p w:rsidR="003F3B54" w:rsidRPr="00ED38E9" w:rsidP="00C87069" w14:paraId="3A5822EF" w14:textId="77777777">
      <w:pPr>
        <w:pStyle w:val="Normlntun"/>
        <w:spacing w:before="240" w:after="0" w:line="276" w:lineRule="auto"/>
        <w:rPr>
          <w:rFonts w:cs="Arial"/>
        </w:rPr>
      </w:pPr>
      <w:r w:rsidRPr="00ED38E9">
        <w:rPr>
          <w:rFonts w:cs="Arial"/>
        </w:rPr>
        <w:t>Sociální dopady</w:t>
      </w:r>
    </w:p>
    <w:p w:rsidR="003F3B54" w:rsidP="00936929" w14:paraId="624107E2" w14:textId="77777777">
      <w:pPr>
        <w:rPr>
          <w:rFonts w:cs="Arial"/>
        </w:rPr>
      </w:pPr>
      <w:r w:rsidRPr="00ED38E9">
        <w:rPr>
          <w:rFonts w:cs="Arial"/>
        </w:rPr>
        <w:t xml:space="preserve">Návrh </w:t>
      </w:r>
      <w:r w:rsidR="00625F7A">
        <w:rPr>
          <w:rFonts w:cs="Arial"/>
        </w:rPr>
        <w:t xml:space="preserve">může </w:t>
      </w:r>
      <w:r w:rsidRPr="00ED38E9">
        <w:rPr>
          <w:rFonts w:cs="Arial"/>
        </w:rPr>
        <w:t>představ</w:t>
      </w:r>
      <w:r w:rsidR="00625F7A">
        <w:rPr>
          <w:rFonts w:cs="Arial"/>
        </w:rPr>
        <w:t>ovat</w:t>
      </w:r>
      <w:r w:rsidRPr="00ED38E9">
        <w:rPr>
          <w:rFonts w:cs="Arial"/>
        </w:rPr>
        <w:t xml:space="preserve"> dopady na občany </w:t>
      </w:r>
      <w:r w:rsidR="00B16E08">
        <w:rPr>
          <w:rFonts w:cs="Arial"/>
        </w:rPr>
        <w:t xml:space="preserve">pokud výrobci </w:t>
      </w:r>
      <w:r w:rsidRPr="00ED38E9">
        <w:rPr>
          <w:rFonts w:cs="Arial"/>
        </w:rPr>
        <w:t xml:space="preserve"> dané náklady</w:t>
      </w:r>
      <w:r w:rsidR="00A64F41">
        <w:rPr>
          <w:rFonts w:cs="Arial"/>
        </w:rPr>
        <w:t xml:space="preserve"> vybraných výrobků</w:t>
      </w:r>
      <w:r w:rsidR="00B16E08">
        <w:rPr>
          <w:rFonts w:cs="Arial"/>
        </w:rPr>
        <w:t xml:space="preserve"> </w:t>
      </w:r>
      <w:r w:rsidRPr="00ED38E9" w:rsidR="00B16E08">
        <w:rPr>
          <w:rFonts w:cs="Arial"/>
        </w:rPr>
        <w:t>promít</w:t>
      </w:r>
      <w:r w:rsidR="00B16E08">
        <w:rPr>
          <w:rFonts w:cs="Arial"/>
        </w:rPr>
        <w:t>nou</w:t>
      </w:r>
      <w:r w:rsidRPr="00ED38E9" w:rsidR="00B16E08">
        <w:rPr>
          <w:rFonts w:cs="Arial"/>
        </w:rPr>
        <w:t xml:space="preserve"> </w:t>
      </w:r>
      <w:r w:rsidRPr="00ED38E9">
        <w:rPr>
          <w:rFonts w:cs="Arial"/>
        </w:rPr>
        <w:t>do  cen</w:t>
      </w:r>
      <w:r w:rsidR="00A64F41">
        <w:rPr>
          <w:rFonts w:cs="Arial"/>
        </w:rPr>
        <w:t xml:space="preserve"> svých výrobků</w:t>
      </w:r>
      <w:r w:rsidRPr="00ED38E9">
        <w:rPr>
          <w:rFonts w:cs="Arial"/>
        </w:rPr>
        <w:t>.</w:t>
      </w:r>
    </w:p>
    <w:p w:rsidR="00A55256" w:rsidRPr="00ED38E9" w:rsidP="00412DA2" w14:paraId="4DFC81A6" w14:textId="77777777">
      <w:pPr>
        <w:pStyle w:val="Normlntun"/>
        <w:spacing w:before="240" w:after="0" w:line="276" w:lineRule="auto"/>
        <w:rPr>
          <w:rFonts w:cs="Arial"/>
        </w:rPr>
      </w:pPr>
      <w:r w:rsidRPr="00ED38E9">
        <w:rPr>
          <w:rFonts w:cs="Arial"/>
        </w:rPr>
        <w:t>Dopady na životní prostředí</w:t>
      </w:r>
    </w:p>
    <w:p w:rsidR="00FA6B8B" w:rsidP="00AB6F15" w14:paraId="6B069BA3" w14:textId="19A88EF7">
      <w:pPr>
        <w:rPr>
          <w:rFonts w:cs="Arial"/>
        </w:rPr>
      </w:pPr>
      <w:r>
        <w:rPr>
          <w:rFonts w:cs="Arial"/>
        </w:rPr>
        <w:t>Zřizování míst zpětného odběru na základě standardního odpadového režimu by mohlo</w:t>
      </w:r>
      <w:r w:rsidRPr="00ED38E9">
        <w:rPr>
          <w:rFonts w:cs="Arial"/>
        </w:rPr>
        <w:t xml:space="preserve"> </w:t>
      </w:r>
      <w:r>
        <w:rPr>
          <w:rFonts w:cs="Arial"/>
        </w:rPr>
        <w:t xml:space="preserve">sice </w:t>
      </w:r>
      <w:r w:rsidRPr="00ED38E9">
        <w:rPr>
          <w:rFonts w:cs="Arial"/>
        </w:rPr>
        <w:t xml:space="preserve">představovat přínos v podobě možnosti </w:t>
      </w:r>
      <w:r>
        <w:rPr>
          <w:rFonts w:cs="Arial"/>
        </w:rPr>
        <w:t xml:space="preserve">efektivnějších </w:t>
      </w:r>
      <w:r w:rsidRPr="00ED38E9">
        <w:rPr>
          <w:rFonts w:cs="Arial"/>
        </w:rPr>
        <w:t>kontrol míst zpětného odběru</w:t>
      </w:r>
      <w:r>
        <w:rPr>
          <w:rFonts w:cs="Arial"/>
        </w:rPr>
        <w:t xml:space="preserve"> nebo i dat, která jsou jejich prostřednictvím generována</w:t>
      </w:r>
      <w:r w:rsidRPr="00ED38E9">
        <w:rPr>
          <w:rFonts w:cs="Arial"/>
        </w:rPr>
        <w:t>, al</w:t>
      </w:r>
      <w:r>
        <w:rPr>
          <w:rFonts w:cs="Arial"/>
        </w:rPr>
        <w:t>e tento přístup by byl spojen s enormně vysokou administrativní zátěží jednotlivých provozovatelů těchto míst. Mohlo by tak v důsledku uvedeného nárůstu</w:t>
      </w:r>
      <w:r w:rsidRPr="00ED38E9">
        <w:rPr>
          <w:rFonts w:cs="Arial"/>
        </w:rPr>
        <w:t xml:space="preserve"> </w:t>
      </w:r>
      <w:r>
        <w:rPr>
          <w:rFonts w:cs="Arial"/>
        </w:rPr>
        <w:t>administrativní zátěže dojít k situaci, že by</w:t>
      </w:r>
      <w:r w:rsidRPr="00ED38E9">
        <w:rPr>
          <w:rFonts w:cs="Arial"/>
        </w:rPr>
        <w:t xml:space="preserve"> </w:t>
      </w:r>
      <w:r>
        <w:rPr>
          <w:rFonts w:cs="Arial"/>
        </w:rPr>
        <w:t xml:space="preserve">mnoho subjektů neprojevilo zájem o spolupodílení se na vytváření sítě míst zpětného odběru.  Jde zde zejména o </w:t>
      </w:r>
      <w:r w:rsidRPr="00ED38E9">
        <w:rPr>
          <w:rFonts w:cs="Arial"/>
        </w:rPr>
        <w:t xml:space="preserve">školy, </w:t>
      </w:r>
      <w:r>
        <w:rPr>
          <w:rFonts w:cs="Arial"/>
        </w:rPr>
        <w:t xml:space="preserve">různé </w:t>
      </w:r>
      <w:r w:rsidRPr="00ED38E9">
        <w:rPr>
          <w:rFonts w:cs="Arial"/>
        </w:rPr>
        <w:t>úřady, obchody</w:t>
      </w:r>
      <w:r>
        <w:rPr>
          <w:rFonts w:cs="Arial"/>
        </w:rPr>
        <w:t>, správce veřejných prostranství, servisy</w:t>
      </w:r>
      <w:r w:rsidR="00BC5799">
        <w:rPr>
          <w:rFonts w:cs="Arial"/>
        </w:rPr>
        <w:t>,</w:t>
      </w:r>
      <w:r>
        <w:rPr>
          <w:rFonts w:cs="Arial"/>
        </w:rPr>
        <w:t xml:space="preserve"> ale i třeba obecní úřady nebo různé neziskové či charitativní organizace</w:t>
      </w:r>
      <w:r w:rsidRPr="00ED38E9">
        <w:rPr>
          <w:rFonts w:cs="Arial"/>
        </w:rPr>
        <w:t xml:space="preserve">. </w:t>
      </w:r>
      <w:r>
        <w:rPr>
          <w:rFonts w:cs="Arial"/>
        </w:rPr>
        <w:t>Při tomto přístupu tedy</w:t>
      </w:r>
      <w:r w:rsidRPr="00ED38E9">
        <w:rPr>
          <w:rFonts w:cs="Arial"/>
        </w:rPr>
        <w:t xml:space="preserve"> </w:t>
      </w:r>
      <w:r>
        <w:rPr>
          <w:rFonts w:cs="Arial"/>
        </w:rPr>
        <w:t>existuje riziko</w:t>
      </w:r>
      <w:r w:rsidRPr="00ED38E9">
        <w:rPr>
          <w:rFonts w:cs="Arial"/>
        </w:rPr>
        <w:t xml:space="preserve">, že </w:t>
      </w:r>
      <w:r>
        <w:rPr>
          <w:rFonts w:cs="Arial"/>
        </w:rPr>
        <w:t>by pravděpodobně došlo</w:t>
      </w:r>
      <w:r w:rsidRPr="00ED38E9">
        <w:rPr>
          <w:rFonts w:cs="Arial"/>
        </w:rPr>
        <w:t xml:space="preserve"> k razantnímu snížení počtu sběrných míst, a tím i k navýšení objemu výrobků s ukončenou životností, které </w:t>
      </w:r>
      <w:r w:rsidR="00A63EA0">
        <w:rPr>
          <w:rFonts w:cs="Arial"/>
        </w:rPr>
        <w:t xml:space="preserve">by </w:t>
      </w:r>
      <w:r>
        <w:rPr>
          <w:rFonts w:cs="Arial"/>
        </w:rPr>
        <w:t>končily</w:t>
      </w:r>
      <w:r w:rsidRPr="00ED38E9">
        <w:rPr>
          <w:rFonts w:cs="Arial"/>
        </w:rPr>
        <w:t xml:space="preserve"> ve směsném odpadu</w:t>
      </w:r>
      <w:r>
        <w:rPr>
          <w:rFonts w:cs="Arial"/>
        </w:rPr>
        <w:t>. T</w:t>
      </w:r>
      <w:r w:rsidRPr="00ED38E9">
        <w:rPr>
          <w:rFonts w:cs="Arial"/>
        </w:rPr>
        <w:t xml:space="preserve">ím </w:t>
      </w:r>
      <w:r>
        <w:rPr>
          <w:rFonts w:cs="Arial"/>
        </w:rPr>
        <w:t xml:space="preserve">by bylo ohroženo i </w:t>
      </w:r>
      <w:r w:rsidRPr="00ED38E9">
        <w:rPr>
          <w:rFonts w:cs="Arial"/>
        </w:rPr>
        <w:t xml:space="preserve">plnění cílů </w:t>
      </w:r>
      <w:r>
        <w:rPr>
          <w:rFonts w:cs="Arial"/>
        </w:rPr>
        <w:t>sběru stanovených jak národní, tak i evropskou legislativou (elektrozařízení</w:t>
      </w:r>
      <w:r w:rsidR="00BC5799">
        <w:rPr>
          <w:rFonts w:cs="Arial"/>
        </w:rPr>
        <w:t>,</w:t>
      </w:r>
      <w:r>
        <w:rPr>
          <w:rFonts w:cs="Arial"/>
        </w:rPr>
        <w:t xml:space="preserve"> baterie a akumulátory</w:t>
      </w:r>
      <w:r w:rsidR="00BC5799">
        <w:rPr>
          <w:rFonts w:cs="Arial"/>
        </w:rPr>
        <w:t>, příp. i pneumatiky</w:t>
      </w:r>
      <w:r>
        <w:rPr>
          <w:rFonts w:cs="Arial"/>
        </w:rPr>
        <w:t>)</w:t>
      </w:r>
      <w:r w:rsidRPr="00ED38E9">
        <w:rPr>
          <w:rFonts w:cs="Arial"/>
        </w:rPr>
        <w:t>.</w:t>
      </w:r>
    </w:p>
    <w:p w:rsidR="00A55256" w:rsidRPr="00ED38E9" w:rsidP="00936929" w14:paraId="778DB05A" w14:textId="77777777">
      <w:pPr>
        <w:rPr>
          <w:rFonts w:cs="Arial"/>
        </w:rPr>
      </w:pPr>
    </w:p>
    <w:p w:rsidR="004C3E42" w:rsidRPr="00221615" w:rsidP="003C445B" w14:paraId="11B35B84" w14:textId="77777777">
      <w:pPr>
        <w:keepNext/>
        <w:numPr>
          <w:ilvl w:val="0"/>
          <w:numId w:val="38"/>
        </w:numPr>
        <w:spacing w:after="0"/>
        <w:rPr>
          <w:rFonts w:cs="Arial"/>
          <w:b/>
        </w:rPr>
      </w:pPr>
      <w:r w:rsidRPr="00221615">
        <w:rPr>
          <w:rFonts w:cs="Arial"/>
          <w:b/>
        </w:rPr>
        <w:t xml:space="preserve">Varianta </w:t>
      </w:r>
      <w:r w:rsidRPr="00221615" w:rsidR="009D5A19">
        <w:rPr>
          <w:rFonts w:cs="Arial"/>
          <w:b/>
        </w:rPr>
        <w:t>2</w:t>
      </w:r>
    </w:p>
    <w:p w:rsidR="00F53878" w:rsidRPr="00ED38E9" w:rsidP="00DA6DDC" w14:paraId="28CAA34F" w14:textId="77777777">
      <w:pPr>
        <w:pStyle w:val="Normlntun"/>
        <w:spacing w:before="240" w:after="0" w:line="276" w:lineRule="auto"/>
        <w:rPr>
          <w:rFonts w:cs="Arial"/>
        </w:rPr>
      </w:pPr>
      <w:r w:rsidRPr="00ED38E9">
        <w:rPr>
          <w:rFonts w:cs="Arial"/>
        </w:rPr>
        <w:t>Dopady na státní rozpočet a ostatní veřejné rozpočty</w:t>
      </w:r>
    </w:p>
    <w:p w:rsidR="00F53878" w:rsidRPr="00ED38E9" w:rsidP="00936929" w14:paraId="00E7C4B3" w14:textId="77777777">
      <w:pPr>
        <w:rPr>
          <w:rFonts w:cs="Arial"/>
        </w:rPr>
      </w:pPr>
      <w:r w:rsidRPr="00ED38E9">
        <w:rPr>
          <w:rFonts w:cs="Arial"/>
        </w:rPr>
        <w:t>Zavedení</w:t>
      </w:r>
      <w:r>
        <w:rPr>
          <w:rFonts w:cs="Arial"/>
        </w:rPr>
        <w:t>m</w:t>
      </w:r>
      <w:r w:rsidRPr="00ED38E9">
        <w:rPr>
          <w:rFonts w:cs="Arial"/>
        </w:rPr>
        <w:t xml:space="preserve"> určitých povinností místům zpětného odběru a možnost</w:t>
      </w:r>
      <w:r>
        <w:rPr>
          <w:rFonts w:cs="Arial"/>
        </w:rPr>
        <w:t>í</w:t>
      </w:r>
      <w:r w:rsidRPr="00ED38E9">
        <w:rPr>
          <w:rFonts w:cs="Arial"/>
        </w:rPr>
        <w:t xml:space="preserve"> kontrol</w:t>
      </w:r>
      <w:r>
        <w:rPr>
          <w:rFonts w:cs="Arial"/>
        </w:rPr>
        <w:t>y</w:t>
      </w:r>
      <w:r w:rsidRPr="00ED38E9">
        <w:rPr>
          <w:rFonts w:cs="Arial"/>
        </w:rPr>
        <w:t xml:space="preserve"> ze strany kontrolních orgánů (ministerstvo, ČIŽP) </w:t>
      </w:r>
      <w:r>
        <w:rPr>
          <w:rFonts w:cs="Arial"/>
        </w:rPr>
        <w:t>lze</w:t>
      </w:r>
      <w:r w:rsidRPr="00ED38E9">
        <w:rPr>
          <w:rFonts w:cs="Arial"/>
        </w:rPr>
        <w:t xml:space="preserve"> očekávat</w:t>
      </w:r>
      <w:r>
        <w:rPr>
          <w:rFonts w:cs="Arial"/>
        </w:rPr>
        <w:t xml:space="preserve"> navýšení</w:t>
      </w:r>
      <w:r w:rsidRPr="00ED38E9">
        <w:rPr>
          <w:rFonts w:cs="Arial"/>
        </w:rPr>
        <w:t xml:space="preserve"> kontrolní činnost</w:t>
      </w:r>
      <w:r>
        <w:rPr>
          <w:rFonts w:cs="Arial"/>
        </w:rPr>
        <w:t>i</w:t>
      </w:r>
      <w:r w:rsidR="00DA7AE9">
        <w:rPr>
          <w:rFonts w:cs="Arial"/>
        </w:rPr>
        <w:t>.</w:t>
      </w:r>
      <w:r w:rsidRPr="00ED38E9">
        <w:rPr>
          <w:rFonts w:cs="Arial"/>
        </w:rPr>
        <w:t xml:space="preserve"> Předpokládáme však, že veškerá činnost bude řešena v rámci současné pracovní činnosti daných subjektů a nebude vyžadovat navýšení finančních prostředků na výkon státní správy.</w:t>
      </w:r>
    </w:p>
    <w:p w:rsidR="003F3B54" w:rsidRPr="00ED38E9" w:rsidP="00221615" w14:paraId="65E9E311" w14:textId="77777777">
      <w:pPr>
        <w:pStyle w:val="Normlntun"/>
        <w:spacing w:after="0" w:line="276" w:lineRule="auto"/>
        <w:rPr>
          <w:rFonts w:cs="Arial"/>
        </w:rPr>
      </w:pPr>
      <w:r w:rsidRPr="00ED38E9">
        <w:rPr>
          <w:rFonts w:cs="Arial"/>
        </w:rPr>
        <w:t>Dopady na podnikatelské subjekty</w:t>
      </w:r>
    </w:p>
    <w:p w:rsidR="0055537F" w:rsidRPr="00ED38E9" w:rsidP="00936929" w14:paraId="58B8EE79" w14:textId="77777777">
      <w:pPr>
        <w:rPr>
          <w:rFonts w:cs="Arial"/>
        </w:rPr>
      </w:pPr>
      <w:r w:rsidRPr="00ED38E9">
        <w:rPr>
          <w:rFonts w:cs="Arial"/>
        </w:rPr>
        <w:t xml:space="preserve">U varianty </w:t>
      </w:r>
      <w:r w:rsidR="00FE5334">
        <w:rPr>
          <w:rFonts w:cs="Arial"/>
        </w:rPr>
        <w:t>„</w:t>
      </w:r>
      <w:r w:rsidRPr="00ED38E9">
        <w:rPr>
          <w:rFonts w:cs="Arial"/>
        </w:rPr>
        <w:t>zjednodušeného odpadového režimu</w:t>
      </w:r>
      <w:r w:rsidR="00FE5334">
        <w:rPr>
          <w:rFonts w:cs="Arial"/>
        </w:rPr>
        <w:t>“</w:t>
      </w:r>
      <w:r w:rsidRPr="00ED38E9">
        <w:rPr>
          <w:rFonts w:cs="Arial"/>
        </w:rPr>
        <w:t xml:space="preserve"> neočekáváme </w:t>
      </w:r>
      <w:r w:rsidR="00FE5334">
        <w:rPr>
          <w:rFonts w:cs="Arial"/>
        </w:rPr>
        <w:t>výrazné</w:t>
      </w:r>
      <w:r w:rsidRPr="00ED38E9">
        <w:rPr>
          <w:rFonts w:cs="Arial"/>
        </w:rPr>
        <w:t xml:space="preserve"> navýšení nákladů oproti současnosti, protože povinnosti, které budou stanoveny, již většina subjektů plní.</w:t>
      </w:r>
    </w:p>
    <w:p w:rsidR="0044724F" w:rsidRPr="00ED38E9" w:rsidP="003B3870" w14:paraId="49A175FE" w14:textId="77777777">
      <w:pPr>
        <w:pStyle w:val="Normlntun"/>
        <w:numPr>
          <w:ilvl w:val="0"/>
          <w:numId w:val="61"/>
        </w:numPr>
        <w:spacing w:before="240" w:after="0" w:line="276" w:lineRule="auto"/>
        <w:ind w:left="714" w:hanging="357"/>
        <w:rPr>
          <w:rFonts w:cs="Arial"/>
        </w:rPr>
      </w:pPr>
      <w:r w:rsidRPr="00ED38E9">
        <w:rPr>
          <w:rFonts w:cs="Arial"/>
        </w:rPr>
        <w:t>Žádost o udělení souhlasu k provozování zařízení ke sběru odpadů</w:t>
      </w:r>
    </w:p>
    <w:p w:rsidR="0044724F" w:rsidRPr="00ED38E9" w:rsidP="00936929" w14:paraId="5238698A" w14:textId="77777777">
      <w:pPr>
        <w:rPr>
          <w:rFonts w:cs="Arial"/>
        </w:rPr>
      </w:pPr>
      <w:r w:rsidRPr="00ED38E9">
        <w:rPr>
          <w:rFonts w:cs="Arial"/>
        </w:rPr>
        <w:t>V případě zavedení zjednodušeného odpadového režimu předpokládáme, že místa zpětného odběru nebudou muset žádat o souhlas dle § 14 zákona o odpadech.</w:t>
      </w:r>
    </w:p>
    <w:p w:rsidR="0044724F" w:rsidRPr="00ED38E9" w:rsidP="003B3870" w14:paraId="5935ABEC" w14:textId="77777777">
      <w:pPr>
        <w:pStyle w:val="Normlntun"/>
        <w:numPr>
          <w:ilvl w:val="0"/>
          <w:numId w:val="61"/>
        </w:numPr>
        <w:spacing w:before="240" w:after="0" w:line="276" w:lineRule="auto"/>
        <w:ind w:left="714" w:hanging="357"/>
        <w:rPr>
          <w:rFonts w:cs="Arial"/>
        </w:rPr>
      </w:pPr>
      <w:r w:rsidRPr="00ED38E9">
        <w:rPr>
          <w:rFonts w:cs="Arial"/>
        </w:rPr>
        <w:t>Průběžná evidence, roční hlášení</w:t>
      </w:r>
    </w:p>
    <w:p w:rsidR="0044724F" w:rsidRPr="00ED38E9" w:rsidP="00936929" w14:paraId="7B115FF0" w14:textId="77777777">
      <w:pPr>
        <w:rPr>
          <w:rFonts w:cs="Arial"/>
        </w:rPr>
      </w:pPr>
      <w:r w:rsidRPr="00ED38E9">
        <w:rPr>
          <w:rFonts w:cs="Arial"/>
        </w:rPr>
        <w:t>Evidence bude zjednodušena. Detaily evidence budou ještě upřesněny, ale očekáv</w:t>
      </w:r>
      <w:r w:rsidR="00FE5334">
        <w:rPr>
          <w:rFonts w:cs="Arial"/>
        </w:rPr>
        <w:t>á se</w:t>
      </w:r>
      <w:r w:rsidRPr="00ED38E9">
        <w:rPr>
          <w:rFonts w:cs="Arial"/>
        </w:rPr>
        <w:t>, že míst</w:t>
      </w:r>
      <w:r w:rsidR="00FE5334">
        <w:rPr>
          <w:rFonts w:cs="Arial"/>
        </w:rPr>
        <w:t>a</w:t>
      </w:r>
      <w:r w:rsidRPr="00ED38E9">
        <w:rPr>
          <w:rFonts w:cs="Arial"/>
        </w:rPr>
        <w:t xml:space="preserve"> zpětného odběru </w:t>
      </w:r>
      <w:r w:rsidR="00FE5334">
        <w:rPr>
          <w:rFonts w:cs="Arial"/>
        </w:rPr>
        <w:t>nebudou povinni zasílat</w:t>
      </w:r>
      <w:r w:rsidRPr="00ED38E9">
        <w:rPr>
          <w:rFonts w:cs="Arial"/>
        </w:rPr>
        <w:t xml:space="preserve"> roční zpráv</w:t>
      </w:r>
      <w:r w:rsidR="00FE5334">
        <w:rPr>
          <w:rFonts w:cs="Arial"/>
        </w:rPr>
        <w:t>u</w:t>
      </w:r>
      <w:r w:rsidRPr="00ED38E9">
        <w:rPr>
          <w:rFonts w:cs="Arial"/>
        </w:rPr>
        <w:t xml:space="preserve"> a podrobn</w:t>
      </w:r>
      <w:r w:rsidR="00FE5334">
        <w:rPr>
          <w:rFonts w:cs="Arial"/>
        </w:rPr>
        <w:t>ou</w:t>
      </w:r>
      <w:r w:rsidRPr="00ED38E9">
        <w:rPr>
          <w:rFonts w:cs="Arial"/>
        </w:rPr>
        <w:t xml:space="preserve"> evidenc</w:t>
      </w:r>
      <w:r w:rsidR="00FE5334">
        <w:rPr>
          <w:rFonts w:cs="Arial"/>
        </w:rPr>
        <w:t>i</w:t>
      </w:r>
      <w:r w:rsidRPr="00ED38E9">
        <w:rPr>
          <w:rFonts w:cs="Arial"/>
        </w:rPr>
        <w:t xml:space="preserve"> jako  ostatní zařízení. Pro většinu subjektů se nic v tomto bodě nezmění, protože již dochází k vedení jednoduché průběžné evidenci.</w:t>
      </w:r>
    </w:p>
    <w:p w:rsidR="00CB26F8" w:rsidRPr="00ED38E9" w:rsidP="003B3870" w14:paraId="649A66E8" w14:textId="77777777">
      <w:pPr>
        <w:pStyle w:val="Normlntun"/>
        <w:numPr>
          <w:ilvl w:val="0"/>
          <w:numId w:val="61"/>
        </w:numPr>
        <w:spacing w:before="240" w:after="0" w:line="276" w:lineRule="auto"/>
        <w:ind w:left="714" w:hanging="357"/>
        <w:rPr>
          <w:rFonts w:cs="Arial"/>
        </w:rPr>
      </w:pPr>
      <w:r w:rsidRPr="00ED38E9">
        <w:rPr>
          <w:rFonts w:cs="Arial"/>
        </w:rPr>
        <w:t>Evidence při přepravě odpadů</w:t>
      </w:r>
    </w:p>
    <w:p w:rsidR="00CB26F8" w:rsidRPr="00ED38E9" w:rsidP="00936929" w14:paraId="126AC1B4" w14:textId="77777777">
      <w:pPr>
        <w:rPr>
          <w:rFonts w:cs="Arial"/>
        </w:rPr>
      </w:pPr>
      <w:r w:rsidRPr="00ED38E9">
        <w:rPr>
          <w:rFonts w:cs="Arial"/>
        </w:rPr>
        <w:t xml:space="preserve">Při předání dopravci bude docházet k potvrzování odhadovaného množství. Opět není očekávanáno větší navýšení administrativní zátěže, protože předpokládáme, že většina subjektů již takto evidenci při přepravě výrobků s ukončenou životností provádí. </w:t>
      </w:r>
    </w:p>
    <w:p w:rsidR="0055537F" w:rsidRPr="00ED38E9" w:rsidP="003B3870" w14:paraId="2200B4BA" w14:textId="77777777">
      <w:pPr>
        <w:pStyle w:val="Normlntun"/>
        <w:spacing w:before="240" w:after="0" w:line="276" w:lineRule="auto"/>
        <w:rPr>
          <w:rFonts w:cs="Arial"/>
        </w:rPr>
      </w:pPr>
      <w:r w:rsidRPr="00ED38E9">
        <w:rPr>
          <w:rFonts w:cs="Arial"/>
        </w:rPr>
        <w:t>Dopady na územní samosprávné celky (obce, kraje)</w:t>
      </w:r>
    </w:p>
    <w:p w:rsidR="0055537F" w:rsidRPr="00ED38E9" w:rsidP="00936929" w14:paraId="10220A9B" w14:textId="77777777">
      <w:pPr>
        <w:rPr>
          <w:rFonts w:cs="Arial"/>
        </w:rPr>
      </w:pPr>
      <w:r w:rsidRPr="00ED38E9">
        <w:rPr>
          <w:rFonts w:cs="Arial"/>
        </w:rPr>
        <w:t xml:space="preserve">Dopady na obce a kraje očekáváme pouze v případě, že kraj či obec je </w:t>
      </w:r>
      <w:r w:rsidR="00935FB1">
        <w:rPr>
          <w:rFonts w:cs="Arial"/>
        </w:rPr>
        <w:t xml:space="preserve">provozovatelem </w:t>
      </w:r>
      <w:r w:rsidRPr="00ED38E9">
        <w:rPr>
          <w:rFonts w:cs="Arial"/>
        </w:rPr>
        <w:t xml:space="preserve">místa zpětného odběru. </w:t>
      </w:r>
      <w:r w:rsidRPr="00ED38E9" w:rsidR="0024251A">
        <w:rPr>
          <w:rFonts w:cs="Arial"/>
        </w:rPr>
        <w:t>Stejně jako u podnikatelských subjektů nepředpokládáme zvýšení nák</w:t>
      </w:r>
      <w:r w:rsidR="005D660F">
        <w:rPr>
          <w:rFonts w:cs="Arial"/>
        </w:rPr>
        <w:t>l</w:t>
      </w:r>
      <w:r w:rsidRPr="00ED38E9" w:rsidR="0024251A">
        <w:rPr>
          <w:rFonts w:cs="Arial"/>
        </w:rPr>
        <w:t xml:space="preserve">adů proti současnému stavu. </w:t>
      </w:r>
    </w:p>
    <w:p w:rsidR="00E23837" w:rsidRPr="00ED38E9" w:rsidP="003B3870" w14:paraId="04FD9748" w14:textId="77777777">
      <w:pPr>
        <w:pStyle w:val="Normlntun"/>
        <w:spacing w:before="240" w:after="0" w:line="276" w:lineRule="auto"/>
        <w:rPr>
          <w:rFonts w:cs="Arial"/>
        </w:rPr>
      </w:pPr>
      <w:r w:rsidRPr="00ED38E9">
        <w:rPr>
          <w:rFonts w:cs="Arial"/>
        </w:rPr>
        <w:t>Sociální dopady</w:t>
      </w:r>
    </w:p>
    <w:p w:rsidR="00E23837" w:rsidRPr="00ED38E9" w:rsidP="00936929" w14:paraId="0FA156C3" w14:textId="77777777">
      <w:pPr>
        <w:rPr>
          <w:rFonts w:cs="Arial"/>
        </w:rPr>
      </w:pPr>
      <w:r w:rsidRPr="00ED38E9">
        <w:rPr>
          <w:rFonts w:cs="Arial"/>
        </w:rPr>
        <w:t>Návrh nepředstavuje sociální dopady.</w:t>
      </w:r>
    </w:p>
    <w:p w:rsidR="0044724F" w:rsidRPr="00ED38E9" w:rsidP="003B3870" w14:paraId="3B8A33C2" w14:textId="77777777">
      <w:pPr>
        <w:pStyle w:val="Normlntun"/>
        <w:spacing w:before="240" w:after="0" w:line="276" w:lineRule="auto"/>
        <w:rPr>
          <w:rFonts w:cs="Arial"/>
        </w:rPr>
      </w:pPr>
      <w:r w:rsidRPr="00ED38E9">
        <w:rPr>
          <w:rFonts w:cs="Arial"/>
        </w:rPr>
        <w:t>Dopady na životní prostředí</w:t>
      </w:r>
    </w:p>
    <w:p w:rsidR="0044724F" w:rsidP="00936929" w14:paraId="3FF066CE" w14:textId="77777777">
      <w:pPr>
        <w:rPr>
          <w:rFonts w:cs="Arial"/>
        </w:rPr>
      </w:pPr>
      <w:r w:rsidRPr="00ED38E9">
        <w:rPr>
          <w:rFonts w:cs="Arial"/>
        </w:rPr>
        <w:t>Lepší dohled nad subjekty nakládajícími s výrobky s ukončenou životností představuje pozitivní dopady na životní prostředí.</w:t>
      </w:r>
    </w:p>
    <w:p w:rsidR="00CB26F8" w:rsidRPr="00ED38E9" w:rsidP="00BF16B7" w14:paraId="3D41D0BB" w14:textId="77777777">
      <w:pPr>
        <w:pStyle w:val="Heading3"/>
      </w:pPr>
      <w:r w:rsidRPr="00ED38E9">
        <w:t>Vyhodnocení nákladů a přínosů</w:t>
      </w:r>
    </w:p>
    <w:p w:rsidR="00CB26F8" w:rsidRPr="008A08F3" w:rsidP="00C87069" w14:paraId="20F17253" w14:textId="77777777">
      <w:pPr>
        <w:pStyle w:val="Caption"/>
        <w:spacing w:before="120"/>
        <w:contextualSpacing w:val="0"/>
        <w:rPr>
          <w:sz w:val="20"/>
          <w:szCs w:val="20"/>
        </w:rPr>
      </w:pPr>
      <w:r w:rsidRPr="008A08F3">
        <w:rPr>
          <w:sz w:val="20"/>
          <w:szCs w:val="20"/>
        </w:rPr>
        <w:t xml:space="preserve">Tabulka </w:t>
      </w:r>
      <w:r w:rsidRPr="008A08F3" w:rsidR="00773064">
        <w:rPr>
          <w:sz w:val="20"/>
          <w:szCs w:val="20"/>
        </w:rPr>
        <w:fldChar w:fldCharType="begin"/>
      </w:r>
      <w:r w:rsidRPr="008A08F3">
        <w:rPr>
          <w:sz w:val="20"/>
          <w:szCs w:val="20"/>
        </w:rPr>
        <w:instrText xml:space="preserve"> SEQ Tabulka \* ARABIC </w:instrText>
      </w:r>
      <w:r w:rsidRPr="008A08F3" w:rsidR="00773064">
        <w:rPr>
          <w:sz w:val="20"/>
          <w:szCs w:val="20"/>
        </w:rPr>
        <w:fldChar w:fldCharType="separate"/>
      </w:r>
      <w:r w:rsidRPr="008A08F3">
        <w:rPr>
          <w:sz w:val="20"/>
          <w:szCs w:val="20"/>
        </w:rPr>
        <w:t>4</w:t>
      </w:r>
      <w:r w:rsidRPr="008A08F3" w:rsidR="00773064">
        <w:rPr>
          <w:sz w:val="20"/>
          <w:szCs w:val="20"/>
        </w:rPr>
        <w:fldChar w:fldCharType="end"/>
      </w:r>
      <w:r w:rsidRPr="008A08F3">
        <w:rPr>
          <w:sz w:val="20"/>
          <w:szCs w:val="20"/>
        </w:rPr>
        <w:t>: Porovnání nákladů a přínosů</w:t>
      </w:r>
    </w:p>
    <w:tbl>
      <w:tblPr>
        <w:tblW w:w="9060" w:type="dxa"/>
        <w:tblCellMar>
          <w:left w:w="70" w:type="dxa"/>
          <w:right w:w="70" w:type="dxa"/>
        </w:tblCellMar>
        <w:tblLook w:val="04A0"/>
      </w:tblPr>
      <w:tblGrid>
        <w:gridCol w:w="4835"/>
        <w:gridCol w:w="1408"/>
        <w:gridCol w:w="1408"/>
        <w:gridCol w:w="1409"/>
      </w:tblGrid>
      <w:tr w14:paraId="071EBA35" w14:textId="77777777" w:rsidTr="00C1498C">
        <w:tblPrEx>
          <w:tblW w:w="9060" w:type="dxa"/>
          <w:tblCellMar>
            <w:left w:w="70" w:type="dxa"/>
            <w:right w:w="70" w:type="dxa"/>
          </w:tblCellMar>
          <w:tblLook w:val="04A0"/>
        </w:tblPrEx>
        <w:trPr>
          <w:trHeight w:val="554"/>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1DA" w:rsidRPr="008A08F3" w:rsidP="003B3870" w14:paraId="69BB8C34" w14:textId="77777777">
            <w:pPr>
              <w:spacing w:before="60" w:line="240" w:lineRule="auto"/>
              <w:jc w:val="left"/>
              <w:rPr>
                <w:b/>
                <w:bCs/>
                <w:noProof w:val="0"/>
                <w:color w:val="000000"/>
                <w:sz w:val="20"/>
                <w:szCs w:val="20"/>
                <w:lang w:eastAsia="cs-CZ" w:bidi="ar-SA"/>
              </w:rPr>
            </w:pPr>
            <w:r w:rsidRPr="008A08F3">
              <w:rPr>
                <w:b/>
                <w:bCs/>
                <w:noProof w:val="0"/>
                <w:color w:val="000000"/>
                <w:sz w:val="20"/>
                <w:szCs w:val="20"/>
                <w:lang w:eastAsia="cs-CZ" w:bidi="ar-SA"/>
              </w:rPr>
              <w:t>Činnosti</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1401DA" w:rsidRPr="008A08F3" w:rsidP="003B3870" w14:paraId="5AFE8D9E" w14:textId="77777777">
            <w:pPr>
              <w:spacing w:before="60" w:line="240" w:lineRule="auto"/>
              <w:jc w:val="center"/>
              <w:rPr>
                <w:b/>
                <w:bCs/>
                <w:noProof w:val="0"/>
                <w:color w:val="000000"/>
                <w:sz w:val="20"/>
                <w:szCs w:val="20"/>
                <w:lang w:eastAsia="cs-CZ" w:bidi="ar-SA"/>
              </w:rPr>
            </w:pPr>
            <w:r w:rsidRPr="008A08F3">
              <w:rPr>
                <w:b/>
                <w:bCs/>
                <w:noProof w:val="0"/>
                <w:color w:val="000000"/>
                <w:sz w:val="20"/>
                <w:szCs w:val="20"/>
                <w:lang w:eastAsia="cs-CZ" w:bidi="ar-SA"/>
              </w:rPr>
              <w:t>Varianta 0</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1401DA" w:rsidRPr="008A08F3" w:rsidP="003B3870" w14:paraId="728BC15C" w14:textId="77777777">
            <w:pPr>
              <w:spacing w:before="60" w:line="240" w:lineRule="auto"/>
              <w:jc w:val="center"/>
              <w:rPr>
                <w:b/>
                <w:bCs/>
                <w:noProof w:val="0"/>
                <w:color w:val="000000"/>
                <w:sz w:val="20"/>
                <w:szCs w:val="20"/>
                <w:lang w:eastAsia="cs-CZ" w:bidi="ar-SA"/>
              </w:rPr>
            </w:pPr>
            <w:r w:rsidRPr="008A08F3">
              <w:rPr>
                <w:b/>
                <w:bCs/>
                <w:noProof w:val="0"/>
                <w:color w:val="000000"/>
                <w:sz w:val="20"/>
                <w:szCs w:val="20"/>
                <w:lang w:eastAsia="cs-CZ" w:bidi="ar-SA"/>
              </w:rPr>
              <w:t>Varianta 1</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1401DA" w:rsidRPr="008A08F3" w:rsidP="003B3870" w14:paraId="7685D3E4" w14:textId="77777777">
            <w:pPr>
              <w:spacing w:before="60" w:line="240" w:lineRule="auto"/>
              <w:jc w:val="center"/>
              <w:rPr>
                <w:b/>
                <w:bCs/>
                <w:noProof w:val="0"/>
                <w:color w:val="000000"/>
                <w:sz w:val="20"/>
                <w:szCs w:val="20"/>
                <w:lang w:eastAsia="cs-CZ" w:bidi="ar-SA"/>
              </w:rPr>
            </w:pPr>
            <w:r w:rsidRPr="008A08F3">
              <w:rPr>
                <w:b/>
                <w:bCs/>
                <w:noProof w:val="0"/>
                <w:color w:val="000000"/>
                <w:sz w:val="20"/>
                <w:szCs w:val="20"/>
                <w:lang w:eastAsia="cs-CZ" w:bidi="ar-SA"/>
              </w:rPr>
              <w:t>Varianta 2</w:t>
            </w:r>
          </w:p>
        </w:tc>
      </w:tr>
      <w:tr w14:paraId="782C0187" w14:textId="77777777" w:rsidTr="00C1498C">
        <w:tblPrEx>
          <w:tblW w:w="9060" w:type="dxa"/>
          <w:tblCellMar>
            <w:left w:w="70" w:type="dxa"/>
            <w:right w:w="70" w:type="dxa"/>
          </w:tblCellMar>
          <w:tblLook w:val="04A0"/>
        </w:tblPrEx>
        <w:trPr>
          <w:trHeight w:val="55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1401DA" w:rsidRPr="008A08F3" w:rsidP="003B3870" w14:paraId="40DA37C7" w14:textId="77777777">
            <w:pPr>
              <w:spacing w:before="60" w:line="240" w:lineRule="auto"/>
              <w:jc w:val="left"/>
              <w:rPr>
                <w:noProof w:val="0"/>
                <w:color w:val="000000"/>
                <w:sz w:val="20"/>
                <w:szCs w:val="20"/>
                <w:lang w:eastAsia="cs-CZ" w:bidi="ar-SA"/>
              </w:rPr>
            </w:pPr>
            <w:r w:rsidRPr="008A08F3">
              <w:rPr>
                <w:noProof w:val="0"/>
                <w:color w:val="000000"/>
                <w:sz w:val="20"/>
                <w:szCs w:val="20"/>
                <w:lang w:eastAsia="cs-CZ" w:bidi="ar-SA"/>
              </w:rPr>
              <w:t>možnost kontroly dle zákona o odpadech</w:t>
            </w:r>
          </w:p>
        </w:tc>
        <w:tc>
          <w:tcPr>
            <w:tcW w:w="1408" w:type="dxa"/>
            <w:tcBorders>
              <w:top w:val="nil"/>
              <w:left w:val="nil"/>
              <w:bottom w:val="single" w:sz="4" w:space="0" w:color="auto"/>
              <w:right w:val="single" w:sz="4" w:space="0" w:color="auto"/>
            </w:tcBorders>
            <w:shd w:val="clear" w:color="auto" w:fill="auto"/>
            <w:vAlign w:val="center"/>
            <w:hideMark/>
          </w:tcPr>
          <w:p w:rsidR="001401DA" w:rsidRPr="008A08F3" w:rsidP="003B3870" w14:paraId="0E9AB3CC"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ne</w:t>
            </w:r>
          </w:p>
        </w:tc>
        <w:tc>
          <w:tcPr>
            <w:tcW w:w="1408" w:type="dxa"/>
            <w:tcBorders>
              <w:top w:val="nil"/>
              <w:left w:val="nil"/>
              <w:bottom w:val="single" w:sz="4" w:space="0" w:color="auto"/>
              <w:right w:val="single" w:sz="4" w:space="0" w:color="auto"/>
            </w:tcBorders>
            <w:shd w:val="clear" w:color="auto" w:fill="auto"/>
            <w:vAlign w:val="center"/>
            <w:hideMark/>
          </w:tcPr>
          <w:p w:rsidR="001401DA" w:rsidRPr="008A08F3" w:rsidP="003B3870" w14:paraId="5FF05F2A"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ano</w:t>
            </w:r>
          </w:p>
        </w:tc>
        <w:tc>
          <w:tcPr>
            <w:tcW w:w="1409" w:type="dxa"/>
            <w:tcBorders>
              <w:top w:val="nil"/>
              <w:left w:val="nil"/>
              <w:bottom w:val="single" w:sz="4" w:space="0" w:color="auto"/>
              <w:right w:val="single" w:sz="4" w:space="0" w:color="auto"/>
            </w:tcBorders>
            <w:shd w:val="clear" w:color="auto" w:fill="auto"/>
            <w:vAlign w:val="center"/>
            <w:hideMark/>
          </w:tcPr>
          <w:p w:rsidR="001401DA" w:rsidRPr="008A08F3" w:rsidP="003B3870" w14:paraId="237FC818"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ano</w:t>
            </w:r>
          </w:p>
        </w:tc>
      </w:tr>
      <w:tr w14:paraId="687E0474" w14:textId="77777777" w:rsidTr="00C1498C">
        <w:tblPrEx>
          <w:tblW w:w="9060" w:type="dxa"/>
          <w:tblCellMar>
            <w:left w:w="70" w:type="dxa"/>
            <w:right w:w="70" w:type="dxa"/>
          </w:tblCellMar>
          <w:tblLook w:val="04A0"/>
        </w:tblPrEx>
        <w:trPr>
          <w:trHeight w:val="55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1401DA" w:rsidRPr="008A08F3" w:rsidP="003B3870" w14:paraId="4B439CD1" w14:textId="77777777">
            <w:pPr>
              <w:spacing w:before="60" w:line="240" w:lineRule="auto"/>
              <w:jc w:val="left"/>
              <w:rPr>
                <w:noProof w:val="0"/>
                <w:color w:val="000000"/>
                <w:sz w:val="20"/>
                <w:szCs w:val="20"/>
                <w:lang w:eastAsia="cs-CZ" w:bidi="ar-SA"/>
              </w:rPr>
            </w:pPr>
            <w:r w:rsidRPr="008A08F3">
              <w:rPr>
                <w:noProof w:val="0"/>
                <w:color w:val="000000"/>
                <w:sz w:val="20"/>
                <w:szCs w:val="20"/>
                <w:lang w:eastAsia="cs-CZ" w:bidi="ar-SA"/>
              </w:rPr>
              <w:t>náklady sběrných míst na žádost o udělení souhlasu dle § 14 - odhad 3</w:t>
            </w:r>
            <w:r w:rsidRPr="008A08F3" w:rsidR="00E939C1">
              <w:rPr>
                <w:noProof w:val="0"/>
                <w:color w:val="000000"/>
                <w:sz w:val="20"/>
                <w:szCs w:val="20"/>
                <w:lang w:eastAsia="cs-CZ" w:bidi="ar-SA"/>
              </w:rPr>
              <w:t>2</w:t>
            </w:r>
            <w:r w:rsidRPr="008A08F3">
              <w:rPr>
                <w:noProof w:val="0"/>
                <w:color w:val="000000"/>
                <w:sz w:val="20"/>
                <w:szCs w:val="20"/>
                <w:lang w:eastAsia="cs-CZ" w:bidi="ar-SA"/>
              </w:rPr>
              <w:t xml:space="preserve"> tis. subjektů (Kč)</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7BE3D2AB"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0</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6E15D4AB" w14:textId="31489DC3">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 xml:space="preserve">až </w:t>
            </w:r>
            <w:r w:rsidR="00093115">
              <w:rPr>
                <w:noProof w:val="0"/>
                <w:color w:val="000000"/>
                <w:sz w:val="20"/>
                <w:szCs w:val="20"/>
                <w:lang w:eastAsia="cs-CZ" w:bidi="ar-SA"/>
              </w:rPr>
              <w:t>426</w:t>
            </w:r>
            <w:r w:rsidRPr="008A08F3" w:rsidR="00FE5334">
              <w:rPr>
                <w:noProof w:val="0"/>
                <w:color w:val="000000"/>
                <w:sz w:val="20"/>
                <w:szCs w:val="20"/>
                <w:lang w:eastAsia="cs-CZ" w:bidi="ar-SA"/>
              </w:rPr>
              <w:t xml:space="preserve"> </w:t>
            </w:r>
            <w:r w:rsidRPr="008A08F3">
              <w:rPr>
                <w:noProof w:val="0"/>
                <w:color w:val="000000"/>
                <w:sz w:val="20"/>
                <w:szCs w:val="20"/>
                <w:lang w:eastAsia="cs-CZ" w:bidi="ar-SA"/>
              </w:rPr>
              <w:t>mil.</w:t>
            </w:r>
          </w:p>
        </w:tc>
        <w:tc>
          <w:tcPr>
            <w:tcW w:w="1409"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568C8959"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0</w:t>
            </w:r>
          </w:p>
        </w:tc>
      </w:tr>
      <w:tr w14:paraId="1B698FA8" w14:textId="77777777" w:rsidTr="00C1498C">
        <w:tblPrEx>
          <w:tblW w:w="9060" w:type="dxa"/>
          <w:tblCellMar>
            <w:left w:w="70" w:type="dxa"/>
            <w:right w:w="70" w:type="dxa"/>
          </w:tblCellMar>
          <w:tblLook w:val="04A0"/>
        </w:tblPrEx>
        <w:trPr>
          <w:trHeight w:val="55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1401DA" w:rsidRPr="008A08F3" w:rsidP="003B3870" w14:paraId="457DD046" w14:textId="77777777">
            <w:pPr>
              <w:spacing w:before="60" w:line="240" w:lineRule="auto"/>
              <w:jc w:val="left"/>
              <w:rPr>
                <w:noProof w:val="0"/>
                <w:color w:val="000000"/>
                <w:sz w:val="20"/>
                <w:szCs w:val="20"/>
                <w:lang w:eastAsia="cs-CZ" w:bidi="ar-SA"/>
              </w:rPr>
            </w:pPr>
            <w:r w:rsidRPr="008A08F3">
              <w:rPr>
                <w:noProof w:val="0"/>
                <w:color w:val="000000"/>
                <w:sz w:val="20"/>
                <w:szCs w:val="20"/>
                <w:lang w:eastAsia="cs-CZ" w:bidi="ar-SA"/>
              </w:rPr>
              <w:t xml:space="preserve">náklady KÚ </w:t>
            </w:r>
            <w:r w:rsidR="00F70B1C">
              <w:rPr>
                <w:noProof w:val="0"/>
                <w:color w:val="000000"/>
                <w:sz w:val="20"/>
                <w:szCs w:val="20"/>
                <w:lang w:eastAsia="cs-CZ" w:bidi="ar-SA"/>
              </w:rPr>
              <w:t>na zpracování žádostí - odhad 32</w:t>
            </w:r>
            <w:r w:rsidRPr="008A08F3">
              <w:rPr>
                <w:noProof w:val="0"/>
                <w:color w:val="000000"/>
                <w:sz w:val="20"/>
                <w:szCs w:val="20"/>
                <w:lang w:eastAsia="cs-CZ" w:bidi="ar-SA"/>
              </w:rPr>
              <w:t xml:space="preserve"> tis. subjektů (Kč)</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06ABEA1F"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0</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0C414ED4" w14:textId="2907B3E2">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 xml:space="preserve">až </w:t>
            </w:r>
            <w:r w:rsidR="00093115">
              <w:rPr>
                <w:noProof w:val="0"/>
                <w:color w:val="000000"/>
                <w:sz w:val="20"/>
                <w:szCs w:val="20"/>
                <w:lang w:eastAsia="cs-CZ" w:bidi="ar-SA"/>
              </w:rPr>
              <w:t>474</w:t>
            </w:r>
            <w:r w:rsidRPr="008A08F3" w:rsidR="00FE5334">
              <w:rPr>
                <w:noProof w:val="0"/>
                <w:color w:val="000000"/>
                <w:sz w:val="20"/>
                <w:szCs w:val="20"/>
                <w:lang w:eastAsia="cs-CZ" w:bidi="ar-SA"/>
              </w:rPr>
              <w:t xml:space="preserve"> </w:t>
            </w:r>
            <w:r w:rsidRPr="008A08F3">
              <w:rPr>
                <w:noProof w:val="0"/>
                <w:color w:val="000000"/>
                <w:sz w:val="20"/>
                <w:szCs w:val="20"/>
                <w:lang w:eastAsia="cs-CZ" w:bidi="ar-SA"/>
              </w:rPr>
              <w:t>mil.</w:t>
            </w:r>
          </w:p>
        </w:tc>
        <w:tc>
          <w:tcPr>
            <w:tcW w:w="1409"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4079CAE5"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0</w:t>
            </w:r>
          </w:p>
        </w:tc>
      </w:tr>
      <w:tr w14:paraId="0B108B24" w14:textId="77777777" w:rsidTr="00C1498C">
        <w:tblPrEx>
          <w:tblW w:w="9060" w:type="dxa"/>
          <w:tblCellMar>
            <w:left w:w="70" w:type="dxa"/>
            <w:right w:w="70" w:type="dxa"/>
          </w:tblCellMar>
          <w:tblLook w:val="04A0"/>
        </w:tblPrEx>
        <w:trPr>
          <w:trHeight w:val="55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1401DA" w:rsidRPr="008A08F3" w:rsidP="003B3870" w14:paraId="3BB8D90D" w14:textId="77777777">
            <w:pPr>
              <w:spacing w:before="60" w:line="240" w:lineRule="auto"/>
              <w:jc w:val="left"/>
              <w:rPr>
                <w:noProof w:val="0"/>
                <w:color w:val="000000"/>
                <w:sz w:val="20"/>
                <w:szCs w:val="20"/>
                <w:lang w:eastAsia="cs-CZ" w:bidi="ar-SA"/>
              </w:rPr>
            </w:pPr>
            <w:r w:rsidRPr="008A08F3">
              <w:rPr>
                <w:noProof w:val="0"/>
                <w:color w:val="000000"/>
                <w:sz w:val="20"/>
                <w:szCs w:val="20"/>
                <w:lang w:eastAsia="cs-CZ" w:bidi="ar-SA"/>
              </w:rPr>
              <w:t>náklady sběrných míst na vedení průběžné evidence a roční hlášení (Kč)</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3D6BAA54"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667233DA" w14:textId="6176E9C0">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 xml:space="preserve">až </w:t>
            </w:r>
            <w:r w:rsidR="00093115">
              <w:rPr>
                <w:noProof w:val="0"/>
                <w:color w:val="000000"/>
                <w:sz w:val="20"/>
                <w:szCs w:val="20"/>
                <w:lang w:eastAsia="cs-CZ" w:bidi="ar-SA"/>
              </w:rPr>
              <w:t>2,12</w:t>
            </w:r>
            <w:r w:rsidRPr="008A08F3">
              <w:rPr>
                <w:noProof w:val="0"/>
                <w:color w:val="000000"/>
                <w:sz w:val="20"/>
                <w:szCs w:val="20"/>
                <w:lang w:eastAsia="cs-CZ" w:bidi="ar-SA"/>
              </w:rPr>
              <w:t xml:space="preserve"> mld.</w:t>
            </w:r>
          </w:p>
        </w:tc>
        <w:tc>
          <w:tcPr>
            <w:tcW w:w="1409"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463C1C25"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w:t>
            </w:r>
          </w:p>
        </w:tc>
      </w:tr>
      <w:tr w14:paraId="1C91E656" w14:textId="77777777" w:rsidTr="00C1498C">
        <w:tblPrEx>
          <w:tblW w:w="9060" w:type="dxa"/>
          <w:tblCellMar>
            <w:left w:w="70" w:type="dxa"/>
            <w:right w:w="70" w:type="dxa"/>
          </w:tblCellMar>
          <w:tblLook w:val="04A0"/>
        </w:tblPrEx>
        <w:trPr>
          <w:trHeight w:val="554"/>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1401DA" w:rsidRPr="008A08F3" w:rsidP="003B3870" w14:paraId="14B69370" w14:textId="77777777">
            <w:pPr>
              <w:spacing w:before="60" w:line="240" w:lineRule="auto"/>
              <w:jc w:val="left"/>
              <w:rPr>
                <w:noProof w:val="0"/>
                <w:color w:val="000000"/>
                <w:sz w:val="20"/>
                <w:szCs w:val="20"/>
                <w:lang w:eastAsia="cs-CZ" w:bidi="ar-SA"/>
              </w:rPr>
            </w:pPr>
            <w:r w:rsidRPr="008A08F3">
              <w:rPr>
                <w:noProof w:val="0"/>
                <w:color w:val="000000"/>
                <w:sz w:val="20"/>
                <w:szCs w:val="20"/>
                <w:lang w:eastAsia="cs-CZ" w:bidi="ar-SA"/>
              </w:rPr>
              <w:t>evidence při přepravě odpadů</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3B42DB5F"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w:t>
            </w:r>
          </w:p>
        </w:tc>
        <w:tc>
          <w:tcPr>
            <w:tcW w:w="1408"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0EE6A162"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w:t>
            </w:r>
          </w:p>
        </w:tc>
        <w:tc>
          <w:tcPr>
            <w:tcW w:w="1409" w:type="dxa"/>
            <w:tcBorders>
              <w:top w:val="nil"/>
              <w:left w:val="nil"/>
              <w:bottom w:val="single" w:sz="4" w:space="0" w:color="auto"/>
              <w:right w:val="single" w:sz="4" w:space="0" w:color="auto"/>
            </w:tcBorders>
            <w:shd w:val="clear" w:color="auto" w:fill="auto"/>
            <w:noWrap/>
            <w:vAlign w:val="center"/>
            <w:hideMark/>
          </w:tcPr>
          <w:p w:rsidR="001401DA" w:rsidRPr="008A08F3" w:rsidP="003B3870" w14:paraId="40C9E639" w14:textId="77777777">
            <w:pPr>
              <w:spacing w:before="60" w:line="240" w:lineRule="auto"/>
              <w:jc w:val="center"/>
              <w:rPr>
                <w:noProof w:val="0"/>
                <w:color w:val="000000"/>
                <w:sz w:val="20"/>
                <w:szCs w:val="20"/>
                <w:lang w:eastAsia="cs-CZ" w:bidi="ar-SA"/>
              </w:rPr>
            </w:pPr>
            <w:r w:rsidRPr="008A08F3">
              <w:rPr>
                <w:noProof w:val="0"/>
                <w:color w:val="000000"/>
                <w:sz w:val="20"/>
                <w:szCs w:val="20"/>
                <w:lang w:eastAsia="cs-CZ" w:bidi="ar-SA"/>
              </w:rPr>
              <w:t>**</w:t>
            </w:r>
          </w:p>
        </w:tc>
      </w:tr>
    </w:tbl>
    <w:p w:rsidR="00F53878" w:rsidRPr="00ED38E9" w:rsidP="005D660F" w14:paraId="2B2885DA" w14:textId="77777777">
      <w:pPr>
        <w:pStyle w:val="Heading2"/>
      </w:pPr>
      <w:bookmarkStart w:id="16" w:name="_Toc441759832"/>
      <w:r w:rsidRPr="00ED38E9">
        <w:t>Návrh řešení</w:t>
      </w:r>
      <w:bookmarkEnd w:id="16"/>
    </w:p>
    <w:p w:rsidR="00CB26F8" w:rsidRPr="00ED38E9" w:rsidP="00BF16B7" w14:paraId="4CA3C540" w14:textId="77777777">
      <w:pPr>
        <w:pStyle w:val="Heading3"/>
      </w:pPr>
      <w:r w:rsidRPr="00ED38E9">
        <w:t>Stanovení pořadí variant a výběr nejvhodnějšího řešení</w:t>
      </w:r>
    </w:p>
    <w:p w:rsidR="00C23799" w:rsidRPr="00ED38E9" w:rsidP="00892679" w14:paraId="41D305E9" w14:textId="77777777">
      <w:pPr>
        <w:pStyle w:val="ListParagraph"/>
        <w:numPr>
          <w:ilvl w:val="0"/>
          <w:numId w:val="2"/>
        </w:numPr>
        <w:spacing w:line="240" w:lineRule="auto"/>
        <w:ind w:left="714" w:hanging="357"/>
        <w:contextualSpacing w:val="0"/>
        <w:rPr>
          <w:rFonts w:cs="Arial"/>
          <w:b/>
          <w:noProof w:val="0"/>
        </w:rPr>
      </w:pPr>
      <w:r w:rsidRPr="00ED38E9">
        <w:rPr>
          <w:rFonts w:cs="Arial"/>
          <w:b/>
          <w:noProof w:val="0"/>
        </w:rPr>
        <w:t>Varianta 2</w:t>
      </w:r>
    </w:p>
    <w:p w:rsidR="00C23799" w:rsidRPr="00ED38E9" w:rsidP="00892679" w14:paraId="5796976E" w14:textId="77777777">
      <w:pPr>
        <w:pStyle w:val="ListParagraph"/>
        <w:numPr>
          <w:ilvl w:val="0"/>
          <w:numId w:val="2"/>
        </w:numPr>
        <w:spacing w:line="240" w:lineRule="auto"/>
        <w:ind w:left="714" w:hanging="357"/>
        <w:contextualSpacing w:val="0"/>
        <w:rPr>
          <w:rFonts w:cs="Arial"/>
          <w:noProof w:val="0"/>
        </w:rPr>
      </w:pPr>
      <w:r w:rsidRPr="00ED38E9">
        <w:rPr>
          <w:rFonts w:cs="Arial"/>
          <w:noProof w:val="0"/>
        </w:rPr>
        <w:t>Varianta 0</w:t>
      </w:r>
    </w:p>
    <w:p w:rsidR="00C23799" w:rsidRPr="00ED38E9" w:rsidP="00892679" w14:paraId="473C445B" w14:textId="77777777">
      <w:pPr>
        <w:pStyle w:val="ListParagraph"/>
        <w:numPr>
          <w:ilvl w:val="0"/>
          <w:numId w:val="2"/>
        </w:numPr>
        <w:spacing w:line="240" w:lineRule="auto"/>
        <w:ind w:left="714" w:hanging="357"/>
        <w:contextualSpacing w:val="0"/>
        <w:rPr>
          <w:rFonts w:cs="Arial"/>
          <w:noProof w:val="0"/>
        </w:rPr>
      </w:pPr>
      <w:r w:rsidRPr="00ED38E9">
        <w:rPr>
          <w:rFonts w:cs="Arial"/>
          <w:noProof w:val="0"/>
        </w:rPr>
        <w:t>Varianta 1</w:t>
      </w:r>
    </w:p>
    <w:p w:rsidR="00C23799" w:rsidP="00AB6F15" w14:paraId="6E173863" w14:textId="77777777">
      <w:pPr>
        <w:rPr>
          <w:rFonts w:cs="Arial"/>
        </w:rPr>
      </w:pPr>
      <w:r w:rsidRPr="00ED38E9">
        <w:rPr>
          <w:rFonts w:cs="Arial"/>
        </w:rPr>
        <w:t xml:space="preserve">Cílem je dostatečná kontrola nad sběrnými místy bez zbytečné administrativní zátěže všech dotčených subjektů, proto doporučujeme přijmout Variantu 2 tzv. zjednodušený </w:t>
      </w:r>
      <w:r w:rsidR="00FE5334">
        <w:rPr>
          <w:rFonts w:cs="Arial"/>
        </w:rPr>
        <w:t xml:space="preserve">odpadový </w:t>
      </w:r>
      <w:r w:rsidRPr="00ED38E9">
        <w:rPr>
          <w:rFonts w:cs="Arial"/>
        </w:rPr>
        <w:t>režim</w:t>
      </w:r>
      <w:r w:rsidR="00FE5334">
        <w:rPr>
          <w:rFonts w:cs="Arial"/>
        </w:rPr>
        <w:t>, která zároveň umožňuje dohled (možnost kontroly) nad místy zpětného odběru</w:t>
      </w:r>
      <w:r w:rsidRPr="00ED38E9">
        <w:rPr>
          <w:rFonts w:cs="Arial"/>
        </w:rPr>
        <w:t>.</w:t>
      </w:r>
    </w:p>
    <w:p w:rsidR="00892679" w:rsidP="00AB6F15" w14:paraId="0BDB2C4C" w14:textId="77777777">
      <w:pPr>
        <w:rPr>
          <w:rFonts w:cs="Arial"/>
        </w:rPr>
      </w:pPr>
    </w:p>
    <w:p w:rsidR="006631D1" w:rsidRPr="00F97AF3" w:rsidP="006631D1" w14:paraId="7BC28D41" w14:textId="77777777">
      <w:pPr>
        <w:pStyle w:val="Heading1"/>
      </w:pPr>
      <w:bookmarkStart w:id="17" w:name="_Toc14942077"/>
      <w:bookmarkStart w:id="18" w:name="_Toc256000003"/>
      <w:r w:rsidRPr="00352D5E">
        <w:t xml:space="preserve">Informování konečného uživatele </w:t>
      </w:r>
      <w:r w:rsidRPr="00F97AF3">
        <w:t>a osvětová činnost</w:t>
      </w:r>
      <w:r>
        <w:t xml:space="preserve"> (§ 12)</w:t>
      </w:r>
      <w:bookmarkEnd w:id="18"/>
      <w:bookmarkEnd w:id="17"/>
    </w:p>
    <w:p w:rsidR="006631D1" w:rsidRPr="00ED38E9" w:rsidP="006631D1" w14:paraId="71B1F0E5" w14:textId="77777777">
      <w:pPr>
        <w:pStyle w:val="Heading2"/>
      </w:pPr>
      <w:bookmarkStart w:id="19" w:name="_Toc441759900"/>
      <w:r w:rsidRPr="00ED38E9">
        <w:t>Důvod předložení a cíle</w:t>
      </w:r>
    </w:p>
    <w:p w:rsidR="006631D1" w:rsidP="00BF16B7" w14:paraId="52736BD0" w14:textId="77777777">
      <w:pPr>
        <w:pStyle w:val="Heading3"/>
      </w:pPr>
      <w:r w:rsidRPr="005A36CE">
        <w:t>Definice prob</w:t>
      </w:r>
      <w:r>
        <w:t>lému</w:t>
      </w:r>
      <w:r w:rsidRPr="005A36CE">
        <w:t xml:space="preserve"> </w:t>
      </w:r>
      <w:r>
        <w:t>a popis současného stavu</w:t>
      </w:r>
    </w:p>
    <w:p w:rsidR="006631D1" w:rsidRPr="00ED38E9" w:rsidP="006631D1" w14:paraId="30FBF6AF" w14:textId="3C58CD6A">
      <w:pPr>
        <w:spacing w:after="120"/>
        <w:rPr>
          <w:rFonts w:eastAsia="Calibri" w:cs="Arial"/>
          <w:noProof w:val="0"/>
          <w:szCs w:val="22"/>
          <w:lang w:bidi="ar-SA"/>
        </w:rPr>
      </w:pPr>
      <w:r w:rsidRPr="00F004DF">
        <w:t>Jedná se o transpozici rámcové směrnice 98/2008 ES o odpadech</w:t>
      </w:r>
      <w:r>
        <w:t>.</w:t>
      </w:r>
      <w:r w:rsidRPr="00ED38E9">
        <w:rPr>
          <w:rFonts w:eastAsia="Calibri" w:cs="Arial"/>
          <w:noProof w:val="0"/>
          <w:szCs w:val="22"/>
          <w:lang w:bidi="ar-SA"/>
        </w:rPr>
        <w:t xml:space="preserve"> Současná právní úprava se nezabývá problémem financování propagační a osvětové činnosti. Propagační a osvětovou činnost jsou ze zákona o odpadech KS povinny provozovat, ovšem způsob a výše prostředků na ně vynaložen</w:t>
      </w:r>
      <w:r>
        <w:rPr>
          <w:rFonts w:eastAsia="Calibri" w:cs="Arial"/>
          <w:noProof w:val="0"/>
          <w:szCs w:val="22"/>
          <w:lang w:bidi="ar-SA"/>
        </w:rPr>
        <w:t>ých</w:t>
      </w:r>
      <w:r w:rsidRPr="00ED38E9">
        <w:rPr>
          <w:rFonts w:eastAsia="Calibri" w:cs="Arial"/>
          <w:noProof w:val="0"/>
          <w:szCs w:val="22"/>
          <w:lang w:bidi="ar-SA"/>
        </w:rPr>
        <w:t xml:space="preserve"> je zcela ponechán v jejich kompetenci.</w:t>
      </w:r>
      <w:r>
        <w:rPr>
          <w:rFonts w:eastAsia="Calibri" w:cs="Arial"/>
          <w:noProof w:val="0"/>
          <w:szCs w:val="22"/>
          <w:lang w:bidi="ar-SA"/>
        </w:rPr>
        <w:t xml:space="preserve"> Problémem je tedy r</w:t>
      </w:r>
      <w:r w:rsidRPr="00ED38E9">
        <w:rPr>
          <w:rFonts w:eastAsia="Calibri" w:cs="Arial"/>
          <w:noProof w:val="0"/>
          <w:szCs w:val="22"/>
          <w:lang w:bidi="ar-SA"/>
        </w:rPr>
        <w:t>ozdílná úroveň propagační a osvětové činnosti</w:t>
      </w:r>
      <w:r>
        <w:rPr>
          <w:rFonts w:eastAsia="Calibri" w:cs="Arial"/>
          <w:noProof w:val="0"/>
          <w:szCs w:val="22"/>
          <w:lang w:bidi="ar-SA"/>
        </w:rPr>
        <w:t>.</w:t>
      </w:r>
      <w:r w:rsidR="000F533C">
        <w:rPr>
          <w:rFonts w:eastAsia="Calibri" w:cs="Arial"/>
          <w:noProof w:val="0"/>
          <w:szCs w:val="22"/>
          <w:lang w:bidi="ar-SA"/>
        </w:rPr>
        <w:t xml:space="preserve"> Tato povinnost se nevztahuje na výrobce plnící zákonné povinnosti individuálním způsobem.</w:t>
      </w:r>
    </w:p>
    <w:p w:rsidR="006631D1" w:rsidRPr="00ED38E9" w:rsidP="00BF16B7" w14:paraId="4A30DA11" w14:textId="77777777">
      <w:pPr>
        <w:pStyle w:val="Heading3"/>
      </w:pPr>
      <w:r w:rsidRPr="00ED38E9">
        <w:t>Identifikace dotčených subjektů</w:t>
      </w:r>
    </w:p>
    <w:p w:rsidR="006631D1" w:rsidRPr="0005624A" w:rsidP="00F068A9" w14:paraId="4F2A9B16" w14:textId="77777777">
      <w:pPr>
        <w:pStyle w:val="ListParagraph"/>
        <w:numPr>
          <w:ilvl w:val="0"/>
          <w:numId w:val="113"/>
        </w:numPr>
        <w:ind w:left="714" w:hanging="357"/>
        <w:contextualSpacing w:val="0"/>
        <w:rPr>
          <w:rFonts w:cs="Arial"/>
        </w:rPr>
      </w:pPr>
      <w:r>
        <w:rPr>
          <w:rFonts w:cs="Arial"/>
        </w:rPr>
        <w:t>Výrobci vybraných výrobků</w:t>
      </w:r>
    </w:p>
    <w:p w:rsidR="006631D1" w:rsidP="00F068A9" w14:paraId="308C7DD3" w14:textId="77777777">
      <w:pPr>
        <w:pStyle w:val="ListParagraph"/>
        <w:numPr>
          <w:ilvl w:val="0"/>
          <w:numId w:val="113"/>
        </w:numPr>
        <w:ind w:left="714" w:hanging="357"/>
        <w:contextualSpacing w:val="0"/>
        <w:rPr>
          <w:rFonts w:cs="Arial"/>
        </w:rPr>
      </w:pPr>
      <w:r w:rsidRPr="0005624A">
        <w:rPr>
          <w:rFonts w:cs="Arial"/>
        </w:rPr>
        <w:t>Kolektivní systémy</w:t>
      </w:r>
    </w:p>
    <w:p w:rsidR="006631D1" w:rsidRPr="00ED38E9" w:rsidP="00BF16B7" w14:paraId="2B4A2BFE" w14:textId="77777777">
      <w:pPr>
        <w:pStyle w:val="Heading3"/>
      </w:pPr>
      <w:r w:rsidRPr="00ED38E9">
        <w:t>Popis cílového stavu</w:t>
      </w:r>
    </w:p>
    <w:p w:rsidR="006631D1" w:rsidRPr="00ED38E9" w:rsidP="006631D1" w14:paraId="57868417" w14:textId="3B56543A">
      <w:pPr>
        <w:spacing w:after="120"/>
        <w:rPr>
          <w:rFonts w:eastAsia="Calibri" w:cs="Arial"/>
          <w:noProof w:val="0"/>
          <w:szCs w:val="22"/>
          <w:lang w:bidi="ar-SA"/>
        </w:rPr>
      </w:pPr>
      <w:r w:rsidRPr="00ED38E9">
        <w:rPr>
          <w:rFonts w:eastAsia="Calibri" w:cs="Arial"/>
          <w:noProof w:val="0"/>
          <w:szCs w:val="22"/>
          <w:lang w:bidi="ar-SA"/>
        </w:rPr>
        <w:t xml:space="preserve">Hlavním </w:t>
      </w:r>
      <w:r w:rsidR="00E64CFB">
        <w:rPr>
          <w:rFonts w:eastAsia="Calibri" w:cs="Arial"/>
          <w:noProof w:val="0"/>
          <w:szCs w:val="22"/>
          <w:lang w:bidi="ar-SA"/>
        </w:rPr>
        <w:t>cílem zůstává dosažení minimální</w:t>
      </w:r>
      <w:r w:rsidRPr="00ED38E9">
        <w:rPr>
          <w:rFonts w:eastAsia="Calibri" w:cs="Arial"/>
          <w:noProof w:val="0"/>
          <w:szCs w:val="22"/>
          <w:lang w:bidi="ar-SA"/>
        </w:rPr>
        <w:t xml:space="preserve"> požadované úrovně sběru </w:t>
      </w:r>
      <w:r w:rsidR="00E64CFB">
        <w:rPr>
          <w:rFonts w:eastAsia="Calibri" w:cs="Arial"/>
          <w:noProof w:val="0"/>
          <w:szCs w:val="22"/>
          <w:lang w:bidi="ar-SA"/>
        </w:rPr>
        <w:t>výrobků s ukončenou životností (</w:t>
      </w:r>
      <w:r>
        <w:rPr>
          <w:rFonts w:eastAsia="Calibri" w:cs="Arial"/>
          <w:noProof w:val="0"/>
          <w:szCs w:val="22"/>
          <w:lang w:bidi="ar-SA"/>
        </w:rPr>
        <w:t>VUŽ</w:t>
      </w:r>
      <w:r w:rsidR="00E64CFB">
        <w:rPr>
          <w:rFonts w:eastAsia="Calibri" w:cs="Arial"/>
          <w:noProof w:val="0"/>
          <w:szCs w:val="22"/>
          <w:lang w:bidi="ar-SA"/>
        </w:rPr>
        <w:t>)</w:t>
      </w:r>
      <w:r w:rsidRPr="00ED38E9">
        <w:rPr>
          <w:rFonts w:eastAsia="Calibri" w:cs="Arial"/>
          <w:noProof w:val="0"/>
          <w:szCs w:val="22"/>
          <w:lang w:bidi="ar-SA"/>
        </w:rPr>
        <w:t xml:space="preserve"> bez zbytečného zvyšování nákladů pro spotřebitele a výrobce.</w:t>
      </w:r>
    </w:p>
    <w:p w:rsidR="006631D1" w:rsidRPr="00ED38E9" w:rsidP="00F068A9" w14:paraId="62E5E6F8" w14:textId="77777777">
      <w:pPr>
        <w:pStyle w:val="Heading2"/>
        <w:spacing w:before="360" w:after="0"/>
        <w:ind w:left="578" w:hanging="578"/>
      </w:pPr>
      <w:r w:rsidRPr="00ED38E9">
        <w:t>Návrh variant řešení</w:t>
      </w:r>
    </w:p>
    <w:p w:rsidR="006631D1" w:rsidRPr="002575A5" w:rsidP="00BF16B7" w14:paraId="28DA9395" w14:textId="77777777">
      <w:pPr>
        <w:pStyle w:val="Heading3"/>
      </w:pPr>
      <w:r w:rsidRPr="00ED38E9">
        <w:t>Varianta 0</w:t>
      </w:r>
    </w:p>
    <w:p w:rsidR="006631D1" w:rsidRPr="00892679" w:rsidP="00412DA2" w14:paraId="645C8CA6" w14:textId="77777777">
      <w:r w:rsidRPr="00892679">
        <w:t>Zachování současného stavu.</w:t>
      </w:r>
    </w:p>
    <w:p w:rsidR="006631D1" w:rsidP="00BF16B7" w14:paraId="4D8CAE1F" w14:textId="77777777">
      <w:pPr>
        <w:pStyle w:val="Heading3"/>
      </w:pPr>
      <w:r>
        <w:t>Varianta 1</w:t>
      </w:r>
    </w:p>
    <w:p w:rsidR="006631D1" w:rsidRPr="00ED38E9" w:rsidP="006631D1" w14:paraId="2900B1BB" w14:textId="77777777">
      <w:pPr>
        <w:spacing w:after="120"/>
        <w:rPr>
          <w:rFonts w:eastAsia="Calibri" w:cs="Arial"/>
          <w:noProof w:val="0"/>
          <w:szCs w:val="22"/>
          <w:lang w:bidi="ar-SA"/>
        </w:rPr>
      </w:pPr>
      <w:r w:rsidRPr="00F068A9">
        <w:rPr>
          <w:rFonts w:eastAsia="Calibri" w:cs="Arial"/>
          <w:noProof w:val="0"/>
          <w:szCs w:val="22"/>
          <w:lang w:bidi="ar-SA"/>
        </w:rPr>
        <w:t>Propagační a osvětová činnost je povinností výrobců vybraných výrobků. Pro výrobce plnící zákonné povinnosti za výrobky s ukončenou životností prostřednictvím KS, zajišťuje tuto povinnost KS.</w:t>
      </w:r>
    </w:p>
    <w:p w:rsidR="006631D1" w:rsidRPr="00ED38E9" w:rsidP="006631D1" w14:paraId="1AAF1DF0" w14:textId="77777777">
      <w:pPr>
        <w:spacing w:after="120"/>
        <w:ind w:left="567"/>
        <w:rPr>
          <w:rFonts w:eastAsia="Calibri" w:cs="Arial"/>
          <w:noProof w:val="0"/>
          <w:szCs w:val="22"/>
          <w:lang w:bidi="ar-SA"/>
        </w:rPr>
      </w:pPr>
      <w:r w:rsidRPr="00ED38E9">
        <w:rPr>
          <w:rFonts w:eastAsia="Calibri" w:cs="Arial"/>
          <w:noProof w:val="0"/>
          <w:szCs w:val="22"/>
          <w:lang w:bidi="ar-SA"/>
        </w:rPr>
        <w:t xml:space="preserve">Varianta 1a </w:t>
      </w:r>
      <w:r>
        <w:rPr>
          <w:rFonts w:eastAsia="Calibri" w:cs="Arial"/>
          <w:noProof w:val="0"/>
          <w:szCs w:val="22"/>
          <w:lang w:bidi="ar-SA"/>
        </w:rPr>
        <w:t>–</w:t>
      </w:r>
      <w:r w:rsidRPr="00ED38E9">
        <w:rPr>
          <w:rFonts w:eastAsia="Calibri" w:cs="Arial"/>
          <w:noProof w:val="0"/>
          <w:szCs w:val="22"/>
          <w:lang w:bidi="ar-SA"/>
        </w:rPr>
        <w:t xml:space="preserve"> </w:t>
      </w:r>
      <w:r>
        <w:rPr>
          <w:rFonts w:eastAsia="Calibri" w:cs="Arial"/>
          <w:noProof w:val="0"/>
          <w:szCs w:val="22"/>
          <w:lang w:bidi="ar-SA"/>
        </w:rPr>
        <w:t>Prostřednictvím vyhlášky</w:t>
      </w:r>
      <w:r w:rsidRPr="00ED38E9">
        <w:rPr>
          <w:rFonts w:eastAsia="Calibri" w:cs="Arial"/>
          <w:noProof w:val="0"/>
          <w:szCs w:val="22"/>
          <w:lang w:bidi="ar-SA"/>
        </w:rPr>
        <w:t xml:space="preserve"> jsou stanoveny minimální požadavky na formu osvětové a propagační činnosti.</w:t>
      </w:r>
    </w:p>
    <w:p w:rsidR="006631D1" w:rsidRPr="00ED38E9" w:rsidP="006631D1" w14:paraId="4B1C5335" w14:textId="77777777">
      <w:pPr>
        <w:spacing w:after="120"/>
        <w:ind w:left="567"/>
        <w:rPr>
          <w:rFonts w:eastAsia="Calibri" w:cs="Arial"/>
          <w:noProof w:val="0"/>
          <w:szCs w:val="22"/>
          <w:lang w:bidi="ar-SA"/>
        </w:rPr>
      </w:pPr>
      <w:r w:rsidRPr="00ED38E9">
        <w:rPr>
          <w:rFonts w:eastAsia="Calibri" w:cs="Arial"/>
          <w:noProof w:val="0"/>
          <w:szCs w:val="22"/>
          <w:lang w:bidi="ar-SA"/>
        </w:rPr>
        <w:t>Varianta 1b - Zákonem je zavedena minimální výše prostředků určených na osvětu a propagaci.</w:t>
      </w:r>
    </w:p>
    <w:p w:rsidR="006631D1" w:rsidRPr="00ED38E9" w:rsidP="006631D1" w14:paraId="18B0FBFC" w14:textId="77777777">
      <w:pPr>
        <w:spacing w:after="120"/>
        <w:ind w:left="567"/>
        <w:rPr>
          <w:rFonts w:eastAsia="Calibri" w:cs="Arial"/>
          <w:noProof w:val="0"/>
          <w:szCs w:val="22"/>
          <w:lang w:bidi="ar-SA"/>
        </w:rPr>
      </w:pPr>
      <w:r w:rsidRPr="00ED38E9">
        <w:rPr>
          <w:rFonts w:eastAsia="Calibri" w:cs="Arial"/>
          <w:noProof w:val="0"/>
          <w:szCs w:val="22"/>
          <w:lang w:bidi="ar-SA"/>
        </w:rPr>
        <w:t>Varianta 1c – Zákonem je zavedena minimální a zároveň i maximální výše prostředků určených na osvětu a propagaci.</w:t>
      </w:r>
    </w:p>
    <w:p w:rsidR="006631D1" w:rsidRPr="00221615" w:rsidP="00BF16B7" w14:paraId="58BFC352" w14:textId="77777777">
      <w:pPr>
        <w:pStyle w:val="Heading3"/>
      </w:pPr>
      <w:r w:rsidRPr="00221615">
        <w:t>Varianta 2</w:t>
      </w:r>
    </w:p>
    <w:p w:rsidR="006631D1" w:rsidP="006631D1" w14:paraId="6BE610D5" w14:textId="19A8A10C">
      <w:pPr>
        <w:rPr>
          <w:rFonts w:eastAsia="Calibri" w:cs="Arial"/>
          <w:noProof w:val="0"/>
          <w:szCs w:val="22"/>
          <w:lang w:bidi="ar-SA"/>
        </w:rPr>
      </w:pPr>
      <w:r w:rsidRPr="00ED38E9">
        <w:rPr>
          <w:rFonts w:eastAsia="Calibri" w:cs="Arial"/>
          <w:noProof w:val="0"/>
          <w:szCs w:val="22"/>
          <w:lang w:bidi="ar-SA"/>
        </w:rPr>
        <w:t>Osvěta a propagace je řízena centrálně a všechny KS přispívají podle předem určeného klíče</w:t>
      </w:r>
      <w:r>
        <w:rPr>
          <w:rFonts w:eastAsia="Calibri" w:cs="Arial"/>
          <w:noProof w:val="0"/>
          <w:szCs w:val="22"/>
          <w:lang w:bidi="ar-SA"/>
        </w:rPr>
        <w:t>.</w:t>
      </w:r>
    </w:p>
    <w:p w:rsidR="00DA6DDC" w:rsidRPr="00600EF4" w:rsidP="00DA6DDC" w14:paraId="7536FC4F" w14:textId="77777777">
      <w:pPr>
        <w:spacing w:before="0" w:after="0" w:line="240" w:lineRule="auto"/>
        <w:rPr>
          <w:lang w:bidi="ar-SA"/>
        </w:rPr>
      </w:pPr>
    </w:p>
    <w:p w:rsidR="006631D1" w:rsidP="006631D1" w14:paraId="7420A8FF" w14:textId="77777777">
      <w:pPr>
        <w:pStyle w:val="Heading2"/>
        <w:spacing w:before="120" w:after="0"/>
      </w:pPr>
      <w:r>
        <w:t>Vyhodnocení nákladů a přínosů</w:t>
      </w:r>
    </w:p>
    <w:p w:rsidR="006631D1" w:rsidRPr="00043961" w:rsidP="00BF16B7" w14:paraId="240034F3" w14:textId="77777777">
      <w:pPr>
        <w:pStyle w:val="Heading3"/>
      </w:pPr>
      <w:r w:rsidRPr="00043961">
        <w:t>Identifikace nákladů a přínosů</w:t>
      </w:r>
    </w:p>
    <w:p w:rsidR="006631D1" w:rsidRPr="002E3554" w:rsidP="00DA6DDC" w14:paraId="36FC20ED" w14:textId="77777777">
      <w:pPr>
        <w:pStyle w:val="ListParagraph"/>
        <w:keepNext/>
        <w:numPr>
          <w:ilvl w:val="0"/>
          <w:numId w:val="101"/>
        </w:numPr>
        <w:spacing w:after="120"/>
        <w:ind w:left="714" w:hanging="357"/>
        <w:contextualSpacing w:val="0"/>
        <w:rPr>
          <w:rFonts w:cs="Arial"/>
          <w:b/>
        </w:rPr>
      </w:pPr>
      <w:r w:rsidRPr="002E3554">
        <w:rPr>
          <w:rFonts w:cs="Arial"/>
          <w:b/>
        </w:rPr>
        <w:t>Varianta 0</w:t>
      </w:r>
    </w:p>
    <w:p w:rsidR="006631D1" w:rsidP="006631D1" w14:paraId="0187E4FD" w14:textId="77777777">
      <w:pPr>
        <w:rPr>
          <w:rFonts w:cs="Arial"/>
        </w:rPr>
      </w:pPr>
      <w:r w:rsidRPr="00ED38E9">
        <w:rPr>
          <w:rFonts w:eastAsia="Calibri" w:cs="Arial"/>
          <w:noProof w:val="0"/>
          <w:szCs w:val="22"/>
          <w:lang w:bidi="ar-SA"/>
        </w:rPr>
        <w:t xml:space="preserve">Varianta 0 nepředstavuje pro dotčené subjekty žádné dodatečné náklady. </w:t>
      </w:r>
    </w:p>
    <w:p w:rsidR="006631D1" w:rsidRPr="00221615" w:rsidP="00DA6DDC" w14:paraId="248D60B9" w14:textId="77777777">
      <w:pPr>
        <w:pStyle w:val="ListParagraph"/>
        <w:keepNext/>
        <w:numPr>
          <w:ilvl w:val="0"/>
          <w:numId w:val="101"/>
        </w:numPr>
        <w:spacing w:after="120"/>
        <w:ind w:left="714" w:hanging="357"/>
        <w:contextualSpacing w:val="0"/>
        <w:rPr>
          <w:rFonts w:eastAsia="Calibri" w:cs="Arial"/>
          <w:b/>
          <w:noProof w:val="0"/>
          <w:szCs w:val="22"/>
          <w:lang w:bidi="ar-SA"/>
        </w:rPr>
      </w:pPr>
      <w:r w:rsidRPr="0041484E">
        <w:rPr>
          <w:rFonts w:cs="Arial"/>
          <w:b/>
        </w:rPr>
        <w:t>Varianta 1</w:t>
      </w:r>
    </w:p>
    <w:p w:rsidR="006631D1" w:rsidRPr="00ED38E9" w:rsidP="006631D1" w14:paraId="5EC4693B" w14:textId="77777777">
      <w:pPr>
        <w:spacing w:after="120"/>
        <w:rPr>
          <w:rFonts w:eastAsia="Calibri" w:cs="Arial"/>
          <w:noProof w:val="0"/>
          <w:szCs w:val="22"/>
          <w:lang w:bidi="ar-SA"/>
        </w:rPr>
      </w:pPr>
      <w:bookmarkEnd w:id="19"/>
      <w:r w:rsidRPr="00221615">
        <w:rPr>
          <w:rFonts w:eastAsia="Calibri" w:cs="Arial"/>
          <w:b/>
          <w:noProof w:val="0"/>
          <w:szCs w:val="22"/>
          <w:lang w:bidi="ar-SA"/>
        </w:rPr>
        <w:t>Varianta 1a</w:t>
      </w:r>
      <w:r w:rsidRPr="00ED38E9">
        <w:rPr>
          <w:rFonts w:eastAsia="Calibri" w:cs="Arial"/>
          <w:noProof w:val="0"/>
          <w:szCs w:val="22"/>
          <w:lang w:bidi="ar-SA"/>
        </w:rPr>
        <w:t xml:space="preserve"> - </w:t>
      </w:r>
      <w:r>
        <w:rPr>
          <w:rFonts w:eastAsia="Calibri" w:cs="Arial"/>
          <w:noProof w:val="0"/>
          <w:szCs w:val="22"/>
          <w:lang w:bidi="ar-SA"/>
        </w:rPr>
        <w:t>Prostřednictvím prováděcího právního předpisu (vyhlášky)</w:t>
      </w:r>
      <w:r w:rsidRPr="00FD3C10">
        <w:rPr>
          <w:rFonts w:eastAsia="Calibri" w:cs="Arial"/>
          <w:noProof w:val="0"/>
          <w:szCs w:val="22"/>
          <w:lang w:bidi="ar-SA"/>
        </w:rPr>
        <w:t xml:space="preserve"> </w:t>
      </w:r>
      <w:r w:rsidRPr="00ED38E9">
        <w:rPr>
          <w:rFonts w:eastAsia="Calibri" w:cs="Arial"/>
          <w:noProof w:val="0"/>
          <w:szCs w:val="22"/>
          <w:lang w:bidi="ar-SA"/>
        </w:rPr>
        <w:t>jsou stanoveny minimální požadavky na formu osvětové a propagační činnosti</w:t>
      </w:r>
      <w:r>
        <w:rPr>
          <w:rFonts w:eastAsia="Calibri" w:cs="Arial"/>
          <w:noProof w:val="0"/>
          <w:szCs w:val="22"/>
          <w:lang w:bidi="ar-SA"/>
        </w:rPr>
        <w:t>.</w:t>
      </w:r>
    </w:p>
    <w:p w:rsidR="006631D1" w:rsidRPr="00ED38E9" w:rsidP="006631D1" w14:paraId="3005D5F9" w14:textId="77777777">
      <w:pPr>
        <w:spacing w:after="120"/>
        <w:rPr>
          <w:rFonts w:eastAsia="Calibri" w:cs="Arial"/>
          <w:noProof w:val="0"/>
          <w:szCs w:val="22"/>
          <w:lang w:bidi="ar-SA"/>
        </w:rPr>
      </w:pPr>
      <w:r w:rsidRPr="00ED38E9">
        <w:rPr>
          <w:rFonts w:eastAsia="Calibri" w:cs="Arial"/>
          <w:noProof w:val="0"/>
          <w:szCs w:val="22"/>
          <w:lang w:bidi="ar-SA"/>
        </w:rPr>
        <w:t xml:space="preserve">Nejjednodušší možnou úpravou stávajícího stavu je </w:t>
      </w:r>
      <w:r>
        <w:rPr>
          <w:rFonts w:eastAsia="Calibri" w:cs="Arial"/>
          <w:noProof w:val="0"/>
          <w:szCs w:val="22"/>
          <w:lang w:bidi="ar-SA"/>
        </w:rPr>
        <w:t>prostřednictvím prováděcí právní vyhlášky</w:t>
      </w:r>
      <w:r w:rsidRPr="00ED38E9">
        <w:rPr>
          <w:rFonts w:eastAsia="Calibri" w:cs="Arial"/>
          <w:noProof w:val="0"/>
          <w:szCs w:val="22"/>
          <w:lang w:bidi="ar-SA"/>
        </w:rPr>
        <w:t xml:space="preserve"> stanovit minimální požadavky na propagaci a osvětu. Tato varianta </w:t>
      </w:r>
      <w:r>
        <w:rPr>
          <w:rFonts w:eastAsia="Calibri" w:cs="Arial"/>
          <w:noProof w:val="0"/>
          <w:szCs w:val="22"/>
          <w:lang w:bidi="ar-SA"/>
        </w:rPr>
        <w:t>je optimální způsob, jak stanovit jednotné požadavky na osvětové a propagační činnosti pro všechny KS</w:t>
      </w:r>
      <w:r w:rsidRPr="00ED38E9">
        <w:rPr>
          <w:rFonts w:eastAsia="Calibri" w:cs="Arial"/>
          <w:noProof w:val="0"/>
          <w:szCs w:val="22"/>
          <w:lang w:bidi="ar-SA"/>
        </w:rPr>
        <w:t xml:space="preserve">. Její zavedení nepředstavuje v případě správného stanovení minimálních požadavků na osvětu a propagaci zásadní náklady. Jedinou otázkou je definice těchto požadavků. </w:t>
      </w:r>
      <w:r>
        <w:rPr>
          <w:rFonts w:eastAsia="Calibri" w:cs="Arial"/>
          <w:noProof w:val="0"/>
          <w:szCs w:val="22"/>
          <w:lang w:bidi="ar-SA"/>
        </w:rPr>
        <w:t>Je zde předpoklad, že tyto požadavky se budou v čase měnit, a je tedy vhodné, aby MŽP mělo možnost revidovat příslušný podzákonný předpis.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5CBBD045" w14:textId="77777777" w:rsidTr="00434A7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6631D1" w:rsidRPr="00ED38E9" w:rsidP="00434A7D" w14:paraId="6AEE8D9E"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52601A13"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2C31DA3C" w14:textId="221CFFE6">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w:t>
            </w:r>
            <w:r>
              <w:rPr>
                <w:rFonts w:eastAsia="MS Mincho" w:cs="Arial"/>
                <w:noProof w:val="0"/>
                <w:sz w:val="20"/>
                <w:szCs w:val="20"/>
                <w:lang w:bidi="ar-SA"/>
              </w:rPr>
              <w:t>ch</w:t>
            </w:r>
            <w:r w:rsidRPr="00ED38E9">
              <w:rPr>
                <w:rFonts w:eastAsia="MS Mincho" w:cs="Arial"/>
                <w:noProof w:val="0"/>
                <w:sz w:val="20"/>
                <w:szCs w:val="20"/>
                <w:lang w:bidi="ar-SA"/>
              </w:rPr>
              <w:t xml:space="preserve"> požadavků na propagaci a osvětu možnost dosažení vyšší úrovně sběru</w:t>
            </w:r>
            <w:r w:rsidR="00E64CFB">
              <w:rPr>
                <w:rFonts w:eastAsia="MS Mincho" w:cs="Arial"/>
                <w:noProof w:val="0"/>
                <w:sz w:val="20"/>
                <w:szCs w:val="20"/>
                <w:lang w:bidi="ar-SA"/>
              </w:rPr>
              <w:t xml:space="preserve"> VUŽ</w:t>
            </w:r>
          </w:p>
          <w:p w:rsidR="006631D1" w:rsidRPr="00ED38E9" w:rsidP="00DA6DDC" w14:paraId="0F8DEA3F" w14:textId="63F7120A">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dodržování minimálních požadavků na osvětu a</w:t>
            </w:r>
            <w:r w:rsidR="00DA6DDC">
              <w:rPr>
                <w:rFonts w:eastAsia="MS Mincho" w:cs="Arial"/>
                <w:noProof w:val="0"/>
                <w:sz w:val="20"/>
                <w:szCs w:val="20"/>
                <w:lang w:bidi="ar-SA"/>
              </w:rPr>
              <w:t> </w:t>
            </w:r>
            <w:r w:rsidRPr="00ED38E9">
              <w:rPr>
                <w:rFonts w:eastAsia="MS Mincho" w:cs="Arial"/>
                <w:noProof w:val="0"/>
                <w:sz w:val="20"/>
                <w:szCs w:val="20"/>
                <w:lang w:bidi="ar-SA"/>
              </w:rPr>
              <w:t>propagaci</w:t>
            </w:r>
          </w:p>
        </w:tc>
      </w:tr>
      <w:tr w14:paraId="4AEC7ED3"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4BD524AB"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14:paraId="0359131D"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6DCA4229"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nesplňující minimální požadavky dodatečné náklady ve výši zajištění plnění minimálních požadavků</w:t>
            </w:r>
          </w:p>
        </w:tc>
      </w:tr>
      <w:tr w14:paraId="076B1DDF"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0B3EE886"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2C69217D"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3365A88A" w14:textId="6772E0DB">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w:t>
            </w:r>
            <w:r w:rsidR="00DA6DDC">
              <w:rPr>
                <w:rFonts w:eastAsia="MS Mincho" w:cs="Arial"/>
                <w:noProof w:val="0"/>
                <w:sz w:val="20"/>
                <w:szCs w:val="20"/>
                <w:lang w:bidi="ar-SA"/>
              </w:rPr>
              <w:t> </w:t>
            </w:r>
            <w:r w:rsidRPr="00ED38E9">
              <w:rPr>
                <w:rFonts w:eastAsia="MS Mincho" w:cs="Arial"/>
                <w:noProof w:val="0"/>
                <w:sz w:val="20"/>
                <w:szCs w:val="20"/>
                <w:lang w:bidi="ar-SA"/>
              </w:rPr>
              <w:t xml:space="preserve">získávání informací o tom, co s daným </w:t>
            </w:r>
            <w:r w:rsidR="00E64CFB">
              <w:rPr>
                <w:rFonts w:eastAsia="MS Mincho" w:cs="Arial"/>
                <w:noProof w:val="0"/>
                <w:sz w:val="20"/>
                <w:szCs w:val="20"/>
                <w:lang w:bidi="ar-SA"/>
              </w:rPr>
              <w:t>VUŽ</w:t>
            </w:r>
            <w:r w:rsidRPr="00ED38E9">
              <w:rPr>
                <w:rFonts w:eastAsia="MS Mincho" w:cs="Arial"/>
                <w:noProof w:val="0"/>
                <w:sz w:val="20"/>
                <w:szCs w:val="20"/>
                <w:lang w:bidi="ar-SA"/>
              </w:rPr>
              <w:t xml:space="preserve"> udělat)</w:t>
            </w:r>
          </w:p>
          <w:p w:rsidR="006631D1" w:rsidRPr="00ED38E9" w:rsidP="00DA6DDC" w14:paraId="5DFF7645" w14:textId="6C536674">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w:t>
            </w:r>
            <w:r w:rsidR="00DA6DDC">
              <w:rPr>
                <w:rFonts w:eastAsia="MS Mincho" w:cs="Arial"/>
                <w:noProof w:val="0"/>
                <w:sz w:val="20"/>
                <w:szCs w:val="20"/>
                <w:lang w:bidi="ar-SA"/>
              </w:rPr>
              <w:t> </w:t>
            </w:r>
            <w:r w:rsidRPr="00ED38E9">
              <w:rPr>
                <w:rFonts w:eastAsia="MS Mincho" w:cs="Arial"/>
                <w:noProof w:val="0"/>
                <w:sz w:val="20"/>
                <w:szCs w:val="20"/>
                <w:lang w:bidi="ar-SA"/>
              </w:rPr>
              <w:t>propagace a</w:t>
            </w:r>
            <w:r w:rsidR="00E64CFB">
              <w:rPr>
                <w:rFonts w:eastAsia="MS Mincho" w:cs="Arial"/>
                <w:noProof w:val="0"/>
                <w:sz w:val="20"/>
                <w:szCs w:val="20"/>
                <w:lang w:bidi="ar-SA"/>
              </w:rPr>
              <w:t> </w:t>
            </w:r>
            <w:r w:rsidRPr="00ED38E9">
              <w:rPr>
                <w:rFonts w:eastAsia="MS Mincho" w:cs="Arial"/>
                <w:noProof w:val="0"/>
                <w:sz w:val="20"/>
                <w:szCs w:val="20"/>
                <w:lang w:bidi="ar-SA"/>
              </w:rPr>
              <w:t>osvěty ke splnění minimální výše investice</w:t>
            </w:r>
          </w:p>
        </w:tc>
      </w:tr>
    </w:tbl>
    <w:p w:rsidR="006631D1" w:rsidRPr="00ED38E9" w:rsidP="006631D1" w14:paraId="3FA11DEA" w14:textId="77777777">
      <w:pPr>
        <w:keepNext/>
        <w:spacing w:after="120"/>
        <w:rPr>
          <w:rFonts w:eastAsia="Calibri" w:cs="Arial"/>
          <w:noProof w:val="0"/>
          <w:szCs w:val="22"/>
          <w:lang w:bidi="ar-SA"/>
        </w:rPr>
      </w:pPr>
      <w:r w:rsidRPr="00221615">
        <w:rPr>
          <w:rFonts w:eastAsia="Calibri" w:cs="Arial"/>
          <w:b/>
          <w:noProof w:val="0"/>
          <w:szCs w:val="22"/>
          <w:lang w:bidi="ar-SA"/>
        </w:rPr>
        <w:t>Varianta 1b</w:t>
      </w:r>
      <w:r w:rsidRPr="00ED38E9">
        <w:rPr>
          <w:rFonts w:eastAsia="Calibri" w:cs="Arial"/>
          <w:noProof w:val="0"/>
          <w:szCs w:val="22"/>
          <w:lang w:bidi="ar-SA"/>
        </w:rPr>
        <w:t xml:space="preserve"> – Stanovení minimální výše prostředků směřujících na osvětu a propagaci</w:t>
      </w:r>
    </w:p>
    <w:p w:rsidR="006631D1" w:rsidRPr="00ED38E9" w:rsidP="006631D1" w14:paraId="2305786B" w14:textId="5F188ED0">
      <w:pPr>
        <w:spacing w:after="120"/>
        <w:rPr>
          <w:rFonts w:eastAsia="Calibri" w:cs="Arial"/>
          <w:noProof w:val="0"/>
          <w:szCs w:val="22"/>
          <w:lang w:bidi="ar-SA"/>
        </w:rPr>
      </w:pPr>
      <w:r w:rsidRPr="00ED38E9">
        <w:rPr>
          <w:rFonts w:eastAsia="Calibri" w:cs="Arial"/>
          <w:noProof w:val="0"/>
          <w:szCs w:val="22"/>
          <w:lang w:bidi="ar-SA"/>
        </w:rPr>
        <w:t xml:space="preserve">Jedním z možných přístupů k výpočtu stanovení minimální výše prostředků je % z tržeb daného </w:t>
      </w:r>
      <w:r>
        <w:rPr>
          <w:rFonts w:eastAsia="Calibri" w:cs="Arial"/>
          <w:noProof w:val="0"/>
          <w:szCs w:val="22"/>
          <w:lang w:bidi="ar-SA"/>
        </w:rPr>
        <w:t>KS</w:t>
      </w:r>
      <w:r w:rsidRPr="00ED38E9">
        <w:rPr>
          <w:rFonts w:eastAsia="Calibri" w:cs="Arial"/>
          <w:noProof w:val="0"/>
          <w:szCs w:val="22"/>
          <w:lang w:bidi="ar-SA"/>
        </w:rPr>
        <w:t xml:space="preserve">. </w:t>
      </w:r>
      <w:r w:rsidRPr="00BA6FEA">
        <w:rPr>
          <w:rFonts w:eastAsia="Calibri" w:cs="Arial"/>
          <w:noProof w:val="0"/>
          <w:szCs w:val="22"/>
          <w:lang w:bidi="ar-SA"/>
        </w:rPr>
        <w:t>Roční tržby KS představují více jak 500 mil. Kč,</w:t>
      </w:r>
      <w:r w:rsidRPr="00ED38E9">
        <w:rPr>
          <w:rFonts w:eastAsia="Calibri" w:cs="Arial"/>
          <w:noProof w:val="0"/>
          <w:szCs w:val="22"/>
          <w:lang w:bidi="ar-SA"/>
        </w:rPr>
        <w:t xml:space="preserve"> pak pokud by byly náklady na</w:t>
      </w:r>
      <w:r>
        <w:rPr>
          <w:rFonts w:eastAsia="Calibri" w:cs="Arial"/>
          <w:noProof w:val="0"/>
          <w:szCs w:val="22"/>
          <w:lang w:bidi="ar-SA"/>
        </w:rPr>
        <w:t> </w:t>
      </w:r>
      <w:r w:rsidRPr="00ED38E9">
        <w:rPr>
          <w:rFonts w:eastAsia="Calibri" w:cs="Arial"/>
          <w:noProof w:val="0"/>
          <w:szCs w:val="22"/>
          <w:lang w:bidi="ar-SA"/>
        </w:rPr>
        <w:t>propagační a osvětovou činnost definovány např. jako 1</w:t>
      </w:r>
      <w:r w:rsidR="00762B7E">
        <w:rPr>
          <w:rFonts w:eastAsia="Calibri" w:cs="Arial"/>
          <w:noProof w:val="0"/>
          <w:szCs w:val="22"/>
          <w:lang w:bidi="ar-SA"/>
        </w:rPr>
        <w:t xml:space="preserve"> </w:t>
      </w:r>
      <w:r w:rsidRPr="00ED38E9">
        <w:rPr>
          <w:rFonts w:eastAsia="Calibri" w:cs="Arial"/>
          <w:noProof w:val="0"/>
          <w:szCs w:val="22"/>
          <w:lang w:bidi="ar-SA"/>
        </w:rPr>
        <w:t>% z tržeb, investice do</w:t>
      </w:r>
      <w:r>
        <w:rPr>
          <w:rFonts w:eastAsia="Calibri" w:cs="Arial"/>
          <w:noProof w:val="0"/>
          <w:szCs w:val="22"/>
          <w:lang w:bidi="ar-SA"/>
        </w:rPr>
        <w:t> </w:t>
      </w:r>
      <w:r w:rsidRPr="00ED38E9">
        <w:rPr>
          <w:rFonts w:eastAsia="Calibri" w:cs="Arial"/>
          <w:noProof w:val="0"/>
          <w:szCs w:val="22"/>
          <w:lang w:bidi="ar-SA"/>
        </w:rPr>
        <w:t>propagace a</w:t>
      </w:r>
      <w:r>
        <w:rPr>
          <w:rFonts w:eastAsia="Calibri" w:cs="Arial"/>
          <w:noProof w:val="0"/>
          <w:szCs w:val="22"/>
          <w:lang w:bidi="ar-SA"/>
        </w:rPr>
        <w:t> </w:t>
      </w:r>
      <w:r w:rsidRPr="00ED38E9">
        <w:rPr>
          <w:rFonts w:eastAsia="Calibri" w:cs="Arial"/>
          <w:noProof w:val="0"/>
          <w:szCs w:val="22"/>
          <w:lang w:bidi="ar-SA"/>
        </w:rPr>
        <w:t xml:space="preserve">osvětové činnosti všech KS by dosahovala 5 mil. Kč. </w:t>
      </w:r>
    </w:p>
    <w:p w:rsidR="006631D1" w:rsidRPr="00ED38E9" w:rsidP="006631D1" w14:paraId="23E9759E" w14:textId="3AB7BDD0">
      <w:pPr>
        <w:spacing w:after="120"/>
        <w:rPr>
          <w:rFonts w:eastAsia="Calibri" w:cs="Arial"/>
          <w:noProof w:val="0"/>
          <w:szCs w:val="22"/>
          <w:lang w:bidi="ar-SA"/>
        </w:rPr>
      </w:pPr>
      <w:r w:rsidRPr="00ED38E9">
        <w:rPr>
          <w:rFonts w:eastAsia="Calibri" w:cs="Arial"/>
          <w:noProof w:val="0"/>
          <w:szCs w:val="22"/>
          <w:lang w:bidi="ar-SA"/>
        </w:rPr>
        <w:t>Propagační a osvětová činnost může mít mnoho forem a podob. Například měsíční nájem billboardu v Praze se dle lokality může pohybovat v rozmezí 3 – 14 tis. Kč. Cena za jeden 30</w:t>
      </w:r>
      <w:r w:rsidR="004114EA">
        <w:rPr>
          <w:rFonts w:eastAsia="Calibri" w:cs="Arial"/>
          <w:noProof w:val="0"/>
          <w:szCs w:val="22"/>
          <w:lang w:bidi="ar-SA"/>
        </w:rPr>
        <w:t> </w:t>
      </w:r>
      <w:r w:rsidRPr="00ED38E9">
        <w:rPr>
          <w:rFonts w:eastAsia="Calibri" w:cs="Arial"/>
          <w:noProof w:val="0"/>
          <w:szCs w:val="22"/>
          <w:lang w:bidi="ar-SA"/>
        </w:rPr>
        <w:t>sekundový rozhlasový spot se pohybuje přibližně mezi 3 – 5 tis. Kč. V případě TV spotu se cena odvíjí od procenta cílové skupiny, které sleduje danou reklamu. Za půlminutový TV spot, na který se dívá jedno procento z cílové skupiny, se cena pohybuje v nižších řádech desítek tisíc korun v závislosti na vysílacím čase. Mimo výše uveden</w:t>
      </w:r>
      <w:r w:rsidR="00E64CFB">
        <w:rPr>
          <w:rFonts w:eastAsia="Calibri" w:cs="Arial"/>
          <w:noProof w:val="0"/>
          <w:szCs w:val="22"/>
          <w:lang w:bidi="ar-SA"/>
        </w:rPr>
        <w:t>é</w:t>
      </w:r>
      <w:r w:rsidRPr="00ED38E9">
        <w:rPr>
          <w:rFonts w:eastAsia="Calibri" w:cs="Arial"/>
          <w:noProof w:val="0"/>
          <w:szCs w:val="22"/>
          <w:lang w:bidi="ar-SA"/>
        </w:rPr>
        <w:t xml:space="preserve"> náklady na reklamu je zapotřebí počítat i s náklady na výrobu daného typu reklamy</w:t>
      </w:r>
      <w:r>
        <w:rPr>
          <w:rFonts w:eastAsia="Calibri" w:cs="Arial"/>
          <w:noProof w:val="0"/>
          <w:szCs w:val="22"/>
          <w:vertAlign w:val="superscript"/>
          <w:lang w:bidi="ar-SA"/>
        </w:rPr>
        <w:footnoteReference w:id="2"/>
      </w:r>
      <w:r w:rsidRPr="00ED38E9">
        <w:rPr>
          <w:rFonts w:eastAsia="Calibri" w:cs="Arial"/>
          <w:noProof w:val="0"/>
          <w:szCs w:val="22"/>
          <w:lang w:bidi="ar-SA"/>
        </w:rPr>
        <w:t xml:space="preserve">. </w:t>
      </w:r>
    </w:p>
    <w:p w:rsidR="006631D1" w:rsidRPr="00ED38E9" w:rsidP="006631D1" w14:paraId="4E51F295" w14:textId="77777777">
      <w:pPr>
        <w:spacing w:after="120"/>
        <w:rPr>
          <w:rFonts w:eastAsia="Calibri" w:cs="Arial"/>
          <w:noProof w:val="0"/>
          <w:szCs w:val="22"/>
          <w:lang w:bidi="ar-SA"/>
        </w:rPr>
      </w:pPr>
      <w:r w:rsidRPr="00ED38E9">
        <w:rPr>
          <w:rFonts w:eastAsia="Calibri" w:cs="Arial"/>
          <w:noProof w:val="0"/>
          <w:szCs w:val="22"/>
          <w:lang w:bidi="ar-SA"/>
        </w:rPr>
        <w:t>Pro konkrétní KS by pak mohly nastat dvě situace: v případě stanovení minimálního limitu investice do osvěty a propagace pod jeho současnou úrovní je takové stanovení zbytečné a</w:t>
      </w:r>
      <w:r>
        <w:rPr>
          <w:rFonts w:eastAsia="Calibri" w:cs="Arial"/>
          <w:noProof w:val="0"/>
          <w:szCs w:val="22"/>
          <w:lang w:bidi="ar-SA"/>
        </w:rPr>
        <w:t> </w:t>
      </w:r>
      <w:r w:rsidRPr="00ED38E9">
        <w:rPr>
          <w:rFonts w:eastAsia="Calibri" w:cs="Arial"/>
          <w:noProof w:val="0"/>
          <w:szCs w:val="22"/>
          <w:lang w:bidi="ar-SA"/>
        </w:rPr>
        <w:t>jeho efekt je nulový či dokonce negativní (snížení prostředků na propagaci); pokud by naopak došlo ke stanovení příliš ambiciózního cíle, může dojít k negativnímu vlivu ve formě zbytečného utrácení za propagační a osvětovou činnost bez prokazatelného efektu na úroveň sběru, ale s důsledkem růstu výše recyklačního poplatku.</w:t>
      </w:r>
    </w:p>
    <w:p w:rsidR="006631D1" w:rsidRPr="00ED38E9" w:rsidP="006631D1" w14:paraId="38D42335" w14:textId="77777777">
      <w:pPr>
        <w:spacing w:after="120"/>
        <w:rPr>
          <w:rFonts w:eastAsia="Calibri" w:cs="Arial"/>
          <w:noProof w:val="0"/>
          <w:szCs w:val="22"/>
          <w:lang w:bidi="ar-SA"/>
        </w:rPr>
      </w:pPr>
      <w:r w:rsidRPr="00ED38E9">
        <w:rPr>
          <w:rFonts w:eastAsia="Calibri" w:cs="Arial"/>
          <w:noProof w:val="0"/>
          <w:szCs w:val="22"/>
          <w:lang w:bidi="ar-SA"/>
        </w:rPr>
        <w:t>S ohledem na obtížné rozhodnutí o adekvátnosti minimální výše vynaložených prostředků považujeme její stanovení za zbytečné, neboť v případě, že s KS bude moci být zahájeno správní řízení o odejmutí oprávnění z důvodu neplnění cíle sběru, budou KS motivovány investovat odpovídající výši do propagace a osvěty.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61578231" w14:textId="77777777" w:rsidTr="00434A7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6631D1" w:rsidRPr="00ED38E9" w:rsidP="00434A7D" w14:paraId="3D57835E"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69CB79A3"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752A71DB" w14:textId="477C0D64">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 výše prostředků na propagaci a osvětu možnost dosažení vyšší úrovně sběru</w:t>
            </w:r>
            <w:r w:rsidR="00E64CFB">
              <w:rPr>
                <w:rFonts w:eastAsia="MS Mincho" w:cs="Arial"/>
                <w:noProof w:val="0"/>
                <w:sz w:val="20"/>
                <w:szCs w:val="20"/>
                <w:lang w:bidi="ar-SA"/>
              </w:rPr>
              <w:t xml:space="preserve"> VUŽ</w:t>
            </w:r>
          </w:p>
          <w:p w:rsidR="006631D1" w:rsidRPr="00ED38E9" w:rsidP="00DA6DDC" w14:paraId="785ED983"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investic do propagace a osvěty</w:t>
            </w:r>
          </w:p>
        </w:tc>
      </w:tr>
      <w:tr w14:paraId="143448FB"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3E065694"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14:paraId="48BEC8C0"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34E07729" w14:textId="53B186D8">
            <w:pPr>
              <w:spacing w:before="20" w:after="20"/>
              <w:rPr>
                <w:rFonts w:eastAsia="MS Mincho" w:cs="Arial"/>
                <w:i/>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 </w:t>
            </w:r>
            <w:r w:rsidRPr="00ED38E9">
              <w:rPr>
                <w:rFonts w:eastAsia="MS Mincho" w:cs="Arial"/>
                <w:noProof w:val="0"/>
                <w:sz w:val="20"/>
                <w:szCs w:val="20"/>
                <w:lang w:bidi="ar-SA"/>
              </w:rPr>
              <w:t xml:space="preserve">Zajištění minimálních požadavků na osvětu a propagaci sníží riziko </w:t>
            </w:r>
            <w:r w:rsidR="009E568F">
              <w:rPr>
                <w:rFonts w:eastAsia="MS Mincho" w:cs="Arial"/>
                <w:noProof w:val="0"/>
                <w:sz w:val="20"/>
                <w:szCs w:val="20"/>
                <w:lang w:bidi="ar-SA"/>
              </w:rPr>
              <w:t>free</w:t>
            </w:r>
            <w:r w:rsidR="00E64CFB">
              <w:rPr>
                <w:rFonts w:eastAsia="MS Mincho" w:cs="Arial"/>
                <w:noProof w:val="0"/>
                <w:sz w:val="20"/>
                <w:szCs w:val="20"/>
                <w:lang w:bidi="ar-SA"/>
              </w:rPr>
              <w:t>-</w:t>
            </w:r>
            <w:r w:rsidR="009E568F">
              <w:rPr>
                <w:rFonts w:eastAsia="MS Mincho" w:cs="Arial"/>
                <w:noProof w:val="0"/>
                <w:sz w:val="20"/>
                <w:szCs w:val="20"/>
                <w:lang w:bidi="ar-SA"/>
              </w:rPr>
              <w:t>ridingu</w:t>
            </w:r>
            <w:r w:rsidRPr="00ED38E9">
              <w:rPr>
                <w:rFonts w:eastAsia="MS Mincho" w:cs="Arial"/>
                <w:noProof w:val="0"/>
                <w:sz w:val="20"/>
                <w:szCs w:val="20"/>
                <w:lang w:bidi="ar-SA"/>
              </w:rPr>
              <w:t xml:space="preserve"> v oblasti obecné osvěty a může mít pozitivní dopad na úrov</w:t>
            </w:r>
            <w:r w:rsidR="00E64CFB">
              <w:rPr>
                <w:rFonts w:eastAsia="MS Mincho" w:cs="Arial"/>
                <w:noProof w:val="0"/>
                <w:sz w:val="20"/>
                <w:szCs w:val="20"/>
                <w:lang w:bidi="ar-SA"/>
              </w:rPr>
              <w:t>eň</w:t>
            </w:r>
            <w:r w:rsidRPr="00ED38E9">
              <w:rPr>
                <w:rFonts w:eastAsia="MS Mincho" w:cs="Arial"/>
                <w:noProof w:val="0"/>
                <w:sz w:val="20"/>
                <w:szCs w:val="20"/>
                <w:lang w:bidi="ar-SA"/>
              </w:rPr>
              <w:t xml:space="preserve"> sběru</w:t>
            </w:r>
            <w:r w:rsidR="00E64CFB">
              <w:rPr>
                <w:rFonts w:eastAsia="MS Mincho" w:cs="Arial"/>
                <w:noProof w:val="0"/>
                <w:sz w:val="20"/>
                <w:szCs w:val="20"/>
                <w:lang w:bidi="ar-SA"/>
              </w:rPr>
              <w:t xml:space="preserve"> VUŽ</w:t>
            </w:r>
            <w:r w:rsidRPr="00ED38E9">
              <w:rPr>
                <w:rFonts w:eastAsia="MS Mincho" w:cs="Arial"/>
                <w:noProof w:val="0"/>
                <w:sz w:val="20"/>
                <w:szCs w:val="20"/>
                <w:lang w:bidi="ar-SA"/>
              </w:rPr>
              <w:t>.</w:t>
            </w:r>
            <w:r w:rsidRPr="00ED38E9">
              <w:rPr>
                <w:rFonts w:eastAsia="MS Mincho" w:cs="Arial"/>
                <w:i/>
                <w:noProof w:val="0"/>
                <w:sz w:val="20"/>
                <w:szCs w:val="20"/>
                <w:lang w:bidi="ar-SA"/>
              </w:rPr>
              <w:t xml:space="preserve"> </w:t>
            </w:r>
          </w:p>
          <w:p w:rsidR="006631D1" w:rsidRPr="00ED38E9" w:rsidP="00DA6DDC" w14:paraId="22483FA8"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tohoto rozdílu.</w:t>
            </w:r>
          </w:p>
        </w:tc>
      </w:tr>
      <w:tr w14:paraId="5931FC4A"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5A285AD8"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7DDCB7E1"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6DA88B55" w14:textId="315ED2F5">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w:t>
            </w:r>
            <w:r w:rsidR="00DA6DDC">
              <w:rPr>
                <w:rFonts w:eastAsia="MS Mincho" w:cs="Arial"/>
                <w:noProof w:val="0"/>
                <w:sz w:val="20"/>
                <w:szCs w:val="20"/>
                <w:lang w:bidi="ar-SA"/>
              </w:rPr>
              <w:t> </w:t>
            </w:r>
            <w:r w:rsidRPr="00ED38E9">
              <w:rPr>
                <w:rFonts w:eastAsia="MS Mincho" w:cs="Arial"/>
                <w:noProof w:val="0"/>
                <w:sz w:val="20"/>
                <w:szCs w:val="20"/>
                <w:lang w:bidi="ar-SA"/>
              </w:rPr>
              <w:t xml:space="preserve">získávání informací o tom, co s daným </w:t>
            </w:r>
            <w:r w:rsidR="00E64CFB">
              <w:rPr>
                <w:rFonts w:eastAsia="MS Mincho" w:cs="Arial"/>
                <w:noProof w:val="0"/>
                <w:sz w:val="20"/>
                <w:szCs w:val="20"/>
                <w:lang w:bidi="ar-SA"/>
              </w:rPr>
              <w:t>VUŽ</w:t>
            </w:r>
            <w:r w:rsidRPr="00ED38E9">
              <w:rPr>
                <w:rFonts w:eastAsia="MS Mincho" w:cs="Arial"/>
                <w:noProof w:val="0"/>
                <w:sz w:val="20"/>
                <w:szCs w:val="20"/>
                <w:lang w:bidi="ar-SA"/>
              </w:rPr>
              <w:t xml:space="preserve"> udělat)</w:t>
            </w:r>
          </w:p>
          <w:p w:rsidR="006631D1" w:rsidRPr="00ED38E9" w:rsidP="00DA6DDC" w14:paraId="75F61DA8" w14:textId="46202F46">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w:t>
            </w:r>
            <w:r w:rsidR="00DA6DDC">
              <w:rPr>
                <w:rFonts w:eastAsia="MS Mincho" w:cs="Arial"/>
                <w:noProof w:val="0"/>
                <w:sz w:val="20"/>
                <w:szCs w:val="20"/>
                <w:lang w:bidi="ar-SA"/>
              </w:rPr>
              <w:t> </w:t>
            </w:r>
            <w:r w:rsidRPr="00ED38E9">
              <w:rPr>
                <w:rFonts w:eastAsia="MS Mincho" w:cs="Arial"/>
                <w:noProof w:val="0"/>
                <w:sz w:val="20"/>
                <w:szCs w:val="20"/>
                <w:lang w:bidi="ar-SA"/>
              </w:rPr>
              <w:t>propagace a</w:t>
            </w:r>
            <w:r w:rsidR="009E568F">
              <w:rPr>
                <w:rFonts w:eastAsia="MS Mincho" w:cs="Arial"/>
                <w:noProof w:val="0"/>
                <w:sz w:val="20"/>
                <w:szCs w:val="20"/>
                <w:lang w:bidi="ar-SA"/>
              </w:rPr>
              <w:t> </w:t>
            </w:r>
            <w:r w:rsidRPr="00ED38E9">
              <w:rPr>
                <w:rFonts w:eastAsia="MS Mincho" w:cs="Arial"/>
                <w:noProof w:val="0"/>
                <w:sz w:val="20"/>
                <w:szCs w:val="20"/>
                <w:lang w:bidi="ar-SA"/>
              </w:rPr>
              <w:t>osvěty ke splnění minimální výše investice</w:t>
            </w:r>
          </w:p>
        </w:tc>
      </w:tr>
    </w:tbl>
    <w:p w:rsidR="006631D1" w:rsidP="006631D1" w14:paraId="17872AB4" w14:textId="77777777">
      <w:pPr>
        <w:spacing w:after="120"/>
        <w:rPr>
          <w:rFonts w:eastAsia="Calibri" w:cs="Arial"/>
          <w:b/>
          <w:noProof w:val="0"/>
          <w:szCs w:val="22"/>
          <w:lang w:bidi="ar-SA"/>
        </w:rPr>
      </w:pPr>
    </w:p>
    <w:p w:rsidR="006631D1" w:rsidRPr="00ED38E9" w:rsidP="006631D1" w14:paraId="377DE786" w14:textId="77777777">
      <w:pPr>
        <w:spacing w:after="120"/>
        <w:rPr>
          <w:rFonts w:eastAsia="Calibri" w:cs="Arial"/>
          <w:noProof w:val="0"/>
          <w:szCs w:val="22"/>
          <w:lang w:bidi="ar-SA"/>
        </w:rPr>
      </w:pPr>
      <w:r w:rsidRPr="00221615">
        <w:rPr>
          <w:rFonts w:eastAsia="Calibri" w:cs="Arial"/>
          <w:b/>
          <w:noProof w:val="0"/>
          <w:szCs w:val="22"/>
          <w:lang w:bidi="ar-SA"/>
        </w:rPr>
        <w:t>Varianta 1c</w:t>
      </w:r>
      <w:r w:rsidRPr="00ED38E9">
        <w:rPr>
          <w:rFonts w:eastAsia="Calibri" w:cs="Arial"/>
          <w:noProof w:val="0"/>
          <w:szCs w:val="22"/>
          <w:lang w:bidi="ar-SA"/>
        </w:rPr>
        <w:t xml:space="preserve"> – Stanovení minimální a zároveň maximální výše prostředků směřujících na</w:t>
      </w:r>
      <w:r>
        <w:rPr>
          <w:rFonts w:eastAsia="Calibri" w:cs="Arial"/>
          <w:noProof w:val="0"/>
          <w:szCs w:val="22"/>
          <w:lang w:bidi="ar-SA"/>
        </w:rPr>
        <w:t> </w:t>
      </w:r>
      <w:r w:rsidRPr="00ED38E9">
        <w:rPr>
          <w:rFonts w:eastAsia="Calibri" w:cs="Arial"/>
          <w:noProof w:val="0"/>
          <w:szCs w:val="22"/>
          <w:lang w:bidi="ar-SA"/>
        </w:rPr>
        <w:t>osvětu a propagaci</w:t>
      </w:r>
    </w:p>
    <w:p w:rsidR="006631D1" w:rsidRPr="00ED38E9" w:rsidP="006631D1" w14:paraId="7427D8FE" w14:textId="5C8EF85D">
      <w:pPr>
        <w:spacing w:after="120"/>
        <w:rPr>
          <w:rFonts w:eastAsia="Calibri" w:cs="Arial"/>
          <w:noProof w:val="0"/>
          <w:szCs w:val="22"/>
          <w:lang w:bidi="ar-SA"/>
        </w:rPr>
      </w:pPr>
      <w:r w:rsidRPr="00ED38E9">
        <w:rPr>
          <w:rFonts w:eastAsia="Calibri" w:cs="Arial"/>
          <w:noProof w:val="0"/>
          <w:szCs w:val="22"/>
          <w:lang w:bidi="ar-SA"/>
        </w:rPr>
        <w:t>Dalším možným přístupem je rozšířit variantu 1b, a to o stanovení zároveň maximálního limitu prostředků určených k propagaci a osvětové činnosti. Stanovení maximální výše může být motivováno snahou zamezit případnému vyvádění prostředků z KS za pomoci neopodstatněných nákladů na osvětu a propagaci</w:t>
      </w:r>
      <w:r w:rsidR="00E64CFB">
        <w:rPr>
          <w:rFonts w:eastAsia="Calibri" w:cs="Arial"/>
          <w:noProof w:val="0"/>
          <w:szCs w:val="22"/>
          <w:lang w:bidi="ar-SA"/>
        </w:rPr>
        <w:t>,</w:t>
      </w:r>
      <w:r w:rsidRPr="00ED38E9">
        <w:rPr>
          <w:rFonts w:eastAsia="Calibri" w:cs="Arial"/>
          <w:noProof w:val="0"/>
          <w:szCs w:val="22"/>
          <w:lang w:bidi="ar-SA"/>
        </w:rPr>
        <w:t xml:space="preserve"> a tím prodražovat celý systém. Přínosy a náklady takového systému vychází z varianty 1b a představují obdobné problémy, neboť by MŽP muselo odhadnout adekvátní prostředky na osvětu a nad tímto limitem stanovit maximální možnou míru prostředků využitelných na osvětu.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5403A224" w14:textId="77777777" w:rsidTr="00434A7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6631D1" w:rsidRPr="00ED38E9" w:rsidP="00434A7D" w14:paraId="37BC75E5"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4FE47CFE"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2A7011A7" w14:textId="324A638D">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 výše prostředků na propagaci a osvětu možnost dosažení vyšší úrovně sběru</w:t>
            </w:r>
            <w:r w:rsidR="00E64CFB">
              <w:rPr>
                <w:rFonts w:eastAsia="MS Mincho" w:cs="Arial"/>
                <w:noProof w:val="0"/>
                <w:sz w:val="20"/>
                <w:szCs w:val="20"/>
                <w:lang w:bidi="ar-SA"/>
              </w:rPr>
              <w:t xml:space="preserve"> VUŽ</w:t>
            </w:r>
            <w:r w:rsidRPr="00ED38E9">
              <w:rPr>
                <w:rFonts w:eastAsia="MS Mincho" w:cs="Arial"/>
                <w:noProof w:val="0"/>
                <w:sz w:val="20"/>
                <w:szCs w:val="20"/>
                <w:lang w:bidi="ar-SA"/>
              </w:rPr>
              <w:t>. Omezení případného plýtvání prostřednictvím předraženého PR.</w:t>
            </w:r>
          </w:p>
          <w:p w:rsidR="006631D1" w:rsidRPr="00ED38E9" w:rsidP="00DA6DDC" w14:paraId="2861ED97" w14:textId="05925381">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a maximální investic do propagace a</w:t>
            </w:r>
            <w:r w:rsidR="00DA6DDC">
              <w:rPr>
                <w:rFonts w:eastAsia="MS Mincho" w:cs="Arial"/>
                <w:noProof w:val="0"/>
                <w:sz w:val="20"/>
                <w:szCs w:val="20"/>
                <w:lang w:bidi="ar-SA"/>
              </w:rPr>
              <w:t> </w:t>
            </w:r>
            <w:r w:rsidRPr="00ED38E9">
              <w:rPr>
                <w:rFonts w:eastAsia="MS Mincho" w:cs="Arial"/>
                <w:noProof w:val="0"/>
                <w:sz w:val="20"/>
                <w:szCs w:val="20"/>
                <w:lang w:bidi="ar-SA"/>
              </w:rPr>
              <w:t>osvěty</w:t>
            </w:r>
          </w:p>
        </w:tc>
      </w:tr>
      <w:tr w14:paraId="77CD98C2"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0B9BEC86"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14:paraId="14651804" w14:textId="77777777" w:rsidTr="00434A7D">
        <w:tblPrEx>
          <w:tblW w:w="0" w:type="auto"/>
          <w:tblInd w:w="108" w:type="dxa"/>
          <w:tblLook w:val="00A0"/>
        </w:tblPrEx>
        <w:trPr>
          <w:trHeight w:val="397"/>
        </w:trPr>
        <w:tc>
          <w:tcPr>
            <w:tcW w:w="9180" w:type="dxa"/>
            <w:shd w:val="clear" w:color="auto" w:fill="auto"/>
            <w:vAlign w:val="center"/>
          </w:tcPr>
          <w:p w:rsidR="006631D1" w:rsidRPr="00ED38E9" w:rsidP="00DA6DDC" w14:paraId="256A40A4" w14:textId="77777777">
            <w:pPr>
              <w:spacing w:before="20" w:after="20"/>
              <w:rPr>
                <w:rFonts w:eastAsia="MS Mincho" w:cs="Arial"/>
                <w:i/>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 </w:t>
            </w:r>
            <w:r w:rsidRPr="00ED38E9">
              <w:rPr>
                <w:rFonts w:eastAsia="MS Mincho" w:cs="Arial"/>
                <w:noProof w:val="0"/>
                <w:sz w:val="20"/>
                <w:szCs w:val="20"/>
                <w:lang w:bidi="ar-SA"/>
              </w:rPr>
              <w:t>V případě současných investic do osvěty a propagace nad požadovanou maximální úrovní dodatečné úspory ve výši tohoto rozdílu</w:t>
            </w:r>
          </w:p>
          <w:p w:rsidR="006631D1" w:rsidRPr="00ED38E9" w:rsidP="00DA6DDC" w14:paraId="783E9849" w14:textId="0B5ECB0C">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rozdílu. Nemožnost využívat vlastní přístup k osvětě a propagaci a nutnost v případě neplnění cílů sběru využít významněji jiné možnosti stimulace sběru (platby za</w:t>
            </w:r>
            <w:r w:rsidR="00DA6DDC">
              <w:rPr>
                <w:rFonts w:eastAsia="MS Mincho" w:cs="Arial"/>
                <w:noProof w:val="0"/>
                <w:sz w:val="20"/>
                <w:szCs w:val="20"/>
                <w:lang w:bidi="ar-SA"/>
              </w:rPr>
              <w:t> </w:t>
            </w:r>
            <w:r w:rsidRPr="00ED38E9">
              <w:rPr>
                <w:rFonts w:eastAsia="MS Mincho" w:cs="Arial"/>
                <w:noProof w:val="0"/>
                <w:sz w:val="20"/>
                <w:szCs w:val="20"/>
                <w:lang w:bidi="ar-SA"/>
              </w:rPr>
              <w:t>odevzdání elektrozařízení), což může prodražovat celý systém zpětného odběru.</w:t>
            </w:r>
          </w:p>
        </w:tc>
      </w:tr>
      <w:tr w14:paraId="7802DD82" w14:textId="77777777" w:rsidTr="00434A7D">
        <w:tblPrEx>
          <w:tblW w:w="0" w:type="auto"/>
          <w:tblInd w:w="108" w:type="dxa"/>
          <w:tblLook w:val="00A0"/>
        </w:tblPrEx>
        <w:trPr>
          <w:trHeight w:val="397"/>
        </w:trPr>
        <w:tc>
          <w:tcPr>
            <w:tcW w:w="9180" w:type="dxa"/>
            <w:shd w:val="clear" w:color="auto" w:fill="auto"/>
            <w:vAlign w:val="center"/>
          </w:tcPr>
          <w:p w:rsidR="006631D1" w:rsidRPr="00ED38E9" w:rsidP="00434A7D" w14:paraId="05570FB9"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1E971C03" w14:textId="77777777" w:rsidTr="00434A7D">
        <w:tblPrEx>
          <w:tblW w:w="0" w:type="auto"/>
          <w:tblInd w:w="108" w:type="dxa"/>
          <w:tblLook w:val="00A0"/>
        </w:tblPrEx>
        <w:trPr>
          <w:trHeight w:val="397"/>
        </w:trPr>
        <w:tc>
          <w:tcPr>
            <w:tcW w:w="9180" w:type="dxa"/>
            <w:vAlign w:val="center"/>
          </w:tcPr>
          <w:p w:rsidR="006631D1" w:rsidRPr="00ED38E9" w:rsidP="00DA6DDC" w14:paraId="20F8B200" w14:textId="7654F55E">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w:t>
            </w:r>
            <w:r w:rsidR="00DA6DDC">
              <w:rPr>
                <w:rFonts w:eastAsia="MS Mincho" w:cs="Arial"/>
                <w:noProof w:val="0"/>
                <w:sz w:val="20"/>
                <w:szCs w:val="20"/>
                <w:lang w:bidi="ar-SA"/>
              </w:rPr>
              <w:t> </w:t>
            </w:r>
            <w:r w:rsidRPr="00ED38E9">
              <w:rPr>
                <w:rFonts w:eastAsia="MS Mincho" w:cs="Arial"/>
                <w:noProof w:val="0"/>
                <w:sz w:val="20"/>
                <w:szCs w:val="20"/>
                <w:lang w:bidi="ar-SA"/>
              </w:rPr>
              <w:t xml:space="preserve">získávání informací o tom, co s daným </w:t>
            </w:r>
            <w:r w:rsidR="00E64CFB">
              <w:rPr>
                <w:rFonts w:eastAsia="MS Mincho" w:cs="Arial"/>
                <w:noProof w:val="0"/>
                <w:sz w:val="20"/>
                <w:szCs w:val="20"/>
                <w:lang w:bidi="ar-SA"/>
              </w:rPr>
              <w:t>VUŽ</w:t>
            </w:r>
            <w:r w:rsidRPr="00ED38E9">
              <w:rPr>
                <w:rFonts w:eastAsia="MS Mincho" w:cs="Arial"/>
                <w:noProof w:val="0"/>
                <w:sz w:val="20"/>
                <w:szCs w:val="20"/>
                <w:lang w:bidi="ar-SA"/>
              </w:rPr>
              <w:t xml:space="preserve"> udělat)</w:t>
            </w:r>
          </w:p>
          <w:p w:rsidR="006631D1" w:rsidRPr="00ED38E9" w:rsidP="00DA6DDC" w14:paraId="7FD16185" w14:textId="3739CB9F">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w:t>
            </w:r>
            <w:r w:rsidR="00DA6DDC">
              <w:rPr>
                <w:rFonts w:eastAsia="MS Mincho" w:cs="Arial"/>
                <w:noProof w:val="0"/>
                <w:sz w:val="20"/>
                <w:szCs w:val="20"/>
                <w:lang w:bidi="ar-SA"/>
              </w:rPr>
              <w:t> </w:t>
            </w:r>
            <w:r w:rsidRPr="00ED38E9">
              <w:rPr>
                <w:rFonts w:eastAsia="MS Mincho" w:cs="Arial"/>
                <w:noProof w:val="0"/>
                <w:sz w:val="20"/>
                <w:szCs w:val="20"/>
                <w:lang w:bidi="ar-SA"/>
              </w:rPr>
              <w:t>propagace a</w:t>
            </w:r>
            <w:r w:rsidR="00E64CFB">
              <w:rPr>
                <w:rFonts w:eastAsia="MS Mincho" w:cs="Arial"/>
                <w:noProof w:val="0"/>
                <w:sz w:val="20"/>
                <w:szCs w:val="20"/>
                <w:lang w:bidi="ar-SA"/>
              </w:rPr>
              <w:t> </w:t>
            </w:r>
            <w:r w:rsidRPr="00ED38E9">
              <w:rPr>
                <w:rFonts w:eastAsia="MS Mincho" w:cs="Arial"/>
                <w:noProof w:val="0"/>
                <w:sz w:val="20"/>
                <w:szCs w:val="20"/>
                <w:lang w:bidi="ar-SA"/>
              </w:rPr>
              <w:t>osvěty ke splnění minimální výše investice. Zároveň možnost zvýšení recyklačního poplatku v důsledku nemožnosti stimulovat sběr přímo přes propagaci a osvětu a</w:t>
            </w:r>
            <w:r w:rsidR="00DA6DDC">
              <w:rPr>
                <w:rFonts w:eastAsia="MS Mincho" w:cs="Arial"/>
                <w:noProof w:val="0"/>
                <w:sz w:val="20"/>
                <w:szCs w:val="20"/>
                <w:lang w:bidi="ar-SA"/>
              </w:rPr>
              <w:t> </w:t>
            </w:r>
            <w:r w:rsidRPr="00ED38E9">
              <w:rPr>
                <w:rFonts w:eastAsia="MS Mincho" w:cs="Arial"/>
                <w:noProof w:val="0"/>
                <w:sz w:val="20"/>
                <w:szCs w:val="20"/>
                <w:lang w:bidi="ar-SA"/>
              </w:rPr>
              <w:t>nutnosti využít jiné stimuly (platba za</w:t>
            </w:r>
            <w:r w:rsidR="00E64CFB">
              <w:rPr>
                <w:rFonts w:eastAsia="MS Mincho" w:cs="Arial"/>
                <w:noProof w:val="0"/>
                <w:sz w:val="20"/>
                <w:szCs w:val="20"/>
                <w:lang w:bidi="ar-SA"/>
              </w:rPr>
              <w:t> </w:t>
            </w:r>
            <w:r w:rsidRPr="00ED38E9">
              <w:rPr>
                <w:rFonts w:eastAsia="MS Mincho" w:cs="Arial"/>
                <w:noProof w:val="0"/>
                <w:sz w:val="20"/>
                <w:szCs w:val="20"/>
                <w:lang w:bidi="ar-SA"/>
              </w:rPr>
              <w:t>odevzdané elektrozařízení)</w:t>
            </w:r>
          </w:p>
        </w:tc>
      </w:tr>
    </w:tbl>
    <w:p w:rsidR="00D554FF" w:rsidRPr="00D554FF" w:rsidP="00D554FF" w14:paraId="79F05771" w14:textId="77777777">
      <w:pPr>
        <w:pStyle w:val="ListParagraph"/>
        <w:keepNext/>
        <w:spacing w:after="120"/>
        <w:contextualSpacing w:val="0"/>
        <w:rPr>
          <w:rFonts w:eastAsia="Calibri" w:cs="Arial"/>
          <w:b/>
          <w:noProof w:val="0"/>
          <w:szCs w:val="22"/>
          <w:lang w:bidi="ar-SA"/>
        </w:rPr>
      </w:pPr>
    </w:p>
    <w:p w:rsidR="006631D1" w:rsidRPr="00846A21" w:rsidP="003C445B" w14:paraId="261A59C3" w14:textId="77777777">
      <w:pPr>
        <w:pStyle w:val="ListParagraph"/>
        <w:keepNext/>
        <w:numPr>
          <w:ilvl w:val="0"/>
          <w:numId w:val="101"/>
        </w:numPr>
        <w:spacing w:after="120"/>
        <w:contextualSpacing w:val="0"/>
        <w:rPr>
          <w:rFonts w:eastAsia="Calibri" w:cs="Arial"/>
          <w:b/>
          <w:noProof w:val="0"/>
          <w:szCs w:val="22"/>
          <w:lang w:bidi="ar-SA"/>
        </w:rPr>
      </w:pPr>
      <w:r>
        <w:rPr>
          <w:rFonts w:cs="Arial"/>
          <w:b/>
        </w:rPr>
        <w:t>Varianta 2</w:t>
      </w:r>
    </w:p>
    <w:p w:rsidR="006631D1" w:rsidRPr="00ED38E9" w:rsidP="006631D1" w14:paraId="5BF249EE" w14:textId="77777777">
      <w:pPr>
        <w:spacing w:after="120"/>
        <w:rPr>
          <w:rFonts w:eastAsia="Calibri" w:cs="Arial"/>
          <w:noProof w:val="0"/>
          <w:szCs w:val="22"/>
          <w:lang w:bidi="ar-SA"/>
        </w:rPr>
      </w:pPr>
      <w:r w:rsidRPr="00ED38E9">
        <w:rPr>
          <w:rFonts w:eastAsia="Calibri" w:cs="Arial"/>
          <w:noProof w:val="0"/>
          <w:szCs w:val="22"/>
          <w:lang w:bidi="ar-SA"/>
        </w:rPr>
        <w:t>Osvěta a propagace je řízena centrálně a všechny KS přispívají podle předem určeného klíče</w:t>
      </w:r>
      <w:r>
        <w:rPr>
          <w:rFonts w:eastAsia="Calibri" w:cs="Arial"/>
          <w:noProof w:val="0"/>
          <w:szCs w:val="22"/>
          <w:lang w:bidi="ar-SA"/>
        </w:rPr>
        <w:t>.</w:t>
      </w:r>
    </w:p>
    <w:p w:rsidR="006631D1" w:rsidP="006631D1" w14:paraId="790B2339" w14:textId="5EF91DCB">
      <w:pPr>
        <w:spacing w:after="120"/>
        <w:rPr>
          <w:rFonts w:eastAsia="Calibri" w:cs="Arial"/>
          <w:noProof w:val="0"/>
          <w:szCs w:val="22"/>
          <w:lang w:bidi="ar-SA"/>
        </w:rPr>
      </w:pPr>
      <w:r w:rsidRPr="00ED38E9">
        <w:rPr>
          <w:rFonts w:eastAsia="Calibri" w:cs="Arial"/>
          <w:noProof w:val="0"/>
          <w:szCs w:val="22"/>
          <w:lang w:bidi="ar-SA"/>
        </w:rPr>
        <w:t>V případě úvah o centrálním řízení je zapotřebí uvažovat o nákladech spojených s centrálním zajištěním propagace a osvěty. Protože není zřejmé, jak by centrální zajištění osvěty a</w:t>
      </w:r>
      <w:r>
        <w:rPr>
          <w:rFonts w:eastAsia="Calibri" w:cs="Arial"/>
          <w:noProof w:val="0"/>
          <w:szCs w:val="22"/>
          <w:lang w:bidi="ar-SA"/>
        </w:rPr>
        <w:t> </w:t>
      </w:r>
      <w:r w:rsidRPr="00ED38E9">
        <w:rPr>
          <w:rFonts w:eastAsia="Calibri" w:cs="Arial"/>
          <w:noProof w:val="0"/>
          <w:szCs w:val="22"/>
          <w:lang w:bidi="ar-SA"/>
        </w:rPr>
        <w:t>prop</w:t>
      </w:r>
      <w:r w:rsidR="007C4684">
        <w:rPr>
          <w:rFonts w:eastAsia="Calibri" w:cs="Arial"/>
          <w:noProof w:val="0"/>
          <w:szCs w:val="22"/>
          <w:lang w:bidi="ar-SA"/>
        </w:rPr>
        <w:t>agace fungovalo a kdo by ji</w:t>
      </w:r>
      <w:r w:rsidRPr="00ED38E9">
        <w:rPr>
          <w:rFonts w:eastAsia="Calibri" w:cs="Arial"/>
          <w:noProof w:val="0"/>
          <w:szCs w:val="22"/>
          <w:lang w:bidi="ar-SA"/>
        </w:rPr>
        <w:t xml:space="preserve"> případně zajišťoval (</w:t>
      </w:r>
      <w:r>
        <w:rPr>
          <w:rFonts w:eastAsia="Calibri" w:cs="Arial"/>
          <w:noProof w:val="0"/>
          <w:szCs w:val="22"/>
          <w:lang w:bidi="ar-SA"/>
        </w:rPr>
        <w:t xml:space="preserve">např. </w:t>
      </w:r>
      <w:r w:rsidRPr="00ED38E9">
        <w:rPr>
          <w:rFonts w:eastAsia="Calibri" w:cs="Arial"/>
          <w:noProof w:val="0"/>
          <w:szCs w:val="22"/>
          <w:lang w:bidi="ar-SA"/>
        </w:rPr>
        <w:t>MŽP</w:t>
      </w:r>
      <w:r>
        <w:rPr>
          <w:rFonts w:eastAsia="Calibri" w:cs="Arial"/>
          <w:noProof w:val="0"/>
          <w:szCs w:val="22"/>
          <w:lang w:bidi="ar-SA"/>
        </w:rPr>
        <w:t>, resp. stát</w:t>
      </w:r>
      <w:r w:rsidRPr="00ED38E9">
        <w:rPr>
          <w:rFonts w:eastAsia="Calibri" w:cs="Arial"/>
          <w:noProof w:val="0"/>
          <w:szCs w:val="22"/>
          <w:lang w:bidi="ar-SA"/>
        </w:rPr>
        <w:t>), je Varianta 2 rozebrána jenom z pohledu možných přínosů a nákladů pro dotčené subjekty na bázi kvalitativních přínosů a nákladů, nikoliv kvantitativních.</w:t>
      </w:r>
    </w:p>
    <w:p w:rsidR="00DA6DDC" w14:paraId="7AE5AB0D" w14:textId="57E00F4D">
      <w:pPr>
        <w:rPr>
          <w:rFonts w:eastAsia="Calibri" w:cs="Arial"/>
          <w:noProof w:val="0"/>
          <w:szCs w:val="22"/>
          <w:lang w:bidi="ar-SA"/>
        </w:rPr>
      </w:pPr>
      <w:r>
        <w:rPr>
          <w:rFonts w:eastAsia="Calibri" w:cs="Arial"/>
          <w:noProof w:val="0"/>
          <w:szCs w:val="22"/>
          <w:lang w:bidi="ar-S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01FAD181" w14:textId="77777777" w:rsidTr="00DA6DDC">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8954" w:type="dxa"/>
            <w:shd w:val="clear" w:color="auto" w:fill="auto"/>
            <w:vAlign w:val="center"/>
          </w:tcPr>
          <w:p w:rsidR="006631D1" w:rsidRPr="00ED38E9" w:rsidP="00434A7D" w14:paraId="3B5333E6"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40F4A1EC" w14:textId="77777777" w:rsidTr="00DA6DDC">
        <w:tblPrEx>
          <w:tblW w:w="0" w:type="auto"/>
          <w:tblInd w:w="108" w:type="dxa"/>
          <w:tblLook w:val="00A0"/>
        </w:tblPrEx>
        <w:trPr>
          <w:trHeight w:val="397"/>
        </w:trPr>
        <w:tc>
          <w:tcPr>
            <w:tcW w:w="8954" w:type="dxa"/>
            <w:shd w:val="clear" w:color="auto" w:fill="auto"/>
            <w:vAlign w:val="center"/>
          </w:tcPr>
          <w:p w:rsidR="006631D1" w:rsidRPr="00ED38E9" w:rsidP="00434A7D" w14:paraId="0E43F844"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Centrální zajištění propagace a osvěty </w:t>
            </w:r>
          </w:p>
          <w:p w:rsidR="006631D1" w:rsidRPr="00ED38E9" w:rsidP="00DA6DDC" w14:paraId="6097F73C" w14:textId="0A76C623">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investic do propagace a osvěty. Další náklady (zejména personální) by představovalo centrální zajištění, v případě že by se osvětová a</w:t>
            </w:r>
            <w:r w:rsidR="00DA6DDC">
              <w:rPr>
                <w:rFonts w:eastAsia="MS Mincho" w:cs="Arial"/>
                <w:noProof w:val="0"/>
                <w:sz w:val="20"/>
                <w:szCs w:val="20"/>
                <w:lang w:bidi="ar-SA"/>
              </w:rPr>
              <w:t> </w:t>
            </w:r>
            <w:r w:rsidRPr="00ED38E9">
              <w:rPr>
                <w:rFonts w:eastAsia="MS Mincho" w:cs="Arial"/>
                <w:noProof w:val="0"/>
                <w:sz w:val="20"/>
                <w:szCs w:val="20"/>
                <w:lang w:bidi="ar-SA"/>
              </w:rPr>
              <w:t>propagační činnost centralizovala pod státní správu (MŽP)</w:t>
            </w:r>
          </w:p>
        </w:tc>
      </w:tr>
      <w:tr w14:paraId="5CD7678C" w14:textId="77777777" w:rsidTr="00DA6DDC">
        <w:tblPrEx>
          <w:tblW w:w="0" w:type="auto"/>
          <w:tblInd w:w="108" w:type="dxa"/>
          <w:tblLook w:val="00A0"/>
        </w:tblPrEx>
        <w:trPr>
          <w:trHeight w:val="397"/>
        </w:trPr>
        <w:tc>
          <w:tcPr>
            <w:tcW w:w="8954" w:type="dxa"/>
            <w:shd w:val="clear" w:color="auto" w:fill="auto"/>
            <w:vAlign w:val="center"/>
          </w:tcPr>
          <w:p w:rsidR="006631D1" w:rsidRPr="00ED38E9" w:rsidP="00434A7D" w14:paraId="03F4AE82"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14:paraId="450B3A0C" w14:textId="77777777" w:rsidTr="00DA6DDC">
        <w:tblPrEx>
          <w:tblW w:w="0" w:type="auto"/>
          <w:tblInd w:w="108" w:type="dxa"/>
          <w:tblLook w:val="00A0"/>
        </w:tblPrEx>
        <w:trPr>
          <w:trHeight w:val="397"/>
        </w:trPr>
        <w:tc>
          <w:tcPr>
            <w:tcW w:w="8954" w:type="dxa"/>
            <w:shd w:val="clear" w:color="auto" w:fill="auto"/>
            <w:vAlign w:val="center"/>
          </w:tcPr>
          <w:p w:rsidR="006631D1" w:rsidRPr="00ED38E9" w:rsidP="00DA6DDC" w14:paraId="4EAC5A26" w14:textId="5D35248A">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rozdílu. N</w:t>
            </w:r>
            <w:r w:rsidR="007C4684">
              <w:rPr>
                <w:rFonts w:eastAsia="MS Mincho" w:cs="Arial"/>
                <w:noProof w:val="0"/>
                <w:sz w:val="20"/>
                <w:szCs w:val="20"/>
                <w:lang w:bidi="ar-SA"/>
              </w:rPr>
              <w:t>emožnost využívat originální pří</w:t>
            </w:r>
            <w:r w:rsidRPr="00ED38E9">
              <w:rPr>
                <w:rFonts w:eastAsia="MS Mincho" w:cs="Arial"/>
                <w:noProof w:val="0"/>
                <w:sz w:val="20"/>
                <w:szCs w:val="20"/>
                <w:lang w:bidi="ar-SA"/>
              </w:rPr>
              <w:t>stup k osvětě a</w:t>
            </w:r>
            <w:r w:rsidR="00DA6DDC">
              <w:rPr>
                <w:rFonts w:eastAsia="MS Mincho" w:cs="Arial"/>
                <w:noProof w:val="0"/>
                <w:sz w:val="20"/>
                <w:szCs w:val="20"/>
                <w:lang w:bidi="ar-SA"/>
              </w:rPr>
              <w:t> </w:t>
            </w:r>
            <w:r w:rsidRPr="00ED38E9">
              <w:rPr>
                <w:rFonts w:eastAsia="MS Mincho" w:cs="Arial"/>
                <w:noProof w:val="0"/>
                <w:sz w:val="20"/>
                <w:szCs w:val="20"/>
                <w:lang w:bidi="ar-SA"/>
              </w:rPr>
              <w:t>propagaci a nutnost v případě neplnění cílů sběru využít významněji jiné možnosti stimulace sběru (platby za odevzdání elektrozařízení), což může prodražovat celý systém zpětného odběru. Další náklady (zejména personální) by představovalo centrální zajištění, v případě že by se osvětová a</w:t>
            </w:r>
            <w:r w:rsidR="00DA6DDC">
              <w:rPr>
                <w:rFonts w:eastAsia="MS Mincho" w:cs="Arial"/>
                <w:noProof w:val="0"/>
                <w:sz w:val="20"/>
                <w:szCs w:val="20"/>
                <w:lang w:bidi="ar-SA"/>
              </w:rPr>
              <w:t> </w:t>
            </w:r>
            <w:r w:rsidRPr="00ED38E9">
              <w:rPr>
                <w:rFonts w:eastAsia="MS Mincho" w:cs="Arial"/>
                <w:noProof w:val="0"/>
                <w:sz w:val="20"/>
                <w:szCs w:val="20"/>
                <w:lang w:bidi="ar-SA"/>
              </w:rPr>
              <w:t>propagační činnost centralizovala pod KS</w:t>
            </w:r>
          </w:p>
        </w:tc>
      </w:tr>
      <w:tr w14:paraId="6211E9AC" w14:textId="77777777" w:rsidTr="00DA6DDC">
        <w:tblPrEx>
          <w:tblW w:w="0" w:type="auto"/>
          <w:tblInd w:w="108" w:type="dxa"/>
          <w:tblLook w:val="00A0"/>
        </w:tblPrEx>
        <w:trPr>
          <w:trHeight w:val="397"/>
        </w:trPr>
        <w:tc>
          <w:tcPr>
            <w:tcW w:w="8954" w:type="dxa"/>
            <w:shd w:val="clear" w:color="auto" w:fill="auto"/>
            <w:vAlign w:val="center"/>
          </w:tcPr>
          <w:p w:rsidR="006631D1" w:rsidRPr="00ED38E9" w:rsidP="00434A7D" w14:paraId="5ABEBAD2"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4202A740" w14:textId="77777777" w:rsidTr="00DA6DDC">
        <w:tblPrEx>
          <w:tblW w:w="0" w:type="auto"/>
          <w:tblInd w:w="108" w:type="dxa"/>
          <w:tblLook w:val="00A0"/>
        </w:tblPrEx>
        <w:trPr>
          <w:trHeight w:val="397"/>
        </w:trPr>
        <w:tc>
          <w:tcPr>
            <w:tcW w:w="8954" w:type="dxa"/>
            <w:shd w:val="clear" w:color="auto" w:fill="auto"/>
            <w:vAlign w:val="center"/>
          </w:tcPr>
          <w:p w:rsidR="006631D1" w:rsidRPr="00ED38E9" w:rsidP="00DA6DDC" w14:paraId="643E4E17" w14:textId="360DD8C3">
            <w:pPr>
              <w:keepNext/>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w:t>
            </w:r>
            <w:r w:rsidR="00DA6DDC">
              <w:rPr>
                <w:rFonts w:eastAsia="MS Mincho" w:cs="Arial"/>
                <w:noProof w:val="0"/>
                <w:sz w:val="20"/>
                <w:szCs w:val="20"/>
                <w:lang w:bidi="ar-SA"/>
              </w:rPr>
              <w:t> </w:t>
            </w:r>
            <w:r w:rsidRPr="00ED38E9">
              <w:rPr>
                <w:rFonts w:eastAsia="MS Mincho" w:cs="Arial"/>
                <w:noProof w:val="0"/>
                <w:sz w:val="20"/>
                <w:szCs w:val="20"/>
                <w:lang w:bidi="ar-SA"/>
              </w:rPr>
              <w:t xml:space="preserve">získávání informací o tom, co s daným </w:t>
            </w:r>
            <w:r w:rsidR="007C4684">
              <w:rPr>
                <w:rFonts w:eastAsia="MS Mincho" w:cs="Arial"/>
                <w:noProof w:val="0"/>
                <w:sz w:val="20"/>
                <w:szCs w:val="20"/>
                <w:lang w:bidi="ar-SA"/>
              </w:rPr>
              <w:t>VUŽ</w:t>
            </w:r>
            <w:r w:rsidRPr="00ED38E9">
              <w:rPr>
                <w:rFonts w:eastAsia="MS Mincho" w:cs="Arial"/>
                <w:noProof w:val="0"/>
                <w:sz w:val="20"/>
                <w:szCs w:val="20"/>
                <w:lang w:bidi="ar-SA"/>
              </w:rPr>
              <w:t xml:space="preserve"> udělat)</w:t>
            </w:r>
          </w:p>
          <w:p w:rsidR="006631D1" w:rsidRPr="00ED38E9" w:rsidP="00DA6DDC" w14:paraId="4546A3B1"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nemožnosti stimulovat sběr přímo přes propagaci a osvětu a nutnosti využít jiné stimuly (platba za odevzdané elektrozařízení)</w:t>
            </w:r>
          </w:p>
        </w:tc>
      </w:tr>
    </w:tbl>
    <w:p w:rsidR="004114EA" w14:paraId="178044AD" w14:textId="59D46D4B">
      <w:pPr>
        <w:rPr>
          <w:rFonts w:eastAsia="Calibri" w:cs="Arial"/>
          <w:b/>
          <w:bCs/>
          <w:lang w:bidi="ar-SA"/>
        </w:rPr>
      </w:pPr>
    </w:p>
    <w:p w:rsidR="006631D1" w:rsidRPr="00ED38E9" w:rsidP="00BF16B7" w14:paraId="2871BAA2" w14:textId="35F51DAD">
      <w:pPr>
        <w:pStyle w:val="Heading3"/>
      </w:pPr>
      <w:r w:rsidRPr="00ED38E9">
        <w:t>Vyhodnocení nákladů a přínosů variant</w:t>
      </w:r>
    </w:p>
    <w:p w:rsidR="006631D1" w:rsidP="006631D1" w14:paraId="2E11AAE6" w14:textId="603F5D6F">
      <w:pPr>
        <w:pStyle w:val="Caption"/>
        <w:spacing w:before="0"/>
        <w:contextualSpacing w:val="0"/>
      </w:pPr>
      <w:r>
        <w:t>Tabulka 5</w:t>
      </w:r>
      <w:r>
        <w:t>: Souhrn nákladů a přínosů</w:t>
      </w:r>
    </w:p>
    <w:tbl>
      <w:tblPr>
        <w:tblStyle w:val="Mkatabulky1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3323"/>
        <w:gridCol w:w="3324"/>
      </w:tblGrid>
      <w:tr w14:paraId="70F7C9B2" w14:textId="77777777" w:rsidTr="00434A7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2419" w:type="dxa"/>
            <w:shd w:val="clear" w:color="auto" w:fill="auto"/>
            <w:vAlign w:val="center"/>
          </w:tcPr>
          <w:p w:rsidR="006631D1" w:rsidRPr="00BA6FEA" w:rsidP="00434A7D" w14:paraId="76D60F6B" w14:textId="77777777">
            <w:pPr>
              <w:spacing w:line="264" w:lineRule="auto"/>
              <w:jc w:val="center"/>
              <w:rPr>
                <w:rFonts w:cs="Arial"/>
                <w:b/>
                <w:noProof w:val="0"/>
                <w:sz w:val="20"/>
                <w:szCs w:val="20"/>
                <w:lang w:bidi="ar-SA"/>
              </w:rPr>
            </w:pPr>
          </w:p>
        </w:tc>
        <w:tc>
          <w:tcPr>
            <w:tcW w:w="3326" w:type="dxa"/>
            <w:shd w:val="clear" w:color="auto" w:fill="auto"/>
            <w:vAlign w:val="center"/>
          </w:tcPr>
          <w:p w:rsidR="006631D1" w:rsidRPr="00BA6FEA" w:rsidP="00434A7D" w14:paraId="0D1A8239" w14:textId="77777777">
            <w:pPr>
              <w:spacing w:line="264" w:lineRule="auto"/>
              <w:rPr>
                <w:rFonts w:cs="Arial"/>
                <w:b/>
                <w:noProof w:val="0"/>
                <w:sz w:val="20"/>
                <w:szCs w:val="20"/>
                <w:lang w:bidi="ar-SA"/>
              </w:rPr>
            </w:pPr>
            <w:r w:rsidRPr="00BA6FEA">
              <w:rPr>
                <w:rFonts w:cs="Arial"/>
                <w:b/>
                <w:noProof w:val="0"/>
                <w:sz w:val="20"/>
                <w:szCs w:val="20"/>
                <w:lang w:bidi="ar-SA"/>
              </w:rPr>
              <w:t>Náklady</w:t>
            </w:r>
          </w:p>
        </w:tc>
        <w:tc>
          <w:tcPr>
            <w:tcW w:w="3327" w:type="dxa"/>
            <w:shd w:val="clear" w:color="auto" w:fill="auto"/>
            <w:vAlign w:val="center"/>
          </w:tcPr>
          <w:p w:rsidR="006631D1" w:rsidRPr="00BA6FEA" w:rsidP="00434A7D" w14:paraId="4D026C0B" w14:textId="77777777">
            <w:pPr>
              <w:spacing w:line="264" w:lineRule="auto"/>
              <w:rPr>
                <w:rFonts w:cs="Arial"/>
                <w:b/>
                <w:noProof w:val="0"/>
                <w:sz w:val="20"/>
                <w:szCs w:val="20"/>
                <w:lang w:bidi="ar-SA"/>
              </w:rPr>
            </w:pPr>
            <w:r w:rsidRPr="00BA6FEA">
              <w:rPr>
                <w:rFonts w:cs="Arial"/>
                <w:b/>
                <w:noProof w:val="0"/>
                <w:sz w:val="20"/>
                <w:szCs w:val="20"/>
                <w:lang w:bidi="ar-SA"/>
              </w:rPr>
              <w:t>Přínosy</w:t>
            </w:r>
          </w:p>
        </w:tc>
      </w:tr>
    </w:tbl>
    <w:tbl>
      <w:tblPr>
        <w:tblStyle w:val="Mkatabulky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16"/>
        <w:gridCol w:w="3323"/>
        <w:gridCol w:w="3323"/>
      </w:tblGrid>
      <w:tr w14:paraId="71908BBE" w14:textId="77777777" w:rsidTr="00434A7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Ex>
        <w:trPr>
          <w:trHeight w:val="64"/>
          <w:jc w:val="center"/>
        </w:trPr>
        <w:tc>
          <w:tcPr>
            <w:tcW w:w="9072" w:type="dxa"/>
            <w:gridSpan w:val="3"/>
            <w:shd w:val="clear" w:color="auto" w:fill="FFFFFF" w:themeFill="background1"/>
            <w:vAlign w:val="center"/>
          </w:tcPr>
          <w:p w:rsidR="006631D1" w:rsidRPr="00BA6FEA" w:rsidP="00434A7D" w14:paraId="6D019A7C" w14:textId="77777777">
            <w:pPr>
              <w:spacing w:after="120"/>
              <w:rPr>
                <w:rFonts w:cs="Arial"/>
                <w:b/>
                <w:noProof w:val="0"/>
                <w:sz w:val="20"/>
                <w:szCs w:val="20"/>
                <w:lang w:bidi="ar-SA"/>
              </w:rPr>
            </w:pPr>
            <w:r w:rsidRPr="00BA6FEA">
              <w:rPr>
                <w:rFonts w:cs="Arial"/>
                <w:b/>
                <w:sz w:val="20"/>
                <w:szCs w:val="20"/>
                <w:lang w:bidi="ar-SA"/>
              </w:rPr>
              <w:t>Propagační a osvětová činnost</w:t>
            </w:r>
          </w:p>
        </w:tc>
      </w:tr>
      <w:tr w14:paraId="0502AE2F" w14:textId="77777777" w:rsidTr="00434A7D">
        <w:tblPrEx>
          <w:tblW w:w="0" w:type="auto"/>
          <w:jc w:val="center"/>
          <w:shd w:val="clear" w:color="auto" w:fill="FFFFFF" w:themeFill="background1"/>
          <w:tblLook w:val="04A0"/>
        </w:tblPrEx>
        <w:trPr>
          <w:trHeight w:val="64"/>
          <w:jc w:val="center"/>
        </w:trPr>
        <w:tc>
          <w:tcPr>
            <w:tcW w:w="2419" w:type="dxa"/>
            <w:shd w:val="clear" w:color="auto" w:fill="FFFFFF" w:themeFill="background1"/>
            <w:vAlign w:val="center"/>
          </w:tcPr>
          <w:p w:rsidR="006631D1" w:rsidRPr="00BA6FEA" w:rsidP="00434A7D" w14:paraId="514DEC3D" w14:textId="77777777">
            <w:pPr>
              <w:spacing w:before="60" w:line="240" w:lineRule="auto"/>
              <w:jc w:val="left"/>
              <w:rPr>
                <w:rFonts w:cs="Arial"/>
                <w:sz w:val="20"/>
                <w:szCs w:val="20"/>
                <w:lang w:bidi="ar-SA"/>
              </w:rPr>
            </w:pPr>
            <w:r w:rsidRPr="00BA6FEA">
              <w:rPr>
                <w:rFonts w:cs="Arial"/>
                <w:noProof w:val="0"/>
                <w:sz w:val="20"/>
                <w:szCs w:val="20"/>
                <w:lang w:bidi="ar-SA"/>
              </w:rPr>
              <w:t>Varianta 0</w:t>
            </w:r>
          </w:p>
        </w:tc>
        <w:tc>
          <w:tcPr>
            <w:tcW w:w="3326" w:type="dxa"/>
            <w:shd w:val="clear" w:color="auto" w:fill="FFFFFF" w:themeFill="background1"/>
            <w:vAlign w:val="center"/>
          </w:tcPr>
          <w:p w:rsidR="006631D1" w:rsidRPr="00BA6FEA" w:rsidP="00434A7D" w14:paraId="356CAF83" w14:textId="77777777">
            <w:pPr>
              <w:spacing w:before="60" w:line="240" w:lineRule="auto"/>
              <w:jc w:val="left"/>
              <w:rPr>
                <w:rFonts w:cs="Arial"/>
                <w:noProof w:val="0"/>
                <w:sz w:val="20"/>
                <w:szCs w:val="20"/>
                <w:lang w:bidi="ar-SA"/>
              </w:rPr>
            </w:pPr>
            <w:r w:rsidRPr="00BA6FEA">
              <w:rPr>
                <w:rFonts w:cs="Arial"/>
                <w:noProof w:val="0"/>
                <w:sz w:val="20"/>
                <w:szCs w:val="20"/>
                <w:lang w:bidi="ar-SA"/>
              </w:rPr>
              <w:t>nulová varianta</w:t>
            </w:r>
          </w:p>
        </w:tc>
        <w:tc>
          <w:tcPr>
            <w:tcW w:w="3327" w:type="dxa"/>
            <w:shd w:val="clear" w:color="auto" w:fill="FFFFFF" w:themeFill="background1"/>
            <w:vAlign w:val="center"/>
          </w:tcPr>
          <w:p w:rsidR="006631D1" w:rsidRPr="00BA6FEA" w:rsidP="00434A7D" w14:paraId="2595F5C8" w14:textId="77777777">
            <w:pPr>
              <w:spacing w:before="60" w:line="240" w:lineRule="auto"/>
              <w:jc w:val="left"/>
              <w:rPr>
                <w:rFonts w:cs="Arial"/>
                <w:noProof w:val="0"/>
                <w:sz w:val="20"/>
                <w:szCs w:val="20"/>
                <w:lang w:bidi="ar-SA"/>
              </w:rPr>
            </w:pPr>
            <w:r w:rsidRPr="00BA6FEA">
              <w:rPr>
                <w:rFonts w:cs="Arial"/>
                <w:noProof w:val="0"/>
                <w:sz w:val="20"/>
                <w:szCs w:val="20"/>
                <w:lang w:bidi="ar-SA"/>
              </w:rPr>
              <w:t>nulová varianta</w:t>
            </w:r>
          </w:p>
        </w:tc>
      </w:tr>
      <w:tr w14:paraId="1B90F29A" w14:textId="77777777" w:rsidTr="00434A7D">
        <w:tblPrEx>
          <w:tblW w:w="0" w:type="auto"/>
          <w:jc w:val="center"/>
          <w:shd w:val="clear" w:color="auto" w:fill="FFFFFF" w:themeFill="background1"/>
          <w:tblLook w:val="04A0"/>
        </w:tblPrEx>
        <w:trPr>
          <w:trHeight w:val="951"/>
          <w:jc w:val="center"/>
        </w:trPr>
        <w:tc>
          <w:tcPr>
            <w:tcW w:w="2419" w:type="dxa"/>
            <w:shd w:val="clear" w:color="auto" w:fill="FFFFFF" w:themeFill="background1"/>
            <w:vAlign w:val="center"/>
          </w:tcPr>
          <w:p w:rsidR="006631D1" w:rsidRPr="00BA6FEA" w:rsidP="00434A7D" w14:paraId="52E10136" w14:textId="77777777">
            <w:pPr>
              <w:spacing w:before="60" w:line="240" w:lineRule="auto"/>
              <w:jc w:val="left"/>
              <w:rPr>
                <w:rFonts w:cs="Arial"/>
                <w:b/>
                <w:noProof w:val="0"/>
                <w:sz w:val="20"/>
                <w:szCs w:val="20"/>
                <w:u w:val="single"/>
                <w:lang w:bidi="ar-SA"/>
              </w:rPr>
            </w:pPr>
            <w:r w:rsidRPr="00BA6FEA">
              <w:rPr>
                <w:rFonts w:cs="Arial"/>
                <w:b/>
                <w:noProof w:val="0"/>
                <w:sz w:val="20"/>
                <w:szCs w:val="20"/>
                <w:u w:val="single"/>
                <w:lang w:bidi="ar-SA"/>
              </w:rPr>
              <w:t>Varianta 1a</w:t>
            </w:r>
          </w:p>
        </w:tc>
        <w:tc>
          <w:tcPr>
            <w:tcW w:w="3326" w:type="dxa"/>
            <w:shd w:val="clear" w:color="auto" w:fill="FFFFFF" w:themeFill="background1"/>
            <w:vAlign w:val="center"/>
          </w:tcPr>
          <w:p w:rsidR="006631D1" w:rsidRPr="00BA6FEA" w:rsidP="00434A7D" w14:paraId="1CF8610A" w14:textId="6F76B69C">
            <w:pPr>
              <w:spacing w:before="60" w:line="240" w:lineRule="auto"/>
              <w:jc w:val="left"/>
              <w:rPr>
                <w:rFonts w:cs="Arial"/>
                <w:noProof w:val="0"/>
                <w:sz w:val="20"/>
                <w:szCs w:val="20"/>
                <w:lang w:bidi="ar-SA"/>
              </w:rPr>
            </w:pPr>
            <w:r w:rsidRPr="00BA6FEA">
              <w:rPr>
                <w:rFonts w:cs="Arial"/>
                <w:noProof w:val="0"/>
                <w:sz w:val="20"/>
                <w:szCs w:val="20"/>
                <w:lang w:bidi="ar-SA"/>
              </w:rPr>
              <w:t>V případě současných investic do</w:t>
            </w:r>
            <w:r w:rsidR="004114EA">
              <w:rPr>
                <w:rFonts w:cs="Arial"/>
                <w:noProof w:val="0"/>
                <w:sz w:val="20"/>
                <w:szCs w:val="20"/>
                <w:lang w:bidi="ar-SA"/>
              </w:rPr>
              <w:t> </w:t>
            </w:r>
            <w:r w:rsidRPr="00BA6FEA">
              <w:rPr>
                <w:rFonts w:cs="Arial"/>
                <w:noProof w:val="0"/>
                <w:sz w:val="20"/>
                <w:szCs w:val="20"/>
                <w:lang w:bidi="ar-SA"/>
              </w:rPr>
              <w:t>osvěty a propagace nesplňujících minimální požadavky dodatečné náklady ve výši zajištění plnění minimálních požadavků.</w:t>
            </w:r>
          </w:p>
          <w:p w:rsidR="006631D1" w:rsidRPr="00BA6FEA" w:rsidP="00434A7D" w14:paraId="7FAF9019" w14:textId="717D9463">
            <w:pPr>
              <w:spacing w:before="60" w:line="240" w:lineRule="auto"/>
              <w:jc w:val="left"/>
              <w:rPr>
                <w:rFonts w:cs="Arial"/>
                <w:noProof w:val="0"/>
                <w:sz w:val="20"/>
                <w:szCs w:val="20"/>
                <w:lang w:bidi="ar-SA"/>
              </w:rPr>
            </w:pPr>
            <w:r w:rsidRPr="00BA6FEA">
              <w:rPr>
                <w:rFonts w:cs="Arial"/>
                <w:noProof w:val="0"/>
                <w:sz w:val="20"/>
                <w:szCs w:val="20"/>
                <w:lang w:bidi="ar-SA"/>
              </w:rPr>
              <w:t>Potřeba kontroly KS ohledně dodržování minimálních požadavků na osvětu a propagaci</w:t>
            </w:r>
            <w:r w:rsidR="007C4684">
              <w:rPr>
                <w:rFonts w:cs="Arial"/>
                <w:noProof w:val="0"/>
                <w:sz w:val="20"/>
                <w:szCs w:val="20"/>
                <w:lang w:bidi="ar-SA"/>
              </w:rPr>
              <w:t>.</w:t>
            </w:r>
          </w:p>
        </w:tc>
        <w:tc>
          <w:tcPr>
            <w:tcW w:w="3327" w:type="dxa"/>
            <w:shd w:val="clear" w:color="auto" w:fill="FFFFFF" w:themeFill="background1"/>
            <w:vAlign w:val="center"/>
          </w:tcPr>
          <w:p w:rsidR="006631D1" w:rsidRPr="00BA6FEA" w:rsidP="00434A7D" w14:paraId="0D381CA0" w14:textId="0CBB1374">
            <w:pPr>
              <w:spacing w:before="60" w:line="240" w:lineRule="auto"/>
              <w:jc w:val="left"/>
              <w:rPr>
                <w:rFonts w:cs="Arial"/>
                <w:i/>
                <w:noProof w:val="0"/>
                <w:sz w:val="20"/>
                <w:szCs w:val="20"/>
                <w:lang w:bidi="ar-SA"/>
              </w:rPr>
            </w:pPr>
            <w:r>
              <w:rPr>
                <w:rFonts w:cs="Arial"/>
                <w:noProof w:val="0"/>
                <w:sz w:val="20"/>
                <w:szCs w:val="20"/>
                <w:lang w:bidi="ar-SA"/>
              </w:rPr>
              <w:t>Z</w:t>
            </w:r>
            <w:r w:rsidRPr="00BA6FEA">
              <w:rPr>
                <w:rFonts w:cs="Arial"/>
                <w:noProof w:val="0"/>
                <w:sz w:val="20"/>
                <w:szCs w:val="20"/>
                <w:lang w:bidi="ar-SA"/>
              </w:rPr>
              <w:t>ajištění minimálních požadavků na</w:t>
            </w:r>
            <w:r w:rsidR="004114EA">
              <w:rPr>
                <w:rFonts w:cs="Arial"/>
                <w:noProof w:val="0"/>
                <w:sz w:val="20"/>
                <w:szCs w:val="20"/>
                <w:lang w:bidi="ar-SA"/>
              </w:rPr>
              <w:t> </w:t>
            </w:r>
            <w:r w:rsidRPr="00BA6FEA">
              <w:rPr>
                <w:rFonts w:cs="Arial"/>
                <w:noProof w:val="0"/>
                <w:sz w:val="20"/>
                <w:szCs w:val="20"/>
                <w:lang w:bidi="ar-SA"/>
              </w:rPr>
              <w:t>osvětu a propagaci sníží riziko existence  černého pasažéra v oblasti obecné osvěty a může mít pozitivní dopad na výši úrovně sběru.</w:t>
            </w:r>
            <w:r w:rsidRPr="00BA6FEA">
              <w:rPr>
                <w:rFonts w:cs="Arial"/>
                <w:i/>
                <w:noProof w:val="0"/>
                <w:sz w:val="20"/>
                <w:szCs w:val="20"/>
                <w:lang w:bidi="ar-SA"/>
              </w:rPr>
              <w:t xml:space="preserve"> </w:t>
            </w:r>
          </w:p>
          <w:p w:rsidR="006631D1" w:rsidRPr="00BA6FEA" w:rsidP="00434A7D" w14:paraId="3CAEDE3F" w14:textId="77777777">
            <w:pPr>
              <w:spacing w:before="60" w:line="240" w:lineRule="auto"/>
              <w:jc w:val="left"/>
              <w:rPr>
                <w:rFonts w:cs="Arial"/>
                <w:noProof w:val="0"/>
                <w:sz w:val="20"/>
                <w:szCs w:val="20"/>
                <w:lang w:bidi="ar-SA"/>
              </w:rPr>
            </w:pPr>
          </w:p>
        </w:tc>
      </w:tr>
      <w:tr w14:paraId="3DBED1BB" w14:textId="77777777" w:rsidTr="00434A7D">
        <w:tblPrEx>
          <w:tblW w:w="0" w:type="auto"/>
          <w:jc w:val="center"/>
          <w:shd w:val="clear" w:color="auto" w:fill="FFFFFF" w:themeFill="background1"/>
          <w:tblLook w:val="04A0"/>
        </w:tblPrEx>
        <w:trPr>
          <w:trHeight w:val="1132"/>
          <w:jc w:val="center"/>
        </w:trPr>
        <w:tc>
          <w:tcPr>
            <w:tcW w:w="2419" w:type="dxa"/>
            <w:shd w:val="clear" w:color="auto" w:fill="FFFFFF" w:themeFill="background1"/>
            <w:vAlign w:val="center"/>
          </w:tcPr>
          <w:p w:rsidR="006631D1" w:rsidRPr="00BA6FEA" w:rsidP="00434A7D" w14:paraId="22B7BE03" w14:textId="77777777">
            <w:pPr>
              <w:spacing w:before="60" w:line="240" w:lineRule="auto"/>
              <w:jc w:val="left"/>
              <w:rPr>
                <w:rFonts w:cs="Arial"/>
                <w:noProof w:val="0"/>
                <w:sz w:val="20"/>
                <w:szCs w:val="20"/>
                <w:lang w:bidi="ar-SA"/>
              </w:rPr>
            </w:pPr>
            <w:r w:rsidRPr="00BA6FEA">
              <w:rPr>
                <w:rFonts w:cs="Arial"/>
                <w:noProof w:val="0"/>
                <w:sz w:val="20"/>
                <w:szCs w:val="20"/>
                <w:lang w:bidi="ar-SA"/>
              </w:rPr>
              <w:t>Varianta 1b</w:t>
            </w:r>
          </w:p>
        </w:tc>
        <w:tc>
          <w:tcPr>
            <w:tcW w:w="3326" w:type="dxa"/>
            <w:shd w:val="clear" w:color="auto" w:fill="FFFFFF" w:themeFill="background1"/>
            <w:vAlign w:val="center"/>
          </w:tcPr>
          <w:p w:rsidR="006631D1" w:rsidRPr="00BA6FEA" w:rsidP="004114EA" w14:paraId="7E01382D" w14:textId="79957A4A">
            <w:pPr>
              <w:spacing w:before="60" w:line="240" w:lineRule="auto"/>
              <w:jc w:val="left"/>
              <w:rPr>
                <w:rFonts w:cs="Arial"/>
                <w:noProof w:val="0"/>
                <w:sz w:val="20"/>
                <w:szCs w:val="20"/>
                <w:lang w:bidi="ar-SA"/>
              </w:rPr>
            </w:pPr>
            <w:r w:rsidRPr="00BA6FEA">
              <w:rPr>
                <w:rFonts w:cs="Arial"/>
                <w:noProof w:val="0"/>
                <w:sz w:val="20"/>
                <w:szCs w:val="20"/>
                <w:lang w:bidi="ar-SA"/>
              </w:rPr>
              <w:t>V případě současných investic do</w:t>
            </w:r>
            <w:r w:rsidR="004114EA">
              <w:rPr>
                <w:rFonts w:cs="Arial"/>
                <w:noProof w:val="0"/>
                <w:sz w:val="20"/>
                <w:szCs w:val="20"/>
                <w:lang w:bidi="ar-SA"/>
              </w:rPr>
              <w:t> </w:t>
            </w:r>
            <w:r w:rsidRPr="00BA6FEA">
              <w:rPr>
                <w:rFonts w:cs="Arial"/>
                <w:noProof w:val="0"/>
                <w:sz w:val="20"/>
                <w:szCs w:val="20"/>
                <w:lang w:bidi="ar-SA"/>
              </w:rPr>
              <w:t>osvěty a propagace nesplňujících minimální požadavky dodatečné náklady ve výši zajištění plnění minimálních požadavků. Potřeba kontroly KS ohledně dodržování minimálních požadavků na osvětu a</w:t>
            </w:r>
            <w:r w:rsidR="004114EA">
              <w:rPr>
                <w:rFonts w:cs="Arial"/>
                <w:noProof w:val="0"/>
                <w:sz w:val="20"/>
                <w:szCs w:val="20"/>
                <w:lang w:bidi="ar-SA"/>
              </w:rPr>
              <w:t> </w:t>
            </w:r>
            <w:r w:rsidRPr="00BA6FEA">
              <w:rPr>
                <w:rFonts w:cs="Arial"/>
                <w:noProof w:val="0"/>
                <w:sz w:val="20"/>
                <w:szCs w:val="20"/>
                <w:lang w:bidi="ar-SA"/>
              </w:rPr>
              <w:t>propagaci.</w:t>
            </w:r>
          </w:p>
        </w:tc>
        <w:tc>
          <w:tcPr>
            <w:tcW w:w="3327" w:type="dxa"/>
            <w:shd w:val="clear" w:color="auto" w:fill="FFFFFF" w:themeFill="background1"/>
            <w:vAlign w:val="center"/>
          </w:tcPr>
          <w:p w:rsidR="006631D1" w:rsidRPr="00BA6FEA" w:rsidP="00434A7D" w14:paraId="0FD5144E" w14:textId="34F68CA0">
            <w:pPr>
              <w:spacing w:before="60" w:line="240" w:lineRule="auto"/>
              <w:jc w:val="left"/>
              <w:rPr>
                <w:rFonts w:cs="Arial"/>
                <w:i/>
                <w:noProof w:val="0"/>
                <w:sz w:val="20"/>
                <w:szCs w:val="20"/>
                <w:lang w:bidi="ar-SA"/>
              </w:rPr>
            </w:pPr>
            <w:r>
              <w:rPr>
                <w:rFonts w:cs="Arial"/>
                <w:noProof w:val="0"/>
                <w:sz w:val="20"/>
                <w:szCs w:val="20"/>
                <w:lang w:bidi="ar-SA"/>
              </w:rPr>
              <w:t>Z</w:t>
            </w:r>
            <w:r w:rsidRPr="00BA6FEA">
              <w:rPr>
                <w:rFonts w:cs="Arial"/>
                <w:noProof w:val="0"/>
                <w:sz w:val="20"/>
                <w:szCs w:val="20"/>
                <w:lang w:bidi="ar-SA"/>
              </w:rPr>
              <w:t>ajištění minimálních požadavků na</w:t>
            </w:r>
            <w:r w:rsidR="004114EA">
              <w:rPr>
                <w:rFonts w:cs="Arial"/>
                <w:noProof w:val="0"/>
                <w:sz w:val="20"/>
                <w:szCs w:val="20"/>
                <w:lang w:bidi="ar-SA"/>
              </w:rPr>
              <w:t> </w:t>
            </w:r>
            <w:r w:rsidRPr="00BA6FEA">
              <w:rPr>
                <w:rFonts w:cs="Arial"/>
                <w:noProof w:val="0"/>
                <w:sz w:val="20"/>
                <w:szCs w:val="20"/>
                <w:lang w:bidi="ar-SA"/>
              </w:rPr>
              <w:t>osvětu a propagaci sníží riziko černého pasažéra v oblasti obecné osvěty a může mít pozitivní dopad na</w:t>
            </w:r>
            <w:r w:rsidR="004114EA">
              <w:rPr>
                <w:rFonts w:cs="Arial"/>
                <w:noProof w:val="0"/>
                <w:sz w:val="20"/>
                <w:szCs w:val="20"/>
                <w:lang w:bidi="ar-SA"/>
              </w:rPr>
              <w:t> </w:t>
            </w:r>
            <w:r w:rsidRPr="00BA6FEA">
              <w:rPr>
                <w:rFonts w:cs="Arial"/>
                <w:noProof w:val="0"/>
                <w:sz w:val="20"/>
                <w:szCs w:val="20"/>
                <w:lang w:bidi="ar-SA"/>
              </w:rPr>
              <w:t>výši úrovně sběru.</w:t>
            </w:r>
            <w:r w:rsidRPr="00BA6FEA">
              <w:rPr>
                <w:rFonts w:cs="Arial"/>
                <w:i/>
                <w:noProof w:val="0"/>
                <w:sz w:val="20"/>
                <w:szCs w:val="20"/>
                <w:lang w:bidi="ar-SA"/>
              </w:rPr>
              <w:t xml:space="preserve"> </w:t>
            </w:r>
          </w:p>
          <w:p w:rsidR="006631D1" w:rsidRPr="00BA6FEA" w:rsidP="00434A7D" w14:paraId="7C78B4D9" w14:textId="77777777">
            <w:pPr>
              <w:spacing w:before="60" w:line="240" w:lineRule="auto"/>
              <w:jc w:val="left"/>
              <w:rPr>
                <w:rFonts w:cs="Arial"/>
                <w:noProof w:val="0"/>
                <w:sz w:val="20"/>
                <w:szCs w:val="20"/>
                <w:lang w:bidi="ar-SA"/>
              </w:rPr>
            </w:pPr>
          </w:p>
        </w:tc>
      </w:tr>
      <w:tr w14:paraId="0846AA18" w14:textId="77777777" w:rsidTr="00434A7D">
        <w:tblPrEx>
          <w:tblW w:w="0" w:type="auto"/>
          <w:jc w:val="center"/>
          <w:shd w:val="clear" w:color="auto" w:fill="FFFFFF" w:themeFill="background1"/>
          <w:tblLook w:val="04A0"/>
        </w:tblPrEx>
        <w:trPr>
          <w:trHeight w:val="624"/>
          <w:jc w:val="center"/>
        </w:trPr>
        <w:tc>
          <w:tcPr>
            <w:tcW w:w="2419" w:type="dxa"/>
            <w:shd w:val="clear" w:color="auto" w:fill="FFFFFF" w:themeFill="background1"/>
            <w:vAlign w:val="center"/>
          </w:tcPr>
          <w:p w:rsidR="006631D1" w:rsidRPr="00BA6FEA" w:rsidP="00434A7D" w14:paraId="5C80D829" w14:textId="77777777">
            <w:pPr>
              <w:spacing w:before="60" w:line="240" w:lineRule="auto"/>
              <w:jc w:val="left"/>
              <w:rPr>
                <w:rFonts w:cs="Arial"/>
                <w:noProof w:val="0"/>
                <w:sz w:val="20"/>
                <w:szCs w:val="20"/>
                <w:lang w:bidi="ar-SA"/>
              </w:rPr>
            </w:pPr>
            <w:r w:rsidRPr="00BA6FEA">
              <w:rPr>
                <w:rFonts w:cs="Arial"/>
                <w:noProof w:val="0"/>
                <w:sz w:val="20"/>
                <w:szCs w:val="20"/>
                <w:lang w:bidi="ar-SA"/>
              </w:rPr>
              <w:t>Varianta 1c</w:t>
            </w:r>
          </w:p>
        </w:tc>
        <w:tc>
          <w:tcPr>
            <w:tcW w:w="3326" w:type="dxa"/>
            <w:shd w:val="clear" w:color="auto" w:fill="FFFFFF" w:themeFill="background1"/>
            <w:vAlign w:val="center"/>
          </w:tcPr>
          <w:p w:rsidR="006631D1" w:rsidRPr="00BA6FEA" w:rsidP="00434A7D" w14:paraId="55F185F1" w14:textId="5A1FCB67">
            <w:pPr>
              <w:spacing w:before="60" w:line="240" w:lineRule="auto"/>
              <w:jc w:val="left"/>
              <w:rPr>
                <w:rFonts w:cs="Arial"/>
                <w:noProof w:val="0"/>
                <w:sz w:val="20"/>
                <w:szCs w:val="20"/>
                <w:lang w:bidi="ar-SA"/>
              </w:rPr>
            </w:pPr>
            <w:r w:rsidRPr="00BA6FEA">
              <w:rPr>
                <w:rFonts w:cs="Arial"/>
                <w:noProof w:val="0"/>
                <w:sz w:val="20"/>
                <w:szCs w:val="20"/>
                <w:lang w:bidi="ar-SA"/>
              </w:rPr>
              <w:t>V případě současných investic do</w:t>
            </w:r>
            <w:r w:rsidR="004114EA">
              <w:rPr>
                <w:rFonts w:cs="Arial"/>
                <w:noProof w:val="0"/>
                <w:sz w:val="20"/>
                <w:szCs w:val="20"/>
                <w:lang w:bidi="ar-SA"/>
              </w:rPr>
              <w:t> </w:t>
            </w:r>
            <w:r w:rsidRPr="00BA6FEA">
              <w:rPr>
                <w:rFonts w:cs="Arial"/>
                <w:noProof w:val="0"/>
                <w:sz w:val="20"/>
                <w:szCs w:val="20"/>
                <w:lang w:bidi="ar-SA"/>
              </w:rPr>
              <w:t>osvěty a propagace nesplňujících minimální požadavky dodatečné náklady ve výši zajištění plnění minimálních požadavků.</w:t>
            </w:r>
          </w:p>
          <w:p w:rsidR="006631D1" w:rsidRPr="00BA6FEA" w:rsidP="00C14F33" w14:paraId="2DAC61B8" w14:textId="7EE6F89F">
            <w:pPr>
              <w:spacing w:before="60" w:line="240" w:lineRule="auto"/>
              <w:jc w:val="left"/>
              <w:rPr>
                <w:rFonts w:cs="Arial"/>
                <w:noProof w:val="0"/>
                <w:sz w:val="20"/>
                <w:szCs w:val="20"/>
                <w:lang w:bidi="ar-SA"/>
              </w:rPr>
            </w:pPr>
            <w:r w:rsidRPr="00BA6FEA">
              <w:rPr>
                <w:rFonts w:cs="Arial"/>
                <w:noProof w:val="0"/>
                <w:sz w:val="20"/>
                <w:szCs w:val="20"/>
                <w:lang w:bidi="ar-SA"/>
              </w:rPr>
              <w:t>Potřeba kontroly KS ohledně dodržování minimálních požadavků na osvětu a propagaci. Nemožnost KS využívat osvětu a</w:t>
            </w:r>
            <w:r w:rsidR="00C14F33">
              <w:rPr>
                <w:rFonts w:cs="Arial"/>
                <w:noProof w:val="0"/>
                <w:sz w:val="20"/>
                <w:szCs w:val="20"/>
                <w:lang w:bidi="ar-SA"/>
              </w:rPr>
              <w:t> </w:t>
            </w:r>
            <w:r w:rsidRPr="00BA6FEA">
              <w:rPr>
                <w:rFonts w:cs="Arial"/>
                <w:noProof w:val="0"/>
                <w:sz w:val="20"/>
                <w:szCs w:val="20"/>
                <w:lang w:bidi="ar-SA"/>
              </w:rPr>
              <w:t>propagaci jako jednoho z významných nástrojů na</w:t>
            </w:r>
            <w:r w:rsidR="004114EA">
              <w:rPr>
                <w:rFonts w:cs="Arial"/>
                <w:noProof w:val="0"/>
                <w:sz w:val="20"/>
                <w:szCs w:val="20"/>
                <w:lang w:bidi="ar-SA"/>
              </w:rPr>
              <w:t> </w:t>
            </w:r>
            <w:r w:rsidRPr="00BA6FEA">
              <w:rPr>
                <w:rFonts w:cs="Arial"/>
                <w:noProof w:val="0"/>
                <w:sz w:val="20"/>
                <w:szCs w:val="20"/>
                <w:lang w:bidi="ar-SA"/>
              </w:rPr>
              <w:t>zvýšení úrovně sběru dle vlastního uvážení (pouze do stanoveného limitu)</w:t>
            </w:r>
            <w:r w:rsidR="007C4684">
              <w:rPr>
                <w:rFonts w:cs="Arial"/>
                <w:noProof w:val="0"/>
                <w:sz w:val="20"/>
                <w:szCs w:val="20"/>
                <w:lang w:bidi="ar-SA"/>
              </w:rPr>
              <w:t>.</w:t>
            </w:r>
          </w:p>
        </w:tc>
        <w:tc>
          <w:tcPr>
            <w:tcW w:w="3327" w:type="dxa"/>
            <w:shd w:val="clear" w:color="auto" w:fill="FFFFFF" w:themeFill="background1"/>
            <w:vAlign w:val="center"/>
          </w:tcPr>
          <w:p w:rsidR="006631D1" w:rsidRPr="00BA6FEA" w:rsidP="00434A7D" w14:paraId="492D8A4A" w14:textId="1E0218A0">
            <w:pPr>
              <w:spacing w:before="60" w:line="240" w:lineRule="auto"/>
              <w:jc w:val="left"/>
              <w:rPr>
                <w:rFonts w:cs="Arial"/>
                <w:i/>
                <w:noProof w:val="0"/>
                <w:sz w:val="20"/>
                <w:szCs w:val="20"/>
                <w:lang w:bidi="ar-SA"/>
              </w:rPr>
            </w:pPr>
            <w:r>
              <w:rPr>
                <w:rFonts w:cs="Arial"/>
                <w:noProof w:val="0"/>
                <w:sz w:val="20"/>
                <w:szCs w:val="20"/>
                <w:lang w:bidi="ar-SA"/>
              </w:rPr>
              <w:t>Z</w:t>
            </w:r>
            <w:r w:rsidRPr="00BA6FEA">
              <w:rPr>
                <w:rFonts w:cs="Arial"/>
                <w:noProof w:val="0"/>
                <w:sz w:val="20"/>
                <w:szCs w:val="20"/>
                <w:lang w:bidi="ar-SA"/>
              </w:rPr>
              <w:t>ajištění minimálních požadavků na</w:t>
            </w:r>
            <w:r w:rsidR="004114EA">
              <w:rPr>
                <w:rFonts w:cs="Arial"/>
                <w:noProof w:val="0"/>
                <w:sz w:val="20"/>
                <w:szCs w:val="20"/>
                <w:lang w:bidi="ar-SA"/>
              </w:rPr>
              <w:t> </w:t>
            </w:r>
            <w:r w:rsidRPr="00BA6FEA">
              <w:rPr>
                <w:rFonts w:cs="Arial"/>
                <w:noProof w:val="0"/>
                <w:sz w:val="20"/>
                <w:szCs w:val="20"/>
                <w:lang w:bidi="ar-SA"/>
              </w:rPr>
              <w:t>osvětu a propagaci sníží riziko černého pasažéra v oblasti obecné osvěty a může mít pozitivní dopad na</w:t>
            </w:r>
            <w:r w:rsidR="004114EA">
              <w:rPr>
                <w:rFonts w:cs="Arial"/>
                <w:noProof w:val="0"/>
                <w:sz w:val="20"/>
                <w:szCs w:val="20"/>
                <w:lang w:bidi="ar-SA"/>
              </w:rPr>
              <w:t> </w:t>
            </w:r>
            <w:r w:rsidRPr="00BA6FEA">
              <w:rPr>
                <w:rFonts w:cs="Arial"/>
                <w:noProof w:val="0"/>
                <w:sz w:val="20"/>
                <w:szCs w:val="20"/>
                <w:lang w:bidi="ar-SA"/>
              </w:rPr>
              <w:t>výši úrovně sběru.</w:t>
            </w:r>
            <w:r w:rsidRPr="00BA6FEA">
              <w:rPr>
                <w:rFonts w:cs="Arial"/>
                <w:i/>
                <w:noProof w:val="0"/>
                <w:sz w:val="20"/>
                <w:szCs w:val="20"/>
                <w:lang w:bidi="ar-SA"/>
              </w:rPr>
              <w:t xml:space="preserve"> </w:t>
            </w:r>
          </w:p>
          <w:p w:rsidR="006631D1" w:rsidRPr="00BA6FEA" w:rsidP="00434A7D" w14:paraId="731F066E" w14:textId="77777777">
            <w:pPr>
              <w:spacing w:before="60" w:line="240" w:lineRule="auto"/>
              <w:jc w:val="left"/>
              <w:rPr>
                <w:rFonts w:cs="Arial"/>
                <w:noProof w:val="0"/>
                <w:sz w:val="20"/>
                <w:szCs w:val="20"/>
                <w:lang w:bidi="ar-SA"/>
              </w:rPr>
            </w:pPr>
          </w:p>
        </w:tc>
      </w:tr>
      <w:tr w14:paraId="0325C1B9" w14:textId="77777777" w:rsidTr="00434A7D">
        <w:tblPrEx>
          <w:tblW w:w="0" w:type="auto"/>
          <w:jc w:val="center"/>
          <w:shd w:val="clear" w:color="auto" w:fill="FFFFFF" w:themeFill="background1"/>
          <w:tblLook w:val="04A0"/>
        </w:tblPrEx>
        <w:trPr>
          <w:trHeight w:val="64"/>
          <w:jc w:val="center"/>
        </w:trPr>
        <w:tc>
          <w:tcPr>
            <w:tcW w:w="2419" w:type="dxa"/>
            <w:shd w:val="clear" w:color="auto" w:fill="FFFFFF" w:themeFill="background1"/>
            <w:vAlign w:val="center"/>
          </w:tcPr>
          <w:p w:rsidR="006631D1" w:rsidRPr="00BA6FEA" w:rsidP="00434A7D" w14:paraId="19F7FF36" w14:textId="77777777">
            <w:pPr>
              <w:spacing w:before="60" w:line="240" w:lineRule="auto"/>
              <w:jc w:val="left"/>
              <w:rPr>
                <w:rFonts w:cs="Arial"/>
                <w:noProof w:val="0"/>
                <w:sz w:val="20"/>
                <w:szCs w:val="20"/>
                <w:lang w:bidi="ar-SA"/>
              </w:rPr>
            </w:pPr>
            <w:r w:rsidRPr="00BA6FEA">
              <w:rPr>
                <w:rFonts w:cs="Arial"/>
                <w:noProof w:val="0"/>
                <w:sz w:val="20"/>
                <w:szCs w:val="20"/>
                <w:lang w:bidi="ar-SA"/>
              </w:rPr>
              <w:t>Varianta 2</w:t>
            </w:r>
          </w:p>
        </w:tc>
        <w:tc>
          <w:tcPr>
            <w:tcW w:w="3326" w:type="dxa"/>
            <w:shd w:val="clear" w:color="auto" w:fill="FFFFFF" w:themeFill="background1"/>
            <w:vAlign w:val="center"/>
          </w:tcPr>
          <w:p w:rsidR="006631D1" w:rsidRPr="00BA6FEA" w:rsidP="00434A7D" w14:paraId="5A067FB3" w14:textId="6F28A4DA">
            <w:pPr>
              <w:spacing w:before="60" w:line="240" w:lineRule="auto"/>
              <w:jc w:val="left"/>
              <w:rPr>
                <w:rFonts w:cs="Arial"/>
                <w:noProof w:val="0"/>
                <w:sz w:val="20"/>
                <w:szCs w:val="20"/>
                <w:lang w:bidi="ar-SA"/>
              </w:rPr>
            </w:pPr>
            <w:r w:rsidRPr="00BA6FEA">
              <w:rPr>
                <w:rFonts w:cs="Arial"/>
                <w:noProof w:val="0"/>
                <w:sz w:val="20"/>
                <w:szCs w:val="20"/>
                <w:lang w:bidi="ar-SA"/>
              </w:rPr>
              <w:t>V případě současných investic do</w:t>
            </w:r>
            <w:r w:rsidR="004114EA">
              <w:rPr>
                <w:rFonts w:cs="Arial"/>
                <w:noProof w:val="0"/>
                <w:sz w:val="20"/>
                <w:szCs w:val="20"/>
                <w:lang w:bidi="ar-SA"/>
              </w:rPr>
              <w:t> </w:t>
            </w:r>
            <w:r w:rsidRPr="00BA6FEA">
              <w:rPr>
                <w:rFonts w:cs="Arial"/>
                <w:noProof w:val="0"/>
                <w:sz w:val="20"/>
                <w:szCs w:val="20"/>
                <w:lang w:bidi="ar-SA"/>
              </w:rPr>
              <w:t xml:space="preserve">osvěty a propagace </w:t>
            </w:r>
            <w:r w:rsidR="007C4684">
              <w:rPr>
                <w:rFonts w:cs="Arial"/>
                <w:noProof w:val="0"/>
                <w:sz w:val="20"/>
                <w:szCs w:val="20"/>
                <w:lang w:bidi="ar-SA"/>
              </w:rPr>
              <w:t>nižších než je požadovaná</w:t>
            </w:r>
            <w:r w:rsidRPr="00BA6FEA">
              <w:rPr>
                <w:rFonts w:cs="Arial"/>
                <w:noProof w:val="0"/>
                <w:sz w:val="20"/>
                <w:szCs w:val="20"/>
                <w:lang w:bidi="ar-SA"/>
              </w:rPr>
              <w:t xml:space="preserve"> minimální úrov</w:t>
            </w:r>
            <w:r w:rsidR="007C4684">
              <w:rPr>
                <w:rFonts w:cs="Arial"/>
                <w:noProof w:val="0"/>
                <w:sz w:val="20"/>
                <w:szCs w:val="20"/>
                <w:lang w:bidi="ar-SA"/>
              </w:rPr>
              <w:t>eň</w:t>
            </w:r>
            <w:r w:rsidRPr="00BA6FEA">
              <w:rPr>
                <w:rFonts w:cs="Arial"/>
                <w:noProof w:val="0"/>
                <w:sz w:val="20"/>
                <w:szCs w:val="20"/>
                <w:lang w:bidi="ar-SA"/>
              </w:rPr>
              <w:t xml:space="preserve"> dodatečné náklady ve výši rozdílu.</w:t>
            </w:r>
          </w:p>
          <w:p w:rsidR="006631D1" w:rsidRPr="00BA6FEA" w:rsidP="004114EA" w14:paraId="465DE200" w14:textId="05492194">
            <w:pPr>
              <w:spacing w:before="60" w:line="240" w:lineRule="auto"/>
              <w:jc w:val="left"/>
              <w:rPr>
                <w:rFonts w:cs="Arial"/>
                <w:noProof w:val="0"/>
                <w:sz w:val="20"/>
                <w:szCs w:val="20"/>
                <w:lang w:bidi="ar-SA"/>
              </w:rPr>
            </w:pPr>
            <w:r w:rsidRPr="00BA6FEA">
              <w:rPr>
                <w:rFonts w:cs="Arial"/>
                <w:noProof w:val="0"/>
                <w:sz w:val="20"/>
                <w:szCs w:val="20"/>
                <w:lang w:bidi="ar-SA"/>
              </w:rPr>
              <w:t>Nemožnost KS využívat osvětu a</w:t>
            </w:r>
            <w:r w:rsidR="004114EA">
              <w:rPr>
                <w:rFonts w:cs="Arial"/>
                <w:noProof w:val="0"/>
                <w:sz w:val="20"/>
                <w:szCs w:val="20"/>
                <w:lang w:bidi="ar-SA"/>
              </w:rPr>
              <w:t> </w:t>
            </w:r>
            <w:r w:rsidRPr="00BA6FEA">
              <w:rPr>
                <w:rFonts w:cs="Arial"/>
                <w:noProof w:val="0"/>
                <w:sz w:val="20"/>
                <w:szCs w:val="20"/>
                <w:lang w:bidi="ar-SA"/>
              </w:rPr>
              <w:t>propagaci jako jednoho z významných nástrojů na zvýšení úrovně sběru dle vlastního uvážení.  Další náklady pro dotčené subjekty (zejména personální) by představovalo centrální zajištění, v případě že by se osvětová a propagační činnost centralizovala pod státní správu (MŽP) nebo KS</w:t>
            </w:r>
            <w:r w:rsidR="007C4684">
              <w:rPr>
                <w:rFonts w:cs="Arial"/>
                <w:noProof w:val="0"/>
                <w:sz w:val="20"/>
                <w:szCs w:val="20"/>
                <w:lang w:bidi="ar-SA"/>
              </w:rPr>
              <w:t>.</w:t>
            </w:r>
          </w:p>
        </w:tc>
        <w:tc>
          <w:tcPr>
            <w:tcW w:w="3327" w:type="dxa"/>
            <w:shd w:val="clear" w:color="auto" w:fill="FFFFFF" w:themeFill="background1"/>
            <w:vAlign w:val="center"/>
          </w:tcPr>
          <w:p w:rsidR="006631D1" w:rsidRPr="00BA6FEA" w:rsidP="00C14F33" w14:paraId="1AB3EA07" w14:textId="20270AF7">
            <w:pPr>
              <w:spacing w:before="60" w:line="240" w:lineRule="auto"/>
              <w:jc w:val="left"/>
              <w:rPr>
                <w:rFonts w:cs="Arial"/>
                <w:noProof w:val="0"/>
                <w:sz w:val="20"/>
                <w:szCs w:val="20"/>
                <w:lang w:bidi="ar-SA"/>
              </w:rPr>
            </w:pPr>
            <w:r w:rsidRPr="00BA6FEA">
              <w:rPr>
                <w:rFonts w:cs="Arial"/>
                <w:noProof w:val="0"/>
                <w:sz w:val="20"/>
                <w:szCs w:val="20"/>
                <w:lang w:bidi="ar-SA"/>
              </w:rPr>
              <w:t>Centrální zajištění propagace a</w:t>
            </w:r>
            <w:r w:rsidR="00C14F33">
              <w:rPr>
                <w:rFonts w:cs="Arial"/>
                <w:noProof w:val="0"/>
                <w:sz w:val="20"/>
                <w:szCs w:val="20"/>
                <w:lang w:bidi="ar-SA"/>
              </w:rPr>
              <w:t> </w:t>
            </w:r>
            <w:r w:rsidRPr="00BA6FEA">
              <w:rPr>
                <w:rFonts w:cs="Arial"/>
                <w:noProof w:val="0"/>
                <w:sz w:val="20"/>
                <w:szCs w:val="20"/>
                <w:lang w:bidi="ar-SA"/>
              </w:rPr>
              <w:t xml:space="preserve">osvěty. </w:t>
            </w:r>
          </w:p>
        </w:tc>
      </w:tr>
    </w:tbl>
    <w:p w:rsidR="00C14F33" w:rsidP="00C14F33" w14:paraId="012C1E1F" w14:textId="77777777">
      <w:pPr>
        <w:rPr>
          <w:rFonts w:eastAsia="Calibri"/>
          <w:lang w:bidi="ar-SA"/>
        </w:rPr>
      </w:pPr>
      <w:bookmarkStart w:id="20" w:name="_Toc441759904"/>
    </w:p>
    <w:p w:rsidR="006631D1" w:rsidRPr="00ED38E9" w:rsidP="006631D1" w14:paraId="5A858C01" w14:textId="77777777">
      <w:pPr>
        <w:pStyle w:val="Heading2"/>
        <w:rPr>
          <w:rFonts w:eastAsia="Calibri"/>
          <w:lang w:bidi="ar-SA"/>
        </w:rPr>
      </w:pPr>
      <w:r>
        <w:rPr>
          <w:rFonts w:eastAsia="Calibri"/>
          <w:lang w:bidi="ar-SA"/>
        </w:rPr>
        <w:t>N</w:t>
      </w:r>
      <w:r w:rsidRPr="00ED38E9">
        <w:rPr>
          <w:rFonts w:eastAsia="Calibri"/>
          <w:lang w:bidi="ar-SA"/>
        </w:rPr>
        <w:t>ávrh řešení</w:t>
      </w:r>
      <w:bookmarkEnd w:id="20"/>
    </w:p>
    <w:p w:rsidR="006631D1" w:rsidRPr="00ED38E9" w:rsidP="006631D1" w14:paraId="5058EC3D" w14:textId="6B534A02">
      <w:pPr>
        <w:spacing w:after="120"/>
        <w:rPr>
          <w:rFonts w:eastAsia="Calibri" w:cs="Arial"/>
          <w:noProof w:val="0"/>
          <w:szCs w:val="22"/>
          <w:lang w:bidi="ar-SA"/>
        </w:rPr>
      </w:pPr>
      <w:r w:rsidRPr="00ED38E9">
        <w:rPr>
          <w:rFonts w:eastAsia="Calibri" w:cs="Arial"/>
          <w:noProof w:val="0"/>
          <w:szCs w:val="22"/>
          <w:lang w:bidi="ar-SA"/>
        </w:rPr>
        <w:t xml:space="preserve">Na základě analýzy možnosti fungování Varianty 2 v rámci současného a evropskou směrnicí vyžadovaného systému byla tato varianta shledána jako nevhodná. Tato varianta by znamenala odejmutí jednoho z hlavních nástrojů, které KS mohou využít k splnění cílů sběru stanovených </w:t>
      </w:r>
      <w:r w:rsidR="007C4684">
        <w:t>rámcovou směrnicí</w:t>
      </w:r>
      <w:r w:rsidRPr="00F004DF" w:rsidR="007C4684">
        <w:t xml:space="preserve"> 98/2008 ES o odpadech</w:t>
      </w:r>
      <w:r w:rsidRPr="00ED38E9">
        <w:rPr>
          <w:rFonts w:eastAsia="Calibri" w:cs="Arial"/>
          <w:noProof w:val="0"/>
          <w:szCs w:val="22"/>
          <w:lang w:bidi="ar-SA"/>
        </w:rPr>
        <w:t>. Zároveň by však KS byly</w:t>
      </w:r>
      <w:r w:rsidRPr="00ED38E9">
        <w:rPr>
          <w:rFonts w:eastAsia="Calibri" w:cs="Arial"/>
          <w:noProof w:val="0"/>
          <w:szCs w:val="22"/>
          <w:lang w:bidi="ar-SA"/>
        </w:rPr>
        <w:t xml:space="preserve"> </w:t>
      </w:r>
      <w:r w:rsidRPr="00ED38E9">
        <w:rPr>
          <w:rFonts w:eastAsia="Calibri" w:cs="Arial"/>
          <w:noProof w:val="0"/>
          <w:szCs w:val="22"/>
          <w:lang w:bidi="ar-SA"/>
        </w:rPr>
        <w:t>nadále odpovědné za</w:t>
      </w:r>
      <w:r w:rsidR="007C4684">
        <w:rPr>
          <w:rFonts w:eastAsia="Calibri" w:cs="Arial"/>
          <w:noProof w:val="0"/>
          <w:szCs w:val="22"/>
          <w:lang w:bidi="ar-SA"/>
        </w:rPr>
        <w:t> </w:t>
      </w:r>
      <w:r w:rsidRPr="00ED38E9">
        <w:rPr>
          <w:rFonts w:eastAsia="Calibri" w:cs="Arial"/>
          <w:noProof w:val="0"/>
          <w:szCs w:val="22"/>
          <w:lang w:bidi="ar-SA"/>
        </w:rPr>
        <w:t>plnění kvót zpětného odběru. Varianta 2 by jim tak zabránila reagovat na</w:t>
      </w:r>
      <w:r w:rsidR="00C14F33">
        <w:rPr>
          <w:rFonts w:eastAsia="Calibri" w:cs="Arial"/>
          <w:noProof w:val="0"/>
          <w:szCs w:val="22"/>
          <w:lang w:bidi="ar-SA"/>
        </w:rPr>
        <w:t> </w:t>
      </w:r>
      <w:r w:rsidRPr="00ED38E9">
        <w:rPr>
          <w:rFonts w:eastAsia="Calibri" w:cs="Arial"/>
          <w:noProof w:val="0"/>
          <w:szCs w:val="22"/>
          <w:lang w:bidi="ar-SA"/>
        </w:rPr>
        <w:t xml:space="preserve">současnou situaci a podnikat strategické kroky k dosažení cíle sběru (bude-li například KS potřebovat vyšší úroveň zpětného odběru). </w:t>
      </w:r>
    </w:p>
    <w:p w:rsidR="006631D1" w:rsidRPr="00ED38E9" w:rsidP="006631D1" w14:paraId="7E6BC3E3" w14:textId="77777777">
      <w:pPr>
        <w:spacing w:after="120"/>
        <w:rPr>
          <w:rFonts w:eastAsia="Calibri" w:cs="Arial"/>
          <w:noProof w:val="0"/>
          <w:szCs w:val="22"/>
          <w:lang w:bidi="ar-SA"/>
        </w:rPr>
      </w:pPr>
      <w:r w:rsidRPr="00ED38E9">
        <w:rPr>
          <w:rFonts w:eastAsia="Calibri" w:cs="Arial"/>
          <w:noProof w:val="0"/>
          <w:szCs w:val="22"/>
          <w:lang w:bidi="ar-SA"/>
        </w:rPr>
        <w:t xml:space="preserve">Navíc v případě, že KS chtějí v rámci propagace a osvěty spolupracovat, děje se tak již nyní a to na dobrovolné bázi - např. projekt Recyklohraní. </w:t>
      </w:r>
    </w:p>
    <w:p w:rsidR="006631D1" w:rsidRPr="00ED38E9" w:rsidP="006631D1" w14:paraId="0746D29B" w14:textId="47C0C7A9">
      <w:pPr>
        <w:spacing w:after="120"/>
        <w:rPr>
          <w:rFonts w:eastAsia="Calibri" w:cs="Arial"/>
          <w:noProof w:val="0"/>
          <w:szCs w:val="22"/>
          <w:lang w:bidi="ar-SA"/>
        </w:rPr>
      </w:pPr>
      <w:r w:rsidRPr="00ED38E9">
        <w:rPr>
          <w:rFonts w:eastAsia="Calibri" w:cs="Arial"/>
          <w:noProof w:val="0"/>
          <w:szCs w:val="22"/>
          <w:lang w:bidi="ar-SA"/>
        </w:rPr>
        <w:t>Obdobně lze hodnotit variantu 1c, jejíž součástí by bylo stanovení maximálního limitu. Při</w:t>
      </w:r>
      <w:r w:rsidR="004114EA">
        <w:rPr>
          <w:rFonts w:eastAsia="Calibri" w:cs="Arial"/>
          <w:noProof w:val="0"/>
          <w:szCs w:val="22"/>
          <w:lang w:bidi="ar-SA"/>
        </w:rPr>
        <w:t> </w:t>
      </w:r>
      <w:r w:rsidRPr="00ED38E9">
        <w:rPr>
          <w:rFonts w:eastAsia="Calibri" w:cs="Arial"/>
          <w:noProof w:val="0"/>
          <w:szCs w:val="22"/>
          <w:lang w:bidi="ar-SA"/>
        </w:rPr>
        <w:t>nevhodném nastavení parametrů může tato varianta vést k podobné situaci jako Varianta 2, kdy by KS byly i nadále odpovědné za plnění kvót zpětného odběru a odděleného sběru, ale byla by jim omezena možnost reagovat na současnou situaci a podnikat strategické kroky k dosažení cíle sběru. V případě benevolentního nastavení maximálního limitu ztrácí jeho stanovení původní smysl.</w:t>
      </w:r>
    </w:p>
    <w:p w:rsidR="006631D1" w:rsidRPr="00ED38E9" w:rsidP="006631D1" w14:paraId="430A3097" w14:textId="77777777">
      <w:pPr>
        <w:spacing w:after="120"/>
        <w:rPr>
          <w:rFonts w:eastAsia="Calibri" w:cs="Arial"/>
          <w:noProof w:val="0"/>
          <w:szCs w:val="22"/>
          <w:lang w:bidi="ar-SA"/>
        </w:rPr>
      </w:pPr>
      <w:r w:rsidRPr="00ED38E9">
        <w:rPr>
          <w:rFonts w:eastAsia="Calibri" w:cs="Arial"/>
          <w:noProof w:val="0"/>
          <w:szCs w:val="22"/>
          <w:lang w:bidi="ar-SA"/>
        </w:rPr>
        <w:t>Stanovení minimální výše prostředků směřujících na propagaci a osvětovou činnosti považujeme za zbytečné, neboť při správném stanovení minimálního cíle úrovně zpětného odběru pro KS (viz výše) je KS motivován využívat propagaci a osvětu v dostatečné výši jakožto jedné ze základních metod dosažení stanoveného cíle. Z tohoto pohledu se nám jeví stanovení minimální výše prostředků směřující na osvětu a propagaci jako zbytečné</w:t>
      </w:r>
      <w:r>
        <w:rPr>
          <w:rFonts w:eastAsia="Calibri" w:cs="Arial"/>
          <w:noProof w:val="0"/>
          <w:szCs w:val="22"/>
          <w:lang w:bidi="ar-SA"/>
        </w:rPr>
        <w:t>.</w:t>
      </w:r>
      <w:r w:rsidRPr="00ED38E9">
        <w:rPr>
          <w:rFonts w:eastAsia="Calibri" w:cs="Arial"/>
          <w:noProof w:val="0"/>
          <w:szCs w:val="22"/>
          <w:lang w:bidi="ar-SA"/>
        </w:rPr>
        <w:t xml:space="preserve"> </w:t>
      </w:r>
    </w:p>
    <w:p w:rsidR="006631D1" w:rsidRPr="00ED38E9" w:rsidP="006631D1" w14:paraId="78F6F81A" w14:textId="77777777">
      <w:pPr>
        <w:spacing w:after="120"/>
        <w:rPr>
          <w:rFonts w:eastAsia="Calibri" w:cs="Arial"/>
          <w:noProof w:val="0"/>
          <w:szCs w:val="22"/>
          <w:lang w:bidi="ar-SA"/>
        </w:rPr>
      </w:pPr>
      <w:r w:rsidRPr="00ED38E9">
        <w:rPr>
          <w:rFonts w:eastAsia="Calibri" w:cs="Arial"/>
          <w:noProof w:val="0"/>
          <w:szCs w:val="22"/>
          <w:lang w:bidi="ar-SA"/>
        </w:rPr>
        <w:t xml:space="preserve">K implementaci tedy </w:t>
      </w:r>
      <w:r w:rsidRPr="0005624A">
        <w:rPr>
          <w:rFonts w:eastAsia="Calibri" w:cs="Arial"/>
          <w:b/>
          <w:noProof w:val="0"/>
          <w:szCs w:val="22"/>
          <w:lang w:bidi="ar-SA"/>
        </w:rPr>
        <w:t>doporučujeme Variantu 1a</w:t>
      </w:r>
      <w:r w:rsidRPr="00ED38E9">
        <w:rPr>
          <w:rFonts w:eastAsia="Calibri" w:cs="Arial"/>
          <w:noProof w:val="0"/>
          <w:szCs w:val="22"/>
          <w:lang w:bidi="ar-SA"/>
        </w:rPr>
        <w:t xml:space="preserve">, kdy budou stanoveny minimální požadavky na formu </w:t>
      </w:r>
      <w:r>
        <w:rPr>
          <w:rFonts w:eastAsia="Calibri" w:cs="Arial"/>
          <w:noProof w:val="0"/>
          <w:szCs w:val="22"/>
          <w:lang w:bidi="ar-SA"/>
        </w:rPr>
        <w:t xml:space="preserve">a rozsah </w:t>
      </w:r>
      <w:r w:rsidRPr="00ED38E9">
        <w:rPr>
          <w:rFonts w:eastAsia="Calibri" w:cs="Arial"/>
          <w:noProof w:val="0"/>
          <w:szCs w:val="22"/>
          <w:lang w:bidi="ar-SA"/>
        </w:rPr>
        <w:t>osvětové a propagační činnosti</w:t>
      </w:r>
      <w:r w:rsidRPr="00AA303F">
        <w:rPr>
          <w:rFonts w:eastAsia="Calibri" w:cs="Arial"/>
          <w:noProof w:val="0"/>
          <w:szCs w:val="22"/>
          <w:lang w:bidi="ar-SA"/>
        </w:rPr>
        <w:t xml:space="preserve"> </w:t>
      </w:r>
      <w:r>
        <w:rPr>
          <w:rFonts w:eastAsia="Calibri" w:cs="Arial"/>
          <w:noProof w:val="0"/>
          <w:szCs w:val="22"/>
          <w:lang w:bidi="ar-SA"/>
        </w:rPr>
        <w:t>prostřednictvím prováděcího právního předpisu (vyhlášky)</w:t>
      </w:r>
      <w:r w:rsidRPr="00ED38E9">
        <w:rPr>
          <w:rFonts w:eastAsia="Calibri" w:cs="Arial"/>
          <w:noProof w:val="0"/>
          <w:szCs w:val="22"/>
          <w:lang w:bidi="ar-SA"/>
        </w:rPr>
        <w:t xml:space="preserve">. Pro státní správu ani KS to neznamená žádné významné dodatečné náklady na administrativu spojenou s centralizací osvětové a propagační činnosti. KS si zachovají možnost ovlivňovat pomocí propagace a osvěty výši sběru, za kterou jsou zodpovědné, avšak samozřejmě za cenu nižší transparentnosti toku peněz. Na druhou stranu pro některé KS může být přínosem snížení rizika černého pasažéra z řad ostatních KS v důsledku zavedení minimálních požadavků na osvětu a propagaci. </w:t>
      </w:r>
    </w:p>
    <w:p w:rsidR="006631D1" w:rsidP="00AB6F15" w14:paraId="6ABD5068" w14:textId="77777777">
      <w:pPr>
        <w:rPr>
          <w:rFonts w:cs="Arial"/>
        </w:rPr>
      </w:pPr>
    </w:p>
    <w:p w:rsidR="00257E70" w:rsidRPr="00ED38E9" w:rsidP="005D660F" w14:paraId="723F1CAC" w14:textId="17DBCE51">
      <w:pPr>
        <w:pStyle w:val="Heading1"/>
      </w:pPr>
      <w:bookmarkStart w:id="21" w:name="_Toc441759833"/>
      <w:bookmarkStart w:id="22" w:name="_Toc14942078"/>
      <w:bookmarkStart w:id="23" w:name="_Toc256000004"/>
      <w:r w:rsidRPr="00ED38E9">
        <w:t>Registr míst zpětného odběru</w:t>
      </w:r>
      <w:bookmarkEnd w:id="21"/>
      <w:r w:rsidR="00C3407C">
        <w:t xml:space="preserve"> (§ 14 a § 18</w:t>
      </w:r>
      <w:r w:rsidR="00FE5334">
        <w:t>)</w:t>
      </w:r>
      <w:bookmarkEnd w:id="23"/>
      <w:bookmarkEnd w:id="22"/>
    </w:p>
    <w:p w:rsidR="00257E70" w:rsidRPr="00ED38E9" w:rsidP="005D660F" w14:paraId="7A3BF41B" w14:textId="77777777">
      <w:pPr>
        <w:pStyle w:val="Heading2"/>
      </w:pPr>
      <w:bookmarkStart w:id="24" w:name="_Toc441759834"/>
      <w:r w:rsidRPr="00ED38E9">
        <w:t>Důvod předložení a cíle</w:t>
      </w:r>
      <w:bookmarkEnd w:id="24"/>
    </w:p>
    <w:p w:rsidR="00257E70" w:rsidRPr="00ED38E9" w:rsidP="00BF16B7" w14:paraId="6910B94D" w14:textId="77777777">
      <w:pPr>
        <w:pStyle w:val="Heading3"/>
      </w:pPr>
      <w:r w:rsidRPr="00ED38E9">
        <w:t>Definice problému</w:t>
      </w:r>
    </w:p>
    <w:p w:rsidR="00257E70" w:rsidP="00936929" w14:paraId="41A1A4CD" w14:textId="686FA4F2">
      <w:pPr>
        <w:rPr>
          <w:rFonts w:cs="Arial"/>
        </w:rPr>
      </w:pPr>
      <w:r w:rsidRPr="00ED38E9">
        <w:rPr>
          <w:rFonts w:cs="Arial"/>
        </w:rPr>
        <w:t xml:space="preserve">Česká i evropská legislativa v oblasti zpětného odběru různým způsobem udává povinnost informovat spotřebitele o způsobu provedení zpětného odběru. V souvislosti s přípravou centrálního registru pro oblast EEZ </w:t>
      </w:r>
      <w:r w:rsidRPr="00937FFC">
        <w:rPr>
          <w:rFonts w:cs="Arial"/>
        </w:rPr>
        <w:t>s účinností od 1. 6.  2015</w:t>
      </w:r>
      <w:r w:rsidRPr="00ED38E9">
        <w:rPr>
          <w:rFonts w:cs="Arial"/>
        </w:rPr>
        <w:t xml:space="preserve"> se nabízí </w:t>
      </w:r>
      <w:r w:rsidR="00C06BC4">
        <w:rPr>
          <w:rFonts w:cs="Arial"/>
        </w:rPr>
        <w:t xml:space="preserve">možnost </w:t>
      </w:r>
      <w:r w:rsidRPr="00ED38E9">
        <w:rPr>
          <w:rFonts w:cs="Arial"/>
        </w:rPr>
        <w:t>zapojení i</w:t>
      </w:r>
      <w:r w:rsidR="00C06BC4">
        <w:rPr>
          <w:rFonts w:cs="Arial"/>
        </w:rPr>
        <w:t> baterií a akumulátorů a</w:t>
      </w:r>
      <w:r w:rsidRPr="00ED38E9">
        <w:rPr>
          <w:rFonts w:cs="Arial"/>
        </w:rPr>
        <w:t xml:space="preserve"> odpadních pneumatik a propojení s informačním systémem pro</w:t>
      </w:r>
      <w:r w:rsidR="0099249D">
        <w:rPr>
          <w:rFonts w:cs="Arial"/>
        </w:rPr>
        <w:t> </w:t>
      </w:r>
      <w:r w:rsidRPr="00ED38E9">
        <w:rPr>
          <w:rFonts w:cs="Arial"/>
        </w:rPr>
        <w:t>vedení informací o vozidlech s ukončenou životností.</w:t>
      </w:r>
    </w:p>
    <w:p w:rsidR="00257E70" w:rsidRPr="00ED38E9" w:rsidP="00BF16B7" w14:paraId="2AB946B2" w14:textId="77777777">
      <w:pPr>
        <w:pStyle w:val="Heading3"/>
      </w:pPr>
      <w:r w:rsidRPr="00ED38E9">
        <w:t>Popis existujícího právního stavu v dané oblasti</w:t>
      </w:r>
    </w:p>
    <w:p w:rsidR="00257E70" w:rsidRPr="00C14F33" w:rsidP="00AB6F15" w14:paraId="20D9D82F" w14:textId="77777777">
      <w:pPr>
        <w:rPr>
          <w:rFonts w:cs="Arial"/>
          <w:b/>
          <w:i/>
        </w:rPr>
      </w:pPr>
      <w:r w:rsidRPr="00C14F33">
        <w:rPr>
          <w:rFonts w:cs="Arial"/>
          <w:b/>
          <w:i/>
        </w:rPr>
        <w:t>Baterie a akumulátory</w:t>
      </w:r>
    </w:p>
    <w:p w:rsidR="00257E70" w:rsidRPr="00ED38E9" w:rsidP="00936929" w14:paraId="60473B6B" w14:textId="769E7EC2">
      <w:pPr>
        <w:rPr>
          <w:rFonts w:cs="Arial"/>
        </w:rPr>
      </w:pPr>
      <w:r w:rsidRPr="00ED38E9">
        <w:rPr>
          <w:rFonts w:cs="Arial"/>
        </w:rPr>
        <w:t xml:space="preserve">Zákon o odpadech v § 31d uvádí, že výrobce je povinen na vlastní náklady písemně informovat konečného uživatele o způsobu zajištění zpětného odběru </w:t>
      </w:r>
      <w:r w:rsidR="00C06BC4">
        <w:rPr>
          <w:rFonts w:cs="Arial"/>
        </w:rPr>
        <w:t xml:space="preserve">(ZO) </w:t>
      </w:r>
      <w:r w:rsidRPr="00ED38E9">
        <w:rPr>
          <w:rFonts w:cs="Arial"/>
        </w:rPr>
        <w:t>nebo odděleného sběru. Za</w:t>
      </w:r>
      <w:r w:rsidR="00C06BC4">
        <w:rPr>
          <w:rFonts w:cs="Arial"/>
        </w:rPr>
        <w:t> </w:t>
      </w:r>
      <w:r w:rsidRPr="00ED38E9">
        <w:rPr>
          <w:rFonts w:cs="Arial"/>
        </w:rPr>
        <w:t>tímto účelem výrobce způsobem dostupným konečnému uživateli zveřejňuje aktuální seznam míst zpětného odběru a odděleného sběru obsahující alespoň název místa a jeho adresu.</w:t>
      </w:r>
    </w:p>
    <w:p w:rsidR="00257E70" w:rsidRPr="00C14F33" w:rsidP="00E73740" w14:paraId="27BF687D" w14:textId="77777777">
      <w:pPr>
        <w:keepNext/>
        <w:spacing w:before="240"/>
        <w:rPr>
          <w:rFonts w:cs="Arial"/>
          <w:b/>
          <w:i/>
        </w:rPr>
      </w:pPr>
      <w:r w:rsidRPr="00C14F33">
        <w:rPr>
          <w:rFonts w:cs="Arial"/>
          <w:b/>
          <w:i/>
        </w:rPr>
        <w:t>Odpadní pneumatiky</w:t>
      </w:r>
    </w:p>
    <w:p w:rsidR="00257E70" w:rsidP="00936929" w14:paraId="75185D79" w14:textId="5BC6C8AB">
      <w:pPr>
        <w:rPr>
          <w:rFonts w:cs="Arial"/>
        </w:rPr>
      </w:pPr>
      <w:r w:rsidRPr="00ED38E9">
        <w:rPr>
          <w:rFonts w:cs="Arial"/>
        </w:rPr>
        <w:t xml:space="preserve">Současná legislativa říká, že povinná osoba musí prostřednictvím právnické osoby nebo fyzické osoby oprávněné k podnikání, která prodává pneumatiky spotřebiteli, zajistit, aby byl spotřebitel informován o způsobu provedení </w:t>
      </w:r>
      <w:r w:rsidR="00C06BC4">
        <w:rPr>
          <w:rFonts w:cs="Arial"/>
        </w:rPr>
        <w:t>ZO</w:t>
      </w:r>
      <w:r w:rsidRPr="00ED38E9">
        <w:rPr>
          <w:rFonts w:cs="Arial"/>
        </w:rPr>
        <w:t xml:space="preserve"> těchto použitých výrobků. </w:t>
      </w:r>
    </w:p>
    <w:p w:rsidR="00257E70" w:rsidRPr="00ED38E9" w:rsidP="00BF16B7" w14:paraId="606141DE" w14:textId="77777777">
      <w:pPr>
        <w:pStyle w:val="Heading3"/>
      </w:pPr>
      <w:r w:rsidRPr="00ED38E9">
        <w:t>Identifikace dotčených subjektů</w:t>
      </w:r>
    </w:p>
    <w:p w:rsidR="00257E70" w:rsidRPr="00ED38E9" w:rsidP="003C445B" w14:paraId="0E28DE55" w14:textId="77777777">
      <w:pPr>
        <w:pStyle w:val="ListParagraph"/>
        <w:numPr>
          <w:ilvl w:val="0"/>
          <w:numId w:val="4"/>
        </w:numPr>
        <w:spacing w:before="0"/>
        <w:ind w:left="714" w:hanging="357"/>
        <w:contextualSpacing w:val="0"/>
        <w:rPr>
          <w:rFonts w:cs="Arial"/>
          <w:noProof w:val="0"/>
        </w:rPr>
      </w:pPr>
      <w:r w:rsidRPr="00ED38E9">
        <w:rPr>
          <w:rFonts w:cs="Arial"/>
          <w:noProof w:val="0"/>
        </w:rPr>
        <w:t>výrobce (případně kolektivní systém),</w:t>
      </w:r>
    </w:p>
    <w:p w:rsidR="00257E70" w:rsidRPr="00ED38E9" w:rsidP="003C445B" w14:paraId="50E61FF2" w14:textId="77777777">
      <w:pPr>
        <w:pStyle w:val="ListParagraph"/>
        <w:numPr>
          <w:ilvl w:val="0"/>
          <w:numId w:val="4"/>
        </w:numPr>
        <w:spacing w:before="0"/>
        <w:ind w:left="714" w:hanging="357"/>
        <w:contextualSpacing w:val="0"/>
        <w:rPr>
          <w:rFonts w:cs="Arial"/>
          <w:noProof w:val="0"/>
        </w:rPr>
      </w:pPr>
      <w:r w:rsidRPr="00ED38E9">
        <w:rPr>
          <w:rFonts w:cs="Arial"/>
          <w:noProof w:val="0"/>
        </w:rPr>
        <w:t>spotřebitel,</w:t>
      </w:r>
    </w:p>
    <w:p w:rsidR="00257E70" w:rsidRPr="00ED38E9" w:rsidP="003C445B" w14:paraId="2764622E" w14:textId="77777777">
      <w:pPr>
        <w:pStyle w:val="ListParagraph"/>
        <w:numPr>
          <w:ilvl w:val="0"/>
          <w:numId w:val="4"/>
        </w:numPr>
        <w:spacing w:before="0"/>
        <w:ind w:left="714" w:hanging="357"/>
        <w:contextualSpacing w:val="0"/>
        <w:rPr>
          <w:rFonts w:cs="Arial"/>
          <w:noProof w:val="0"/>
        </w:rPr>
      </w:pPr>
      <w:r w:rsidRPr="00ED38E9">
        <w:rPr>
          <w:rFonts w:cs="Arial"/>
          <w:noProof w:val="0"/>
        </w:rPr>
        <w:t>Ministerstvo životního prostředí (ministerstvo),</w:t>
      </w:r>
    </w:p>
    <w:p w:rsidR="00257E70" w:rsidRPr="00ED38E9" w:rsidP="003C445B" w14:paraId="51173B54" w14:textId="77777777">
      <w:pPr>
        <w:pStyle w:val="ListParagraph"/>
        <w:numPr>
          <w:ilvl w:val="0"/>
          <w:numId w:val="4"/>
        </w:numPr>
        <w:spacing w:before="0"/>
        <w:ind w:left="714" w:hanging="357"/>
        <w:contextualSpacing w:val="0"/>
        <w:rPr>
          <w:rFonts w:cs="Arial"/>
          <w:noProof w:val="0"/>
        </w:rPr>
      </w:pPr>
      <w:r w:rsidRPr="00ED38E9">
        <w:rPr>
          <w:rFonts w:cs="Arial"/>
          <w:noProof w:val="0"/>
        </w:rPr>
        <w:t>obce,</w:t>
      </w:r>
    </w:p>
    <w:p w:rsidR="00257E70" w:rsidP="003C445B" w14:paraId="034BDD56" w14:textId="77777777">
      <w:pPr>
        <w:pStyle w:val="ListParagraph"/>
        <w:numPr>
          <w:ilvl w:val="0"/>
          <w:numId w:val="4"/>
        </w:numPr>
        <w:spacing w:before="0"/>
        <w:ind w:left="714" w:hanging="357"/>
        <w:contextualSpacing w:val="0"/>
        <w:rPr>
          <w:rFonts w:cs="Arial"/>
          <w:noProof w:val="0"/>
        </w:rPr>
      </w:pPr>
      <w:r w:rsidRPr="00ED38E9">
        <w:rPr>
          <w:rFonts w:cs="Arial"/>
          <w:noProof w:val="0"/>
        </w:rPr>
        <w:t>Česká inspekce životního prostředí – oblastní inspektoráty (ČIŽP).</w:t>
      </w:r>
    </w:p>
    <w:p w:rsidR="00257E70" w:rsidRPr="00ED38E9" w:rsidP="00BF16B7" w14:paraId="3AC4EF47" w14:textId="77777777">
      <w:pPr>
        <w:pStyle w:val="Heading3"/>
      </w:pPr>
      <w:r w:rsidRPr="00ED38E9">
        <w:t>Popis cílového stavu</w:t>
      </w:r>
    </w:p>
    <w:p w:rsidR="00257E70" w:rsidP="00936929" w14:paraId="301C51E8" w14:textId="399CEC5B">
      <w:pPr>
        <w:rPr>
          <w:rFonts w:cs="Arial"/>
        </w:rPr>
      </w:pPr>
      <w:r w:rsidRPr="00ED38E9">
        <w:rPr>
          <w:rFonts w:cs="Arial"/>
        </w:rPr>
        <w:t>Cílem jednotného registru sběrných míst je, aby občané Č</w:t>
      </w:r>
      <w:r w:rsidR="00E939C1">
        <w:rPr>
          <w:rFonts w:cs="Arial"/>
        </w:rPr>
        <w:t>R</w:t>
      </w:r>
      <w:r w:rsidRPr="00ED38E9">
        <w:rPr>
          <w:rFonts w:cs="Arial"/>
        </w:rPr>
        <w:t xml:space="preserve"> měli možnost si jednoduše najít nejvhodnější </w:t>
      </w:r>
      <w:r w:rsidR="00935FB1">
        <w:rPr>
          <w:rFonts w:cs="Arial"/>
        </w:rPr>
        <w:t xml:space="preserve">a nejdostupnější </w:t>
      </w:r>
      <w:r w:rsidRPr="00ED38E9">
        <w:rPr>
          <w:rFonts w:cs="Arial"/>
        </w:rPr>
        <w:t xml:space="preserve">místo </w:t>
      </w:r>
      <w:r w:rsidR="00C06BC4">
        <w:rPr>
          <w:rFonts w:cs="Arial"/>
        </w:rPr>
        <w:t>ZO</w:t>
      </w:r>
      <w:r w:rsidRPr="00ED38E9">
        <w:rPr>
          <w:rFonts w:cs="Arial"/>
        </w:rPr>
        <w:t xml:space="preserve">, bez zjišťování </w:t>
      </w:r>
      <w:r w:rsidR="00935FB1">
        <w:rPr>
          <w:rFonts w:cs="Arial"/>
        </w:rPr>
        <w:t xml:space="preserve">informací u jednotlivých </w:t>
      </w:r>
      <w:r w:rsidRPr="00ED38E9">
        <w:rPr>
          <w:rFonts w:cs="Arial"/>
        </w:rPr>
        <w:t>výrobců</w:t>
      </w:r>
      <w:r w:rsidR="00935FB1">
        <w:rPr>
          <w:rFonts w:cs="Arial"/>
        </w:rPr>
        <w:t xml:space="preserve"> nebo</w:t>
      </w:r>
      <w:r w:rsidRPr="00ED38E9">
        <w:rPr>
          <w:rFonts w:cs="Arial"/>
        </w:rPr>
        <w:t xml:space="preserve"> kolektivních systémů.</w:t>
      </w:r>
    </w:p>
    <w:p w:rsidR="00257E70" w:rsidRPr="00ED38E9" w:rsidP="00BF16B7" w14:paraId="29227E36" w14:textId="77777777">
      <w:pPr>
        <w:pStyle w:val="Heading3"/>
      </w:pPr>
      <w:r w:rsidRPr="00ED38E9">
        <w:t>Zhodnocení rizika</w:t>
      </w:r>
    </w:p>
    <w:p w:rsidR="00257E70" w:rsidP="00936929" w14:paraId="2B50B236" w14:textId="0AC4B6F5">
      <w:pPr>
        <w:rPr>
          <w:rFonts w:cs="Arial"/>
        </w:rPr>
      </w:pPr>
      <w:r w:rsidRPr="00ED38E9">
        <w:rPr>
          <w:rFonts w:cs="Arial"/>
        </w:rPr>
        <w:t xml:space="preserve">Ponechání současného stavu přímo neohrožuje životní prostředí ani zatím neporušuje evropskou legislativu, ale na druhou stranu ani nepřispívá ke zkvalitnění informovanosti občanů o možnostech </w:t>
      </w:r>
      <w:r w:rsidR="00C06BC4">
        <w:rPr>
          <w:rFonts w:cs="Arial"/>
        </w:rPr>
        <w:t>ZO</w:t>
      </w:r>
      <w:r w:rsidR="00935FB1">
        <w:rPr>
          <w:rFonts w:cs="Arial"/>
        </w:rPr>
        <w:t>, a tedy ani k hlavnímu cíli zvyšovat množství zpětně odebraných výrobků</w:t>
      </w:r>
      <w:r w:rsidRPr="00ED38E9">
        <w:rPr>
          <w:rFonts w:cs="Arial"/>
        </w:rPr>
        <w:t>.</w:t>
      </w:r>
    </w:p>
    <w:p w:rsidR="00257E70" w:rsidRPr="00ED38E9" w:rsidP="00E73740" w14:paraId="71B00463" w14:textId="77777777">
      <w:pPr>
        <w:pStyle w:val="Heading2"/>
        <w:spacing w:before="360" w:after="0"/>
        <w:ind w:left="578" w:hanging="578"/>
      </w:pPr>
      <w:bookmarkStart w:id="25" w:name="_Toc441759835"/>
      <w:r w:rsidRPr="00ED38E9">
        <w:t>Návrh variant řešení</w:t>
      </w:r>
      <w:bookmarkEnd w:id="25"/>
    </w:p>
    <w:p w:rsidR="00257E70" w:rsidRPr="00ED38E9" w:rsidP="00BF16B7" w14:paraId="08A54AB2" w14:textId="77777777">
      <w:pPr>
        <w:pStyle w:val="Heading3"/>
      </w:pPr>
      <w:r w:rsidRPr="00ED38E9">
        <w:t>Varianta 0</w:t>
      </w:r>
    </w:p>
    <w:p w:rsidR="00257E70" w:rsidRPr="00ED38E9" w:rsidP="00936929" w14:paraId="482F448A" w14:textId="77777777">
      <w:pPr>
        <w:rPr>
          <w:rFonts w:cs="Arial"/>
        </w:rPr>
      </w:pPr>
      <w:r w:rsidRPr="00ED38E9">
        <w:rPr>
          <w:rFonts w:cs="Arial"/>
        </w:rPr>
        <w:t>Ponechání současného stavu, kdy každý výrobce volí vlastní způsoby informování zákazníků (internetové stránky, letáčky apod.)</w:t>
      </w:r>
      <w:r w:rsidRPr="00ED38E9" w:rsidR="00FD0FBE">
        <w:rPr>
          <w:rFonts w:cs="Arial"/>
        </w:rPr>
        <w:t>.</w:t>
      </w:r>
    </w:p>
    <w:p w:rsidR="00257E70" w:rsidRPr="00ED38E9" w:rsidP="00BF16B7" w14:paraId="58652C9C" w14:textId="77777777">
      <w:pPr>
        <w:pStyle w:val="Heading3"/>
      </w:pPr>
      <w:r w:rsidRPr="00ED38E9">
        <w:t>Varianta 1</w:t>
      </w:r>
    </w:p>
    <w:p w:rsidR="00257E70" w:rsidP="00936929" w14:paraId="3C6D4BA4" w14:textId="4AD36607">
      <w:pPr>
        <w:rPr>
          <w:rFonts w:cs="Arial"/>
        </w:rPr>
      </w:pPr>
      <w:r w:rsidRPr="00ED38E9">
        <w:rPr>
          <w:rFonts w:cs="Arial"/>
        </w:rPr>
        <w:t xml:space="preserve">Rozšíření registru míst </w:t>
      </w:r>
      <w:r w:rsidR="00C06BC4">
        <w:rPr>
          <w:rFonts w:cs="Arial"/>
        </w:rPr>
        <w:t>ZO</w:t>
      </w:r>
      <w:r w:rsidRPr="00ED38E9">
        <w:rPr>
          <w:rFonts w:cs="Arial"/>
        </w:rPr>
        <w:t xml:space="preserve"> i na odpadní baterie a akumulátory a odpadní pneumatiky a jeho propojení s informačním systémem pro vedení informací o vozidlech s ukončenou životností.</w:t>
      </w:r>
    </w:p>
    <w:p w:rsidR="00C14F33" w:rsidP="00936929" w14:paraId="662470C5" w14:textId="77777777">
      <w:pPr>
        <w:rPr>
          <w:rFonts w:cs="Arial"/>
        </w:rPr>
      </w:pPr>
    </w:p>
    <w:p w:rsidR="00257E70" w:rsidRPr="00ED38E9" w:rsidP="005D660F" w14:paraId="1D20B5E6" w14:textId="77777777">
      <w:pPr>
        <w:pStyle w:val="Heading2"/>
      </w:pPr>
      <w:bookmarkStart w:id="26" w:name="_Toc441759836"/>
      <w:r w:rsidRPr="00ED38E9">
        <w:t>Vyhodnocení nákladů a přínosů</w:t>
      </w:r>
      <w:bookmarkEnd w:id="26"/>
    </w:p>
    <w:p w:rsidR="00257E70" w:rsidRPr="00ED38E9" w:rsidP="00BF16B7" w14:paraId="0AEEFD58" w14:textId="77777777">
      <w:pPr>
        <w:pStyle w:val="Heading3"/>
      </w:pPr>
      <w:r w:rsidRPr="00ED38E9">
        <w:t>Identifikace nákladů a přínosů</w:t>
      </w:r>
    </w:p>
    <w:p w:rsidR="00257E70" w:rsidRPr="00221615" w:rsidP="003C445B" w14:paraId="0D79C2B5" w14:textId="77777777">
      <w:pPr>
        <w:pStyle w:val="ListParagraph"/>
        <w:numPr>
          <w:ilvl w:val="0"/>
          <w:numId w:val="5"/>
        </w:numPr>
        <w:spacing w:after="0"/>
        <w:contextualSpacing w:val="0"/>
        <w:rPr>
          <w:rFonts w:cs="Arial"/>
          <w:b/>
          <w:bCs/>
          <w:noProof w:val="0"/>
        </w:rPr>
      </w:pPr>
      <w:r w:rsidRPr="00221615">
        <w:rPr>
          <w:rFonts w:cs="Arial"/>
          <w:b/>
          <w:bCs/>
          <w:noProof w:val="0"/>
        </w:rPr>
        <w:t>Varianta 0</w:t>
      </w:r>
    </w:p>
    <w:p w:rsidR="00257E70" w:rsidRPr="00ED38E9" w:rsidP="00936929" w14:paraId="132F53E7" w14:textId="0000E702">
      <w:pPr>
        <w:rPr>
          <w:rFonts w:cs="Arial"/>
        </w:rPr>
      </w:pPr>
      <w:r>
        <w:rPr>
          <w:rFonts w:cs="Arial"/>
        </w:rPr>
        <w:t>V současnosti je</w:t>
      </w:r>
      <w:r w:rsidRPr="00ED38E9">
        <w:rPr>
          <w:rFonts w:cs="Arial"/>
        </w:rPr>
        <w:t xml:space="preserve"> spotřebitel o způsobu </w:t>
      </w:r>
      <w:r w:rsidR="00C06BC4">
        <w:rPr>
          <w:rFonts w:cs="Arial"/>
        </w:rPr>
        <w:t>ZO</w:t>
      </w:r>
      <w:r w:rsidRPr="00ED38E9">
        <w:rPr>
          <w:rFonts w:cs="Arial"/>
        </w:rPr>
        <w:t xml:space="preserve"> nebo odděleného sběru informován </w:t>
      </w:r>
      <w:r w:rsidR="00935FB1">
        <w:rPr>
          <w:rFonts w:cs="Arial"/>
        </w:rPr>
        <w:t xml:space="preserve">především </w:t>
      </w:r>
      <w:r w:rsidRPr="00ED38E9">
        <w:rPr>
          <w:rFonts w:cs="Arial"/>
        </w:rPr>
        <w:t xml:space="preserve">v době nákupu. Výrobci, místa </w:t>
      </w:r>
      <w:r w:rsidR="00C06BC4">
        <w:rPr>
          <w:rFonts w:cs="Arial"/>
        </w:rPr>
        <w:t>ZO</w:t>
      </w:r>
      <w:r w:rsidRPr="00ED38E9">
        <w:rPr>
          <w:rFonts w:cs="Arial"/>
        </w:rPr>
        <w:t xml:space="preserve"> a </w:t>
      </w:r>
      <w:r w:rsidR="00935FB1">
        <w:rPr>
          <w:rFonts w:cs="Arial"/>
        </w:rPr>
        <w:t>jejich dostupnost</w:t>
      </w:r>
      <w:r w:rsidRPr="00ED38E9" w:rsidR="00935FB1">
        <w:rPr>
          <w:rFonts w:cs="Arial"/>
        </w:rPr>
        <w:t xml:space="preserve"> </w:t>
      </w:r>
      <w:r w:rsidRPr="00ED38E9">
        <w:rPr>
          <w:rFonts w:cs="Arial"/>
        </w:rPr>
        <w:t>se mění</w:t>
      </w:r>
      <w:r w:rsidR="00935FB1">
        <w:rPr>
          <w:rFonts w:cs="Arial"/>
        </w:rPr>
        <w:t>,</w:t>
      </w:r>
      <w:r w:rsidRPr="00ED38E9">
        <w:rPr>
          <w:rFonts w:cs="Arial"/>
        </w:rPr>
        <w:t xml:space="preserve"> a tak informace předané při</w:t>
      </w:r>
      <w:r w:rsidR="00C06BC4">
        <w:rPr>
          <w:rFonts w:cs="Arial"/>
        </w:rPr>
        <w:t> </w:t>
      </w:r>
      <w:r w:rsidRPr="00ED38E9">
        <w:rPr>
          <w:rFonts w:cs="Arial"/>
        </w:rPr>
        <w:t xml:space="preserve">koupi nemusí být </w:t>
      </w:r>
      <w:r w:rsidR="001120A5">
        <w:rPr>
          <w:rFonts w:cs="Arial"/>
        </w:rPr>
        <w:t xml:space="preserve">v době ukončené životnosti výrobku </w:t>
      </w:r>
      <w:r w:rsidRPr="00ED38E9">
        <w:rPr>
          <w:rFonts w:cs="Arial"/>
        </w:rPr>
        <w:t>aktuální.</w:t>
      </w:r>
    </w:p>
    <w:p w:rsidR="00553090" w:rsidP="00936929" w14:paraId="19B27699" w14:textId="5E8738A9">
      <w:pPr>
        <w:rPr>
          <w:rFonts w:cs="Arial"/>
        </w:rPr>
      </w:pPr>
      <w:r w:rsidRPr="00ED38E9">
        <w:rPr>
          <w:rFonts w:cs="Arial"/>
        </w:rPr>
        <w:t xml:space="preserve">Konečnému uživateli se nabízí mnoho míst k odevzdání výrobku s ukončenou životností, ale získání informací </w:t>
      </w:r>
      <w:r w:rsidR="00935FB1">
        <w:rPr>
          <w:rFonts w:cs="Arial"/>
        </w:rPr>
        <w:t>o</w:t>
      </w:r>
      <w:r w:rsidRPr="00ED38E9">
        <w:rPr>
          <w:rFonts w:cs="Arial"/>
        </w:rPr>
        <w:t> </w:t>
      </w:r>
      <w:r w:rsidR="001120A5">
        <w:rPr>
          <w:rFonts w:cs="Arial"/>
        </w:rPr>
        <w:t>nejbližším vhodném</w:t>
      </w:r>
      <w:r w:rsidRPr="00ED38E9" w:rsidR="001120A5">
        <w:rPr>
          <w:rFonts w:cs="Arial"/>
        </w:rPr>
        <w:t xml:space="preserve"> </w:t>
      </w:r>
      <w:r w:rsidRPr="00ED38E9">
        <w:rPr>
          <w:rFonts w:cs="Arial"/>
        </w:rPr>
        <w:t>míst</w:t>
      </w:r>
      <w:r w:rsidR="00935FB1">
        <w:rPr>
          <w:rFonts w:cs="Arial"/>
        </w:rPr>
        <w:t>ě</w:t>
      </w:r>
      <w:r w:rsidRPr="00ED38E9">
        <w:rPr>
          <w:rFonts w:cs="Arial"/>
        </w:rPr>
        <w:t xml:space="preserve"> je složité</w:t>
      </w:r>
      <w:r w:rsidR="00935FB1">
        <w:rPr>
          <w:rFonts w:cs="Arial"/>
        </w:rPr>
        <w:t>, a to</w:t>
      </w:r>
      <w:r w:rsidRPr="00ED38E9">
        <w:rPr>
          <w:rFonts w:cs="Arial"/>
        </w:rPr>
        <w:t xml:space="preserve"> i v případě, že má uživatel možnost hledat informace na internetu. Většinu výrobků s ukončenou životností je možné odevzdat při koupi nového výrobku, ve sběrném dvoře, do kontejneru či </w:t>
      </w:r>
      <w:r w:rsidR="005A0204">
        <w:rPr>
          <w:rFonts w:cs="Arial"/>
        </w:rPr>
        <w:t xml:space="preserve">sběrného boxu </w:t>
      </w:r>
      <w:r w:rsidRPr="00ED38E9">
        <w:rPr>
          <w:rFonts w:cs="Arial"/>
        </w:rPr>
        <w:t>některého z kolektivních systémů. T</w:t>
      </w:r>
      <w:r w:rsidR="005A0204">
        <w:rPr>
          <w:rFonts w:cs="Arial"/>
        </w:rPr>
        <w:t>akto</w:t>
      </w:r>
      <w:r w:rsidRPr="00ED38E9">
        <w:rPr>
          <w:rFonts w:cs="Arial"/>
        </w:rPr>
        <w:t xml:space="preserve"> se nabízí mnoho míst </w:t>
      </w:r>
      <w:r w:rsidR="00C06BC4">
        <w:rPr>
          <w:rFonts w:cs="Arial"/>
        </w:rPr>
        <w:t>ZO</w:t>
      </w:r>
      <w:r w:rsidRPr="00ED38E9">
        <w:rPr>
          <w:rFonts w:cs="Arial"/>
        </w:rPr>
        <w:t xml:space="preserve"> s odlišnou dostupností.</w:t>
      </w:r>
      <w:r w:rsidR="005A0204">
        <w:rPr>
          <w:rFonts w:cs="Arial"/>
        </w:rPr>
        <w:t xml:space="preserve"> </w:t>
      </w:r>
      <w:r w:rsidRPr="00ED38E9" w:rsidR="0024251A">
        <w:rPr>
          <w:rFonts w:cs="Arial"/>
        </w:rPr>
        <w:t>C</w:t>
      </w:r>
      <w:r w:rsidRPr="00ED38E9" w:rsidR="00FD0FBE">
        <w:rPr>
          <w:rFonts w:cs="Arial"/>
        </w:rPr>
        <w:t xml:space="preserve">elkově odhadujeme, že </w:t>
      </w:r>
      <w:r w:rsidR="001120A5">
        <w:rPr>
          <w:rFonts w:cs="Arial"/>
        </w:rPr>
        <w:t xml:space="preserve">počet </w:t>
      </w:r>
      <w:r w:rsidRPr="00ED38E9" w:rsidR="00FD0FBE">
        <w:rPr>
          <w:rFonts w:cs="Arial"/>
        </w:rPr>
        <w:t>míst, kde je možné odevzdat odpadní elektrozařízení, baterie a</w:t>
      </w:r>
      <w:r w:rsidRPr="00ED38E9" w:rsidR="003A677D">
        <w:rPr>
          <w:rFonts w:cs="Arial"/>
        </w:rPr>
        <w:t> </w:t>
      </w:r>
      <w:r w:rsidRPr="00ED38E9" w:rsidR="00FD0FBE">
        <w:rPr>
          <w:rFonts w:cs="Arial"/>
        </w:rPr>
        <w:t>akumulátory</w:t>
      </w:r>
      <w:r w:rsidR="00862A9A">
        <w:rPr>
          <w:rFonts w:cs="Arial"/>
        </w:rPr>
        <w:t xml:space="preserve"> a </w:t>
      </w:r>
      <w:r w:rsidRPr="00ED38E9" w:rsidR="003A677D">
        <w:rPr>
          <w:rFonts w:cs="Arial"/>
        </w:rPr>
        <w:t xml:space="preserve">pneumatiky je </w:t>
      </w:r>
      <w:r w:rsidR="005A0204">
        <w:rPr>
          <w:rFonts w:cs="Arial"/>
        </w:rPr>
        <w:t xml:space="preserve">v současnosti </w:t>
      </w:r>
      <w:r w:rsidRPr="00ED38E9" w:rsidR="001120A5">
        <w:rPr>
          <w:rFonts w:cs="Arial"/>
        </w:rPr>
        <w:t>v </w:t>
      </w:r>
      <w:r w:rsidR="00D9349C">
        <w:rPr>
          <w:rFonts w:cs="Arial"/>
        </w:rPr>
        <w:t>ČR</w:t>
      </w:r>
      <w:r w:rsidRPr="00ED38E9" w:rsidR="001120A5">
        <w:rPr>
          <w:rFonts w:cs="Arial"/>
        </w:rPr>
        <w:t xml:space="preserve"> </w:t>
      </w:r>
      <w:r w:rsidRPr="00ED38E9" w:rsidR="003A677D">
        <w:rPr>
          <w:rFonts w:cs="Arial"/>
        </w:rPr>
        <w:t>cca</w:t>
      </w:r>
      <w:r w:rsidR="00D9349C">
        <w:rPr>
          <w:rFonts w:cs="Arial"/>
        </w:rPr>
        <w:t> </w:t>
      </w:r>
      <w:r w:rsidR="001120A5">
        <w:rPr>
          <w:rFonts w:cs="Arial"/>
        </w:rPr>
        <w:t>32</w:t>
      </w:r>
      <w:r w:rsidR="00D9349C">
        <w:rPr>
          <w:rFonts w:cs="Arial"/>
        </w:rPr>
        <w:t> </w:t>
      </w:r>
      <w:r w:rsidRPr="00ED38E9" w:rsidR="003A677D">
        <w:rPr>
          <w:rFonts w:cs="Arial"/>
        </w:rPr>
        <w:t>tis.</w:t>
      </w:r>
    </w:p>
    <w:p w:rsidR="00257E70" w:rsidRPr="00ED38E9" w:rsidP="00936929" w14:paraId="6E7C8F77" w14:textId="77777777">
      <w:pPr>
        <w:rPr>
          <w:rFonts w:cs="Arial"/>
        </w:rPr>
      </w:pPr>
    </w:p>
    <w:p w:rsidR="00257E70" w:rsidRPr="00221615" w:rsidP="003C445B" w14:paraId="3B98B7CD" w14:textId="77777777">
      <w:pPr>
        <w:pStyle w:val="ListParagraph"/>
        <w:numPr>
          <w:ilvl w:val="0"/>
          <w:numId w:val="5"/>
        </w:numPr>
        <w:spacing w:after="0"/>
        <w:contextualSpacing w:val="0"/>
        <w:rPr>
          <w:rFonts w:cs="Arial"/>
          <w:b/>
          <w:noProof w:val="0"/>
        </w:rPr>
      </w:pPr>
      <w:r w:rsidRPr="00221615">
        <w:rPr>
          <w:rFonts w:cs="Arial"/>
          <w:b/>
          <w:bCs/>
          <w:noProof w:val="0"/>
        </w:rPr>
        <w:t>Varianta</w:t>
      </w:r>
      <w:r w:rsidRPr="00221615">
        <w:rPr>
          <w:rFonts w:cs="Arial"/>
          <w:b/>
          <w:noProof w:val="0"/>
        </w:rPr>
        <w:t xml:space="preserve"> 1</w:t>
      </w:r>
    </w:p>
    <w:p w:rsidR="00257E70" w:rsidRPr="00ED38E9" w:rsidP="00C14F33" w14:paraId="6CCFF8C7" w14:textId="77777777">
      <w:pPr>
        <w:pStyle w:val="Normlntun"/>
        <w:spacing w:before="120" w:after="0" w:line="276" w:lineRule="auto"/>
        <w:rPr>
          <w:rFonts w:cs="Arial"/>
        </w:rPr>
      </w:pPr>
      <w:r w:rsidRPr="00ED38E9">
        <w:rPr>
          <w:rFonts w:cs="Arial"/>
        </w:rPr>
        <w:t>Dopad na státní rozpočet a ostatní veřejné rozpočty</w:t>
      </w:r>
    </w:p>
    <w:p w:rsidR="00257E70" w:rsidP="00936929" w14:paraId="0187EB2C" w14:textId="7A1EDE32">
      <w:pPr>
        <w:rPr>
          <w:rFonts w:cs="Arial"/>
        </w:rPr>
      </w:pPr>
      <w:r w:rsidRPr="00ED38E9">
        <w:rPr>
          <w:rFonts w:cs="Arial"/>
        </w:rPr>
        <w:t xml:space="preserve">Registr míst </w:t>
      </w:r>
      <w:r w:rsidR="00C06BC4">
        <w:rPr>
          <w:rFonts w:cs="Arial"/>
        </w:rPr>
        <w:t>ZO</w:t>
      </w:r>
      <w:r w:rsidRPr="00ED38E9">
        <w:rPr>
          <w:rFonts w:cs="Arial"/>
        </w:rPr>
        <w:t xml:space="preserve"> </w:t>
      </w:r>
      <w:r w:rsidRPr="00ED38E9" w:rsidR="0024251A">
        <w:rPr>
          <w:rFonts w:cs="Arial"/>
        </w:rPr>
        <w:t xml:space="preserve">v oblasti EEZ </w:t>
      </w:r>
      <w:r w:rsidRPr="00ED38E9">
        <w:rPr>
          <w:rFonts w:cs="Arial"/>
        </w:rPr>
        <w:t xml:space="preserve">provozovaný ministerstvem </w:t>
      </w:r>
      <w:r w:rsidRPr="00ED38E9" w:rsidR="00DE6B78">
        <w:rPr>
          <w:rFonts w:cs="Arial"/>
        </w:rPr>
        <w:t xml:space="preserve">je </w:t>
      </w:r>
      <w:r w:rsidRPr="00ED38E9">
        <w:rPr>
          <w:rFonts w:cs="Arial"/>
        </w:rPr>
        <w:t xml:space="preserve">již </w:t>
      </w:r>
      <w:r w:rsidRPr="00ED38E9" w:rsidR="00DE6B78">
        <w:rPr>
          <w:rFonts w:cs="Arial"/>
        </w:rPr>
        <w:t>funkční</w:t>
      </w:r>
      <w:r w:rsidRPr="00ED38E9">
        <w:rPr>
          <w:rFonts w:cs="Arial"/>
        </w:rPr>
        <w:t xml:space="preserve">. </w:t>
      </w:r>
      <w:r w:rsidR="00ED3E2E">
        <w:t>O</w:t>
      </w:r>
      <w:r w:rsidRPr="00763A9B" w:rsidR="00ED3E2E">
        <w:t xml:space="preserve">dhadované náklady </w:t>
      </w:r>
      <w:r w:rsidR="00ED3E2E">
        <w:rPr>
          <w:rFonts w:cs="Arial"/>
        </w:rPr>
        <w:t>na j</w:t>
      </w:r>
      <w:r w:rsidRPr="00ED38E9" w:rsidR="00ED3E2E">
        <w:rPr>
          <w:rFonts w:cs="Arial"/>
        </w:rPr>
        <w:t>eho rozšíření o další komodity</w:t>
      </w:r>
      <w:r w:rsidR="00ED3E2E">
        <w:rPr>
          <w:rFonts w:cs="Arial"/>
        </w:rPr>
        <w:t xml:space="preserve">, tzn. </w:t>
      </w:r>
      <w:r w:rsidRPr="00763A9B" w:rsidR="00ED3E2E">
        <w:t>na realizaci úprav v</w:t>
      </w:r>
      <w:r w:rsidR="00ED3E2E">
        <w:t> </w:t>
      </w:r>
      <w:r w:rsidRPr="00763A9B" w:rsidR="00ED3E2E">
        <w:t xml:space="preserve">systémech ISOH a MA ISOH </w:t>
      </w:r>
      <w:r w:rsidR="00ED3E2E">
        <w:t>se dle konzultace</w:t>
      </w:r>
      <w:r w:rsidRPr="00763A9B" w:rsidR="00ED3E2E">
        <w:t xml:space="preserve"> pohyb</w:t>
      </w:r>
      <w:r w:rsidR="00ED3E2E">
        <w:t>ují</w:t>
      </w:r>
      <w:r w:rsidRPr="00763A9B" w:rsidR="00ED3E2E">
        <w:t xml:space="preserve"> kolem </w:t>
      </w:r>
      <w:r w:rsidR="00ED3E2E">
        <w:t>1,4 mil. Kč (včetně</w:t>
      </w:r>
      <w:r w:rsidRPr="00763A9B" w:rsidR="00ED3E2E">
        <w:t xml:space="preserve"> DPH)</w:t>
      </w:r>
      <w:r w:rsidR="00ED3E2E">
        <w:t>, a to i za </w:t>
      </w:r>
      <w:r w:rsidRPr="00763A9B" w:rsidR="00ED3E2E">
        <w:t>předpokladu upgradu stávajících řešení.</w:t>
      </w:r>
      <w:r w:rsidR="00ED3E2E">
        <w:t xml:space="preserve"> </w:t>
      </w:r>
      <w:r w:rsidRPr="006E7DA0">
        <w:rPr>
          <w:rFonts w:cs="Arial"/>
        </w:rPr>
        <w:t xml:space="preserve">Další náklady ministerstva </w:t>
      </w:r>
      <w:r w:rsidRPr="00221615" w:rsidR="006E7DA0">
        <w:rPr>
          <w:rFonts w:cs="Arial"/>
        </w:rPr>
        <w:t>jsou spojeny</w:t>
      </w:r>
      <w:r w:rsidRPr="006E7DA0" w:rsidR="006E7DA0">
        <w:rPr>
          <w:rFonts w:cs="Arial"/>
        </w:rPr>
        <w:t xml:space="preserve"> </w:t>
      </w:r>
      <w:r w:rsidRPr="006E7DA0">
        <w:rPr>
          <w:rFonts w:cs="Arial"/>
        </w:rPr>
        <w:t>s distribucí přístupov</w:t>
      </w:r>
      <w:r w:rsidRPr="00221615" w:rsidR="00DA7AE9">
        <w:rPr>
          <w:rFonts w:cs="Arial"/>
        </w:rPr>
        <w:t>ý</w:t>
      </w:r>
      <w:r w:rsidRPr="006E7DA0">
        <w:rPr>
          <w:rFonts w:cs="Arial"/>
        </w:rPr>
        <w:t>ch údajů povinným osobám</w:t>
      </w:r>
      <w:r w:rsidRPr="006E7DA0" w:rsidR="0024251A">
        <w:rPr>
          <w:rFonts w:cs="Arial"/>
        </w:rPr>
        <w:t>. P</w:t>
      </w:r>
      <w:r w:rsidRPr="006E7DA0">
        <w:rPr>
          <w:rFonts w:cs="Arial"/>
        </w:rPr>
        <w:t>ředpokládáme, že se bude jednat přibližně o jeden pracovní den jednoho zaměstnance (cca</w:t>
      </w:r>
      <w:r w:rsidR="000A77E7">
        <w:rPr>
          <w:rFonts w:cs="Arial"/>
        </w:rPr>
        <w:t> </w:t>
      </w:r>
      <w:r w:rsidRPr="006E7DA0">
        <w:rPr>
          <w:rFonts w:cs="Arial"/>
        </w:rPr>
        <w:t>3</w:t>
      </w:r>
      <w:r w:rsidRPr="00221615" w:rsidR="006E7DA0">
        <w:rPr>
          <w:rFonts w:cs="Arial"/>
        </w:rPr>
        <w:t>,5</w:t>
      </w:r>
      <w:r w:rsidRPr="006E7DA0">
        <w:rPr>
          <w:rFonts w:cs="Arial"/>
        </w:rPr>
        <w:t> tis. Kč, dle</w:t>
      </w:r>
      <w:r w:rsidR="004114EA">
        <w:rPr>
          <w:rFonts w:cs="Arial"/>
        </w:rPr>
        <w:t> </w:t>
      </w:r>
      <w:r w:rsidRPr="006E7DA0">
        <w:rPr>
          <w:rFonts w:cs="Arial"/>
        </w:rPr>
        <w:t>Metodiky MV) a uvedená činnost bude v rámci pracovní náplně pracovníka odboru odpadů. Uvedené náklady na rozšíření aplikace budou hrazeny z kapitoly 315 M</w:t>
      </w:r>
      <w:r w:rsidR="00ED3E2E">
        <w:rPr>
          <w:rFonts w:cs="Arial"/>
        </w:rPr>
        <w:t>inisterstva životního prostředí, z </w:t>
      </w:r>
      <w:r w:rsidRPr="00A702B5" w:rsidR="00ED3E2E">
        <w:t>programu 115</w:t>
      </w:r>
      <w:r w:rsidR="00ED3E2E">
        <w:t> </w:t>
      </w:r>
      <w:r w:rsidRPr="00A702B5" w:rsidR="00ED3E2E">
        <w:t>030</w:t>
      </w:r>
      <w:r w:rsidR="00ED3E2E">
        <w:t>.</w:t>
      </w:r>
    </w:p>
    <w:p w:rsidR="00257E70" w:rsidRPr="00ED38E9" w:rsidP="00C14F33" w14:paraId="31E6269B" w14:textId="77777777">
      <w:pPr>
        <w:pStyle w:val="Normlntun"/>
        <w:spacing w:before="240" w:after="0" w:line="276" w:lineRule="auto"/>
        <w:rPr>
          <w:rFonts w:cs="Arial"/>
        </w:rPr>
      </w:pPr>
      <w:r w:rsidRPr="00ED38E9">
        <w:rPr>
          <w:rFonts w:cs="Arial"/>
        </w:rPr>
        <w:t>Dopad na podnikatelské subjekty – kolektivní plnění povinností</w:t>
      </w:r>
    </w:p>
    <w:p w:rsidR="00257E70" w:rsidRPr="00ED38E9" w:rsidP="004114EA" w14:paraId="6563E55E" w14:textId="179712FF">
      <w:pPr>
        <w:rPr>
          <w:rFonts w:cs="Arial"/>
        </w:rPr>
      </w:pPr>
      <w:r w:rsidRPr="006575AA">
        <w:rPr>
          <w:rFonts w:cs="Arial"/>
        </w:rPr>
        <w:t xml:space="preserve">Výrobci spadající pod kolektivní systém budou </w:t>
      </w:r>
      <w:r w:rsidRPr="006575AA" w:rsidR="005A0204">
        <w:rPr>
          <w:rFonts w:cs="Arial"/>
        </w:rPr>
        <w:t xml:space="preserve">informace o </w:t>
      </w:r>
      <w:r w:rsidRPr="006575AA">
        <w:rPr>
          <w:rFonts w:cs="Arial"/>
        </w:rPr>
        <w:t>míst</w:t>
      </w:r>
      <w:r w:rsidRPr="006575AA" w:rsidR="005A0204">
        <w:rPr>
          <w:rFonts w:cs="Arial"/>
        </w:rPr>
        <w:t>ech</w:t>
      </w:r>
      <w:r w:rsidRPr="006575AA">
        <w:rPr>
          <w:rFonts w:cs="Arial"/>
        </w:rPr>
        <w:t xml:space="preserve"> </w:t>
      </w:r>
      <w:r w:rsidR="00C06BC4">
        <w:rPr>
          <w:rFonts w:cs="Arial"/>
        </w:rPr>
        <w:t>ZO</w:t>
      </w:r>
      <w:r w:rsidRPr="006575AA">
        <w:rPr>
          <w:rFonts w:cs="Arial"/>
        </w:rPr>
        <w:t xml:space="preserve"> hlásit přes tento subjekt, </w:t>
      </w:r>
      <w:r w:rsidRPr="00937FFC">
        <w:rPr>
          <w:rFonts w:cs="Arial"/>
        </w:rPr>
        <w:t>tzn. minimální administrativní zátěž, protože očekáváme propojení softwarových systémů</w:t>
      </w:r>
      <w:r w:rsidRPr="00937FFC" w:rsidR="00DE6B78">
        <w:rPr>
          <w:rFonts w:cs="Arial"/>
        </w:rPr>
        <w:t>.</w:t>
      </w:r>
      <w:r w:rsidR="005E0B3E">
        <w:rPr>
          <w:rFonts w:cs="Arial"/>
        </w:rPr>
        <w:t xml:space="preserve"> Náklady na propojení systémů se odhadují na 30 tis. Kč.</w:t>
      </w:r>
    </w:p>
    <w:p w:rsidR="00257E70" w:rsidRPr="00ED38E9" w:rsidP="00C14F33" w14:paraId="2D64F402" w14:textId="77777777">
      <w:pPr>
        <w:pStyle w:val="Normlntun"/>
        <w:spacing w:before="240" w:after="0" w:line="276" w:lineRule="auto"/>
        <w:rPr>
          <w:rFonts w:cs="Arial"/>
        </w:rPr>
      </w:pPr>
      <w:r w:rsidRPr="00ED38E9">
        <w:rPr>
          <w:rFonts w:cs="Arial"/>
        </w:rPr>
        <w:t xml:space="preserve">Dopad na </w:t>
      </w:r>
      <w:r w:rsidRPr="008503E5">
        <w:rPr>
          <w:rStyle w:val="Strong"/>
          <w:rFonts w:cs="Arial"/>
          <w:b/>
        </w:rPr>
        <w:t>podnikatelské</w:t>
      </w:r>
      <w:r w:rsidRPr="00ED38E9">
        <w:rPr>
          <w:rFonts w:cs="Arial"/>
        </w:rPr>
        <w:t xml:space="preserve"> subjekty – individuální plnění povinností</w:t>
      </w:r>
    </w:p>
    <w:p w:rsidR="00257E70" w:rsidRPr="00ED38E9" w:rsidP="00936929" w14:paraId="14F1CF10" w14:textId="58CD4EB0">
      <w:pPr>
        <w:rPr>
          <w:rFonts w:cs="Arial"/>
        </w:rPr>
      </w:pPr>
      <w:r w:rsidRPr="00ED38E9">
        <w:rPr>
          <w:rFonts w:cs="Arial"/>
        </w:rPr>
        <w:t>Co se týče individuálně plnících výrobců, předpokládáme minimální náklady spojené s touto povinností</w:t>
      </w:r>
      <w:r w:rsidR="001120A5">
        <w:rPr>
          <w:rFonts w:cs="Arial"/>
        </w:rPr>
        <w:t>.</w:t>
      </w:r>
      <w:r w:rsidRPr="00ED38E9">
        <w:rPr>
          <w:rFonts w:cs="Arial"/>
        </w:rPr>
        <w:t xml:space="preserve"> </w:t>
      </w:r>
      <w:r w:rsidR="001120A5">
        <w:rPr>
          <w:rFonts w:cs="Arial"/>
        </w:rPr>
        <w:t>O</w:t>
      </w:r>
      <w:r w:rsidRPr="00ED38E9">
        <w:rPr>
          <w:rFonts w:cs="Arial"/>
        </w:rPr>
        <w:t>dhaduje</w:t>
      </w:r>
      <w:r w:rsidR="001120A5">
        <w:rPr>
          <w:rFonts w:cs="Arial"/>
        </w:rPr>
        <w:t xml:space="preserve"> s</w:t>
      </w:r>
      <w:r w:rsidRPr="00ED38E9">
        <w:rPr>
          <w:rFonts w:cs="Arial"/>
        </w:rPr>
        <w:t xml:space="preserve">e, že vyplnění údajů o jednom místě </w:t>
      </w:r>
      <w:r w:rsidR="00C06BC4">
        <w:rPr>
          <w:rFonts w:cs="Arial"/>
        </w:rPr>
        <w:t>ZO</w:t>
      </w:r>
      <w:r w:rsidRPr="00ED38E9">
        <w:rPr>
          <w:rFonts w:cs="Arial"/>
        </w:rPr>
        <w:t xml:space="preserve"> zabere i</w:t>
      </w:r>
      <w:r w:rsidR="00DA7AE9">
        <w:rPr>
          <w:rFonts w:cs="Arial"/>
        </w:rPr>
        <w:t> </w:t>
      </w:r>
      <w:r w:rsidRPr="00ED38E9">
        <w:rPr>
          <w:rFonts w:cs="Arial"/>
        </w:rPr>
        <w:t xml:space="preserve">s přihlášením maximálně 5 minut a tato činnost </w:t>
      </w:r>
      <w:r w:rsidRPr="00ED38E9" w:rsidR="00167563">
        <w:rPr>
          <w:rFonts w:cs="Arial"/>
        </w:rPr>
        <w:t xml:space="preserve">se bude </w:t>
      </w:r>
      <w:r w:rsidRPr="00ED38E9">
        <w:rPr>
          <w:rFonts w:cs="Arial"/>
        </w:rPr>
        <w:t xml:space="preserve">týkat jen výrobců s malým počtem míst </w:t>
      </w:r>
      <w:r w:rsidR="00C06BC4">
        <w:rPr>
          <w:rFonts w:cs="Arial"/>
        </w:rPr>
        <w:t>ZO</w:t>
      </w:r>
      <w:r w:rsidRPr="00ED38E9">
        <w:rPr>
          <w:rFonts w:cs="Arial"/>
        </w:rPr>
        <w:t>, protože ti větší již v dnešní době mají požadovaná data v elektro</w:t>
      </w:r>
      <w:r w:rsidRPr="00ED38E9" w:rsidR="00DE6B78">
        <w:rPr>
          <w:rFonts w:cs="Arial"/>
        </w:rPr>
        <w:t>n</w:t>
      </w:r>
      <w:r w:rsidRPr="00ED38E9">
        <w:rPr>
          <w:rFonts w:cs="Arial"/>
        </w:rPr>
        <w:t xml:space="preserve">ické podobě a budou </w:t>
      </w:r>
      <w:r w:rsidRPr="00ED38E9" w:rsidR="0024251A">
        <w:rPr>
          <w:rFonts w:cs="Arial"/>
        </w:rPr>
        <w:t xml:space="preserve">si </w:t>
      </w:r>
      <w:r w:rsidRPr="00ED38E9">
        <w:rPr>
          <w:rFonts w:cs="Arial"/>
        </w:rPr>
        <w:t>moci stejně jako kolektivní systémy nechat své systémy propojit.</w:t>
      </w:r>
    </w:p>
    <w:p w:rsidR="00257E70" w:rsidRPr="00ED38E9" w:rsidP="00C14F33" w14:paraId="19E9772A" w14:textId="77777777">
      <w:pPr>
        <w:pStyle w:val="Normlntun"/>
        <w:spacing w:before="240" w:after="0" w:line="276" w:lineRule="auto"/>
        <w:rPr>
          <w:rFonts w:cs="Arial"/>
        </w:rPr>
      </w:pPr>
      <w:r w:rsidRPr="00ED38E9">
        <w:rPr>
          <w:rFonts w:cs="Arial"/>
        </w:rPr>
        <w:t>Dopad na územní samosprávné celky (obce, kraje)</w:t>
      </w:r>
    </w:p>
    <w:p w:rsidR="00257E70" w:rsidRPr="00ED38E9" w:rsidP="00936929" w14:paraId="2C8D449A" w14:textId="77777777">
      <w:pPr>
        <w:rPr>
          <w:rFonts w:cs="Arial"/>
        </w:rPr>
      </w:pPr>
      <w:r w:rsidRPr="00ED38E9">
        <w:rPr>
          <w:rFonts w:cs="Arial"/>
        </w:rPr>
        <w:t>Každá činnost vedoucí k lepší informovanosti obyvatel</w:t>
      </w:r>
      <w:r w:rsidR="005A0204">
        <w:rPr>
          <w:rFonts w:cs="Arial"/>
        </w:rPr>
        <w:t xml:space="preserve"> v oblasti nakládání s odpady</w:t>
      </w:r>
      <w:r w:rsidRPr="00ED38E9">
        <w:rPr>
          <w:rFonts w:cs="Arial"/>
        </w:rPr>
        <w:t xml:space="preserve"> je</w:t>
      </w:r>
      <w:r w:rsidR="005A0204">
        <w:rPr>
          <w:rFonts w:cs="Arial"/>
        </w:rPr>
        <w:t xml:space="preserve"> nezpochybnitelným</w:t>
      </w:r>
      <w:r w:rsidRPr="00ED38E9">
        <w:rPr>
          <w:rFonts w:cs="Arial"/>
        </w:rPr>
        <w:t xml:space="preserve"> přínosem pro obce, protože </w:t>
      </w:r>
      <w:r w:rsidR="005A0204">
        <w:rPr>
          <w:rFonts w:cs="Arial"/>
        </w:rPr>
        <w:t>se snižuje pravděpodobnost, že občané budou výrobky odkládat v rámci směsného komunálního odpadu, a zároveň je snižováno i</w:t>
      </w:r>
      <w:r w:rsidR="00D009CA">
        <w:rPr>
          <w:rFonts w:cs="Arial"/>
        </w:rPr>
        <w:t> </w:t>
      </w:r>
      <w:r w:rsidR="005A0204">
        <w:rPr>
          <w:rFonts w:cs="Arial"/>
        </w:rPr>
        <w:t xml:space="preserve">riziko vzniku černých skládek. Řádné nakládání s odpady ze strany obyvatel </w:t>
      </w:r>
      <w:r w:rsidR="00A17F43">
        <w:rPr>
          <w:rFonts w:cs="Arial"/>
        </w:rPr>
        <w:t xml:space="preserve">tedy </w:t>
      </w:r>
      <w:r w:rsidR="005A0204">
        <w:rPr>
          <w:rFonts w:cs="Arial"/>
        </w:rPr>
        <w:t xml:space="preserve">snižuje </w:t>
      </w:r>
      <w:r w:rsidR="00A17F43">
        <w:rPr>
          <w:rFonts w:cs="Arial"/>
        </w:rPr>
        <w:t xml:space="preserve">celkové </w:t>
      </w:r>
      <w:r w:rsidR="005A0204">
        <w:rPr>
          <w:rFonts w:cs="Arial"/>
        </w:rPr>
        <w:t xml:space="preserve">náklady </w:t>
      </w:r>
      <w:r w:rsidR="00A17F43">
        <w:rPr>
          <w:rFonts w:cs="Arial"/>
        </w:rPr>
        <w:t xml:space="preserve">obcí na provozování </w:t>
      </w:r>
      <w:r w:rsidR="005A0204">
        <w:rPr>
          <w:rFonts w:cs="Arial"/>
        </w:rPr>
        <w:t>systém</w:t>
      </w:r>
      <w:r w:rsidR="00A17F43">
        <w:rPr>
          <w:rFonts w:cs="Arial"/>
        </w:rPr>
        <w:t>ů</w:t>
      </w:r>
      <w:r w:rsidR="005A0204">
        <w:rPr>
          <w:rFonts w:cs="Arial"/>
        </w:rPr>
        <w:t xml:space="preserve"> </w:t>
      </w:r>
      <w:r w:rsidR="00A17F43">
        <w:rPr>
          <w:rFonts w:cs="Arial"/>
        </w:rPr>
        <w:t>nakládání s odpady</w:t>
      </w:r>
      <w:r w:rsidR="005A0204">
        <w:rPr>
          <w:rFonts w:cs="Arial"/>
        </w:rPr>
        <w:t xml:space="preserve">. </w:t>
      </w:r>
    </w:p>
    <w:p w:rsidR="00257E70" w:rsidRPr="00ED38E9" w:rsidP="00C14F33" w14:paraId="497CA7A1" w14:textId="77777777">
      <w:pPr>
        <w:pStyle w:val="Normlntun"/>
        <w:spacing w:before="240" w:after="0" w:line="276" w:lineRule="auto"/>
        <w:rPr>
          <w:rFonts w:cs="Arial"/>
        </w:rPr>
      </w:pPr>
      <w:r w:rsidRPr="00ED38E9">
        <w:rPr>
          <w:rFonts w:cs="Arial"/>
        </w:rPr>
        <w:t>Sociální dopady a dopad na životní prostředí</w:t>
      </w:r>
    </w:p>
    <w:p w:rsidR="00257E70" w:rsidP="00936929" w14:paraId="4E37A9AC" w14:textId="3B54201F">
      <w:pPr>
        <w:rPr>
          <w:rFonts w:cs="Arial"/>
        </w:rPr>
      </w:pPr>
      <w:r w:rsidRPr="00ED38E9">
        <w:rPr>
          <w:rFonts w:cs="Arial"/>
        </w:rPr>
        <w:t xml:space="preserve">Přínosem této varianty je jednoduchý a rychlý přístup k informacím pro občany, kteří chtějí odevzdat </w:t>
      </w:r>
      <w:r w:rsidR="00C06BC4">
        <w:rPr>
          <w:rFonts w:cs="Arial"/>
        </w:rPr>
        <w:t>VUŽ</w:t>
      </w:r>
      <w:r w:rsidRPr="00ED38E9">
        <w:rPr>
          <w:rFonts w:cs="Arial"/>
        </w:rPr>
        <w:t xml:space="preserve"> v rámci </w:t>
      </w:r>
      <w:r w:rsidR="00C06BC4">
        <w:rPr>
          <w:rFonts w:cs="Arial"/>
        </w:rPr>
        <w:t>ZO</w:t>
      </w:r>
      <w:r w:rsidR="00A17F43">
        <w:rPr>
          <w:rFonts w:cs="Arial"/>
        </w:rPr>
        <w:t>,</w:t>
      </w:r>
      <w:r w:rsidRPr="00ED38E9">
        <w:rPr>
          <w:rFonts w:cs="Arial"/>
        </w:rPr>
        <w:t xml:space="preserve"> </w:t>
      </w:r>
      <w:r w:rsidR="0004161E">
        <w:rPr>
          <w:rFonts w:cs="Arial"/>
        </w:rPr>
        <w:t>což</w:t>
      </w:r>
      <w:r w:rsidRPr="00ED38E9">
        <w:rPr>
          <w:rFonts w:cs="Arial"/>
        </w:rPr>
        <w:t xml:space="preserve"> vede k efektivnějšímu nakládání s odpady a k menšímu množství odloženého odpadu mimo místa určená (černé skládky zatěžující životní prostředí</w:t>
      </w:r>
      <w:r w:rsidRPr="00ED38E9" w:rsidR="00DE6B78">
        <w:rPr>
          <w:rFonts w:cs="Arial"/>
        </w:rPr>
        <w:t xml:space="preserve"> nebo </w:t>
      </w:r>
      <w:r w:rsidR="00A17F43">
        <w:rPr>
          <w:rFonts w:cs="Arial"/>
        </w:rPr>
        <w:t>vyšší produkce</w:t>
      </w:r>
      <w:r w:rsidRPr="00ED38E9" w:rsidR="00DE6B78">
        <w:rPr>
          <w:rFonts w:cs="Arial"/>
        </w:rPr>
        <w:t xml:space="preserve"> směsný</w:t>
      </w:r>
      <w:r w:rsidR="00A17F43">
        <w:rPr>
          <w:rFonts w:cs="Arial"/>
        </w:rPr>
        <w:t>ch</w:t>
      </w:r>
      <w:r w:rsidRPr="00ED38E9" w:rsidR="00DE6B78">
        <w:rPr>
          <w:rFonts w:cs="Arial"/>
        </w:rPr>
        <w:t xml:space="preserve"> komunální</w:t>
      </w:r>
      <w:r w:rsidR="00A17F43">
        <w:rPr>
          <w:rFonts w:cs="Arial"/>
        </w:rPr>
        <w:t>ch</w:t>
      </w:r>
      <w:r w:rsidRPr="00ED38E9" w:rsidR="00DE6B78">
        <w:rPr>
          <w:rFonts w:cs="Arial"/>
        </w:rPr>
        <w:t xml:space="preserve"> odpad</w:t>
      </w:r>
      <w:r w:rsidR="00A17F43">
        <w:rPr>
          <w:rFonts w:cs="Arial"/>
        </w:rPr>
        <w:t>ů</w:t>
      </w:r>
      <w:r w:rsidRPr="00ED38E9">
        <w:rPr>
          <w:rFonts w:cs="Arial"/>
        </w:rPr>
        <w:t>).</w:t>
      </w:r>
    </w:p>
    <w:p w:rsidR="00257E70" w:rsidRPr="00ED38E9" w:rsidP="00BF16B7" w14:paraId="4E345D7C" w14:textId="77777777">
      <w:pPr>
        <w:pStyle w:val="Heading3"/>
      </w:pPr>
      <w:r w:rsidRPr="00ED38E9">
        <w:t>Vyhodnocení nákladů a přínosů variant</w:t>
      </w:r>
    </w:p>
    <w:p w:rsidR="00257E70" w:rsidRPr="00221615" w:rsidP="00892679" w14:paraId="49F34200" w14:textId="316AC5F4">
      <w:pPr>
        <w:pStyle w:val="Caption"/>
        <w:spacing w:before="120"/>
        <w:contextualSpacing w:val="0"/>
        <w:rPr>
          <w:rFonts w:cs="Arial"/>
          <w:sz w:val="20"/>
          <w:szCs w:val="20"/>
        </w:rPr>
      </w:pPr>
      <w:r w:rsidRPr="00221615">
        <w:rPr>
          <w:rFonts w:cs="Arial"/>
          <w:sz w:val="20"/>
          <w:szCs w:val="20"/>
        </w:rPr>
        <w:t xml:space="preserve">Tabulka </w:t>
      </w:r>
      <w:r w:rsidR="00D554FF">
        <w:rPr>
          <w:rFonts w:cs="Arial"/>
          <w:sz w:val="20"/>
          <w:szCs w:val="20"/>
        </w:rPr>
        <w:t>6</w:t>
      </w:r>
      <w:r w:rsidRPr="00221615">
        <w:rPr>
          <w:rFonts w:cs="Arial"/>
          <w:sz w:val="20"/>
          <w:szCs w:val="20"/>
        </w:rPr>
        <w:t>: Porovnání nákladů a přínosů</w:t>
      </w:r>
    </w:p>
    <w:tbl>
      <w:tblPr>
        <w:tblStyle w:val="TableGrid"/>
        <w:tblW w:w="0" w:type="auto"/>
        <w:tblLook w:val="04A0"/>
      </w:tblPr>
      <w:tblGrid>
        <w:gridCol w:w="1339"/>
        <w:gridCol w:w="1453"/>
        <w:gridCol w:w="1600"/>
        <w:gridCol w:w="1249"/>
        <w:gridCol w:w="1980"/>
        <w:gridCol w:w="1441"/>
      </w:tblGrid>
      <w:tr w14:paraId="5AE700A5" w14:textId="77777777" w:rsidTr="00B2592C">
        <w:tblPrEx>
          <w:tblW w:w="0" w:type="auto"/>
          <w:tblLook w:val="04A0"/>
        </w:tblPrEx>
        <w:trPr>
          <w:trHeight w:val="421"/>
        </w:trPr>
        <w:tc>
          <w:tcPr>
            <w:tcW w:w="1339" w:type="dxa"/>
            <w:noWrap/>
            <w:vAlign w:val="center"/>
            <w:hideMark/>
          </w:tcPr>
          <w:p w:rsidR="001401DA" w:rsidRPr="008A08F3" w:rsidP="00C1498C" w14:paraId="1437DFAE" w14:textId="77777777">
            <w:pPr>
              <w:jc w:val="center"/>
              <w:rPr>
                <w:b/>
                <w:bCs/>
                <w:sz w:val="20"/>
                <w:szCs w:val="20"/>
              </w:rPr>
            </w:pPr>
            <w:r w:rsidRPr="008A08F3">
              <w:rPr>
                <w:b/>
                <w:bCs/>
                <w:sz w:val="20"/>
                <w:szCs w:val="20"/>
              </w:rPr>
              <w:t>Varianta</w:t>
            </w:r>
          </w:p>
        </w:tc>
        <w:tc>
          <w:tcPr>
            <w:tcW w:w="1454" w:type="dxa"/>
            <w:noWrap/>
            <w:vAlign w:val="center"/>
            <w:hideMark/>
          </w:tcPr>
          <w:p w:rsidR="001401DA" w:rsidRPr="008A08F3" w:rsidP="00C1498C" w14:paraId="3E8CDC58" w14:textId="77777777">
            <w:pPr>
              <w:jc w:val="center"/>
              <w:rPr>
                <w:b/>
                <w:bCs/>
                <w:sz w:val="20"/>
                <w:szCs w:val="20"/>
              </w:rPr>
            </w:pPr>
            <w:r w:rsidRPr="008A08F3">
              <w:rPr>
                <w:b/>
                <w:bCs/>
                <w:sz w:val="20"/>
                <w:szCs w:val="20"/>
              </w:rPr>
              <w:t>Stručný obsah</w:t>
            </w:r>
          </w:p>
        </w:tc>
        <w:tc>
          <w:tcPr>
            <w:tcW w:w="1601" w:type="dxa"/>
            <w:noWrap/>
            <w:vAlign w:val="center"/>
            <w:hideMark/>
          </w:tcPr>
          <w:p w:rsidR="001401DA" w:rsidRPr="008A08F3" w:rsidP="00C1498C" w14:paraId="3CEDF668" w14:textId="77777777">
            <w:pPr>
              <w:jc w:val="center"/>
              <w:rPr>
                <w:b/>
                <w:bCs/>
                <w:sz w:val="20"/>
                <w:szCs w:val="20"/>
              </w:rPr>
            </w:pPr>
            <w:r w:rsidRPr="008A08F3">
              <w:rPr>
                <w:b/>
                <w:bCs/>
                <w:sz w:val="20"/>
                <w:szCs w:val="20"/>
              </w:rPr>
              <w:t>Přínosy</w:t>
            </w:r>
          </w:p>
        </w:tc>
        <w:tc>
          <w:tcPr>
            <w:tcW w:w="1245" w:type="dxa"/>
            <w:noWrap/>
            <w:vAlign w:val="center"/>
            <w:hideMark/>
          </w:tcPr>
          <w:p w:rsidR="001401DA" w:rsidRPr="008A08F3" w:rsidP="00C1498C" w14:paraId="1012D6D7" w14:textId="77777777">
            <w:pPr>
              <w:jc w:val="center"/>
              <w:rPr>
                <w:b/>
                <w:bCs/>
                <w:sz w:val="20"/>
                <w:szCs w:val="20"/>
              </w:rPr>
            </w:pPr>
            <w:r w:rsidRPr="008A08F3">
              <w:rPr>
                <w:b/>
                <w:bCs/>
                <w:sz w:val="20"/>
                <w:szCs w:val="20"/>
              </w:rPr>
              <w:t>Hodnocení</w:t>
            </w:r>
          </w:p>
        </w:tc>
        <w:tc>
          <w:tcPr>
            <w:tcW w:w="1981" w:type="dxa"/>
            <w:noWrap/>
            <w:vAlign w:val="center"/>
            <w:hideMark/>
          </w:tcPr>
          <w:p w:rsidR="001401DA" w:rsidRPr="008A08F3" w:rsidP="00C1498C" w14:paraId="3DC8AE87" w14:textId="77777777">
            <w:pPr>
              <w:jc w:val="center"/>
              <w:rPr>
                <w:b/>
                <w:bCs/>
                <w:sz w:val="20"/>
                <w:szCs w:val="20"/>
              </w:rPr>
            </w:pPr>
            <w:r w:rsidRPr="008A08F3">
              <w:rPr>
                <w:b/>
                <w:bCs/>
                <w:sz w:val="20"/>
                <w:szCs w:val="20"/>
              </w:rPr>
              <w:t>Náklady</w:t>
            </w:r>
          </w:p>
        </w:tc>
        <w:tc>
          <w:tcPr>
            <w:tcW w:w="1442" w:type="dxa"/>
            <w:noWrap/>
            <w:vAlign w:val="center"/>
            <w:hideMark/>
          </w:tcPr>
          <w:p w:rsidR="001401DA" w:rsidRPr="008A08F3" w:rsidP="00C1498C" w14:paraId="56DC4244" w14:textId="77777777">
            <w:pPr>
              <w:jc w:val="center"/>
              <w:rPr>
                <w:b/>
                <w:bCs/>
                <w:sz w:val="20"/>
                <w:szCs w:val="20"/>
              </w:rPr>
            </w:pPr>
            <w:r w:rsidRPr="008A08F3">
              <w:rPr>
                <w:b/>
                <w:bCs/>
                <w:sz w:val="20"/>
                <w:szCs w:val="20"/>
              </w:rPr>
              <w:t>Hodnocení</w:t>
            </w:r>
          </w:p>
        </w:tc>
      </w:tr>
      <w:tr w14:paraId="4FFA11EF" w14:textId="77777777" w:rsidTr="00B2592C">
        <w:tblPrEx>
          <w:tblW w:w="0" w:type="auto"/>
          <w:tblLook w:val="04A0"/>
        </w:tblPrEx>
        <w:trPr>
          <w:trHeight w:val="500"/>
        </w:trPr>
        <w:tc>
          <w:tcPr>
            <w:tcW w:w="1339" w:type="dxa"/>
            <w:vMerge w:val="restart"/>
            <w:noWrap/>
            <w:vAlign w:val="center"/>
            <w:hideMark/>
          </w:tcPr>
          <w:p w:rsidR="001401DA" w:rsidRPr="008A08F3" w:rsidP="001401DA" w14:paraId="6B10A0E4" w14:textId="77777777">
            <w:pPr>
              <w:rPr>
                <w:b/>
                <w:bCs/>
                <w:sz w:val="20"/>
                <w:szCs w:val="20"/>
              </w:rPr>
            </w:pPr>
            <w:r w:rsidRPr="008A08F3">
              <w:rPr>
                <w:b/>
                <w:bCs/>
                <w:sz w:val="20"/>
                <w:szCs w:val="20"/>
              </w:rPr>
              <w:t>Varianta 0</w:t>
            </w:r>
          </w:p>
        </w:tc>
        <w:tc>
          <w:tcPr>
            <w:tcW w:w="1454" w:type="dxa"/>
            <w:vMerge w:val="restart"/>
            <w:vAlign w:val="center"/>
            <w:hideMark/>
          </w:tcPr>
          <w:p w:rsidR="001401DA" w:rsidRPr="008A08F3" w:rsidP="001401DA" w14:paraId="77F93AB1" w14:textId="77777777">
            <w:pPr>
              <w:rPr>
                <w:sz w:val="20"/>
                <w:szCs w:val="20"/>
              </w:rPr>
            </w:pPr>
            <w:r w:rsidRPr="008A08F3">
              <w:rPr>
                <w:sz w:val="20"/>
                <w:szCs w:val="20"/>
              </w:rPr>
              <w:t>současný stav</w:t>
            </w:r>
          </w:p>
        </w:tc>
        <w:tc>
          <w:tcPr>
            <w:tcW w:w="6269" w:type="dxa"/>
            <w:gridSpan w:val="4"/>
            <w:vAlign w:val="center"/>
            <w:hideMark/>
          </w:tcPr>
          <w:p w:rsidR="001401DA" w:rsidRPr="008A08F3" w:rsidP="00C1498C" w14:paraId="2F4D9FD9" w14:textId="77777777">
            <w:pPr>
              <w:jc w:val="center"/>
              <w:rPr>
                <w:b/>
                <w:bCs/>
                <w:sz w:val="20"/>
                <w:szCs w:val="20"/>
              </w:rPr>
            </w:pPr>
            <w:r w:rsidRPr="008A08F3">
              <w:rPr>
                <w:b/>
                <w:bCs/>
                <w:sz w:val="20"/>
                <w:szCs w:val="20"/>
              </w:rPr>
              <w:t>Státní rozpočet a ostatní veřejné rozpočty</w:t>
            </w:r>
          </w:p>
        </w:tc>
      </w:tr>
      <w:tr w14:paraId="5743948E" w14:textId="77777777" w:rsidTr="00B2592C">
        <w:tblPrEx>
          <w:tblW w:w="0" w:type="auto"/>
          <w:tblLook w:val="04A0"/>
        </w:tblPrEx>
        <w:trPr>
          <w:trHeight w:val="795"/>
        </w:trPr>
        <w:tc>
          <w:tcPr>
            <w:tcW w:w="1339" w:type="dxa"/>
            <w:vMerge/>
            <w:vAlign w:val="center"/>
            <w:hideMark/>
          </w:tcPr>
          <w:p w:rsidR="001401DA" w:rsidRPr="008A08F3" w14:paraId="478EF051" w14:textId="77777777">
            <w:pPr>
              <w:rPr>
                <w:b/>
                <w:bCs/>
                <w:sz w:val="20"/>
                <w:szCs w:val="20"/>
              </w:rPr>
            </w:pPr>
          </w:p>
        </w:tc>
        <w:tc>
          <w:tcPr>
            <w:tcW w:w="1454" w:type="dxa"/>
            <w:vMerge/>
            <w:vAlign w:val="center"/>
            <w:hideMark/>
          </w:tcPr>
          <w:p w:rsidR="001401DA" w:rsidRPr="008A08F3" w14:paraId="51A61BE1" w14:textId="77777777">
            <w:pPr>
              <w:rPr>
                <w:sz w:val="20"/>
                <w:szCs w:val="20"/>
              </w:rPr>
            </w:pPr>
          </w:p>
        </w:tc>
        <w:tc>
          <w:tcPr>
            <w:tcW w:w="1601" w:type="dxa"/>
            <w:vAlign w:val="center"/>
            <w:hideMark/>
          </w:tcPr>
          <w:p w:rsidR="001401DA" w:rsidRPr="008A08F3" w:rsidP="00C1498C" w14:paraId="6C887960" w14:textId="77777777">
            <w:pPr>
              <w:jc w:val="center"/>
              <w:rPr>
                <w:sz w:val="20"/>
                <w:szCs w:val="20"/>
              </w:rPr>
            </w:pPr>
          </w:p>
        </w:tc>
        <w:tc>
          <w:tcPr>
            <w:tcW w:w="1245" w:type="dxa"/>
            <w:vAlign w:val="center"/>
            <w:hideMark/>
          </w:tcPr>
          <w:p w:rsidR="001401DA" w:rsidRPr="008A08F3" w:rsidP="00C1498C" w14:paraId="4AA554A1" w14:textId="77777777">
            <w:pPr>
              <w:jc w:val="center"/>
              <w:rPr>
                <w:sz w:val="20"/>
                <w:szCs w:val="20"/>
              </w:rPr>
            </w:pPr>
          </w:p>
        </w:tc>
        <w:tc>
          <w:tcPr>
            <w:tcW w:w="1981" w:type="dxa"/>
            <w:vAlign w:val="center"/>
            <w:hideMark/>
          </w:tcPr>
          <w:p w:rsidR="001401DA" w:rsidRPr="008A08F3" w:rsidP="001401DA" w14:paraId="43AC8EF6" w14:textId="77777777">
            <w:pPr>
              <w:rPr>
                <w:sz w:val="20"/>
                <w:szCs w:val="20"/>
              </w:rPr>
            </w:pPr>
            <w:r w:rsidRPr="008A08F3">
              <w:rPr>
                <w:sz w:val="20"/>
                <w:szCs w:val="20"/>
              </w:rPr>
              <w:t>špatná kontrolovatelnost povinných osob</w:t>
            </w:r>
          </w:p>
        </w:tc>
        <w:tc>
          <w:tcPr>
            <w:tcW w:w="1442" w:type="dxa"/>
            <w:vAlign w:val="center"/>
            <w:hideMark/>
          </w:tcPr>
          <w:p w:rsidR="001401DA" w:rsidRPr="008A08F3" w:rsidP="00C1498C" w14:paraId="4DF5517A" w14:textId="77777777">
            <w:pPr>
              <w:jc w:val="center"/>
              <w:rPr>
                <w:sz w:val="20"/>
                <w:szCs w:val="20"/>
              </w:rPr>
            </w:pPr>
            <w:r w:rsidRPr="008A08F3">
              <w:rPr>
                <w:sz w:val="20"/>
                <w:szCs w:val="20"/>
              </w:rPr>
              <w:t>**</w:t>
            </w:r>
          </w:p>
        </w:tc>
      </w:tr>
      <w:tr w14:paraId="3BF240BD" w14:textId="77777777" w:rsidTr="00B2592C">
        <w:tblPrEx>
          <w:tblW w:w="0" w:type="auto"/>
          <w:tblLook w:val="04A0"/>
        </w:tblPrEx>
        <w:trPr>
          <w:trHeight w:val="500"/>
        </w:trPr>
        <w:tc>
          <w:tcPr>
            <w:tcW w:w="1339" w:type="dxa"/>
            <w:vMerge/>
            <w:vAlign w:val="center"/>
            <w:hideMark/>
          </w:tcPr>
          <w:p w:rsidR="001401DA" w:rsidRPr="008A08F3" w14:paraId="56A6E041" w14:textId="77777777">
            <w:pPr>
              <w:rPr>
                <w:b/>
                <w:bCs/>
                <w:sz w:val="20"/>
                <w:szCs w:val="20"/>
              </w:rPr>
            </w:pPr>
          </w:p>
        </w:tc>
        <w:tc>
          <w:tcPr>
            <w:tcW w:w="1454" w:type="dxa"/>
            <w:vMerge/>
            <w:vAlign w:val="center"/>
            <w:hideMark/>
          </w:tcPr>
          <w:p w:rsidR="001401DA" w:rsidRPr="008A08F3" w14:paraId="5AF60131" w14:textId="77777777">
            <w:pPr>
              <w:rPr>
                <w:sz w:val="20"/>
                <w:szCs w:val="20"/>
              </w:rPr>
            </w:pPr>
          </w:p>
        </w:tc>
        <w:tc>
          <w:tcPr>
            <w:tcW w:w="6269" w:type="dxa"/>
            <w:gridSpan w:val="4"/>
            <w:vAlign w:val="center"/>
            <w:hideMark/>
          </w:tcPr>
          <w:p w:rsidR="001401DA" w:rsidRPr="008A08F3" w:rsidP="00C1498C" w14:paraId="2A989E00" w14:textId="77777777">
            <w:pPr>
              <w:jc w:val="center"/>
              <w:rPr>
                <w:b/>
                <w:bCs/>
                <w:sz w:val="20"/>
                <w:szCs w:val="20"/>
              </w:rPr>
            </w:pPr>
            <w:r w:rsidRPr="008A08F3">
              <w:rPr>
                <w:b/>
                <w:bCs/>
                <w:sz w:val="20"/>
                <w:szCs w:val="20"/>
              </w:rPr>
              <w:t>Podnikatelské subjekty</w:t>
            </w:r>
          </w:p>
        </w:tc>
      </w:tr>
      <w:tr w14:paraId="65BEDE1E" w14:textId="77777777" w:rsidTr="00B2592C">
        <w:tblPrEx>
          <w:tblW w:w="0" w:type="auto"/>
          <w:tblLook w:val="04A0"/>
        </w:tblPrEx>
        <w:trPr>
          <w:trHeight w:val="717"/>
        </w:trPr>
        <w:tc>
          <w:tcPr>
            <w:tcW w:w="1339" w:type="dxa"/>
            <w:vMerge/>
            <w:vAlign w:val="center"/>
            <w:hideMark/>
          </w:tcPr>
          <w:p w:rsidR="001401DA" w:rsidRPr="008A08F3" w14:paraId="57AA6B39" w14:textId="77777777">
            <w:pPr>
              <w:rPr>
                <w:b/>
                <w:bCs/>
                <w:sz w:val="20"/>
                <w:szCs w:val="20"/>
              </w:rPr>
            </w:pPr>
          </w:p>
        </w:tc>
        <w:tc>
          <w:tcPr>
            <w:tcW w:w="1454" w:type="dxa"/>
            <w:vMerge/>
            <w:vAlign w:val="center"/>
            <w:hideMark/>
          </w:tcPr>
          <w:p w:rsidR="001401DA" w:rsidRPr="008A08F3" w14:paraId="3FE05E5F" w14:textId="77777777">
            <w:pPr>
              <w:rPr>
                <w:sz w:val="20"/>
                <w:szCs w:val="20"/>
              </w:rPr>
            </w:pPr>
          </w:p>
        </w:tc>
        <w:tc>
          <w:tcPr>
            <w:tcW w:w="1601" w:type="dxa"/>
            <w:vAlign w:val="center"/>
            <w:hideMark/>
          </w:tcPr>
          <w:p w:rsidR="001401DA" w:rsidRPr="008A08F3" w:rsidP="00C1498C" w14:paraId="1D91353C" w14:textId="77777777">
            <w:pPr>
              <w:jc w:val="center"/>
              <w:rPr>
                <w:sz w:val="20"/>
                <w:szCs w:val="20"/>
              </w:rPr>
            </w:pPr>
          </w:p>
        </w:tc>
        <w:tc>
          <w:tcPr>
            <w:tcW w:w="1245" w:type="dxa"/>
            <w:vAlign w:val="center"/>
            <w:hideMark/>
          </w:tcPr>
          <w:p w:rsidR="001401DA" w:rsidRPr="008A08F3" w:rsidP="00C1498C" w14:paraId="66B406A7" w14:textId="77777777">
            <w:pPr>
              <w:jc w:val="center"/>
              <w:rPr>
                <w:sz w:val="20"/>
                <w:szCs w:val="20"/>
              </w:rPr>
            </w:pPr>
          </w:p>
        </w:tc>
        <w:tc>
          <w:tcPr>
            <w:tcW w:w="1981" w:type="dxa"/>
            <w:vAlign w:val="center"/>
            <w:hideMark/>
          </w:tcPr>
          <w:p w:rsidR="001401DA" w:rsidRPr="008A08F3" w:rsidP="001401DA" w14:paraId="237015ED" w14:textId="77777777">
            <w:pPr>
              <w:rPr>
                <w:sz w:val="20"/>
                <w:szCs w:val="20"/>
              </w:rPr>
            </w:pPr>
            <w:r w:rsidRPr="008A08F3">
              <w:rPr>
                <w:sz w:val="20"/>
                <w:szCs w:val="20"/>
              </w:rPr>
              <w:t xml:space="preserve">předávání informací konečnému uživateli </w:t>
            </w:r>
          </w:p>
        </w:tc>
        <w:tc>
          <w:tcPr>
            <w:tcW w:w="1442" w:type="dxa"/>
            <w:vAlign w:val="center"/>
            <w:hideMark/>
          </w:tcPr>
          <w:p w:rsidR="001401DA" w:rsidRPr="008A08F3" w:rsidP="00C1498C" w14:paraId="1E05F619" w14:textId="77777777">
            <w:pPr>
              <w:jc w:val="center"/>
              <w:rPr>
                <w:sz w:val="20"/>
                <w:szCs w:val="20"/>
              </w:rPr>
            </w:pPr>
            <w:r w:rsidRPr="008A08F3">
              <w:rPr>
                <w:sz w:val="20"/>
                <w:szCs w:val="20"/>
              </w:rPr>
              <w:t>* až ***</w:t>
            </w:r>
          </w:p>
        </w:tc>
      </w:tr>
      <w:tr w14:paraId="681E624E" w14:textId="77777777" w:rsidTr="00B2592C">
        <w:tblPrEx>
          <w:tblW w:w="0" w:type="auto"/>
          <w:tblLook w:val="04A0"/>
        </w:tblPrEx>
        <w:trPr>
          <w:trHeight w:val="425"/>
        </w:trPr>
        <w:tc>
          <w:tcPr>
            <w:tcW w:w="1339" w:type="dxa"/>
            <w:vMerge/>
            <w:vAlign w:val="center"/>
            <w:hideMark/>
          </w:tcPr>
          <w:p w:rsidR="001401DA" w:rsidRPr="008A08F3" w14:paraId="665C1836" w14:textId="77777777">
            <w:pPr>
              <w:rPr>
                <w:b/>
                <w:bCs/>
                <w:sz w:val="20"/>
                <w:szCs w:val="20"/>
              </w:rPr>
            </w:pPr>
          </w:p>
        </w:tc>
        <w:tc>
          <w:tcPr>
            <w:tcW w:w="1454" w:type="dxa"/>
            <w:vMerge/>
            <w:vAlign w:val="center"/>
            <w:hideMark/>
          </w:tcPr>
          <w:p w:rsidR="001401DA" w:rsidRPr="008A08F3" w14:paraId="7619BE5C" w14:textId="77777777">
            <w:pPr>
              <w:rPr>
                <w:sz w:val="20"/>
                <w:szCs w:val="20"/>
              </w:rPr>
            </w:pPr>
          </w:p>
        </w:tc>
        <w:tc>
          <w:tcPr>
            <w:tcW w:w="6269" w:type="dxa"/>
            <w:gridSpan w:val="4"/>
            <w:vAlign w:val="center"/>
            <w:hideMark/>
          </w:tcPr>
          <w:p w:rsidR="001401DA" w:rsidRPr="008A08F3" w:rsidP="00C1498C" w14:paraId="54A8BB18" w14:textId="77777777">
            <w:pPr>
              <w:jc w:val="center"/>
              <w:rPr>
                <w:b/>
                <w:bCs/>
                <w:sz w:val="20"/>
                <w:szCs w:val="20"/>
              </w:rPr>
            </w:pPr>
            <w:r w:rsidRPr="008A08F3">
              <w:rPr>
                <w:b/>
                <w:bCs/>
                <w:sz w:val="20"/>
                <w:szCs w:val="20"/>
              </w:rPr>
              <w:t>Územní samosprávné celky (obce, kraje)</w:t>
            </w:r>
          </w:p>
        </w:tc>
      </w:tr>
      <w:tr w14:paraId="6849C7AE" w14:textId="77777777" w:rsidTr="00C06BC4">
        <w:tblPrEx>
          <w:tblW w:w="0" w:type="auto"/>
          <w:tblLook w:val="04A0"/>
        </w:tblPrEx>
        <w:trPr>
          <w:trHeight w:val="953"/>
        </w:trPr>
        <w:tc>
          <w:tcPr>
            <w:tcW w:w="1339" w:type="dxa"/>
            <w:vMerge/>
            <w:vAlign w:val="center"/>
            <w:hideMark/>
          </w:tcPr>
          <w:p w:rsidR="001401DA" w:rsidRPr="008A08F3" w14:paraId="70AE3B53" w14:textId="77777777">
            <w:pPr>
              <w:rPr>
                <w:b/>
                <w:bCs/>
                <w:sz w:val="20"/>
                <w:szCs w:val="20"/>
              </w:rPr>
            </w:pPr>
          </w:p>
        </w:tc>
        <w:tc>
          <w:tcPr>
            <w:tcW w:w="1454" w:type="dxa"/>
            <w:vMerge/>
            <w:vAlign w:val="center"/>
            <w:hideMark/>
          </w:tcPr>
          <w:p w:rsidR="001401DA" w:rsidRPr="008A08F3" w14:paraId="6726DC0E" w14:textId="77777777">
            <w:pPr>
              <w:rPr>
                <w:sz w:val="20"/>
                <w:szCs w:val="20"/>
              </w:rPr>
            </w:pPr>
          </w:p>
        </w:tc>
        <w:tc>
          <w:tcPr>
            <w:tcW w:w="1601" w:type="dxa"/>
            <w:vAlign w:val="center"/>
            <w:hideMark/>
          </w:tcPr>
          <w:p w:rsidR="001401DA" w:rsidRPr="008A08F3" w:rsidP="00C1498C" w14:paraId="58D4FD7F" w14:textId="77777777">
            <w:pPr>
              <w:jc w:val="center"/>
              <w:rPr>
                <w:sz w:val="20"/>
                <w:szCs w:val="20"/>
              </w:rPr>
            </w:pPr>
          </w:p>
        </w:tc>
        <w:tc>
          <w:tcPr>
            <w:tcW w:w="1245" w:type="dxa"/>
            <w:noWrap/>
            <w:vAlign w:val="center"/>
            <w:hideMark/>
          </w:tcPr>
          <w:p w:rsidR="001401DA" w:rsidRPr="008A08F3" w:rsidP="00C1498C" w14:paraId="7E0DC700" w14:textId="77777777">
            <w:pPr>
              <w:jc w:val="center"/>
              <w:rPr>
                <w:sz w:val="20"/>
                <w:szCs w:val="20"/>
              </w:rPr>
            </w:pPr>
          </w:p>
        </w:tc>
        <w:tc>
          <w:tcPr>
            <w:tcW w:w="1981" w:type="dxa"/>
            <w:vAlign w:val="center"/>
            <w:hideMark/>
          </w:tcPr>
          <w:p w:rsidR="001401DA" w:rsidRPr="008A08F3" w:rsidP="00C06BC4" w14:paraId="71985158" w14:textId="42EEF8CE">
            <w:pPr>
              <w:rPr>
                <w:sz w:val="20"/>
                <w:szCs w:val="20"/>
              </w:rPr>
            </w:pPr>
            <w:r w:rsidRPr="008A08F3">
              <w:rPr>
                <w:sz w:val="20"/>
                <w:szCs w:val="20"/>
              </w:rPr>
              <w:t xml:space="preserve">likvidace odpadu uloženého mimo místa </w:t>
            </w:r>
            <w:r w:rsidR="00C06BC4">
              <w:rPr>
                <w:sz w:val="20"/>
                <w:szCs w:val="20"/>
              </w:rPr>
              <w:t>ZO</w:t>
            </w:r>
          </w:p>
        </w:tc>
        <w:tc>
          <w:tcPr>
            <w:tcW w:w="1442" w:type="dxa"/>
            <w:noWrap/>
            <w:vAlign w:val="center"/>
            <w:hideMark/>
          </w:tcPr>
          <w:p w:rsidR="001401DA" w:rsidRPr="008A08F3" w:rsidP="00C1498C" w14:paraId="7B759108" w14:textId="77777777">
            <w:pPr>
              <w:jc w:val="center"/>
              <w:rPr>
                <w:sz w:val="20"/>
                <w:szCs w:val="20"/>
              </w:rPr>
            </w:pPr>
            <w:r w:rsidRPr="008A08F3">
              <w:rPr>
                <w:sz w:val="20"/>
                <w:szCs w:val="20"/>
              </w:rPr>
              <w:t>* až ***</w:t>
            </w:r>
          </w:p>
        </w:tc>
      </w:tr>
      <w:tr w14:paraId="41C99778" w14:textId="77777777" w:rsidTr="00B2592C">
        <w:tblPrEx>
          <w:tblW w:w="0" w:type="auto"/>
          <w:tblLook w:val="04A0"/>
        </w:tblPrEx>
        <w:trPr>
          <w:trHeight w:val="460"/>
        </w:trPr>
        <w:tc>
          <w:tcPr>
            <w:tcW w:w="1339" w:type="dxa"/>
            <w:vMerge/>
            <w:vAlign w:val="center"/>
            <w:hideMark/>
          </w:tcPr>
          <w:p w:rsidR="001401DA" w:rsidRPr="008A08F3" w14:paraId="717E4E14" w14:textId="77777777">
            <w:pPr>
              <w:rPr>
                <w:b/>
                <w:bCs/>
                <w:sz w:val="20"/>
                <w:szCs w:val="20"/>
              </w:rPr>
            </w:pPr>
          </w:p>
        </w:tc>
        <w:tc>
          <w:tcPr>
            <w:tcW w:w="1454" w:type="dxa"/>
            <w:vMerge/>
            <w:vAlign w:val="center"/>
            <w:hideMark/>
          </w:tcPr>
          <w:p w:rsidR="001401DA" w:rsidRPr="008A08F3" w14:paraId="15863660" w14:textId="77777777">
            <w:pPr>
              <w:rPr>
                <w:sz w:val="20"/>
                <w:szCs w:val="20"/>
              </w:rPr>
            </w:pPr>
          </w:p>
        </w:tc>
        <w:tc>
          <w:tcPr>
            <w:tcW w:w="6269" w:type="dxa"/>
            <w:gridSpan w:val="4"/>
            <w:vAlign w:val="center"/>
            <w:hideMark/>
          </w:tcPr>
          <w:p w:rsidR="001401DA" w:rsidRPr="008A08F3" w:rsidP="00C1498C" w14:paraId="58E0C3EF" w14:textId="77777777">
            <w:pPr>
              <w:jc w:val="center"/>
              <w:rPr>
                <w:b/>
                <w:bCs/>
                <w:sz w:val="20"/>
                <w:szCs w:val="20"/>
              </w:rPr>
            </w:pPr>
            <w:r w:rsidRPr="008A08F3">
              <w:rPr>
                <w:b/>
                <w:bCs/>
                <w:sz w:val="20"/>
                <w:szCs w:val="20"/>
              </w:rPr>
              <w:t>Sociální dopady, životní prostědí</w:t>
            </w:r>
          </w:p>
        </w:tc>
      </w:tr>
      <w:tr w14:paraId="504FB6D8" w14:textId="77777777" w:rsidTr="00C06BC4">
        <w:tblPrEx>
          <w:tblW w:w="0" w:type="auto"/>
          <w:tblLook w:val="04A0"/>
        </w:tblPrEx>
        <w:trPr>
          <w:trHeight w:val="633"/>
        </w:trPr>
        <w:tc>
          <w:tcPr>
            <w:tcW w:w="1339" w:type="dxa"/>
            <w:vMerge/>
            <w:vAlign w:val="center"/>
            <w:hideMark/>
          </w:tcPr>
          <w:p w:rsidR="001401DA" w:rsidRPr="008A08F3" w14:paraId="6DC4A2CB" w14:textId="77777777">
            <w:pPr>
              <w:rPr>
                <w:b/>
                <w:bCs/>
                <w:sz w:val="20"/>
                <w:szCs w:val="20"/>
              </w:rPr>
            </w:pPr>
          </w:p>
        </w:tc>
        <w:tc>
          <w:tcPr>
            <w:tcW w:w="1454" w:type="dxa"/>
            <w:vMerge/>
            <w:vAlign w:val="center"/>
            <w:hideMark/>
          </w:tcPr>
          <w:p w:rsidR="001401DA" w:rsidRPr="008A08F3" w14:paraId="2BA63B89" w14:textId="77777777">
            <w:pPr>
              <w:rPr>
                <w:sz w:val="20"/>
                <w:szCs w:val="20"/>
              </w:rPr>
            </w:pPr>
          </w:p>
        </w:tc>
        <w:tc>
          <w:tcPr>
            <w:tcW w:w="1601" w:type="dxa"/>
            <w:vAlign w:val="center"/>
            <w:hideMark/>
          </w:tcPr>
          <w:p w:rsidR="001401DA" w:rsidRPr="008A08F3" w:rsidP="00C1498C" w14:paraId="2346BEED" w14:textId="77777777">
            <w:pPr>
              <w:jc w:val="center"/>
              <w:rPr>
                <w:sz w:val="20"/>
                <w:szCs w:val="20"/>
              </w:rPr>
            </w:pPr>
          </w:p>
        </w:tc>
        <w:tc>
          <w:tcPr>
            <w:tcW w:w="1245" w:type="dxa"/>
            <w:vAlign w:val="center"/>
            <w:hideMark/>
          </w:tcPr>
          <w:p w:rsidR="001401DA" w:rsidRPr="008A08F3" w:rsidP="00C1498C" w14:paraId="6C1760DD" w14:textId="77777777">
            <w:pPr>
              <w:jc w:val="center"/>
              <w:rPr>
                <w:sz w:val="20"/>
                <w:szCs w:val="20"/>
              </w:rPr>
            </w:pPr>
          </w:p>
        </w:tc>
        <w:tc>
          <w:tcPr>
            <w:tcW w:w="1981" w:type="dxa"/>
            <w:vAlign w:val="center"/>
            <w:hideMark/>
          </w:tcPr>
          <w:p w:rsidR="001401DA" w:rsidRPr="008A08F3" w:rsidP="00C06BC4" w14:paraId="57EBE529" w14:textId="16DC7DAF">
            <w:pPr>
              <w:rPr>
                <w:sz w:val="20"/>
                <w:szCs w:val="20"/>
              </w:rPr>
            </w:pPr>
            <w:r w:rsidRPr="008A08F3">
              <w:rPr>
                <w:sz w:val="20"/>
                <w:szCs w:val="20"/>
              </w:rPr>
              <w:t xml:space="preserve">časově náročné hledání míst </w:t>
            </w:r>
            <w:r w:rsidR="00C06BC4">
              <w:rPr>
                <w:sz w:val="20"/>
                <w:szCs w:val="20"/>
              </w:rPr>
              <w:t>ZO</w:t>
            </w:r>
          </w:p>
        </w:tc>
        <w:tc>
          <w:tcPr>
            <w:tcW w:w="1442" w:type="dxa"/>
            <w:vAlign w:val="center"/>
            <w:hideMark/>
          </w:tcPr>
          <w:p w:rsidR="001401DA" w:rsidRPr="008A08F3" w:rsidP="00C1498C" w14:paraId="0FC33EDF" w14:textId="77777777">
            <w:pPr>
              <w:jc w:val="center"/>
              <w:rPr>
                <w:sz w:val="20"/>
                <w:szCs w:val="20"/>
              </w:rPr>
            </w:pPr>
            <w:r w:rsidRPr="008A08F3">
              <w:rPr>
                <w:sz w:val="20"/>
                <w:szCs w:val="20"/>
              </w:rPr>
              <w:t>****</w:t>
            </w:r>
          </w:p>
        </w:tc>
      </w:tr>
      <w:tr w14:paraId="1DBBBCD3" w14:textId="77777777" w:rsidTr="00B2592C">
        <w:tblPrEx>
          <w:tblW w:w="0" w:type="auto"/>
          <w:tblLook w:val="04A0"/>
        </w:tblPrEx>
        <w:trPr>
          <w:trHeight w:val="765"/>
        </w:trPr>
        <w:tc>
          <w:tcPr>
            <w:tcW w:w="1339" w:type="dxa"/>
            <w:vMerge/>
            <w:vAlign w:val="center"/>
            <w:hideMark/>
          </w:tcPr>
          <w:p w:rsidR="001401DA" w:rsidRPr="008A08F3" w14:paraId="1D266166" w14:textId="77777777">
            <w:pPr>
              <w:rPr>
                <w:b/>
                <w:bCs/>
                <w:sz w:val="20"/>
                <w:szCs w:val="20"/>
              </w:rPr>
            </w:pPr>
          </w:p>
        </w:tc>
        <w:tc>
          <w:tcPr>
            <w:tcW w:w="1454" w:type="dxa"/>
            <w:vMerge/>
            <w:vAlign w:val="center"/>
            <w:hideMark/>
          </w:tcPr>
          <w:p w:rsidR="001401DA" w:rsidRPr="008A08F3" w14:paraId="6473533B" w14:textId="77777777">
            <w:pPr>
              <w:rPr>
                <w:sz w:val="20"/>
                <w:szCs w:val="20"/>
              </w:rPr>
            </w:pPr>
          </w:p>
        </w:tc>
        <w:tc>
          <w:tcPr>
            <w:tcW w:w="1601" w:type="dxa"/>
            <w:vAlign w:val="center"/>
            <w:hideMark/>
          </w:tcPr>
          <w:p w:rsidR="001401DA" w:rsidRPr="008A08F3" w:rsidP="00C1498C" w14:paraId="374CDBB8" w14:textId="77777777">
            <w:pPr>
              <w:jc w:val="center"/>
              <w:rPr>
                <w:sz w:val="20"/>
                <w:szCs w:val="20"/>
              </w:rPr>
            </w:pPr>
          </w:p>
        </w:tc>
        <w:tc>
          <w:tcPr>
            <w:tcW w:w="1245" w:type="dxa"/>
            <w:noWrap/>
            <w:vAlign w:val="center"/>
            <w:hideMark/>
          </w:tcPr>
          <w:p w:rsidR="001401DA" w:rsidRPr="008A08F3" w:rsidP="00C1498C" w14:paraId="1A960128" w14:textId="77777777">
            <w:pPr>
              <w:jc w:val="center"/>
              <w:rPr>
                <w:sz w:val="20"/>
                <w:szCs w:val="20"/>
              </w:rPr>
            </w:pPr>
          </w:p>
        </w:tc>
        <w:tc>
          <w:tcPr>
            <w:tcW w:w="1981" w:type="dxa"/>
            <w:vAlign w:val="center"/>
            <w:hideMark/>
          </w:tcPr>
          <w:p w:rsidR="001401DA" w:rsidRPr="008A08F3" w:rsidP="001401DA" w14:paraId="07B710CF" w14:textId="77777777">
            <w:pPr>
              <w:rPr>
                <w:sz w:val="20"/>
                <w:szCs w:val="20"/>
              </w:rPr>
            </w:pPr>
            <w:r w:rsidRPr="008A08F3">
              <w:rPr>
                <w:sz w:val="20"/>
                <w:szCs w:val="20"/>
              </w:rPr>
              <w:t>odpady odložené mimo místa určená</w:t>
            </w:r>
          </w:p>
        </w:tc>
        <w:tc>
          <w:tcPr>
            <w:tcW w:w="1442" w:type="dxa"/>
            <w:noWrap/>
            <w:vAlign w:val="center"/>
            <w:hideMark/>
          </w:tcPr>
          <w:p w:rsidR="001401DA" w:rsidRPr="008A08F3" w:rsidP="00C1498C" w14:paraId="150C8E4C" w14:textId="77777777">
            <w:pPr>
              <w:jc w:val="center"/>
              <w:rPr>
                <w:sz w:val="20"/>
                <w:szCs w:val="20"/>
              </w:rPr>
            </w:pPr>
            <w:r w:rsidRPr="008A08F3">
              <w:rPr>
                <w:sz w:val="20"/>
                <w:szCs w:val="20"/>
              </w:rPr>
              <w:t>* až ***</w:t>
            </w:r>
          </w:p>
        </w:tc>
      </w:tr>
      <w:tr w14:paraId="16E12327" w14:textId="77777777" w:rsidTr="00B2592C">
        <w:tblPrEx>
          <w:tblW w:w="0" w:type="auto"/>
          <w:tblLook w:val="04A0"/>
        </w:tblPrEx>
        <w:trPr>
          <w:trHeight w:val="378"/>
        </w:trPr>
        <w:tc>
          <w:tcPr>
            <w:tcW w:w="1339" w:type="dxa"/>
            <w:vMerge w:val="restart"/>
            <w:noWrap/>
            <w:vAlign w:val="center"/>
            <w:hideMark/>
          </w:tcPr>
          <w:p w:rsidR="001401DA" w:rsidRPr="008A08F3" w:rsidP="001401DA" w14:paraId="46479B81" w14:textId="77777777">
            <w:pPr>
              <w:rPr>
                <w:b/>
                <w:bCs/>
                <w:sz w:val="20"/>
                <w:szCs w:val="20"/>
              </w:rPr>
            </w:pPr>
            <w:r w:rsidRPr="008A08F3">
              <w:rPr>
                <w:b/>
                <w:bCs/>
                <w:sz w:val="20"/>
                <w:szCs w:val="20"/>
              </w:rPr>
              <w:t>Varianta 1</w:t>
            </w:r>
          </w:p>
        </w:tc>
        <w:tc>
          <w:tcPr>
            <w:tcW w:w="1454" w:type="dxa"/>
            <w:vMerge w:val="restart"/>
            <w:vAlign w:val="center"/>
            <w:hideMark/>
          </w:tcPr>
          <w:p w:rsidR="001401DA" w:rsidRPr="008A08F3" w:rsidP="00C06BC4" w14:paraId="44258E30" w14:textId="5E96BE29">
            <w:pPr>
              <w:rPr>
                <w:sz w:val="20"/>
                <w:szCs w:val="20"/>
              </w:rPr>
            </w:pPr>
            <w:r w:rsidRPr="008A08F3">
              <w:rPr>
                <w:sz w:val="20"/>
                <w:szCs w:val="20"/>
              </w:rPr>
              <w:t>rozšíření registru míst</w:t>
            </w:r>
            <w:r w:rsidR="00C06BC4">
              <w:rPr>
                <w:sz w:val="20"/>
                <w:szCs w:val="20"/>
              </w:rPr>
              <w:t xml:space="preserve"> ZO </w:t>
            </w:r>
            <w:r w:rsidRPr="008A08F3">
              <w:rPr>
                <w:sz w:val="20"/>
                <w:szCs w:val="20"/>
              </w:rPr>
              <w:t>- odpadní pneumatiky, baterie a akumulátory, autovraky</w:t>
            </w:r>
          </w:p>
        </w:tc>
        <w:tc>
          <w:tcPr>
            <w:tcW w:w="6269" w:type="dxa"/>
            <w:gridSpan w:val="4"/>
            <w:tcBorders>
              <w:bottom w:val="single" w:sz="4" w:space="0" w:color="auto"/>
            </w:tcBorders>
            <w:vAlign w:val="center"/>
            <w:hideMark/>
          </w:tcPr>
          <w:p w:rsidR="001401DA" w:rsidRPr="008A08F3" w:rsidP="00C1498C" w14:paraId="6FCC979C" w14:textId="77777777">
            <w:pPr>
              <w:jc w:val="center"/>
              <w:rPr>
                <w:b/>
                <w:bCs/>
                <w:sz w:val="20"/>
                <w:szCs w:val="20"/>
              </w:rPr>
            </w:pPr>
            <w:r w:rsidRPr="008A08F3">
              <w:rPr>
                <w:b/>
                <w:bCs/>
                <w:sz w:val="20"/>
                <w:szCs w:val="20"/>
              </w:rPr>
              <w:t>Státní rozpočet a ostatní veřejné rozpočty</w:t>
            </w:r>
          </w:p>
        </w:tc>
      </w:tr>
      <w:tr w14:paraId="3DFB49E0" w14:textId="77777777" w:rsidTr="005E0B3E">
        <w:tblPrEx>
          <w:tblW w:w="0" w:type="auto"/>
          <w:tblLook w:val="04A0"/>
        </w:tblPrEx>
        <w:trPr>
          <w:trHeight w:val="769"/>
        </w:trPr>
        <w:tc>
          <w:tcPr>
            <w:tcW w:w="1339" w:type="dxa"/>
            <w:vMerge/>
            <w:vAlign w:val="center"/>
          </w:tcPr>
          <w:p w:rsidR="00B2592C" w:rsidRPr="008A08F3" w:rsidP="00B2592C" w14:paraId="77CF052F" w14:textId="77777777">
            <w:pPr>
              <w:rPr>
                <w:b/>
                <w:bCs/>
                <w:sz w:val="20"/>
                <w:szCs w:val="20"/>
              </w:rPr>
            </w:pPr>
          </w:p>
        </w:tc>
        <w:tc>
          <w:tcPr>
            <w:tcW w:w="1454" w:type="dxa"/>
            <w:vMerge/>
            <w:vAlign w:val="center"/>
          </w:tcPr>
          <w:p w:rsidR="00B2592C" w:rsidRPr="008A08F3" w:rsidP="00B2592C" w14:paraId="5C06D5C2" w14:textId="77777777">
            <w:pPr>
              <w:rPr>
                <w:sz w:val="20"/>
                <w:szCs w:val="20"/>
              </w:rPr>
            </w:pPr>
          </w:p>
        </w:tc>
        <w:tc>
          <w:tcPr>
            <w:tcW w:w="1601" w:type="dxa"/>
            <w:tcBorders>
              <w:top w:val="single" w:sz="4" w:space="0" w:color="auto"/>
              <w:bottom w:val="single" w:sz="4" w:space="0" w:color="auto"/>
            </w:tcBorders>
            <w:vAlign w:val="center"/>
          </w:tcPr>
          <w:p w:rsidR="00B2592C" w:rsidRPr="008A08F3" w:rsidP="00B2592C" w14:paraId="0D434CB8" w14:textId="77777777">
            <w:pPr>
              <w:jc w:val="center"/>
              <w:rPr>
                <w:sz w:val="20"/>
                <w:szCs w:val="20"/>
              </w:rPr>
            </w:pPr>
          </w:p>
        </w:tc>
        <w:tc>
          <w:tcPr>
            <w:tcW w:w="1245" w:type="dxa"/>
            <w:tcBorders>
              <w:top w:val="single" w:sz="4" w:space="0" w:color="auto"/>
              <w:bottom w:val="single" w:sz="4" w:space="0" w:color="auto"/>
            </w:tcBorders>
            <w:vAlign w:val="center"/>
          </w:tcPr>
          <w:p w:rsidR="00B2592C" w:rsidRPr="008A08F3" w:rsidP="00B2592C" w14:paraId="69E2EF21" w14:textId="77777777">
            <w:pPr>
              <w:jc w:val="center"/>
              <w:rPr>
                <w:sz w:val="20"/>
                <w:szCs w:val="20"/>
              </w:rPr>
            </w:pPr>
          </w:p>
        </w:tc>
        <w:tc>
          <w:tcPr>
            <w:tcW w:w="1981" w:type="dxa"/>
            <w:tcBorders>
              <w:top w:val="single" w:sz="4" w:space="0" w:color="auto"/>
              <w:bottom w:val="single" w:sz="4" w:space="0" w:color="auto"/>
            </w:tcBorders>
            <w:vAlign w:val="center"/>
          </w:tcPr>
          <w:p w:rsidR="00B2592C" w:rsidRPr="008A08F3" w:rsidP="00B2592C" w14:paraId="41FCBF59" w14:textId="5619BB17">
            <w:pPr>
              <w:rPr>
                <w:sz w:val="20"/>
                <w:szCs w:val="20"/>
              </w:rPr>
            </w:pPr>
            <w:r w:rsidRPr="008A08F3">
              <w:rPr>
                <w:sz w:val="20"/>
                <w:szCs w:val="20"/>
              </w:rPr>
              <w:t>MŽP - rozšíření aktuálního systému pro EEZ (Kč)</w:t>
            </w:r>
          </w:p>
        </w:tc>
        <w:tc>
          <w:tcPr>
            <w:tcW w:w="1442" w:type="dxa"/>
            <w:tcBorders>
              <w:top w:val="single" w:sz="4" w:space="0" w:color="auto"/>
              <w:bottom w:val="single" w:sz="4" w:space="0" w:color="auto"/>
            </w:tcBorders>
            <w:vAlign w:val="center"/>
          </w:tcPr>
          <w:p w:rsidR="00B2592C" w:rsidRPr="008A08F3" w:rsidP="00ED3E2E" w14:paraId="18458490" w14:textId="134D8D29">
            <w:pPr>
              <w:jc w:val="center"/>
              <w:rPr>
                <w:sz w:val="20"/>
                <w:szCs w:val="20"/>
              </w:rPr>
            </w:pPr>
            <w:r w:rsidRPr="008A08F3">
              <w:rPr>
                <w:sz w:val="20"/>
                <w:szCs w:val="20"/>
              </w:rPr>
              <w:t xml:space="preserve">cca </w:t>
            </w:r>
            <w:r w:rsidR="00ED3E2E">
              <w:rPr>
                <w:sz w:val="20"/>
                <w:szCs w:val="20"/>
              </w:rPr>
              <w:t>1,4 mil.</w:t>
            </w:r>
            <w:r w:rsidRPr="008A08F3">
              <w:rPr>
                <w:sz w:val="20"/>
                <w:szCs w:val="20"/>
              </w:rPr>
              <w:t xml:space="preserve"> Kč</w:t>
            </w:r>
          </w:p>
        </w:tc>
      </w:tr>
      <w:tr w14:paraId="31245FD5" w14:textId="77777777" w:rsidTr="005E0B3E">
        <w:tblPrEx>
          <w:tblW w:w="0" w:type="auto"/>
          <w:tblLook w:val="04A0"/>
        </w:tblPrEx>
        <w:trPr>
          <w:trHeight w:val="769"/>
        </w:trPr>
        <w:tc>
          <w:tcPr>
            <w:tcW w:w="1339" w:type="dxa"/>
            <w:vMerge/>
            <w:vAlign w:val="center"/>
          </w:tcPr>
          <w:p w:rsidR="00C06BC4" w:rsidRPr="008A08F3" w:rsidP="00B2592C" w14:paraId="16CA775B" w14:textId="77777777">
            <w:pPr>
              <w:rPr>
                <w:b/>
                <w:bCs/>
                <w:sz w:val="20"/>
                <w:szCs w:val="20"/>
              </w:rPr>
            </w:pPr>
          </w:p>
        </w:tc>
        <w:tc>
          <w:tcPr>
            <w:tcW w:w="1454" w:type="dxa"/>
            <w:vMerge/>
            <w:tcBorders>
              <w:right w:val="single" w:sz="4" w:space="0" w:color="auto"/>
            </w:tcBorders>
            <w:vAlign w:val="center"/>
          </w:tcPr>
          <w:p w:rsidR="00C06BC4" w:rsidRPr="008A08F3" w:rsidP="00B2592C" w14:paraId="705194E7" w14:textId="77777777">
            <w:pPr>
              <w:rPr>
                <w:sz w:val="20"/>
                <w:szCs w:val="20"/>
              </w:rPr>
            </w:pPr>
          </w:p>
        </w:tc>
        <w:tc>
          <w:tcPr>
            <w:tcW w:w="1601" w:type="dxa"/>
            <w:tcBorders>
              <w:top w:val="single" w:sz="4" w:space="0" w:color="auto"/>
              <w:left w:val="single" w:sz="4" w:space="0" w:color="auto"/>
              <w:bottom w:val="single" w:sz="4" w:space="0" w:color="auto"/>
              <w:right w:val="single" w:sz="4" w:space="0" w:color="auto"/>
            </w:tcBorders>
            <w:vAlign w:val="center"/>
          </w:tcPr>
          <w:p w:rsidR="00C06BC4" w:rsidRPr="008A08F3" w:rsidP="00B2592C" w14:paraId="04CA60A0" w14:textId="77777777">
            <w:pPr>
              <w:jc w:val="center"/>
              <w:rPr>
                <w:sz w:val="20"/>
                <w:szCs w:val="20"/>
              </w:rPr>
            </w:pPr>
          </w:p>
        </w:tc>
        <w:tc>
          <w:tcPr>
            <w:tcW w:w="1245" w:type="dxa"/>
            <w:tcBorders>
              <w:top w:val="single" w:sz="4" w:space="0" w:color="auto"/>
              <w:left w:val="single" w:sz="4" w:space="0" w:color="auto"/>
              <w:bottom w:val="single" w:sz="4" w:space="0" w:color="auto"/>
              <w:right w:val="single" w:sz="4" w:space="0" w:color="auto"/>
            </w:tcBorders>
            <w:vAlign w:val="center"/>
          </w:tcPr>
          <w:p w:rsidR="00C06BC4" w:rsidRPr="008A08F3" w:rsidP="00B2592C" w14:paraId="62E99398" w14:textId="77777777">
            <w:pPr>
              <w:jc w:val="center"/>
              <w:rPr>
                <w:sz w:val="20"/>
                <w:szCs w:val="20"/>
              </w:rPr>
            </w:pPr>
          </w:p>
        </w:tc>
        <w:tc>
          <w:tcPr>
            <w:tcW w:w="1981" w:type="dxa"/>
            <w:tcBorders>
              <w:top w:val="single" w:sz="4" w:space="0" w:color="auto"/>
              <w:left w:val="single" w:sz="4" w:space="0" w:color="auto"/>
              <w:bottom w:val="single" w:sz="4" w:space="0" w:color="auto"/>
              <w:right w:val="single" w:sz="4" w:space="0" w:color="auto"/>
            </w:tcBorders>
            <w:vAlign w:val="center"/>
          </w:tcPr>
          <w:p w:rsidR="00C06BC4" w:rsidRPr="008A08F3" w:rsidP="00B2592C" w14:paraId="35D01446" w14:textId="45E0307E">
            <w:pPr>
              <w:rPr>
                <w:sz w:val="20"/>
                <w:szCs w:val="20"/>
              </w:rPr>
            </w:pPr>
            <w:r>
              <w:rPr>
                <w:sz w:val="20"/>
                <w:szCs w:val="20"/>
              </w:rPr>
              <w:t>MŽP – přístup oprávněných osob</w:t>
            </w:r>
          </w:p>
        </w:tc>
        <w:tc>
          <w:tcPr>
            <w:tcW w:w="1442" w:type="dxa"/>
            <w:tcBorders>
              <w:top w:val="single" w:sz="4" w:space="0" w:color="auto"/>
              <w:left w:val="single" w:sz="4" w:space="0" w:color="auto"/>
              <w:bottom w:val="single" w:sz="4" w:space="0" w:color="auto"/>
              <w:right w:val="single" w:sz="4" w:space="0" w:color="auto"/>
            </w:tcBorders>
            <w:vAlign w:val="center"/>
          </w:tcPr>
          <w:p w:rsidR="00C06BC4" w:rsidRPr="008A08F3" w:rsidP="00ED3E2E" w14:paraId="0AA6840B" w14:textId="5C5038CB">
            <w:pPr>
              <w:jc w:val="center"/>
              <w:rPr>
                <w:sz w:val="20"/>
                <w:szCs w:val="20"/>
              </w:rPr>
            </w:pPr>
            <w:r>
              <w:rPr>
                <w:sz w:val="20"/>
                <w:szCs w:val="20"/>
              </w:rPr>
              <w:t>cca 3,5 tis. Kč</w:t>
            </w:r>
          </w:p>
        </w:tc>
      </w:tr>
      <w:tr w14:paraId="78BA1F7B" w14:textId="77777777" w:rsidTr="005E0B3E">
        <w:tblPrEx>
          <w:tblW w:w="0" w:type="auto"/>
          <w:tblLook w:val="04A0"/>
        </w:tblPrEx>
        <w:trPr>
          <w:trHeight w:val="498"/>
        </w:trPr>
        <w:tc>
          <w:tcPr>
            <w:tcW w:w="1339" w:type="dxa"/>
            <w:vMerge/>
            <w:vAlign w:val="center"/>
            <w:hideMark/>
          </w:tcPr>
          <w:p w:rsidR="00B2592C" w:rsidRPr="008A08F3" w:rsidP="00B2592C" w14:paraId="5C335AB7" w14:textId="77777777">
            <w:pPr>
              <w:rPr>
                <w:b/>
                <w:bCs/>
                <w:sz w:val="20"/>
                <w:szCs w:val="20"/>
              </w:rPr>
            </w:pPr>
          </w:p>
        </w:tc>
        <w:tc>
          <w:tcPr>
            <w:tcW w:w="1454" w:type="dxa"/>
            <w:vMerge/>
            <w:tcBorders>
              <w:right w:val="single" w:sz="4" w:space="0" w:color="auto"/>
            </w:tcBorders>
            <w:vAlign w:val="center"/>
            <w:hideMark/>
          </w:tcPr>
          <w:p w:rsidR="00B2592C" w:rsidRPr="008A08F3" w:rsidP="00B2592C" w14:paraId="392C0B5A" w14:textId="77777777">
            <w:pPr>
              <w:rPr>
                <w:sz w:val="20"/>
                <w:szCs w:val="20"/>
              </w:rPr>
            </w:pPr>
          </w:p>
        </w:tc>
        <w:tc>
          <w:tcPr>
            <w:tcW w:w="6269" w:type="dxa"/>
            <w:gridSpan w:val="4"/>
            <w:tcBorders>
              <w:top w:val="single" w:sz="4" w:space="0" w:color="auto"/>
              <w:left w:val="single" w:sz="4" w:space="0" w:color="auto"/>
              <w:bottom w:val="single" w:sz="4" w:space="0" w:color="auto"/>
              <w:right w:val="single" w:sz="4" w:space="0" w:color="auto"/>
            </w:tcBorders>
            <w:vAlign w:val="center"/>
            <w:hideMark/>
          </w:tcPr>
          <w:p w:rsidR="00B2592C" w:rsidRPr="008A08F3" w:rsidP="00B2592C" w14:paraId="69BC529C" w14:textId="77777777">
            <w:pPr>
              <w:jc w:val="center"/>
              <w:rPr>
                <w:b/>
                <w:bCs/>
                <w:sz w:val="20"/>
                <w:szCs w:val="20"/>
              </w:rPr>
            </w:pPr>
            <w:r w:rsidRPr="008A08F3">
              <w:rPr>
                <w:b/>
                <w:bCs/>
                <w:sz w:val="20"/>
                <w:szCs w:val="20"/>
              </w:rPr>
              <w:t>Podnikatelské subjekty</w:t>
            </w:r>
          </w:p>
        </w:tc>
      </w:tr>
      <w:tr w14:paraId="0A874BB1" w14:textId="77777777" w:rsidTr="005E0B3E">
        <w:tblPrEx>
          <w:tblW w:w="0" w:type="auto"/>
          <w:tblLook w:val="04A0"/>
        </w:tblPrEx>
        <w:trPr>
          <w:trHeight w:val="833"/>
        </w:trPr>
        <w:tc>
          <w:tcPr>
            <w:tcW w:w="1339" w:type="dxa"/>
            <w:vMerge/>
            <w:vAlign w:val="center"/>
            <w:hideMark/>
          </w:tcPr>
          <w:p w:rsidR="00B2592C" w:rsidRPr="008A08F3" w:rsidP="00B2592C" w14:paraId="1756B8B5" w14:textId="77777777">
            <w:pPr>
              <w:rPr>
                <w:b/>
                <w:bCs/>
                <w:sz w:val="20"/>
                <w:szCs w:val="20"/>
              </w:rPr>
            </w:pPr>
          </w:p>
        </w:tc>
        <w:tc>
          <w:tcPr>
            <w:tcW w:w="1454" w:type="dxa"/>
            <w:vMerge/>
            <w:vAlign w:val="center"/>
            <w:hideMark/>
          </w:tcPr>
          <w:p w:rsidR="00B2592C" w:rsidRPr="008A08F3" w:rsidP="00B2592C" w14:paraId="74F8B784" w14:textId="77777777">
            <w:pPr>
              <w:rPr>
                <w:sz w:val="20"/>
                <w:szCs w:val="20"/>
              </w:rPr>
            </w:pPr>
          </w:p>
        </w:tc>
        <w:tc>
          <w:tcPr>
            <w:tcW w:w="1601" w:type="dxa"/>
            <w:vMerge w:val="restart"/>
            <w:tcBorders>
              <w:top w:val="single" w:sz="4" w:space="0" w:color="auto"/>
            </w:tcBorders>
            <w:vAlign w:val="center"/>
            <w:hideMark/>
          </w:tcPr>
          <w:p w:rsidR="00B2592C" w:rsidRPr="008A08F3" w:rsidP="00B2592C" w14:paraId="04A532E6" w14:textId="77777777">
            <w:pPr>
              <w:rPr>
                <w:sz w:val="20"/>
                <w:szCs w:val="20"/>
              </w:rPr>
            </w:pPr>
            <w:r w:rsidRPr="008A08F3">
              <w:rPr>
                <w:sz w:val="20"/>
                <w:szCs w:val="20"/>
              </w:rPr>
              <w:t>zjednodušení povinného informování konečných uživatelů</w:t>
            </w:r>
          </w:p>
        </w:tc>
        <w:tc>
          <w:tcPr>
            <w:tcW w:w="1245" w:type="dxa"/>
            <w:vMerge w:val="restart"/>
            <w:tcBorders>
              <w:top w:val="single" w:sz="4" w:space="0" w:color="auto"/>
            </w:tcBorders>
            <w:noWrap/>
            <w:vAlign w:val="center"/>
            <w:hideMark/>
          </w:tcPr>
          <w:p w:rsidR="00B2592C" w:rsidRPr="008A08F3" w:rsidP="00B2592C" w14:paraId="509E636A" w14:textId="77777777">
            <w:pPr>
              <w:jc w:val="center"/>
              <w:rPr>
                <w:sz w:val="20"/>
                <w:szCs w:val="20"/>
              </w:rPr>
            </w:pPr>
            <w:r w:rsidRPr="008A08F3">
              <w:rPr>
                <w:sz w:val="20"/>
                <w:szCs w:val="20"/>
              </w:rPr>
              <w:t>* až ***</w:t>
            </w:r>
          </w:p>
        </w:tc>
        <w:tc>
          <w:tcPr>
            <w:tcW w:w="1981" w:type="dxa"/>
            <w:tcBorders>
              <w:top w:val="single" w:sz="4" w:space="0" w:color="auto"/>
            </w:tcBorders>
            <w:vAlign w:val="center"/>
            <w:hideMark/>
          </w:tcPr>
          <w:p w:rsidR="00B2592C" w:rsidRPr="008A08F3" w:rsidP="00B2592C" w14:paraId="6758CCBF" w14:textId="77777777">
            <w:pPr>
              <w:rPr>
                <w:sz w:val="20"/>
                <w:szCs w:val="20"/>
              </w:rPr>
            </w:pPr>
            <w:r w:rsidRPr="008A08F3">
              <w:rPr>
                <w:sz w:val="20"/>
                <w:szCs w:val="20"/>
              </w:rPr>
              <w:t>individuálně plnící - naplnění databáze</w:t>
            </w:r>
          </w:p>
        </w:tc>
        <w:tc>
          <w:tcPr>
            <w:tcW w:w="1442" w:type="dxa"/>
            <w:tcBorders>
              <w:top w:val="single" w:sz="4" w:space="0" w:color="auto"/>
            </w:tcBorders>
            <w:noWrap/>
            <w:vAlign w:val="center"/>
            <w:hideMark/>
          </w:tcPr>
          <w:p w:rsidR="00B2592C" w:rsidRPr="008A08F3" w:rsidP="00B2592C" w14:paraId="54B3A329" w14:textId="77777777">
            <w:pPr>
              <w:jc w:val="center"/>
              <w:rPr>
                <w:sz w:val="20"/>
                <w:szCs w:val="20"/>
              </w:rPr>
            </w:pPr>
            <w:r w:rsidRPr="008A08F3">
              <w:rPr>
                <w:sz w:val="20"/>
                <w:szCs w:val="20"/>
              </w:rPr>
              <w:t>*</w:t>
            </w:r>
          </w:p>
        </w:tc>
      </w:tr>
      <w:tr w14:paraId="5390642B" w14:textId="77777777" w:rsidTr="00B2592C">
        <w:tblPrEx>
          <w:tblW w:w="0" w:type="auto"/>
          <w:tblLook w:val="04A0"/>
        </w:tblPrEx>
        <w:trPr>
          <w:trHeight w:val="690"/>
        </w:trPr>
        <w:tc>
          <w:tcPr>
            <w:tcW w:w="1339" w:type="dxa"/>
            <w:vMerge/>
            <w:vAlign w:val="center"/>
            <w:hideMark/>
          </w:tcPr>
          <w:p w:rsidR="00B2592C" w:rsidRPr="008A08F3" w:rsidP="00B2592C" w14:paraId="036F7915" w14:textId="77777777">
            <w:pPr>
              <w:rPr>
                <w:b/>
                <w:bCs/>
                <w:sz w:val="20"/>
                <w:szCs w:val="20"/>
              </w:rPr>
            </w:pPr>
          </w:p>
        </w:tc>
        <w:tc>
          <w:tcPr>
            <w:tcW w:w="1454" w:type="dxa"/>
            <w:vMerge/>
            <w:vAlign w:val="center"/>
            <w:hideMark/>
          </w:tcPr>
          <w:p w:rsidR="00B2592C" w:rsidRPr="008A08F3" w:rsidP="00B2592C" w14:paraId="6684BB72" w14:textId="77777777">
            <w:pPr>
              <w:rPr>
                <w:sz w:val="20"/>
                <w:szCs w:val="20"/>
              </w:rPr>
            </w:pPr>
          </w:p>
        </w:tc>
        <w:tc>
          <w:tcPr>
            <w:tcW w:w="1601" w:type="dxa"/>
            <w:vMerge/>
            <w:vAlign w:val="center"/>
            <w:hideMark/>
          </w:tcPr>
          <w:p w:rsidR="00B2592C" w:rsidRPr="008A08F3" w:rsidP="00B2592C" w14:paraId="0D17F3B0" w14:textId="77777777">
            <w:pPr>
              <w:rPr>
                <w:sz w:val="20"/>
                <w:szCs w:val="20"/>
              </w:rPr>
            </w:pPr>
          </w:p>
        </w:tc>
        <w:tc>
          <w:tcPr>
            <w:tcW w:w="1245" w:type="dxa"/>
            <w:vMerge/>
            <w:vAlign w:val="center"/>
            <w:hideMark/>
          </w:tcPr>
          <w:p w:rsidR="00B2592C" w:rsidRPr="008A08F3" w:rsidP="00B2592C" w14:paraId="6AEC504C" w14:textId="77777777">
            <w:pPr>
              <w:jc w:val="center"/>
              <w:rPr>
                <w:sz w:val="20"/>
                <w:szCs w:val="20"/>
              </w:rPr>
            </w:pPr>
          </w:p>
        </w:tc>
        <w:tc>
          <w:tcPr>
            <w:tcW w:w="1981" w:type="dxa"/>
            <w:vAlign w:val="center"/>
            <w:hideMark/>
          </w:tcPr>
          <w:p w:rsidR="00B2592C" w:rsidRPr="008A08F3" w:rsidP="00D32BFA" w14:paraId="06D157A4" w14:textId="2E6480F0">
            <w:pPr>
              <w:rPr>
                <w:sz w:val="20"/>
                <w:szCs w:val="20"/>
              </w:rPr>
            </w:pPr>
            <w:r w:rsidRPr="008A08F3">
              <w:rPr>
                <w:sz w:val="20"/>
                <w:szCs w:val="20"/>
              </w:rPr>
              <w:t xml:space="preserve">KS - propojení systémů </w:t>
            </w:r>
          </w:p>
        </w:tc>
        <w:tc>
          <w:tcPr>
            <w:tcW w:w="1442" w:type="dxa"/>
            <w:noWrap/>
            <w:vAlign w:val="center"/>
            <w:hideMark/>
          </w:tcPr>
          <w:p w:rsidR="00B2592C" w:rsidRPr="008A08F3" w:rsidP="00B2592C" w14:paraId="281BF4F0" w14:textId="0BA0AEF4">
            <w:pPr>
              <w:jc w:val="center"/>
              <w:rPr>
                <w:sz w:val="20"/>
                <w:szCs w:val="20"/>
              </w:rPr>
            </w:pPr>
            <w:r w:rsidRPr="008A08F3">
              <w:rPr>
                <w:sz w:val="20"/>
                <w:szCs w:val="20"/>
              </w:rPr>
              <w:t>od 30 tis. Kč</w:t>
            </w:r>
            <w:r w:rsidR="00D32BFA">
              <w:rPr>
                <w:sz w:val="20"/>
                <w:szCs w:val="20"/>
              </w:rPr>
              <w:t>/</w:t>
            </w:r>
            <w:r w:rsidRPr="008A08F3" w:rsidR="00D32BFA">
              <w:rPr>
                <w:sz w:val="20"/>
                <w:szCs w:val="20"/>
              </w:rPr>
              <w:t xml:space="preserve"> subjekt</w:t>
            </w:r>
          </w:p>
        </w:tc>
      </w:tr>
      <w:tr w14:paraId="715C6063" w14:textId="77777777" w:rsidTr="00B2592C">
        <w:tblPrEx>
          <w:tblW w:w="0" w:type="auto"/>
          <w:tblLook w:val="04A0"/>
        </w:tblPrEx>
        <w:trPr>
          <w:trHeight w:val="500"/>
        </w:trPr>
        <w:tc>
          <w:tcPr>
            <w:tcW w:w="1339" w:type="dxa"/>
            <w:vMerge/>
            <w:vAlign w:val="center"/>
            <w:hideMark/>
          </w:tcPr>
          <w:p w:rsidR="00B2592C" w:rsidRPr="008A08F3" w:rsidP="00B2592C" w14:paraId="655F9C50" w14:textId="77777777">
            <w:pPr>
              <w:rPr>
                <w:b/>
                <w:bCs/>
                <w:sz w:val="20"/>
                <w:szCs w:val="20"/>
              </w:rPr>
            </w:pPr>
          </w:p>
        </w:tc>
        <w:tc>
          <w:tcPr>
            <w:tcW w:w="1454" w:type="dxa"/>
            <w:vMerge/>
            <w:vAlign w:val="center"/>
            <w:hideMark/>
          </w:tcPr>
          <w:p w:rsidR="00B2592C" w:rsidRPr="008A08F3" w:rsidP="00B2592C" w14:paraId="1FFC88F9" w14:textId="77777777">
            <w:pPr>
              <w:rPr>
                <w:sz w:val="20"/>
                <w:szCs w:val="20"/>
              </w:rPr>
            </w:pPr>
          </w:p>
        </w:tc>
        <w:tc>
          <w:tcPr>
            <w:tcW w:w="6269" w:type="dxa"/>
            <w:gridSpan w:val="4"/>
            <w:vAlign w:val="center"/>
            <w:hideMark/>
          </w:tcPr>
          <w:p w:rsidR="00B2592C" w:rsidRPr="008A08F3" w:rsidP="00B2592C" w14:paraId="361F7F1E" w14:textId="77777777">
            <w:pPr>
              <w:jc w:val="center"/>
              <w:rPr>
                <w:b/>
                <w:bCs/>
                <w:sz w:val="20"/>
                <w:szCs w:val="20"/>
              </w:rPr>
            </w:pPr>
            <w:r w:rsidRPr="008A08F3">
              <w:rPr>
                <w:b/>
                <w:bCs/>
                <w:sz w:val="20"/>
                <w:szCs w:val="20"/>
              </w:rPr>
              <w:t>Územní samosprávné celky (obce, kraje)</w:t>
            </w:r>
          </w:p>
        </w:tc>
      </w:tr>
      <w:tr w14:paraId="1DE61420" w14:textId="77777777" w:rsidTr="00B2592C">
        <w:tblPrEx>
          <w:tblW w:w="0" w:type="auto"/>
          <w:tblLook w:val="04A0"/>
        </w:tblPrEx>
        <w:trPr>
          <w:trHeight w:val="1444"/>
        </w:trPr>
        <w:tc>
          <w:tcPr>
            <w:tcW w:w="1339" w:type="dxa"/>
            <w:vMerge/>
            <w:vAlign w:val="center"/>
            <w:hideMark/>
          </w:tcPr>
          <w:p w:rsidR="00B2592C" w:rsidRPr="008A08F3" w:rsidP="00B2592C" w14:paraId="7FEAA288" w14:textId="77777777">
            <w:pPr>
              <w:rPr>
                <w:b/>
                <w:bCs/>
                <w:sz w:val="20"/>
                <w:szCs w:val="20"/>
              </w:rPr>
            </w:pPr>
          </w:p>
        </w:tc>
        <w:tc>
          <w:tcPr>
            <w:tcW w:w="1454" w:type="dxa"/>
            <w:vMerge/>
            <w:vAlign w:val="center"/>
            <w:hideMark/>
          </w:tcPr>
          <w:p w:rsidR="00B2592C" w:rsidRPr="008A08F3" w:rsidP="00B2592C" w14:paraId="676A4340" w14:textId="77777777">
            <w:pPr>
              <w:rPr>
                <w:sz w:val="20"/>
                <w:szCs w:val="20"/>
              </w:rPr>
            </w:pPr>
          </w:p>
        </w:tc>
        <w:tc>
          <w:tcPr>
            <w:tcW w:w="1601" w:type="dxa"/>
            <w:vAlign w:val="center"/>
            <w:hideMark/>
          </w:tcPr>
          <w:p w:rsidR="00B2592C" w:rsidRPr="008A08F3" w:rsidP="00B2592C" w14:paraId="72A2D43A" w14:textId="77777777">
            <w:pPr>
              <w:rPr>
                <w:sz w:val="20"/>
                <w:szCs w:val="20"/>
              </w:rPr>
            </w:pPr>
            <w:r w:rsidRPr="008A08F3">
              <w:rPr>
                <w:sz w:val="20"/>
                <w:szCs w:val="20"/>
              </w:rPr>
              <w:t>v případě úbytku černých skládek, snížení nákladů na jejich likvidaci</w:t>
            </w:r>
          </w:p>
        </w:tc>
        <w:tc>
          <w:tcPr>
            <w:tcW w:w="1245" w:type="dxa"/>
            <w:noWrap/>
            <w:vAlign w:val="center"/>
            <w:hideMark/>
          </w:tcPr>
          <w:p w:rsidR="00B2592C" w:rsidRPr="008A08F3" w:rsidP="00B2592C" w14:paraId="6BB49713" w14:textId="77777777">
            <w:pPr>
              <w:jc w:val="center"/>
              <w:rPr>
                <w:sz w:val="20"/>
                <w:szCs w:val="20"/>
              </w:rPr>
            </w:pPr>
            <w:r w:rsidRPr="008A08F3">
              <w:rPr>
                <w:sz w:val="20"/>
                <w:szCs w:val="20"/>
              </w:rPr>
              <w:t>* až ***</w:t>
            </w:r>
          </w:p>
        </w:tc>
        <w:tc>
          <w:tcPr>
            <w:tcW w:w="1981" w:type="dxa"/>
            <w:vAlign w:val="center"/>
            <w:hideMark/>
          </w:tcPr>
          <w:p w:rsidR="00B2592C" w:rsidRPr="008A08F3" w:rsidP="00B2592C" w14:paraId="0A14A439" w14:textId="77777777">
            <w:pPr>
              <w:jc w:val="center"/>
              <w:rPr>
                <w:sz w:val="20"/>
                <w:szCs w:val="20"/>
              </w:rPr>
            </w:pPr>
          </w:p>
        </w:tc>
        <w:tc>
          <w:tcPr>
            <w:tcW w:w="1442" w:type="dxa"/>
            <w:noWrap/>
            <w:vAlign w:val="center"/>
            <w:hideMark/>
          </w:tcPr>
          <w:p w:rsidR="00B2592C" w:rsidRPr="008A08F3" w:rsidP="00B2592C" w14:paraId="54ECDCF9" w14:textId="77777777">
            <w:pPr>
              <w:jc w:val="center"/>
              <w:rPr>
                <w:sz w:val="20"/>
                <w:szCs w:val="20"/>
              </w:rPr>
            </w:pPr>
          </w:p>
        </w:tc>
      </w:tr>
      <w:tr w14:paraId="6B6CB10B" w14:textId="77777777" w:rsidTr="00B2592C">
        <w:tblPrEx>
          <w:tblW w:w="0" w:type="auto"/>
          <w:tblLook w:val="04A0"/>
        </w:tblPrEx>
        <w:trPr>
          <w:trHeight w:val="500"/>
        </w:trPr>
        <w:tc>
          <w:tcPr>
            <w:tcW w:w="1339" w:type="dxa"/>
            <w:vMerge/>
            <w:vAlign w:val="center"/>
            <w:hideMark/>
          </w:tcPr>
          <w:p w:rsidR="00B2592C" w:rsidRPr="008A08F3" w:rsidP="00B2592C" w14:paraId="1E9ED709" w14:textId="77777777">
            <w:pPr>
              <w:rPr>
                <w:b/>
                <w:bCs/>
                <w:sz w:val="20"/>
                <w:szCs w:val="20"/>
              </w:rPr>
            </w:pPr>
          </w:p>
        </w:tc>
        <w:tc>
          <w:tcPr>
            <w:tcW w:w="1454" w:type="dxa"/>
            <w:vMerge/>
            <w:vAlign w:val="center"/>
            <w:hideMark/>
          </w:tcPr>
          <w:p w:rsidR="00B2592C" w:rsidRPr="008A08F3" w:rsidP="00B2592C" w14:paraId="4EAC2BB7" w14:textId="77777777">
            <w:pPr>
              <w:rPr>
                <w:sz w:val="20"/>
                <w:szCs w:val="20"/>
              </w:rPr>
            </w:pPr>
          </w:p>
        </w:tc>
        <w:tc>
          <w:tcPr>
            <w:tcW w:w="6269" w:type="dxa"/>
            <w:gridSpan w:val="4"/>
            <w:vAlign w:val="center"/>
            <w:hideMark/>
          </w:tcPr>
          <w:p w:rsidR="00B2592C" w:rsidRPr="008A08F3" w:rsidP="00B2592C" w14:paraId="3E15F534" w14:textId="77777777">
            <w:pPr>
              <w:jc w:val="center"/>
              <w:rPr>
                <w:b/>
                <w:bCs/>
                <w:sz w:val="20"/>
                <w:szCs w:val="20"/>
              </w:rPr>
            </w:pPr>
            <w:r w:rsidRPr="008A08F3">
              <w:rPr>
                <w:b/>
                <w:bCs/>
                <w:sz w:val="20"/>
                <w:szCs w:val="20"/>
              </w:rPr>
              <w:t>Sociální dopady, životní prostředí</w:t>
            </w:r>
          </w:p>
        </w:tc>
      </w:tr>
      <w:tr w14:paraId="10297CDC" w14:textId="77777777" w:rsidTr="00B2592C">
        <w:tblPrEx>
          <w:tblW w:w="0" w:type="auto"/>
          <w:tblLook w:val="04A0"/>
        </w:tblPrEx>
        <w:trPr>
          <w:trHeight w:val="1556"/>
        </w:trPr>
        <w:tc>
          <w:tcPr>
            <w:tcW w:w="1339" w:type="dxa"/>
            <w:vMerge/>
            <w:vAlign w:val="center"/>
            <w:hideMark/>
          </w:tcPr>
          <w:p w:rsidR="00B2592C" w:rsidRPr="008A08F3" w:rsidP="00B2592C" w14:paraId="43D0D514" w14:textId="77777777">
            <w:pPr>
              <w:rPr>
                <w:b/>
                <w:bCs/>
                <w:sz w:val="20"/>
                <w:szCs w:val="20"/>
              </w:rPr>
            </w:pPr>
          </w:p>
        </w:tc>
        <w:tc>
          <w:tcPr>
            <w:tcW w:w="1454" w:type="dxa"/>
            <w:vMerge/>
            <w:vAlign w:val="center"/>
            <w:hideMark/>
          </w:tcPr>
          <w:p w:rsidR="00B2592C" w:rsidRPr="008A08F3" w:rsidP="00B2592C" w14:paraId="3D8B3143" w14:textId="77777777">
            <w:pPr>
              <w:rPr>
                <w:sz w:val="20"/>
                <w:szCs w:val="20"/>
              </w:rPr>
            </w:pPr>
          </w:p>
        </w:tc>
        <w:tc>
          <w:tcPr>
            <w:tcW w:w="1601" w:type="dxa"/>
            <w:vAlign w:val="center"/>
            <w:hideMark/>
          </w:tcPr>
          <w:p w:rsidR="00B2592C" w:rsidRPr="008A08F3" w:rsidP="00B2592C" w14:paraId="1FEDBEBE" w14:textId="6335FCF2">
            <w:pPr>
              <w:rPr>
                <w:sz w:val="20"/>
                <w:szCs w:val="20"/>
              </w:rPr>
            </w:pPr>
            <w:r>
              <w:rPr>
                <w:sz w:val="20"/>
                <w:szCs w:val="20"/>
              </w:rPr>
              <w:t>jednoduchý přístup</w:t>
            </w:r>
            <w:r w:rsidRPr="008A08F3">
              <w:rPr>
                <w:sz w:val="20"/>
                <w:szCs w:val="20"/>
              </w:rPr>
              <w:t xml:space="preserve"> k informacím pro občany v oblasti nakládání s odpady</w:t>
            </w:r>
          </w:p>
        </w:tc>
        <w:tc>
          <w:tcPr>
            <w:tcW w:w="1245" w:type="dxa"/>
            <w:vAlign w:val="center"/>
            <w:hideMark/>
          </w:tcPr>
          <w:p w:rsidR="00B2592C" w:rsidRPr="008A08F3" w:rsidP="00B2592C" w14:paraId="7EBB4BF9" w14:textId="77777777">
            <w:pPr>
              <w:jc w:val="center"/>
              <w:rPr>
                <w:sz w:val="20"/>
                <w:szCs w:val="20"/>
              </w:rPr>
            </w:pPr>
            <w:r w:rsidRPr="008A08F3">
              <w:rPr>
                <w:sz w:val="20"/>
                <w:szCs w:val="20"/>
              </w:rPr>
              <w:t>****</w:t>
            </w:r>
          </w:p>
        </w:tc>
        <w:tc>
          <w:tcPr>
            <w:tcW w:w="1981" w:type="dxa"/>
            <w:vAlign w:val="center"/>
            <w:hideMark/>
          </w:tcPr>
          <w:p w:rsidR="00B2592C" w:rsidRPr="008A08F3" w:rsidP="00B2592C" w14:paraId="725E7E33" w14:textId="77777777">
            <w:pPr>
              <w:jc w:val="center"/>
              <w:rPr>
                <w:sz w:val="20"/>
                <w:szCs w:val="20"/>
              </w:rPr>
            </w:pPr>
          </w:p>
        </w:tc>
        <w:tc>
          <w:tcPr>
            <w:tcW w:w="1442" w:type="dxa"/>
            <w:vAlign w:val="center"/>
            <w:hideMark/>
          </w:tcPr>
          <w:p w:rsidR="00B2592C" w:rsidRPr="008A08F3" w:rsidP="00B2592C" w14:paraId="2E1C565A" w14:textId="77777777">
            <w:pPr>
              <w:jc w:val="center"/>
              <w:rPr>
                <w:sz w:val="20"/>
                <w:szCs w:val="20"/>
              </w:rPr>
            </w:pPr>
          </w:p>
        </w:tc>
      </w:tr>
      <w:tr w14:paraId="10562FF2" w14:textId="77777777" w:rsidTr="00B2592C">
        <w:tblPrEx>
          <w:tblW w:w="0" w:type="auto"/>
          <w:tblLook w:val="04A0"/>
        </w:tblPrEx>
        <w:trPr>
          <w:trHeight w:val="1005"/>
        </w:trPr>
        <w:tc>
          <w:tcPr>
            <w:tcW w:w="1339" w:type="dxa"/>
            <w:vMerge/>
            <w:vAlign w:val="center"/>
            <w:hideMark/>
          </w:tcPr>
          <w:p w:rsidR="00B2592C" w:rsidRPr="008A08F3" w:rsidP="00B2592C" w14:paraId="22A7C64F" w14:textId="77777777">
            <w:pPr>
              <w:rPr>
                <w:b/>
                <w:bCs/>
                <w:sz w:val="20"/>
                <w:szCs w:val="20"/>
              </w:rPr>
            </w:pPr>
          </w:p>
        </w:tc>
        <w:tc>
          <w:tcPr>
            <w:tcW w:w="1454" w:type="dxa"/>
            <w:vMerge/>
            <w:vAlign w:val="center"/>
            <w:hideMark/>
          </w:tcPr>
          <w:p w:rsidR="00B2592C" w:rsidRPr="008A08F3" w:rsidP="00B2592C" w14:paraId="196F9BFE" w14:textId="77777777">
            <w:pPr>
              <w:rPr>
                <w:sz w:val="20"/>
                <w:szCs w:val="20"/>
              </w:rPr>
            </w:pPr>
          </w:p>
        </w:tc>
        <w:tc>
          <w:tcPr>
            <w:tcW w:w="1601" w:type="dxa"/>
            <w:vAlign w:val="center"/>
            <w:hideMark/>
          </w:tcPr>
          <w:p w:rsidR="00B2592C" w:rsidRPr="008A08F3" w:rsidP="00B2592C" w14:paraId="69C02A33" w14:textId="77777777">
            <w:pPr>
              <w:rPr>
                <w:sz w:val="20"/>
                <w:szCs w:val="20"/>
              </w:rPr>
            </w:pPr>
            <w:r w:rsidRPr="008A08F3">
              <w:rPr>
                <w:sz w:val="20"/>
                <w:szCs w:val="20"/>
              </w:rPr>
              <w:t>méně odpadu uloženého mimo místa určená</w:t>
            </w:r>
          </w:p>
        </w:tc>
        <w:tc>
          <w:tcPr>
            <w:tcW w:w="1245" w:type="dxa"/>
            <w:vAlign w:val="center"/>
            <w:hideMark/>
          </w:tcPr>
          <w:p w:rsidR="00B2592C" w:rsidRPr="008A08F3" w:rsidP="00B2592C" w14:paraId="0C1FD8F2" w14:textId="77777777">
            <w:pPr>
              <w:jc w:val="center"/>
              <w:rPr>
                <w:sz w:val="20"/>
                <w:szCs w:val="20"/>
              </w:rPr>
            </w:pPr>
            <w:r w:rsidRPr="008A08F3">
              <w:rPr>
                <w:sz w:val="20"/>
                <w:szCs w:val="20"/>
              </w:rPr>
              <w:t>* až ***</w:t>
            </w:r>
          </w:p>
        </w:tc>
        <w:tc>
          <w:tcPr>
            <w:tcW w:w="1981" w:type="dxa"/>
            <w:vAlign w:val="center"/>
            <w:hideMark/>
          </w:tcPr>
          <w:p w:rsidR="00B2592C" w:rsidRPr="008A08F3" w:rsidP="00B2592C" w14:paraId="3CD27D67" w14:textId="77777777">
            <w:pPr>
              <w:jc w:val="center"/>
              <w:rPr>
                <w:sz w:val="20"/>
                <w:szCs w:val="20"/>
              </w:rPr>
            </w:pPr>
          </w:p>
        </w:tc>
        <w:tc>
          <w:tcPr>
            <w:tcW w:w="1442" w:type="dxa"/>
            <w:vAlign w:val="center"/>
            <w:hideMark/>
          </w:tcPr>
          <w:p w:rsidR="00B2592C" w:rsidRPr="008A08F3" w:rsidP="00B2592C" w14:paraId="7221A8D0" w14:textId="77777777">
            <w:pPr>
              <w:jc w:val="center"/>
              <w:rPr>
                <w:sz w:val="20"/>
                <w:szCs w:val="20"/>
              </w:rPr>
            </w:pPr>
          </w:p>
        </w:tc>
      </w:tr>
    </w:tbl>
    <w:p w:rsidR="00AB6F15" w:rsidRPr="003A3331" w:rsidP="00221615" w14:paraId="557A1E78" w14:textId="77777777">
      <w:pPr>
        <w:pStyle w:val="Heading2"/>
        <w:numPr>
          <w:ilvl w:val="0"/>
          <w:numId w:val="0"/>
        </w:numPr>
        <w:spacing w:before="120" w:after="0"/>
        <w:ind w:left="578" w:hanging="578"/>
        <w:rPr>
          <w:rFonts w:cs="Times New Roman"/>
          <w:b w:val="0"/>
        </w:rPr>
      </w:pPr>
      <w:bookmarkStart w:id="27" w:name="_Toc441759837"/>
      <w:r w:rsidRPr="003A3331">
        <w:rPr>
          <w:rFonts w:cs="Times New Roman"/>
          <w:b w:val="0"/>
          <w:sz w:val="20"/>
          <w:szCs w:val="20"/>
        </w:rPr>
        <w:t>- bez dopadů, * velmi nízké, ** nízké, *** střední, **** vysoké, ***** velmi vysoké</w:t>
      </w:r>
    </w:p>
    <w:p w:rsidR="00C14F33" w:rsidP="00C14F33" w14:paraId="1E73DA41" w14:textId="77777777"/>
    <w:p w:rsidR="00257E70" w:rsidRPr="00ED38E9" w:rsidP="005D660F" w14:paraId="48EFCD57" w14:textId="77777777">
      <w:pPr>
        <w:pStyle w:val="Heading2"/>
      </w:pPr>
      <w:r w:rsidRPr="00ED38E9">
        <w:t>Návrh řešení</w:t>
      </w:r>
      <w:bookmarkEnd w:id="27"/>
    </w:p>
    <w:p w:rsidR="00257E70" w:rsidRPr="00ED38E9" w:rsidP="00BF16B7" w14:paraId="32A56417" w14:textId="77777777">
      <w:pPr>
        <w:pStyle w:val="Heading3"/>
      </w:pPr>
      <w:r w:rsidRPr="00ED38E9">
        <w:t>Stanovení pořadí variant a výběr nejvhodnějšího řešení</w:t>
      </w:r>
    </w:p>
    <w:p w:rsidR="00257E70" w:rsidRPr="00ED38E9" w:rsidP="003C445B" w14:paraId="0DFD85E6" w14:textId="77777777">
      <w:pPr>
        <w:pStyle w:val="ListParagraph"/>
        <w:numPr>
          <w:ilvl w:val="0"/>
          <w:numId w:val="6"/>
        </w:numPr>
        <w:rPr>
          <w:rFonts w:cs="Arial"/>
          <w:b/>
          <w:noProof w:val="0"/>
        </w:rPr>
      </w:pPr>
      <w:r w:rsidRPr="00ED38E9">
        <w:rPr>
          <w:rFonts w:cs="Arial"/>
          <w:b/>
          <w:noProof w:val="0"/>
        </w:rPr>
        <w:t>Varianta 1</w:t>
      </w:r>
    </w:p>
    <w:p w:rsidR="00257E70" w:rsidRPr="00ED38E9" w:rsidP="003C445B" w14:paraId="52067D3A" w14:textId="77777777">
      <w:pPr>
        <w:pStyle w:val="ListParagraph"/>
        <w:numPr>
          <w:ilvl w:val="0"/>
          <w:numId w:val="6"/>
        </w:numPr>
        <w:rPr>
          <w:rFonts w:cs="Arial"/>
          <w:noProof w:val="0"/>
        </w:rPr>
      </w:pPr>
      <w:r w:rsidRPr="00ED38E9">
        <w:rPr>
          <w:rFonts w:cs="Arial"/>
          <w:noProof w:val="0"/>
        </w:rPr>
        <w:t>Varianta 0</w:t>
      </w:r>
    </w:p>
    <w:p w:rsidR="0099249D" w:rsidP="00783869" w14:paraId="5DFF0E82" w14:textId="0FDF6A7E">
      <w:pPr>
        <w:rPr>
          <w:rFonts w:cs="Arial"/>
        </w:rPr>
      </w:pPr>
      <w:r w:rsidRPr="00ED38E9">
        <w:rPr>
          <w:rFonts w:cs="Arial"/>
        </w:rPr>
        <w:t>Z důvodu zlepšení informovanosti občanů v oblasti nakládání s odpady doporučujeme přijmout Variantu 1.</w:t>
      </w:r>
    </w:p>
    <w:p w:rsidR="0046292D" w:rsidRPr="0046292D" w:rsidP="00D554FF" w14:paraId="5090EB00" w14:textId="77777777">
      <w:pPr>
        <w:keepNext/>
        <w:jc w:val="center"/>
        <w:rPr>
          <w:rFonts w:cs="Arial"/>
          <w:b/>
          <w:sz w:val="32"/>
          <w:szCs w:val="32"/>
          <w:u w:val="single"/>
        </w:rPr>
      </w:pPr>
      <w:r>
        <w:rPr>
          <w:rFonts w:cs="Arial"/>
          <w:b/>
          <w:sz w:val="32"/>
          <w:szCs w:val="32"/>
          <w:u w:val="single"/>
        </w:rPr>
        <w:t xml:space="preserve">II. </w:t>
      </w:r>
      <w:r w:rsidRPr="0046292D">
        <w:rPr>
          <w:rFonts w:cs="Arial"/>
          <w:b/>
          <w:sz w:val="32"/>
          <w:szCs w:val="32"/>
          <w:u w:val="single"/>
        </w:rPr>
        <w:t xml:space="preserve">Kolektivní </w:t>
      </w:r>
      <w:r>
        <w:rPr>
          <w:rFonts w:cs="Arial"/>
          <w:b/>
          <w:sz w:val="32"/>
          <w:szCs w:val="32"/>
          <w:u w:val="single"/>
        </w:rPr>
        <w:t>plnění</w:t>
      </w:r>
    </w:p>
    <w:p w:rsidR="00CE4238" w:rsidRPr="00ED38E9" w:rsidP="005D660F" w14:paraId="62943F22" w14:textId="77777777">
      <w:pPr>
        <w:pStyle w:val="Heading1"/>
      </w:pPr>
      <w:bookmarkStart w:id="28" w:name="_Toc441759838"/>
      <w:bookmarkStart w:id="29" w:name="_Toc14942079"/>
      <w:bookmarkStart w:id="30" w:name="_Toc256000005"/>
      <w:r w:rsidRPr="00ED38E9">
        <w:t xml:space="preserve">Oprávnění k provozování </w:t>
      </w:r>
      <w:r w:rsidRPr="00ED38E9" w:rsidR="00DA1276">
        <w:t>kolektivního systému</w:t>
      </w:r>
      <w:bookmarkEnd w:id="28"/>
      <w:r w:rsidR="0004161E">
        <w:t xml:space="preserve"> (§ 36)</w:t>
      </w:r>
      <w:bookmarkEnd w:id="30"/>
      <w:bookmarkEnd w:id="29"/>
    </w:p>
    <w:p w:rsidR="00257E70" w:rsidRPr="00ED38E9" w:rsidP="005D660F" w14:paraId="6C46D6E9" w14:textId="77777777">
      <w:pPr>
        <w:pStyle w:val="Heading2"/>
      </w:pPr>
      <w:bookmarkStart w:id="31" w:name="_Toc441759839"/>
      <w:r w:rsidRPr="00ED38E9">
        <w:t>Důvod předložení a cíle</w:t>
      </w:r>
      <w:bookmarkEnd w:id="31"/>
    </w:p>
    <w:p w:rsidR="00257E70" w:rsidRPr="00ED38E9" w:rsidP="00BF16B7" w14:paraId="74AFA77F" w14:textId="77777777">
      <w:pPr>
        <w:pStyle w:val="Heading3"/>
      </w:pPr>
      <w:r w:rsidRPr="00ED38E9">
        <w:t>Definice problému</w:t>
      </w:r>
    </w:p>
    <w:p w:rsidR="00CC4780" w:rsidP="00CC4780" w14:paraId="11B9A0E9" w14:textId="77777777">
      <w:pPr>
        <w:tabs>
          <w:tab w:val="left" w:pos="1843"/>
        </w:tabs>
        <w:rPr>
          <w:rFonts w:cs="Arial"/>
        </w:rPr>
      </w:pPr>
      <w:r w:rsidRPr="001539F1">
        <w:rPr>
          <w:rFonts w:cs="Arial"/>
        </w:rPr>
        <w:t>V návaznosti na požadavky evropské legislativy byly postupně do zákona o odpadech zavedeny povinnosti výrobců elektrozařízení a baterií a akumulátorů vč. způsobu plnění těchto povinností v rámci tzv. kolektivních systémů (KS). Jako poslední v této oblasti byla zákonem o odpadech zavedena regulace KS v oblasti pneumatik. S ohledem na postupné novelizace zákona o</w:t>
      </w:r>
      <w:r>
        <w:rPr>
          <w:rFonts w:cs="Arial"/>
        </w:rPr>
        <w:t> </w:t>
      </w:r>
      <w:r w:rsidRPr="001539F1">
        <w:rPr>
          <w:rFonts w:cs="Arial"/>
        </w:rPr>
        <w:t>odpadech  a problémy plynoucí ze způsobu udělování oprávnění pro provoz KS zajišťujících zpětný odběr elektrozařízení a oddělený sběr elektroodpadů, se právní úpravy v jednotlivých výrobkových oblastech zásadně liší.</w:t>
      </w:r>
    </w:p>
    <w:p w:rsidR="00257E70" w:rsidRPr="00ED38E9" w:rsidP="00BF16B7" w14:paraId="634BB5F3" w14:textId="77777777">
      <w:pPr>
        <w:pStyle w:val="Heading3"/>
      </w:pPr>
      <w:r w:rsidRPr="00ED38E9">
        <w:t>Popis existujícího právního stavu v dané oblasti</w:t>
      </w:r>
    </w:p>
    <w:p w:rsidR="00974140" w:rsidP="00C14F33" w14:paraId="6A900C4F" w14:textId="344788FA">
      <w:pPr>
        <w:pStyle w:val="Normlntun"/>
        <w:keepNext w:val="0"/>
        <w:numPr>
          <w:ilvl w:val="0"/>
          <w:numId w:val="119"/>
        </w:numPr>
        <w:spacing w:before="240" w:line="276" w:lineRule="auto"/>
        <w:ind w:left="714" w:hanging="357"/>
        <w:rPr>
          <w:rFonts w:cs="Arial"/>
        </w:rPr>
      </w:pPr>
      <w:r w:rsidRPr="00ED38E9">
        <w:rPr>
          <w:rFonts w:cs="Arial"/>
        </w:rPr>
        <w:t>Elektrická a elektronická zařízení (EEZ, elektrozařízení)</w:t>
      </w:r>
      <w:r w:rsidR="00F87A7C">
        <w:rPr>
          <w:rFonts w:cs="Arial"/>
        </w:rPr>
        <w:t xml:space="preserve"> - </w:t>
      </w:r>
      <w:r w:rsidRPr="00461726">
        <w:rPr>
          <w:rFonts w:cs="Arial"/>
          <w:b w:val="0"/>
        </w:rPr>
        <w:t>Zákon o odpadech v</w:t>
      </w:r>
      <w:r w:rsidR="00E73740">
        <w:rPr>
          <w:rFonts w:cs="Arial"/>
          <w:b w:val="0"/>
        </w:rPr>
        <w:t> </w:t>
      </w:r>
      <w:r w:rsidRPr="00461726">
        <w:rPr>
          <w:rFonts w:cs="Arial"/>
          <w:b w:val="0"/>
        </w:rPr>
        <w:t>§</w:t>
      </w:r>
      <w:r w:rsidR="00E73740">
        <w:rPr>
          <w:rFonts w:cs="Arial"/>
          <w:b w:val="0"/>
        </w:rPr>
        <w:t> </w:t>
      </w:r>
      <w:r w:rsidRPr="00461726">
        <w:rPr>
          <w:rFonts w:cs="Arial"/>
          <w:b w:val="0"/>
        </w:rPr>
        <w:t xml:space="preserve">37h uvádí, že výrobce může splnit povinnosti stanovené pro oddělený sběr, zpětný odběr, zpracování, využití a odstranění </w:t>
      </w:r>
      <w:r w:rsidRPr="00461726" w:rsidR="008700E0">
        <w:rPr>
          <w:rFonts w:cs="Arial"/>
          <w:b w:val="0"/>
        </w:rPr>
        <w:t xml:space="preserve">EEZ </w:t>
      </w:r>
      <w:r w:rsidRPr="00461726">
        <w:rPr>
          <w:rFonts w:cs="Arial"/>
          <w:b w:val="0"/>
        </w:rPr>
        <w:t>a elektroodpadu přenesením těchto povinností na jinou právnickou osobu zajišťující společné plnění povinností výrobců a</w:t>
      </w:r>
      <w:r w:rsidR="00E73740">
        <w:rPr>
          <w:rFonts w:cs="Arial"/>
          <w:b w:val="0"/>
        </w:rPr>
        <w:t> </w:t>
      </w:r>
      <w:r w:rsidRPr="00461726">
        <w:rPr>
          <w:rFonts w:cs="Arial"/>
          <w:b w:val="0"/>
        </w:rPr>
        <w:t xml:space="preserve">tzv. kolektivní plnění. Zápis </w:t>
      </w:r>
      <w:r w:rsidRPr="00461726" w:rsidR="002662A9">
        <w:rPr>
          <w:rFonts w:cs="Arial"/>
          <w:b w:val="0"/>
        </w:rPr>
        <w:t>KS</w:t>
      </w:r>
      <w:r w:rsidRPr="00461726">
        <w:rPr>
          <w:rFonts w:cs="Arial"/>
          <w:b w:val="0"/>
        </w:rPr>
        <w:t xml:space="preserve"> je upraven § 37i zákona o odpadech</w:t>
      </w:r>
      <w:r w:rsidRPr="00461726" w:rsidR="00A55654">
        <w:rPr>
          <w:rFonts w:cs="Arial"/>
          <w:b w:val="0"/>
        </w:rPr>
        <w:t>.</w:t>
      </w:r>
    </w:p>
    <w:p w:rsidR="008A08F3" w:rsidRPr="00F87A7C" w:rsidP="00C14F33" w14:paraId="33351528" w14:textId="77777777">
      <w:pPr>
        <w:pStyle w:val="Normlntun"/>
        <w:numPr>
          <w:ilvl w:val="0"/>
          <w:numId w:val="119"/>
        </w:numPr>
        <w:spacing w:before="240" w:line="276" w:lineRule="auto"/>
        <w:ind w:left="714" w:hanging="357"/>
        <w:rPr>
          <w:rFonts w:cs="Arial"/>
          <w:b w:val="0"/>
        </w:rPr>
      </w:pPr>
      <w:r w:rsidRPr="00ED38E9">
        <w:rPr>
          <w:rFonts w:cs="Arial"/>
        </w:rPr>
        <w:t>Baterie a akumulátory</w:t>
      </w:r>
      <w:r w:rsidR="00F87A7C">
        <w:rPr>
          <w:rFonts w:cs="Arial"/>
        </w:rPr>
        <w:t xml:space="preserve"> - </w:t>
      </w:r>
      <w:r w:rsidRPr="00F87A7C">
        <w:rPr>
          <w:rFonts w:cs="Arial"/>
          <w:b w:val="0"/>
        </w:rPr>
        <w:t>Vydávání oprávnění k provozování KS je upraveno v § 31m zákona o odpadech.</w:t>
      </w:r>
    </w:p>
    <w:p w:rsidR="00437A56" w:rsidP="00C14F33" w14:paraId="16796CEF" w14:textId="77777777">
      <w:pPr>
        <w:pStyle w:val="Normlntun"/>
        <w:numPr>
          <w:ilvl w:val="0"/>
          <w:numId w:val="119"/>
        </w:numPr>
        <w:spacing w:before="240" w:line="276" w:lineRule="auto"/>
        <w:ind w:left="714" w:hanging="357"/>
        <w:rPr>
          <w:rFonts w:cs="Arial"/>
        </w:rPr>
      </w:pPr>
      <w:r w:rsidRPr="00ED38E9">
        <w:rPr>
          <w:rFonts w:cs="Arial"/>
        </w:rPr>
        <w:t>Pneumatiky</w:t>
      </w:r>
      <w:r w:rsidR="00F87A7C">
        <w:rPr>
          <w:rFonts w:cs="Arial"/>
        </w:rPr>
        <w:t xml:space="preserve"> - </w:t>
      </w:r>
      <w:r w:rsidRPr="00461726" w:rsidR="008B410E">
        <w:rPr>
          <w:rFonts w:cs="Arial"/>
          <w:b w:val="0"/>
        </w:rPr>
        <w:t xml:space="preserve">Vydávání oprávnění k provozování </w:t>
      </w:r>
      <w:r w:rsidRPr="00461726" w:rsidR="002662A9">
        <w:rPr>
          <w:rFonts w:cs="Arial"/>
          <w:b w:val="0"/>
        </w:rPr>
        <w:t>KS</w:t>
      </w:r>
      <w:r w:rsidRPr="00461726" w:rsidR="008B410E">
        <w:rPr>
          <w:rFonts w:cs="Arial"/>
          <w:b w:val="0"/>
        </w:rPr>
        <w:t xml:space="preserve"> je upraveno v § 38d zákona o</w:t>
      </w:r>
      <w:r w:rsidRPr="00461726" w:rsidR="002F3826">
        <w:rPr>
          <w:rFonts w:cs="Arial"/>
          <w:b w:val="0"/>
        </w:rPr>
        <w:t> </w:t>
      </w:r>
      <w:r w:rsidRPr="00461726" w:rsidR="008B410E">
        <w:rPr>
          <w:rFonts w:cs="Arial"/>
          <w:b w:val="0"/>
        </w:rPr>
        <w:t>odpadech.</w:t>
      </w:r>
    </w:p>
    <w:p w:rsidR="00257E70" w:rsidRPr="00ED38E9" w:rsidP="00BF16B7" w14:paraId="1108519E" w14:textId="77777777">
      <w:pPr>
        <w:pStyle w:val="Heading3"/>
      </w:pPr>
      <w:r w:rsidRPr="00ED38E9">
        <w:t>Identifikace dotčených subjektů</w:t>
      </w:r>
    </w:p>
    <w:p w:rsidR="00257E70" w:rsidRPr="00ED38E9" w:rsidP="003C445B" w14:paraId="072FD0CD" w14:textId="77777777">
      <w:pPr>
        <w:pStyle w:val="ListParagraph"/>
        <w:numPr>
          <w:ilvl w:val="0"/>
          <w:numId w:val="54"/>
        </w:numPr>
        <w:contextualSpacing w:val="0"/>
        <w:rPr>
          <w:rFonts w:cs="Arial"/>
        </w:rPr>
      </w:pPr>
      <w:r w:rsidRPr="00ED38E9">
        <w:rPr>
          <w:rFonts w:cs="Arial"/>
        </w:rPr>
        <w:t>Ministerstvo životního prostředí (MŽP, ministerstvo),</w:t>
      </w:r>
    </w:p>
    <w:p w:rsidR="00257E70" w:rsidP="003C445B" w14:paraId="5069F701" w14:textId="77777777">
      <w:pPr>
        <w:pStyle w:val="ListParagraph"/>
        <w:numPr>
          <w:ilvl w:val="0"/>
          <w:numId w:val="54"/>
        </w:numPr>
        <w:contextualSpacing w:val="0"/>
        <w:rPr>
          <w:rFonts w:cs="Arial"/>
        </w:rPr>
      </w:pPr>
      <w:r w:rsidRPr="00ED38E9">
        <w:rPr>
          <w:rFonts w:cs="Arial"/>
        </w:rPr>
        <w:t>výrobci, povinné osoby</w:t>
      </w:r>
      <w:r w:rsidR="00CC4780">
        <w:rPr>
          <w:rFonts w:cs="Arial"/>
        </w:rPr>
        <w:t>,</w:t>
      </w:r>
    </w:p>
    <w:p w:rsidR="00CC4780" w:rsidRPr="00CC4780" w:rsidP="003C445B" w14:paraId="0C35B37D" w14:textId="77777777">
      <w:pPr>
        <w:numPr>
          <w:ilvl w:val="0"/>
          <w:numId w:val="54"/>
        </w:numPr>
        <w:rPr>
          <w:rFonts w:cs="Arial"/>
        </w:rPr>
      </w:pPr>
      <w:r>
        <w:rPr>
          <w:rFonts w:cs="Arial"/>
        </w:rPr>
        <w:t>kolektivní systémy.</w:t>
      </w:r>
    </w:p>
    <w:p w:rsidR="00257E70" w:rsidRPr="00ED38E9" w:rsidP="00BF16B7" w14:paraId="68B151F6" w14:textId="77777777">
      <w:pPr>
        <w:pStyle w:val="Heading3"/>
      </w:pPr>
      <w:r w:rsidRPr="00ED38E9">
        <w:t>Popis cílového stavu</w:t>
      </w:r>
    </w:p>
    <w:p w:rsidR="003A4884" w:rsidP="00936929" w14:paraId="75A23EBB" w14:textId="77777777">
      <w:pPr>
        <w:rPr>
          <w:rFonts w:cs="Arial"/>
        </w:rPr>
      </w:pPr>
      <w:r w:rsidRPr="001539F1">
        <w:rPr>
          <w:rFonts w:cs="Arial"/>
        </w:rPr>
        <w:t>Hlavním cílem je sjednocení pravidel pro udělování oprávnění k činnosti všech KS, které působí v</w:t>
      </w:r>
      <w:r>
        <w:rPr>
          <w:rFonts w:cs="Arial"/>
        </w:rPr>
        <w:t> </w:t>
      </w:r>
      <w:r w:rsidRPr="001539F1">
        <w:rPr>
          <w:rFonts w:cs="Arial"/>
        </w:rPr>
        <w:t>ČR</w:t>
      </w:r>
      <w:r>
        <w:rPr>
          <w:rFonts w:cs="Arial"/>
        </w:rPr>
        <w:t>,</w:t>
      </w:r>
      <w:r w:rsidRPr="001539F1">
        <w:rPr>
          <w:rFonts w:cs="Arial"/>
        </w:rPr>
        <w:t xml:space="preserve"> </w:t>
      </w:r>
      <w:r w:rsidRPr="001539F1">
        <w:rPr>
          <w:rFonts w:eastAsia="Calibri" w:cs="Arial"/>
        </w:rPr>
        <w:t>zajištění transparentního prostředí</w:t>
      </w:r>
      <w:r w:rsidRPr="001539F1">
        <w:rPr>
          <w:rFonts w:cs="Arial"/>
        </w:rPr>
        <w:t xml:space="preserve"> a eliminace negativních aspektů plynoucích z</w:t>
      </w:r>
      <w:r>
        <w:rPr>
          <w:rFonts w:cs="Arial"/>
        </w:rPr>
        <w:t> </w:t>
      </w:r>
      <w:r w:rsidRPr="001539F1">
        <w:rPr>
          <w:rFonts w:cs="Arial"/>
        </w:rPr>
        <w:t>jejich vzájemné konkurence, v jejímž důsledku dochází k redukci činností, které jsou nezbytným předpokladem pro řádné fungování KS založených na principu rozšířené odpovědnosti výrobce (např. realizace osvětové činnosti, realizace vnitřní kontrolní činnosti - audity).</w:t>
      </w:r>
      <w:r w:rsidRPr="00ED38E9" w:rsidR="00735B62">
        <w:rPr>
          <w:rFonts w:cs="Arial"/>
        </w:rPr>
        <w:t xml:space="preserve"> </w:t>
      </w:r>
    </w:p>
    <w:p w:rsidR="00257E70" w:rsidRPr="00ED38E9" w:rsidP="00BF16B7" w14:paraId="743A0127" w14:textId="77777777">
      <w:pPr>
        <w:pStyle w:val="Heading3"/>
      </w:pPr>
      <w:r w:rsidRPr="00ED38E9">
        <w:t>Zhodnocení rizika</w:t>
      </w:r>
    </w:p>
    <w:p w:rsidR="003A4884" w:rsidP="00936929" w14:paraId="704B1CCB" w14:textId="70D7630B">
      <w:pPr>
        <w:rPr>
          <w:rFonts w:cs="Arial"/>
        </w:rPr>
      </w:pPr>
      <w:r w:rsidRPr="001539F1">
        <w:rPr>
          <w:rFonts w:cs="Arial"/>
        </w:rPr>
        <w:t xml:space="preserve">Hlavním rizikem je nejednotnost při zajišťování kolektivního plnění v oblasti zpětného odběru </w:t>
      </w:r>
      <w:r w:rsidR="00D32BFA">
        <w:rPr>
          <w:rFonts w:cs="Arial"/>
        </w:rPr>
        <w:t>VUŽ</w:t>
      </w:r>
      <w:r w:rsidRPr="001539F1">
        <w:rPr>
          <w:rFonts w:cs="Arial"/>
        </w:rPr>
        <w:t xml:space="preserve"> přestože princip zpětného odběru je u všech </w:t>
      </w:r>
      <w:r w:rsidR="00D32BFA">
        <w:rPr>
          <w:rFonts w:cs="Arial"/>
        </w:rPr>
        <w:t>VUŽ</w:t>
      </w:r>
      <w:r w:rsidRPr="001539F1">
        <w:rPr>
          <w:rFonts w:cs="Arial"/>
        </w:rPr>
        <w:t xml:space="preserve"> stejný</w:t>
      </w:r>
      <w:r>
        <w:rPr>
          <w:rFonts w:cs="Arial"/>
        </w:rPr>
        <w:t>, n</w:t>
      </w:r>
      <w:r w:rsidRPr="001539F1">
        <w:rPr>
          <w:rFonts w:cs="Arial"/>
        </w:rPr>
        <w:t>erovné podmínky mezi nově vznikajícími KS a stávajícími KS a ztížený vstup nových KS na trh.</w:t>
      </w:r>
    </w:p>
    <w:p w:rsidR="00DD4CE1" w:rsidRPr="00ED38E9" w:rsidP="00936929" w14:paraId="0C9C79AE" w14:textId="77777777">
      <w:pPr>
        <w:rPr>
          <w:rFonts w:cs="Arial"/>
        </w:rPr>
      </w:pPr>
    </w:p>
    <w:p w:rsidR="00257E70" w:rsidRPr="00ED38E9" w:rsidP="00221615" w14:paraId="69F4CB45" w14:textId="77777777">
      <w:pPr>
        <w:pStyle w:val="Heading2"/>
        <w:spacing w:before="120" w:after="0"/>
      </w:pPr>
      <w:bookmarkStart w:id="32" w:name="_Toc441759840"/>
      <w:r w:rsidRPr="00ED38E9">
        <w:t>Návrh variant řešení</w:t>
      </w:r>
      <w:bookmarkEnd w:id="32"/>
    </w:p>
    <w:p w:rsidR="00257E70" w:rsidRPr="00ED38E9" w:rsidP="00BF16B7" w14:paraId="6F2705B5" w14:textId="77777777">
      <w:pPr>
        <w:pStyle w:val="Heading3"/>
      </w:pPr>
      <w:r w:rsidRPr="00ED38E9">
        <w:t>Varianta 0</w:t>
      </w:r>
    </w:p>
    <w:p w:rsidR="00257E70" w:rsidP="00936929" w14:paraId="4712E352" w14:textId="77777777">
      <w:pPr>
        <w:rPr>
          <w:rFonts w:cs="Arial"/>
        </w:rPr>
      </w:pPr>
      <w:r w:rsidRPr="00ED38E9">
        <w:rPr>
          <w:rFonts w:cs="Arial"/>
        </w:rPr>
        <w:t>Současný stav, kdy</w:t>
      </w:r>
      <w:r w:rsidRPr="00ED38E9" w:rsidR="008B410E">
        <w:rPr>
          <w:rFonts w:cs="Arial"/>
        </w:rPr>
        <w:t xml:space="preserve"> </w:t>
      </w:r>
      <w:r w:rsidR="00A650B9">
        <w:rPr>
          <w:rFonts w:cs="Arial"/>
        </w:rPr>
        <w:t xml:space="preserve">podmínky pro </w:t>
      </w:r>
      <w:r w:rsidRPr="00ED38E9" w:rsidR="008B410E">
        <w:rPr>
          <w:rFonts w:cs="Arial"/>
        </w:rPr>
        <w:t xml:space="preserve">založení </w:t>
      </w:r>
      <w:r w:rsidR="002662A9">
        <w:rPr>
          <w:rFonts w:cs="Arial"/>
        </w:rPr>
        <w:t>KS</w:t>
      </w:r>
      <w:r w:rsidRPr="00ED38E9" w:rsidR="008B410E">
        <w:rPr>
          <w:rFonts w:cs="Arial"/>
        </w:rPr>
        <w:t xml:space="preserve"> ne</w:t>
      </w:r>
      <w:r w:rsidR="00A650B9">
        <w:rPr>
          <w:rFonts w:cs="Arial"/>
        </w:rPr>
        <w:t>jsou</w:t>
      </w:r>
      <w:r w:rsidRPr="00ED38E9" w:rsidR="008B410E">
        <w:rPr>
          <w:rFonts w:cs="Arial"/>
        </w:rPr>
        <w:t xml:space="preserve"> jednotné</w:t>
      </w:r>
      <w:r w:rsidRPr="00ED38E9" w:rsidR="006A718B">
        <w:rPr>
          <w:rFonts w:cs="Arial"/>
        </w:rPr>
        <w:t xml:space="preserve"> pro všechny </w:t>
      </w:r>
      <w:r w:rsidR="00A650B9">
        <w:rPr>
          <w:rFonts w:cs="Arial"/>
        </w:rPr>
        <w:t xml:space="preserve">výrobkové skupiny, </w:t>
      </w:r>
      <w:r w:rsidRPr="00ED38E9" w:rsidR="00A1440C">
        <w:rPr>
          <w:rFonts w:cs="Arial"/>
        </w:rPr>
        <w:t>a </w:t>
      </w:r>
      <w:r w:rsidRPr="00ED38E9" w:rsidR="002C090F">
        <w:rPr>
          <w:rFonts w:cs="Arial"/>
        </w:rPr>
        <w:t xml:space="preserve">povinnosti je možné plnit </w:t>
      </w:r>
      <w:r w:rsidRPr="00ED38E9" w:rsidR="00A1440C">
        <w:rPr>
          <w:rFonts w:cs="Arial"/>
        </w:rPr>
        <w:t xml:space="preserve"> individuáln</w:t>
      </w:r>
      <w:r w:rsidRPr="00ED38E9" w:rsidR="002C090F">
        <w:rPr>
          <w:rFonts w:cs="Arial"/>
        </w:rPr>
        <w:t>ě</w:t>
      </w:r>
      <w:r w:rsidRPr="00ED38E9" w:rsidR="00A1440C">
        <w:rPr>
          <w:rFonts w:cs="Arial"/>
        </w:rPr>
        <w:t>, solidárn</w:t>
      </w:r>
      <w:r w:rsidRPr="00ED38E9" w:rsidR="002C090F">
        <w:rPr>
          <w:rFonts w:cs="Arial"/>
        </w:rPr>
        <w:t>ě</w:t>
      </w:r>
      <w:r w:rsidRPr="00ED38E9" w:rsidR="00A1440C">
        <w:rPr>
          <w:rFonts w:cs="Arial"/>
        </w:rPr>
        <w:t xml:space="preserve"> či kolektivn</w:t>
      </w:r>
      <w:r w:rsidRPr="00ED38E9" w:rsidR="002C090F">
        <w:rPr>
          <w:rFonts w:cs="Arial"/>
        </w:rPr>
        <w:t>ě</w:t>
      </w:r>
      <w:r w:rsidRPr="00ED38E9" w:rsidR="00A1440C">
        <w:rPr>
          <w:rFonts w:cs="Arial"/>
        </w:rPr>
        <w:t>.</w:t>
      </w:r>
      <w:r w:rsidRPr="00ED38E9" w:rsidR="002C090F">
        <w:rPr>
          <w:rFonts w:cs="Arial"/>
        </w:rPr>
        <w:t xml:space="preserve"> Zároveň zejména v oblasti </w:t>
      </w:r>
      <w:r w:rsidR="008700E0">
        <w:rPr>
          <w:rFonts w:cs="Arial"/>
        </w:rPr>
        <w:t>EEZ</w:t>
      </w:r>
      <w:r w:rsidRPr="00ED38E9" w:rsidR="008700E0">
        <w:rPr>
          <w:rFonts w:cs="Arial"/>
        </w:rPr>
        <w:t xml:space="preserve"> </w:t>
      </w:r>
      <w:r w:rsidRPr="00ED38E9" w:rsidR="00465192">
        <w:rPr>
          <w:rFonts w:cs="Arial"/>
        </w:rPr>
        <w:t>je</w:t>
      </w:r>
      <w:r w:rsidRPr="00ED38E9" w:rsidR="002C090F">
        <w:rPr>
          <w:rFonts w:cs="Arial"/>
        </w:rPr>
        <w:t xml:space="preserve"> </w:t>
      </w:r>
      <w:r w:rsidRPr="00ED38E9" w:rsidR="00465192">
        <w:rPr>
          <w:rFonts w:cs="Arial"/>
        </w:rPr>
        <w:t>plnění některých důležitých zákonných povinností právně obtížně vymahatelné</w:t>
      </w:r>
      <w:r w:rsidRPr="00ED38E9" w:rsidR="002C090F">
        <w:rPr>
          <w:rFonts w:cs="Arial"/>
        </w:rPr>
        <w:t>.</w:t>
      </w:r>
    </w:p>
    <w:p w:rsidR="00F62739" w:rsidRPr="00ED38E9" w:rsidP="00BF16B7" w14:paraId="49573602" w14:textId="77777777">
      <w:pPr>
        <w:pStyle w:val="Heading3"/>
      </w:pPr>
      <w:r w:rsidRPr="00ED38E9">
        <w:t>Varianta 1</w:t>
      </w:r>
    </w:p>
    <w:p w:rsidR="00CC4780" w:rsidP="00CC4780" w14:paraId="31BFBD60" w14:textId="77777777">
      <w:pPr>
        <w:rPr>
          <w:rFonts w:cs="Arial"/>
        </w:rPr>
      </w:pPr>
      <w:r w:rsidRPr="001539F1">
        <w:rPr>
          <w:rFonts w:cs="Arial"/>
        </w:rPr>
        <w:t>Nastavení jednotných podmínek pro vydání oprávnění k provozování KS, a dále pak některých podmínek, které mají sloužit k tomu, aby KS provozovaly pouze společnosti, které budou řádně plnit přenesené povinnosti výrobců a budou kvalitním partnerem výrobců i ministerstva v daných oblastech.</w:t>
      </w:r>
    </w:p>
    <w:p w:rsidR="00CC4780" w:rsidP="00DE7BAB" w14:paraId="23D0CCC4" w14:textId="2FD495FA">
      <w:pPr>
        <w:spacing w:before="240"/>
      </w:pPr>
      <w:r>
        <w:rPr>
          <w:rFonts w:cs="Arial"/>
        </w:rPr>
        <w:t>Jednou z podmínek je stanovení minimální v</w:t>
      </w:r>
      <w:r w:rsidRPr="00DE7BAB">
        <w:rPr>
          <w:rFonts w:cs="Arial"/>
        </w:rPr>
        <w:t>ý</w:t>
      </w:r>
      <w:r>
        <w:rPr>
          <w:rFonts w:cs="Arial"/>
        </w:rPr>
        <w:t xml:space="preserve">še základního kapitálu žadatele, a to </w:t>
      </w:r>
      <w:r w:rsidRPr="00DE7BAB">
        <w:rPr>
          <w:rFonts w:cs="Arial"/>
        </w:rPr>
        <w:t>alespoň 2 000 000 Kč nebo 80 000 EUR.</w:t>
      </w:r>
      <w:r>
        <w:rPr>
          <w:rFonts w:cs="Arial"/>
        </w:rPr>
        <w:t xml:space="preserve"> </w:t>
      </w:r>
      <w:r>
        <w:t>Další podmínkou je předložení p</w:t>
      </w:r>
      <w:r w:rsidRPr="001539F1">
        <w:t>rojekt</w:t>
      </w:r>
      <w:r>
        <w:t>u</w:t>
      </w:r>
      <w:r w:rsidRPr="001539F1">
        <w:t xml:space="preserve"> zajišťování kolektivního plnění </w:t>
      </w:r>
      <w:r>
        <w:rPr>
          <w:rFonts w:eastAsia="Calibri" w:cs="Arial"/>
        </w:rPr>
        <w:t>spolu s žádostí</w:t>
      </w:r>
      <w:r w:rsidRPr="001539F1">
        <w:rPr>
          <w:rFonts w:eastAsia="Calibri" w:cs="Arial"/>
        </w:rPr>
        <w:t xml:space="preserve"> o udělení oprávnění k provozování KS</w:t>
      </w:r>
      <w:r>
        <w:rPr>
          <w:rFonts w:eastAsia="Calibri" w:cs="Arial"/>
        </w:rPr>
        <w:t xml:space="preserve">, který </w:t>
      </w:r>
      <w:r w:rsidRPr="001539F1">
        <w:rPr>
          <w:rFonts w:eastAsia="Calibri" w:cs="Arial"/>
        </w:rPr>
        <w:t xml:space="preserve">předloží všechny KS. Stávající KS tak vypracují nový </w:t>
      </w:r>
      <w:r w:rsidRPr="001539F1">
        <w:t>projekt zajišťování kolektivního plnění</w:t>
      </w:r>
      <w:r w:rsidRPr="001539F1">
        <w:rPr>
          <w:rFonts w:eastAsia="Calibri" w:cs="Arial"/>
        </w:rPr>
        <w:t xml:space="preserve"> a znovu požádají o</w:t>
      </w:r>
      <w:r>
        <w:rPr>
          <w:rFonts w:eastAsia="Calibri" w:cs="Arial"/>
        </w:rPr>
        <w:t> </w:t>
      </w:r>
      <w:r w:rsidRPr="001539F1">
        <w:rPr>
          <w:rFonts w:eastAsia="Calibri" w:cs="Arial"/>
        </w:rPr>
        <w:t xml:space="preserve">udělení oprávnění k provozování KS. Oprávnění k provozování </w:t>
      </w:r>
      <w:r w:rsidR="00D32BFA">
        <w:rPr>
          <w:rFonts w:eastAsia="Calibri" w:cs="Arial"/>
        </w:rPr>
        <w:t>KS</w:t>
      </w:r>
      <w:r w:rsidRPr="001539F1">
        <w:rPr>
          <w:rFonts w:eastAsia="Calibri" w:cs="Arial"/>
        </w:rPr>
        <w:t xml:space="preserve"> bude vydané na</w:t>
      </w:r>
      <w:r w:rsidR="00D32BFA">
        <w:rPr>
          <w:rFonts w:eastAsia="Calibri" w:cs="Arial"/>
        </w:rPr>
        <w:t> </w:t>
      </w:r>
      <w:r w:rsidRPr="001539F1">
        <w:rPr>
          <w:rFonts w:eastAsia="Calibri" w:cs="Arial"/>
        </w:rPr>
        <w:t>dobu neurčitou a nepřechází na jinou osobu.</w:t>
      </w:r>
    </w:p>
    <w:p w:rsidR="00F62739" w:rsidP="00F62739" w14:paraId="7D81DABD" w14:textId="77777777">
      <w:pPr>
        <w:rPr>
          <w:rFonts w:cs="Arial"/>
        </w:rPr>
      </w:pPr>
      <w:r w:rsidRPr="00ED38E9">
        <w:rPr>
          <w:rFonts w:cs="Arial"/>
        </w:rPr>
        <w:t xml:space="preserve">Uvedené podmínky se vztahují i na současně působící </w:t>
      </w:r>
      <w:r>
        <w:rPr>
          <w:rFonts w:cs="Arial"/>
        </w:rPr>
        <w:t>KS</w:t>
      </w:r>
      <w:r w:rsidRPr="00ED38E9">
        <w:rPr>
          <w:rFonts w:cs="Arial"/>
        </w:rPr>
        <w:t>, které budou muset podat žádost o</w:t>
      </w:r>
      <w:r>
        <w:rPr>
          <w:rFonts w:cs="Arial"/>
        </w:rPr>
        <w:t> </w:t>
      </w:r>
      <w:r w:rsidRPr="00ED38E9">
        <w:rPr>
          <w:rFonts w:cs="Arial"/>
        </w:rPr>
        <w:t xml:space="preserve">vydání oprávnění do 18 měsíců od nabytí účinnosti tohoto zákona. </w:t>
      </w:r>
    </w:p>
    <w:p w:rsidR="00F70B1C" w:rsidP="00F62739" w14:paraId="79B1756D" w14:textId="77777777">
      <w:pPr>
        <w:rPr>
          <w:rFonts w:cs="Arial"/>
        </w:rPr>
      </w:pPr>
    </w:p>
    <w:p w:rsidR="00F62739" w:rsidRPr="00ED38E9" w:rsidP="00F70B1C" w14:paraId="27F2BEAD" w14:textId="77777777">
      <w:pPr>
        <w:pStyle w:val="Heading2"/>
        <w:keepNext w:val="0"/>
        <w:spacing w:before="120" w:after="0"/>
      </w:pPr>
      <w:bookmarkStart w:id="33" w:name="_Toc441759841"/>
      <w:r w:rsidRPr="00ED38E9">
        <w:t>Vyhodnocení nákladů a přínosů</w:t>
      </w:r>
      <w:bookmarkEnd w:id="33"/>
    </w:p>
    <w:p w:rsidR="00F62739" w:rsidRPr="00ED38E9" w:rsidP="00BF16B7" w14:paraId="2689B1DD" w14:textId="77777777">
      <w:pPr>
        <w:pStyle w:val="Heading3"/>
      </w:pPr>
      <w:r w:rsidRPr="00ED38E9">
        <w:t>Identifikace nákladů a přínosů</w:t>
      </w:r>
    </w:p>
    <w:p w:rsidR="00F62739" w:rsidRPr="00221615" w:rsidP="003C445B" w14:paraId="0B793BE9" w14:textId="77777777">
      <w:pPr>
        <w:pStyle w:val="ListParagraph"/>
        <w:numPr>
          <w:ilvl w:val="0"/>
          <w:numId w:val="55"/>
        </w:numPr>
        <w:spacing w:after="0"/>
        <w:contextualSpacing w:val="0"/>
        <w:rPr>
          <w:rFonts w:cs="Arial"/>
          <w:b/>
        </w:rPr>
      </w:pPr>
      <w:r w:rsidRPr="00221615">
        <w:rPr>
          <w:rFonts w:cs="Arial"/>
          <w:b/>
        </w:rPr>
        <w:t>Varianta 0</w:t>
      </w:r>
    </w:p>
    <w:p w:rsidR="00CC4780" w:rsidRPr="00EB5415" w:rsidP="00F70B1C" w14:paraId="44FC1E34" w14:textId="77777777">
      <w:pPr>
        <w:outlineLvl w:val="2"/>
      </w:pPr>
      <w:r w:rsidRPr="00EB5415">
        <w:t xml:space="preserve">V současnosti je každý fungující KS zapsán v Seznamu výrobců nebo mu bylo uděleno oprávnění na základě předloženého projektu. </w:t>
      </w:r>
    </w:p>
    <w:p w:rsidR="00CC4780" w:rsidRPr="00C14F33" w:rsidP="00E73740" w14:paraId="171F9273" w14:textId="77777777">
      <w:pPr>
        <w:spacing w:before="360" w:after="0"/>
        <w:rPr>
          <w:rFonts w:cs="Arial"/>
          <w:b/>
          <w:bCs/>
          <w:i/>
          <w:szCs w:val="20"/>
          <w:lang w:eastAsia="cs-CZ"/>
        </w:rPr>
      </w:pPr>
      <w:r w:rsidRPr="00C14F33">
        <w:rPr>
          <w:rFonts w:cs="Arial"/>
          <w:b/>
          <w:bCs/>
          <w:i/>
          <w:szCs w:val="20"/>
          <w:lang w:eastAsia="cs-CZ"/>
        </w:rPr>
        <w:t>Elektrozařízení</w:t>
      </w:r>
    </w:p>
    <w:p w:rsidR="00CC4780" w:rsidRPr="00CC4780" w:rsidP="00F70B1C" w14:paraId="31420C49" w14:textId="56F52D48">
      <w:pPr>
        <w:rPr>
          <w:rFonts w:cs="Arial"/>
        </w:rPr>
      </w:pPr>
      <w:r w:rsidRPr="00CC4780">
        <w:rPr>
          <w:rFonts w:cs="Arial"/>
        </w:rPr>
        <w:t xml:space="preserve">V současné době v oblasti </w:t>
      </w:r>
      <w:r w:rsidR="00D32BFA">
        <w:rPr>
          <w:rFonts w:cs="Arial"/>
        </w:rPr>
        <w:t>EEZ</w:t>
      </w:r>
      <w:r w:rsidRPr="00CC4780">
        <w:rPr>
          <w:rFonts w:cs="Arial"/>
        </w:rPr>
        <w:t xml:space="preserve"> působí celkem 15 KS, které zajišťují plnění zákonných povinností pro 4 438 výrobců elektrozařízení či solárních panelů. Některé z těchto </w:t>
      </w:r>
      <w:r w:rsidR="00D32BFA">
        <w:rPr>
          <w:rFonts w:cs="Arial"/>
        </w:rPr>
        <w:t>KS</w:t>
      </w:r>
      <w:r w:rsidRPr="00CC4780">
        <w:rPr>
          <w:rFonts w:cs="Arial"/>
        </w:rPr>
        <w:t xml:space="preserve"> zajišťují též plnění povinností pro provozovatele solárních elektráren.</w:t>
      </w:r>
    </w:p>
    <w:p w:rsidR="008853F0" w14:paraId="7BAC9EB1" w14:textId="77777777">
      <w:pPr>
        <w:rPr>
          <w:rFonts w:cs="Arial"/>
          <w:b/>
          <w:spacing w:val="10"/>
          <w:sz w:val="20"/>
          <w:szCs w:val="20"/>
        </w:rPr>
      </w:pPr>
      <w:r>
        <w:rPr>
          <w:rFonts w:cs="Arial"/>
          <w:b/>
          <w:spacing w:val="10"/>
          <w:sz w:val="20"/>
          <w:szCs w:val="20"/>
        </w:rPr>
        <w:br w:type="page"/>
      </w:r>
    </w:p>
    <w:p w:rsidR="00CC4780" w:rsidRPr="00CC4780" w:rsidP="0099249D" w14:paraId="4DDE2370" w14:textId="65E77627">
      <w:pPr>
        <w:keepNext/>
        <w:spacing w:before="240"/>
        <w:rPr>
          <w:rFonts w:cs="Arial"/>
          <w:b/>
          <w:spacing w:val="10"/>
          <w:sz w:val="20"/>
          <w:szCs w:val="20"/>
        </w:rPr>
      </w:pPr>
      <w:r>
        <w:rPr>
          <w:rFonts w:cs="Arial"/>
          <w:b/>
          <w:spacing w:val="10"/>
          <w:sz w:val="20"/>
          <w:szCs w:val="20"/>
        </w:rPr>
        <w:t>Tabulka 7</w:t>
      </w:r>
      <w:r w:rsidRPr="00CC4780">
        <w:rPr>
          <w:rFonts w:cs="Arial"/>
          <w:b/>
          <w:spacing w:val="10"/>
          <w:sz w:val="20"/>
          <w:szCs w:val="20"/>
        </w:rPr>
        <w:t>: Přehled kolektivních systémů</w:t>
      </w:r>
    </w:p>
    <w:tbl>
      <w:tblPr>
        <w:tblW w:w="5660" w:type="dxa"/>
        <w:tblInd w:w="75" w:type="dxa"/>
        <w:tblCellMar>
          <w:left w:w="70" w:type="dxa"/>
          <w:right w:w="70" w:type="dxa"/>
        </w:tblCellMar>
        <w:tblLook w:val="04A0"/>
      </w:tblPr>
      <w:tblGrid>
        <w:gridCol w:w="3480"/>
        <w:gridCol w:w="2180"/>
      </w:tblGrid>
      <w:tr w14:paraId="56AFA37D" w14:textId="77777777" w:rsidTr="00C87069">
        <w:tblPrEx>
          <w:tblW w:w="5660" w:type="dxa"/>
          <w:tblInd w:w="75" w:type="dxa"/>
          <w:tblCellMar>
            <w:left w:w="70" w:type="dxa"/>
            <w:right w:w="70" w:type="dxa"/>
          </w:tblCellMar>
          <w:tblLook w:val="04A0"/>
        </w:tblPrEx>
        <w:trPr>
          <w:trHeight w:val="402"/>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780" w:rsidRPr="001539F1" w:rsidP="0099249D" w14:paraId="5E024E23" w14:textId="77777777">
            <w:pPr>
              <w:keepNext/>
              <w:spacing w:line="240" w:lineRule="auto"/>
              <w:rPr>
                <w:b/>
                <w:bCs/>
                <w:color w:val="000000"/>
                <w:sz w:val="20"/>
                <w:szCs w:val="20"/>
                <w:lang w:eastAsia="cs-CZ"/>
              </w:rPr>
            </w:pPr>
            <w:r w:rsidRPr="001539F1">
              <w:rPr>
                <w:b/>
                <w:bCs/>
                <w:color w:val="000000"/>
                <w:sz w:val="20"/>
                <w:szCs w:val="20"/>
                <w:lang w:eastAsia="cs-CZ"/>
              </w:rPr>
              <w:t>Název kolektivního systému</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CC4780" w:rsidRPr="001539F1" w:rsidP="0099249D" w14:paraId="197C7560" w14:textId="77777777">
            <w:pPr>
              <w:keepNext/>
              <w:spacing w:line="240" w:lineRule="auto"/>
              <w:jc w:val="center"/>
              <w:rPr>
                <w:b/>
                <w:bCs/>
                <w:color w:val="000000"/>
                <w:sz w:val="20"/>
                <w:szCs w:val="20"/>
                <w:lang w:eastAsia="cs-CZ"/>
              </w:rPr>
            </w:pPr>
            <w:r w:rsidRPr="001539F1">
              <w:rPr>
                <w:b/>
                <w:bCs/>
                <w:color w:val="000000"/>
                <w:sz w:val="20"/>
                <w:szCs w:val="20"/>
                <w:lang w:eastAsia="cs-CZ"/>
              </w:rPr>
              <w:t>Počet subjektů (ks)</w:t>
            </w:r>
          </w:p>
        </w:tc>
      </w:tr>
      <w:tr w14:paraId="43524135"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2B1FD46B" w14:textId="77777777">
            <w:pPr>
              <w:spacing w:line="240" w:lineRule="auto"/>
              <w:rPr>
                <w:color w:val="000000"/>
                <w:sz w:val="20"/>
                <w:szCs w:val="20"/>
                <w:lang w:eastAsia="cs-CZ"/>
              </w:rPr>
            </w:pPr>
            <w:r w:rsidRPr="001539F1">
              <w:rPr>
                <w:color w:val="000000"/>
                <w:sz w:val="20"/>
                <w:szCs w:val="20"/>
                <w:lang w:eastAsia="cs-CZ"/>
              </w:rPr>
              <w:t>ASEKOL a.s.</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7F24D6D2" w14:textId="77777777">
            <w:pPr>
              <w:spacing w:line="240" w:lineRule="auto"/>
              <w:jc w:val="center"/>
              <w:rPr>
                <w:color w:val="000000"/>
                <w:sz w:val="20"/>
                <w:szCs w:val="20"/>
                <w:lang w:eastAsia="cs-CZ"/>
              </w:rPr>
            </w:pPr>
            <w:r w:rsidRPr="001539F1">
              <w:rPr>
                <w:color w:val="000000"/>
                <w:sz w:val="20"/>
                <w:szCs w:val="20"/>
                <w:lang w:eastAsia="cs-CZ"/>
              </w:rPr>
              <w:t>721</w:t>
            </w:r>
          </w:p>
        </w:tc>
      </w:tr>
      <w:tr w14:paraId="67625CD6"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459C5F1A" w14:textId="77777777">
            <w:pPr>
              <w:spacing w:line="240" w:lineRule="auto"/>
              <w:rPr>
                <w:color w:val="000000"/>
                <w:sz w:val="20"/>
                <w:szCs w:val="20"/>
                <w:lang w:eastAsia="cs-CZ"/>
              </w:rPr>
            </w:pPr>
            <w:r w:rsidRPr="001539F1">
              <w:rPr>
                <w:color w:val="000000"/>
                <w:sz w:val="20"/>
                <w:szCs w:val="20"/>
                <w:lang w:eastAsia="cs-CZ"/>
              </w:rPr>
              <w:t>ASEKOL Solar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AF941EA" w14:textId="77777777">
            <w:pPr>
              <w:spacing w:line="240" w:lineRule="auto"/>
              <w:jc w:val="center"/>
              <w:rPr>
                <w:color w:val="000000"/>
                <w:sz w:val="20"/>
                <w:szCs w:val="20"/>
                <w:lang w:eastAsia="cs-CZ"/>
              </w:rPr>
            </w:pPr>
            <w:r w:rsidRPr="001539F1">
              <w:rPr>
                <w:color w:val="000000"/>
                <w:sz w:val="20"/>
                <w:szCs w:val="20"/>
                <w:lang w:eastAsia="cs-CZ"/>
              </w:rPr>
              <w:t>38</w:t>
            </w:r>
          </w:p>
        </w:tc>
      </w:tr>
      <w:tr w14:paraId="13FA9674"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43906BBD" w14:textId="77777777">
            <w:pPr>
              <w:spacing w:line="240" w:lineRule="auto"/>
              <w:rPr>
                <w:color w:val="000000"/>
                <w:sz w:val="20"/>
                <w:szCs w:val="20"/>
                <w:lang w:eastAsia="cs-CZ"/>
              </w:rPr>
            </w:pPr>
            <w:r w:rsidRPr="001539F1">
              <w:rPr>
                <w:color w:val="000000"/>
                <w:sz w:val="20"/>
                <w:szCs w:val="20"/>
                <w:lang w:eastAsia="cs-CZ"/>
              </w:rPr>
              <w:t>Bren,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681FE04" w14:textId="77777777">
            <w:pPr>
              <w:spacing w:line="240" w:lineRule="auto"/>
              <w:jc w:val="center"/>
              <w:rPr>
                <w:color w:val="000000"/>
                <w:sz w:val="20"/>
                <w:szCs w:val="20"/>
                <w:lang w:eastAsia="cs-CZ"/>
              </w:rPr>
            </w:pPr>
            <w:r w:rsidRPr="001539F1">
              <w:rPr>
                <w:color w:val="000000"/>
                <w:sz w:val="20"/>
                <w:szCs w:val="20"/>
                <w:lang w:eastAsia="cs-CZ"/>
              </w:rPr>
              <w:t>7</w:t>
            </w:r>
          </w:p>
        </w:tc>
      </w:tr>
      <w:tr w14:paraId="5A08C3C7"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0F6AA00F" w14:textId="77777777">
            <w:pPr>
              <w:spacing w:line="240" w:lineRule="auto"/>
              <w:rPr>
                <w:color w:val="000000"/>
                <w:sz w:val="20"/>
                <w:szCs w:val="20"/>
                <w:lang w:eastAsia="cs-CZ"/>
              </w:rPr>
            </w:pPr>
            <w:r w:rsidRPr="001539F1">
              <w:rPr>
                <w:color w:val="000000"/>
                <w:sz w:val="20"/>
                <w:szCs w:val="20"/>
                <w:lang w:eastAsia="cs-CZ"/>
              </w:rPr>
              <w:t>ČEZ Recyklace,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088B109B" w14:textId="77777777">
            <w:pPr>
              <w:spacing w:line="240" w:lineRule="auto"/>
              <w:jc w:val="center"/>
              <w:rPr>
                <w:color w:val="000000"/>
                <w:sz w:val="20"/>
                <w:szCs w:val="20"/>
                <w:lang w:eastAsia="cs-CZ"/>
              </w:rPr>
            </w:pPr>
            <w:r w:rsidRPr="001539F1">
              <w:rPr>
                <w:color w:val="000000"/>
                <w:sz w:val="20"/>
                <w:szCs w:val="20"/>
                <w:lang w:eastAsia="cs-CZ"/>
              </w:rPr>
              <w:t>6</w:t>
            </w:r>
          </w:p>
        </w:tc>
      </w:tr>
      <w:tr w14:paraId="4D2208BF"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1D4B8F59" w14:textId="77777777">
            <w:pPr>
              <w:spacing w:line="240" w:lineRule="auto"/>
              <w:rPr>
                <w:color w:val="000000"/>
                <w:sz w:val="20"/>
                <w:szCs w:val="20"/>
                <w:lang w:eastAsia="cs-CZ"/>
              </w:rPr>
            </w:pPr>
            <w:r w:rsidRPr="001539F1">
              <w:rPr>
                <w:color w:val="000000"/>
                <w:sz w:val="20"/>
                <w:szCs w:val="20"/>
                <w:lang w:eastAsia="cs-CZ"/>
              </w:rPr>
              <w:t>ECOPARTNER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76C70BF1" w14:textId="77777777">
            <w:pPr>
              <w:spacing w:line="240" w:lineRule="auto"/>
              <w:jc w:val="center"/>
              <w:rPr>
                <w:color w:val="000000"/>
                <w:sz w:val="20"/>
                <w:szCs w:val="20"/>
                <w:lang w:eastAsia="cs-CZ"/>
              </w:rPr>
            </w:pPr>
            <w:r w:rsidRPr="001539F1">
              <w:rPr>
                <w:color w:val="000000"/>
                <w:sz w:val="20"/>
                <w:szCs w:val="20"/>
                <w:lang w:eastAsia="cs-CZ"/>
              </w:rPr>
              <w:t>4</w:t>
            </w:r>
          </w:p>
        </w:tc>
      </w:tr>
      <w:tr w14:paraId="4CC9ED3B"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2DB66C51" w14:textId="77777777">
            <w:pPr>
              <w:spacing w:line="240" w:lineRule="auto"/>
              <w:rPr>
                <w:color w:val="000000"/>
                <w:sz w:val="20"/>
                <w:szCs w:val="20"/>
                <w:lang w:eastAsia="cs-CZ"/>
              </w:rPr>
            </w:pPr>
            <w:r w:rsidRPr="001539F1">
              <w:rPr>
                <w:color w:val="000000"/>
                <w:sz w:val="20"/>
                <w:szCs w:val="20"/>
                <w:lang w:eastAsia="cs-CZ"/>
              </w:rPr>
              <w:t>EKOLAMP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4A662C9A" w14:textId="77777777">
            <w:pPr>
              <w:spacing w:line="240" w:lineRule="auto"/>
              <w:jc w:val="center"/>
              <w:rPr>
                <w:color w:val="000000"/>
                <w:sz w:val="20"/>
                <w:szCs w:val="20"/>
                <w:lang w:eastAsia="cs-CZ"/>
              </w:rPr>
            </w:pPr>
            <w:r w:rsidRPr="001539F1">
              <w:rPr>
                <w:color w:val="000000"/>
                <w:sz w:val="20"/>
                <w:szCs w:val="20"/>
                <w:lang w:eastAsia="cs-CZ"/>
              </w:rPr>
              <w:t>423</w:t>
            </w:r>
          </w:p>
        </w:tc>
      </w:tr>
      <w:tr w14:paraId="49253DEE"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799ECFBD" w14:textId="77777777">
            <w:pPr>
              <w:spacing w:line="240" w:lineRule="auto"/>
              <w:rPr>
                <w:color w:val="000000"/>
                <w:sz w:val="20"/>
                <w:szCs w:val="20"/>
                <w:lang w:eastAsia="cs-CZ"/>
              </w:rPr>
            </w:pPr>
            <w:r w:rsidRPr="001539F1">
              <w:rPr>
                <w:color w:val="000000"/>
                <w:sz w:val="20"/>
                <w:szCs w:val="20"/>
                <w:lang w:eastAsia="cs-CZ"/>
              </w:rPr>
              <w:t>ELEKTROWIN a.s.</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5C9487A9" w14:textId="77777777">
            <w:pPr>
              <w:spacing w:line="240" w:lineRule="auto"/>
              <w:jc w:val="center"/>
              <w:rPr>
                <w:color w:val="000000"/>
                <w:sz w:val="20"/>
                <w:szCs w:val="20"/>
                <w:lang w:eastAsia="cs-CZ"/>
              </w:rPr>
            </w:pPr>
            <w:r w:rsidRPr="001539F1">
              <w:rPr>
                <w:color w:val="000000"/>
                <w:sz w:val="20"/>
                <w:szCs w:val="20"/>
                <w:lang w:eastAsia="cs-CZ"/>
              </w:rPr>
              <w:t>508</w:t>
            </w:r>
          </w:p>
        </w:tc>
      </w:tr>
      <w:tr w14:paraId="7BF2042E"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34C59DA4" w14:textId="77777777">
            <w:pPr>
              <w:spacing w:line="240" w:lineRule="auto"/>
              <w:rPr>
                <w:color w:val="000000"/>
                <w:sz w:val="20"/>
                <w:szCs w:val="20"/>
                <w:lang w:eastAsia="cs-CZ"/>
              </w:rPr>
            </w:pPr>
            <w:r w:rsidRPr="001539F1">
              <w:rPr>
                <w:color w:val="000000"/>
                <w:sz w:val="20"/>
                <w:szCs w:val="20"/>
                <w:lang w:eastAsia="cs-CZ"/>
              </w:rPr>
              <w:t>FitCraft Recyklace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C3D6FAD" w14:textId="77777777">
            <w:pPr>
              <w:spacing w:line="240" w:lineRule="auto"/>
              <w:jc w:val="center"/>
              <w:rPr>
                <w:color w:val="000000"/>
                <w:sz w:val="20"/>
                <w:szCs w:val="20"/>
                <w:lang w:eastAsia="cs-CZ"/>
              </w:rPr>
            </w:pPr>
            <w:r w:rsidRPr="001539F1">
              <w:rPr>
                <w:color w:val="000000"/>
                <w:sz w:val="20"/>
                <w:szCs w:val="20"/>
                <w:lang w:eastAsia="cs-CZ"/>
              </w:rPr>
              <w:t>4</w:t>
            </w:r>
          </w:p>
        </w:tc>
      </w:tr>
      <w:tr w14:paraId="1F7E31B7"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0E974BBB" w14:textId="77777777">
            <w:pPr>
              <w:spacing w:line="240" w:lineRule="auto"/>
              <w:rPr>
                <w:color w:val="000000"/>
                <w:sz w:val="20"/>
                <w:szCs w:val="20"/>
                <w:lang w:eastAsia="cs-CZ"/>
              </w:rPr>
            </w:pPr>
            <w:r w:rsidRPr="001539F1">
              <w:rPr>
                <w:color w:val="000000"/>
                <w:sz w:val="20"/>
                <w:szCs w:val="20"/>
                <w:lang w:eastAsia="cs-CZ"/>
              </w:rPr>
              <w:t>MINTES Solutions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5D40F184" w14:textId="77777777">
            <w:pPr>
              <w:spacing w:line="240" w:lineRule="auto"/>
              <w:jc w:val="center"/>
              <w:rPr>
                <w:color w:val="000000"/>
                <w:sz w:val="20"/>
                <w:szCs w:val="20"/>
                <w:lang w:eastAsia="cs-CZ"/>
              </w:rPr>
            </w:pPr>
            <w:r w:rsidRPr="001539F1">
              <w:rPr>
                <w:color w:val="000000"/>
                <w:sz w:val="20"/>
                <w:szCs w:val="20"/>
                <w:lang w:eastAsia="cs-CZ"/>
              </w:rPr>
              <w:t>4</w:t>
            </w:r>
          </w:p>
        </w:tc>
      </w:tr>
      <w:tr w14:paraId="1E23F57A"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47460E60" w14:textId="77777777">
            <w:pPr>
              <w:spacing w:line="240" w:lineRule="auto"/>
              <w:rPr>
                <w:color w:val="000000"/>
                <w:sz w:val="20"/>
                <w:szCs w:val="20"/>
                <w:lang w:eastAsia="cs-CZ"/>
              </w:rPr>
            </w:pPr>
            <w:r w:rsidRPr="001539F1">
              <w:rPr>
                <w:color w:val="000000"/>
                <w:sz w:val="20"/>
                <w:szCs w:val="20"/>
                <w:lang w:eastAsia="cs-CZ"/>
              </w:rPr>
              <w:t>PV Recovery,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65A24AFF" w14:textId="77777777">
            <w:pPr>
              <w:spacing w:line="240" w:lineRule="auto"/>
              <w:jc w:val="center"/>
              <w:rPr>
                <w:color w:val="000000"/>
                <w:sz w:val="20"/>
                <w:szCs w:val="20"/>
                <w:lang w:eastAsia="cs-CZ"/>
              </w:rPr>
            </w:pPr>
            <w:r w:rsidRPr="001539F1">
              <w:rPr>
                <w:color w:val="000000"/>
                <w:sz w:val="20"/>
                <w:szCs w:val="20"/>
                <w:lang w:eastAsia="cs-CZ"/>
              </w:rPr>
              <w:t>5</w:t>
            </w:r>
          </w:p>
        </w:tc>
      </w:tr>
      <w:tr w14:paraId="18CAD019"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648CFED1" w14:textId="77777777">
            <w:pPr>
              <w:spacing w:line="240" w:lineRule="auto"/>
              <w:rPr>
                <w:color w:val="000000"/>
                <w:sz w:val="20"/>
                <w:szCs w:val="20"/>
                <w:lang w:eastAsia="cs-CZ"/>
              </w:rPr>
            </w:pPr>
            <w:r w:rsidRPr="001539F1">
              <w:rPr>
                <w:color w:val="000000"/>
                <w:sz w:val="20"/>
                <w:szCs w:val="20"/>
                <w:lang w:eastAsia="cs-CZ"/>
              </w:rPr>
              <w:t>Recycling Systems,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0188C4B" w14:textId="77777777">
            <w:pPr>
              <w:spacing w:line="240" w:lineRule="auto"/>
              <w:jc w:val="center"/>
              <w:rPr>
                <w:color w:val="000000"/>
                <w:sz w:val="20"/>
                <w:szCs w:val="20"/>
                <w:lang w:eastAsia="cs-CZ"/>
              </w:rPr>
            </w:pPr>
            <w:r w:rsidRPr="001539F1">
              <w:rPr>
                <w:color w:val="000000"/>
                <w:sz w:val="20"/>
                <w:szCs w:val="20"/>
                <w:lang w:eastAsia="cs-CZ"/>
              </w:rPr>
              <w:t>4</w:t>
            </w:r>
          </w:p>
        </w:tc>
      </w:tr>
      <w:tr w14:paraId="3EF8DC57"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379E010F" w14:textId="77777777">
            <w:pPr>
              <w:spacing w:line="240" w:lineRule="auto"/>
              <w:rPr>
                <w:color w:val="000000"/>
                <w:sz w:val="20"/>
                <w:szCs w:val="20"/>
                <w:lang w:eastAsia="cs-CZ"/>
              </w:rPr>
            </w:pPr>
            <w:r w:rsidRPr="001539F1">
              <w:rPr>
                <w:color w:val="000000"/>
                <w:sz w:val="20"/>
                <w:szCs w:val="20"/>
                <w:lang w:eastAsia="cs-CZ"/>
              </w:rPr>
              <w:t>REMA PV Systém, a.s.</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439B7C35" w14:textId="77777777">
            <w:pPr>
              <w:spacing w:line="240" w:lineRule="auto"/>
              <w:jc w:val="center"/>
              <w:rPr>
                <w:color w:val="000000"/>
                <w:sz w:val="20"/>
                <w:szCs w:val="20"/>
                <w:lang w:eastAsia="cs-CZ"/>
              </w:rPr>
            </w:pPr>
            <w:r w:rsidRPr="001539F1">
              <w:rPr>
                <w:color w:val="000000"/>
                <w:sz w:val="20"/>
                <w:szCs w:val="20"/>
                <w:lang w:eastAsia="cs-CZ"/>
              </w:rPr>
              <w:t>34</w:t>
            </w:r>
          </w:p>
        </w:tc>
      </w:tr>
      <w:tr w14:paraId="48BA1D56"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6C29BC56" w14:textId="77777777">
            <w:pPr>
              <w:spacing w:line="240" w:lineRule="auto"/>
              <w:rPr>
                <w:color w:val="000000"/>
                <w:sz w:val="20"/>
                <w:szCs w:val="20"/>
                <w:lang w:eastAsia="cs-CZ"/>
              </w:rPr>
            </w:pPr>
            <w:r w:rsidRPr="001539F1">
              <w:rPr>
                <w:color w:val="000000"/>
                <w:sz w:val="20"/>
                <w:szCs w:val="20"/>
                <w:lang w:eastAsia="cs-CZ"/>
              </w:rPr>
              <w:t>REMA Systém, a.s.</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82B1B11" w14:textId="77777777">
            <w:pPr>
              <w:spacing w:line="240" w:lineRule="auto"/>
              <w:jc w:val="center"/>
              <w:rPr>
                <w:color w:val="000000"/>
                <w:sz w:val="20"/>
                <w:szCs w:val="20"/>
                <w:lang w:eastAsia="cs-CZ"/>
              </w:rPr>
            </w:pPr>
            <w:r w:rsidRPr="001539F1">
              <w:rPr>
                <w:color w:val="000000"/>
                <w:sz w:val="20"/>
                <w:szCs w:val="20"/>
                <w:lang w:eastAsia="cs-CZ"/>
              </w:rPr>
              <w:t>1494</w:t>
            </w:r>
          </w:p>
        </w:tc>
      </w:tr>
      <w:tr w14:paraId="0B54649C"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270454FE" w14:textId="77777777">
            <w:pPr>
              <w:spacing w:line="240" w:lineRule="auto"/>
              <w:rPr>
                <w:color w:val="000000"/>
                <w:sz w:val="20"/>
                <w:szCs w:val="20"/>
                <w:lang w:eastAsia="cs-CZ"/>
              </w:rPr>
            </w:pPr>
            <w:r w:rsidRPr="001539F1">
              <w:rPr>
                <w:color w:val="000000"/>
                <w:sz w:val="20"/>
                <w:szCs w:val="20"/>
                <w:lang w:eastAsia="cs-CZ"/>
              </w:rPr>
              <w:t>REsolar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6C3D6B90" w14:textId="77777777">
            <w:pPr>
              <w:spacing w:line="240" w:lineRule="auto"/>
              <w:jc w:val="center"/>
              <w:rPr>
                <w:color w:val="000000"/>
                <w:sz w:val="20"/>
                <w:szCs w:val="20"/>
                <w:lang w:eastAsia="cs-CZ"/>
              </w:rPr>
            </w:pPr>
            <w:r w:rsidRPr="001539F1">
              <w:rPr>
                <w:color w:val="000000"/>
                <w:sz w:val="20"/>
                <w:szCs w:val="20"/>
                <w:lang w:eastAsia="cs-CZ"/>
              </w:rPr>
              <w:t>22</w:t>
            </w:r>
          </w:p>
        </w:tc>
      </w:tr>
      <w:tr w14:paraId="5E8C44D4"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3FA45A5C" w14:textId="77777777">
            <w:pPr>
              <w:spacing w:line="240" w:lineRule="auto"/>
              <w:rPr>
                <w:color w:val="000000"/>
                <w:sz w:val="20"/>
                <w:szCs w:val="20"/>
                <w:lang w:eastAsia="cs-CZ"/>
              </w:rPr>
            </w:pPr>
            <w:r w:rsidRPr="001539F1">
              <w:rPr>
                <w:color w:val="000000"/>
                <w:sz w:val="20"/>
                <w:szCs w:val="20"/>
                <w:lang w:eastAsia="cs-CZ"/>
              </w:rPr>
              <w:t>RETELA, s.r.o.</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F2B6346" w14:textId="77777777">
            <w:pPr>
              <w:spacing w:line="240" w:lineRule="auto"/>
              <w:jc w:val="center"/>
              <w:rPr>
                <w:color w:val="000000"/>
                <w:sz w:val="20"/>
                <w:szCs w:val="20"/>
                <w:lang w:eastAsia="cs-CZ"/>
              </w:rPr>
            </w:pPr>
            <w:r w:rsidRPr="001539F1">
              <w:rPr>
                <w:color w:val="000000"/>
                <w:sz w:val="20"/>
                <w:szCs w:val="20"/>
                <w:lang w:eastAsia="cs-CZ"/>
              </w:rPr>
              <w:t>1162</w:t>
            </w:r>
          </w:p>
        </w:tc>
      </w:tr>
      <w:tr w14:paraId="6B603166" w14:textId="77777777" w:rsidTr="00C87069">
        <w:tblPrEx>
          <w:tblW w:w="5660" w:type="dxa"/>
          <w:tblInd w:w="75" w:type="dxa"/>
          <w:tblCellMar>
            <w:left w:w="70" w:type="dxa"/>
            <w:right w:w="70" w:type="dxa"/>
          </w:tblCellMar>
          <w:tblLook w:val="04A0"/>
        </w:tblPrEx>
        <w:trPr>
          <w:trHeight w:val="402"/>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CC4780" w:rsidRPr="001539F1" w:rsidP="00C87069" w14:paraId="46394F09" w14:textId="77777777">
            <w:pPr>
              <w:spacing w:line="240" w:lineRule="auto"/>
              <w:rPr>
                <w:b/>
                <w:bCs/>
                <w:color w:val="000000"/>
                <w:sz w:val="20"/>
                <w:szCs w:val="20"/>
                <w:lang w:eastAsia="cs-CZ"/>
              </w:rPr>
            </w:pPr>
            <w:r w:rsidRPr="001539F1">
              <w:rPr>
                <w:b/>
                <w:bCs/>
                <w:color w:val="000000"/>
                <w:sz w:val="20"/>
                <w:szCs w:val="20"/>
                <w:lang w:eastAsia="cs-CZ"/>
              </w:rPr>
              <w:t>Celkem</w:t>
            </w:r>
          </w:p>
        </w:tc>
        <w:tc>
          <w:tcPr>
            <w:tcW w:w="2180" w:type="dxa"/>
            <w:tcBorders>
              <w:top w:val="nil"/>
              <w:left w:val="nil"/>
              <w:bottom w:val="single" w:sz="4" w:space="0" w:color="auto"/>
              <w:right w:val="single" w:sz="4" w:space="0" w:color="auto"/>
            </w:tcBorders>
            <w:shd w:val="clear" w:color="auto" w:fill="auto"/>
            <w:noWrap/>
            <w:vAlign w:val="center"/>
            <w:hideMark/>
          </w:tcPr>
          <w:p w:rsidR="00CC4780" w:rsidRPr="001539F1" w:rsidP="00C87069" w14:paraId="1F99D3D4" w14:textId="77777777">
            <w:pPr>
              <w:spacing w:line="240" w:lineRule="auto"/>
              <w:jc w:val="center"/>
              <w:rPr>
                <w:b/>
                <w:bCs/>
                <w:color w:val="000000"/>
                <w:sz w:val="20"/>
                <w:szCs w:val="20"/>
                <w:lang w:eastAsia="cs-CZ"/>
              </w:rPr>
            </w:pPr>
            <w:r w:rsidRPr="001539F1">
              <w:rPr>
                <w:b/>
                <w:bCs/>
                <w:color w:val="000000"/>
                <w:sz w:val="20"/>
                <w:szCs w:val="20"/>
                <w:lang w:eastAsia="cs-CZ"/>
              </w:rPr>
              <w:t>4438</w:t>
            </w:r>
          </w:p>
        </w:tc>
      </w:tr>
    </w:tbl>
    <w:p w:rsidR="00CC4780" w:rsidRPr="00CC4780" w:rsidP="00DD76DE" w14:paraId="6453F789" w14:textId="77777777">
      <w:pPr>
        <w:pStyle w:val="ListParagraph"/>
        <w:spacing w:before="0" w:after="0"/>
        <w:contextualSpacing w:val="0"/>
        <w:jc w:val="right"/>
        <w:rPr>
          <w:i/>
        </w:rPr>
      </w:pPr>
      <w:r w:rsidRPr="00CC4780">
        <w:rPr>
          <w:i/>
        </w:rPr>
        <w:t>Zdroj: MŽP</w:t>
      </w:r>
    </w:p>
    <w:p w:rsidR="00A1440C" w:rsidRPr="00C14F33" w:rsidP="00DD76DE" w14:paraId="044C28C0" w14:textId="77777777">
      <w:pPr>
        <w:pStyle w:val="Normlntun"/>
        <w:spacing w:before="120" w:after="0" w:line="276" w:lineRule="auto"/>
        <w:rPr>
          <w:rFonts w:cs="Arial"/>
          <w:i/>
        </w:rPr>
      </w:pPr>
      <w:r w:rsidRPr="00C14F33">
        <w:rPr>
          <w:rFonts w:cs="Arial"/>
          <w:i/>
        </w:rPr>
        <w:t>Baterie a akumulátory</w:t>
      </w:r>
      <w:r w:rsidRPr="00C14F33" w:rsidR="001612DC">
        <w:rPr>
          <w:rFonts w:cs="Arial"/>
          <w:i/>
        </w:rPr>
        <w:t xml:space="preserve"> - přenosné</w:t>
      </w:r>
    </w:p>
    <w:p w:rsidR="001612DC" w:rsidP="00936929" w14:paraId="78C40964" w14:textId="468C4FDE">
      <w:pPr>
        <w:rPr>
          <w:rFonts w:cs="Arial"/>
        </w:rPr>
      </w:pPr>
      <w:r w:rsidRPr="006575AA">
        <w:rPr>
          <w:rFonts w:cs="Arial"/>
        </w:rPr>
        <w:t xml:space="preserve">V současné době působí na trhu </w:t>
      </w:r>
      <w:r w:rsidRPr="006575AA" w:rsidR="00A650B9">
        <w:rPr>
          <w:rFonts w:cs="Arial"/>
        </w:rPr>
        <w:t xml:space="preserve">pro </w:t>
      </w:r>
      <w:r w:rsidRPr="006575AA">
        <w:rPr>
          <w:rFonts w:cs="Arial"/>
        </w:rPr>
        <w:t>přenosn</w:t>
      </w:r>
      <w:r w:rsidRPr="006575AA" w:rsidR="00A650B9">
        <w:rPr>
          <w:rFonts w:cs="Arial"/>
        </w:rPr>
        <w:t>é</w:t>
      </w:r>
      <w:r w:rsidRPr="006575AA">
        <w:rPr>
          <w:rFonts w:cs="Arial"/>
        </w:rPr>
        <w:t xml:space="preserve"> bateri</w:t>
      </w:r>
      <w:r w:rsidRPr="006575AA" w:rsidR="00A650B9">
        <w:rPr>
          <w:rFonts w:cs="Arial"/>
        </w:rPr>
        <w:t>e</w:t>
      </w:r>
      <w:r w:rsidRPr="006575AA">
        <w:rPr>
          <w:rFonts w:cs="Arial"/>
        </w:rPr>
        <w:t xml:space="preserve"> a akumulátor</w:t>
      </w:r>
      <w:r w:rsidRPr="006575AA" w:rsidR="00A650B9">
        <w:rPr>
          <w:rFonts w:cs="Arial"/>
        </w:rPr>
        <w:t>y</w:t>
      </w:r>
      <w:r w:rsidRPr="006575AA">
        <w:rPr>
          <w:rFonts w:cs="Arial"/>
        </w:rPr>
        <w:t xml:space="preserve"> 2</w:t>
      </w:r>
      <w:r w:rsidRPr="006575AA" w:rsidR="00DD4CE1">
        <w:rPr>
          <w:rFonts w:cs="Arial"/>
        </w:rPr>
        <w:t> </w:t>
      </w:r>
      <w:r w:rsidRPr="006575AA" w:rsidR="002662A9">
        <w:rPr>
          <w:rFonts w:cs="Arial"/>
        </w:rPr>
        <w:t>KS</w:t>
      </w:r>
      <w:r w:rsidRPr="006575AA">
        <w:rPr>
          <w:rFonts w:cs="Arial"/>
        </w:rPr>
        <w:t xml:space="preserve"> (ECOBAT s.r.o. a</w:t>
      </w:r>
      <w:r w:rsidR="006575AA">
        <w:rPr>
          <w:rFonts w:cs="Arial"/>
        </w:rPr>
        <w:t> </w:t>
      </w:r>
      <w:r w:rsidRPr="006575AA">
        <w:rPr>
          <w:rFonts w:cs="Arial"/>
        </w:rPr>
        <w:t xml:space="preserve">REMA Battery s.r.o.), které </w:t>
      </w:r>
      <w:r w:rsidRPr="006575AA" w:rsidR="00F47E58">
        <w:rPr>
          <w:rFonts w:cs="Arial"/>
        </w:rPr>
        <w:t>sdružují</w:t>
      </w:r>
      <w:r w:rsidRPr="006575AA">
        <w:rPr>
          <w:rFonts w:cs="Arial"/>
        </w:rPr>
        <w:t xml:space="preserve"> celkem 1</w:t>
      </w:r>
      <w:r w:rsidRPr="006575AA" w:rsidR="003F523C">
        <w:rPr>
          <w:rFonts w:cs="Arial"/>
        </w:rPr>
        <w:t> </w:t>
      </w:r>
      <w:r w:rsidR="006575AA">
        <w:rPr>
          <w:rFonts w:cs="Arial"/>
        </w:rPr>
        <w:t>588</w:t>
      </w:r>
      <w:r w:rsidRPr="006575AA" w:rsidR="006575AA">
        <w:rPr>
          <w:rFonts w:cs="Arial"/>
        </w:rPr>
        <w:t xml:space="preserve"> </w:t>
      </w:r>
      <w:r w:rsidRPr="006575AA">
        <w:rPr>
          <w:rFonts w:cs="Arial"/>
        </w:rPr>
        <w:t>subjektů (zdroj: MŽP).</w:t>
      </w:r>
    </w:p>
    <w:p w:rsidR="0078635F" w:rsidRPr="00461726" w:rsidP="0078635F" w14:paraId="5CE26B92" w14:textId="1A2D23A6">
      <w:pPr>
        <w:rPr>
          <w:b/>
          <w:sz w:val="20"/>
          <w:szCs w:val="20"/>
        </w:rPr>
      </w:pPr>
      <w:r w:rsidRPr="00461726">
        <w:rPr>
          <w:b/>
          <w:sz w:val="20"/>
          <w:szCs w:val="20"/>
        </w:rPr>
        <w:t xml:space="preserve">Tabulka </w:t>
      </w:r>
      <w:r w:rsidR="00D554FF">
        <w:rPr>
          <w:b/>
          <w:sz w:val="20"/>
          <w:szCs w:val="20"/>
        </w:rPr>
        <w:t>8</w:t>
      </w:r>
      <w:r w:rsidRPr="00461726">
        <w:rPr>
          <w:b/>
          <w:sz w:val="20"/>
          <w:szCs w:val="20"/>
        </w:rPr>
        <w:t xml:space="preserve">: Množství přenosných baterií a akumulátorů uvedených na trh, zpětně odebraných a úroveň zpětného odběru </w:t>
      </w:r>
      <w:r w:rsidR="00D32BFA">
        <w:rPr>
          <w:b/>
          <w:sz w:val="20"/>
          <w:szCs w:val="20"/>
        </w:rPr>
        <w:t>KS</w:t>
      </w:r>
      <w:r w:rsidRPr="00461726">
        <w:rPr>
          <w:b/>
          <w:sz w:val="20"/>
          <w:szCs w:val="20"/>
        </w:rPr>
        <w:t xml:space="preserve"> a individuálního systému v roce 2017 </w:t>
      </w:r>
    </w:p>
    <w:tbl>
      <w:tblPr>
        <w:tblW w:w="8180" w:type="dxa"/>
        <w:tblInd w:w="80" w:type="dxa"/>
        <w:tblCellMar>
          <w:left w:w="70" w:type="dxa"/>
          <w:right w:w="70" w:type="dxa"/>
        </w:tblCellMar>
        <w:tblLook w:val="04A0"/>
      </w:tblPr>
      <w:tblGrid>
        <w:gridCol w:w="1980"/>
        <w:gridCol w:w="2040"/>
        <w:gridCol w:w="1980"/>
        <w:gridCol w:w="2180"/>
      </w:tblGrid>
      <w:tr w14:paraId="51BE7A95" w14:textId="77777777" w:rsidTr="00BD3E88">
        <w:tblPrEx>
          <w:tblW w:w="8180" w:type="dxa"/>
          <w:tblInd w:w="80" w:type="dxa"/>
          <w:tblCellMar>
            <w:left w:w="70" w:type="dxa"/>
            <w:right w:w="70" w:type="dxa"/>
          </w:tblCellMar>
          <w:tblLook w:val="04A0"/>
        </w:tblPrEx>
        <w:trPr>
          <w:trHeight w:val="510"/>
        </w:trPr>
        <w:tc>
          <w:tcPr>
            <w:tcW w:w="198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78635F" w:rsidRPr="00461726" w:rsidP="00BD3E88" w14:paraId="754597B4" w14:textId="77777777">
            <w:pPr>
              <w:spacing w:line="240" w:lineRule="auto"/>
              <w:jc w:val="left"/>
              <w:rPr>
                <w:b/>
                <w:bCs/>
                <w:noProof w:val="0"/>
                <w:color w:val="000000"/>
                <w:sz w:val="20"/>
                <w:szCs w:val="20"/>
                <w:lang w:eastAsia="cs-CZ" w:bidi="ar-SA"/>
              </w:rPr>
            </w:pPr>
            <w:r w:rsidRPr="00461726">
              <w:rPr>
                <w:b/>
                <w:bCs/>
                <w:noProof w:val="0"/>
                <w:color w:val="000000"/>
                <w:sz w:val="20"/>
                <w:szCs w:val="20"/>
                <w:lang w:eastAsia="cs-CZ" w:bidi="ar-SA"/>
              </w:rPr>
              <w:t>Název systému</w:t>
            </w:r>
          </w:p>
        </w:tc>
        <w:tc>
          <w:tcPr>
            <w:tcW w:w="2040" w:type="dxa"/>
            <w:tcBorders>
              <w:top w:val="single" w:sz="8" w:space="0" w:color="auto"/>
              <w:left w:val="nil"/>
              <w:bottom w:val="single" w:sz="4" w:space="0" w:color="auto"/>
              <w:right w:val="single" w:sz="4" w:space="0" w:color="auto"/>
            </w:tcBorders>
            <w:shd w:val="clear" w:color="000000" w:fill="BFBFBF"/>
            <w:vAlign w:val="center"/>
            <w:hideMark/>
          </w:tcPr>
          <w:p w:rsidR="0078635F" w:rsidRPr="00461726" w:rsidP="00BD3E88" w14:paraId="09D9C22A" w14:textId="77777777">
            <w:pPr>
              <w:spacing w:line="240" w:lineRule="auto"/>
              <w:jc w:val="center"/>
              <w:rPr>
                <w:b/>
                <w:bCs/>
                <w:noProof w:val="0"/>
                <w:color w:val="000000"/>
                <w:sz w:val="20"/>
                <w:szCs w:val="20"/>
                <w:lang w:eastAsia="cs-CZ" w:bidi="ar-SA"/>
              </w:rPr>
            </w:pPr>
            <w:r w:rsidRPr="00461726">
              <w:rPr>
                <w:b/>
                <w:bCs/>
                <w:noProof w:val="0"/>
                <w:color w:val="000000"/>
                <w:sz w:val="20"/>
                <w:szCs w:val="20"/>
                <w:lang w:eastAsia="cs-CZ" w:bidi="ar-SA"/>
              </w:rPr>
              <w:t>Uvedené na trh (t)</w:t>
            </w:r>
          </w:p>
        </w:tc>
        <w:tc>
          <w:tcPr>
            <w:tcW w:w="1980" w:type="dxa"/>
            <w:tcBorders>
              <w:top w:val="single" w:sz="8" w:space="0" w:color="auto"/>
              <w:left w:val="nil"/>
              <w:bottom w:val="single" w:sz="4" w:space="0" w:color="auto"/>
              <w:right w:val="single" w:sz="4" w:space="0" w:color="auto"/>
            </w:tcBorders>
            <w:shd w:val="clear" w:color="000000" w:fill="BFBFBF"/>
            <w:vAlign w:val="center"/>
            <w:hideMark/>
          </w:tcPr>
          <w:p w:rsidR="0078635F" w:rsidRPr="00461726" w:rsidP="00BD3E88" w14:paraId="01FA7CC9" w14:textId="77777777">
            <w:pPr>
              <w:spacing w:line="240" w:lineRule="auto"/>
              <w:jc w:val="center"/>
              <w:rPr>
                <w:b/>
                <w:bCs/>
                <w:noProof w:val="0"/>
                <w:color w:val="000000"/>
                <w:sz w:val="20"/>
                <w:szCs w:val="20"/>
                <w:lang w:eastAsia="cs-CZ" w:bidi="ar-SA"/>
              </w:rPr>
            </w:pPr>
            <w:r w:rsidRPr="00461726">
              <w:rPr>
                <w:b/>
                <w:bCs/>
                <w:noProof w:val="0"/>
                <w:color w:val="000000"/>
                <w:sz w:val="20"/>
                <w:szCs w:val="20"/>
                <w:lang w:eastAsia="cs-CZ" w:bidi="ar-SA"/>
              </w:rPr>
              <w:t>Zpětný odběr (t)</w:t>
            </w:r>
          </w:p>
        </w:tc>
        <w:tc>
          <w:tcPr>
            <w:tcW w:w="2180" w:type="dxa"/>
            <w:tcBorders>
              <w:top w:val="single" w:sz="8" w:space="0" w:color="auto"/>
              <w:left w:val="nil"/>
              <w:bottom w:val="single" w:sz="4" w:space="0" w:color="auto"/>
              <w:right w:val="single" w:sz="8" w:space="0" w:color="auto"/>
            </w:tcBorders>
            <w:shd w:val="clear" w:color="000000" w:fill="BFBFBF"/>
            <w:vAlign w:val="center"/>
            <w:hideMark/>
          </w:tcPr>
          <w:p w:rsidR="0078635F" w:rsidRPr="00461726" w:rsidP="00BD3E88" w14:paraId="0191CEFD" w14:textId="77777777">
            <w:pPr>
              <w:spacing w:line="240" w:lineRule="auto"/>
              <w:jc w:val="center"/>
              <w:rPr>
                <w:b/>
                <w:bCs/>
                <w:noProof w:val="0"/>
                <w:color w:val="000000"/>
                <w:sz w:val="20"/>
                <w:szCs w:val="20"/>
                <w:lang w:eastAsia="cs-CZ" w:bidi="ar-SA"/>
              </w:rPr>
            </w:pPr>
            <w:r w:rsidRPr="00461726">
              <w:rPr>
                <w:b/>
                <w:bCs/>
                <w:noProof w:val="0"/>
                <w:color w:val="000000"/>
                <w:sz w:val="20"/>
                <w:szCs w:val="20"/>
                <w:lang w:eastAsia="cs-CZ" w:bidi="ar-SA"/>
              </w:rPr>
              <w:t>Úroveň zpětného odběru (%)</w:t>
            </w:r>
          </w:p>
        </w:tc>
      </w:tr>
      <w:tr w14:paraId="2F4AA470" w14:textId="77777777" w:rsidTr="00BD3E88">
        <w:tblPrEx>
          <w:tblW w:w="8180" w:type="dxa"/>
          <w:tblInd w:w="80" w:type="dxa"/>
          <w:tblCellMar>
            <w:left w:w="70" w:type="dxa"/>
            <w:right w:w="70" w:type="dxa"/>
          </w:tblCellMar>
          <w:tblLook w:val="04A0"/>
        </w:tblPrEx>
        <w:trPr>
          <w:trHeight w:val="285"/>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78635F" w:rsidRPr="00461726" w:rsidP="00BD3E88" w14:paraId="13717939" w14:textId="77777777">
            <w:pPr>
              <w:spacing w:line="240" w:lineRule="auto"/>
              <w:jc w:val="left"/>
              <w:rPr>
                <w:noProof w:val="0"/>
                <w:color w:val="000000"/>
                <w:sz w:val="20"/>
                <w:szCs w:val="20"/>
                <w:lang w:eastAsia="cs-CZ" w:bidi="ar-SA"/>
              </w:rPr>
            </w:pPr>
            <w:r w:rsidRPr="00461726">
              <w:rPr>
                <w:noProof w:val="0"/>
                <w:color w:val="000000"/>
                <w:sz w:val="20"/>
                <w:szCs w:val="20"/>
                <w:lang w:eastAsia="cs-CZ" w:bidi="ar-SA"/>
              </w:rPr>
              <w:t>ECOBAT s.r.o.</w:t>
            </w:r>
          </w:p>
        </w:tc>
        <w:tc>
          <w:tcPr>
            <w:tcW w:w="2040" w:type="dxa"/>
            <w:tcBorders>
              <w:top w:val="nil"/>
              <w:left w:val="nil"/>
              <w:bottom w:val="single" w:sz="4" w:space="0" w:color="auto"/>
              <w:right w:val="single" w:sz="4" w:space="0" w:color="auto"/>
            </w:tcBorders>
            <w:shd w:val="clear" w:color="auto" w:fill="auto"/>
            <w:noWrap/>
            <w:vAlign w:val="bottom"/>
            <w:hideMark/>
          </w:tcPr>
          <w:p w:rsidR="0078635F" w:rsidRPr="00461726" w:rsidP="00BD3E88" w14:paraId="034430F0" w14:textId="77777777">
            <w:pPr>
              <w:spacing w:line="240" w:lineRule="auto"/>
              <w:jc w:val="center"/>
              <w:rPr>
                <w:noProof w:val="0"/>
                <w:sz w:val="20"/>
                <w:szCs w:val="20"/>
                <w:lang w:eastAsia="cs-CZ" w:bidi="ar-SA"/>
              </w:rPr>
            </w:pPr>
            <w:r w:rsidRPr="00461726">
              <w:rPr>
                <w:noProof w:val="0"/>
                <w:sz w:val="20"/>
                <w:szCs w:val="20"/>
                <w:lang w:eastAsia="cs-CZ" w:bidi="ar-SA"/>
              </w:rPr>
              <w:t>3 667,7</w:t>
            </w:r>
          </w:p>
        </w:tc>
        <w:tc>
          <w:tcPr>
            <w:tcW w:w="1980" w:type="dxa"/>
            <w:tcBorders>
              <w:top w:val="nil"/>
              <w:left w:val="nil"/>
              <w:bottom w:val="single" w:sz="4" w:space="0" w:color="auto"/>
              <w:right w:val="single" w:sz="4" w:space="0" w:color="auto"/>
            </w:tcBorders>
            <w:shd w:val="clear" w:color="auto" w:fill="auto"/>
            <w:noWrap/>
            <w:vAlign w:val="bottom"/>
            <w:hideMark/>
          </w:tcPr>
          <w:p w:rsidR="0078635F" w:rsidRPr="00461726" w:rsidP="00BD3E88" w14:paraId="6A1627A0" w14:textId="77777777">
            <w:pPr>
              <w:spacing w:line="240" w:lineRule="auto"/>
              <w:jc w:val="center"/>
              <w:rPr>
                <w:noProof w:val="0"/>
                <w:sz w:val="20"/>
                <w:szCs w:val="20"/>
                <w:lang w:eastAsia="cs-CZ" w:bidi="ar-SA"/>
              </w:rPr>
            </w:pPr>
            <w:r w:rsidRPr="00461726">
              <w:rPr>
                <w:noProof w:val="0"/>
                <w:sz w:val="20"/>
                <w:szCs w:val="20"/>
                <w:lang w:eastAsia="cs-CZ" w:bidi="ar-SA"/>
              </w:rPr>
              <w:t>1 681,4</w:t>
            </w:r>
          </w:p>
        </w:tc>
        <w:tc>
          <w:tcPr>
            <w:tcW w:w="2180" w:type="dxa"/>
            <w:tcBorders>
              <w:top w:val="nil"/>
              <w:left w:val="nil"/>
              <w:bottom w:val="single" w:sz="4" w:space="0" w:color="auto"/>
              <w:right w:val="single" w:sz="8" w:space="0" w:color="auto"/>
            </w:tcBorders>
            <w:shd w:val="clear" w:color="auto" w:fill="auto"/>
            <w:noWrap/>
            <w:vAlign w:val="bottom"/>
            <w:hideMark/>
          </w:tcPr>
          <w:p w:rsidR="0078635F" w:rsidRPr="00461726" w:rsidP="00BD3E88" w14:paraId="6EFB070E" w14:textId="77777777">
            <w:pPr>
              <w:spacing w:line="240" w:lineRule="auto"/>
              <w:jc w:val="center"/>
              <w:rPr>
                <w:noProof w:val="0"/>
                <w:sz w:val="20"/>
                <w:szCs w:val="20"/>
                <w:lang w:eastAsia="cs-CZ" w:bidi="ar-SA"/>
              </w:rPr>
            </w:pPr>
            <w:r w:rsidRPr="00461726">
              <w:rPr>
                <w:noProof w:val="0"/>
                <w:sz w:val="20"/>
                <w:szCs w:val="20"/>
                <w:lang w:eastAsia="cs-CZ" w:bidi="ar-SA"/>
              </w:rPr>
              <w:t>46,3</w:t>
            </w:r>
          </w:p>
        </w:tc>
      </w:tr>
      <w:tr w14:paraId="01D8A292" w14:textId="77777777" w:rsidTr="00BD3E88">
        <w:tblPrEx>
          <w:tblW w:w="8180" w:type="dxa"/>
          <w:tblInd w:w="80" w:type="dxa"/>
          <w:tblCellMar>
            <w:left w:w="70" w:type="dxa"/>
            <w:right w:w="70" w:type="dxa"/>
          </w:tblCellMar>
          <w:tblLook w:val="04A0"/>
        </w:tblPrEx>
        <w:trPr>
          <w:trHeight w:val="285"/>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78635F" w:rsidRPr="00461726" w:rsidP="00BD3E88" w14:paraId="5D933C5F" w14:textId="77777777">
            <w:pPr>
              <w:spacing w:line="240" w:lineRule="auto"/>
              <w:jc w:val="left"/>
              <w:rPr>
                <w:noProof w:val="0"/>
                <w:color w:val="000000"/>
                <w:sz w:val="20"/>
                <w:szCs w:val="20"/>
                <w:lang w:eastAsia="cs-CZ" w:bidi="ar-SA"/>
              </w:rPr>
            </w:pPr>
            <w:r w:rsidRPr="00461726">
              <w:rPr>
                <w:noProof w:val="0"/>
                <w:color w:val="000000"/>
                <w:sz w:val="20"/>
                <w:szCs w:val="20"/>
                <w:lang w:eastAsia="cs-CZ" w:bidi="ar-SA"/>
              </w:rPr>
              <w:t>REMA Battery, s.r.o.</w:t>
            </w:r>
          </w:p>
        </w:tc>
        <w:tc>
          <w:tcPr>
            <w:tcW w:w="2040" w:type="dxa"/>
            <w:tcBorders>
              <w:top w:val="nil"/>
              <w:left w:val="nil"/>
              <w:bottom w:val="single" w:sz="4" w:space="0" w:color="auto"/>
              <w:right w:val="single" w:sz="4" w:space="0" w:color="auto"/>
            </w:tcBorders>
            <w:shd w:val="clear" w:color="auto" w:fill="auto"/>
            <w:noWrap/>
            <w:vAlign w:val="bottom"/>
            <w:hideMark/>
          </w:tcPr>
          <w:p w:rsidR="0078635F" w:rsidRPr="00461726" w:rsidP="00BD3E88" w14:paraId="747FE0A0" w14:textId="77777777">
            <w:pPr>
              <w:spacing w:line="240" w:lineRule="auto"/>
              <w:jc w:val="center"/>
              <w:rPr>
                <w:noProof w:val="0"/>
                <w:sz w:val="20"/>
                <w:szCs w:val="20"/>
                <w:lang w:eastAsia="cs-CZ" w:bidi="ar-SA"/>
              </w:rPr>
            </w:pPr>
            <w:r w:rsidRPr="00461726">
              <w:rPr>
                <w:noProof w:val="0"/>
                <w:sz w:val="20"/>
                <w:szCs w:val="20"/>
                <w:lang w:eastAsia="cs-CZ" w:bidi="ar-SA"/>
              </w:rPr>
              <w:t>395,7</w:t>
            </w:r>
          </w:p>
        </w:tc>
        <w:tc>
          <w:tcPr>
            <w:tcW w:w="1980" w:type="dxa"/>
            <w:tcBorders>
              <w:top w:val="nil"/>
              <w:left w:val="nil"/>
              <w:bottom w:val="single" w:sz="4" w:space="0" w:color="auto"/>
              <w:right w:val="single" w:sz="4" w:space="0" w:color="auto"/>
            </w:tcBorders>
            <w:shd w:val="clear" w:color="auto" w:fill="auto"/>
            <w:noWrap/>
            <w:vAlign w:val="bottom"/>
            <w:hideMark/>
          </w:tcPr>
          <w:p w:rsidR="0078635F" w:rsidRPr="00461726" w:rsidP="00BD3E88" w14:paraId="68D94B57" w14:textId="77777777">
            <w:pPr>
              <w:spacing w:line="240" w:lineRule="auto"/>
              <w:jc w:val="center"/>
              <w:rPr>
                <w:noProof w:val="0"/>
                <w:sz w:val="20"/>
                <w:szCs w:val="20"/>
                <w:lang w:eastAsia="cs-CZ" w:bidi="ar-SA"/>
              </w:rPr>
            </w:pPr>
            <w:r w:rsidRPr="00461726">
              <w:rPr>
                <w:noProof w:val="0"/>
                <w:sz w:val="20"/>
                <w:szCs w:val="20"/>
                <w:lang w:eastAsia="cs-CZ" w:bidi="ar-SA"/>
              </w:rPr>
              <w:t>208,7</w:t>
            </w:r>
          </w:p>
        </w:tc>
        <w:tc>
          <w:tcPr>
            <w:tcW w:w="2180" w:type="dxa"/>
            <w:tcBorders>
              <w:top w:val="nil"/>
              <w:left w:val="nil"/>
              <w:bottom w:val="single" w:sz="4" w:space="0" w:color="auto"/>
              <w:right w:val="single" w:sz="8" w:space="0" w:color="auto"/>
            </w:tcBorders>
            <w:shd w:val="clear" w:color="auto" w:fill="auto"/>
            <w:noWrap/>
            <w:vAlign w:val="bottom"/>
            <w:hideMark/>
          </w:tcPr>
          <w:p w:rsidR="0078635F" w:rsidRPr="00461726" w:rsidP="00BD3E88" w14:paraId="732C3420" w14:textId="77777777">
            <w:pPr>
              <w:spacing w:line="240" w:lineRule="auto"/>
              <w:jc w:val="center"/>
              <w:rPr>
                <w:noProof w:val="0"/>
                <w:sz w:val="20"/>
                <w:szCs w:val="20"/>
                <w:lang w:eastAsia="cs-CZ" w:bidi="ar-SA"/>
              </w:rPr>
            </w:pPr>
            <w:r w:rsidRPr="00461726">
              <w:rPr>
                <w:noProof w:val="0"/>
                <w:sz w:val="20"/>
                <w:szCs w:val="20"/>
                <w:lang w:eastAsia="cs-CZ" w:bidi="ar-SA"/>
              </w:rPr>
              <w:t>53,5</w:t>
            </w:r>
          </w:p>
        </w:tc>
      </w:tr>
      <w:tr w14:paraId="35733EE5" w14:textId="77777777" w:rsidTr="00BD3E88">
        <w:tblPrEx>
          <w:tblW w:w="8180" w:type="dxa"/>
          <w:tblInd w:w="80" w:type="dxa"/>
          <w:tblCellMar>
            <w:left w:w="70" w:type="dxa"/>
            <w:right w:w="70" w:type="dxa"/>
          </w:tblCellMar>
          <w:tblLook w:val="04A0"/>
        </w:tblPrEx>
        <w:trPr>
          <w:trHeight w:val="285"/>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78635F" w:rsidRPr="00461726" w:rsidP="00BD3E88" w14:paraId="6EE160BA" w14:textId="4CF606AE">
            <w:pPr>
              <w:spacing w:line="240" w:lineRule="auto"/>
              <w:jc w:val="left"/>
              <w:rPr>
                <w:noProof w:val="0"/>
                <w:color w:val="000000"/>
                <w:sz w:val="20"/>
                <w:szCs w:val="20"/>
                <w:lang w:eastAsia="cs-CZ" w:bidi="ar-SA"/>
              </w:rPr>
            </w:pPr>
            <w:r w:rsidRPr="00461726">
              <w:rPr>
                <w:noProof w:val="0"/>
                <w:color w:val="000000"/>
                <w:sz w:val="20"/>
                <w:szCs w:val="20"/>
                <w:lang w:eastAsia="cs-CZ" w:bidi="ar-SA"/>
              </w:rPr>
              <w:t>GOLDTIME a.s.</w:t>
            </w:r>
            <w:r w:rsidR="008D5010">
              <w:rPr>
                <w:noProof w:val="0"/>
                <w:color w:val="000000"/>
                <w:sz w:val="20"/>
                <w:szCs w:val="20"/>
                <w:lang w:eastAsia="cs-CZ" w:bidi="ar-SA"/>
              </w:rPr>
              <w:t>*</w:t>
            </w:r>
          </w:p>
        </w:tc>
        <w:tc>
          <w:tcPr>
            <w:tcW w:w="2040" w:type="dxa"/>
            <w:tcBorders>
              <w:top w:val="nil"/>
              <w:left w:val="nil"/>
              <w:bottom w:val="single" w:sz="4" w:space="0" w:color="auto"/>
              <w:right w:val="single" w:sz="4" w:space="0" w:color="auto"/>
            </w:tcBorders>
            <w:shd w:val="clear" w:color="auto" w:fill="auto"/>
            <w:noWrap/>
            <w:vAlign w:val="center"/>
            <w:hideMark/>
          </w:tcPr>
          <w:p w:rsidR="0078635F" w:rsidRPr="00461726" w:rsidP="00BD3E88" w14:paraId="5748A76C" w14:textId="77777777">
            <w:pPr>
              <w:spacing w:line="240" w:lineRule="auto"/>
              <w:jc w:val="center"/>
              <w:rPr>
                <w:noProof w:val="0"/>
                <w:sz w:val="20"/>
                <w:szCs w:val="20"/>
                <w:lang w:eastAsia="cs-CZ" w:bidi="ar-SA"/>
              </w:rPr>
            </w:pPr>
            <w:r w:rsidRPr="00461726">
              <w:rPr>
                <w:noProof w:val="0"/>
                <w:sz w:val="20"/>
                <w:szCs w:val="20"/>
                <w:lang w:eastAsia="cs-CZ" w:bidi="ar-SA"/>
              </w:rPr>
              <w:t>0,27</w:t>
            </w:r>
          </w:p>
        </w:tc>
        <w:tc>
          <w:tcPr>
            <w:tcW w:w="1980" w:type="dxa"/>
            <w:tcBorders>
              <w:top w:val="nil"/>
              <w:left w:val="nil"/>
              <w:bottom w:val="single" w:sz="4" w:space="0" w:color="auto"/>
              <w:right w:val="single" w:sz="4" w:space="0" w:color="auto"/>
            </w:tcBorders>
            <w:shd w:val="clear" w:color="auto" w:fill="auto"/>
            <w:noWrap/>
            <w:vAlign w:val="bottom"/>
            <w:hideMark/>
          </w:tcPr>
          <w:p w:rsidR="0078635F" w:rsidRPr="00461726" w:rsidP="00BD3E88" w14:paraId="194BC1B7" w14:textId="77777777">
            <w:pPr>
              <w:spacing w:line="240" w:lineRule="auto"/>
              <w:jc w:val="center"/>
              <w:rPr>
                <w:noProof w:val="0"/>
                <w:sz w:val="20"/>
                <w:szCs w:val="20"/>
                <w:lang w:eastAsia="cs-CZ" w:bidi="ar-SA"/>
              </w:rPr>
            </w:pPr>
            <w:r w:rsidRPr="00461726">
              <w:rPr>
                <w:noProof w:val="0"/>
                <w:sz w:val="20"/>
                <w:szCs w:val="20"/>
                <w:lang w:eastAsia="cs-CZ" w:bidi="ar-SA"/>
              </w:rPr>
              <w:t>0,16</w:t>
            </w:r>
          </w:p>
        </w:tc>
        <w:tc>
          <w:tcPr>
            <w:tcW w:w="2180" w:type="dxa"/>
            <w:tcBorders>
              <w:top w:val="nil"/>
              <w:left w:val="nil"/>
              <w:bottom w:val="single" w:sz="4" w:space="0" w:color="auto"/>
              <w:right w:val="single" w:sz="8" w:space="0" w:color="auto"/>
            </w:tcBorders>
            <w:shd w:val="clear" w:color="auto" w:fill="auto"/>
            <w:noWrap/>
            <w:vAlign w:val="bottom"/>
            <w:hideMark/>
          </w:tcPr>
          <w:p w:rsidR="0078635F" w:rsidRPr="00461726" w:rsidP="00BD3E88" w14:paraId="0A53370A" w14:textId="77777777">
            <w:pPr>
              <w:spacing w:line="240" w:lineRule="auto"/>
              <w:jc w:val="center"/>
              <w:rPr>
                <w:noProof w:val="0"/>
                <w:sz w:val="20"/>
                <w:szCs w:val="20"/>
                <w:lang w:eastAsia="cs-CZ" w:bidi="ar-SA"/>
              </w:rPr>
            </w:pPr>
            <w:r w:rsidRPr="00461726">
              <w:rPr>
                <w:noProof w:val="0"/>
                <w:sz w:val="20"/>
                <w:szCs w:val="20"/>
                <w:lang w:eastAsia="cs-CZ" w:bidi="ar-SA"/>
              </w:rPr>
              <w:t>51,5</w:t>
            </w:r>
          </w:p>
        </w:tc>
      </w:tr>
      <w:tr w14:paraId="3B5CBFF8" w14:textId="77777777" w:rsidTr="00BD3E88">
        <w:tblPrEx>
          <w:tblW w:w="8180" w:type="dxa"/>
          <w:tblInd w:w="80" w:type="dxa"/>
          <w:tblCellMar>
            <w:left w:w="70" w:type="dxa"/>
            <w:right w:w="70" w:type="dxa"/>
          </w:tblCellMar>
          <w:tblLook w:val="04A0"/>
        </w:tblPrEx>
        <w:trPr>
          <w:trHeight w:val="300"/>
        </w:trPr>
        <w:tc>
          <w:tcPr>
            <w:tcW w:w="1980" w:type="dxa"/>
            <w:tcBorders>
              <w:top w:val="nil"/>
              <w:left w:val="single" w:sz="8" w:space="0" w:color="auto"/>
              <w:bottom w:val="single" w:sz="8" w:space="0" w:color="auto"/>
              <w:right w:val="single" w:sz="4" w:space="0" w:color="auto"/>
            </w:tcBorders>
            <w:shd w:val="clear" w:color="auto" w:fill="auto"/>
            <w:vAlign w:val="center"/>
            <w:hideMark/>
          </w:tcPr>
          <w:p w:rsidR="0078635F" w:rsidRPr="00461726" w:rsidP="00BD3E88" w14:paraId="21409CE0" w14:textId="77777777">
            <w:pPr>
              <w:spacing w:line="240" w:lineRule="auto"/>
              <w:jc w:val="left"/>
              <w:rPr>
                <w:b/>
                <w:bCs/>
                <w:noProof w:val="0"/>
                <w:color w:val="000000"/>
                <w:sz w:val="20"/>
                <w:szCs w:val="20"/>
                <w:lang w:eastAsia="cs-CZ" w:bidi="ar-SA"/>
              </w:rPr>
            </w:pPr>
            <w:r w:rsidRPr="00461726">
              <w:rPr>
                <w:b/>
                <w:bCs/>
                <w:noProof w:val="0"/>
                <w:color w:val="000000"/>
                <w:sz w:val="20"/>
                <w:szCs w:val="20"/>
                <w:lang w:eastAsia="cs-CZ" w:bidi="ar-SA"/>
              </w:rPr>
              <w:t>Celkem</w:t>
            </w:r>
          </w:p>
        </w:tc>
        <w:tc>
          <w:tcPr>
            <w:tcW w:w="2040" w:type="dxa"/>
            <w:tcBorders>
              <w:top w:val="nil"/>
              <w:left w:val="nil"/>
              <w:bottom w:val="single" w:sz="8" w:space="0" w:color="auto"/>
              <w:right w:val="single" w:sz="4" w:space="0" w:color="auto"/>
            </w:tcBorders>
            <w:shd w:val="clear" w:color="auto" w:fill="auto"/>
            <w:noWrap/>
            <w:vAlign w:val="center"/>
            <w:hideMark/>
          </w:tcPr>
          <w:p w:rsidR="0078635F" w:rsidRPr="00461726" w:rsidP="00BD3E88" w14:paraId="46CF145E" w14:textId="77777777">
            <w:pPr>
              <w:spacing w:line="240" w:lineRule="auto"/>
              <w:jc w:val="center"/>
              <w:rPr>
                <w:b/>
                <w:bCs/>
                <w:noProof w:val="0"/>
                <w:sz w:val="20"/>
                <w:szCs w:val="20"/>
                <w:lang w:eastAsia="cs-CZ" w:bidi="ar-SA"/>
              </w:rPr>
            </w:pPr>
            <w:r w:rsidRPr="00461726">
              <w:rPr>
                <w:b/>
                <w:bCs/>
                <w:noProof w:val="0"/>
                <w:sz w:val="20"/>
                <w:szCs w:val="20"/>
                <w:lang w:eastAsia="cs-CZ" w:bidi="ar-SA"/>
              </w:rPr>
              <w:t>4 063,7</w:t>
            </w:r>
          </w:p>
        </w:tc>
        <w:tc>
          <w:tcPr>
            <w:tcW w:w="1980" w:type="dxa"/>
            <w:tcBorders>
              <w:top w:val="nil"/>
              <w:left w:val="nil"/>
              <w:bottom w:val="single" w:sz="8" w:space="0" w:color="auto"/>
              <w:right w:val="single" w:sz="4" w:space="0" w:color="auto"/>
            </w:tcBorders>
            <w:shd w:val="clear" w:color="auto" w:fill="auto"/>
            <w:noWrap/>
            <w:vAlign w:val="bottom"/>
            <w:hideMark/>
          </w:tcPr>
          <w:p w:rsidR="0078635F" w:rsidRPr="00461726" w:rsidP="00BD3E88" w14:paraId="114D2F92" w14:textId="77777777">
            <w:pPr>
              <w:spacing w:line="240" w:lineRule="auto"/>
              <w:jc w:val="center"/>
              <w:rPr>
                <w:b/>
                <w:bCs/>
                <w:noProof w:val="0"/>
                <w:sz w:val="20"/>
                <w:szCs w:val="20"/>
                <w:lang w:eastAsia="cs-CZ" w:bidi="ar-SA"/>
              </w:rPr>
            </w:pPr>
            <w:r w:rsidRPr="00461726">
              <w:rPr>
                <w:b/>
                <w:bCs/>
                <w:noProof w:val="0"/>
                <w:sz w:val="20"/>
                <w:szCs w:val="20"/>
                <w:lang w:eastAsia="cs-CZ" w:bidi="ar-SA"/>
              </w:rPr>
              <w:t>1 890,2</w:t>
            </w:r>
          </w:p>
        </w:tc>
        <w:tc>
          <w:tcPr>
            <w:tcW w:w="2180" w:type="dxa"/>
            <w:tcBorders>
              <w:top w:val="nil"/>
              <w:left w:val="nil"/>
              <w:bottom w:val="single" w:sz="8" w:space="0" w:color="auto"/>
              <w:right w:val="single" w:sz="8" w:space="0" w:color="auto"/>
            </w:tcBorders>
            <w:shd w:val="clear" w:color="auto" w:fill="auto"/>
            <w:noWrap/>
            <w:vAlign w:val="bottom"/>
            <w:hideMark/>
          </w:tcPr>
          <w:p w:rsidR="0078635F" w:rsidRPr="00461726" w:rsidP="00BD3E88" w14:paraId="5926AA36" w14:textId="77777777">
            <w:pPr>
              <w:spacing w:line="240" w:lineRule="auto"/>
              <w:jc w:val="center"/>
              <w:rPr>
                <w:b/>
                <w:bCs/>
                <w:noProof w:val="0"/>
                <w:sz w:val="20"/>
                <w:szCs w:val="20"/>
                <w:lang w:eastAsia="cs-CZ" w:bidi="ar-SA"/>
              </w:rPr>
            </w:pPr>
            <w:r w:rsidRPr="00461726">
              <w:rPr>
                <w:b/>
                <w:bCs/>
                <w:noProof w:val="0"/>
                <w:sz w:val="20"/>
                <w:szCs w:val="20"/>
                <w:lang w:eastAsia="cs-CZ" w:bidi="ar-SA"/>
              </w:rPr>
              <w:t>47,0</w:t>
            </w:r>
          </w:p>
        </w:tc>
      </w:tr>
    </w:tbl>
    <w:p w:rsidR="00DD76DE" w:rsidRPr="00221615" w:rsidP="00DD76DE" w14:paraId="7B2749CF" w14:textId="78A2AA91">
      <w:pPr>
        <w:rPr>
          <w:rFonts w:cs="Arial"/>
          <w:i/>
          <w:sz w:val="20"/>
          <w:szCs w:val="20"/>
        </w:rPr>
      </w:pPr>
      <w:r w:rsidRPr="00480662">
        <w:rPr>
          <w:rFonts w:cs="Arial"/>
          <w:i/>
          <w:sz w:val="20"/>
          <w:szCs w:val="20"/>
        </w:rPr>
        <w:t xml:space="preserve">* </w:t>
      </w:r>
      <w:r w:rsidR="00B6219C">
        <w:rPr>
          <w:rFonts w:cs="Arial"/>
          <w:i/>
          <w:sz w:val="20"/>
          <w:szCs w:val="20"/>
        </w:rPr>
        <w:t xml:space="preserve">KS </w:t>
      </w:r>
      <w:r w:rsidRPr="00480662" w:rsidR="00480662">
        <w:rPr>
          <w:rFonts w:cs="Arial"/>
          <w:i/>
          <w:sz w:val="20"/>
          <w:szCs w:val="20"/>
        </w:rPr>
        <w:t xml:space="preserve">Goldtime </w:t>
      </w:r>
      <w:r w:rsidR="00B6219C">
        <w:rPr>
          <w:rFonts w:cs="Arial"/>
          <w:i/>
          <w:sz w:val="20"/>
          <w:szCs w:val="20"/>
        </w:rPr>
        <w:t xml:space="preserve">a.s. </w:t>
      </w:r>
      <w:r w:rsidRPr="00480662" w:rsidR="00480662">
        <w:rPr>
          <w:rFonts w:cs="Arial"/>
          <w:i/>
          <w:sz w:val="20"/>
          <w:szCs w:val="20"/>
        </w:rPr>
        <w:t>v roce 2019</w:t>
      </w:r>
      <w:r w:rsidRPr="00480662">
        <w:rPr>
          <w:rFonts w:cs="Arial"/>
          <w:i/>
          <w:sz w:val="20"/>
          <w:szCs w:val="20"/>
        </w:rPr>
        <w:t xml:space="preserve"> zanikl a přešel pod ECOBAT</w:t>
      </w:r>
      <w:r>
        <w:rPr>
          <w:rFonts w:cs="Arial"/>
          <w:i/>
          <w:sz w:val="20"/>
          <w:szCs w:val="20"/>
        </w:rPr>
        <w:t xml:space="preserve">                           </w:t>
      </w:r>
      <w:r w:rsidRPr="00221615">
        <w:rPr>
          <w:rFonts w:cs="Arial"/>
          <w:i/>
          <w:sz w:val="20"/>
          <w:szCs w:val="20"/>
        </w:rPr>
        <w:t>Zdroj: CENIA, ISOH-BAT</w:t>
      </w:r>
    </w:p>
    <w:p w:rsidR="00A1440C" w:rsidRPr="00C14F33" w:rsidP="00461726" w14:paraId="7F54E879" w14:textId="77777777">
      <w:pPr>
        <w:pStyle w:val="Normlntun"/>
        <w:spacing w:before="240"/>
        <w:rPr>
          <w:rFonts w:cs="Arial"/>
          <w:i/>
        </w:rPr>
      </w:pPr>
      <w:r w:rsidRPr="00C14F33">
        <w:rPr>
          <w:rFonts w:cs="Arial"/>
          <w:i/>
        </w:rPr>
        <w:t>Baterie a akumulátory</w:t>
      </w:r>
      <w:r w:rsidRPr="00C14F33" w:rsidR="00F62739">
        <w:rPr>
          <w:rFonts w:cs="Arial"/>
          <w:i/>
        </w:rPr>
        <w:t xml:space="preserve"> - automobilové nebo průmyslové</w:t>
      </w:r>
    </w:p>
    <w:p w:rsidR="00AD1A0C" w14:paraId="776776BF" w14:textId="0B1E12FC">
      <w:pPr>
        <w:rPr>
          <w:rFonts w:cs="Arial"/>
        </w:rPr>
      </w:pPr>
      <w:r w:rsidRPr="001F1AB7">
        <w:rPr>
          <w:rFonts w:cs="Arial"/>
        </w:rPr>
        <w:t xml:space="preserve">V této oblasti nepůsobí žádný </w:t>
      </w:r>
      <w:r w:rsidR="00D32BFA">
        <w:rPr>
          <w:rFonts w:cs="Arial"/>
        </w:rPr>
        <w:t>KS</w:t>
      </w:r>
      <w:r w:rsidRPr="001F1AB7">
        <w:rPr>
          <w:rFonts w:cs="Arial"/>
        </w:rPr>
        <w:t xml:space="preserve"> a celkem je registrováno </w:t>
      </w:r>
      <w:r w:rsidRPr="00937FFC" w:rsidR="001F1AB7">
        <w:rPr>
          <w:rFonts w:cs="Arial"/>
        </w:rPr>
        <w:t xml:space="preserve">198 </w:t>
      </w:r>
      <w:r w:rsidRPr="00937FFC" w:rsidR="00C520E3">
        <w:rPr>
          <w:rFonts w:cs="Arial"/>
        </w:rPr>
        <w:t xml:space="preserve">individuálních </w:t>
      </w:r>
      <w:r w:rsidRPr="00937FFC">
        <w:rPr>
          <w:rFonts w:cs="Arial"/>
        </w:rPr>
        <w:t>výrobců baterií a akumulátorů</w:t>
      </w:r>
      <w:r w:rsidRPr="00ED38E9" w:rsidR="003039AF">
        <w:rPr>
          <w:rFonts w:cs="Arial"/>
        </w:rPr>
        <w:t xml:space="preserve"> (zdroj: MŽP)</w:t>
      </w:r>
      <w:r w:rsidR="001F1AB7">
        <w:rPr>
          <w:rFonts w:cs="Arial"/>
        </w:rPr>
        <w:t>.</w:t>
      </w:r>
    </w:p>
    <w:p w:rsidR="002513D1" w:rsidRPr="00ED38E9" w:rsidP="00783869" w14:paraId="078965B9" w14:textId="77777777">
      <w:pPr>
        <w:pStyle w:val="Normlntun"/>
        <w:rPr>
          <w:rFonts w:cs="Arial"/>
        </w:rPr>
      </w:pPr>
      <w:r w:rsidRPr="00ED38E9">
        <w:rPr>
          <w:rFonts w:cs="Arial"/>
        </w:rPr>
        <w:t>Pneumatiky</w:t>
      </w:r>
    </w:p>
    <w:p w:rsidR="00F7515A" w:rsidRPr="00ED38E9" w:rsidP="00936929" w14:paraId="3D101B6F" w14:textId="29C049D3">
      <w:pPr>
        <w:rPr>
          <w:rFonts w:cs="Arial"/>
        </w:rPr>
      </w:pPr>
      <w:r w:rsidRPr="00ED38E9">
        <w:rPr>
          <w:rFonts w:cs="Arial"/>
        </w:rPr>
        <w:t xml:space="preserve">V současné době působí na trhu </w:t>
      </w:r>
      <w:r>
        <w:rPr>
          <w:rFonts w:cs="Arial"/>
        </w:rPr>
        <w:t>pro pneumatiky</w:t>
      </w:r>
      <w:r w:rsidRPr="00ED38E9">
        <w:rPr>
          <w:rFonts w:cs="Arial"/>
        </w:rPr>
        <w:t xml:space="preserve"> </w:t>
      </w:r>
      <w:r>
        <w:rPr>
          <w:rFonts w:cs="Arial"/>
        </w:rPr>
        <w:t xml:space="preserve">1 </w:t>
      </w:r>
      <w:r w:rsidR="00D32BFA">
        <w:rPr>
          <w:rFonts w:cs="Arial"/>
        </w:rPr>
        <w:t>KS</w:t>
      </w:r>
      <w:r>
        <w:rPr>
          <w:rFonts w:cs="Arial"/>
        </w:rPr>
        <w:t xml:space="preserve"> ELTMA s.r.o., který sdružuje 51 </w:t>
      </w:r>
      <w:r w:rsidRPr="00ED38E9">
        <w:rPr>
          <w:rFonts w:cs="Arial"/>
        </w:rPr>
        <w:t>subjektů</w:t>
      </w:r>
      <w:r>
        <w:rPr>
          <w:rFonts w:cs="Arial"/>
        </w:rPr>
        <w:t>,</w:t>
      </w:r>
      <w:r w:rsidRPr="00ED38E9">
        <w:rPr>
          <w:rFonts w:cs="Arial"/>
        </w:rPr>
        <w:t xml:space="preserve"> a dále pak </w:t>
      </w:r>
      <w:r>
        <w:rPr>
          <w:rFonts w:cs="Arial"/>
        </w:rPr>
        <w:t xml:space="preserve">140 výrobců plní zákonné povinnosti v oblasti </w:t>
      </w:r>
      <w:r w:rsidR="00D32BFA">
        <w:rPr>
          <w:rFonts w:cs="Arial"/>
        </w:rPr>
        <w:t>ZO</w:t>
      </w:r>
      <w:r>
        <w:rPr>
          <w:rFonts w:cs="Arial"/>
        </w:rPr>
        <w:t xml:space="preserve"> individuálně.</w:t>
      </w:r>
    </w:p>
    <w:p w:rsidR="00553090" w:rsidRPr="00461726" w:rsidP="002B388B" w14:paraId="2DF95821" w14:textId="77777777">
      <w:pPr>
        <w:spacing w:before="240" w:after="120" w:line="240" w:lineRule="auto"/>
        <w:rPr>
          <w:rFonts w:cs="Arial"/>
          <w:b/>
          <w:sz w:val="20"/>
          <w:szCs w:val="20"/>
        </w:rPr>
      </w:pPr>
      <w:r w:rsidRPr="00461726">
        <w:rPr>
          <w:rFonts w:cs="Arial"/>
          <w:b/>
          <w:sz w:val="20"/>
          <w:szCs w:val="20"/>
        </w:rPr>
        <w:t xml:space="preserve">Tabulka </w:t>
      </w:r>
      <w:r w:rsidRPr="00461726" w:rsidR="00221615">
        <w:rPr>
          <w:rFonts w:cs="Arial"/>
          <w:b/>
          <w:sz w:val="20"/>
          <w:szCs w:val="20"/>
        </w:rPr>
        <w:t>9</w:t>
      </w:r>
      <w:r w:rsidRPr="00461726">
        <w:rPr>
          <w:rFonts w:cs="Arial"/>
          <w:b/>
          <w:sz w:val="20"/>
          <w:szCs w:val="20"/>
        </w:rPr>
        <w:t xml:space="preserve">: </w:t>
      </w:r>
      <w:r w:rsidRPr="00461726" w:rsidR="003006F8">
        <w:rPr>
          <w:rFonts w:cs="Arial"/>
          <w:b/>
          <w:sz w:val="20"/>
          <w:szCs w:val="20"/>
        </w:rPr>
        <w:t>Úroveň zpětného odběru odpadních pneumatik v letech 2015 až 2017 dle velikosti produkce</w:t>
      </w:r>
    </w:p>
    <w:tbl>
      <w:tblPr>
        <w:tblW w:w="9159" w:type="dxa"/>
        <w:tblCellMar>
          <w:left w:w="70" w:type="dxa"/>
          <w:right w:w="70" w:type="dxa"/>
        </w:tblCellMar>
        <w:tblLook w:val="04A0"/>
      </w:tblPr>
      <w:tblGrid>
        <w:gridCol w:w="1701"/>
        <w:gridCol w:w="881"/>
        <w:gridCol w:w="951"/>
        <w:gridCol w:w="741"/>
        <w:gridCol w:w="881"/>
        <w:gridCol w:w="951"/>
        <w:gridCol w:w="741"/>
        <w:gridCol w:w="881"/>
        <w:gridCol w:w="951"/>
        <w:gridCol w:w="741"/>
      </w:tblGrid>
      <w:tr w14:paraId="2E0099B4" w14:textId="77777777" w:rsidTr="00221615">
        <w:tblPrEx>
          <w:tblW w:w="9159" w:type="dxa"/>
          <w:tblCellMar>
            <w:left w:w="70" w:type="dxa"/>
            <w:right w:w="70" w:type="dxa"/>
          </w:tblCellMar>
          <w:tblLook w:val="04A0"/>
        </w:tblPrEx>
        <w:trPr>
          <w:trHeight w:val="275"/>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2A9" w:rsidRPr="00461726" w:rsidP="00553090" w14:paraId="51B6A58E" w14:textId="77777777">
            <w:pPr>
              <w:spacing w:after="0" w:line="240" w:lineRule="auto"/>
              <w:rPr>
                <w:b/>
                <w:bCs/>
                <w:color w:val="000000"/>
                <w:sz w:val="20"/>
                <w:szCs w:val="20"/>
                <w:lang w:eastAsia="cs-CZ"/>
              </w:rPr>
            </w:pPr>
            <w:r w:rsidRPr="00461726">
              <w:rPr>
                <w:b/>
                <w:color w:val="000000"/>
                <w:sz w:val="20"/>
                <w:szCs w:val="20"/>
                <w:lang w:eastAsia="cs-CZ"/>
              </w:rPr>
              <w:t>Výrobci s roční produkcí:</w:t>
            </w:r>
          </w:p>
        </w:tc>
        <w:tc>
          <w:tcPr>
            <w:tcW w:w="2486" w:type="dxa"/>
            <w:gridSpan w:val="3"/>
            <w:tcBorders>
              <w:top w:val="single" w:sz="4" w:space="0" w:color="auto"/>
              <w:left w:val="nil"/>
              <w:bottom w:val="single" w:sz="4" w:space="0" w:color="auto"/>
              <w:right w:val="single" w:sz="4" w:space="0" w:color="auto"/>
            </w:tcBorders>
            <w:shd w:val="clear" w:color="auto" w:fill="auto"/>
            <w:noWrap/>
            <w:vAlign w:val="bottom"/>
            <w:hideMark/>
          </w:tcPr>
          <w:p w:rsidR="002662A9" w:rsidRPr="00461726" w:rsidP="00553090" w14:paraId="66FA21EF" w14:textId="77777777">
            <w:pPr>
              <w:spacing w:after="0" w:line="240" w:lineRule="auto"/>
              <w:jc w:val="center"/>
              <w:rPr>
                <w:b/>
                <w:bCs/>
                <w:color w:val="000000"/>
                <w:sz w:val="20"/>
                <w:szCs w:val="20"/>
                <w:lang w:eastAsia="cs-CZ"/>
              </w:rPr>
            </w:pPr>
            <w:r w:rsidRPr="00461726">
              <w:rPr>
                <w:b/>
                <w:bCs/>
                <w:color w:val="000000"/>
                <w:sz w:val="20"/>
                <w:szCs w:val="20"/>
                <w:lang w:eastAsia="cs-CZ"/>
              </w:rPr>
              <w:t>2015</w:t>
            </w:r>
          </w:p>
        </w:tc>
        <w:tc>
          <w:tcPr>
            <w:tcW w:w="2486" w:type="dxa"/>
            <w:gridSpan w:val="3"/>
            <w:tcBorders>
              <w:top w:val="single" w:sz="4" w:space="0" w:color="auto"/>
              <w:left w:val="nil"/>
              <w:bottom w:val="single" w:sz="4" w:space="0" w:color="auto"/>
              <w:right w:val="single" w:sz="4" w:space="0" w:color="auto"/>
            </w:tcBorders>
            <w:shd w:val="clear" w:color="auto" w:fill="auto"/>
            <w:noWrap/>
            <w:vAlign w:val="bottom"/>
            <w:hideMark/>
          </w:tcPr>
          <w:p w:rsidR="002662A9" w:rsidRPr="00461726" w:rsidP="00553090" w14:paraId="24F4B680" w14:textId="77777777">
            <w:pPr>
              <w:spacing w:after="0" w:line="240" w:lineRule="auto"/>
              <w:jc w:val="center"/>
              <w:rPr>
                <w:b/>
                <w:bCs/>
                <w:color w:val="000000"/>
                <w:sz w:val="20"/>
                <w:szCs w:val="20"/>
                <w:lang w:eastAsia="cs-CZ"/>
              </w:rPr>
            </w:pPr>
            <w:r w:rsidRPr="00461726">
              <w:rPr>
                <w:b/>
                <w:bCs/>
                <w:color w:val="000000"/>
                <w:sz w:val="20"/>
                <w:szCs w:val="20"/>
                <w:lang w:eastAsia="cs-CZ"/>
              </w:rPr>
              <w:t>2016</w:t>
            </w:r>
          </w:p>
        </w:tc>
        <w:tc>
          <w:tcPr>
            <w:tcW w:w="2486" w:type="dxa"/>
            <w:gridSpan w:val="3"/>
            <w:tcBorders>
              <w:top w:val="single" w:sz="4" w:space="0" w:color="auto"/>
              <w:left w:val="nil"/>
              <w:bottom w:val="single" w:sz="4" w:space="0" w:color="auto"/>
              <w:right w:val="single" w:sz="4" w:space="0" w:color="auto"/>
            </w:tcBorders>
            <w:shd w:val="clear" w:color="auto" w:fill="auto"/>
            <w:noWrap/>
            <w:vAlign w:val="bottom"/>
            <w:hideMark/>
          </w:tcPr>
          <w:p w:rsidR="002662A9" w:rsidRPr="00461726" w:rsidP="00553090" w14:paraId="5B0A1CD2" w14:textId="77777777">
            <w:pPr>
              <w:spacing w:after="0" w:line="240" w:lineRule="auto"/>
              <w:jc w:val="center"/>
              <w:rPr>
                <w:b/>
                <w:bCs/>
                <w:color w:val="000000"/>
                <w:sz w:val="20"/>
                <w:szCs w:val="20"/>
                <w:lang w:eastAsia="cs-CZ"/>
              </w:rPr>
            </w:pPr>
            <w:r w:rsidRPr="00461726">
              <w:rPr>
                <w:b/>
                <w:bCs/>
                <w:color w:val="000000"/>
                <w:sz w:val="20"/>
                <w:szCs w:val="20"/>
                <w:lang w:eastAsia="cs-CZ"/>
              </w:rPr>
              <w:t>2017</w:t>
            </w:r>
          </w:p>
        </w:tc>
      </w:tr>
      <w:tr w14:paraId="051B2D3F" w14:textId="77777777" w:rsidTr="00221615">
        <w:tblPrEx>
          <w:tblW w:w="9159" w:type="dxa"/>
          <w:tblCellMar>
            <w:left w:w="70" w:type="dxa"/>
            <w:right w:w="70" w:type="dxa"/>
          </w:tblCellMar>
          <w:tblLook w:val="04A0"/>
        </w:tblPrEx>
        <w:trPr>
          <w:trHeight w:val="829"/>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2662A9" w:rsidRPr="00461726" w:rsidP="00553090" w14:paraId="68155A11" w14:textId="77777777">
            <w:pPr>
              <w:spacing w:after="0" w:line="240" w:lineRule="auto"/>
              <w:rPr>
                <w:b/>
                <w:bCs/>
                <w:color w:val="000000"/>
                <w:sz w:val="20"/>
                <w:szCs w:val="20"/>
                <w:lang w:eastAsia="cs-CZ"/>
              </w:rPr>
            </w:pPr>
          </w:p>
        </w:tc>
        <w:tc>
          <w:tcPr>
            <w:tcW w:w="850" w:type="dxa"/>
            <w:tcBorders>
              <w:top w:val="nil"/>
              <w:left w:val="nil"/>
              <w:bottom w:val="single" w:sz="4" w:space="0" w:color="auto"/>
              <w:right w:val="single" w:sz="4" w:space="0" w:color="auto"/>
            </w:tcBorders>
            <w:shd w:val="clear" w:color="000000" w:fill="FFFFFF"/>
            <w:vAlign w:val="bottom"/>
            <w:hideMark/>
          </w:tcPr>
          <w:p w:rsidR="002662A9" w:rsidRPr="00461726" w:rsidP="00553090" w14:paraId="162D298D" w14:textId="77777777">
            <w:pPr>
              <w:spacing w:after="0" w:line="240" w:lineRule="auto"/>
              <w:jc w:val="center"/>
              <w:rPr>
                <w:b/>
                <w:bCs/>
                <w:color w:val="000000"/>
                <w:sz w:val="18"/>
                <w:szCs w:val="18"/>
                <w:lang w:eastAsia="cs-CZ"/>
              </w:rPr>
            </w:pPr>
            <w:r w:rsidRPr="00461726">
              <w:rPr>
                <w:b/>
                <w:bCs/>
                <w:color w:val="000000"/>
                <w:sz w:val="18"/>
                <w:szCs w:val="18"/>
                <w:lang w:eastAsia="cs-CZ"/>
              </w:rPr>
              <w:t>počet subjektů (ks)</w:t>
            </w:r>
          </w:p>
        </w:tc>
        <w:tc>
          <w:tcPr>
            <w:tcW w:w="909" w:type="dxa"/>
            <w:tcBorders>
              <w:top w:val="nil"/>
              <w:left w:val="nil"/>
              <w:bottom w:val="single" w:sz="4" w:space="0" w:color="auto"/>
              <w:right w:val="single" w:sz="4" w:space="0" w:color="auto"/>
            </w:tcBorders>
            <w:shd w:val="clear" w:color="000000" w:fill="FFFFFF"/>
            <w:vAlign w:val="bottom"/>
            <w:hideMark/>
          </w:tcPr>
          <w:p w:rsidR="002662A9" w:rsidRPr="00461726" w:rsidP="00553090" w14:paraId="5D9FC4DC" w14:textId="77777777">
            <w:pPr>
              <w:spacing w:after="0" w:line="240" w:lineRule="auto"/>
              <w:jc w:val="center"/>
              <w:rPr>
                <w:b/>
                <w:bCs/>
                <w:color w:val="000000"/>
                <w:sz w:val="18"/>
                <w:szCs w:val="18"/>
                <w:lang w:eastAsia="cs-CZ"/>
              </w:rPr>
            </w:pPr>
            <w:r w:rsidRPr="00461726">
              <w:rPr>
                <w:b/>
                <w:bCs/>
                <w:color w:val="000000"/>
                <w:sz w:val="18"/>
                <w:szCs w:val="18"/>
                <w:lang w:eastAsia="cs-CZ"/>
              </w:rPr>
              <w:t>produkce (t)</w:t>
            </w:r>
          </w:p>
        </w:tc>
        <w:tc>
          <w:tcPr>
            <w:tcW w:w="726" w:type="dxa"/>
            <w:tcBorders>
              <w:top w:val="nil"/>
              <w:left w:val="nil"/>
              <w:bottom w:val="single" w:sz="4" w:space="0" w:color="auto"/>
              <w:right w:val="single" w:sz="4" w:space="0" w:color="auto"/>
            </w:tcBorders>
            <w:shd w:val="clear" w:color="000000" w:fill="FFFFFF"/>
            <w:vAlign w:val="bottom"/>
            <w:hideMark/>
          </w:tcPr>
          <w:p w:rsidR="002662A9" w:rsidRPr="00461726" w:rsidP="00553090" w14:paraId="5550266E" w14:textId="77777777">
            <w:pPr>
              <w:spacing w:after="0" w:line="240" w:lineRule="auto"/>
              <w:jc w:val="center"/>
              <w:rPr>
                <w:b/>
                <w:bCs/>
                <w:color w:val="000000"/>
                <w:sz w:val="18"/>
                <w:szCs w:val="18"/>
                <w:lang w:eastAsia="cs-CZ"/>
              </w:rPr>
            </w:pPr>
            <w:r w:rsidRPr="00461726">
              <w:rPr>
                <w:b/>
                <w:bCs/>
                <w:color w:val="000000"/>
                <w:sz w:val="18"/>
                <w:szCs w:val="18"/>
                <w:lang w:eastAsia="cs-CZ"/>
              </w:rPr>
              <w:t>úroveň ZO (%)</w:t>
            </w:r>
          </w:p>
        </w:tc>
        <w:tc>
          <w:tcPr>
            <w:tcW w:w="850" w:type="dxa"/>
            <w:tcBorders>
              <w:top w:val="nil"/>
              <w:left w:val="nil"/>
              <w:bottom w:val="single" w:sz="4" w:space="0" w:color="auto"/>
              <w:right w:val="single" w:sz="4" w:space="0" w:color="auto"/>
            </w:tcBorders>
            <w:shd w:val="clear" w:color="000000" w:fill="FFFFFF"/>
            <w:vAlign w:val="bottom"/>
            <w:hideMark/>
          </w:tcPr>
          <w:p w:rsidR="002662A9" w:rsidRPr="00461726" w:rsidP="00553090" w14:paraId="7EDF231F" w14:textId="77777777">
            <w:pPr>
              <w:spacing w:after="0" w:line="240" w:lineRule="auto"/>
              <w:jc w:val="center"/>
              <w:rPr>
                <w:b/>
                <w:bCs/>
                <w:color w:val="000000"/>
                <w:sz w:val="18"/>
                <w:szCs w:val="18"/>
                <w:lang w:eastAsia="cs-CZ"/>
              </w:rPr>
            </w:pPr>
            <w:r w:rsidRPr="00461726">
              <w:rPr>
                <w:b/>
                <w:bCs/>
                <w:color w:val="000000"/>
                <w:sz w:val="18"/>
                <w:szCs w:val="18"/>
                <w:lang w:eastAsia="cs-CZ"/>
              </w:rPr>
              <w:t>počet subjektů (ks)</w:t>
            </w:r>
          </w:p>
        </w:tc>
        <w:tc>
          <w:tcPr>
            <w:tcW w:w="909" w:type="dxa"/>
            <w:tcBorders>
              <w:top w:val="nil"/>
              <w:left w:val="nil"/>
              <w:bottom w:val="single" w:sz="4" w:space="0" w:color="auto"/>
              <w:right w:val="single" w:sz="4" w:space="0" w:color="auto"/>
            </w:tcBorders>
            <w:shd w:val="clear" w:color="000000" w:fill="FFFFFF"/>
            <w:vAlign w:val="bottom"/>
            <w:hideMark/>
          </w:tcPr>
          <w:p w:rsidR="002662A9" w:rsidRPr="00461726" w:rsidP="00553090" w14:paraId="5153624F" w14:textId="77777777">
            <w:pPr>
              <w:spacing w:after="0" w:line="240" w:lineRule="auto"/>
              <w:jc w:val="center"/>
              <w:rPr>
                <w:b/>
                <w:bCs/>
                <w:color w:val="000000"/>
                <w:sz w:val="18"/>
                <w:szCs w:val="18"/>
                <w:lang w:eastAsia="cs-CZ"/>
              </w:rPr>
            </w:pPr>
            <w:r w:rsidRPr="00461726">
              <w:rPr>
                <w:b/>
                <w:bCs/>
                <w:color w:val="000000"/>
                <w:sz w:val="18"/>
                <w:szCs w:val="18"/>
                <w:lang w:eastAsia="cs-CZ"/>
              </w:rPr>
              <w:t>produkce (t)</w:t>
            </w:r>
          </w:p>
        </w:tc>
        <w:tc>
          <w:tcPr>
            <w:tcW w:w="726" w:type="dxa"/>
            <w:tcBorders>
              <w:top w:val="nil"/>
              <w:left w:val="nil"/>
              <w:bottom w:val="single" w:sz="4" w:space="0" w:color="auto"/>
              <w:right w:val="single" w:sz="4" w:space="0" w:color="auto"/>
            </w:tcBorders>
            <w:shd w:val="clear" w:color="000000" w:fill="FFFFFF"/>
            <w:vAlign w:val="bottom"/>
            <w:hideMark/>
          </w:tcPr>
          <w:p w:rsidR="002662A9" w:rsidRPr="00461726" w:rsidP="00553090" w14:paraId="06EF48E5" w14:textId="77777777">
            <w:pPr>
              <w:spacing w:after="0" w:line="240" w:lineRule="auto"/>
              <w:jc w:val="center"/>
              <w:rPr>
                <w:b/>
                <w:bCs/>
                <w:color w:val="000000"/>
                <w:sz w:val="18"/>
                <w:szCs w:val="18"/>
                <w:lang w:eastAsia="cs-CZ"/>
              </w:rPr>
            </w:pPr>
            <w:r w:rsidRPr="00461726">
              <w:rPr>
                <w:b/>
                <w:bCs/>
                <w:color w:val="000000"/>
                <w:sz w:val="18"/>
                <w:szCs w:val="18"/>
                <w:lang w:eastAsia="cs-CZ"/>
              </w:rPr>
              <w:t>úroveň ZO (%)</w:t>
            </w:r>
          </w:p>
        </w:tc>
        <w:tc>
          <w:tcPr>
            <w:tcW w:w="850" w:type="dxa"/>
            <w:tcBorders>
              <w:top w:val="nil"/>
              <w:left w:val="nil"/>
              <w:bottom w:val="single" w:sz="4" w:space="0" w:color="auto"/>
              <w:right w:val="single" w:sz="4" w:space="0" w:color="auto"/>
            </w:tcBorders>
            <w:shd w:val="clear" w:color="000000" w:fill="FFFFFF"/>
            <w:vAlign w:val="bottom"/>
            <w:hideMark/>
          </w:tcPr>
          <w:p w:rsidR="002662A9" w:rsidRPr="00461726" w:rsidP="00553090" w14:paraId="24CC24A7" w14:textId="77777777">
            <w:pPr>
              <w:spacing w:after="0" w:line="240" w:lineRule="auto"/>
              <w:jc w:val="center"/>
              <w:rPr>
                <w:b/>
                <w:bCs/>
                <w:color w:val="000000"/>
                <w:sz w:val="18"/>
                <w:szCs w:val="18"/>
                <w:lang w:eastAsia="cs-CZ"/>
              </w:rPr>
            </w:pPr>
            <w:r w:rsidRPr="00461726">
              <w:rPr>
                <w:b/>
                <w:bCs/>
                <w:color w:val="000000"/>
                <w:sz w:val="18"/>
                <w:szCs w:val="18"/>
                <w:lang w:eastAsia="cs-CZ"/>
              </w:rPr>
              <w:t>počet subjektů (ks)</w:t>
            </w:r>
          </w:p>
        </w:tc>
        <w:tc>
          <w:tcPr>
            <w:tcW w:w="909" w:type="dxa"/>
            <w:tcBorders>
              <w:top w:val="nil"/>
              <w:left w:val="nil"/>
              <w:bottom w:val="single" w:sz="4" w:space="0" w:color="auto"/>
              <w:right w:val="single" w:sz="4" w:space="0" w:color="auto"/>
            </w:tcBorders>
            <w:shd w:val="clear" w:color="000000" w:fill="FFFFFF"/>
            <w:vAlign w:val="bottom"/>
            <w:hideMark/>
          </w:tcPr>
          <w:p w:rsidR="002662A9" w:rsidRPr="00461726" w:rsidP="00553090" w14:paraId="46A6DBA1" w14:textId="77777777">
            <w:pPr>
              <w:spacing w:after="0" w:line="240" w:lineRule="auto"/>
              <w:jc w:val="center"/>
              <w:rPr>
                <w:b/>
                <w:bCs/>
                <w:color w:val="000000"/>
                <w:sz w:val="18"/>
                <w:szCs w:val="18"/>
                <w:lang w:eastAsia="cs-CZ"/>
              </w:rPr>
            </w:pPr>
            <w:r w:rsidRPr="00461726">
              <w:rPr>
                <w:b/>
                <w:bCs/>
                <w:color w:val="000000"/>
                <w:sz w:val="18"/>
                <w:szCs w:val="18"/>
                <w:lang w:eastAsia="cs-CZ"/>
              </w:rPr>
              <w:t>produkce (t)</w:t>
            </w:r>
          </w:p>
        </w:tc>
        <w:tc>
          <w:tcPr>
            <w:tcW w:w="726" w:type="dxa"/>
            <w:tcBorders>
              <w:top w:val="nil"/>
              <w:left w:val="nil"/>
              <w:bottom w:val="single" w:sz="4" w:space="0" w:color="auto"/>
              <w:right w:val="single" w:sz="4" w:space="0" w:color="auto"/>
            </w:tcBorders>
            <w:shd w:val="clear" w:color="000000" w:fill="FFFFFF"/>
            <w:vAlign w:val="bottom"/>
            <w:hideMark/>
          </w:tcPr>
          <w:p w:rsidR="002662A9" w:rsidRPr="00461726" w:rsidP="00553090" w14:paraId="0A449BD7" w14:textId="77777777">
            <w:pPr>
              <w:spacing w:after="0" w:line="240" w:lineRule="auto"/>
              <w:jc w:val="center"/>
              <w:rPr>
                <w:b/>
                <w:bCs/>
                <w:color w:val="000000"/>
                <w:sz w:val="18"/>
                <w:szCs w:val="18"/>
                <w:lang w:eastAsia="cs-CZ"/>
              </w:rPr>
            </w:pPr>
            <w:r w:rsidRPr="00461726">
              <w:rPr>
                <w:b/>
                <w:bCs/>
                <w:color w:val="000000"/>
                <w:sz w:val="18"/>
                <w:szCs w:val="18"/>
                <w:lang w:eastAsia="cs-CZ"/>
              </w:rPr>
              <w:t>úroveň ZO (%)</w:t>
            </w:r>
          </w:p>
        </w:tc>
      </w:tr>
      <w:tr w14:paraId="2E01E536" w14:textId="77777777" w:rsidTr="00221615">
        <w:tblPrEx>
          <w:tblW w:w="9159" w:type="dxa"/>
          <w:tblCellMar>
            <w:left w:w="70" w:type="dxa"/>
            <w:right w:w="70" w:type="dxa"/>
          </w:tblCellMar>
          <w:tblLook w:val="04A0"/>
        </w:tblPrEx>
        <w:trPr>
          <w:trHeight w:val="27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662A9" w:rsidRPr="00461726" w:rsidP="00553090" w14:paraId="7EA38ED1" w14:textId="77777777">
            <w:pPr>
              <w:spacing w:after="0" w:line="240" w:lineRule="auto"/>
              <w:rPr>
                <w:color w:val="000000"/>
                <w:sz w:val="20"/>
                <w:szCs w:val="20"/>
                <w:lang w:eastAsia="cs-CZ"/>
              </w:rPr>
            </w:pPr>
            <w:r w:rsidRPr="00461726">
              <w:rPr>
                <w:color w:val="000000"/>
                <w:sz w:val="20"/>
                <w:szCs w:val="20"/>
                <w:lang w:eastAsia="cs-CZ"/>
              </w:rPr>
              <w:t xml:space="preserve"> do 99 t</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3AAEC52" w14:textId="77777777">
            <w:pPr>
              <w:spacing w:after="0" w:line="240" w:lineRule="auto"/>
              <w:jc w:val="center"/>
              <w:rPr>
                <w:color w:val="000000"/>
                <w:sz w:val="20"/>
                <w:szCs w:val="20"/>
                <w:lang w:eastAsia="cs-CZ"/>
              </w:rPr>
            </w:pPr>
            <w:r w:rsidRPr="00461726">
              <w:rPr>
                <w:color w:val="000000"/>
                <w:sz w:val="20"/>
                <w:szCs w:val="20"/>
                <w:lang w:eastAsia="cs-CZ"/>
              </w:rPr>
              <w:t>84,0</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F39047F" w14:textId="77777777">
            <w:pPr>
              <w:spacing w:after="0" w:line="240" w:lineRule="auto"/>
              <w:jc w:val="center"/>
              <w:rPr>
                <w:color w:val="000000"/>
                <w:sz w:val="20"/>
                <w:szCs w:val="20"/>
                <w:lang w:eastAsia="cs-CZ"/>
              </w:rPr>
            </w:pPr>
            <w:r w:rsidRPr="00461726">
              <w:rPr>
                <w:color w:val="000000"/>
                <w:sz w:val="20"/>
                <w:szCs w:val="20"/>
                <w:lang w:eastAsia="cs-CZ"/>
              </w:rPr>
              <w:t>2 186,6</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396E3588" w14:textId="77777777">
            <w:pPr>
              <w:spacing w:after="0" w:line="240" w:lineRule="auto"/>
              <w:jc w:val="center"/>
              <w:rPr>
                <w:color w:val="000000"/>
                <w:sz w:val="20"/>
                <w:szCs w:val="20"/>
                <w:lang w:eastAsia="cs-CZ"/>
              </w:rPr>
            </w:pPr>
            <w:r w:rsidRPr="00461726">
              <w:rPr>
                <w:color w:val="000000"/>
                <w:sz w:val="20"/>
                <w:szCs w:val="20"/>
                <w:lang w:eastAsia="cs-CZ"/>
              </w:rPr>
              <w:t>38,6</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5408817D" w14:textId="77777777">
            <w:pPr>
              <w:spacing w:after="0" w:line="240" w:lineRule="auto"/>
              <w:jc w:val="center"/>
              <w:rPr>
                <w:color w:val="000000"/>
                <w:sz w:val="20"/>
                <w:szCs w:val="20"/>
                <w:lang w:eastAsia="cs-CZ"/>
              </w:rPr>
            </w:pPr>
            <w:r w:rsidRPr="00461726">
              <w:rPr>
                <w:color w:val="000000"/>
                <w:sz w:val="20"/>
                <w:szCs w:val="20"/>
                <w:lang w:eastAsia="cs-CZ"/>
              </w:rPr>
              <w:t>94</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55C8581" w14:textId="77777777">
            <w:pPr>
              <w:spacing w:after="0" w:line="240" w:lineRule="auto"/>
              <w:jc w:val="center"/>
              <w:rPr>
                <w:color w:val="000000"/>
                <w:sz w:val="20"/>
                <w:szCs w:val="20"/>
                <w:lang w:eastAsia="cs-CZ"/>
              </w:rPr>
            </w:pPr>
            <w:r w:rsidRPr="00461726">
              <w:rPr>
                <w:color w:val="000000"/>
                <w:sz w:val="20"/>
                <w:szCs w:val="20"/>
                <w:lang w:eastAsia="cs-CZ"/>
              </w:rPr>
              <w:t>2 133,8</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97A91B0" w14:textId="77777777">
            <w:pPr>
              <w:spacing w:after="0" w:line="240" w:lineRule="auto"/>
              <w:jc w:val="center"/>
              <w:rPr>
                <w:color w:val="000000"/>
                <w:sz w:val="20"/>
                <w:szCs w:val="20"/>
                <w:lang w:eastAsia="cs-CZ"/>
              </w:rPr>
            </w:pPr>
            <w:r w:rsidRPr="00461726">
              <w:rPr>
                <w:color w:val="000000"/>
                <w:sz w:val="20"/>
                <w:szCs w:val="20"/>
                <w:lang w:eastAsia="cs-CZ"/>
              </w:rPr>
              <w:t>46,1</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5E33CF06" w14:textId="77777777">
            <w:pPr>
              <w:spacing w:after="0" w:line="240" w:lineRule="auto"/>
              <w:jc w:val="center"/>
              <w:rPr>
                <w:color w:val="000000"/>
                <w:sz w:val="20"/>
                <w:szCs w:val="20"/>
                <w:lang w:eastAsia="cs-CZ"/>
              </w:rPr>
            </w:pPr>
            <w:r w:rsidRPr="00461726">
              <w:rPr>
                <w:color w:val="000000"/>
                <w:sz w:val="20"/>
                <w:szCs w:val="20"/>
                <w:lang w:eastAsia="cs-CZ"/>
              </w:rPr>
              <w:t>77</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0499FAF7" w14:textId="77777777">
            <w:pPr>
              <w:spacing w:after="0" w:line="240" w:lineRule="auto"/>
              <w:jc w:val="center"/>
              <w:rPr>
                <w:color w:val="000000"/>
                <w:sz w:val="20"/>
                <w:szCs w:val="20"/>
                <w:lang w:eastAsia="cs-CZ"/>
              </w:rPr>
            </w:pPr>
            <w:r w:rsidRPr="00461726">
              <w:rPr>
                <w:color w:val="000000"/>
                <w:sz w:val="20"/>
                <w:szCs w:val="20"/>
                <w:lang w:eastAsia="cs-CZ"/>
              </w:rPr>
              <w:t>1 805,6</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23D8AC8" w14:textId="77777777">
            <w:pPr>
              <w:spacing w:after="0" w:line="240" w:lineRule="auto"/>
              <w:jc w:val="center"/>
              <w:rPr>
                <w:color w:val="000000"/>
                <w:sz w:val="20"/>
                <w:szCs w:val="20"/>
                <w:lang w:eastAsia="cs-CZ"/>
              </w:rPr>
            </w:pPr>
            <w:r w:rsidRPr="00461726">
              <w:rPr>
                <w:color w:val="000000"/>
                <w:sz w:val="20"/>
                <w:szCs w:val="20"/>
                <w:lang w:eastAsia="cs-CZ"/>
              </w:rPr>
              <w:t>44,7</w:t>
            </w:r>
          </w:p>
        </w:tc>
      </w:tr>
      <w:tr w14:paraId="47198611" w14:textId="77777777" w:rsidTr="00221615">
        <w:tblPrEx>
          <w:tblW w:w="9159" w:type="dxa"/>
          <w:tblCellMar>
            <w:left w:w="70" w:type="dxa"/>
            <w:right w:w="70" w:type="dxa"/>
          </w:tblCellMar>
          <w:tblLook w:val="04A0"/>
        </w:tblPrEx>
        <w:trPr>
          <w:trHeight w:val="27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662A9" w:rsidRPr="00461726" w:rsidP="00553090" w14:paraId="19C31832" w14:textId="77777777">
            <w:pPr>
              <w:spacing w:after="0" w:line="240" w:lineRule="auto"/>
              <w:rPr>
                <w:color w:val="000000"/>
                <w:sz w:val="20"/>
                <w:szCs w:val="20"/>
                <w:lang w:eastAsia="cs-CZ"/>
              </w:rPr>
            </w:pPr>
            <w:r w:rsidRPr="00461726">
              <w:rPr>
                <w:color w:val="000000"/>
                <w:sz w:val="20"/>
                <w:szCs w:val="20"/>
                <w:lang w:eastAsia="cs-CZ"/>
              </w:rPr>
              <w:t>100 - 999 t</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C83E5E4" w14:textId="77777777">
            <w:pPr>
              <w:spacing w:after="0" w:line="240" w:lineRule="auto"/>
              <w:jc w:val="center"/>
              <w:rPr>
                <w:color w:val="000000"/>
                <w:sz w:val="20"/>
                <w:szCs w:val="20"/>
                <w:lang w:eastAsia="cs-CZ"/>
              </w:rPr>
            </w:pPr>
            <w:r w:rsidRPr="00461726">
              <w:rPr>
                <w:color w:val="000000"/>
                <w:sz w:val="20"/>
                <w:szCs w:val="20"/>
                <w:lang w:eastAsia="cs-CZ"/>
              </w:rPr>
              <w:t>41,0</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B1750B8" w14:textId="77777777">
            <w:pPr>
              <w:spacing w:after="0" w:line="240" w:lineRule="auto"/>
              <w:jc w:val="center"/>
              <w:rPr>
                <w:color w:val="000000"/>
                <w:sz w:val="20"/>
                <w:szCs w:val="20"/>
                <w:lang w:eastAsia="cs-CZ"/>
              </w:rPr>
            </w:pPr>
            <w:r w:rsidRPr="00461726">
              <w:rPr>
                <w:color w:val="000000"/>
                <w:sz w:val="20"/>
                <w:szCs w:val="20"/>
                <w:lang w:eastAsia="cs-CZ"/>
              </w:rPr>
              <w:t>12 590,7</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880641B" w14:textId="77777777">
            <w:pPr>
              <w:spacing w:after="0" w:line="240" w:lineRule="auto"/>
              <w:jc w:val="center"/>
              <w:rPr>
                <w:color w:val="000000"/>
                <w:sz w:val="20"/>
                <w:szCs w:val="20"/>
                <w:lang w:eastAsia="cs-CZ"/>
              </w:rPr>
            </w:pPr>
            <w:r w:rsidRPr="00461726">
              <w:rPr>
                <w:color w:val="000000"/>
                <w:sz w:val="20"/>
                <w:szCs w:val="20"/>
                <w:lang w:eastAsia="cs-CZ"/>
              </w:rPr>
              <w:t>41,6</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08D41AB" w14:textId="77777777">
            <w:pPr>
              <w:spacing w:after="0" w:line="240" w:lineRule="auto"/>
              <w:jc w:val="center"/>
              <w:rPr>
                <w:color w:val="000000"/>
                <w:sz w:val="20"/>
                <w:szCs w:val="20"/>
                <w:lang w:eastAsia="cs-CZ"/>
              </w:rPr>
            </w:pPr>
            <w:r w:rsidRPr="00461726">
              <w:rPr>
                <w:color w:val="000000"/>
                <w:sz w:val="20"/>
                <w:szCs w:val="20"/>
                <w:lang w:eastAsia="cs-CZ"/>
              </w:rPr>
              <w:t>53</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61CF923" w14:textId="77777777">
            <w:pPr>
              <w:spacing w:after="0" w:line="240" w:lineRule="auto"/>
              <w:jc w:val="center"/>
              <w:rPr>
                <w:color w:val="000000"/>
                <w:sz w:val="20"/>
                <w:szCs w:val="20"/>
                <w:lang w:eastAsia="cs-CZ"/>
              </w:rPr>
            </w:pPr>
            <w:r w:rsidRPr="00461726">
              <w:rPr>
                <w:color w:val="000000"/>
                <w:sz w:val="20"/>
                <w:szCs w:val="20"/>
                <w:lang w:eastAsia="cs-CZ"/>
              </w:rPr>
              <w:t>18 035,1</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008EA084" w14:textId="77777777">
            <w:pPr>
              <w:spacing w:after="0" w:line="240" w:lineRule="auto"/>
              <w:jc w:val="center"/>
              <w:rPr>
                <w:color w:val="000000"/>
                <w:sz w:val="20"/>
                <w:szCs w:val="20"/>
                <w:lang w:eastAsia="cs-CZ"/>
              </w:rPr>
            </w:pPr>
            <w:r w:rsidRPr="00461726">
              <w:rPr>
                <w:color w:val="000000"/>
                <w:sz w:val="20"/>
                <w:szCs w:val="20"/>
                <w:lang w:eastAsia="cs-CZ"/>
              </w:rPr>
              <w:t>40,1</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7AB09189" w14:textId="77777777">
            <w:pPr>
              <w:spacing w:after="0" w:line="240" w:lineRule="auto"/>
              <w:jc w:val="center"/>
              <w:rPr>
                <w:color w:val="000000"/>
                <w:sz w:val="20"/>
                <w:szCs w:val="20"/>
                <w:lang w:eastAsia="cs-CZ"/>
              </w:rPr>
            </w:pPr>
            <w:r w:rsidRPr="00461726">
              <w:rPr>
                <w:color w:val="000000"/>
                <w:sz w:val="20"/>
                <w:szCs w:val="20"/>
                <w:lang w:eastAsia="cs-CZ"/>
              </w:rPr>
              <w:t>55</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2CC2DB4" w14:textId="77777777">
            <w:pPr>
              <w:spacing w:after="0" w:line="240" w:lineRule="auto"/>
              <w:jc w:val="center"/>
              <w:rPr>
                <w:color w:val="000000"/>
                <w:sz w:val="20"/>
                <w:szCs w:val="20"/>
                <w:lang w:eastAsia="cs-CZ"/>
              </w:rPr>
            </w:pPr>
            <w:r w:rsidRPr="00461726">
              <w:rPr>
                <w:color w:val="000000"/>
                <w:sz w:val="20"/>
                <w:szCs w:val="20"/>
                <w:lang w:eastAsia="cs-CZ"/>
              </w:rPr>
              <w:t>18 992,8</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4E023E36" w14:textId="77777777">
            <w:pPr>
              <w:spacing w:after="0" w:line="240" w:lineRule="auto"/>
              <w:jc w:val="center"/>
              <w:rPr>
                <w:color w:val="000000"/>
                <w:sz w:val="20"/>
                <w:szCs w:val="20"/>
                <w:lang w:eastAsia="cs-CZ"/>
              </w:rPr>
            </w:pPr>
            <w:r w:rsidRPr="00461726">
              <w:rPr>
                <w:color w:val="000000"/>
                <w:sz w:val="20"/>
                <w:szCs w:val="20"/>
                <w:lang w:eastAsia="cs-CZ"/>
              </w:rPr>
              <w:t>39,7</w:t>
            </w:r>
          </w:p>
        </w:tc>
      </w:tr>
      <w:tr w14:paraId="7CAF2720" w14:textId="77777777" w:rsidTr="00221615">
        <w:tblPrEx>
          <w:tblW w:w="9159" w:type="dxa"/>
          <w:tblCellMar>
            <w:left w:w="70" w:type="dxa"/>
            <w:right w:w="70" w:type="dxa"/>
          </w:tblCellMar>
          <w:tblLook w:val="04A0"/>
        </w:tblPrEx>
        <w:trPr>
          <w:trHeight w:val="27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662A9" w:rsidRPr="00461726" w:rsidP="00553090" w14:paraId="39391BF5" w14:textId="77777777">
            <w:pPr>
              <w:spacing w:after="0" w:line="240" w:lineRule="auto"/>
              <w:rPr>
                <w:color w:val="000000"/>
                <w:sz w:val="20"/>
                <w:szCs w:val="20"/>
                <w:lang w:eastAsia="cs-CZ"/>
              </w:rPr>
            </w:pPr>
            <w:r w:rsidRPr="00461726">
              <w:rPr>
                <w:color w:val="000000"/>
                <w:sz w:val="20"/>
                <w:szCs w:val="20"/>
                <w:lang w:eastAsia="cs-CZ"/>
              </w:rPr>
              <w:t>nad 1 000 t</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5EF2616A" w14:textId="77777777">
            <w:pPr>
              <w:spacing w:after="0" w:line="240" w:lineRule="auto"/>
              <w:jc w:val="center"/>
              <w:rPr>
                <w:color w:val="000000"/>
                <w:sz w:val="20"/>
                <w:szCs w:val="20"/>
                <w:lang w:eastAsia="cs-CZ"/>
              </w:rPr>
            </w:pPr>
            <w:r w:rsidRPr="00461726">
              <w:rPr>
                <w:color w:val="000000"/>
                <w:sz w:val="20"/>
                <w:szCs w:val="20"/>
                <w:lang w:eastAsia="cs-CZ"/>
              </w:rPr>
              <w:t>15,0</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390106E" w14:textId="77777777">
            <w:pPr>
              <w:spacing w:after="0" w:line="240" w:lineRule="auto"/>
              <w:jc w:val="center"/>
              <w:rPr>
                <w:color w:val="000000"/>
                <w:sz w:val="20"/>
                <w:szCs w:val="20"/>
                <w:lang w:eastAsia="cs-CZ"/>
              </w:rPr>
            </w:pPr>
            <w:r w:rsidRPr="00461726">
              <w:rPr>
                <w:color w:val="000000"/>
                <w:sz w:val="20"/>
                <w:szCs w:val="20"/>
                <w:lang w:eastAsia="cs-CZ"/>
              </w:rPr>
              <w:t>67 372,4</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8D2F52D" w14:textId="77777777">
            <w:pPr>
              <w:spacing w:after="0" w:line="240" w:lineRule="auto"/>
              <w:jc w:val="center"/>
              <w:rPr>
                <w:color w:val="000000"/>
                <w:sz w:val="20"/>
                <w:szCs w:val="20"/>
                <w:lang w:eastAsia="cs-CZ"/>
              </w:rPr>
            </w:pPr>
            <w:r w:rsidRPr="00461726">
              <w:rPr>
                <w:color w:val="000000"/>
                <w:sz w:val="20"/>
                <w:szCs w:val="20"/>
                <w:lang w:eastAsia="cs-CZ"/>
              </w:rPr>
              <w:t>64,1</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70146F13" w14:textId="77777777">
            <w:pPr>
              <w:spacing w:after="0" w:line="240" w:lineRule="auto"/>
              <w:jc w:val="center"/>
              <w:rPr>
                <w:color w:val="000000"/>
                <w:sz w:val="20"/>
                <w:szCs w:val="20"/>
                <w:lang w:eastAsia="cs-CZ"/>
              </w:rPr>
            </w:pPr>
            <w:r w:rsidRPr="00461726">
              <w:rPr>
                <w:color w:val="000000"/>
                <w:sz w:val="20"/>
                <w:szCs w:val="20"/>
                <w:lang w:eastAsia="cs-CZ"/>
              </w:rPr>
              <w:t>8</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5AF620CA" w14:textId="77777777">
            <w:pPr>
              <w:spacing w:after="0" w:line="240" w:lineRule="auto"/>
              <w:jc w:val="center"/>
              <w:rPr>
                <w:color w:val="000000"/>
                <w:sz w:val="20"/>
                <w:szCs w:val="20"/>
                <w:lang w:eastAsia="cs-CZ"/>
              </w:rPr>
            </w:pPr>
            <w:r w:rsidRPr="00461726">
              <w:rPr>
                <w:color w:val="000000"/>
                <w:sz w:val="20"/>
                <w:szCs w:val="20"/>
                <w:lang w:eastAsia="cs-CZ"/>
              </w:rPr>
              <w:t>15 986,8</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F54CD03" w14:textId="77777777">
            <w:pPr>
              <w:spacing w:after="0" w:line="240" w:lineRule="auto"/>
              <w:jc w:val="center"/>
              <w:rPr>
                <w:color w:val="000000"/>
                <w:sz w:val="20"/>
                <w:szCs w:val="20"/>
                <w:lang w:eastAsia="cs-CZ"/>
              </w:rPr>
            </w:pPr>
            <w:r w:rsidRPr="00461726">
              <w:rPr>
                <w:color w:val="000000"/>
                <w:sz w:val="20"/>
                <w:szCs w:val="20"/>
                <w:lang w:eastAsia="cs-CZ"/>
              </w:rPr>
              <w:t>45,1</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349A795" w14:textId="77777777">
            <w:pPr>
              <w:spacing w:after="0" w:line="240" w:lineRule="auto"/>
              <w:jc w:val="center"/>
              <w:rPr>
                <w:color w:val="000000"/>
                <w:sz w:val="20"/>
                <w:szCs w:val="20"/>
                <w:lang w:eastAsia="cs-CZ"/>
              </w:rPr>
            </w:pPr>
            <w:r w:rsidRPr="00461726">
              <w:rPr>
                <w:color w:val="000000"/>
                <w:sz w:val="20"/>
                <w:szCs w:val="20"/>
                <w:lang w:eastAsia="cs-CZ"/>
              </w:rPr>
              <w:t>8</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BAEE183" w14:textId="77777777">
            <w:pPr>
              <w:spacing w:after="0" w:line="240" w:lineRule="auto"/>
              <w:jc w:val="center"/>
              <w:rPr>
                <w:color w:val="000000"/>
                <w:sz w:val="20"/>
                <w:szCs w:val="20"/>
                <w:lang w:eastAsia="cs-CZ"/>
              </w:rPr>
            </w:pPr>
            <w:r w:rsidRPr="00461726">
              <w:rPr>
                <w:color w:val="000000"/>
                <w:sz w:val="20"/>
                <w:szCs w:val="20"/>
                <w:lang w:eastAsia="cs-CZ"/>
              </w:rPr>
              <w:t>17 014,5</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F0E2506" w14:textId="77777777">
            <w:pPr>
              <w:spacing w:after="0" w:line="240" w:lineRule="auto"/>
              <w:jc w:val="center"/>
              <w:rPr>
                <w:color w:val="000000"/>
                <w:sz w:val="20"/>
                <w:szCs w:val="20"/>
                <w:lang w:eastAsia="cs-CZ"/>
              </w:rPr>
            </w:pPr>
            <w:r w:rsidRPr="00461726">
              <w:rPr>
                <w:color w:val="000000"/>
                <w:sz w:val="20"/>
                <w:szCs w:val="20"/>
                <w:lang w:eastAsia="cs-CZ"/>
              </w:rPr>
              <w:t>42,4</w:t>
            </w:r>
          </w:p>
        </w:tc>
      </w:tr>
      <w:tr w14:paraId="0B52A326" w14:textId="77777777" w:rsidTr="00221615">
        <w:tblPrEx>
          <w:tblW w:w="9159" w:type="dxa"/>
          <w:tblCellMar>
            <w:left w:w="70" w:type="dxa"/>
            <w:right w:w="70" w:type="dxa"/>
          </w:tblCellMar>
          <w:tblLook w:val="04A0"/>
        </w:tblPrEx>
        <w:trPr>
          <w:trHeight w:val="27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662A9" w:rsidRPr="00461726" w:rsidP="00553090" w14:paraId="667CEF8F" w14:textId="77777777">
            <w:pPr>
              <w:spacing w:after="0" w:line="240" w:lineRule="auto"/>
              <w:rPr>
                <w:b/>
                <w:bCs/>
                <w:color w:val="000000"/>
                <w:sz w:val="20"/>
                <w:szCs w:val="20"/>
                <w:lang w:eastAsia="cs-CZ"/>
              </w:rPr>
            </w:pPr>
            <w:r w:rsidRPr="00461726">
              <w:rPr>
                <w:b/>
                <w:bCs/>
                <w:color w:val="000000"/>
                <w:sz w:val="20"/>
                <w:szCs w:val="20"/>
                <w:lang w:eastAsia="cs-CZ"/>
              </w:rPr>
              <w:t>Celkem</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61FF2161" w14:textId="77777777">
            <w:pPr>
              <w:spacing w:after="0" w:line="240" w:lineRule="auto"/>
              <w:jc w:val="center"/>
              <w:rPr>
                <w:b/>
                <w:bCs/>
                <w:color w:val="000000"/>
                <w:sz w:val="20"/>
                <w:szCs w:val="20"/>
                <w:lang w:eastAsia="cs-CZ"/>
              </w:rPr>
            </w:pPr>
            <w:r w:rsidRPr="00461726">
              <w:rPr>
                <w:b/>
                <w:bCs/>
                <w:color w:val="000000"/>
                <w:sz w:val="20"/>
                <w:szCs w:val="20"/>
                <w:lang w:eastAsia="cs-CZ"/>
              </w:rPr>
              <w:t>140,0</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13B07DAD" w14:textId="77777777">
            <w:pPr>
              <w:spacing w:after="0" w:line="240" w:lineRule="auto"/>
              <w:jc w:val="center"/>
              <w:rPr>
                <w:b/>
                <w:bCs/>
                <w:color w:val="000000"/>
                <w:sz w:val="20"/>
                <w:szCs w:val="20"/>
                <w:lang w:eastAsia="cs-CZ"/>
              </w:rPr>
            </w:pPr>
            <w:r w:rsidRPr="00461726">
              <w:rPr>
                <w:b/>
                <w:bCs/>
                <w:color w:val="000000"/>
                <w:sz w:val="20"/>
                <w:szCs w:val="20"/>
                <w:lang w:eastAsia="cs-CZ"/>
              </w:rPr>
              <w:t>82 149,6</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74D21DDA" w14:textId="77777777">
            <w:pPr>
              <w:spacing w:after="0" w:line="240" w:lineRule="auto"/>
              <w:jc w:val="center"/>
              <w:rPr>
                <w:b/>
                <w:bCs/>
                <w:color w:val="000000"/>
                <w:sz w:val="20"/>
                <w:szCs w:val="20"/>
                <w:lang w:eastAsia="cs-CZ"/>
              </w:rPr>
            </w:pPr>
            <w:r w:rsidRPr="00461726">
              <w:rPr>
                <w:b/>
                <w:bCs/>
                <w:color w:val="000000"/>
                <w:sz w:val="20"/>
                <w:szCs w:val="20"/>
                <w:lang w:eastAsia="cs-CZ"/>
              </w:rPr>
              <w:t>60,0</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3BD02364" w14:textId="77777777">
            <w:pPr>
              <w:spacing w:after="0" w:line="240" w:lineRule="auto"/>
              <w:jc w:val="center"/>
              <w:rPr>
                <w:b/>
                <w:bCs/>
                <w:color w:val="000000"/>
                <w:sz w:val="20"/>
                <w:szCs w:val="20"/>
                <w:lang w:eastAsia="cs-CZ"/>
              </w:rPr>
            </w:pPr>
            <w:r w:rsidRPr="00461726">
              <w:rPr>
                <w:b/>
                <w:bCs/>
                <w:color w:val="000000"/>
                <w:sz w:val="20"/>
                <w:szCs w:val="20"/>
                <w:lang w:eastAsia="cs-CZ"/>
              </w:rPr>
              <w:t>155</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3AEA7C16" w14:textId="77777777">
            <w:pPr>
              <w:spacing w:after="0" w:line="240" w:lineRule="auto"/>
              <w:jc w:val="center"/>
              <w:rPr>
                <w:b/>
                <w:bCs/>
                <w:color w:val="000000"/>
                <w:sz w:val="20"/>
                <w:szCs w:val="20"/>
                <w:lang w:eastAsia="cs-CZ"/>
              </w:rPr>
            </w:pPr>
            <w:r w:rsidRPr="00461726">
              <w:rPr>
                <w:b/>
                <w:bCs/>
                <w:color w:val="000000"/>
                <w:sz w:val="20"/>
                <w:szCs w:val="20"/>
                <w:lang w:eastAsia="cs-CZ"/>
              </w:rPr>
              <w:t>36 155,8</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50A719C7" w14:textId="77777777">
            <w:pPr>
              <w:spacing w:after="0" w:line="240" w:lineRule="auto"/>
              <w:jc w:val="center"/>
              <w:rPr>
                <w:b/>
                <w:bCs/>
                <w:color w:val="000000"/>
                <w:sz w:val="20"/>
                <w:szCs w:val="20"/>
                <w:lang w:eastAsia="cs-CZ"/>
              </w:rPr>
            </w:pPr>
            <w:r w:rsidRPr="00461726">
              <w:rPr>
                <w:b/>
                <w:bCs/>
                <w:color w:val="000000"/>
                <w:sz w:val="20"/>
                <w:szCs w:val="20"/>
                <w:lang w:eastAsia="cs-CZ"/>
              </w:rPr>
              <w:t>42,7</w:t>
            </w:r>
          </w:p>
        </w:tc>
        <w:tc>
          <w:tcPr>
            <w:tcW w:w="850"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3594D391" w14:textId="77777777">
            <w:pPr>
              <w:spacing w:after="0" w:line="240" w:lineRule="auto"/>
              <w:jc w:val="center"/>
              <w:rPr>
                <w:b/>
                <w:bCs/>
                <w:color w:val="000000"/>
                <w:sz w:val="20"/>
                <w:szCs w:val="20"/>
                <w:lang w:eastAsia="cs-CZ"/>
              </w:rPr>
            </w:pPr>
            <w:r w:rsidRPr="00461726">
              <w:rPr>
                <w:b/>
                <w:bCs/>
                <w:color w:val="000000"/>
                <w:sz w:val="20"/>
                <w:szCs w:val="20"/>
                <w:lang w:eastAsia="cs-CZ"/>
              </w:rPr>
              <w:t>140</w:t>
            </w:r>
          </w:p>
        </w:tc>
        <w:tc>
          <w:tcPr>
            <w:tcW w:w="909"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29852736" w14:textId="77777777">
            <w:pPr>
              <w:spacing w:after="0" w:line="240" w:lineRule="auto"/>
              <w:jc w:val="center"/>
              <w:rPr>
                <w:b/>
                <w:bCs/>
                <w:color w:val="000000"/>
                <w:sz w:val="20"/>
                <w:szCs w:val="20"/>
                <w:lang w:eastAsia="cs-CZ"/>
              </w:rPr>
            </w:pPr>
            <w:r w:rsidRPr="00461726">
              <w:rPr>
                <w:b/>
                <w:bCs/>
                <w:color w:val="000000"/>
                <w:sz w:val="20"/>
                <w:szCs w:val="20"/>
                <w:lang w:eastAsia="cs-CZ"/>
              </w:rPr>
              <w:t>37 812,9</w:t>
            </w:r>
          </w:p>
        </w:tc>
        <w:tc>
          <w:tcPr>
            <w:tcW w:w="726" w:type="dxa"/>
            <w:tcBorders>
              <w:top w:val="nil"/>
              <w:left w:val="nil"/>
              <w:bottom w:val="single" w:sz="4" w:space="0" w:color="auto"/>
              <w:right w:val="single" w:sz="4" w:space="0" w:color="auto"/>
            </w:tcBorders>
            <w:shd w:val="clear" w:color="000000" w:fill="FFFFFF"/>
            <w:noWrap/>
            <w:vAlign w:val="bottom"/>
            <w:hideMark/>
          </w:tcPr>
          <w:p w:rsidR="002662A9" w:rsidRPr="00461726" w:rsidP="00221615" w14:paraId="743E0BAB" w14:textId="77777777">
            <w:pPr>
              <w:spacing w:after="0" w:line="240" w:lineRule="auto"/>
              <w:jc w:val="center"/>
              <w:rPr>
                <w:b/>
                <w:bCs/>
                <w:color w:val="000000"/>
                <w:sz w:val="20"/>
                <w:szCs w:val="20"/>
                <w:lang w:eastAsia="cs-CZ"/>
              </w:rPr>
            </w:pPr>
            <w:r w:rsidRPr="00461726">
              <w:rPr>
                <w:b/>
                <w:bCs/>
                <w:color w:val="000000"/>
                <w:sz w:val="20"/>
                <w:szCs w:val="20"/>
                <w:lang w:eastAsia="cs-CZ"/>
              </w:rPr>
              <w:t>41,2</w:t>
            </w:r>
          </w:p>
        </w:tc>
      </w:tr>
    </w:tbl>
    <w:p w:rsidR="00553090" w:rsidRPr="00461726" w:rsidP="00221615" w14:paraId="7C499E60" w14:textId="77777777">
      <w:pPr>
        <w:spacing w:before="0" w:after="0" w:line="240" w:lineRule="auto"/>
        <w:jc w:val="right"/>
        <w:rPr>
          <w:rFonts w:cs="Arial"/>
          <w:i/>
        </w:rPr>
      </w:pPr>
      <w:r w:rsidRPr="00461726">
        <w:rPr>
          <w:rFonts w:cs="Arial"/>
          <w:i/>
        </w:rPr>
        <w:t>Zdroj: ISPOP</w:t>
      </w:r>
    </w:p>
    <w:p w:rsidR="000A77E7" w:rsidP="00937FFC" w14:paraId="2FC155FD" w14:textId="77777777">
      <w:pPr>
        <w:rPr>
          <w:b/>
          <w:sz w:val="20"/>
          <w:szCs w:val="20"/>
        </w:rPr>
      </w:pPr>
    </w:p>
    <w:p w:rsidR="00D12328" w:rsidRPr="00461726" w:rsidP="00937FFC" w14:paraId="2F4DC435" w14:textId="77777777">
      <w:pPr>
        <w:rPr>
          <w:b/>
          <w:sz w:val="20"/>
          <w:szCs w:val="20"/>
        </w:rPr>
      </w:pPr>
      <w:r w:rsidRPr="00461726">
        <w:rPr>
          <w:b/>
          <w:sz w:val="20"/>
          <w:szCs w:val="20"/>
        </w:rPr>
        <w:t xml:space="preserve">Tabulka 10: </w:t>
      </w:r>
      <w:r w:rsidRPr="00461726" w:rsidR="00AB3540">
        <w:rPr>
          <w:b/>
          <w:sz w:val="20"/>
          <w:szCs w:val="20"/>
        </w:rPr>
        <w:t>P</w:t>
      </w:r>
      <w:r w:rsidRPr="00461726">
        <w:rPr>
          <w:b/>
          <w:sz w:val="20"/>
          <w:szCs w:val="20"/>
        </w:rPr>
        <w:t>očty povinných osob zapojených do KS Eltma a úroveň ZO pneumatik v letech 2016 a 2017</w:t>
      </w:r>
    </w:p>
    <w:tbl>
      <w:tblPr>
        <w:tblStyle w:val="TableGrid"/>
        <w:tblW w:w="0" w:type="auto"/>
        <w:tblLook w:val="04A0"/>
      </w:tblPr>
      <w:tblGrid>
        <w:gridCol w:w="1951"/>
        <w:gridCol w:w="2655"/>
        <w:gridCol w:w="2165"/>
        <w:gridCol w:w="2268"/>
      </w:tblGrid>
      <w:tr w14:paraId="516C0E6D" w14:textId="77777777" w:rsidTr="00937FFC">
        <w:tblPrEx>
          <w:tblW w:w="0" w:type="auto"/>
          <w:tblLook w:val="04A0"/>
        </w:tblPrEx>
        <w:tc>
          <w:tcPr>
            <w:tcW w:w="9039" w:type="dxa"/>
            <w:gridSpan w:val="4"/>
          </w:tcPr>
          <w:p w:rsidR="00D12328" w:rsidRPr="00461726" w:rsidP="00937FFC" w14:paraId="556CFE7E" w14:textId="77777777">
            <w:pPr>
              <w:jc w:val="center"/>
              <w:rPr>
                <w:b/>
                <w:sz w:val="20"/>
                <w:szCs w:val="20"/>
              </w:rPr>
            </w:pPr>
            <w:r w:rsidRPr="00461726">
              <w:rPr>
                <w:b/>
                <w:color w:val="000000"/>
                <w:sz w:val="20"/>
                <w:szCs w:val="20"/>
                <w:lang w:eastAsia="cs-CZ"/>
              </w:rPr>
              <w:t>Kolektivní systém ELT Management Company Czech Republic s.r.o.</w:t>
            </w:r>
          </w:p>
        </w:tc>
      </w:tr>
      <w:tr w14:paraId="61905039" w14:textId="77777777" w:rsidTr="00937FFC">
        <w:tblPrEx>
          <w:tblW w:w="0" w:type="auto"/>
          <w:tblLook w:val="04A0"/>
        </w:tblPrEx>
        <w:tc>
          <w:tcPr>
            <w:tcW w:w="1951" w:type="dxa"/>
          </w:tcPr>
          <w:p w:rsidR="00D12328" w:rsidRPr="00461726" w:rsidP="00937FFC" w14:paraId="39723F98" w14:textId="77777777">
            <w:pPr>
              <w:jc w:val="center"/>
              <w:rPr>
                <w:b/>
                <w:sz w:val="20"/>
                <w:szCs w:val="20"/>
              </w:rPr>
            </w:pPr>
            <w:r w:rsidRPr="00461726">
              <w:rPr>
                <w:b/>
                <w:sz w:val="20"/>
                <w:szCs w:val="20"/>
              </w:rPr>
              <w:t>Rok</w:t>
            </w:r>
          </w:p>
        </w:tc>
        <w:tc>
          <w:tcPr>
            <w:tcW w:w="2655" w:type="dxa"/>
          </w:tcPr>
          <w:p w:rsidR="00D12328" w:rsidRPr="00461726" w:rsidP="00937FFC" w14:paraId="6EFE7572" w14:textId="77777777">
            <w:pPr>
              <w:jc w:val="center"/>
              <w:rPr>
                <w:b/>
                <w:sz w:val="20"/>
                <w:szCs w:val="20"/>
              </w:rPr>
            </w:pPr>
            <w:r w:rsidRPr="00461726">
              <w:rPr>
                <w:b/>
                <w:sz w:val="20"/>
                <w:szCs w:val="20"/>
              </w:rPr>
              <w:t>Počet povinných osob</w:t>
            </w:r>
          </w:p>
        </w:tc>
        <w:tc>
          <w:tcPr>
            <w:tcW w:w="2165" w:type="dxa"/>
          </w:tcPr>
          <w:p w:rsidR="00D12328" w:rsidRPr="00461726" w:rsidP="00937FFC" w14:paraId="32EC7E57" w14:textId="77777777">
            <w:pPr>
              <w:jc w:val="center"/>
              <w:rPr>
                <w:b/>
                <w:sz w:val="20"/>
                <w:szCs w:val="20"/>
              </w:rPr>
            </w:pPr>
            <w:r w:rsidRPr="00461726">
              <w:rPr>
                <w:b/>
                <w:sz w:val="20"/>
                <w:szCs w:val="20"/>
              </w:rPr>
              <w:t>Produkce (t)</w:t>
            </w:r>
          </w:p>
        </w:tc>
        <w:tc>
          <w:tcPr>
            <w:tcW w:w="2268" w:type="dxa"/>
          </w:tcPr>
          <w:p w:rsidR="00D12328" w:rsidRPr="00461726" w:rsidP="00937FFC" w14:paraId="35B7A70C" w14:textId="77777777">
            <w:pPr>
              <w:jc w:val="center"/>
              <w:rPr>
                <w:b/>
                <w:sz w:val="20"/>
                <w:szCs w:val="20"/>
              </w:rPr>
            </w:pPr>
            <w:r w:rsidRPr="00461726">
              <w:rPr>
                <w:b/>
                <w:sz w:val="20"/>
                <w:szCs w:val="20"/>
              </w:rPr>
              <w:t>Úroveň ZO (%)</w:t>
            </w:r>
          </w:p>
        </w:tc>
      </w:tr>
      <w:tr w14:paraId="22140F4F" w14:textId="77777777" w:rsidTr="00937FFC">
        <w:tblPrEx>
          <w:tblW w:w="0" w:type="auto"/>
          <w:tblLook w:val="04A0"/>
        </w:tblPrEx>
        <w:tc>
          <w:tcPr>
            <w:tcW w:w="1951" w:type="dxa"/>
          </w:tcPr>
          <w:p w:rsidR="00D12328" w:rsidRPr="00461726" w:rsidP="00937FFC" w14:paraId="786284E1" w14:textId="77777777">
            <w:pPr>
              <w:jc w:val="center"/>
              <w:rPr>
                <w:rFonts w:eastAsia="Times New Roman"/>
                <w:sz w:val="20"/>
                <w:szCs w:val="20"/>
              </w:rPr>
            </w:pPr>
            <w:r w:rsidRPr="00461726">
              <w:rPr>
                <w:sz w:val="20"/>
                <w:szCs w:val="20"/>
              </w:rPr>
              <w:t>2016</w:t>
            </w:r>
          </w:p>
        </w:tc>
        <w:tc>
          <w:tcPr>
            <w:tcW w:w="2655" w:type="dxa"/>
          </w:tcPr>
          <w:p w:rsidR="00D12328" w:rsidRPr="00461726" w:rsidP="00937FFC" w14:paraId="76909456" w14:textId="77777777">
            <w:pPr>
              <w:jc w:val="center"/>
              <w:rPr>
                <w:rFonts w:eastAsia="Times New Roman"/>
                <w:sz w:val="20"/>
                <w:szCs w:val="20"/>
              </w:rPr>
            </w:pPr>
            <w:r w:rsidRPr="00461726">
              <w:rPr>
                <w:sz w:val="20"/>
                <w:szCs w:val="20"/>
              </w:rPr>
              <w:t>29</w:t>
            </w:r>
          </w:p>
        </w:tc>
        <w:tc>
          <w:tcPr>
            <w:tcW w:w="2165" w:type="dxa"/>
          </w:tcPr>
          <w:p w:rsidR="00D12328" w:rsidRPr="00461726" w:rsidP="00937FFC" w14:paraId="239796F6" w14:textId="77777777">
            <w:pPr>
              <w:jc w:val="center"/>
              <w:rPr>
                <w:rFonts w:eastAsia="Times New Roman"/>
                <w:sz w:val="20"/>
                <w:szCs w:val="20"/>
              </w:rPr>
            </w:pPr>
            <w:r w:rsidRPr="00461726">
              <w:rPr>
                <w:sz w:val="20"/>
                <w:szCs w:val="20"/>
              </w:rPr>
              <w:t>51 210,2</w:t>
            </w:r>
          </w:p>
        </w:tc>
        <w:tc>
          <w:tcPr>
            <w:tcW w:w="2268" w:type="dxa"/>
          </w:tcPr>
          <w:p w:rsidR="00D12328" w:rsidRPr="00461726" w:rsidP="00937FFC" w14:paraId="09872E9E" w14:textId="77777777">
            <w:pPr>
              <w:jc w:val="center"/>
              <w:rPr>
                <w:rFonts w:eastAsia="Times New Roman"/>
                <w:sz w:val="20"/>
                <w:szCs w:val="20"/>
              </w:rPr>
            </w:pPr>
            <w:r w:rsidRPr="00461726">
              <w:rPr>
                <w:sz w:val="20"/>
                <w:szCs w:val="20"/>
              </w:rPr>
              <w:t>71,2</w:t>
            </w:r>
          </w:p>
        </w:tc>
      </w:tr>
      <w:tr w14:paraId="06A93CD5" w14:textId="77777777" w:rsidTr="00937FFC">
        <w:tblPrEx>
          <w:tblW w:w="0" w:type="auto"/>
          <w:tblLook w:val="04A0"/>
        </w:tblPrEx>
        <w:tc>
          <w:tcPr>
            <w:tcW w:w="1951" w:type="dxa"/>
          </w:tcPr>
          <w:p w:rsidR="00D12328" w:rsidRPr="00461726" w:rsidP="00937FFC" w14:paraId="769C0E1B" w14:textId="77777777">
            <w:pPr>
              <w:jc w:val="center"/>
              <w:rPr>
                <w:rFonts w:eastAsia="Times New Roman"/>
                <w:sz w:val="20"/>
                <w:szCs w:val="20"/>
              </w:rPr>
            </w:pPr>
            <w:r w:rsidRPr="00461726">
              <w:rPr>
                <w:sz w:val="20"/>
                <w:szCs w:val="20"/>
              </w:rPr>
              <w:t>2017</w:t>
            </w:r>
          </w:p>
        </w:tc>
        <w:tc>
          <w:tcPr>
            <w:tcW w:w="2655" w:type="dxa"/>
          </w:tcPr>
          <w:p w:rsidR="00D12328" w:rsidRPr="00461726" w:rsidP="00937FFC" w14:paraId="5BD61BCA" w14:textId="77777777">
            <w:pPr>
              <w:jc w:val="center"/>
              <w:rPr>
                <w:rFonts w:eastAsia="Times New Roman"/>
                <w:sz w:val="20"/>
                <w:szCs w:val="20"/>
              </w:rPr>
            </w:pPr>
            <w:r w:rsidRPr="00461726">
              <w:rPr>
                <w:sz w:val="20"/>
                <w:szCs w:val="20"/>
              </w:rPr>
              <w:t>51</w:t>
            </w:r>
          </w:p>
        </w:tc>
        <w:tc>
          <w:tcPr>
            <w:tcW w:w="2165" w:type="dxa"/>
          </w:tcPr>
          <w:p w:rsidR="00D12328" w:rsidRPr="00461726" w:rsidP="00937FFC" w14:paraId="3FF5097F" w14:textId="77777777">
            <w:pPr>
              <w:jc w:val="center"/>
              <w:rPr>
                <w:rFonts w:eastAsia="Times New Roman"/>
                <w:sz w:val="20"/>
                <w:szCs w:val="20"/>
              </w:rPr>
            </w:pPr>
            <w:r w:rsidRPr="00461726">
              <w:rPr>
                <w:sz w:val="20"/>
                <w:szCs w:val="20"/>
              </w:rPr>
              <w:t>51 765,7</w:t>
            </w:r>
          </w:p>
        </w:tc>
        <w:tc>
          <w:tcPr>
            <w:tcW w:w="2268" w:type="dxa"/>
          </w:tcPr>
          <w:p w:rsidR="00D12328" w:rsidRPr="00461726" w:rsidP="00937FFC" w14:paraId="367A234E" w14:textId="77777777">
            <w:pPr>
              <w:jc w:val="center"/>
              <w:rPr>
                <w:rFonts w:eastAsia="Times New Roman"/>
                <w:sz w:val="20"/>
                <w:szCs w:val="20"/>
              </w:rPr>
            </w:pPr>
            <w:r w:rsidRPr="00461726">
              <w:rPr>
                <w:sz w:val="20"/>
                <w:szCs w:val="20"/>
              </w:rPr>
              <w:t>79,9</w:t>
            </w:r>
          </w:p>
        </w:tc>
      </w:tr>
    </w:tbl>
    <w:p w:rsidR="00725673" w:rsidRPr="00ED38E9" w:rsidP="00C14F33" w14:paraId="0B75F48D" w14:textId="77777777">
      <w:pPr>
        <w:pStyle w:val="Normlntun"/>
        <w:spacing w:before="480" w:after="0" w:line="276" w:lineRule="auto"/>
        <w:rPr>
          <w:rFonts w:cs="Arial"/>
        </w:rPr>
      </w:pPr>
      <w:r w:rsidRPr="00ED38E9">
        <w:rPr>
          <w:rFonts w:cs="Arial"/>
        </w:rPr>
        <w:t>Dopady na státní rozpočet a ostatní veřejné rozpočty</w:t>
      </w:r>
    </w:p>
    <w:p w:rsidR="00725673" w:rsidRPr="00ED38E9" w:rsidP="00936929" w14:paraId="1D6AD409" w14:textId="4BF94BF0">
      <w:pPr>
        <w:rPr>
          <w:rFonts w:cs="Arial"/>
        </w:rPr>
      </w:pPr>
      <w:r w:rsidRPr="00ED38E9">
        <w:rPr>
          <w:rFonts w:cs="Arial"/>
        </w:rPr>
        <w:t>Současný stav nepředstavuje žádné finanční dopady na státní rozpoč</w:t>
      </w:r>
      <w:r w:rsidRPr="00ED38E9" w:rsidR="000A1CF4">
        <w:rPr>
          <w:rFonts w:cs="Arial"/>
        </w:rPr>
        <w:t xml:space="preserve">et ani ostatní veřejné rozpočty. Mezi negativa však řadíme nejednotnost v udělování oprávnění k provozování </w:t>
      </w:r>
      <w:r w:rsidR="00D32BFA">
        <w:rPr>
          <w:rFonts w:cs="Arial"/>
        </w:rPr>
        <w:t>KS mezi bateriemi a akumulátory</w:t>
      </w:r>
      <w:r w:rsidRPr="00ED38E9" w:rsidR="008D3EB0">
        <w:rPr>
          <w:rFonts w:cs="Arial"/>
        </w:rPr>
        <w:t>, EEZ a odpadními pneumatikami</w:t>
      </w:r>
      <w:r w:rsidR="00475038">
        <w:rPr>
          <w:rFonts w:cs="Arial"/>
        </w:rPr>
        <w:t>.</w:t>
      </w:r>
    </w:p>
    <w:p w:rsidR="00725673" w:rsidRPr="00ED38E9" w:rsidP="00221615" w14:paraId="26552F18" w14:textId="77777777">
      <w:pPr>
        <w:pStyle w:val="Normlntun"/>
        <w:spacing w:after="0" w:line="276" w:lineRule="auto"/>
        <w:rPr>
          <w:rFonts w:cs="Arial"/>
        </w:rPr>
      </w:pPr>
      <w:r w:rsidRPr="00ED38E9">
        <w:rPr>
          <w:rFonts w:cs="Arial"/>
        </w:rPr>
        <w:t>Dopady na podnikatelské subjekty (prostředí)</w:t>
      </w:r>
    </w:p>
    <w:p w:rsidR="008D3EB0" w:rsidP="00936929" w14:paraId="2CFC6CAF" w14:textId="7466D91E">
      <w:pPr>
        <w:rPr>
          <w:rFonts w:cs="Arial"/>
        </w:rPr>
      </w:pPr>
      <w:r>
        <w:rPr>
          <w:rFonts w:cs="Arial"/>
        </w:rPr>
        <w:t>ZO</w:t>
      </w:r>
      <w:r w:rsidRPr="00ED38E9">
        <w:rPr>
          <w:rFonts w:cs="Arial"/>
        </w:rPr>
        <w:t xml:space="preserve"> daných komodit je ve své podstatě stejný, ale podmínky pro získání oprávnění k provozování </w:t>
      </w:r>
      <w:r w:rsidR="00E24DB3">
        <w:rPr>
          <w:rFonts w:cs="Arial"/>
        </w:rPr>
        <w:t>KS</w:t>
      </w:r>
      <w:r w:rsidRPr="00ED38E9">
        <w:rPr>
          <w:rFonts w:cs="Arial"/>
        </w:rPr>
        <w:t xml:space="preserve"> se liší</w:t>
      </w:r>
      <w:r w:rsidRPr="00ED38E9" w:rsidR="001D5D05">
        <w:rPr>
          <w:rFonts w:cs="Arial"/>
        </w:rPr>
        <w:t>,</w:t>
      </w:r>
      <w:r w:rsidRPr="00ED38E9">
        <w:rPr>
          <w:rFonts w:cs="Arial"/>
        </w:rPr>
        <w:t xml:space="preserve"> </w:t>
      </w:r>
      <w:r w:rsidR="007B4173">
        <w:rPr>
          <w:rFonts w:cs="Arial"/>
        </w:rPr>
        <w:t>což</w:t>
      </w:r>
      <w:r w:rsidRPr="00ED38E9">
        <w:rPr>
          <w:rFonts w:cs="Arial"/>
        </w:rPr>
        <w:t xml:space="preserve"> je určitým negativem pro podnikatelské subjekty, </w:t>
      </w:r>
      <w:r w:rsidR="007B4173">
        <w:rPr>
          <w:rFonts w:cs="Arial"/>
        </w:rPr>
        <w:t>které</w:t>
      </w:r>
      <w:r w:rsidRPr="00ED38E9" w:rsidR="007B4173">
        <w:rPr>
          <w:rFonts w:cs="Arial"/>
        </w:rPr>
        <w:t xml:space="preserve"> </w:t>
      </w:r>
      <w:r w:rsidRPr="00ED38E9">
        <w:rPr>
          <w:rFonts w:cs="Arial"/>
        </w:rPr>
        <w:t>tím nemají stejné podmínky na trhu.</w:t>
      </w:r>
      <w:r w:rsidR="00CC4780">
        <w:rPr>
          <w:rFonts w:cs="Arial"/>
        </w:rPr>
        <w:t xml:space="preserve"> </w:t>
      </w:r>
      <w:r w:rsidRPr="00EB5415" w:rsidR="00CC4780">
        <w:t>Při žádosti o udělení oprávnění k provozování KS předloží projekt zajišťování kolektivního plnění pouze nově vznikající KS. Současný stav nepředstavuje pro</w:t>
      </w:r>
      <w:r w:rsidR="00CC4780">
        <w:t> </w:t>
      </w:r>
      <w:r w:rsidRPr="00EB5415" w:rsidR="00CC4780">
        <w:t>dotčené subjekty dodatečné náklady.</w:t>
      </w:r>
    </w:p>
    <w:p w:rsidR="00725673" w:rsidRPr="00ED38E9" w:rsidP="00221615" w14:paraId="0413A974" w14:textId="77777777">
      <w:pPr>
        <w:pStyle w:val="Normlntun"/>
        <w:spacing w:after="0" w:line="276" w:lineRule="auto"/>
        <w:rPr>
          <w:rFonts w:cs="Arial"/>
        </w:rPr>
      </w:pPr>
      <w:r w:rsidRPr="00ED38E9">
        <w:rPr>
          <w:rFonts w:cs="Arial"/>
        </w:rPr>
        <w:t>Dopady na územní samosprávné celky (obce, kraje)</w:t>
      </w:r>
    </w:p>
    <w:p w:rsidR="008D3EB0" w:rsidP="00936929" w14:paraId="01588C27" w14:textId="20C6711A">
      <w:pPr>
        <w:rPr>
          <w:rFonts w:cs="Arial"/>
        </w:rPr>
      </w:pPr>
      <w:r w:rsidRPr="00ED38E9">
        <w:rPr>
          <w:rFonts w:cs="Arial"/>
        </w:rPr>
        <w:t xml:space="preserve">Současný stav </w:t>
      </w:r>
      <w:r w:rsidRPr="00ED38E9" w:rsidR="00FF7BCA">
        <w:rPr>
          <w:rFonts w:cs="Arial"/>
        </w:rPr>
        <w:t xml:space="preserve">sice zdánlivě </w:t>
      </w:r>
      <w:r w:rsidRPr="00ED38E9">
        <w:rPr>
          <w:rFonts w:cs="Arial"/>
        </w:rPr>
        <w:t>nepředstavuje přímý dopad na územní samosprávné celky, ale v případ</w:t>
      </w:r>
      <w:r w:rsidRPr="00ED38E9" w:rsidR="00B27322">
        <w:rPr>
          <w:rFonts w:cs="Arial"/>
        </w:rPr>
        <w:t>ě</w:t>
      </w:r>
      <w:r w:rsidRPr="00ED38E9">
        <w:rPr>
          <w:rFonts w:cs="Arial"/>
        </w:rPr>
        <w:t>, kdy na</w:t>
      </w:r>
      <w:r w:rsidRPr="00ED38E9" w:rsidR="00852006">
        <w:rPr>
          <w:rFonts w:cs="Arial"/>
        </w:rPr>
        <w:t xml:space="preserve"> </w:t>
      </w:r>
      <w:r w:rsidRPr="00ED38E9">
        <w:rPr>
          <w:rFonts w:cs="Arial"/>
        </w:rPr>
        <w:t xml:space="preserve">trhu </w:t>
      </w:r>
      <w:r w:rsidR="007B4173">
        <w:rPr>
          <w:rFonts w:cs="Arial"/>
        </w:rPr>
        <w:t>existují</w:t>
      </w:r>
      <w:r w:rsidRPr="00ED38E9" w:rsidR="007B4173">
        <w:rPr>
          <w:rFonts w:cs="Arial"/>
        </w:rPr>
        <w:t xml:space="preserve"> </w:t>
      </w:r>
      <w:r w:rsidRPr="00ED38E9">
        <w:rPr>
          <w:rFonts w:cs="Arial"/>
        </w:rPr>
        <w:t xml:space="preserve">subjekty, které </w:t>
      </w:r>
      <w:r w:rsidRPr="00ED38E9" w:rsidR="00B27322">
        <w:rPr>
          <w:rFonts w:cs="Arial"/>
        </w:rPr>
        <w:t xml:space="preserve">fakticky </w:t>
      </w:r>
      <w:r w:rsidRPr="00ED38E9">
        <w:rPr>
          <w:rFonts w:cs="Arial"/>
        </w:rPr>
        <w:t>nepln</w:t>
      </w:r>
      <w:r w:rsidRPr="00ED38E9" w:rsidR="00B27322">
        <w:rPr>
          <w:rFonts w:cs="Arial"/>
        </w:rPr>
        <w:t>í</w:t>
      </w:r>
      <w:r w:rsidRPr="00ED38E9">
        <w:rPr>
          <w:rFonts w:cs="Arial"/>
        </w:rPr>
        <w:t xml:space="preserve"> </w:t>
      </w:r>
      <w:r w:rsidR="007B4173">
        <w:rPr>
          <w:rFonts w:cs="Arial"/>
        </w:rPr>
        <w:t>přenesené</w:t>
      </w:r>
      <w:r w:rsidRPr="00ED38E9" w:rsidR="007B4173">
        <w:rPr>
          <w:rFonts w:cs="Arial"/>
        </w:rPr>
        <w:t xml:space="preserve"> </w:t>
      </w:r>
      <w:r w:rsidRPr="00ED38E9">
        <w:rPr>
          <w:rFonts w:cs="Arial"/>
        </w:rPr>
        <w:t>povinnosti</w:t>
      </w:r>
      <w:r w:rsidR="007B4173">
        <w:rPr>
          <w:rFonts w:cs="Arial"/>
        </w:rPr>
        <w:t xml:space="preserve"> výrobců</w:t>
      </w:r>
      <w:r w:rsidRPr="00ED38E9">
        <w:rPr>
          <w:rFonts w:cs="Arial"/>
        </w:rPr>
        <w:t xml:space="preserve">, </w:t>
      </w:r>
      <w:r w:rsidR="007B4173">
        <w:rPr>
          <w:rFonts w:cs="Arial"/>
        </w:rPr>
        <w:t>má</w:t>
      </w:r>
      <w:r w:rsidRPr="00ED38E9">
        <w:rPr>
          <w:rFonts w:cs="Arial"/>
        </w:rPr>
        <w:t xml:space="preserve"> negativní dopad</w:t>
      </w:r>
      <w:r w:rsidR="007B4173">
        <w:rPr>
          <w:rFonts w:cs="Arial"/>
        </w:rPr>
        <w:t>y</w:t>
      </w:r>
      <w:r w:rsidRPr="00ED38E9" w:rsidR="003E0AB1">
        <w:rPr>
          <w:rFonts w:cs="Arial"/>
        </w:rPr>
        <w:t>.</w:t>
      </w:r>
      <w:r w:rsidRPr="00ED38E9">
        <w:rPr>
          <w:rFonts w:cs="Arial"/>
        </w:rPr>
        <w:t xml:space="preserve">  </w:t>
      </w:r>
      <w:r w:rsidRPr="00ED38E9" w:rsidR="003E0AB1">
        <w:rPr>
          <w:rFonts w:cs="Arial"/>
        </w:rPr>
        <w:t>Je to způsoben</w:t>
      </w:r>
      <w:r w:rsidR="007B4173">
        <w:rPr>
          <w:rFonts w:cs="Arial"/>
        </w:rPr>
        <w:t>o</w:t>
      </w:r>
      <w:r w:rsidRPr="00ED38E9" w:rsidR="003E0AB1">
        <w:rPr>
          <w:rFonts w:cs="Arial"/>
        </w:rPr>
        <w:t xml:space="preserve"> tím, že </w:t>
      </w:r>
      <w:r w:rsidR="00D368C6">
        <w:rPr>
          <w:rFonts w:cs="Arial"/>
        </w:rPr>
        <w:t>KS</w:t>
      </w:r>
      <w:r w:rsidRPr="00ED38E9" w:rsidR="003E0AB1">
        <w:rPr>
          <w:rFonts w:cs="Arial"/>
        </w:rPr>
        <w:t>, který neplní své povinnosti</w:t>
      </w:r>
      <w:r w:rsidRPr="00ED38E9" w:rsidR="0024251A">
        <w:rPr>
          <w:rFonts w:cs="Arial"/>
        </w:rPr>
        <w:t>,</w:t>
      </w:r>
      <w:r w:rsidRPr="00ED38E9" w:rsidR="003E0AB1">
        <w:rPr>
          <w:rFonts w:cs="Arial"/>
        </w:rPr>
        <w:t xml:space="preserve"> nabízí výrobcům (formální) plnění zákonných povin</w:t>
      </w:r>
      <w:r w:rsidRPr="00ED38E9" w:rsidR="0024251A">
        <w:rPr>
          <w:rFonts w:cs="Arial"/>
        </w:rPr>
        <w:t>n</w:t>
      </w:r>
      <w:r w:rsidRPr="00ED38E9" w:rsidR="003E0AB1">
        <w:rPr>
          <w:rFonts w:cs="Arial"/>
        </w:rPr>
        <w:t xml:space="preserve">ostí </w:t>
      </w:r>
      <w:r w:rsidRPr="00ED38E9" w:rsidR="00B27322">
        <w:rPr>
          <w:rFonts w:cs="Arial"/>
        </w:rPr>
        <w:t>za výr</w:t>
      </w:r>
      <w:r w:rsidRPr="00ED38E9" w:rsidR="003E0AB1">
        <w:rPr>
          <w:rFonts w:cs="Arial"/>
        </w:rPr>
        <w:t xml:space="preserve">azně nižší ceny, přičemž konkurenční </w:t>
      </w:r>
      <w:r w:rsidR="00D368C6">
        <w:rPr>
          <w:rFonts w:cs="Arial"/>
        </w:rPr>
        <w:t>KS</w:t>
      </w:r>
      <w:r w:rsidRPr="00ED38E9" w:rsidR="00B27322">
        <w:rPr>
          <w:rFonts w:cs="Arial"/>
        </w:rPr>
        <w:t xml:space="preserve"> jsou pak nuceny</w:t>
      </w:r>
      <w:r w:rsidRPr="00ED38E9" w:rsidR="003E0AB1">
        <w:rPr>
          <w:rFonts w:cs="Arial"/>
        </w:rPr>
        <w:t xml:space="preserve"> se této cenové úrovni přibližovat. V důsedku toho dochází </w:t>
      </w:r>
      <w:r w:rsidRPr="00ED38E9" w:rsidR="00B27322">
        <w:rPr>
          <w:rFonts w:cs="Arial"/>
        </w:rPr>
        <w:t xml:space="preserve">k omezování rozsahu činnosti, tedy </w:t>
      </w:r>
      <w:r w:rsidRPr="00ED38E9" w:rsidR="003E0AB1">
        <w:rPr>
          <w:rFonts w:cs="Arial"/>
        </w:rPr>
        <w:t xml:space="preserve">např. i k omezování rozsahu </w:t>
      </w:r>
      <w:r w:rsidRPr="00ED38E9" w:rsidR="00B27322">
        <w:rPr>
          <w:rFonts w:cs="Arial"/>
        </w:rPr>
        <w:t>vytváření sběrných míst</w:t>
      </w:r>
      <w:r w:rsidRPr="00ED38E9" w:rsidR="003E0AB1">
        <w:rPr>
          <w:rFonts w:cs="Arial"/>
        </w:rPr>
        <w:t xml:space="preserve"> ze</w:t>
      </w:r>
      <w:r w:rsidR="00D368C6">
        <w:rPr>
          <w:rFonts w:cs="Arial"/>
        </w:rPr>
        <w:t> </w:t>
      </w:r>
      <w:r w:rsidRPr="00ED38E9" w:rsidR="003E0AB1">
        <w:rPr>
          <w:rFonts w:cs="Arial"/>
        </w:rPr>
        <w:t xml:space="preserve">strany </w:t>
      </w:r>
      <w:r w:rsidRPr="00ED38E9" w:rsidR="00B27322">
        <w:rPr>
          <w:rFonts w:cs="Arial"/>
        </w:rPr>
        <w:t xml:space="preserve">jiných </w:t>
      </w:r>
      <w:r w:rsidR="00D32BFA">
        <w:rPr>
          <w:rFonts w:cs="Arial"/>
        </w:rPr>
        <w:t>KS</w:t>
      </w:r>
      <w:r w:rsidRPr="00ED38E9" w:rsidR="00B27322">
        <w:rPr>
          <w:rFonts w:cs="Arial"/>
        </w:rPr>
        <w:t>,</w:t>
      </w:r>
      <w:r w:rsidRPr="00ED38E9" w:rsidR="003E0AB1">
        <w:rPr>
          <w:rFonts w:cs="Arial"/>
        </w:rPr>
        <w:t xml:space="preserve"> a tudíž i k omezení spolupráce s obcemi či kraji. Daná s</w:t>
      </w:r>
      <w:r w:rsidRPr="00ED38E9" w:rsidR="0024251A">
        <w:rPr>
          <w:rFonts w:cs="Arial"/>
        </w:rPr>
        <w:t>i</w:t>
      </w:r>
      <w:r w:rsidRPr="00ED38E9" w:rsidR="003E0AB1">
        <w:rPr>
          <w:rFonts w:cs="Arial"/>
        </w:rPr>
        <w:t xml:space="preserve">tuace pak zvyšuje riziko, </w:t>
      </w:r>
      <w:r w:rsidRPr="00ED38E9">
        <w:rPr>
          <w:rFonts w:cs="Arial"/>
        </w:rPr>
        <w:t xml:space="preserve">že občané </w:t>
      </w:r>
      <w:r w:rsidRPr="00ED38E9" w:rsidR="00B27322">
        <w:rPr>
          <w:rFonts w:cs="Arial"/>
        </w:rPr>
        <w:t xml:space="preserve">nebudou mít </w:t>
      </w:r>
      <w:r w:rsidRPr="00ED38E9">
        <w:rPr>
          <w:rFonts w:cs="Arial"/>
        </w:rPr>
        <w:t xml:space="preserve">kam řádně odložit </w:t>
      </w:r>
      <w:r w:rsidR="00D32BFA">
        <w:rPr>
          <w:rFonts w:cs="Arial"/>
        </w:rPr>
        <w:t>VUŽ</w:t>
      </w:r>
      <w:r w:rsidRPr="00ED38E9" w:rsidR="003E0AB1">
        <w:rPr>
          <w:rFonts w:cs="Arial"/>
        </w:rPr>
        <w:t>,</w:t>
      </w:r>
      <w:r w:rsidRPr="00ED38E9">
        <w:rPr>
          <w:rFonts w:cs="Arial"/>
        </w:rPr>
        <w:t xml:space="preserve"> a</w:t>
      </w:r>
      <w:r w:rsidR="00D554FF">
        <w:rPr>
          <w:rFonts w:cs="Arial"/>
        </w:rPr>
        <w:t> </w:t>
      </w:r>
      <w:r w:rsidRPr="00ED38E9">
        <w:rPr>
          <w:rFonts w:cs="Arial"/>
        </w:rPr>
        <w:t xml:space="preserve">tak </w:t>
      </w:r>
      <w:r w:rsidRPr="00ED38E9" w:rsidR="003E0AB1">
        <w:rPr>
          <w:rFonts w:cs="Arial"/>
        </w:rPr>
        <w:t>s</w:t>
      </w:r>
      <w:r w:rsidRPr="00ED38E9">
        <w:rPr>
          <w:rFonts w:cs="Arial"/>
        </w:rPr>
        <w:t xml:space="preserve">e </w:t>
      </w:r>
      <w:r w:rsidRPr="00ED38E9" w:rsidR="003E0AB1">
        <w:rPr>
          <w:rFonts w:cs="Arial"/>
        </w:rPr>
        <w:t xml:space="preserve">jich </w:t>
      </w:r>
      <w:r w:rsidRPr="00ED38E9">
        <w:rPr>
          <w:rFonts w:cs="Arial"/>
        </w:rPr>
        <w:t xml:space="preserve">v lepším případě </w:t>
      </w:r>
      <w:r w:rsidRPr="00ED38E9" w:rsidR="00B27322">
        <w:rPr>
          <w:rFonts w:cs="Arial"/>
        </w:rPr>
        <w:t>zbaví</w:t>
      </w:r>
      <w:r w:rsidRPr="00ED38E9" w:rsidR="003E0AB1">
        <w:rPr>
          <w:rFonts w:cs="Arial"/>
        </w:rPr>
        <w:t xml:space="preserve"> v rámci</w:t>
      </w:r>
      <w:r w:rsidRPr="00ED38E9">
        <w:rPr>
          <w:rFonts w:cs="Arial"/>
        </w:rPr>
        <w:t xml:space="preserve"> smě</w:t>
      </w:r>
      <w:r w:rsidR="00622821">
        <w:rPr>
          <w:rFonts w:cs="Arial"/>
        </w:rPr>
        <w:t>s</w:t>
      </w:r>
      <w:r w:rsidRPr="00ED38E9">
        <w:rPr>
          <w:rFonts w:cs="Arial"/>
        </w:rPr>
        <w:t xml:space="preserve">ného komunálního odpadu, v tom horším pak </w:t>
      </w:r>
      <w:r w:rsidRPr="00ED38E9" w:rsidR="003E0AB1">
        <w:rPr>
          <w:rFonts w:cs="Arial"/>
        </w:rPr>
        <w:t xml:space="preserve">dochází k nelegálním demontážím nebo </w:t>
      </w:r>
      <w:r w:rsidRPr="00ED38E9">
        <w:rPr>
          <w:rFonts w:cs="Arial"/>
        </w:rPr>
        <w:t>vyt</w:t>
      </w:r>
      <w:r w:rsidRPr="00ED38E9" w:rsidR="003E0AB1">
        <w:rPr>
          <w:rFonts w:cs="Arial"/>
        </w:rPr>
        <w:t>váření</w:t>
      </w:r>
      <w:r w:rsidRPr="00ED38E9">
        <w:rPr>
          <w:rFonts w:cs="Arial"/>
        </w:rPr>
        <w:t xml:space="preserve"> čern</w:t>
      </w:r>
      <w:r w:rsidRPr="00ED38E9" w:rsidR="003E0AB1">
        <w:rPr>
          <w:rFonts w:cs="Arial"/>
        </w:rPr>
        <w:t>ých</w:t>
      </w:r>
      <w:r w:rsidRPr="00ED38E9">
        <w:rPr>
          <w:rFonts w:cs="Arial"/>
        </w:rPr>
        <w:t xml:space="preserve"> sklád</w:t>
      </w:r>
      <w:r w:rsidRPr="00ED38E9" w:rsidR="003E0AB1">
        <w:rPr>
          <w:rFonts w:cs="Arial"/>
        </w:rPr>
        <w:t>e</w:t>
      </w:r>
      <w:r w:rsidRPr="00ED38E9">
        <w:rPr>
          <w:rFonts w:cs="Arial"/>
        </w:rPr>
        <w:t xml:space="preserve">k, kterou na své náklady musí </w:t>
      </w:r>
      <w:r w:rsidRPr="00ED38E9" w:rsidR="003E0AB1">
        <w:rPr>
          <w:rFonts w:cs="Arial"/>
        </w:rPr>
        <w:t xml:space="preserve">odstaňovat </w:t>
      </w:r>
      <w:r w:rsidRPr="00ED38E9">
        <w:rPr>
          <w:rFonts w:cs="Arial"/>
        </w:rPr>
        <w:t>obc</w:t>
      </w:r>
      <w:r w:rsidRPr="00ED38E9" w:rsidR="003E0AB1">
        <w:rPr>
          <w:rFonts w:cs="Arial"/>
        </w:rPr>
        <w:t>e</w:t>
      </w:r>
      <w:r w:rsidRPr="00ED38E9">
        <w:rPr>
          <w:rFonts w:cs="Arial"/>
        </w:rPr>
        <w:t xml:space="preserve"> či</w:t>
      </w:r>
      <w:r w:rsidRPr="00ED38E9" w:rsidR="003E0AB1">
        <w:rPr>
          <w:rFonts w:cs="Arial"/>
        </w:rPr>
        <w:t xml:space="preserve"> příslušn</w:t>
      </w:r>
      <w:r w:rsidRPr="00ED38E9" w:rsidR="00B27322">
        <w:rPr>
          <w:rFonts w:cs="Arial"/>
        </w:rPr>
        <w:t>é</w:t>
      </w:r>
      <w:r w:rsidRPr="00ED38E9">
        <w:rPr>
          <w:rFonts w:cs="Arial"/>
        </w:rPr>
        <w:t xml:space="preserve"> kraj</w:t>
      </w:r>
      <w:r w:rsidRPr="00ED38E9" w:rsidR="00B27322">
        <w:rPr>
          <w:rFonts w:cs="Arial"/>
        </w:rPr>
        <w:t>e</w:t>
      </w:r>
      <w:r w:rsidRPr="00ED38E9">
        <w:rPr>
          <w:rFonts w:cs="Arial"/>
        </w:rPr>
        <w:t>.</w:t>
      </w:r>
    </w:p>
    <w:p w:rsidR="00725673" w:rsidRPr="00ED38E9" w:rsidP="00221615" w14:paraId="15124359" w14:textId="77777777">
      <w:pPr>
        <w:pStyle w:val="Normlntun"/>
        <w:spacing w:after="0" w:line="276" w:lineRule="auto"/>
        <w:rPr>
          <w:rFonts w:cs="Arial"/>
        </w:rPr>
      </w:pPr>
      <w:r w:rsidRPr="00ED38E9">
        <w:rPr>
          <w:rFonts w:cs="Arial"/>
        </w:rPr>
        <w:t>Sociální dopady, dopady na spotřebitele</w:t>
      </w:r>
    </w:p>
    <w:p w:rsidR="008D3EB0" w:rsidP="00936929" w14:paraId="78AE6B98" w14:textId="1444EC29">
      <w:pPr>
        <w:rPr>
          <w:rFonts w:cs="Arial"/>
        </w:rPr>
      </w:pPr>
      <w:r w:rsidRPr="00ED38E9">
        <w:rPr>
          <w:rFonts w:cs="Arial"/>
        </w:rPr>
        <w:t>Současný stav nepře</w:t>
      </w:r>
      <w:r w:rsidR="00572F7B">
        <w:rPr>
          <w:rFonts w:cs="Arial"/>
        </w:rPr>
        <w:t>d</w:t>
      </w:r>
      <w:r w:rsidRPr="00ED38E9">
        <w:rPr>
          <w:rFonts w:cs="Arial"/>
        </w:rPr>
        <w:t xml:space="preserve">stavuje přímý dopad </w:t>
      </w:r>
      <w:r w:rsidRPr="00ED38E9" w:rsidR="00B27322">
        <w:rPr>
          <w:rFonts w:cs="Arial"/>
        </w:rPr>
        <w:t xml:space="preserve">na </w:t>
      </w:r>
      <w:r w:rsidRPr="00ED38E9">
        <w:rPr>
          <w:rFonts w:cs="Arial"/>
        </w:rPr>
        <w:t xml:space="preserve">občany, ale v případech, kdy na trhu </w:t>
      </w:r>
      <w:r w:rsidR="007B4173">
        <w:rPr>
          <w:rFonts w:cs="Arial"/>
        </w:rPr>
        <w:t>fungují</w:t>
      </w:r>
      <w:r w:rsidRPr="00ED38E9" w:rsidR="007B4173">
        <w:rPr>
          <w:rFonts w:cs="Arial"/>
        </w:rPr>
        <w:t xml:space="preserve"> </w:t>
      </w:r>
      <w:r w:rsidRPr="00ED38E9">
        <w:rPr>
          <w:rFonts w:cs="Arial"/>
        </w:rPr>
        <w:t xml:space="preserve">subjekty, které </w:t>
      </w:r>
      <w:r w:rsidR="007B4173">
        <w:rPr>
          <w:rFonts w:cs="Arial"/>
        </w:rPr>
        <w:t xml:space="preserve">řádně </w:t>
      </w:r>
      <w:r w:rsidRPr="00ED38E9">
        <w:rPr>
          <w:rFonts w:cs="Arial"/>
        </w:rPr>
        <w:t>neplní své povinnosti, může</w:t>
      </w:r>
      <w:r w:rsidR="007B4173">
        <w:rPr>
          <w:rFonts w:cs="Arial"/>
        </w:rPr>
        <w:t xml:space="preserve"> to</w:t>
      </w:r>
      <w:r w:rsidRPr="00ED38E9">
        <w:rPr>
          <w:rFonts w:cs="Arial"/>
        </w:rPr>
        <w:t xml:space="preserve"> mít negativní dopad na občany, </w:t>
      </w:r>
      <w:r w:rsidR="007B4173">
        <w:rPr>
          <w:rFonts w:cs="Arial"/>
        </w:rPr>
        <w:t>neboť</w:t>
      </w:r>
      <w:r w:rsidRPr="00ED38E9" w:rsidR="007B4173">
        <w:rPr>
          <w:rFonts w:cs="Arial"/>
        </w:rPr>
        <w:t xml:space="preserve"> </w:t>
      </w:r>
      <w:r w:rsidR="00D67820">
        <w:rPr>
          <w:rFonts w:cs="Arial"/>
        </w:rPr>
        <w:t>nemusí</w:t>
      </w:r>
      <w:r w:rsidRPr="00ED38E9">
        <w:rPr>
          <w:rFonts w:cs="Arial"/>
        </w:rPr>
        <w:t xml:space="preserve"> mít možnost ve svém okolí řádně odložit </w:t>
      </w:r>
      <w:r w:rsidR="00D32BFA">
        <w:rPr>
          <w:rFonts w:cs="Arial"/>
        </w:rPr>
        <w:t>VUŽ</w:t>
      </w:r>
      <w:r w:rsidRPr="00ED38E9">
        <w:rPr>
          <w:rFonts w:cs="Arial"/>
        </w:rPr>
        <w:t>.</w:t>
      </w:r>
    </w:p>
    <w:p w:rsidR="00725673" w:rsidRPr="00ED38E9" w:rsidP="00221615" w14:paraId="2143F2CF" w14:textId="77777777">
      <w:pPr>
        <w:pStyle w:val="Normlntun"/>
        <w:spacing w:after="0" w:line="276" w:lineRule="auto"/>
        <w:rPr>
          <w:rFonts w:cs="Arial"/>
        </w:rPr>
      </w:pPr>
      <w:r w:rsidRPr="00ED38E9">
        <w:rPr>
          <w:rFonts w:cs="Arial"/>
        </w:rPr>
        <w:t>Dopady na životní prostředí</w:t>
      </w:r>
    </w:p>
    <w:p w:rsidR="00852006" w:rsidP="00936929" w14:paraId="46C6B495" w14:textId="6B50F416">
      <w:pPr>
        <w:rPr>
          <w:rFonts w:cs="Arial"/>
        </w:rPr>
      </w:pPr>
      <w:r w:rsidRPr="00ED38E9">
        <w:rPr>
          <w:rFonts w:cs="Arial"/>
        </w:rPr>
        <w:t xml:space="preserve">Současný stav představuje riziko </w:t>
      </w:r>
      <w:r w:rsidRPr="00ED38E9" w:rsidR="00B26267">
        <w:rPr>
          <w:rFonts w:cs="Arial"/>
        </w:rPr>
        <w:t xml:space="preserve">v </w:t>
      </w:r>
      <w:r w:rsidRPr="00ED38E9">
        <w:rPr>
          <w:rFonts w:cs="Arial"/>
        </w:rPr>
        <w:t xml:space="preserve">odkládání </w:t>
      </w:r>
      <w:r w:rsidR="00D32BFA">
        <w:rPr>
          <w:rFonts w:cs="Arial"/>
        </w:rPr>
        <w:t>VUŽ</w:t>
      </w:r>
      <w:r w:rsidRPr="00ED38E9">
        <w:rPr>
          <w:rFonts w:cs="Arial"/>
        </w:rPr>
        <w:t xml:space="preserve"> na místa, která nejsou pro to určen</w:t>
      </w:r>
      <w:r w:rsidRPr="00ED38E9" w:rsidR="00B27322">
        <w:rPr>
          <w:rFonts w:cs="Arial"/>
        </w:rPr>
        <w:t>á,</w:t>
      </w:r>
      <w:r w:rsidRPr="00ED38E9">
        <w:rPr>
          <w:rFonts w:cs="Arial"/>
        </w:rPr>
        <w:t xml:space="preserve"> a tím </w:t>
      </w:r>
      <w:r w:rsidRPr="00ED38E9" w:rsidR="00B26267">
        <w:rPr>
          <w:rFonts w:cs="Arial"/>
        </w:rPr>
        <w:t>může dojít</w:t>
      </w:r>
      <w:r w:rsidRPr="00ED38E9">
        <w:rPr>
          <w:rFonts w:cs="Arial"/>
        </w:rPr>
        <w:t xml:space="preserve"> ohrožení životního prostředí. </w:t>
      </w:r>
      <w:r w:rsidRPr="00ED38E9" w:rsidR="007A32C8">
        <w:rPr>
          <w:rFonts w:cs="Arial"/>
        </w:rPr>
        <w:t xml:space="preserve">Zároveň existuje vyšší riziko, že bude docházet k nelegálním (neodborným) demontážím </w:t>
      </w:r>
      <w:r w:rsidR="00D32BFA">
        <w:rPr>
          <w:rFonts w:cs="Arial"/>
        </w:rPr>
        <w:t>VUŽ</w:t>
      </w:r>
      <w:r w:rsidRPr="00ED38E9" w:rsidR="007A32C8">
        <w:rPr>
          <w:rFonts w:cs="Arial"/>
        </w:rPr>
        <w:t xml:space="preserve">. Míra </w:t>
      </w:r>
      <w:r w:rsidRPr="00ED38E9">
        <w:rPr>
          <w:rFonts w:cs="Arial"/>
        </w:rPr>
        <w:t xml:space="preserve">dopadu </w:t>
      </w:r>
      <w:r w:rsidRPr="00ED38E9" w:rsidR="007A32C8">
        <w:rPr>
          <w:rFonts w:cs="Arial"/>
        </w:rPr>
        <w:t xml:space="preserve">na životní prostředí </w:t>
      </w:r>
      <w:r w:rsidRPr="00ED38E9">
        <w:rPr>
          <w:rFonts w:cs="Arial"/>
        </w:rPr>
        <w:t>však závisí na</w:t>
      </w:r>
      <w:r w:rsidR="00D32BFA">
        <w:rPr>
          <w:rFonts w:cs="Arial"/>
        </w:rPr>
        <w:t> </w:t>
      </w:r>
      <w:r w:rsidRPr="00ED38E9">
        <w:rPr>
          <w:rFonts w:cs="Arial"/>
        </w:rPr>
        <w:t xml:space="preserve">množství </w:t>
      </w:r>
      <w:r w:rsidRPr="00ED38E9" w:rsidR="007A32C8">
        <w:rPr>
          <w:rFonts w:cs="Arial"/>
        </w:rPr>
        <w:t xml:space="preserve">a </w:t>
      </w:r>
      <w:r w:rsidRPr="00ED38E9" w:rsidR="00EB28A9">
        <w:rPr>
          <w:rFonts w:cs="Arial"/>
        </w:rPr>
        <w:t xml:space="preserve">povaze </w:t>
      </w:r>
      <w:r w:rsidRPr="00ED38E9">
        <w:rPr>
          <w:rFonts w:cs="Arial"/>
        </w:rPr>
        <w:t>tak</w:t>
      </w:r>
      <w:r w:rsidRPr="00ED38E9" w:rsidR="00690135">
        <w:rPr>
          <w:rFonts w:cs="Arial"/>
        </w:rPr>
        <w:t xml:space="preserve">to </w:t>
      </w:r>
      <w:r w:rsidRPr="00ED38E9" w:rsidR="00EB28A9">
        <w:rPr>
          <w:rFonts w:cs="Arial"/>
        </w:rPr>
        <w:t xml:space="preserve">nelegálně </w:t>
      </w:r>
      <w:r w:rsidRPr="00ED38E9" w:rsidR="00690135">
        <w:rPr>
          <w:rFonts w:cs="Arial"/>
        </w:rPr>
        <w:t xml:space="preserve">odloženého </w:t>
      </w:r>
      <w:r w:rsidRPr="00ED38E9" w:rsidR="00EB28A9">
        <w:rPr>
          <w:rFonts w:cs="Arial"/>
        </w:rPr>
        <w:t xml:space="preserve">či demontovaného </w:t>
      </w:r>
      <w:r w:rsidRPr="00ED38E9" w:rsidR="00690135">
        <w:rPr>
          <w:rFonts w:cs="Arial"/>
        </w:rPr>
        <w:t>odpadu</w:t>
      </w:r>
      <w:r w:rsidRPr="00ED38E9" w:rsidR="007A32C8">
        <w:rPr>
          <w:rFonts w:cs="Arial"/>
        </w:rPr>
        <w:t>.</w:t>
      </w:r>
    </w:p>
    <w:p w:rsidR="00F32C37" w:rsidRPr="00ED38E9" w:rsidP="00936929" w14:paraId="500A999C" w14:textId="77777777">
      <w:pPr>
        <w:rPr>
          <w:rFonts w:cs="Arial"/>
        </w:rPr>
      </w:pPr>
    </w:p>
    <w:p w:rsidR="00257E70" w:rsidRPr="00221615" w:rsidP="003C445B" w14:paraId="41B3DB93" w14:textId="77777777">
      <w:pPr>
        <w:pStyle w:val="ListParagraph"/>
        <w:numPr>
          <w:ilvl w:val="0"/>
          <w:numId w:val="55"/>
        </w:numPr>
        <w:spacing w:after="0"/>
        <w:contextualSpacing w:val="0"/>
        <w:rPr>
          <w:rFonts w:cs="Arial"/>
          <w:b/>
        </w:rPr>
      </w:pPr>
      <w:r w:rsidRPr="00221615">
        <w:rPr>
          <w:rFonts w:cs="Arial"/>
          <w:b/>
        </w:rPr>
        <w:t>Varianta 1</w:t>
      </w:r>
    </w:p>
    <w:p w:rsidR="009E13EE" w:rsidRPr="00ED38E9" w:rsidP="00F37472" w14:paraId="2BFB7171" w14:textId="77777777">
      <w:pPr>
        <w:pStyle w:val="Normlntun"/>
        <w:spacing w:before="240" w:after="0" w:line="276" w:lineRule="auto"/>
        <w:rPr>
          <w:rFonts w:cs="Arial"/>
        </w:rPr>
      </w:pPr>
      <w:r w:rsidRPr="00ED38E9">
        <w:rPr>
          <w:rFonts w:cs="Arial"/>
        </w:rPr>
        <w:t>Dopad</w:t>
      </w:r>
      <w:r w:rsidRPr="00ED38E9" w:rsidR="00184CFD">
        <w:rPr>
          <w:rFonts w:cs="Arial"/>
        </w:rPr>
        <w:t>y</w:t>
      </w:r>
      <w:r w:rsidRPr="00ED38E9">
        <w:rPr>
          <w:rFonts w:cs="Arial"/>
        </w:rPr>
        <w:t xml:space="preserve"> na státní rozpočet a ostatní veřejné rozpočty</w:t>
      </w:r>
    </w:p>
    <w:p w:rsidR="00CC4780" w:rsidRPr="001539F1" w:rsidP="00CC4780" w14:paraId="683BCA20" w14:textId="77777777">
      <w:pPr>
        <w:rPr>
          <w:rFonts w:cs="Arial"/>
        </w:rPr>
      </w:pPr>
      <w:r w:rsidRPr="001539F1">
        <w:rPr>
          <w:rFonts w:cs="Arial"/>
        </w:rPr>
        <w:t xml:space="preserve">Návrh zákona předpokládá vydávání oprávnění k provozování </w:t>
      </w:r>
      <w:r>
        <w:rPr>
          <w:rFonts w:cs="Arial"/>
        </w:rPr>
        <w:t>KS</w:t>
      </w:r>
      <w:r w:rsidRPr="001539F1">
        <w:rPr>
          <w:rFonts w:cs="Arial"/>
        </w:rPr>
        <w:t>, které již působí v ČR v</w:t>
      </w:r>
      <w:r>
        <w:rPr>
          <w:rFonts w:cs="Arial"/>
        </w:rPr>
        <w:t> </w:t>
      </w:r>
      <w:r w:rsidRPr="001539F1">
        <w:rPr>
          <w:rFonts w:cs="Arial"/>
        </w:rPr>
        <w:t>současné době, a dále pak případné vydávání oprávnění novým subjektům.</w:t>
      </w:r>
    </w:p>
    <w:p w:rsidR="00201F4B" w:rsidRPr="00ED38E9" w:rsidP="00936929" w14:paraId="58C611CE" w14:textId="6B637DB5">
      <w:pPr>
        <w:rPr>
          <w:rFonts w:cs="Arial"/>
        </w:rPr>
      </w:pPr>
      <w:r>
        <w:rPr>
          <w:rFonts w:cs="Arial"/>
        </w:rPr>
        <w:t xml:space="preserve">Na základě počtu </w:t>
      </w:r>
      <w:r w:rsidR="00D32BFA">
        <w:rPr>
          <w:rFonts w:cs="Arial"/>
        </w:rPr>
        <w:t>KS</w:t>
      </w:r>
      <w:r>
        <w:rPr>
          <w:rFonts w:cs="Arial"/>
        </w:rPr>
        <w:t>, které již dnes provozují systémy kolektivního plnění a</w:t>
      </w:r>
      <w:r w:rsidR="00D554FF">
        <w:rPr>
          <w:rFonts w:cs="Arial"/>
        </w:rPr>
        <w:t> </w:t>
      </w:r>
      <w:r>
        <w:rPr>
          <w:rFonts w:cs="Arial"/>
        </w:rPr>
        <w:t>n</w:t>
      </w:r>
      <w:r w:rsidR="00E44F23">
        <w:rPr>
          <w:rFonts w:cs="Arial"/>
        </w:rPr>
        <w:t>a základě dostupných informací o</w:t>
      </w:r>
      <w:r>
        <w:rPr>
          <w:rFonts w:cs="Arial"/>
        </w:rPr>
        <w:t xml:space="preserve"> výrobkových skupin</w:t>
      </w:r>
      <w:r w:rsidR="00E44F23">
        <w:rPr>
          <w:rFonts w:cs="Arial"/>
        </w:rPr>
        <w:t>ách</w:t>
      </w:r>
      <w:r>
        <w:rPr>
          <w:rFonts w:cs="Arial"/>
        </w:rPr>
        <w:t xml:space="preserve">, kde se vznik </w:t>
      </w:r>
      <w:r w:rsidR="005424D3">
        <w:rPr>
          <w:rFonts w:cs="Arial"/>
        </w:rPr>
        <w:t>KS</w:t>
      </w:r>
      <w:r>
        <w:rPr>
          <w:rFonts w:cs="Arial"/>
        </w:rPr>
        <w:t xml:space="preserve"> teprve předpokládá, </w:t>
      </w:r>
      <w:r w:rsidRPr="00ED38E9">
        <w:rPr>
          <w:rFonts w:cs="Arial"/>
        </w:rPr>
        <w:t xml:space="preserve">odhadujeme, že o oprávnění může </w:t>
      </w:r>
      <w:r w:rsidR="006902E8">
        <w:rPr>
          <w:rFonts w:cs="Arial"/>
        </w:rPr>
        <w:t xml:space="preserve">reálně </w:t>
      </w:r>
      <w:r w:rsidRPr="00ED38E9">
        <w:rPr>
          <w:rFonts w:cs="Arial"/>
        </w:rPr>
        <w:t xml:space="preserve">žádat až cca </w:t>
      </w:r>
      <w:r w:rsidR="00475038">
        <w:rPr>
          <w:rFonts w:cs="Arial"/>
        </w:rPr>
        <w:t>20</w:t>
      </w:r>
      <w:r w:rsidRPr="00ED38E9" w:rsidR="00475038">
        <w:rPr>
          <w:rFonts w:cs="Arial"/>
        </w:rPr>
        <w:t xml:space="preserve"> </w:t>
      </w:r>
      <w:r w:rsidRPr="00ED38E9">
        <w:rPr>
          <w:rFonts w:cs="Arial"/>
        </w:rPr>
        <w:t xml:space="preserve">subjektů. </w:t>
      </w:r>
    </w:p>
    <w:p w:rsidR="00201F4B" w:rsidRPr="00ED38E9" w:rsidP="003C445B" w14:paraId="41A5E00E" w14:textId="77777777">
      <w:pPr>
        <w:pStyle w:val="ListParagraph"/>
        <w:numPr>
          <w:ilvl w:val="0"/>
          <w:numId w:val="62"/>
        </w:numPr>
        <w:contextualSpacing w:val="0"/>
        <w:rPr>
          <w:rFonts w:cs="Arial"/>
        </w:rPr>
      </w:pPr>
      <w:r w:rsidRPr="00ED38E9">
        <w:rPr>
          <w:rFonts w:cs="Arial"/>
        </w:rPr>
        <w:t>baterie a akumulátory (přenosné) - 2 subjekty,</w:t>
      </w:r>
    </w:p>
    <w:p w:rsidR="00201F4B" w:rsidRPr="00ED38E9" w:rsidP="003C445B" w14:paraId="13915939" w14:textId="77777777">
      <w:pPr>
        <w:pStyle w:val="ListParagraph"/>
        <w:numPr>
          <w:ilvl w:val="0"/>
          <w:numId w:val="62"/>
        </w:numPr>
        <w:contextualSpacing w:val="0"/>
        <w:rPr>
          <w:rFonts w:cs="Arial"/>
        </w:rPr>
      </w:pPr>
      <w:r w:rsidRPr="00ED38E9">
        <w:rPr>
          <w:rFonts w:cs="Arial"/>
        </w:rPr>
        <w:t>baterie a akumulátory (automobilové a průmyslové) - 1–2 subjekty,</w:t>
      </w:r>
    </w:p>
    <w:p w:rsidR="00201F4B" w:rsidRPr="00ED38E9" w:rsidP="003C445B" w14:paraId="4A1894E8" w14:textId="77777777">
      <w:pPr>
        <w:pStyle w:val="ListParagraph"/>
        <w:numPr>
          <w:ilvl w:val="0"/>
          <w:numId w:val="62"/>
        </w:numPr>
        <w:contextualSpacing w:val="0"/>
        <w:rPr>
          <w:rFonts w:cs="Arial"/>
        </w:rPr>
      </w:pPr>
      <w:r w:rsidRPr="00ED38E9">
        <w:rPr>
          <w:rFonts w:cs="Arial"/>
        </w:rPr>
        <w:t>elektrozařízení</w:t>
      </w:r>
      <w:r w:rsidR="00E359DB">
        <w:rPr>
          <w:rFonts w:cs="Arial"/>
        </w:rPr>
        <w:t xml:space="preserve"> (včetně solárních panelů)</w:t>
      </w:r>
      <w:r w:rsidRPr="00ED38E9">
        <w:rPr>
          <w:rFonts w:cs="Arial"/>
        </w:rPr>
        <w:t xml:space="preserve"> - 1</w:t>
      </w:r>
      <w:r w:rsidR="006575AA">
        <w:rPr>
          <w:rFonts w:cs="Arial"/>
        </w:rPr>
        <w:t>5</w:t>
      </w:r>
      <w:r w:rsidRPr="00ED38E9">
        <w:rPr>
          <w:rFonts w:cs="Arial"/>
        </w:rPr>
        <w:t xml:space="preserve"> subjektů,</w:t>
      </w:r>
    </w:p>
    <w:p w:rsidR="00201F4B" w:rsidRPr="00ED38E9" w:rsidP="003C445B" w14:paraId="2C1560C6" w14:textId="77777777">
      <w:pPr>
        <w:pStyle w:val="ListParagraph"/>
        <w:numPr>
          <w:ilvl w:val="0"/>
          <w:numId w:val="62"/>
        </w:numPr>
        <w:contextualSpacing w:val="0"/>
        <w:rPr>
          <w:rFonts w:cs="Arial"/>
        </w:rPr>
      </w:pPr>
      <w:r w:rsidRPr="00ED38E9">
        <w:rPr>
          <w:rFonts w:cs="Arial"/>
        </w:rPr>
        <w:t>pneumatiky - 1–2 subjekty.</w:t>
      </w:r>
    </w:p>
    <w:p w:rsidR="002B388B" w:rsidP="002B388B" w14:paraId="4B2E5343" w14:textId="408FEF06">
      <w:pPr>
        <w:rPr>
          <w:rFonts w:cs="Arial"/>
        </w:rPr>
      </w:pPr>
      <w:r w:rsidRPr="001539F1">
        <w:rPr>
          <w:rFonts w:cs="Arial"/>
        </w:rPr>
        <w:t>Z konzultací s pracovníky odboru odpadů ministerstva vyplynulo, že časová náročnost na udělení 1 oprávnění k provozování KS je odhadována na cca 80 hodin. Náklady ministers</w:t>
      </w:r>
      <w:r w:rsidR="00F251E9">
        <w:rPr>
          <w:rFonts w:cs="Arial"/>
        </w:rPr>
        <w:t>tva jsou pak odhadovány kolem 36</w:t>
      </w:r>
      <w:r w:rsidRPr="001539F1">
        <w:rPr>
          <w:rFonts w:cs="Arial"/>
        </w:rPr>
        <w:t xml:space="preserve"> tis. Kč na jedno oprávnění. V případě cca 20 řízení je celková administrativní zátěž odhadována na částku </w:t>
      </w:r>
      <w:r w:rsidR="00F251E9">
        <w:rPr>
          <w:rFonts w:cs="Arial"/>
        </w:rPr>
        <w:t>730</w:t>
      </w:r>
      <w:r w:rsidRPr="001539F1">
        <w:rPr>
          <w:rFonts w:cs="Arial"/>
        </w:rPr>
        <w:t> tis. Kč. Jedná se o jednorázové náklady. Předpokládáme, že tato činnost bude zajištěna pracovníky ministerstva bez nároku na</w:t>
      </w:r>
      <w:r w:rsidR="00D32BFA">
        <w:rPr>
          <w:rFonts w:cs="Arial"/>
        </w:rPr>
        <w:t> </w:t>
      </w:r>
      <w:r w:rsidRPr="001539F1">
        <w:rPr>
          <w:rFonts w:cs="Arial"/>
        </w:rPr>
        <w:t>navyšování pracovních úvazků.</w:t>
      </w:r>
    </w:p>
    <w:p w:rsidR="002B388B" w:rsidRPr="001539F1" w:rsidP="002B388B" w14:paraId="7F6FBA8D" w14:textId="77777777">
      <w:pPr>
        <w:keepNext/>
        <w:spacing w:after="120"/>
        <w:rPr>
          <w:rFonts w:eastAsia="Calibri" w:cs="Arial"/>
          <w:b/>
          <w:sz w:val="20"/>
          <w:szCs w:val="20"/>
        </w:rPr>
      </w:pPr>
      <w:r>
        <w:rPr>
          <w:rFonts w:eastAsia="Calibri" w:cs="Arial"/>
          <w:b/>
          <w:sz w:val="20"/>
          <w:szCs w:val="20"/>
        </w:rPr>
        <w:t>Tabulka 11</w:t>
      </w:r>
      <w:r w:rsidRPr="001539F1">
        <w:rPr>
          <w:rFonts w:eastAsia="Calibri" w:cs="Arial"/>
          <w:b/>
          <w:sz w:val="20"/>
          <w:szCs w:val="20"/>
        </w:rPr>
        <w:t>: Náklady na vydání oprávnění KS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559"/>
      </w:tblGrid>
      <w:tr w14:paraId="5A17DB76" w14:textId="77777777" w:rsidTr="00C87069">
        <w:tblPrEx>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8222" w:type="dxa"/>
            <w:gridSpan w:val="2"/>
            <w:shd w:val="clear" w:color="auto" w:fill="auto"/>
            <w:vAlign w:val="center"/>
          </w:tcPr>
          <w:p w:rsidR="002B388B" w:rsidRPr="001539F1" w:rsidP="00C87069" w14:paraId="7C54BE5C" w14:textId="77777777">
            <w:pPr>
              <w:keepNext/>
              <w:spacing w:before="20" w:after="20"/>
              <w:rPr>
                <w:rFonts w:eastAsia="MS Mincho" w:cs="Arial"/>
                <w:b/>
                <w:sz w:val="20"/>
                <w:szCs w:val="20"/>
              </w:rPr>
            </w:pPr>
            <w:r w:rsidRPr="001539F1">
              <w:rPr>
                <w:rFonts w:eastAsia="MS Mincho" w:cs="Arial"/>
                <w:b/>
                <w:sz w:val="20"/>
                <w:szCs w:val="20"/>
              </w:rPr>
              <w:t>Náklady MŽP na vydání jednoho rozhodnutí o oprávnění k činnosti KS</w:t>
            </w:r>
          </w:p>
        </w:tc>
      </w:tr>
      <w:tr w14:paraId="4B1933A7" w14:textId="77777777" w:rsidTr="00C87069">
        <w:tblPrEx>
          <w:tblW w:w="8222" w:type="dxa"/>
          <w:tblInd w:w="108" w:type="dxa"/>
          <w:tblLook w:val="00A0"/>
        </w:tblPrEx>
        <w:trPr>
          <w:trHeight w:val="397"/>
        </w:trPr>
        <w:tc>
          <w:tcPr>
            <w:tcW w:w="6663" w:type="dxa"/>
            <w:shd w:val="clear" w:color="auto" w:fill="auto"/>
            <w:vAlign w:val="center"/>
          </w:tcPr>
          <w:p w:rsidR="002B388B" w:rsidRPr="001539F1" w:rsidP="00C87069" w14:paraId="604B2A70" w14:textId="77777777">
            <w:pPr>
              <w:keepNext/>
              <w:spacing w:before="20" w:after="20"/>
              <w:rPr>
                <w:rFonts w:eastAsia="MS Mincho" w:cs="Arial"/>
                <w:sz w:val="20"/>
                <w:szCs w:val="20"/>
              </w:rPr>
            </w:pPr>
            <w:r w:rsidRPr="001539F1">
              <w:rPr>
                <w:rFonts w:eastAsia="MS Mincho" w:cs="Arial"/>
                <w:sz w:val="20"/>
                <w:szCs w:val="20"/>
              </w:rPr>
              <w:t>Počet subjektů (ks)</w:t>
            </w:r>
          </w:p>
        </w:tc>
        <w:tc>
          <w:tcPr>
            <w:tcW w:w="1559" w:type="dxa"/>
            <w:shd w:val="clear" w:color="auto" w:fill="auto"/>
          </w:tcPr>
          <w:p w:rsidR="002B388B" w:rsidRPr="001539F1" w:rsidP="00C87069" w14:paraId="3EA7EC18" w14:textId="77777777">
            <w:pPr>
              <w:keepNext/>
              <w:spacing w:before="20" w:after="20"/>
              <w:jc w:val="right"/>
              <w:rPr>
                <w:rFonts w:eastAsia="MS Mincho" w:cs="Arial"/>
                <w:sz w:val="20"/>
                <w:szCs w:val="20"/>
              </w:rPr>
            </w:pPr>
            <w:r>
              <w:rPr>
                <w:rFonts w:eastAsia="MS Mincho" w:cs="Arial"/>
                <w:sz w:val="20"/>
                <w:szCs w:val="20"/>
              </w:rPr>
              <w:t>20</w:t>
            </w:r>
          </w:p>
        </w:tc>
      </w:tr>
      <w:tr w14:paraId="6E2D2A2E" w14:textId="77777777" w:rsidTr="00C87069">
        <w:tblPrEx>
          <w:tblW w:w="8222" w:type="dxa"/>
          <w:tblInd w:w="108" w:type="dxa"/>
          <w:tblLook w:val="00A0"/>
        </w:tblPrEx>
        <w:trPr>
          <w:trHeight w:val="397"/>
        </w:trPr>
        <w:tc>
          <w:tcPr>
            <w:tcW w:w="6663" w:type="dxa"/>
            <w:shd w:val="clear" w:color="auto" w:fill="auto"/>
            <w:vAlign w:val="center"/>
          </w:tcPr>
          <w:p w:rsidR="002B388B" w:rsidRPr="001539F1" w:rsidP="00C87069" w14:paraId="20DF6CD4" w14:textId="77777777">
            <w:pPr>
              <w:keepNext/>
              <w:spacing w:before="20" w:after="20"/>
              <w:rPr>
                <w:rFonts w:eastAsia="MS Mincho" w:cs="Arial"/>
                <w:sz w:val="20"/>
                <w:szCs w:val="20"/>
              </w:rPr>
            </w:pPr>
            <w:r w:rsidRPr="001539F1">
              <w:rPr>
                <w:rFonts w:eastAsia="MS Mincho" w:cs="Arial"/>
                <w:sz w:val="20"/>
                <w:szCs w:val="20"/>
              </w:rPr>
              <w:t>Mzdové a režijní náklady na vydání rozhodnutí (Kč/hod)*</w:t>
            </w:r>
          </w:p>
        </w:tc>
        <w:tc>
          <w:tcPr>
            <w:tcW w:w="1559" w:type="dxa"/>
            <w:shd w:val="clear" w:color="auto" w:fill="auto"/>
          </w:tcPr>
          <w:p w:rsidR="002B388B" w:rsidRPr="001539F1" w:rsidP="00C87069" w14:paraId="365ECEB8" w14:textId="406DFCDB">
            <w:pPr>
              <w:keepNext/>
              <w:spacing w:before="20" w:after="20"/>
              <w:jc w:val="right"/>
              <w:rPr>
                <w:rFonts w:eastAsia="MS Mincho" w:cs="Arial"/>
                <w:sz w:val="20"/>
                <w:szCs w:val="20"/>
              </w:rPr>
            </w:pPr>
            <w:r>
              <w:rPr>
                <w:rFonts w:eastAsia="MS Mincho" w:cs="Arial"/>
                <w:sz w:val="20"/>
                <w:szCs w:val="20"/>
              </w:rPr>
              <w:t>456</w:t>
            </w:r>
          </w:p>
        </w:tc>
      </w:tr>
      <w:tr w14:paraId="4CEDAE95" w14:textId="77777777" w:rsidTr="00C87069">
        <w:tblPrEx>
          <w:tblW w:w="8222" w:type="dxa"/>
          <w:tblInd w:w="108" w:type="dxa"/>
          <w:tblLook w:val="00A0"/>
        </w:tblPrEx>
        <w:trPr>
          <w:trHeight w:val="397"/>
        </w:trPr>
        <w:tc>
          <w:tcPr>
            <w:tcW w:w="6663" w:type="dxa"/>
            <w:shd w:val="clear" w:color="auto" w:fill="auto"/>
            <w:vAlign w:val="center"/>
          </w:tcPr>
          <w:p w:rsidR="002B388B" w:rsidRPr="001539F1" w:rsidP="00C87069" w14:paraId="55B80F89" w14:textId="77777777">
            <w:pPr>
              <w:keepNext/>
              <w:spacing w:before="20" w:after="20"/>
              <w:rPr>
                <w:rFonts w:eastAsia="MS Mincho" w:cs="Arial"/>
                <w:sz w:val="20"/>
                <w:szCs w:val="20"/>
              </w:rPr>
            </w:pPr>
            <w:r w:rsidRPr="001539F1">
              <w:rPr>
                <w:rFonts w:eastAsia="MS Mincho" w:cs="Arial"/>
                <w:sz w:val="20"/>
                <w:szCs w:val="20"/>
              </w:rPr>
              <w:t>Časová náročnost spojená s vydáním rozhodnutí (hod/žádost)</w:t>
            </w:r>
          </w:p>
        </w:tc>
        <w:tc>
          <w:tcPr>
            <w:tcW w:w="1559" w:type="dxa"/>
            <w:shd w:val="clear" w:color="auto" w:fill="auto"/>
          </w:tcPr>
          <w:p w:rsidR="002B388B" w:rsidRPr="001539F1" w:rsidP="00C87069" w14:paraId="1138D91C" w14:textId="77777777">
            <w:pPr>
              <w:keepNext/>
              <w:spacing w:before="20" w:after="20"/>
              <w:jc w:val="right"/>
              <w:rPr>
                <w:rFonts w:eastAsia="MS Mincho" w:cs="Arial"/>
                <w:sz w:val="20"/>
                <w:szCs w:val="20"/>
              </w:rPr>
            </w:pPr>
            <w:r w:rsidRPr="001539F1">
              <w:rPr>
                <w:rFonts w:eastAsia="MS Mincho" w:cs="Arial"/>
                <w:sz w:val="20"/>
                <w:szCs w:val="20"/>
              </w:rPr>
              <w:t>80</w:t>
            </w:r>
          </w:p>
        </w:tc>
      </w:tr>
      <w:tr w14:paraId="1C772033" w14:textId="77777777" w:rsidTr="00C87069">
        <w:tblPrEx>
          <w:tblW w:w="8222" w:type="dxa"/>
          <w:tblInd w:w="108" w:type="dxa"/>
          <w:tblLook w:val="00A0"/>
        </w:tblPrEx>
        <w:trPr>
          <w:trHeight w:val="397"/>
        </w:trPr>
        <w:tc>
          <w:tcPr>
            <w:tcW w:w="6663" w:type="dxa"/>
            <w:shd w:val="clear" w:color="auto" w:fill="auto"/>
            <w:vAlign w:val="center"/>
          </w:tcPr>
          <w:p w:rsidR="002B388B" w:rsidRPr="001539F1" w:rsidP="00C87069" w14:paraId="554F78CC" w14:textId="77777777">
            <w:pPr>
              <w:keepNext/>
              <w:spacing w:before="20" w:after="20"/>
              <w:rPr>
                <w:rFonts w:eastAsia="MS Mincho" w:cs="Arial"/>
                <w:sz w:val="20"/>
                <w:szCs w:val="20"/>
              </w:rPr>
            </w:pPr>
            <w:r w:rsidRPr="001539F1">
              <w:rPr>
                <w:rFonts w:eastAsia="MS Mincho" w:cs="Arial"/>
                <w:sz w:val="20"/>
                <w:szCs w:val="20"/>
              </w:rPr>
              <w:t>Mzdové a režijní náklady na vydání rozhodnutí (Kč/žádost)</w:t>
            </w:r>
          </w:p>
        </w:tc>
        <w:tc>
          <w:tcPr>
            <w:tcW w:w="1559" w:type="dxa"/>
            <w:shd w:val="clear" w:color="auto" w:fill="auto"/>
          </w:tcPr>
          <w:p w:rsidR="002B388B" w:rsidRPr="001539F1" w:rsidP="00C87069" w14:paraId="64DA0ED0" w14:textId="698048A5">
            <w:pPr>
              <w:keepNext/>
              <w:spacing w:before="20" w:after="20"/>
              <w:jc w:val="right"/>
              <w:rPr>
                <w:rFonts w:eastAsia="MS Mincho" w:cs="Arial"/>
                <w:sz w:val="20"/>
                <w:szCs w:val="20"/>
              </w:rPr>
            </w:pPr>
            <w:r>
              <w:rPr>
                <w:rFonts w:eastAsia="MS Mincho" w:cs="Arial"/>
                <w:sz w:val="20"/>
                <w:szCs w:val="20"/>
              </w:rPr>
              <w:t>36 480</w:t>
            </w:r>
          </w:p>
        </w:tc>
      </w:tr>
      <w:tr w14:paraId="2EE24997" w14:textId="77777777" w:rsidTr="00C87069">
        <w:tblPrEx>
          <w:tblW w:w="8222" w:type="dxa"/>
          <w:tblInd w:w="108" w:type="dxa"/>
          <w:tblLook w:val="00A0"/>
        </w:tblPrEx>
        <w:trPr>
          <w:trHeight w:val="397"/>
        </w:trPr>
        <w:tc>
          <w:tcPr>
            <w:tcW w:w="6663" w:type="dxa"/>
            <w:shd w:val="clear" w:color="auto" w:fill="auto"/>
            <w:vAlign w:val="center"/>
          </w:tcPr>
          <w:p w:rsidR="002B388B" w:rsidRPr="001539F1" w:rsidP="00C87069" w14:paraId="211B07D1" w14:textId="77777777">
            <w:pPr>
              <w:keepNext/>
              <w:spacing w:before="20" w:after="20"/>
              <w:rPr>
                <w:rFonts w:eastAsia="MS Mincho" w:cs="Arial"/>
                <w:b/>
                <w:sz w:val="20"/>
                <w:szCs w:val="20"/>
              </w:rPr>
            </w:pPr>
            <w:r>
              <w:rPr>
                <w:rFonts w:eastAsia="MS Mincho" w:cs="Arial"/>
                <w:b/>
                <w:sz w:val="20"/>
                <w:szCs w:val="20"/>
              </w:rPr>
              <w:t>Odhadované náklady při počtu 20</w:t>
            </w:r>
            <w:r w:rsidRPr="001539F1">
              <w:rPr>
                <w:rFonts w:eastAsia="MS Mincho" w:cs="Arial"/>
                <w:b/>
                <w:sz w:val="20"/>
                <w:szCs w:val="20"/>
              </w:rPr>
              <w:t xml:space="preserve"> žádostí (Kč)</w:t>
            </w:r>
          </w:p>
        </w:tc>
        <w:tc>
          <w:tcPr>
            <w:tcW w:w="1559" w:type="dxa"/>
            <w:shd w:val="clear" w:color="auto" w:fill="auto"/>
          </w:tcPr>
          <w:p w:rsidR="002B388B" w:rsidRPr="001539F1" w:rsidP="00C87069" w14:paraId="250794C0" w14:textId="0D45CF35">
            <w:pPr>
              <w:keepNext/>
              <w:spacing w:before="20" w:after="20"/>
              <w:jc w:val="right"/>
              <w:rPr>
                <w:rFonts w:eastAsia="MS Mincho" w:cs="Arial"/>
                <w:b/>
                <w:sz w:val="20"/>
                <w:szCs w:val="20"/>
              </w:rPr>
            </w:pPr>
            <w:r>
              <w:rPr>
                <w:rFonts w:eastAsia="MS Mincho" w:cs="Arial"/>
                <w:b/>
                <w:sz w:val="20"/>
                <w:szCs w:val="20"/>
              </w:rPr>
              <w:t>729 600</w:t>
            </w:r>
          </w:p>
        </w:tc>
      </w:tr>
    </w:tbl>
    <w:p w:rsidR="002B388B" w:rsidRPr="001539F1" w:rsidP="002B388B" w14:paraId="3A2DF667" w14:textId="1703BD01">
      <w:pPr>
        <w:keepNext/>
        <w:spacing w:after="120" w:line="240" w:lineRule="auto"/>
        <w:rPr>
          <w:rFonts w:cs="Arial"/>
          <w:bCs/>
          <w:iCs/>
          <w:color w:val="000000"/>
          <w:sz w:val="20"/>
          <w:szCs w:val="20"/>
          <w:lang w:eastAsia="cs-CZ"/>
        </w:rPr>
      </w:pPr>
      <w:r w:rsidRPr="001539F1">
        <w:rPr>
          <w:rFonts w:cs="Arial"/>
          <w:bCs/>
          <w:iCs/>
          <w:color w:val="000000"/>
          <w:sz w:val="20"/>
          <w:szCs w:val="20"/>
          <w:lang w:eastAsia="cs-CZ"/>
        </w:rPr>
        <w:t>* Pro výpočet hodinových nákladů státní správy (MŽP) je dle metodiky MV použita 13. třída, 7. stupeň (s připočítáním 35 % odvodů na zdravotní a sociální pojištění, 20 % zohlednění osobních příplatků a</w:t>
      </w:r>
      <w:r w:rsidR="0099249D">
        <w:rPr>
          <w:rFonts w:cs="Arial"/>
          <w:bCs/>
          <w:iCs/>
          <w:color w:val="000000"/>
          <w:sz w:val="20"/>
          <w:szCs w:val="20"/>
          <w:lang w:eastAsia="cs-CZ"/>
        </w:rPr>
        <w:t> </w:t>
      </w:r>
      <w:r w:rsidRPr="001539F1">
        <w:rPr>
          <w:rFonts w:cs="Arial"/>
          <w:bCs/>
          <w:iCs/>
          <w:color w:val="000000"/>
          <w:sz w:val="20"/>
          <w:szCs w:val="20"/>
          <w:lang w:eastAsia="cs-CZ"/>
        </w:rPr>
        <w:t>odměn a 43 % režijní náklady).</w:t>
      </w:r>
    </w:p>
    <w:p w:rsidR="002B388B" w:rsidRPr="001539F1" w:rsidP="00D32BFA" w14:paraId="1052B160" w14:textId="77777777">
      <w:pPr>
        <w:jc w:val="right"/>
        <w:rPr>
          <w:rFonts w:cs="Arial"/>
        </w:rPr>
      </w:pPr>
      <w:r w:rsidRPr="001539F1">
        <w:rPr>
          <w:rFonts w:cs="Arial"/>
          <w:i/>
          <w:iCs/>
          <w:color w:val="000000"/>
          <w:sz w:val="20"/>
          <w:szCs w:val="20"/>
          <w:lang w:eastAsia="cs-CZ"/>
        </w:rPr>
        <w:t>Zdroj: MŽP, EEIP</w:t>
      </w:r>
    </w:p>
    <w:p w:rsidR="00184CFD" w:rsidRPr="00ED38E9" w:rsidP="00C14F33" w14:paraId="679570EE" w14:textId="77777777">
      <w:pPr>
        <w:pStyle w:val="Normlntun"/>
        <w:spacing w:before="240" w:after="0" w:line="276" w:lineRule="auto"/>
        <w:rPr>
          <w:rFonts w:cs="Arial"/>
        </w:rPr>
      </w:pPr>
      <w:r w:rsidRPr="00ED38E9">
        <w:rPr>
          <w:rFonts w:cs="Arial"/>
        </w:rPr>
        <w:t>Dopady na podnikatelské subjekty (prostředí)</w:t>
      </w:r>
    </w:p>
    <w:p w:rsidR="002B388B" w:rsidP="002B388B" w14:paraId="6B1A5B43" w14:textId="77777777">
      <w:pPr>
        <w:rPr>
          <w:rFonts w:eastAsia="Calibri" w:cs="Arial"/>
        </w:rPr>
      </w:pPr>
      <w:r w:rsidRPr="001539F1">
        <w:rPr>
          <w:rFonts w:eastAsia="Calibri" w:cs="Arial"/>
        </w:rPr>
        <w:t xml:space="preserve">Představuje dodatečné náklady zejména pro stávající KS, které budou muset vypracovat nový </w:t>
      </w:r>
      <w:r w:rsidRPr="001539F1">
        <w:t>projekt zajišťování kolektivního plněn</w:t>
      </w:r>
      <w:r w:rsidRPr="001539F1">
        <w:rPr>
          <w:rFonts w:eastAsia="Calibri" w:cs="Arial"/>
        </w:rPr>
        <w:t>í, který bude součástí žádosti o udělení oprávnění k provozování KS. Výše těchto nákladů se bude odvíjet od požadavků na projekt zajištění kolektivního plnění.</w:t>
      </w:r>
    </w:p>
    <w:p w:rsidR="00201F4B" w:rsidRPr="00ED38E9" w:rsidP="003C445B" w14:paraId="6D2BFC65" w14:textId="77777777">
      <w:pPr>
        <w:pStyle w:val="Normlntun"/>
        <w:numPr>
          <w:ilvl w:val="0"/>
          <w:numId w:val="64"/>
        </w:numPr>
        <w:spacing w:before="240" w:after="0" w:line="276" w:lineRule="auto"/>
        <w:ind w:left="714" w:hanging="357"/>
        <w:rPr>
          <w:rFonts w:cs="Arial"/>
        </w:rPr>
      </w:pPr>
      <w:r w:rsidRPr="00ED38E9">
        <w:rPr>
          <w:rFonts w:cs="Arial"/>
        </w:rPr>
        <w:t>Nový subjekt</w:t>
      </w:r>
    </w:p>
    <w:p w:rsidR="00257E70" w:rsidRPr="00ED38E9" w:rsidP="00DD4CE1" w14:paraId="4B7E8DA0" w14:textId="77777777">
      <w:pPr>
        <w:rPr>
          <w:rFonts w:cs="Arial"/>
        </w:rPr>
      </w:pPr>
      <w:r w:rsidRPr="00ED38E9">
        <w:rPr>
          <w:rFonts w:cs="Arial"/>
        </w:rPr>
        <w:t>Odhadované náklady na založení kolektivního systému se dají rozdělit na:</w:t>
      </w:r>
    </w:p>
    <w:p w:rsidR="00257E70" w:rsidRPr="00ED38E9" w:rsidP="003C445B" w14:paraId="510C125C" w14:textId="77777777">
      <w:pPr>
        <w:pStyle w:val="ListParagraph"/>
        <w:numPr>
          <w:ilvl w:val="0"/>
          <w:numId w:val="18"/>
        </w:numPr>
        <w:contextualSpacing w:val="0"/>
        <w:rPr>
          <w:rFonts w:cs="Arial"/>
        </w:rPr>
      </w:pPr>
      <w:r w:rsidRPr="00ED38E9">
        <w:rPr>
          <w:rFonts w:cs="Arial"/>
        </w:rPr>
        <w:t xml:space="preserve">Náklady související přímo se založením </w:t>
      </w:r>
      <w:r w:rsidR="005424D3">
        <w:rPr>
          <w:rFonts w:cs="Arial"/>
        </w:rPr>
        <w:t>KS</w:t>
      </w:r>
      <w:r w:rsidRPr="00ED38E9">
        <w:rPr>
          <w:rFonts w:cs="Arial"/>
        </w:rPr>
        <w:t>: 600 tis. Kč</w:t>
      </w:r>
    </w:p>
    <w:p w:rsidR="00257E70" w:rsidRPr="00ED38E9" w:rsidP="003C445B" w14:paraId="57292817" w14:textId="77777777">
      <w:pPr>
        <w:pStyle w:val="ListParagraph"/>
        <w:numPr>
          <w:ilvl w:val="0"/>
          <w:numId w:val="18"/>
        </w:numPr>
        <w:contextualSpacing w:val="0"/>
        <w:rPr>
          <w:rFonts w:cs="Arial"/>
        </w:rPr>
      </w:pPr>
      <w:r w:rsidRPr="00ED38E9">
        <w:rPr>
          <w:rFonts w:cs="Arial"/>
        </w:rPr>
        <w:t>Personální náklady: 500 tis. Kč</w:t>
      </w:r>
    </w:p>
    <w:p w:rsidR="00257E70" w:rsidRPr="00ED38E9" w:rsidP="003C445B" w14:paraId="60F3DDEF" w14:textId="77777777">
      <w:pPr>
        <w:pStyle w:val="ListParagraph"/>
        <w:numPr>
          <w:ilvl w:val="0"/>
          <w:numId w:val="18"/>
        </w:numPr>
        <w:contextualSpacing w:val="0"/>
        <w:rPr>
          <w:rFonts w:cs="Arial"/>
        </w:rPr>
      </w:pPr>
      <w:r w:rsidRPr="00ED38E9">
        <w:rPr>
          <w:rFonts w:cs="Arial"/>
        </w:rPr>
        <w:t>Organizačně technické náklady (nájem, licence apod.): 100 tis. Kč</w:t>
      </w:r>
    </w:p>
    <w:p w:rsidR="00257E70" w:rsidRPr="00ED38E9" w:rsidP="003C445B" w14:paraId="06960307" w14:textId="77777777">
      <w:pPr>
        <w:pStyle w:val="ListParagraph"/>
        <w:numPr>
          <w:ilvl w:val="0"/>
          <w:numId w:val="18"/>
        </w:numPr>
        <w:contextualSpacing w:val="0"/>
        <w:rPr>
          <w:rFonts w:cs="Arial"/>
        </w:rPr>
      </w:pPr>
      <w:r w:rsidRPr="00ED38E9">
        <w:rPr>
          <w:rFonts w:cs="Arial"/>
        </w:rPr>
        <w:t>Náklady související s procesem získání autorizace: 450 tis. Kč</w:t>
      </w:r>
    </w:p>
    <w:p w:rsidR="00257E70" w:rsidRPr="00ED38E9" w:rsidP="003C445B" w14:paraId="43FED7EB" w14:textId="77777777">
      <w:pPr>
        <w:pStyle w:val="ListParagraph"/>
        <w:numPr>
          <w:ilvl w:val="0"/>
          <w:numId w:val="18"/>
        </w:numPr>
        <w:contextualSpacing w:val="0"/>
        <w:rPr>
          <w:rFonts w:cs="Arial"/>
        </w:rPr>
      </w:pPr>
      <w:r w:rsidRPr="00ED38E9">
        <w:rPr>
          <w:rFonts w:cs="Arial"/>
        </w:rPr>
        <w:t>Náklady na nastavení organizačních procesů – smlouvy s povinnými osobami, sběrnými místy, dopravci, zpracovateli: není možné odhadnout</w:t>
      </w:r>
    </w:p>
    <w:p w:rsidR="00257E70" w:rsidP="00DD4CE1" w14:paraId="22AE2AF0" w14:textId="77777777">
      <w:pPr>
        <w:rPr>
          <w:rFonts w:cs="Arial"/>
        </w:rPr>
      </w:pPr>
      <w:r w:rsidRPr="00ED38E9">
        <w:rPr>
          <w:rFonts w:cs="Arial"/>
        </w:rPr>
        <w:t xml:space="preserve">Z výše uvedeného odhadujeme náklady na založení </w:t>
      </w:r>
      <w:r w:rsidR="005424D3">
        <w:rPr>
          <w:rFonts w:cs="Arial"/>
        </w:rPr>
        <w:t>KS</w:t>
      </w:r>
      <w:r w:rsidRPr="00ED38E9">
        <w:rPr>
          <w:rFonts w:cs="Arial"/>
        </w:rPr>
        <w:t xml:space="preserve"> ve výši minimálně 2 mil. Kč.</w:t>
      </w:r>
    </w:p>
    <w:p w:rsidR="00184CFD" w:rsidRPr="00ED38E9" w:rsidP="003C445B" w14:paraId="0EB2077E" w14:textId="77777777">
      <w:pPr>
        <w:pStyle w:val="Normlntun"/>
        <w:numPr>
          <w:ilvl w:val="0"/>
          <w:numId w:val="64"/>
        </w:numPr>
        <w:spacing w:after="0" w:line="276" w:lineRule="auto"/>
        <w:ind w:left="714" w:hanging="357"/>
        <w:rPr>
          <w:rFonts w:cs="Arial"/>
        </w:rPr>
      </w:pPr>
      <w:r w:rsidRPr="00ED38E9">
        <w:rPr>
          <w:rFonts w:cs="Arial"/>
        </w:rPr>
        <w:t>Současný subjekt provozující kolektivní systém</w:t>
      </w:r>
    </w:p>
    <w:p w:rsidR="00184CFD" w:rsidRPr="00ED38E9" w:rsidP="00936929" w14:paraId="5ED61921" w14:textId="77777777">
      <w:pPr>
        <w:rPr>
          <w:rFonts w:cs="Arial"/>
        </w:rPr>
      </w:pPr>
      <w:r w:rsidRPr="00ED38E9">
        <w:rPr>
          <w:rFonts w:cs="Arial"/>
        </w:rPr>
        <w:t xml:space="preserve">Mezi náklady řadíme </w:t>
      </w:r>
      <w:r w:rsidRPr="00ED38E9" w:rsidR="00496B7B">
        <w:rPr>
          <w:rFonts w:cs="Arial"/>
        </w:rPr>
        <w:t xml:space="preserve">zejména </w:t>
      </w:r>
      <w:r w:rsidRPr="00ED38E9">
        <w:rPr>
          <w:rFonts w:cs="Arial"/>
        </w:rPr>
        <w:t xml:space="preserve">tyto </w:t>
      </w:r>
      <w:r w:rsidRPr="00ED38E9" w:rsidR="00496B7B">
        <w:rPr>
          <w:rFonts w:cs="Arial"/>
        </w:rPr>
        <w:t>povinnosti</w:t>
      </w:r>
      <w:r w:rsidRPr="00ED38E9">
        <w:rPr>
          <w:rFonts w:cs="Arial"/>
        </w:rPr>
        <w:t>:</w:t>
      </w:r>
    </w:p>
    <w:p w:rsidR="00496B7B" w:rsidRPr="00ED38E9" w:rsidP="003C445B" w14:paraId="568EF535" w14:textId="04160674">
      <w:pPr>
        <w:pStyle w:val="ListParagraph"/>
        <w:numPr>
          <w:ilvl w:val="0"/>
          <w:numId w:val="63"/>
        </w:numPr>
        <w:contextualSpacing w:val="0"/>
        <w:rPr>
          <w:rFonts w:cs="Arial"/>
        </w:rPr>
      </w:pPr>
      <w:r w:rsidRPr="00ED38E9">
        <w:rPr>
          <w:rFonts w:cs="Arial"/>
        </w:rPr>
        <w:t>Vytv</w:t>
      </w:r>
      <w:r w:rsidR="007E50BD">
        <w:rPr>
          <w:rFonts w:cs="Arial"/>
        </w:rPr>
        <w:t>o</w:t>
      </w:r>
      <w:r w:rsidRPr="00ED38E9">
        <w:rPr>
          <w:rFonts w:cs="Arial"/>
        </w:rPr>
        <w:t>ření žádosti o vydání oprávnění</w:t>
      </w:r>
    </w:p>
    <w:p w:rsidR="00496B7B" w:rsidRPr="00ED38E9" w:rsidP="003C445B" w14:paraId="4561D383" w14:textId="77777777">
      <w:pPr>
        <w:pStyle w:val="ListParagraph"/>
        <w:numPr>
          <w:ilvl w:val="0"/>
          <w:numId w:val="63"/>
        </w:numPr>
        <w:contextualSpacing w:val="0"/>
        <w:rPr>
          <w:rFonts w:cs="Arial"/>
        </w:rPr>
      </w:pPr>
      <w:r w:rsidRPr="00ED38E9">
        <w:rPr>
          <w:rFonts w:cs="Arial"/>
        </w:rPr>
        <w:t>Případné změny ve smlouvách s výrobci</w:t>
      </w:r>
    </w:p>
    <w:p w:rsidR="00496B7B" w:rsidRPr="00ED38E9" w:rsidP="003C445B" w14:paraId="54FC1996" w14:textId="77777777">
      <w:pPr>
        <w:pStyle w:val="ListParagraph"/>
        <w:numPr>
          <w:ilvl w:val="0"/>
          <w:numId w:val="63"/>
        </w:numPr>
        <w:contextualSpacing w:val="0"/>
        <w:rPr>
          <w:rFonts w:cs="Arial"/>
        </w:rPr>
      </w:pPr>
      <w:r w:rsidRPr="00ED38E9">
        <w:rPr>
          <w:rFonts w:cs="Arial"/>
        </w:rPr>
        <w:t>Další administrativní úkony</w:t>
      </w:r>
    </w:p>
    <w:p w:rsidR="000140BB" w:rsidRPr="00ED38E9" w:rsidP="00936929" w14:paraId="666E76E4" w14:textId="77777777">
      <w:pPr>
        <w:rPr>
          <w:rFonts w:cs="Arial"/>
        </w:rPr>
      </w:pPr>
      <w:r>
        <w:rPr>
          <w:rFonts w:cs="Arial"/>
        </w:rPr>
        <w:t xml:space="preserve">Očekává se, že dopady na stávající </w:t>
      </w:r>
      <w:r w:rsidR="005424D3">
        <w:rPr>
          <w:rFonts w:cs="Arial"/>
        </w:rPr>
        <w:t>KS</w:t>
      </w:r>
      <w:r>
        <w:rPr>
          <w:rFonts w:cs="Arial"/>
        </w:rPr>
        <w:t xml:space="preserve"> budou výrazně nižší, neboť</w:t>
      </w:r>
      <w:r w:rsidRPr="00ED38E9">
        <w:rPr>
          <w:rFonts w:cs="Arial"/>
        </w:rPr>
        <w:t xml:space="preserve"> nebude nutné vynakládat oproti současnému stavu další personální náklady, nebude nutné nastavovat organizační procesy (doprava, sběrná místa, výrobci, zpracovatelé apod.) a další činnosti.</w:t>
      </w:r>
    </w:p>
    <w:p w:rsidR="002B388B" w:rsidRPr="001539F1" w:rsidP="002B388B" w14:paraId="36D3FC25" w14:textId="08159F7C">
      <w:pPr>
        <w:spacing w:after="120"/>
        <w:rPr>
          <w:rFonts w:eastAsia="Calibri" w:cs="Arial"/>
        </w:rPr>
      </w:pPr>
      <w:r w:rsidRPr="001539F1">
        <w:rPr>
          <w:rFonts w:eastAsia="Calibri" w:cs="Arial"/>
        </w:rPr>
        <w:t>Odhad výše</w:t>
      </w:r>
      <w:r>
        <w:rPr>
          <w:rFonts w:eastAsia="Calibri" w:cs="Arial"/>
        </w:rPr>
        <w:t xml:space="preserve"> jednotlivých nákladů Varianty 1</w:t>
      </w:r>
      <w:r w:rsidRPr="001539F1">
        <w:rPr>
          <w:rFonts w:eastAsia="Calibri" w:cs="Arial"/>
        </w:rPr>
        <w:t xml:space="preserve"> je pro některé dotčené subjekty obtížný, neboť nejsou známy přesně vyčíslené dopady od předmětných osob pro požadavky na nový projekt zajišťování kolektivního plnění. Z</w:t>
      </w:r>
      <w:r>
        <w:rPr>
          <w:rFonts w:eastAsia="Calibri" w:cs="Arial"/>
        </w:rPr>
        <w:t> </w:t>
      </w:r>
      <w:r w:rsidRPr="001539F1">
        <w:rPr>
          <w:rFonts w:eastAsia="Calibri" w:cs="Arial"/>
        </w:rPr>
        <w:t>konzultací s </w:t>
      </w:r>
      <w:r w:rsidR="00C80110">
        <w:rPr>
          <w:rFonts w:eastAsia="Calibri" w:cs="Arial"/>
        </w:rPr>
        <w:t>KS</w:t>
      </w:r>
      <w:r w:rsidRPr="001539F1">
        <w:rPr>
          <w:rFonts w:eastAsia="Calibri" w:cs="Arial"/>
        </w:rPr>
        <w:t xml:space="preserve"> vyplývá, že náklady na nový projekt se pohybují v rozmezí 300 tis.–1 mil. Kč v závislosti na velikosti KS, pokud nebude zapotřebí uzavřít nové smlouvy s jednotlivými stranami. Pokud by se jednalo i o uzavření nových smluv budou náklady výrazně vyšší. S ohledem na nemožnost odhadnout časovou náročnost celého procesu nelze výši těchto nákladů určit, neboť v případě jednoho KS se může u těch největších jednat o</w:t>
      </w:r>
      <w:r>
        <w:rPr>
          <w:rFonts w:eastAsia="Calibri" w:cs="Arial"/>
        </w:rPr>
        <w:t> </w:t>
      </w:r>
      <w:r w:rsidRPr="001539F1">
        <w:rPr>
          <w:rFonts w:eastAsia="Calibri" w:cs="Arial"/>
        </w:rPr>
        <w:t xml:space="preserve">potřebu uzavřít novou smlouvu s více jak 500 výrobci, více jak 3500 místy </w:t>
      </w:r>
      <w:r w:rsidR="00C80110">
        <w:rPr>
          <w:rFonts w:eastAsia="Calibri" w:cs="Arial"/>
        </w:rPr>
        <w:t>ZO</w:t>
      </w:r>
      <w:r w:rsidRPr="001539F1">
        <w:rPr>
          <w:rFonts w:eastAsia="Calibri" w:cs="Arial"/>
        </w:rPr>
        <w:t xml:space="preserve"> (prodejci cca 2000, školy cca 700, obce cca 700, apod.), se</w:t>
      </w:r>
      <w:r w:rsidR="00480662">
        <w:rPr>
          <w:rFonts w:eastAsia="Calibri" w:cs="Arial"/>
        </w:rPr>
        <w:t> </w:t>
      </w:r>
      <w:r w:rsidRPr="001539F1">
        <w:rPr>
          <w:rFonts w:eastAsia="Calibri" w:cs="Arial"/>
        </w:rPr>
        <w:t>zpracovateli a svozovými společnostmi. Z počtu dotčených subjektů je vidět, že případné náklady půjdou řádově do</w:t>
      </w:r>
      <w:r>
        <w:rPr>
          <w:rFonts w:eastAsia="Calibri" w:cs="Arial"/>
        </w:rPr>
        <w:t> </w:t>
      </w:r>
      <w:r w:rsidRPr="001539F1">
        <w:rPr>
          <w:rFonts w:eastAsia="Calibri" w:cs="Arial"/>
        </w:rPr>
        <w:t>mi</w:t>
      </w:r>
      <w:r>
        <w:rPr>
          <w:rFonts w:eastAsia="Calibri" w:cs="Arial"/>
        </w:rPr>
        <w:t>lionů korun v případě všech KS.</w:t>
      </w:r>
    </w:p>
    <w:p w:rsidR="002B388B" w:rsidRPr="001539F1" w:rsidP="002B388B" w14:paraId="7D7CDFD2" w14:textId="03438BA5">
      <w:pPr>
        <w:spacing w:after="120"/>
        <w:rPr>
          <w:rFonts w:eastAsia="Calibri" w:cs="Arial"/>
        </w:rPr>
      </w:pPr>
      <w:r w:rsidRPr="001539F1">
        <w:rPr>
          <w:rFonts w:eastAsia="Calibri" w:cs="Arial"/>
        </w:rPr>
        <w:t>Určité náklady mohou vzniknout také svozovým společnostem, zpracovatelům či</w:t>
      </w:r>
      <w:r w:rsidR="000A77E7">
        <w:rPr>
          <w:rFonts w:eastAsia="Calibri" w:cs="Arial"/>
        </w:rPr>
        <w:t> </w:t>
      </w:r>
      <w:r w:rsidRPr="001539F1">
        <w:rPr>
          <w:rFonts w:eastAsia="Calibri" w:cs="Arial"/>
        </w:rPr>
        <w:t xml:space="preserve">provozovatelům míst </w:t>
      </w:r>
      <w:r w:rsidR="00C80110">
        <w:rPr>
          <w:rFonts w:eastAsia="Calibri" w:cs="Arial"/>
        </w:rPr>
        <w:t>ZO</w:t>
      </w:r>
      <w:r w:rsidRPr="001539F1">
        <w:rPr>
          <w:rFonts w:eastAsia="Calibri" w:cs="Arial"/>
        </w:rPr>
        <w:t xml:space="preserve"> či dokonce výrobcům v důsledku potřeby uzavřít dodatky/nové smlouvy na základě doplnění.</w:t>
      </w:r>
      <w:r>
        <w:rPr>
          <w:rFonts w:eastAsia="Calibri" w:cs="Arial"/>
        </w:rPr>
        <w:t xml:space="preserve"> </w:t>
      </w:r>
      <w:r w:rsidRPr="001539F1">
        <w:rPr>
          <w:rFonts w:eastAsia="Calibri" w:cs="Arial"/>
        </w:rPr>
        <w:t xml:space="preserve">Náklady pro zpracovatele, pro místa </w:t>
      </w:r>
      <w:r w:rsidR="00C80110">
        <w:rPr>
          <w:rFonts w:eastAsia="Calibri" w:cs="Arial"/>
        </w:rPr>
        <w:t>ZO</w:t>
      </w:r>
      <w:r w:rsidRPr="001539F1">
        <w:rPr>
          <w:rFonts w:eastAsia="Calibri" w:cs="Arial"/>
        </w:rPr>
        <w:t>, pro výrobce apod. se</w:t>
      </w:r>
      <w:r w:rsidR="00C80110">
        <w:rPr>
          <w:rFonts w:eastAsia="Calibri" w:cs="Arial"/>
        </w:rPr>
        <w:t> </w:t>
      </w:r>
      <w:r w:rsidRPr="001539F1">
        <w:rPr>
          <w:rFonts w:eastAsia="Calibri" w:cs="Arial"/>
        </w:rPr>
        <w:t xml:space="preserve">budou pohybovat v řádech jednotek až desítek tisíc Kč v závislosti zejména na charakteru a velikosti subjektu. Například u obcí lze očekávat nutnost schválení nové smlouvy zastupitelstvem apod. </w:t>
      </w:r>
    </w:p>
    <w:p w:rsidR="002B388B" w:rsidRPr="001539F1" w:rsidP="002B388B" w14:paraId="3AA366F6" w14:textId="0F11527D">
      <w:pPr>
        <w:spacing w:after="120"/>
        <w:rPr>
          <w:rFonts w:eastAsia="Calibri" w:cs="Arial"/>
        </w:rPr>
      </w:pPr>
      <w:r w:rsidRPr="00372E53">
        <w:rPr>
          <w:rFonts w:eastAsia="Calibri" w:cs="Arial"/>
        </w:rPr>
        <w:t xml:space="preserve">V případě potřeby uzavření nových smluv s výrobci, zpracovateli, místy </w:t>
      </w:r>
      <w:r w:rsidR="00C80110">
        <w:rPr>
          <w:rFonts w:eastAsia="Calibri" w:cs="Arial"/>
        </w:rPr>
        <w:t>ZO</w:t>
      </w:r>
      <w:r w:rsidRPr="00372E53">
        <w:rPr>
          <w:rFonts w:eastAsia="Calibri" w:cs="Arial"/>
        </w:rPr>
        <w:t>, svozovými firmami se bude jednat o nezanedbatelný náklad pro KS, který se může promítnout do ceny recyklačního poplatku. Zároveň je zapotřebí stanovit dostatečné přechodné období pro splnění požadavků tak, aby nedošlo k situaci, kdy stávající oprávnění přestane platit a nové ještě nebude vydáno. Taková situace by mohla mít negativní dopad na</w:t>
      </w:r>
      <w:r w:rsidR="001F4AB4">
        <w:rPr>
          <w:rFonts w:eastAsia="Calibri" w:cs="Arial"/>
        </w:rPr>
        <w:t> </w:t>
      </w:r>
      <w:r w:rsidRPr="00372E53">
        <w:rPr>
          <w:rFonts w:eastAsia="Calibri" w:cs="Arial"/>
        </w:rPr>
        <w:t xml:space="preserve">plnění kvóty </w:t>
      </w:r>
      <w:r w:rsidR="00C80110">
        <w:rPr>
          <w:rFonts w:eastAsia="Calibri" w:cs="Arial"/>
        </w:rPr>
        <w:t>ZO</w:t>
      </w:r>
      <w:r w:rsidRPr="00372E53">
        <w:rPr>
          <w:rFonts w:eastAsia="Calibri" w:cs="Arial"/>
        </w:rPr>
        <w:t>.</w:t>
      </w:r>
      <w:r w:rsidRPr="001539F1">
        <w:rPr>
          <w:rFonts w:eastAsia="Calibri" w:cs="Arial"/>
        </w:rPr>
        <w:t xml:space="preserve"> </w:t>
      </w:r>
    </w:p>
    <w:p w:rsidR="002B388B" w:rsidP="00F37472" w14:paraId="240412A2" w14:textId="2A00F767">
      <w:pPr>
        <w:widowControl w:val="0"/>
        <w:spacing w:after="120"/>
        <w:rPr>
          <w:rFonts w:eastAsia="Calibri" w:cs="Arial"/>
          <w:b/>
          <w:sz w:val="20"/>
          <w:szCs w:val="20"/>
        </w:rPr>
      </w:pPr>
      <w:r w:rsidRPr="001539F1">
        <w:rPr>
          <w:rFonts w:eastAsia="Calibri" w:cs="Arial"/>
        </w:rPr>
        <w:t>Všechny výše uvedené náklady jsou náklady jednorázovými a je nutno je rovnoměrně a s příslušným diskontem rozpustit do jednotlivých ročních období po dobu platnosti právní úpravy.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2C370BA9" w14:textId="77777777" w:rsidTr="00C8706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8954" w:type="dxa"/>
            <w:shd w:val="clear" w:color="auto" w:fill="auto"/>
            <w:vAlign w:val="center"/>
          </w:tcPr>
          <w:p w:rsidR="002B388B" w:rsidRPr="001539F1" w:rsidP="00C87069" w14:paraId="30619FAA" w14:textId="77777777">
            <w:pPr>
              <w:keepNext/>
              <w:spacing w:before="20" w:after="20"/>
              <w:rPr>
                <w:rFonts w:eastAsia="MS Mincho" w:cs="Arial"/>
                <w:b/>
                <w:sz w:val="20"/>
                <w:szCs w:val="20"/>
              </w:rPr>
            </w:pPr>
            <w:r w:rsidRPr="001539F1">
              <w:rPr>
                <w:rFonts w:eastAsia="MS Mincho" w:cs="Arial"/>
                <w:b/>
                <w:sz w:val="20"/>
                <w:szCs w:val="20"/>
              </w:rPr>
              <w:t>Státní správa</w:t>
            </w:r>
          </w:p>
        </w:tc>
      </w:tr>
      <w:tr w14:paraId="277D76FD" w14:textId="77777777" w:rsidTr="00C87069">
        <w:tblPrEx>
          <w:tblW w:w="0" w:type="auto"/>
          <w:tblInd w:w="108" w:type="dxa"/>
          <w:tblLook w:val="00A0"/>
        </w:tblPrEx>
        <w:trPr>
          <w:trHeight w:val="454"/>
        </w:trPr>
        <w:tc>
          <w:tcPr>
            <w:tcW w:w="8954" w:type="dxa"/>
            <w:vAlign w:val="center"/>
          </w:tcPr>
          <w:p w:rsidR="002B388B" w:rsidRPr="001539F1" w:rsidP="00C87069" w14:paraId="56C71022" w14:textId="77777777">
            <w:pPr>
              <w:spacing w:before="20" w:after="20"/>
              <w:rPr>
                <w:rFonts w:eastAsia="MS Mincho" w:cs="Arial"/>
                <w:sz w:val="20"/>
                <w:szCs w:val="20"/>
              </w:rPr>
            </w:pPr>
            <w:r w:rsidRPr="001539F1">
              <w:rPr>
                <w:rFonts w:eastAsia="MS Mincho" w:cs="Arial"/>
                <w:b/>
                <w:i/>
                <w:sz w:val="20"/>
                <w:szCs w:val="20"/>
              </w:rPr>
              <w:t>Přínosy</w:t>
            </w:r>
            <w:r w:rsidRPr="001539F1">
              <w:rPr>
                <w:rFonts w:eastAsia="MS Mincho" w:cs="Arial"/>
                <w:sz w:val="20"/>
                <w:szCs w:val="20"/>
              </w:rPr>
              <w:t xml:space="preserve"> – Lepší kontrola díky rovným podmínkám stanoveným pro jednotlivé KS</w:t>
            </w:r>
          </w:p>
          <w:p w:rsidR="002B388B" w:rsidRPr="001539F1" w:rsidP="00C87069" w14:paraId="2DC2DBF8" w14:textId="77777777">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posouzením doplnění/projektu zajišťování kolektivního plnění</w:t>
            </w:r>
          </w:p>
        </w:tc>
      </w:tr>
      <w:tr w14:paraId="2BA0144F"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134A7CBD" w14:textId="77777777">
            <w:pPr>
              <w:keepNext/>
              <w:spacing w:before="20" w:after="20"/>
              <w:rPr>
                <w:rFonts w:eastAsia="MS Mincho" w:cs="Arial"/>
                <w:b/>
                <w:sz w:val="20"/>
                <w:szCs w:val="20"/>
              </w:rPr>
            </w:pPr>
            <w:r w:rsidRPr="001539F1">
              <w:rPr>
                <w:rFonts w:eastAsia="MS Mincho" w:cs="Arial"/>
                <w:b/>
                <w:sz w:val="20"/>
                <w:szCs w:val="20"/>
              </w:rPr>
              <w:t>Stávající kolektivní systémy</w:t>
            </w:r>
          </w:p>
        </w:tc>
      </w:tr>
      <w:tr w14:paraId="34F7042A"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3737F6A3" w14:textId="77777777">
            <w:pPr>
              <w:spacing w:before="20" w:after="20"/>
              <w:rPr>
                <w:rFonts w:eastAsia="MS Mincho" w:cs="Arial"/>
                <w:sz w:val="20"/>
                <w:szCs w:val="20"/>
              </w:rPr>
            </w:pPr>
            <w:r w:rsidRPr="001539F1">
              <w:rPr>
                <w:rFonts w:eastAsia="MS Mincho" w:cs="Arial"/>
                <w:b/>
                <w:i/>
                <w:sz w:val="20"/>
                <w:szCs w:val="20"/>
              </w:rPr>
              <w:t>Přínosy</w:t>
            </w:r>
            <w:r w:rsidRPr="001539F1">
              <w:rPr>
                <w:rFonts w:eastAsia="MS Mincho" w:cs="Arial"/>
                <w:sz w:val="20"/>
                <w:szCs w:val="20"/>
              </w:rPr>
              <w:t xml:space="preserve"> – Srovnatelné podmínky se stávajícími aktéry na trhu</w:t>
            </w:r>
          </w:p>
          <w:p w:rsidR="002B388B" w:rsidRPr="001539F1" w:rsidP="00C87069" w14:paraId="78FDA02E" w14:textId="77777777">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doplněním/přípravou projektu zajišťování kolektivního plnění dle nových požadavků na projekt</w:t>
            </w:r>
          </w:p>
        </w:tc>
      </w:tr>
      <w:tr w14:paraId="3840E791"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0367980D" w14:textId="77777777">
            <w:pPr>
              <w:keepNext/>
              <w:spacing w:before="20" w:after="20"/>
              <w:rPr>
                <w:rFonts w:eastAsia="MS Mincho" w:cs="Arial"/>
                <w:b/>
                <w:sz w:val="20"/>
                <w:szCs w:val="20"/>
              </w:rPr>
            </w:pPr>
            <w:r w:rsidRPr="001539F1">
              <w:rPr>
                <w:rFonts w:eastAsia="MS Mincho" w:cs="Arial"/>
                <w:b/>
                <w:sz w:val="20"/>
                <w:szCs w:val="20"/>
              </w:rPr>
              <w:t>Nové kolektivní systémy</w:t>
            </w:r>
          </w:p>
        </w:tc>
      </w:tr>
      <w:tr w14:paraId="415593F1"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2D006C09" w14:textId="77777777">
            <w:pPr>
              <w:spacing w:before="20" w:after="20"/>
              <w:rPr>
                <w:rFonts w:eastAsia="MS Mincho" w:cs="Arial"/>
                <w:sz w:val="20"/>
                <w:szCs w:val="20"/>
              </w:rPr>
            </w:pPr>
            <w:r w:rsidRPr="001539F1">
              <w:rPr>
                <w:rFonts w:eastAsia="MS Mincho" w:cs="Arial"/>
                <w:b/>
                <w:i/>
                <w:sz w:val="20"/>
                <w:szCs w:val="20"/>
              </w:rPr>
              <w:t>Přínosy</w:t>
            </w:r>
            <w:r w:rsidRPr="001539F1">
              <w:rPr>
                <w:rFonts w:eastAsia="MS Mincho" w:cs="Arial"/>
                <w:sz w:val="20"/>
                <w:szCs w:val="20"/>
              </w:rPr>
              <w:t xml:space="preserve"> – Srovnatelné podmínky se stávajícími aktéry na trhu</w:t>
            </w:r>
          </w:p>
          <w:p w:rsidR="002B388B" w:rsidRPr="001539F1" w:rsidP="00C87069" w14:paraId="043D5E41" w14:textId="77777777">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přípravou projektu zajišťování kolektivního plnění dle nových požadavků na projekt. V případě nutnosti přesmluvnění všech smluv se jedná o nezanedbatelný náklad pro KS (smlouvy s výrobci, se zpracovateli, se svozovými společnostmi, s místy zpětného odběru) </w:t>
            </w:r>
          </w:p>
        </w:tc>
      </w:tr>
      <w:tr w14:paraId="682FC986"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0B196476" w14:textId="77777777">
            <w:pPr>
              <w:keepNext/>
              <w:spacing w:before="20" w:after="20"/>
              <w:rPr>
                <w:rFonts w:eastAsia="MS Mincho" w:cs="Arial"/>
                <w:b/>
                <w:sz w:val="20"/>
                <w:szCs w:val="20"/>
              </w:rPr>
            </w:pPr>
            <w:r w:rsidRPr="001539F1">
              <w:rPr>
                <w:rFonts w:eastAsia="MS Mincho" w:cs="Arial"/>
                <w:b/>
                <w:sz w:val="20"/>
                <w:szCs w:val="20"/>
              </w:rPr>
              <w:t>Svozové společnosti</w:t>
            </w:r>
          </w:p>
        </w:tc>
      </w:tr>
      <w:tr w14:paraId="66FB93FA"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0C52FE89" w14:textId="77777777">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uzavřením dodatku/nové smlouvy s kolektivními systémy/výrobci v případě, že to bude vyžadovat/ vyplývat z nových podmínek projektu zajišťování kolektivního plnění</w:t>
            </w:r>
          </w:p>
        </w:tc>
      </w:tr>
      <w:tr w14:paraId="397CF301"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5C68BF3A" w14:textId="77777777">
            <w:pPr>
              <w:keepNext/>
              <w:spacing w:before="20" w:after="20"/>
              <w:rPr>
                <w:rFonts w:eastAsia="MS Mincho" w:cs="Arial"/>
                <w:b/>
                <w:sz w:val="20"/>
                <w:szCs w:val="20"/>
              </w:rPr>
            </w:pPr>
            <w:r w:rsidRPr="001539F1">
              <w:rPr>
                <w:rFonts w:eastAsia="MS Mincho" w:cs="Arial"/>
                <w:b/>
                <w:sz w:val="20"/>
                <w:szCs w:val="20"/>
              </w:rPr>
              <w:t>Zpracovatelé</w:t>
            </w:r>
          </w:p>
        </w:tc>
      </w:tr>
      <w:tr w14:paraId="0D1B7E62" w14:textId="77777777" w:rsidTr="00C87069">
        <w:tblPrEx>
          <w:tblW w:w="0" w:type="auto"/>
          <w:tblInd w:w="108" w:type="dxa"/>
          <w:tblLook w:val="00A0"/>
        </w:tblPrEx>
        <w:trPr>
          <w:trHeight w:val="397"/>
        </w:trPr>
        <w:tc>
          <w:tcPr>
            <w:tcW w:w="8954" w:type="dxa"/>
            <w:vAlign w:val="center"/>
          </w:tcPr>
          <w:p w:rsidR="002B388B" w:rsidRPr="001539F1" w:rsidP="00660AA9" w14:paraId="09834C87" w14:textId="50B06A0D">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uzavřením dodatku/nové smlouvy </w:t>
            </w:r>
            <w:r w:rsidR="00660AA9">
              <w:rPr>
                <w:rFonts w:eastAsia="MS Mincho" w:cs="Arial"/>
                <w:sz w:val="20"/>
                <w:szCs w:val="20"/>
              </w:rPr>
              <w:t>s KS</w:t>
            </w:r>
            <w:r w:rsidRPr="001539F1">
              <w:rPr>
                <w:rFonts w:eastAsia="MS Mincho" w:cs="Arial"/>
                <w:sz w:val="20"/>
                <w:szCs w:val="20"/>
              </w:rPr>
              <w:t>/výrobci v případě, že to bude vyžadovat/ vyplývat z nových podmínek projektu zajišťování kolektivního plnění</w:t>
            </w:r>
          </w:p>
        </w:tc>
      </w:tr>
      <w:tr w14:paraId="1F647E04"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72CC36F0" w14:textId="77777777">
            <w:pPr>
              <w:keepNext/>
              <w:spacing w:before="20" w:after="20"/>
              <w:rPr>
                <w:rFonts w:eastAsia="MS Mincho" w:cs="Arial"/>
                <w:b/>
                <w:sz w:val="20"/>
                <w:szCs w:val="20"/>
              </w:rPr>
            </w:pPr>
            <w:r w:rsidRPr="001539F1">
              <w:rPr>
                <w:rFonts w:eastAsia="MS Mincho" w:cs="Arial"/>
                <w:b/>
                <w:sz w:val="20"/>
                <w:szCs w:val="20"/>
              </w:rPr>
              <w:t>Místa zpětného odběru</w:t>
            </w:r>
          </w:p>
        </w:tc>
      </w:tr>
      <w:tr w14:paraId="41E67E60" w14:textId="77777777" w:rsidTr="00C87069">
        <w:tblPrEx>
          <w:tblW w:w="0" w:type="auto"/>
          <w:tblInd w:w="108" w:type="dxa"/>
          <w:tblLook w:val="00A0"/>
        </w:tblPrEx>
        <w:trPr>
          <w:trHeight w:val="397"/>
        </w:trPr>
        <w:tc>
          <w:tcPr>
            <w:tcW w:w="8954" w:type="dxa"/>
            <w:shd w:val="clear" w:color="auto" w:fill="auto"/>
            <w:vAlign w:val="center"/>
          </w:tcPr>
          <w:p w:rsidR="002B388B" w:rsidRPr="001539F1" w:rsidP="00660AA9" w14:paraId="6D43176C" w14:textId="51927058">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Náklady spojené s uzavřením dodatku/nové smlouvy s </w:t>
            </w:r>
            <w:r w:rsidR="00660AA9">
              <w:rPr>
                <w:rFonts w:eastAsia="MS Mincho" w:cs="Arial"/>
                <w:sz w:val="20"/>
                <w:szCs w:val="20"/>
              </w:rPr>
              <w:t>KS</w:t>
            </w:r>
            <w:r w:rsidRPr="001539F1">
              <w:rPr>
                <w:rFonts w:eastAsia="MS Mincho" w:cs="Arial"/>
                <w:sz w:val="20"/>
                <w:szCs w:val="20"/>
              </w:rPr>
              <w:t>/výrobci v případě, že to bude vyžadovat/ vyplývat z nových podmínek projektu zajišťování kolektivního plnění</w:t>
            </w:r>
          </w:p>
        </w:tc>
      </w:tr>
      <w:tr w14:paraId="67591627" w14:textId="77777777" w:rsidTr="00C87069">
        <w:tblPrEx>
          <w:tblW w:w="0" w:type="auto"/>
          <w:tblInd w:w="108" w:type="dxa"/>
          <w:tblLook w:val="00A0"/>
        </w:tblPrEx>
        <w:trPr>
          <w:trHeight w:val="397"/>
        </w:trPr>
        <w:tc>
          <w:tcPr>
            <w:tcW w:w="8954" w:type="dxa"/>
            <w:shd w:val="clear" w:color="auto" w:fill="auto"/>
            <w:vAlign w:val="center"/>
          </w:tcPr>
          <w:p w:rsidR="002B388B" w:rsidRPr="001539F1" w:rsidP="00C87069" w14:paraId="428AF155" w14:textId="77777777">
            <w:pPr>
              <w:keepNext/>
              <w:spacing w:before="20" w:after="20"/>
              <w:rPr>
                <w:rFonts w:eastAsia="MS Mincho" w:cs="Arial"/>
                <w:b/>
                <w:sz w:val="20"/>
                <w:szCs w:val="20"/>
              </w:rPr>
            </w:pPr>
            <w:r w:rsidRPr="001539F1">
              <w:rPr>
                <w:rFonts w:eastAsia="MS Mincho" w:cs="Arial"/>
                <w:b/>
                <w:sz w:val="20"/>
                <w:szCs w:val="20"/>
              </w:rPr>
              <w:t>Veřejnost</w:t>
            </w:r>
          </w:p>
        </w:tc>
      </w:tr>
      <w:tr w14:paraId="10AF9223" w14:textId="77777777" w:rsidTr="00C87069">
        <w:tblPrEx>
          <w:tblW w:w="0" w:type="auto"/>
          <w:tblInd w:w="108" w:type="dxa"/>
          <w:tblLook w:val="00A0"/>
        </w:tblPrEx>
        <w:trPr>
          <w:trHeight w:val="397"/>
        </w:trPr>
        <w:tc>
          <w:tcPr>
            <w:tcW w:w="8954" w:type="dxa"/>
            <w:vAlign w:val="center"/>
          </w:tcPr>
          <w:p w:rsidR="002B388B" w:rsidRPr="001539F1" w:rsidP="00C87069" w14:paraId="5FB3D2EC" w14:textId="77777777">
            <w:pPr>
              <w:spacing w:before="20" w:after="20"/>
              <w:rPr>
                <w:rFonts w:eastAsia="MS Mincho" w:cs="Arial"/>
                <w:sz w:val="20"/>
                <w:szCs w:val="20"/>
              </w:rPr>
            </w:pPr>
            <w:r w:rsidRPr="001539F1">
              <w:rPr>
                <w:rFonts w:eastAsia="MS Mincho" w:cs="Arial"/>
                <w:b/>
                <w:i/>
                <w:sz w:val="20"/>
                <w:szCs w:val="20"/>
              </w:rPr>
              <w:t>Náklady</w:t>
            </w:r>
            <w:r w:rsidRPr="001539F1">
              <w:rPr>
                <w:rFonts w:eastAsia="MS Mincho" w:cs="Arial"/>
                <w:sz w:val="20"/>
                <w:szCs w:val="20"/>
              </w:rPr>
              <w:t xml:space="preserve"> – V důsledku dodatečných nákladů pro kolektivní systém může dojít k zvýšení recyklačních příspěvků</w:t>
            </w:r>
          </w:p>
        </w:tc>
      </w:tr>
    </w:tbl>
    <w:p w:rsidR="00D554FF" w:rsidP="002B388B" w14:paraId="70479AF5" w14:textId="77777777">
      <w:pPr>
        <w:rPr>
          <w:rFonts w:cs="Arial"/>
        </w:rPr>
      </w:pPr>
    </w:p>
    <w:p w:rsidR="002B388B" w:rsidP="002B388B" w14:paraId="3A85F97E" w14:textId="276D199F">
      <w:pPr>
        <w:rPr>
          <w:rFonts w:cs="Arial"/>
        </w:rPr>
      </w:pPr>
      <w:r w:rsidRPr="001539F1">
        <w:rPr>
          <w:rFonts w:cs="Arial"/>
        </w:rPr>
        <w:t>Celkový dopad na podnikatelské subjekty může být negativní i pozitivní. Mezi negativní dopady řadíme možnost ukončení činnosti některých současných KS, které nesplní nové podmínky. Mezi pozitiva naopak řadíme založení KS, které budou řádně plnit přenesené povinnosti výrobců a budou kvalitním partnerem pro výrobce a další subjekty (zejména  ministerstvo, obecní samosprávy</w:t>
      </w:r>
      <w:r w:rsidR="006A565A">
        <w:rPr>
          <w:rFonts w:cs="Arial"/>
        </w:rPr>
        <w:t>,</w:t>
      </w:r>
      <w:r w:rsidRPr="001539F1">
        <w:rPr>
          <w:rFonts w:cs="Arial"/>
        </w:rPr>
        <w:t xml:space="preserve"> poslední prodejci). Dojde tak efektivnímu nakládání s </w:t>
      </w:r>
      <w:r w:rsidR="00660AA9">
        <w:rPr>
          <w:rFonts w:cs="Arial"/>
        </w:rPr>
        <w:t>VUŽ</w:t>
      </w:r>
      <w:r w:rsidRPr="001539F1">
        <w:rPr>
          <w:rFonts w:cs="Arial"/>
        </w:rPr>
        <w:t>.</w:t>
      </w:r>
    </w:p>
    <w:p w:rsidR="002B388B" w:rsidRPr="001539F1" w:rsidP="002B388B" w14:paraId="40C13A21" w14:textId="43C23B71">
      <w:pPr>
        <w:rPr>
          <w:rFonts w:cs="Arial"/>
        </w:rPr>
      </w:pPr>
      <w:r w:rsidRPr="001539F1">
        <w:rPr>
          <w:rFonts w:cs="Arial"/>
        </w:rPr>
        <w:t xml:space="preserve">Návrh zákona </w:t>
      </w:r>
      <w:r>
        <w:rPr>
          <w:rFonts w:cs="Arial"/>
        </w:rPr>
        <w:t xml:space="preserve">dále </w:t>
      </w:r>
      <w:r w:rsidRPr="001539F1">
        <w:rPr>
          <w:rFonts w:cs="Arial"/>
        </w:rPr>
        <w:t>zavádí pro výrobce, kteří chtějí založit KS, podmínku minimálního množství výrobků, které musí uvést na trh během předchozích tří let. Tento požadavek je stanoven proto, aby došlo k eliminaci situací, kdy vlastníky KS jsou účeloví výrobci, resp. ad</w:t>
      </w:r>
      <w:r w:rsidR="000A77E7">
        <w:rPr>
          <w:rFonts w:cs="Arial"/>
        </w:rPr>
        <w:t> </w:t>
      </w:r>
      <w:r w:rsidRPr="001539F1">
        <w:rPr>
          <w:rFonts w:cs="Arial"/>
        </w:rPr>
        <w:t xml:space="preserve">hoc založení výrobci, kteří by uváděli na trh jen minimální množství vybraných výrobků. Bez nastavení určitých limitů mohou vznikat KS vlastněné zmíněnými účelovými výrobci, přičemž cíl takovýchto KS může být buď spekulativní, nebo má umožnit některým výrobcům obcházení zákonných povinností. V současnosti takové KS existují. Přestože navrhovaný zákon dává státu, potažmo ministerstvu, významně vyšší kompetence, co se týče kontroly a případného odebrání oprávnění k zajišťování kolektivního plnění, je nutné uvažovat, že prokázání porušení zákona a následné zrušení oprávnění může trvat relativně dlouhou dobu, po kterou mohou být na trh uváděna vysoká množství vybraných výrobků, ke kterým pak nebude zajištěno financování budoucího nakládání. Tento problém může být příznačný právě pro případy, kdy dojde k odebrání oprávnění KS např. v přechodné době po nabytí účinnosti zákona, kdy ještě nebude muset mít KS vytvořenu (minimální) finanční rezervu v požadované výši. </w:t>
      </w:r>
    </w:p>
    <w:p w:rsidR="00DD47D6" w:rsidRPr="00ED38E9" w:rsidP="00221615" w14:paraId="2665E50C" w14:textId="77777777">
      <w:pPr>
        <w:pStyle w:val="Normlntun"/>
        <w:spacing w:after="0" w:line="276" w:lineRule="auto"/>
        <w:rPr>
          <w:rFonts w:cs="Arial"/>
        </w:rPr>
      </w:pPr>
      <w:r w:rsidRPr="00ED38E9">
        <w:rPr>
          <w:rFonts w:cs="Arial"/>
        </w:rPr>
        <w:t>Dopady na územní samosprávné celky (obce, kraje), sociální oblast, životní prostředí</w:t>
      </w:r>
    </w:p>
    <w:p w:rsidR="00A202B8" w:rsidP="00936929" w14:paraId="2E10D51A" w14:textId="00299BA1">
      <w:pPr>
        <w:rPr>
          <w:rFonts w:cs="Arial"/>
        </w:rPr>
      </w:pPr>
      <w:r w:rsidRPr="00ED38E9">
        <w:rPr>
          <w:rFonts w:cs="Arial"/>
        </w:rPr>
        <w:t xml:space="preserve">Návrh zákona předpokládá, že kolektivní systémy založí pouze subjekty, které budou sběr </w:t>
      </w:r>
      <w:r w:rsidR="00660AA9">
        <w:rPr>
          <w:rFonts w:cs="Arial"/>
        </w:rPr>
        <w:t>VUŽ</w:t>
      </w:r>
      <w:r w:rsidRPr="00ED38E9">
        <w:rPr>
          <w:rFonts w:cs="Arial"/>
        </w:rPr>
        <w:t xml:space="preserve"> plnit </w:t>
      </w:r>
      <w:r w:rsidR="00CD565C">
        <w:rPr>
          <w:rFonts w:cs="Arial"/>
        </w:rPr>
        <w:t>řádně</w:t>
      </w:r>
      <w:r w:rsidRPr="00ED38E9" w:rsidR="0024251A">
        <w:rPr>
          <w:rFonts w:cs="Arial"/>
        </w:rPr>
        <w:t>,</w:t>
      </w:r>
      <w:r w:rsidRPr="00ED38E9">
        <w:rPr>
          <w:rFonts w:cs="Arial"/>
        </w:rPr>
        <w:t xml:space="preserve"> </w:t>
      </w:r>
      <w:r w:rsidR="00CD565C">
        <w:rPr>
          <w:rFonts w:cs="Arial"/>
        </w:rPr>
        <w:t>čímž</w:t>
      </w:r>
      <w:r w:rsidRPr="00ED38E9">
        <w:rPr>
          <w:rFonts w:cs="Arial"/>
        </w:rPr>
        <w:t xml:space="preserve"> bude </w:t>
      </w:r>
      <w:r w:rsidR="00CD565C">
        <w:rPr>
          <w:rFonts w:cs="Arial"/>
        </w:rPr>
        <w:t xml:space="preserve">nastaven </w:t>
      </w:r>
      <w:r w:rsidRPr="00ED38E9">
        <w:rPr>
          <w:rFonts w:cs="Arial"/>
        </w:rPr>
        <w:t xml:space="preserve">kvalitnější systém </w:t>
      </w:r>
      <w:r w:rsidR="00660AA9">
        <w:rPr>
          <w:rFonts w:cs="Arial"/>
        </w:rPr>
        <w:t>ZO</w:t>
      </w:r>
      <w:r w:rsidRPr="00ED38E9">
        <w:rPr>
          <w:rFonts w:cs="Arial"/>
        </w:rPr>
        <w:t xml:space="preserve">, </w:t>
      </w:r>
      <w:r w:rsidR="00CD565C">
        <w:rPr>
          <w:rFonts w:cs="Arial"/>
        </w:rPr>
        <w:t>díky němuž bude</w:t>
      </w:r>
      <w:r w:rsidRPr="00ED38E9">
        <w:rPr>
          <w:rFonts w:cs="Arial"/>
        </w:rPr>
        <w:t> méně odpad</w:t>
      </w:r>
      <w:r w:rsidR="00CD565C">
        <w:rPr>
          <w:rFonts w:cs="Arial"/>
        </w:rPr>
        <w:t>ů</w:t>
      </w:r>
      <w:r w:rsidRPr="00ED38E9">
        <w:rPr>
          <w:rFonts w:cs="Arial"/>
        </w:rPr>
        <w:t xml:space="preserve"> uloženo mimo místa </w:t>
      </w:r>
      <w:r w:rsidR="00660AA9">
        <w:rPr>
          <w:rFonts w:cs="Arial"/>
        </w:rPr>
        <w:t>ZO</w:t>
      </w:r>
      <w:r w:rsidRPr="00ED38E9">
        <w:rPr>
          <w:rFonts w:cs="Arial"/>
        </w:rPr>
        <w:t xml:space="preserve"> a </w:t>
      </w:r>
      <w:r w:rsidR="00660AA9">
        <w:rPr>
          <w:rFonts w:cs="Arial"/>
        </w:rPr>
        <w:t>VUŽ</w:t>
      </w:r>
      <w:r w:rsidR="00CD565C">
        <w:rPr>
          <w:rFonts w:cs="Arial"/>
        </w:rPr>
        <w:t xml:space="preserve"> budou </w:t>
      </w:r>
      <w:r w:rsidRPr="00ED38E9">
        <w:rPr>
          <w:rFonts w:cs="Arial"/>
        </w:rPr>
        <w:t>efektivn</w:t>
      </w:r>
      <w:r w:rsidR="00CD565C">
        <w:rPr>
          <w:rFonts w:cs="Arial"/>
        </w:rPr>
        <w:t>ě</w:t>
      </w:r>
      <w:r w:rsidRPr="00ED38E9">
        <w:rPr>
          <w:rFonts w:cs="Arial"/>
        </w:rPr>
        <w:t xml:space="preserve"> </w:t>
      </w:r>
      <w:r w:rsidR="00CD565C">
        <w:rPr>
          <w:rFonts w:cs="Arial"/>
        </w:rPr>
        <w:t>recyklovány.</w:t>
      </w:r>
      <w:r w:rsidRPr="00ED38E9">
        <w:rPr>
          <w:rFonts w:cs="Arial"/>
        </w:rPr>
        <w:t xml:space="preserve"> </w:t>
      </w:r>
      <w:r w:rsidR="00CD565C">
        <w:rPr>
          <w:rFonts w:cs="Arial"/>
        </w:rPr>
        <w:t>Tím</w:t>
      </w:r>
      <w:r w:rsidRPr="00ED38E9">
        <w:rPr>
          <w:rFonts w:cs="Arial"/>
        </w:rPr>
        <w:t xml:space="preserve"> dojde ke snížení rizika </w:t>
      </w:r>
      <w:r w:rsidR="00CD565C">
        <w:rPr>
          <w:rFonts w:cs="Arial"/>
        </w:rPr>
        <w:t xml:space="preserve">zvýšených </w:t>
      </w:r>
      <w:r w:rsidRPr="00ED38E9">
        <w:rPr>
          <w:rFonts w:cs="Arial"/>
        </w:rPr>
        <w:t xml:space="preserve">nákladů obcí a krajů </w:t>
      </w:r>
      <w:r w:rsidRPr="00ED38E9" w:rsidR="0024251A">
        <w:rPr>
          <w:rFonts w:cs="Arial"/>
        </w:rPr>
        <w:t>na likvidaci černých skládek</w:t>
      </w:r>
      <w:r w:rsidRPr="00ED38E9">
        <w:rPr>
          <w:rFonts w:cs="Arial"/>
        </w:rPr>
        <w:t xml:space="preserve">, lepší dostupnost </w:t>
      </w:r>
      <w:r w:rsidRPr="00ED38E9" w:rsidR="0024251A">
        <w:rPr>
          <w:rFonts w:cs="Arial"/>
        </w:rPr>
        <w:t xml:space="preserve">sběrných </w:t>
      </w:r>
      <w:r w:rsidRPr="00ED38E9">
        <w:rPr>
          <w:rFonts w:cs="Arial"/>
        </w:rPr>
        <w:t>míst pro občany a</w:t>
      </w:r>
      <w:r w:rsidR="00D554FF">
        <w:rPr>
          <w:rFonts w:cs="Arial"/>
        </w:rPr>
        <w:t> </w:t>
      </w:r>
      <w:r w:rsidRPr="00ED38E9">
        <w:rPr>
          <w:rFonts w:cs="Arial"/>
        </w:rPr>
        <w:t>také k</w:t>
      </w:r>
      <w:r w:rsidRPr="00ED38E9" w:rsidR="00DE1E3D">
        <w:rPr>
          <w:rFonts w:cs="Arial"/>
        </w:rPr>
        <w:t>e</w:t>
      </w:r>
      <w:r w:rsidRPr="00ED38E9">
        <w:rPr>
          <w:rFonts w:cs="Arial"/>
        </w:rPr>
        <w:t> snížení rizika negativních dopadů na životní prostředí.</w:t>
      </w:r>
    </w:p>
    <w:p w:rsidR="002B388B" w:rsidP="00BF16B7" w14:paraId="56CC14D2" w14:textId="77777777">
      <w:pPr>
        <w:pStyle w:val="Heading3"/>
      </w:pPr>
    </w:p>
    <w:p w:rsidR="0099249D" w14:paraId="3299B4D5" w14:textId="77777777">
      <w:pPr>
        <w:rPr>
          <w:rFonts w:eastAsia="Calibri" w:cs="Arial"/>
          <w:b/>
          <w:bCs/>
          <w:lang w:bidi="ar-SA"/>
        </w:rPr>
      </w:pPr>
      <w:r>
        <w:br w:type="page"/>
      </w:r>
    </w:p>
    <w:p w:rsidR="00257E70" w:rsidRPr="00ED38E9" w:rsidP="00BF16B7" w14:paraId="6E4795FA" w14:textId="05769E0B">
      <w:pPr>
        <w:pStyle w:val="Heading3"/>
      </w:pPr>
      <w:r w:rsidRPr="00ED38E9">
        <w:t>Vyhodnocení nákladů a přínosů variant</w:t>
      </w:r>
    </w:p>
    <w:p w:rsidR="002B388B" w:rsidRPr="001539F1" w:rsidP="002B388B" w14:paraId="4B5181EB" w14:textId="0F3E5902">
      <w:pPr>
        <w:keepNext/>
        <w:spacing w:after="120"/>
        <w:rPr>
          <w:rFonts w:cs="Arial"/>
          <w:b/>
          <w:spacing w:val="10"/>
          <w:sz w:val="20"/>
          <w:szCs w:val="20"/>
        </w:rPr>
      </w:pPr>
      <w:bookmarkStart w:id="34" w:name="_Toc441759842"/>
      <w:r w:rsidRPr="001539F1">
        <w:rPr>
          <w:rFonts w:cs="Arial"/>
          <w:b/>
          <w:spacing w:val="10"/>
          <w:sz w:val="20"/>
          <w:szCs w:val="20"/>
        </w:rPr>
        <w:t xml:space="preserve">Tabulka </w:t>
      </w:r>
      <w:r w:rsidR="00FD56BA">
        <w:rPr>
          <w:rFonts w:cs="Arial"/>
          <w:b/>
          <w:spacing w:val="10"/>
          <w:sz w:val="20"/>
          <w:szCs w:val="20"/>
        </w:rPr>
        <w:t>1</w:t>
      </w:r>
      <w:r w:rsidR="00925F10">
        <w:rPr>
          <w:rFonts w:cs="Arial"/>
          <w:b/>
          <w:spacing w:val="10"/>
          <w:sz w:val="20"/>
          <w:szCs w:val="20"/>
        </w:rPr>
        <w:t>2</w:t>
      </w:r>
      <w:r w:rsidRPr="001539F1">
        <w:rPr>
          <w:rFonts w:cs="Arial"/>
          <w:b/>
          <w:spacing w:val="10"/>
          <w:sz w:val="20"/>
          <w:szCs w:val="20"/>
        </w:rPr>
        <w:t>: Porovnání nákladů a přínosů</w:t>
      </w:r>
    </w:p>
    <w:tbl>
      <w:tblPr>
        <w:tblStyle w:val="TableGrid"/>
        <w:tblW w:w="0" w:type="auto"/>
        <w:tblLook w:val="04A0"/>
      </w:tblPr>
      <w:tblGrid>
        <w:gridCol w:w="1240"/>
        <w:gridCol w:w="2405"/>
        <w:gridCol w:w="1496"/>
        <w:gridCol w:w="2465"/>
        <w:gridCol w:w="1456"/>
      </w:tblGrid>
      <w:tr w14:paraId="40845344" w14:textId="77777777" w:rsidTr="00C87069">
        <w:tblPrEx>
          <w:tblW w:w="0" w:type="auto"/>
          <w:tblLook w:val="04A0"/>
        </w:tblPrEx>
        <w:trPr>
          <w:trHeight w:val="423"/>
        </w:trPr>
        <w:tc>
          <w:tcPr>
            <w:tcW w:w="1240" w:type="dxa"/>
            <w:noWrap/>
            <w:vAlign w:val="center"/>
            <w:hideMark/>
          </w:tcPr>
          <w:p w:rsidR="002B388B" w:rsidRPr="002B388B" w:rsidP="00C87069" w14:paraId="10F1F601" w14:textId="77777777">
            <w:pPr>
              <w:rPr>
                <w:b/>
                <w:bCs/>
                <w:sz w:val="20"/>
                <w:szCs w:val="20"/>
              </w:rPr>
            </w:pPr>
            <w:r w:rsidRPr="002B388B">
              <w:rPr>
                <w:b/>
                <w:bCs/>
                <w:sz w:val="20"/>
                <w:szCs w:val="20"/>
              </w:rPr>
              <w:t>Varianta</w:t>
            </w:r>
          </w:p>
        </w:tc>
        <w:tc>
          <w:tcPr>
            <w:tcW w:w="2405" w:type="dxa"/>
            <w:noWrap/>
            <w:vAlign w:val="center"/>
            <w:hideMark/>
          </w:tcPr>
          <w:p w:rsidR="002B388B" w:rsidRPr="002B388B" w:rsidP="00C87069" w14:paraId="2D7751D7" w14:textId="77777777">
            <w:pPr>
              <w:jc w:val="center"/>
              <w:rPr>
                <w:b/>
                <w:bCs/>
                <w:sz w:val="20"/>
                <w:szCs w:val="20"/>
              </w:rPr>
            </w:pPr>
            <w:r w:rsidRPr="002B388B">
              <w:rPr>
                <w:b/>
                <w:bCs/>
                <w:sz w:val="20"/>
                <w:szCs w:val="20"/>
              </w:rPr>
              <w:t>Přínosy</w:t>
            </w:r>
          </w:p>
        </w:tc>
        <w:tc>
          <w:tcPr>
            <w:tcW w:w="1496" w:type="dxa"/>
            <w:noWrap/>
            <w:vAlign w:val="center"/>
            <w:hideMark/>
          </w:tcPr>
          <w:p w:rsidR="002B388B" w:rsidRPr="002B388B" w:rsidP="00C87069" w14:paraId="558B77E6" w14:textId="77777777">
            <w:pPr>
              <w:jc w:val="center"/>
              <w:rPr>
                <w:b/>
                <w:bCs/>
                <w:sz w:val="20"/>
                <w:szCs w:val="20"/>
              </w:rPr>
            </w:pPr>
            <w:r w:rsidRPr="002B388B">
              <w:rPr>
                <w:b/>
                <w:bCs/>
                <w:sz w:val="20"/>
                <w:szCs w:val="20"/>
              </w:rPr>
              <w:t>Hodnocení</w:t>
            </w:r>
          </w:p>
        </w:tc>
        <w:tc>
          <w:tcPr>
            <w:tcW w:w="2465" w:type="dxa"/>
            <w:noWrap/>
            <w:vAlign w:val="center"/>
            <w:hideMark/>
          </w:tcPr>
          <w:p w:rsidR="002B388B" w:rsidRPr="002B388B" w:rsidP="00C87069" w14:paraId="6283A7BE" w14:textId="77777777">
            <w:pPr>
              <w:jc w:val="center"/>
              <w:rPr>
                <w:b/>
                <w:bCs/>
                <w:sz w:val="20"/>
                <w:szCs w:val="20"/>
              </w:rPr>
            </w:pPr>
            <w:r w:rsidRPr="002B388B">
              <w:rPr>
                <w:b/>
                <w:bCs/>
                <w:sz w:val="20"/>
                <w:szCs w:val="20"/>
              </w:rPr>
              <w:t>Náklady</w:t>
            </w:r>
          </w:p>
        </w:tc>
        <w:tc>
          <w:tcPr>
            <w:tcW w:w="1456" w:type="dxa"/>
            <w:noWrap/>
            <w:vAlign w:val="center"/>
            <w:hideMark/>
          </w:tcPr>
          <w:p w:rsidR="002B388B" w:rsidRPr="002B388B" w:rsidP="00C87069" w14:paraId="6FC70128" w14:textId="77777777">
            <w:pPr>
              <w:jc w:val="center"/>
              <w:rPr>
                <w:b/>
                <w:bCs/>
                <w:sz w:val="20"/>
                <w:szCs w:val="20"/>
              </w:rPr>
            </w:pPr>
            <w:r w:rsidRPr="002B388B">
              <w:rPr>
                <w:b/>
                <w:bCs/>
                <w:sz w:val="20"/>
                <w:szCs w:val="20"/>
              </w:rPr>
              <w:t>Hodnocení</w:t>
            </w:r>
          </w:p>
        </w:tc>
      </w:tr>
      <w:tr w14:paraId="543F5324" w14:textId="77777777" w:rsidTr="002B388B">
        <w:tblPrEx>
          <w:tblW w:w="0" w:type="auto"/>
          <w:tblLook w:val="04A0"/>
        </w:tblPrEx>
        <w:trPr>
          <w:trHeight w:val="434"/>
        </w:trPr>
        <w:tc>
          <w:tcPr>
            <w:tcW w:w="1240" w:type="dxa"/>
            <w:vMerge w:val="restart"/>
            <w:noWrap/>
            <w:vAlign w:val="center"/>
            <w:hideMark/>
          </w:tcPr>
          <w:p w:rsidR="002B388B" w:rsidRPr="002B388B" w:rsidP="00C87069" w14:paraId="2F7B3BBC" w14:textId="77777777">
            <w:pPr>
              <w:rPr>
                <w:b/>
                <w:bCs/>
                <w:sz w:val="20"/>
                <w:szCs w:val="20"/>
              </w:rPr>
            </w:pPr>
            <w:r w:rsidRPr="002B388B">
              <w:rPr>
                <w:b/>
                <w:bCs/>
                <w:sz w:val="20"/>
                <w:szCs w:val="20"/>
              </w:rPr>
              <w:t>Varianta 0</w:t>
            </w:r>
          </w:p>
        </w:tc>
        <w:tc>
          <w:tcPr>
            <w:tcW w:w="7822" w:type="dxa"/>
            <w:gridSpan w:val="4"/>
            <w:vAlign w:val="center"/>
            <w:hideMark/>
          </w:tcPr>
          <w:p w:rsidR="002B388B" w:rsidRPr="002B388B" w:rsidP="00C87069" w14:paraId="25AF6195" w14:textId="77777777">
            <w:pPr>
              <w:jc w:val="center"/>
              <w:rPr>
                <w:b/>
                <w:bCs/>
                <w:sz w:val="20"/>
                <w:szCs w:val="20"/>
              </w:rPr>
            </w:pPr>
            <w:r w:rsidRPr="002B388B">
              <w:rPr>
                <w:b/>
                <w:bCs/>
                <w:sz w:val="20"/>
                <w:szCs w:val="20"/>
              </w:rPr>
              <w:t>Státní rozpočet a ostatní veřejné rozpočty</w:t>
            </w:r>
          </w:p>
        </w:tc>
      </w:tr>
      <w:tr w14:paraId="188C1D22" w14:textId="77777777" w:rsidTr="002B388B">
        <w:tblPrEx>
          <w:tblW w:w="0" w:type="auto"/>
          <w:tblLook w:val="04A0"/>
        </w:tblPrEx>
        <w:trPr>
          <w:trHeight w:val="837"/>
        </w:trPr>
        <w:tc>
          <w:tcPr>
            <w:tcW w:w="1240" w:type="dxa"/>
            <w:vMerge/>
            <w:vAlign w:val="center"/>
            <w:hideMark/>
          </w:tcPr>
          <w:p w:rsidR="002B388B" w:rsidRPr="002B388B" w:rsidP="00C87069" w14:paraId="1C6566E5" w14:textId="77777777">
            <w:pPr>
              <w:rPr>
                <w:b/>
                <w:bCs/>
                <w:sz w:val="20"/>
                <w:szCs w:val="20"/>
              </w:rPr>
            </w:pPr>
          </w:p>
        </w:tc>
        <w:tc>
          <w:tcPr>
            <w:tcW w:w="2405" w:type="dxa"/>
            <w:vAlign w:val="center"/>
            <w:hideMark/>
          </w:tcPr>
          <w:p w:rsidR="002B388B" w:rsidRPr="002B388B" w:rsidP="00C87069" w14:paraId="7929185C" w14:textId="77777777">
            <w:pPr>
              <w:jc w:val="center"/>
              <w:rPr>
                <w:sz w:val="20"/>
                <w:szCs w:val="20"/>
              </w:rPr>
            </w:pPr>
          </w:p>
        </w:tc>
        <w:tc>
          <w:tcPr>
            <w:tcW w:w="1496" w:type="dxa"/>
            <w:vAlign w:val="center"/>
            <w:hideMark/>
          </w:tcPr>
          <w:p w:rsidR="002B388B" w:rsidRPr="002B388B" w:rsidP="00C87069" w14:paraId="389871F7" w14:textId="77777777">
            <w:pPr>
              <w:jc w:val="center"/>
              <w:rPr>
                <w:sz w:val="20"/>
                <w:szCs w:val="20"/>
              </w:rPr>
            </w:pPr>
          </w:p>
        </w:tc>
        <w:tc>
          <w:tcPr>
            <w:tcW w:w="2465" w:type="dxa"/>
            <w:vAlign w:val="center"/>
            <w:hideMark/>
          </w:tcPr>
          <w:p w:rsidR="002B388B" w:rsidRPr="002B388B" w:rsidP="00C87069" w14:paraId="4B58E3FA" w14:textId="77777777">
            <w:pPr>
              <w:jc w:val="center"/>
              <w:rPr>
                <w:sz w:val="20"/>
                <w:szCs w:val="20"/>
              </w:rPr>
            </w:pPr>
            <w:r w:rsidRPr="002B388B">
              <w:rPr>
                <w:sz w:val="20"/>
                <w:szCs w:val="20"/>
              </w:rPr>
              <w:t>nejednotnost v udělování oprávnění k provozování KS</w:t>
            </w:r>
          </w:p>
        </w:tc>
        <w:tc>
          <w:tcPr>
            <w:tcW w:w="1456" w:type="dxa"/>
            <w:vAlign w:val="center"/>
            <w:hideMark/>
          </w:tcPr>
          <w:p w:rsidR="002B388B" w:rsidRPr="002B388B" w:rsidP="00C87069" w14:paraId="2C2EC018" w14:textId="77777777">
            <w:pPr>
              <w:jc w:val="center"/>
              <w:rPr>
                <w:sz w:val="20"/>
                <w:szCs w:val="20"/>
              </w:rPr>
            </w:pPr>
            <w:r w:rsidRPr="002B388B">
              <w:rPr>
                <w:sz w:val="20"/>
                <w:szCs w:val="20"/>
              </w:rPr>
              <w:t>***</w:t>
            </w:r>
          </w:p>
        </w:tc>
      </w:tr>
      <w:tr w14:paraId="09055668" w14:textId="77777777" w:rsidTr="002B388B">
        <w:tblPrEx>
          <w:tblW w:w="0" w:type="auto"/>
          <w:tblLook w:val="04A0"/>
        </w:tblPrEx>
        <w:trPr>
          <w:trHeight w:val="370"/>
        </w:trPr>
        <w:tc>
          <w:tcPr>
            <w:tcW w:w="1240" w:type="dxa"/>
            <w:vMerge/>
            <w:vAlign w:val="center"/>
            <w:hideMark/>
          </w:tcPr>
          <w:p w:rsidR="002B388B" w:rsidRPr="002B388B" w:rsidP="00C87069" w14:paraId="52464E9C" w14:textId="77777777">
            <w:pPr>
              <w:rPr>
                <w:b/>
                <w:bCs/>
                <w:sz w:val="20"/>
                <w:szCs w:val="20"/>
              </w:rPr>
            </w:pPr>
          </w:p>
        </w:tc>
        <w:tc>
          <w:tcPr>
            <w:tcW w:w="7822" w:type="dxa"/>
            <w:gridSpan w:val="4"/>
            <w:vAlign w:val="center"/>
            <w:hideMark/>
          </w:tcPr>
          <w:p w:rsidR="002B388B" w:rsidRPr="002B388B" w:rsidP="00C87069" w14:paraId="6E42856B" w14:textId="77777777">
            <w:pPr>
              <w:jc w:val="center"/>
              <w:rPr>
                <w:b/>
                <w:bCs/>
                <w:sz w:val="20"/>
                <w:szCs w:val="20"/>
              </w:rPr>
            </w:pPr>
            <w:r w:rsidRPr="002B388B">
              <w:rPr>
                <w:b/>
                <w:bCs/>
                <w:sz w:val="20"/>
                <w:szCs w:val="20"/>
              </w:rPr>
              <w:t>Podnikatelské subjekty</w:t>
            </w:r>
          </w:p>
        </w:tc>
      </w:tr>
      <w:tr w14:paraId="583B026B" w14:textId="77777777" w:rsidTr="002B388B">
        <w:tblPrEx>
          <w:tblW w:w="0" w:type="auto"/>
          <w:tblLook w:val="04A0"/>
        </w:tblPrEx>
        <w:trPr>
          <w:trHeight w:val="857"/>
        </w:trPr>
        <w:tc>
          <w:tcPr>
            <w:tcW w:w="1240" w:type="dxa"/>
            <w:vMerge/>
            <w:vAlign w:val="center"/>
            <w:hideMark/>
          </w:tcPr>
          <w:p w:rsidR="002B388B" w:rsidRPr="002B388B" w:rsidP="00C87069" w14:paraId="2CD08310" w14:textId="77777777">
            <w:pPr>
              <w:rPr>
                <w:b/>
                <w:bCs/>
                <w:sz w:val="20"/>
                <w:szCs w:val="20"/>
              </w:rPr>
            </w:pPr>
          </w:p>
        </w:tc>
        <w:tc>
          <w:tcPr>
            <w:tcW w:w="2405" w:type="dxa"/>
            <w:vAlign w:val="center"/>
            <w:hideMark/>
          </w:tcPr>
          <w:p w:rsidR="002B388B" w:rsidRPr="002B388B" w:rsidP="00C87069" w14:paraId="5640C7E4" w14:textId="77777777">
            <w:pPr>
              <w:jc w:val="center"/>
              <w:rPr>
                <w:sz w:val="20"/>
                <w:szCs w:val="20"/>
              </w:rPr>
            </w:pPr>
          </w:p>
        </w:tc>
        <w:tc>
          <w:tcPr>
            <w:tcW w:w="1496" w:type="dxa"/>
            <w:vAlign w:val="center"/>
            <w:hideMark/>
          </w:tcPr>
          <w:p w:rsidR="002B388B" w:rsidRPr="002B388B" w:rsidP="00C87069" w14:paraId="0E414FD2" w14:textId="77777777">
            <w:pPr>
              <w:jc w:val="center"/>
              <w:rPr>
                <w:sz w:val="20"/>
                <w:szCs w:val="20"/>
              </w:rPr>
            </w:pPr>
          </w:p>
        </w:tc>
        <w:tc>
          <w:tcPr>
            <w:tcW w:w="2465" w:type="dxa"/>
            <w:vAlign w:val="center"/>
            <w:hideMark/>
          </w:tcPr>
          <w:p w:rsidR="002B388B" w:rsidRPr="002B388B" w:rsidP="00C87069" w14:paraId="7A9FE488" w14:textId="77777777">
            <w:pPr>
              <w:jc w:val="center"/>
              <w:rPr>
                <w:sz w:val="20"/>
                <w:szCs w:val="20"/>
              </w:rPr>
            </w:pPr>
            <w:r w:rsidRPr="002B388B">
              <w:rPr>
                <w:sz w:val="20"/>
                <w:szCs w:val="20"/>
              </w:rPr>
              <w:t>účelově zakládané KS, které nejsou schopné plnit efektivně povinnosti ZO</w:t>
            </w:r>
          </w:p>
        </w:tc>
        <w:tc>
          <w:tcPr>
            <w:tcW w:w="1456" w:type="dxa"/>
            <w:vAlign w:val="center"/>
            <w:hideMark/>
          </w:tcPr>
          <w:p w:rsidR="002B388B" w:rsidRPr="002B388B" w:rsidP="00C87069" w14:paraId="630F2CEA" w14:textId="77777777">
            <w:pPr>
              <w:jc w:val="center"/>
              <w:rPr>
                <w:sz w:val="20"/>
                <w:szCs w:val="20"/>
              </w:rPr>
            </w:pPr>
            <w:r w:rsidRPr="002B388B">
              <w:rPr>
                <w:sz w:val="20"/>
                <w:szCs w:val="20"/>
              </w:rPr>
              <w:t>****</w:t>
            </w:r>
          </w:p>
        </w:tc>
      </w:tr>
      <w:tr w14:paraId="71016C7B" w14:textId="77777777" w:rsidTr="002B388B">
        <w:tblPrEx>
          <w:tblW w:w="0" w:type="auto"/>
          <w:tblLook w:val="04A0"/>
        </w:tblPrEx>
        <w:trPr>
          <w:trHeight w:val="711"/>
        </w:trPr>
        <w:tc>
          <w:tcPr>
            <w:tcW w:w="1240" w:type="dxa"/>
            <w:vMerge/>
            <w:vAlign w:val="center"/>
            <w:hideMark/>
          </w:tcPr>
          <w:p w:rsidR="002B388B" w:rsidRPr="002B388B" w:rsidP="00C87069" w14:paraId="6AD8B4E9" w14:textId="77777777">
            <w:pPr>
              <w:rPr>
                <w:b/>
                <w:bCs/>
                <w:sz w:val="20"/>
                <w:szCs w:val="20"/>
              </w:rPr>
            </w:pPr>
          </w:p>
        </w:tc>
        <w:tc>
          <w:tcPr>
            <w:tcW w:w="2405" w:type="dxa"/>
            <w:vAlign w:val="center"/>
            <w:hideMark/>
          </w:tcPr>
          <w:p w:rsidR="002B388B" w:rsidRPr="002B388B" w:rsidP="00C87069" w14:paraId="16A13A05" w14:textId="77777777">
            <w:pPr>
              <w:jc w:val="center"/>
              <w:rPr>
                <w:sz w:val="20"/>
                <w:szCs w:val="20"/>
              </w:rPr>
            </w:pPr>
          </w:p>
        </w:tc>
        <w:tc>
          <w:tcPr>
            <w:tcW w:w="1496" w:type="dxa"/>
            <w:vAlign w:val="center"/>
            <w:hideMark/>
          </w:tcPr>
          <w:p w:rsidR="002B388B" w:rsidRPr="002B388B" w:rsidP="00C87069" w14:paraId="423B9088" w14:textId="77777777">
            <w:pPr>
              <w:jc w:val="center"/>
              <w:rPr>
                <w:sz w:val="20"/>
                <w:szCs w:val="20"/>
              </w:rPr>
            </w:pPr>
          </w:p>
        </w:tc>
        <w:tc>
          <w:tcPr>
            <w:tcW w:w="2465" w:type="dxa"/>
            <w:vAlign w:val="center"/>
            <w:hideMark/>
          </w:tcPr>
          <w:p w:rsidR="002B388B" w:rsidRPr="002B388B" w:rsidP="00C87069" w14:paraId="02248C86" w14:textId="77777777">
            <w:pPr>
              <w:jc w:val="center"/>
              <w:rPr>
                <w:sz w:val="20"/>
                <w:szCs w:val="20"/>
              </w:rPr>
            </w:pPr>
            <w:r w:rsidRPr="002B388B">
              <w:rPr>
                <w:sz w:val="20"/>
                <w:szCs w:val="20"/>
              </w:rPr>
              <w:t>nejednotnotné podmínky na trhu</w:t>
            </w:r>
          </w:p>
        </w:tc>
        <w:tc>
          <w:tcPr>
            <w:tcW w:w="1456" w:type="dxa"/>
            <w:vAlign w:val="center"/>
            <w:hideMark/>
          </w:tcPr>
          <w:p w:rsidR="002B388B" w:rsidRPr="002B388B" w:rsidP="00C87069" w14:paraId="4F2F9F5C" w14:textId="77777777">
            <w:pPr>
              <w:jc w:val="center"/>
              <w:rPr>
                <w:sz w:val="20"/>
                <w:szCs w:val="20"/>
              </w:rPr>
            </w:pPr>
            <w:r w:rsidRPr="002B388B">
              <w:rPr>
                <w:sz w:val="20"/>
                <w:szCs w:val="20"/>
              </w:rPr>
              <w:t>***</w:t>
            </w:r>
          </w:p>
        </w:tc>
      </w:tr>
      <w:tr w14:paraId="6080902C" w14:textId="77777777" w:rsidTr="002B388B">
        <w:tblPrEx>
          <w:tblW w:w="0" w:type="auto"/>
          <w:tblLook w:val="04A0"/>
        </w:tblPrEx>
        <w:trPr>
          <w:trHeight w:val="426"/>
        </w:trPr>
        <w:tc>
          <w:tcPr>
            <w:tcW w:w="1240" w:type="dxa"/>
            <w:vMerge/>
            <w:vAlign w:val="center"/>
            <w:hideMark/>
          </w:tcPr>
          <w:p w:rsidR="002B388B" w:rsidRPr="002B388B" w:rsidP="00C87069" w14:paraId="5EAB9647" w14:textId="77777777">
            <w:pPr>
              <w:rPr>
                <w:b/>
                <w:bCs/>
                <w:sz w:val="20"/>
                <w:szCs w:val="20"/>
              </w:rPr>
            </w:pPr>
          </w:p>
        </w:tc>
        <w:tc>
          <w:tcPr>
            <w:tcW w:w="7822" w:type="dxa"/>
            <w:gridSpan w:val="4"/>
            <w:vAlign w:val="center"/>
            <w:hideMark/>
          </w:tcPr>
          <w:p w:rsidR="002B388B" w:rsidRPr="002B388B" w:rsidP="00C87069" w14:paraId="77B11BB3" w14:textId="77777777">
            <w:pPr>
              <w:jc w:val="center"/>
              <w:rPr>
                <w:b/>
                <w:bCs/>
                <w:sz w:val="20"/>
                <w:szCs w:val="20"/>
              </w:rPr>
            </w:pPr>
            <w:r w:rsidRPr="002B388B">
              <w:rPr>
                <w:b/>
                <w:bCs/>
                <w:sz w:val="20"/>
                <w:szCs w:val="20"/>
              </w:rPr>
              <w:t>Územní samosprávné celky (obce, kraje)</w:t>
            </w:r>
          </w:p>
        </w:tc>
      </w:tr>
      <w:tr w14:paraId="0966BA5C" w14:textId="77777777" w:rsidTr="002B388B">
        <w:tblPrEx>
          <w:tblW w:w="0" w:type="auto"/>
          <w:tblLook w:val="04A0"/>
        </w:tblPrEx>
        <w:trPr>
          <w:trHeight w:val="558"/>
        </w:trPr>
        <w:tc>
          <w:tcPr>
            <w:tcW w:w="1240" w:type="dxa"/>
            <w:vMerge/>
            <w:vAlign w:val="center"/>
            <w:hideMark/>
          </w:tcPr>
          <w:p w:rsidR="002B388B" w:rsidRPr="002B388B" w:rsidP="00C87069" w14:paraId="3F27C26C" w14:textId="77777777">
            <w:pPr>
              <w:rPr>
                <w:b/>
                <w:bCs/>
                <w:sz w:val="20"/>
                <w:szCs w:val="20"/>
              </w:rPr>
            </w:pPr>
          </w:p>
        </w:tc>
        <w:tc>
          <w:tcPr>
            <w:tcW w:w="2405" w:type="dxa"/>
            <w:vAlign w:val="center"/>
            <w:hideMark/>
          </w:tcPr>
          <w:p w:rsidR="002B388B" w:rsidRPr="002B388B" w:rsidP="00C87069" w14:paraId="735A8C49" w14:textId="77777777">
            <w:pPr>
              <w:jc w:val="center"/>
              <w:rPr>
                <w:sz w:val="20"/>
                <w:szCs w:val="20"/>
              </w:rPr>
            </w:pPr>
          </w:p>
        </w:tc>
        <w:tc>
          <w:tcPr>
            <w:tcW w:w="1496" w:type="dxa"/>
            <w:noWrap/>
            <w:vAlign w:val="center"/>
            <w:hideMark/>
          </w:tcPr>
          <w:p w:rsidR="002B388B" w:rsidRPr="002B388B" w:rsidP="00C87069" w14:paraId="73C4D1AA" w14:textId="77777777">
            <w:pPr>
              <w:jc w:val="center"/>
              <w:rPr>
                <w:sz w:val="20"/>
                <w:szCs w:val="20"/>
              </w:rPr>
            </w:pPr>
          </w:p>
        </w:tc>
        <w:tc>
          <w:tcPr>
            <w:tcW w:w="2465" w:type="dxa"/>
            <w:vAlign w:val="center"/>
            <w:hideMark/>
          </w:tcPr>
          <w:p w:rsidR="002B388B" w:rsidRPr="002B388B" w:rsidP="00C87069" w14:paraId="60AC5E6B" w14:textId="77777777">
            <w:pPr>
              <w:jc w:val="center"/>
              <w:rPr>
                <w:sz w:val="20"/>
                <w:szCs w:val="20"/>
              </w:rPr>
            </w:pPr>
            <w:r w:rsidRPr="002B388B">
              <w:rPr>
                <w:sz w:val="20"/>
                <w:szCs w:val="20"/>
              </w:rPr>
              <w:t>riziko nákladů za likvidaci černých skládek</w:t>
            </w:r>
          </w:p>
        </w:tc>
        <w:tc>
          <w:tcPr>
            <w:tcW w:w="1456" w:type="dxa"/>
            <w:noWrap/>
            <w:vAlign w:val="center"/>
            <w:hideMark/>
          </w:tcPr>
          <w:p w:rsidR="002B388B" w:rsidRPr="002B388B" w:rsidP="00C87069" w14:paraId="4FAF0BDB" w14:textId="77777777">
            <w:pPr>
              <w:jc w:val="center"/>
              <w:rPr>
                <w:sz w:val="20"/>
                <w:szCs w:val="20"/>
              </w:rPr>
            </w:pPr>
            <w:r w:rsidRPr="002B388B">
              <w:rPr>
                <w:sz w:val="20"/>
                <w:szCs w:val="20"/>
              </w:rPr>
              <w:t>* až ****</w:t>
            </w:r>
          </w:p>
        </w:tc>
      </w:tr>
      <w:tr w14:paraId="32DEFAC8" w14:textId="77777777" w:rsidTr="002B388B">
        <w:tblPrEx>
          <w:tblW w:w="0" w:type="auto"/>
          <w:tblLook w:val="04A0"/>
        </w:tblPrEx>
        <w:trPr>
          <w:trHeight w:val="390"/>
        </w:trPr>
        <w:tc>
          <w:tcPr>
            <w:tcW w:w="1240" w:type="dxa"/>
            <w:vMerge/>
            <w:vAlign w:val="center"/>
            <w:hideMark/>
          </w:tcPr>
          <w:p w:rsidR="002B388B" w:rsidRPr="002B388B" w:rsidP="00C87069" w14:paraId="4508212E" w14:textId="77777777">
            <w:pPr>
              <w:rPr>
                <w:b/>
                <w:bCs/>
                <w:sz w:val="20"/>
                <w:szCs w:val="20"/>
              </w:rPr>
            </w:pPr>
          </w:p>
        </w:tc>
        <w:tc>
          <w:tcPr>
            <w:tcW w:w="7822" w:type="dxa"/>
            <w:gridSpan w:val="4"/>
            <w:vAlign w:val="center"/>
            <w:hideMark/>
          </w:tcPr>
          <w:p w:rsidR="002B388B" w:rsidRPr="002B388B" w:rsidP="00C87069" w14:paraId="63EDBFAB" w14:textId="77777777">
            <w:pPr>
              <w:jc w:val="center"/>
              <w:rPr>
                <w:b/>
                <w:bCs/>
                <w:sz w:val="20"/>
                <w:szCs w:val="20"/>
              </w:rPr>
            </w:pPr>
            <w:r w:rsidRPr="002B388B">
              <w:rPr>
                <w:b/>
                <w:bCs/>
                <w:sz w:val="20"/>
                <w:szCs w:val="20"/>
              </w:rPr>
              <w:t>Sociální dopady</w:t>
            </w:r>
          </w:p>
        </w:tc>
      </w:tr>
      <w:tr w14:paraId="41BC0D86" w14:textId="77777777" w:rsidTr="002B388B">
        <w:tblPrEx>
          <w:tblW w:w="0" w:type="auto"/>
          <w:tblLook w:val="04A0"/>
        </w:tblPrEx>
        <w:trPr>
          <w:trHeight w:val="585"/>
        </w:trPr>
        <w:tc>
          <w:tcPr>
            <w:tcW w:w="1240" w:type="dxa"/>
            <w:vMerge/>
            <w:vAlign w:val="center"/>
            <w:hideMark/>
          </w:tcPr>
          <w:p w:rsidR="002B388B" w:rsidRPr="002B388B" w:rsidP="00C87069" w14:paraId="2F47A792" w14:textId="77777777">
            <w:pPr>
              <w:rPr>
                <w:b/>
                <w:bCs/>
                <w:sz w:val="20"/>
                <w:szCs w:val="20"/>
              </w:rPr>
            </w:pPr>
          </w:p>
        </w:tc>
        <w:tc>
          <w:tcPr>
            <w:tcW w:w="2405" w:type="dxa"/>
            <w:vAlign w:val="center"/>
            <w:hideMark/>
          </w:tcPr>
          <w:p w:rsidR="002B388B" w:rsidRPr="002B388B" w:rsidP="00C87069" w14:paraId="6AF44881" w14:textId="77777777">
            <w:pPr>
              <w:jc w:val="center"/>
              <w:rPr>
                <w:sz w:val="20"/>
                <w:szCs w:val="20"/>
              </w:rPr>
            </w:pPr>
          </w:p>
        </w:tc>
        <w:tc>
          <w:tcPr>
            <w:tcW w:w="1496" w:type="dxa"/>
            <w:vAlign w:val="center"/>
            <w:hideMark/>
          </w:tcPr>
          <w:p w:rsidR="002B388B" w:rsidRPr="002B388B" w:rsidP="00C87069" w14:paraId="388E6D1B" w14:textId="77777777">
            <w:pPr>
              <w:jc w:val="center"/>
              <w:rPr>
                <w:sz w:val="20"/>
                <w:szCs w:val="20"/>
              </w:rPr>
            </w:pPr>
          </w:p>
        </w:tc>
        <w:tc>
          <w:tcPr>
            <w:tcW w:w="2465" w:type="dxa"/>
            <w:vAlign w:val="center"/>
            <w:hideMark/>
          </w:tcPr>
          <w:p w:rsidR="002B388B" w:rsidRPr="002B388B" w:rsidP="00C87069" w14:paraId="4AFC828B" w14:textId="77777777">
            <w:pPr>
              <w:jc w:val="center"/>
              <w:rPr>
                <w:sz w:val="20"/>
                <w:szCs w:val="20"/>
              </w:rPr>
            </w:pPr>
            <w:r w:rsidRPr="002B388B">
              <w:rPr>
                <w:sz w:val="20"/>
                <w:szCs w:val="20"/>
              </w:rPr>
              <w:t>špatná dostupnost ši nefunkční místa ZO</w:t>
            </w:r>
          </w:p>
        </w:tc>
        <w:tc>
          <w:tcPr>
            <w:tcW w:w="1456" w:type="dxa"/>
            <w:vAlign w:val="center"/>
            <w:hideMark/>
          </w:tcPr>
          <w:p w:rsidR="002B388B" w:rsidRPr="002B388B" w:rsidP="00C87069" w14:paraId="5428F140" w14:textId="77777777">
            <w:pPr>
              <w:jc w:val="center"/>
              <w:rPr>
                <w:sz w:val="20"/>
                <w:szCs w:val="20"/>
              </w:rPr>
            </w:pPr>
            <w:r w:rsidRPr="002B388B">
              <w:rPr>
                <w:sz w:val="20"/>
                <w:szCs w:val="20"/>
              </w:rPr>
              <w:t>* až ***</w:t>
            </w:r>
          </w:p>
        </w:tc>
      </w:tr>
      <w:tr w14:paraId="25B8B3D2" w14:textId="77777777" w:rsidTr="002B388B">
        <w:tblPrEx>
          <w:tblW w:w="0" w:type="auto"/>
          <w:tblLook w:val="04A0"/>
        </w:tblPrEx>
        <w:trPr>
          <w:trHeight w:val="396"/>
        </w:trPr>
        <w:tc>
          <w:tcPr>
            <w:tcW w:w="1240" w:type="dxa"/>
            <w:vMerge/>
            <w:vAlign w:val="center"/>
            <w:hideMark/>
          </w:tcPr>
          <w:p w:rsidR="002B388B" w:rsidRPr="002B388B" w:rsidP="00C87069" w14:paraId="665FAF62" w14:textId="77777777">
            <w:pPr>
              <w:rPr>
                <w:b/>
                <w:bCs/>
                <w:sz w:val="20"/>
                <w:szCs w:val="20"/>
              </w:rPr>
            </w:pPr>
          </w:p>
        </w:tc>
        <w:tc>
          <w:tcPr>
            <w:tcW w:w="7822" w:type="dxa"/>
            <w:gridSpan w:val="4"/>
            <w:vAlign w:val="center"/>
            <w:hideMark/>
          </w:tcPr>
          <w:p w:rsidR="002B388B" w:rsidRPr="002B388B" w:rsidP="00C87069" w14:paraId="7FD83D68" w14:textId="77777777">
            <w:pPr>
              <w:jc w:val="center"/>
              <w:rPr>
                <w:b/>
                <w:bCs/>
                <w:sz w:val="20"/>
                <w:szCs w:val="20"/>
              </w:rPr>
            </w:pPr>
            <w:r w:rsidRPr="002B388B">
              <w:rPr>
                <w:b/>
                <w:bCs/>
                <w:sz w:val="20"/>
                <w:szCs w:val="20"/>
              </w:rPr>
              <w:t>Životní prostředí</w:t>
            </w:r>
          </w:p>
        </w:tc>
      </w:tr>
      <w:tr w14:paraId="6CAF1DA7" w14:textId="77777777" w:rsidTr="002B388B">
        <w:tblPrEx>
          <w:tblW w:w="0" w:type="auto"/>
          <w:tblLook w:val="04A0"/>
        </w:tblPrEx>
        <w:trPr>
          <w:trHeight w:val="713"/>
        </w:trPr>
        <w:tc>
          <w:tcPr>
            <w:tcW w:w="1240" w:type="dxa"/>
            <w:vMerge/>
            <w:vAlign w:val="center"/>
            <w:hideMark/>
          </w:tcPr>
          <w:p w:rsidR="002B388B" w:rsidRPr="002B388B" w:rsidP="00C87069" w14:paraId="39D74EA4" w14:textId="77777777">
            <w:pPr>
              <w:rPr>
                <w:b/>
                <w:bCs/>
                <w:sz w:val="20"/>
                <w:szCs w:val="20"/>
              </w:rPr>
            </w:pPr>
          </w:p>
        </w:tc>
        <w:tc>
          <w:tcPr>
            <w:tcW w:w="2405" w:type="dxa"/>
            <w:vAlign w:val="center"/>
            <w:hideMark/>
          </w:tcPr>
          <w:p w:rsidR="002B388B" w:rsidRPr="002B388B" w:rsidP="00C87069" w14:paraId="13F0AAC5" w14:textId="77777777">
            <w:pPr>
              <w:jc w:val="center"/>
              <w:rPr>
                <w:sz w:val="20"/>
                <w:szCs w:val="20"/>
              </w:rPr>
            </w:pPr>
          </w:p>
        </w:tc>
        <w:tc>
          <w:tcPr>
            <w:tcW w:w="1496" w:type="dxa"/>
            <w:noWrap/>
            <w:vAlign w:val="center"/>
            <w:hideMark/>
          </w:tcPr>
          <w:p w:rsidR="002B388B" w:rsidRPr="002B388B" w:rsidP="00C87069" w14:paraId="12D3FC18" w14:textId="77777777">
            <w:pPr>
              <w:jc w:val="center"/>
              <w:rPr>
                <w:sz w:val="20"/>
                <w:szCs w:val="20"/>
              </w:rPr>
            </w:pPr>
          </w:p>
        </w:tc>
        <w:tc>
          <w:tcPr>
            <w:tcW w:w="2465" w:type="dxa"/>
            <w:vAlign w:val="center"/>
            <w:hideMark/>
          </w:tcPr>
          <w:p w:rsidR="002B388B" w:rsidRPr="002B388B" w:rsidP="00C87069" w14:paraId="697AE4DB" w14:textId="77777777">
            <w:pPr>
              <w:jc w:val="center"/>
              <w:rPr>
                <w:sz w:val="20"/>
                <w:szCs w:val="20"/>
              </w:rPr>
            </w:pPr>
            <w:r w:rsidRPr="002B388B">
              <w:rPr>
                <w:sz w:val="20"/>
                <w:szCs w:val="20"/>
              </w:rPr>
              <w:t>riziko nesprávného nakládání s odpady</w:t>
            </w:r>
          </w:p>
        </w:tc>
        <w:tc>
          <w:tcPr>
            <w:tcW w:w="1456" w:type="dxa"/>
            <w:vAlign w:val="center"/>
            <w:hideMark/>
          </w:tcPr>
          <w:p w:rsidR="002B388B" w:rsidRPr="002B388B" w:rsidP="00C87069" w14:paraId="2AAA91FB" w14:textId="77777777">
            <w:pPr>
              <w:jc w:val="center"/>
              <w:rPr>
                <w:sz w:val="20"/>
                <w:szCs w:val="20"/>
              </w:rPr>
            </w:pPr>
            <w:r w:rsidRPr="002B388B">
              <w:rPr>
                <w:sz w:val="20"/>
                <w:szCs w:val="20"/>
              </w:rPr>
              <w:t>* až ****</w:t>
            </w:r>
          </w:p>
        </w:tc>
      </w:tr>
      <w:tr w14:paraId="2A5BDE5B" w14:textId="77777777" w:rsidTr="002B388B">
        <w:tblPrEx>
          <w:tblW w:w="0" w:type="auto"/>
          <w:tblLook w:val="04A0"/>
        </w:tblPrEx>
        <w:trPr>
          <w:trHeight w:val="383"/>
        </w:trPr>
        <w:tc>
          <w:tcPr>
            <w:tcW w:w="1240" w:type="dxa"/>
            <w:vMerge w:val="restart"/>
            <w:noWrap/>
            <w:vAlign w:val="center"/>
            <w:hideMark/>
          </w:tcPr>
          <w:p w:rsidR="002B388B" w:rsidRPr="002B388B" w:rsidP="00C87069" w14:paraId="151176D9" w14:textId="77777777">
            <w:pPr>
              <w:rPr>
                <w:b/>
                <w:bCs/>
                <w:sz w:val="20"/>
                <w:szCs w:val="20"/>
              </w:rPr>
            </w:pPr>
            <w:r w:rsidRPr="002B388B">
              <w:rPr>
                <w:b/>
                <w:bCs/>
                <w:sz w:val="20"/>
                <w:szCs w:val="20"/>
              </w:rPr>
              <w:t>Varianta 1</w:t>
            </w:r>
          </w:p>
        </w:tc>
        <w:tc>
          <w:tcPr>
            <w:tcW w:w="7822" w:type="dxa"/>
            <w:gridSpan w:val="4"/>
            <w:vAlign w:val="center"/>
            <w:hideMark/>
          </w:tcPr>
          <w:p w:rsidR="002B388B" w:rsidRPr="002B388B" w:rsidP="00C87069" w14:paraId="5A091AF4" w14:textId="77777777">
            <w:pPr>
              <w:jc w:val="center"/>
              <w:rPr>
                <w:b/>
                <w:bCs/>
                <w:sz w:val="20"/>
                <w:szCs w:val="20"/>
              </w:rPr>
            </w:pPr>
            <w:r w:rsidRPr="002B388B">
              <w:rPr>
                <w:b/>
                <w:bCs/>
                <w:sz w:val="20"/>
                <w:szCs w:val="20"/>
              </w:rPr>
              <w:t>Státní rozpočet a ostatní veřejné rozpočty</w:t>
            </w:r>
          </w:p>
        </w:tc>
      </w:tr>
      <w:tr w14:paraId="06DD441F" w14:textId="77777777" w:rsidTr="00C87069">
        <w:tblPrEx>
          <w:tblW w:w="0" w:type="auto"/>
          <w:tblLook w:val="04A0"/>
        </w:tblPrEx>
        <w:trPr>
          <w:trHeight w:val="1296"/>
        </w:trPr>
        <w:tc>
          <w:tcPr>
            <w:tcW w:w="1240" w:type="dxa"/>
            <w:vMerge/>
            <w:hideMark/>
          </w:tcPr>
          <w:p w:rsidR="002B388B" w:rsidRPr="002B388B" w:rsidP="00C87069" w14:paraId="216E0920" w14:textId="77777777">
            <w:pPr>
              <w:rPr>
                <w:b/>
                <w:bCs/>
                <w:sz w:val="20"/>
                <w:szCs w:val="20"/>
              </w:rPr>
            </w:pPr>
          </w:p>
        </w:tc>
        <w:tc>
          <w:tcPr>
            <w:tcW w:w="2405" w:type="dxa"/>
            <w:vAlign w:val="center"/>
            <w:hideMark/>
          </w:tcPr>
          <w:p w:rsidR="002B388B" w:rsidRPr="002B388B" w:rsidP="00C87069" w14:paraId="1560CFB8" w14:textId="77777777">
            <w:pPr>
              <w:jc w:val="center"/>
              <w:rPr>
                <w:sz w:val="20"/>
                <w:szCs w:val="20"/>
              </w:rPr>
            </w:pPr>
            <w:r w:rsidRPr="002B388B">
              <w:rPr>
                <w:sz w:val="20"/>
                <w:szCs w:val="20"/>
              </w:rPr>
              <w:t>sjednocení podmínek pro udělení oprávnění k provozování KS</w:t>
            </w:r>
          </w:p>
        </w:tc>
        <w:tc>
          <w:tcPr>
            <w:tcW w:w="1496" w:type="dxa"/>
            <w:vAlign w:val="center"/>
            <w:hideMark/>
          </w:tcPr>
          <w:p w:rsidR="002B388B" w:rsidRPr="002B388B" w:rsidP="00C87069" w14:paraId="3E0D7712" w14:textId="77777777">
            <w:pPr>
              <w:jc w:val="center"/>
              <w:rPr>
                <w:sz w:val="20"/>
                <w:szCs w:val="20"/>
              </w:rPr>
            </w:pPr>
            <w:r w:rsidRPr="002B388B">
              <w:rPr>
                <w:sz w:val="20"/>
                <w:szCs w:val="20"/>
              </w:rPr>
              <w:t>***</w:t>
            </w:r>
          </w:p>
        </w:tc>
        <w:tc>
          <w:tcPr>
            <w:tcW w:w="2465" w:type="dxa"/>
            <w:vAlign w:val="center"/>
            <w:hideMark/>
          </w:tcPr>
          <w:p w:rsidR="002B388B" w:rsidRPr="002B388B" w:rsidP="00C87069" w14:paraId="259DD458" w14:textId="77777777">
            <w:pPr>
              <w:jc w:val="center"/>
              <w:rPr>
                <w:sz w:val="20"/>
                <w:szCs w:val="20"/>
              </w:rPr>
            </w:pPr>
            <w:r w:rsidRPr="002B388B">
              <w:rPr>
                <w:sz w:val="20"/>
                <w:szCs w:val="20"/>
              </w:rPr>
              <w:t>MŽP – jednorázové náklady spojené s novými žádostmi o oprávnění (20 žádostí)</w:t>
            </w:r>
          </w:p>
        </w:tc>
        <w:tc>
          <w:tcPr>
            <w:tcW w:w="1456" w:type="dxa"/>
            <w:vAlign w:val="center"/>
            <w:hideMark/>
          </w:tcPr>
          <w:p w:rsidR="002B388B" w:rsidRPr="002B388B" w:rsidP="00F251E9" w14:paraId="32E7EF8A" w14:textId="0F89E808">
            <w:pPr>
              <w:jc w:val="center"/>
              <w:rPr>
                <w:sz w:val="20"/>
                <w:szCs w:val="20"/>
              </w:rPr>
            </w:pPr>
            <w:r w:rsidRPr="002B388B">
              <w:rPr>
                <w:sz w:val="20"/>
                <w:szCs w:val="20"/>
              </w:rPr>
              <w:t xml:space="preserve"> </w:t>
            </w:r>
            <w:r w:rsidR="00F251E9">
              <w:rPr>
                <w:sz w:val="20"/>
                <w:szCs w:val="20"/>
              </w:rPr>
              <w:t>730</w:t>
            </w:r>
            <w:r w:rsidRPr="002B388B">
              <w:rPr>
                <w:sz w:val="20"/>
                <w:szCs w:val="20"/>
              </w:rPr>
              <w:t xml:space="preserve"> tis. Kč</w:t>
            </w:r>
          </w:p>
        </w:tc>
      </w:tr>
      <w:tr w14:paraId="3EB8879A" w14:textId="77777777" w:rsidTr="00C87069">
        <w:tblPrEx>
          <w:tblW w:w="0" w:type="auto"/>
          <w:tblLook w:val="04A0"/>
        </w:tblPrEx>
        <w:trPr>
          <w:trHeight w:val="1296"/>
        </w:trPr>
        <w:tc>
          <w:tcPr>
            <w:tcW w:w="1240" w:type="dxa"/>
            <w:vMerge/>
          </w:tcPr>
          <w:p w:rsidR="002B388B" w:rsidRPr="002B388B" w:rsidP="00C87069" w14:paraId="718B1B92" w14:textId="77777777">
            <w:pPr>
              <w:rPr>
                <w:b/>
                <w:bCs/>
                <w:sz w:val="20"/>
                <w:szCs w:val="20"/>
              </w:rPr>
            </w:pPr>
          </w:p>
        </w:tc>
        <w:tc>
          <w:tcPr>
            <w:tcW w:w="2405" w:type="dxa"/>
            <w:vAlign w:val="center"/>
          </w:tcPr>
          <w:p w:rsidR="002B388B" w:rsidRPr="002B388B" w:rsidP="00C87069" w14:paraId="00ADA6BB" w14:textId="77777777">
            <w:pPr>
              <w:jc w:val="center"/>
              <w:rPr>
                <w:sz w:val="20"/>
                <w:szCs w:val="20"/>
              </w:rPr>
            </w:pPr>
            <w:r w:rsidRPr="002B388B">
              <w:rPr>
                <w:sz w:val="20"/>
                <w:szCs w:val="20"/>
              </w:rPr>
              <w:t xml:space="preserve">Lepší kontrola KS </w:t>
            </w:r>
            <w:r w:rsidRPr="002B388B">
              <w:rPr>
                <w:noProof w:val="0"/>
                <w:sz w:val="20"/>
                <w:szCs w:val="20"/>
                <w:lang w:bidi="ar-SA"/>
              </w:rPr>
              <w:t>z důvodu sjednocení podmínek pro autorizační projekt</w:t>
            </w:r>
          </w:p>
        </w:tc>
        <w:tc>
          <w:tcPr>
            <w:tcW w:w="1496" w:type="dxa"/>
            <w:vAlign w:val="center"/>
          </w:tcPr>
          <w:p w:rsidR="002B388B" w:rsidRPr="002B388B" w:rsidP="00C87069" w14:paraId="20E1FC9F" w14:textId="77777777">
            <w:pPr>
              <w:jc w:val="center"/>
              <w:rPr>
                <w:sz w:val="20"/>
                <w:szCs w:val="20"/>
              </w:rPr>
            </w:pPr>
            <w:r w:rsidRPr="002B388B">
              <w:rPr>
                <w:sz w:val="20"/>
                <w:szCs w:val="20"/>
              </w:rPr>
              <w:t>***</w:t>
            </w:r>
          </w:p>
        </w:tc>
        <w:tc>
          <w:tcPr>
            <w:tcW w:w="2465" w:type="dxa"/>
            <w:vAlign w:val="center"/>
          </w:tcPr>
          <w:p w:rsidR="002B388B" w:rsidRPr="002B388B" w:rsidP="00C87069" w14:paraId="18A52B71" w14:textId="77777777">
            <w:pPr>
              <w:jc w:val="center"/>
              <w:rPr>
                <w:sz w:val="20"/>
                <w:szCs w:val="20"/>
              </w:rPr>
            </w:pPr>
          </w:p>
        </w:tc>
        <w:tc>
          <w:tcPr>
            <w:tcW w:w="1456" w:type="dxa"/>
            <w:vAlign w:val="center"/>
          </w:tcPr>
          <w:p w:rsidR="002B388B" w:rsidRPr="002B388B" w:rsidP="00C87069" w14:paraId="13805E90" w14:textId="77777777">
            <w:pPr>
              <w:jc w:val="center"/>
              <w:rPr>
                <w:sz w:val="20"/>
                <w:szCs w:val="20"/>
              </w:rPr>
            </w:pPr>
          </w:p>
        </w:tc>
      </w:tr>
      <w:tr w14:paraId="4B3E8E55" w14:textId="77777777" w:rsidTr="00C87069">
        <w:tblPrEx>
          <w:tblW w:w="0" w:type="auto"/>
          <w:tblLook w:val="04A0"/>
        </w:tblPrEx>
        <w:trPr>
          <w:trHeight w:val="324"/>
        </w:trPr>
        <w:tc>
          <w:tcPr>
            <w:tcW w:w="1240" w:type="dxa"/>
            <w:vMerge/>
            <w:hideMark/>
          </w:tcPr>
          <w:p w:rsidR="002B388B" w:rsidRPr="002B388B" w:rsidP="00C87069" w14:paraId="4836F380" w14:textId="77777777">
            <w:pPr>
              <w:rPr>
                <w:b/>
                <w:bCs/>
                <w:sz w:val="20"/>
                <w:szCs w:val="20"/>
              </w:rPr>
            </w:pPr>
          </w:p>
        </w:tc>
        <w:tc>
          <w:tcPr>
            <w:tcW w:w="7822" w:type="dxa"/>
            <w:gridSpan w:val="4"/>
            <w:vAlign w:val="center"/>
            <w:hideMark/>
          </w:tcPr>
          <w:p w:rsidR="002B388B" w:rsidRPr="002B388B" w:rsidP="00C87069" w14:paraId="7F2861D8" w14:textId="77777777">
            <w:pPr>
              <w:jc w:val="center"/>
              <w:rPr>
                <w:b/>
                <w:bCs/>
                <w:sz w:val="20"/>
                <w:szCs w:val="20"/>
              </w:rPr>
            </w:pPr>
            <w:r w:rsidRPr="002B388B">
              <w:rPr>
                <w:b/>
                <w:bCs/>
                <w:sz w:val="20"/>
                <w:szCs w:val="20"/>
              </w:rPr>
              <w:t>Podnikatelské subjekty</w:t>
            </w:r>
          </w:p>
        </w:tc>
      </w:tr>
      <w:tr w14:paraId="76070D58" w14:textId="77777777" w:rsidTr="00C87069">
        <w:tblPrEx>
          <w:tblW w:w="0" w:type="auto"/>
          <w:tblLook w:val="04A0"/>
        </w:tblPrEx>
        <w:trPr>
          <w:trHeight w:val="940"/>
        </w:trPr>
        <w:tc>
          <w:tcPr>
            <w:tcW w:w="1240" w:type="dxa"/>
            <w:vMerge/>
            <w:hideMark/>
          </w:tcPr>
          <w:p w:rsidR="002B388B" w:rsidRPr="002B388B" w:rsidP="00C87069" w14:paraId="39E73E40" w14:textId="77777777">
            <w:pPr>
              <w:rPr>
                <w:b/>
                <w:bCs/>
                <w:sz w:val="20"/>
                <w:szCs w:val="20"/>
              </w:rPr>
            </w:pPr>
          </w:p>
        </w:tc>
        <w:tc>
          <w:tcPr>
            <w:tcW w:w="2405" w:type="dxa"/>
            <w:vAlign w:val="center"/>
          </w:tcPr>
          <w:p w:rsidR="002B388B" w:rsidRPr="002B388B" w:rsidP="00C87069" w14:paraId="774C0240" w14:textId="77777777">
            <w:pPr>
              <w:jc w:val="center"/>
              <w:rPr>
                <w:sz w:val="20"/>
                <w:szCs w:val="20"/>
              </w:rPr>
            </w:pPr>
            <w:r w:rsidRPr="002B388B">
              <w:rPr>
                <w:sz w:val="20"/>
                <w:szCs w:val="20"/>
              </w:rPr>
              <w:t>Transparentnější prostředí</w:t>
            </w:r>
          </w:p>
        </w:tc>
        <w:tc>
          <w:tcPr>
            <w:tcW w:w="1496" w:type="dxa"/>
            <w:noWrap/>
            <w:vAlign w:val="center"/>
          </w:tcPr>
          <w:p w:rsidR="002B388B" w:rsidRPr="002B388B" w:rsidP="00C87069" w14:paraId="39FF4BC2" w14:textId="77777777">
            <w:pPr>
              <w:jc w:val="center"/>
              <w:rPr>
                <w:sz w:val="20"/>
                <w:szCs w:val="20"/>
              </w:rPr>
            </w:pPr>
            <w:r w:rsidRPr="002B388B">
              <w:rPr>
                <w:sz w:val="20"/>
                <w:szCs w:val="20"/>
              </w:rPr>
              <w:t>***</w:t>
            </w:r>
          </w:p>
        </w:tc>
        <w:tc>
          <w:tcPr>
            <w:tcW w:w="2465" w:type="dxa"/>
            <w:vAlign w:val="center"/>
            <w:hideMark/>
          </w:tcPr>
          <w:p w:rsidR="002B388B" w:rsidRPr="002B388B" w:rsidP="00C87069" w14:paraId="120A2AB8" w14:textId="77777777">
            <w:pPr>
              <w:jc w:val="center"/>
              <w:rPr>
                <w:sz w:val="20"/>
                <w:szCs w:val="20"/>
              </w:rPr>
            </w:pPr>
            <w:r w:rsidRPr="002B388B">
              <w:rPr>
                <w:sz w:val="20"/>
                <w:szCs w:val="20"/>
              </w:rPr>
              <w:t>Noví žadatelé o vydání oprávnění k provozování KS – autorizační projekt</w:t>
            </w:r>
          </w:p>
        </w:tc>
        <w:tc>
          <w:tcPr>
            <w:tcW w:w="1456" w:type="dxa"/>
            <w:noWrap/>
            <w:vAlign w:val="center"/>
            <w:hideMark/>
          </w:tcPr>
          <w:p w:rsidR="002B388B" w:rsidRPr="002B388B" w:rsidP="00C87069" w14:paraId="2B159522" w14:textId="77777777">
            <w:pPr>
              <w:jc w:val="center"/>
              <w:rPr>
                <w:sz w:val="20"/>
                <w:szCs w:val="20"/>
              </w:rPr>
            </w:pPr>
            <w:r w:rsidRPr="002B388B">
              <w:rPr>
                <w:sz w:val="20"/>
                <w:szCs w:val="20"/>
              </w:rPr>
              <w:t xml:space="preserve"> 2 mil. Kč</w:t>
            </w:r>
          </w:p>
        </w:tc>
      </w:tr>
      <w:tr w14:paraId="763E2BFB" w14:textId="77777777" w:rsidTr="00C87069">
        <w:tblPrEx>
          <w:tblW w:w="0" w:type="auto"/>
          <w:tblLook w:val="04A0"/>
        </w:tblPrEx>
        <w:trPr>
          <w:trHeight w:val="698"/>
        </w:trPr>
        <w:tc>
          <w:tcPr>
            <w:tcW w:w="1240" w:type="dxa"/>
            <w:vMerge/>
            <w:hideMark/>
          </w:tcPr>
          <w:p w:rsidR="002B388B" w:rsidRPr="002B388B" w:rsidP="00C87069" w14:paraId="0797DA90" w14:textId="77777777">
            <w:pPr>
              <w:rPr>
                <w:b/>
                <w:bCs/>
                <w:sz w:val="20"/>
                <w:szCs w:val="20"/>
              </w:rPr>
            </w:pPr>
          </w:p>
        </w:tc>
        <w:tc>
          <w:tcPr>
            <w:tcW w:w="2405" w:type="dxa"/>
            <w:vAlign w:val="center"/>
            <w:hideMark/>
          </w:tcPr>
          <w:p w:rsidR="002B388B" w:rsidRPr="002B388B" w:rsidP="00C87069" w14:paraId="67A887DF" w14:textId="77777777">
            <w:pPr>
              <w:jc w:val="center"/>
              <w:rPr>
                <w:sz w:val="20"/>
                <w:szCs w:val="20"/>
              </w:rPr>
            </w:pPr>
            <w:r w:rsidRPr="002B388B">
              <w:rPr>
                <w:sz w:val="20"/>
                <w:szCs w:val="20"/>
              </w:rPr>
              <w:t>výrobci - udržení či vznik kvalitních partnerů v oblasti ZO (KS)</w:t>
            </w:r>
          </w:p>
        </w:tc>
        <w:tc>
          <w:tcPr>
            <w:tcW w:w="1496" w:type="dxa"/>
            <w:noWrap/>
            <w:vAlign w:val="center"/>
            <w:hideMark/>
          </w:tcPr>
          <w:p w:rsidR="002B388B" w:rsidRPr="002B388B" w:rsidP="00C87069" w14:paraId="477173BE" w14:textId="77777777">
            <w:pPr>
              <w:jc w:val="center"/>
              <w:rPr>
                <w:sz w:val="20"/>
                <w:szCs w:val="20"/>
              </w:rPr>
            </w:pPr>
            <w:r w:rsidRPr="002B388B">
              <w:rPr>
                <w:sz w:val="20"/>
                <w:szCs w:val="20"/>
              </w:rPr>
              <w:t>****</w:t>
            </w:r>
          </w:p>
        </w:tc>
        <w:tc>
          <w:tcPr>
            <w:tcW w:w="2465" w:type="dxa"/>
            <w:vAlign w:val="center"/>
          </w:tcPr>
          <w:p w:rsidR="002B388B" w:rsidRPr="002B388B" w:rsidP="00C87069" w14:paraId="667211EB" w14:textId="77777777">
            <w:pPr>
              <w:jc w:val="center"/>
              <w:rPr>
                <w:sz w:val="20"/>
                <w:szCs w:val="20"/>
              </w:rPr>
            </w:pPr>
            <w:r w:rsidRPr="002B388B">
              <w:rPr>
                <w:sz w:val="20"/>
                <w:szCs w:val="20"/>
              </w:rPr>
              <w:t>Stávající KS – doplnění autorizačního projektu</w:t>
            </w:r>
          </w:p>
        </w:tc>
        <w:tc>
          <w:tcPr>
            <w:tcW w:w="1456" w:type="dxa"/>
            <w:noWrap/>
            <w:vAlign w:val="center"/>
          </w:tcPr>
          <w:p w:rsidR="002B388B" w:rsidRPr="002B388B" w:rsidP="00C87069" w14:paraId="412652AA" w14:textId="77777777">
            <w:pPr>
              <w:jc w:val="center"/>
              <w:rPr>
                <w:sz w:val="20"/>
                <w:szCs w:val="20"/>
              </w:rPr>
            </w:pPr>
            <w:r w:rsidRPr="002B388B">
              <w:rPr>
                <w:sz w:val="20"/>
                <w:szCs w:val="20"/>
              </w:rPr>
              <w:t>0,3 – 1 mil. Kč</w:t>
            </w:r>
          </w:p>
        </w:tc>
      </w:tr>
      <w:tr w14:paraId="593F0894" w14:textId="77777777" w:rsidTr="00C87069">
        <w:tblPrEx>
          <w:tblW w:w="0" w:type="auto"/>
          <w:tblLook w:val="04A0"/>
        </w:tblPrEx>
        <w:trPr>
          <w:trHeight w:val="698"/>
        </w:trPr>
        <w:tc>
          <w:tcPr>
            <w:tcW w:w="1240" w:type="dxa"/>
            <w:vMerge/>
          </w:tcPr>
          <w:p w:rsidR="002B388B" w:rsidRPr="002B388B" w:rsidP="00C87069" w14:paraId="4A2A2F6C" w14:textId="77777777">
            <w:pPr>
              <w:rPr>
                <w:b/>
                <w:bCs/>
                <w:sz w:val="20"/>
                <w:szCs w:val="20"/>
              </w:rPr>
            </w:pPr>
          </w:p>
        </w:tc>
        <w:tc>
          <w:tcPr>
            <w:tcW w:w="2405" w:type="dxa"/>
            <w:vAlign w:val="center"/>
          </w:tcPr>
          <w:p w:rsidR="002B388B" w:rsidRPr="002B388B" w:rsidP="00C87069" w14:paraId="4F6A2A29" w14:textId="77777777">
            <w:pPr>
              <w:jc w:val="center"/>
              <w:rPr>
                <w:sz w:val="20"/>
                <w:szCs w:val="20"/>
              </w:rPr>
            </w:pPr>
          </w:p>
        </w:tc>
        <w:tc>
          <w:tcPr>
            <w:tcW w:w="1496" w:type="dxa"/>
            <w:noWrap/>
            <w:vAlign w:val="center"/>
          </w:tcPr>
          <w:p w:rsidR="002B388B" w:rsidRPr="002B388B" w:rsidP="00C87069" w14:paraId="36E03E43" w14:textId="77777777">
            <w:pPr>
              <w:jc w:val="center"/>
              <w:rPr>
                <w:sz w:val="20"/>
                <w:szCs w:val="20"/>
              </w:rPr>
            </w:pPr>
          </w:p>
        </w:tc>
        <w:tc>
          <w:tcPr>
            <w:tcW w:w="2465" w:type="dxa"/>
            <w:vAlign w:val="center"/>
          </w:tcPr>
          <w:p w:rsidR="002B388B" w:rsidRPr="002B388B" w:rsidP="00C87069" w14:paraId="53C1623C" w14:textId="77777777">
            <w:pPr>
              <w:jc w:val="center"/>
              <w:rPr>
                <w:sz w:val="20"/>
                <w:szCs w:val="20"/>
              </w:rPr>
            </w:pPr>
            <w:r w:rsidRPr="002B388B">
              <w:rPr>
                <w:sz w:val="20"/>
                <w:szCs w:val="20"/>
              </w:rPr>
              <w:t>Stávající KS – přesmluvnění</w:t>
            </w:r>
          </w:p>
        </w:tc>
        <w:tc>
          <w:tcPr>
            <w:tcW w:w="1456" w:type="dxa"/>
            <w:noWrap/>
            <w:vAlign w:val="center"/>
          </w:tcPr>
          <w:p w:rsidR="002B388B" w:rsidRPr="002B388B" w:rsidP="00C87069" w14:paraId="3CE28618" w14:textId="77777777">
            <w:pPr>
              <w:jc w:val="center"/>
              <w:rPr>
                <w:sz w:val="20"/>
                <w:szCs w:val="20"/>
              </w:rPr>
            </w:pPr>
            <w:r w:rsidRPr="002B388B">
              <w:rPr>
                <w:sz w:val="20"/>
                <w:szCs w:val="20"/>
              </w:rPr>
              <w:t>Desítky mil. Kč</w:t>
            </w:r>
          </w:p>
        </w:tc>
      </w:tr>
      <w:tr w14:paraId="31CC34C9" w14:textId="77777777" w:rsidTr="00C87069">
        <w:tblPrEx>
          <w:tblW w:w="0" w:type="auto"/>
          <w:tblLook w:val="04A0"/>
        </w:tblPrEx>
        <w:trPr>
          <w:trHeight w:val="698"/>
        </w:trPr>
        <w:tc>
          <w:tcPr>
            <w:tcW w:w="1240" w:type="dxa"/>
            <w:vMerge/>
          </w:tcPr>
          <w:p w:rsidR="002B388B" w:rsidRPr="002B388B" w:rsidP="00C87069" w14:paraId="62390901" w14:textId="77777777">
            <w:pPr>
              <w:rPr>
                <w:b/>
                <w:bCs/>
                <w:sz w:val="20"/>
                <w:szCs w:val="20"/>
              </w:rPr>
            </w:pPr>
          </w:p>
        </w:tc>
        <w:tc>
          <w:tcPr>
            <w:tcW w:w="2405" w:type="dxa"/>
            <w:vAlign w:val="center"/>
          </w:tcPr>
          <w:p w:rsidR="002B388B" w:rsidRPr="002B388B" w:rsidP="00C87069" w14:paraId="411B5324" w14:textId="77777777">
            <w:pPr>
              <w:jc w:val="center"/>
              <w:rPr>
                <w:sz w:val="20"/>
                <w:szCs w:val="20"/>
              </w:rPr>
            </w:pPr>
          </w:p>
        </w:tc>
        <w:tc>
          <w:tcPr>
            <w:tcW w:w="1496" w:type="dxa"/>
            <w:noWrap/>
            <w:vAlign w:val="center"/>
          </w:tcPr>
          <w:p w:rsidR="002B388B" w:rsidRPr="002B388B" w:rsidP="00C87069" w14:paraId="50515582" w14:textId="77777777">
            <w:pPr>
              <w:jc w:val="center"/>
              <w:rPr>
                <w:sz w:val="20"/>
                <w:szCs w:val="20"/>
              </w:rPr>
            </w:pPr>
          </w:p>
        </w:tc>
        <w:tc>
          <w:tcPr>
            <w:tcW w:w="2465" w:type="dxa"/>
            <w:vAlign w:val="center"/>
          </w:tcPr>
          <w:p w:rsidR="002B388B" w:rsidRPr="002B388B" w:rsidP="00C87069" w14:paraId="5B4A365D" w14:textId="77777777">
            <w:pPr>
              <w:jc w:val="center"/>
              <w:rPr>
                <w:sz w:val="20"/>
                <w:szCs w:val="20"/>
              </w:rPr>
            </w:pPr>
            <w:r w:rsidRPr="002B388B">
              <w:rPr>
                <w:sz w:val="20"/>
                <w:szCs w:val="20"/>
              </w:rPr>
              <w:t>ukončení činnosti některých KS</w:t>
            </w:r>
          </w:p>
        </w:tc>
        <w:tc>
          <w:tcPr>
            <w:tcW w:w="1456" w:type="dxa"/>
            <w:noWrap/>
            <w:vAlign w:val="center"/>
          </w:tcPr>
          <w:p w:rsidR="002B388B" w:rsidRPr="002B388B" w:rsidP="00C87069" w14:paraId="49147B55" w14:textId="77777777">
            <w:pPr>
              <w:jc w:val="center"/>
              <w:rPr>
                <w:sz w:val="20"/>
                <w:szCs w:val="20"/>
              </w:rPr>
            </w:pPr>
            <w:r w:rsidRPr="002B388B">
              <w:rPr>
                <w:sz w:val="20"/>
                <w:szCs w:val="20"/>
              </w:rPr>
              <w:t>**</w:t>
            </w:r>
          </w:p>
        </w:tc>
      </w:tr>
      <w:tr w14:paraId="12EB8A60" w14:textId="77777777" w:rsidTr="00C87069">
        <w:tblPrEx>
          <w:tblW w:w="0" w:type="auto"/>
          <w:tblLook w:val="04A0"/>
        </w:tblPrEx>
        <w:trPr>
          <w:trHeight w:val="357"/>
        </w:trPr>
        <w:tc>
          <w:tcPr>
            <w:tcW w:w="1240" w:type="dxa"/>
            <w:vMerge/>
            <w:hideMark/>
          </w:tcPr>
          <w:p w:rsidR="002B388B" w:rsidRPr="002B388B" w:rsidP="00C87069" w14:paraId="0211D2BF" w14:textId="77777777">
            <w:pPr>
              <w:rPr>
                <w:b/>
                <w:bCs/>
                <w:sz w:val="20"/>
                <w:szCs w:val="20"/>
              </w:rPr>
            </w:pPr>
          </w:p>
        </w:tc>
        <w:tc>
          <w:tcPr>
            <w:tcW w:w="7822" w:type="dxa"/>
            <w:gridSpan w:val="4"/>
            <w:vAlign w:val="center"/>
            <w:hideMark/>
          </w:tcPr>
          <w:p w:rsidR="002B388B" w:rsidRPr="002B388B" w:rsidP="00C87069" w14:paraId="00CEA70F" w14:textId="77777777">
            <w:pPr>
              <w:jc w:val="center"/>
              <w:rPr>
                <w:b/>
                <w:bCs/>
                <w:sz w:val="20"/>
                <w:szCs w:val="20"/>
              </w:rPr>
            </w:pPr>
            <w:r w:rsidRPr="002B388B">
              <w:rPr>
                <w:b/>
                <w:bCs/>
                <w:sz w:val="20"/>
                <w:szCs w:val="20"/>
              </w:rPr>
              <w:t>Územní samosprávné celky (obce, kraje)</w:t>
            </w:r>
          </w:p>
        </w:tc>
      </w:tr>
      <w:tr w14:paraId="3A5342D2" w14:textId="77777777" w:rsidTr="00C87069">
        <w:tblPrEx>
          <w:tblW w:w="0" w:type="auto"/>
          <w:tblLook w:val="04A0"/>
        </w:tblPrEx>
        <w:trPr>
          <w:trHeight w:val="741"/>
        </w:trPr>
        <w:tc>
          <w:tcPr>
            <w:tcW w:w="1240" w:type="dxa"/>
            <w:vMerge/>
            <w:hideMark/>
          </w:tcPr>
          <w:p w:rsidR="002B388B" w:rsidRPr="002B388B" w:rsidP="00C87069" w14:paraId="71283785" w14:textId="77777777">
            <w:pPr>
              <w:rPr>
                <w:b/>
                <w:bCs/>
                <w:sz w:val="20"/>
                <w:szCs w:val="20"/>
              </w:rPr>
            </w:pPr>
          </w:p>
        </w:tc>
        <w:tc>
          <w:tcPr>
            <w:tcW w:w="2405" w:type="dxa"/>
            <w:vAlign w:val="center"/>
            <w:hideMark/>
          </w:tcPr>
          <w:p w:rsidR="002B388B" w:rsidRPr="002B388B" w:rsidP="00C87069" w14:paraId="2EE6CE4D" w14:textId="77777777">
            <w:pPr>
              <w:jc w:val="center"/>
              <w:rPr>
                <w:sz w:val="20"/>
                <w:szCs w:val="20"/>
              </w:rPr>
            </w:pPr>
            <w:r w:rsidRPr="002B388B">
              <w:rPr>
                <w:sz w:val="20"/>
                <w:szCs w:val="20"/>
              </w:rPr>
              <w:t>snížení rizika nákladů na likvidaci černých skládek</w:t>
            </w:r>
          </w:p>
        </w:tc>
        <w:tc>
          <w:tcPr>
            <w:tcW w:w="1496" w:type="dxa"/>
            <w:noWrap/>
            <w:vAlign w:val="center"/>
            <w:hideMark/>
          </w:tcPr>
          <w:p w:rsidR="002B388B" w:rsidRPr="002B388B" w:rsidP="00C87069" w14:paraId="67853C0F" w14:textId="77777777">
            <w:pPr>
              <w:jc w:val="center"/>
              <w:rPr>
                <w:sz w:val="20"/>
                <w:szCs w:val="20"/>
              </w:rPr>
            </w:pPr>
            <w:r w:rsidRPr="002B388B">
              <w:rPr>
                <w:sz w:val="20"/>
                <w:szCs w:val="20"/>
              </w:rPr>
              <w:t>* až ****</w:t>
            </w:r>
          </w:p>
        </w:tc>
        <w:tc>
          <w:tcPr>
            <w:tcW w:w="2465" w:type="dxa"/>
            <w:vAlign w:val="center"/>
            <w:hideMark/>
          </w:tcPr>
          <w:p w:rsidR="002B388B" w:rsidRPr="002B388B" w:rsidP="00C87069" w14:paraId="7D5DEE5A" w14:textId="77777777">
            <w:pPr>
              <w:jc w:val="center"/>
              <w:rPr>
                <w:sz w:val="20"/>
                <w:szCs w:val="20"/>
              </w:rPr>
            </w:pPr>
          </w:p>
        </w:tc>
        <w:tc>
          <w:tcPr>
            <w:tcW w:w="1456" w:type="dxa"/>
            <w:noWrap/>
            <w:vAlign w:val="center"/>
            <w:hideMark/>
          </w:tcPr>
          <w:p w:rsidR="002B388B" w:rsidRPr="002B388B" w:rsidP="00C87069" w14:paraId="178DE9E9" w14:textId="77777777">
            <w:pPr>
              <w:jc w:val="center"/>
              <w:rPr>
                <w:sz w:val="20"/>
                <w:szCs w:val="20"/>
              </w:rPr>
            </w:pPr>
          </w:p>
        </w:tc>
      </w:tr>
      <w:tr w14:paraId="3F998265" w14:textId="77777777" w:rsidTr="00C87069">
        <w:tblPrEx>
          <w:tblW w:w="0" w:type="auto"/>
          <w:tblLook w:val="04A0"/>
        </w:tblPrEx>
        <w:trPr>
          <w:trHeight w:val="378"/>
        </w:trPr>
        <w:tc>
          <w:tcPr>
            <w:tcW w:w="1240" w:type="dxa"/>
            <w:vMerge/>
            <w:hideMark/>
          </w:tcPr>
          <w:p w:rsidR="002B388B" w:rsidRPr="002B388B" w:rsidP="00C87069" w14:paraId="27374E74" w14:textId="77777777">
            <w:pPr>
              <w:rPr>
                <w:b/>
                <w:bCs/>
                <w:sz w:val="20"/>
                <w:szCs w:val="20"/>
              </w:rPr>
            </w:pPr>
          </w:p>
        </w:tc>
        <w:tc>
          <w:tcPr>
            <w:tcW w:w="7822" w:type="dxa"/>
            <w:gridSpan w:val="4"/>
            <w:vAlign w:val="center"/>
            <w:hideMark/>
          </w:tcPr>
          <w:p w:rsidR="002B388B" w:rsidRPr="002B388B" w:rsidP="00C87069" w14:paraId="0FC97BA7" w14:textId="77777777">
            <w:pPr>
              <w:jc w:val="center"/>
              <w:rPr>
                <w:b/>
                <w:bCs/>
                <w:sz w:val="20"/>
                <w:szCs w:val="20"/>
              </w:rPr>
            </w:pPr>
            <w:r w:rsidRPr="002B388B">
              <w:rPr>
                <w:b/>
                <w:bCs/>
                <w:sz w:val="20"/>
                <w:szCs w:val="20"/>
              </w:rPr>
              <w:t>Sociální dopady</w:t>
            </w:r>
          </w:p>
        </w:tc>
      </w:tr>
      <w:tr w14:paraId="305EF151" w14:textId="77777777" w:rsidTr="00C87069">
        <w:tblPrEx>
          <w:tblW w:w="0" w:type="auto"/>
          <w:tblLook w:val="04A0"/>
        </w:tblPrEx>
        <w:trPr>
          <w:trHeight w:val="743"/>
        </w:trPr>
        <w:tc>
          <w:tcPr>
            <w:tcW w:w="1240" w:type="dxa"/>
            <w:vMerge/>
            <w:hideMark/>
          </w:tcPr>
          <w:p w:rsidR="002B388B" w:rsidRPr="002B388B" w:rsidP="00C87069" w14:paraId="7F2C3687" w14:textId="77777777">
            <w:pPr>
              <w:rPr>
                <w:b/>
                <w:bCs/>
                <w:sz w:val="20"/>
                <w:szCs w:val="20"/>
              </w:rPr>
            </w:pPr>
          </w:p>
        </w:tc>
        <w:tc>
          <w:tcPr>
            <w:tcW w:w="2405" w:type="dxa"/>
            <w:vAlign w:val="center"/>
            <w:hideMark/>
          </w:tcPr>
          <w:p w:rsidR="002B388B" w:rsidRPr="002B388B" w:rsidP="00C87069" w14:paraId="5E34D114" w14:textId="77777777">
            <w:pPr>
              <w:jc w:val="center"/>
              <w:rPr>
                <w:sz w:val="20"/>
                <w:szCs w:val="20"/>
              </w:rPr>
            </w:pPr>
            <w:r w:rsidRPr="002B388B">
              <w:rPr>
                <w:sz w:val="20"/>
                <w:szCs w:val="20"/>
              </w:rPr>
              <w:t>zlepšení dostupnosti míst ZO</w:t>
            </w:r>
          </w:p>
        </w:tc>
        <w:tc>
          <w:tcPr>
            <w:tcW w:w="1496" w:type="dxa"/>
            <w:vAlign w:val="center"/>
            <w:hideMark/>
          </w:tcPr>
          <w:p w:rsidR="002B388B" w:rsidRPr="002B388B" w:rsidP="00C87069" w14:paraId="2B45C5CE" w14:textId="77777777">
            <w:pPr>
              <w:jc w:val="center"/>
              <w:rPr>
                <w:sz w:val="20"/>
                <w:szCs w:val="20"/>
              </w:rPr>
            </w:pPr>
            <w:r w:rsidRPr="002B388B">
              <w:rPr>
                <w:sz w:val="20"/>
                <w:szCs w:val="20"/>
              </w:rPr>
              <w:t>* až ***</w:t>
            </w:r>
          </w:p>
        </w:tc>
        <w:tc>
          <w:tcPr>
            <w:tcW w:w="2465" w:type="dxa"/>
            <w:vAlign w:val="center"/>
            <w:hideMark/>
          </w:tcPr>
          <w:p w:rsidR="002B388B" w:rsidRPr="002B388B" w:rsidP="00C87069" w14:paraId="2EC24C00" w14:textId="77777777">
            <w:pPr>
              <w:jc w:val="center"/>
              <w:rPr>
                <w:sz w:val="20"/>
                <w:szCs w:val="20"/>
              </w:rPr>
            </w:pPr>
          </w:p>
        </w:tc>
        <w:tc>
          <w:tcPr>
            <w:tcW w:w="1456" w:type="dxa"/>
            <w:vAlign w:val="center"/>
            <w:hideMark/>
          </w:tcPr>
          <w:p w:rsidR="002B388B" w:rsidRPr="002B388B" w:rsidP="00C87069" w14:paraId="6EEA5F82" w14:textId="77777777">
            <w:pPr>
              <w:jc w:val="center"/>
              <w:rPr>
                <w:sz w:val="20"/>
                <w:szCs w:val="20"/>
              </w:rPr>
            </w:pPr>
          </w:p>
        </w:tc>
      </w:tr>
      <w:tr w14:paraId="1A4D5044" w14:textId="77777777" w:rsidTr="00C87069">
        <w:tblPrEx>
          <w:tblW w:w="0" w:type="auto"/>
          <w:tblLook w:val="04A0"/>
        </w:tblPrEx>
        <w:trPr>
          <w:trHeight w:val="398"/>
        </w:trPr>
        <w:tc>
          <w:tcPr>
            <w:tcW w:w="1240" w:type="dxa"/>
            <w:vMerge/>
            <w:hideMark/>
          </w:tcPr>
          <w:p w:rsidR="002B388B" w:rsidRPr="002B388B" w:rsidP="00C87069" w14:paraId="455C8A44" w14:textId="77777777">
            <w:pPr>
              <w:rPr>
                <w:b/>
                <w:bCs/>
                <w:sz w:val="20"/>
                <w:szCs w:val="20"/>
              </w:rPr>
            </w:pPr>
          </w:p>
        </w:tc>
        <w:tc>
          <w:tcPr>
            <w:tcW w:w="7822" w:type="dxa"/>
            <w:gridSpan w:val="4"/>
            <w:vAlign w:val="center"/>
            <w:hideMark/>
          </w:tcPr>
          <w:p w:rsidR="002B388B" w:rsidRPr="002B388B" w:rsidP="00C87069" w14:paraId="0A312461" w14:textId="77777777">
            <w:pPr>
              <w:jc w:val="center"/>
              <w:rPr>
                <w:b/>
                <w:bCs/>
                <w:sz w:val="20"/>
                <w:szCs w:val="20"/>
              </w:rPr>
            </w:pPr>
            <w:r w:rsidRPr="002B388B">
              <w:rPr>
                <w:b/>
                <w:bCs/>
                <w:sz w:val="20"/>
                <w:szCs w:val="20"/>
              </w:rPr>
              <w:t>Životní prostředí</w:t>
            </w:r>
          </w:p>
        </w:tc>
      </w:tr>
      <w:tr w14:paraId="6F8B1930" w14:textId="77777777" w:rsidTr="00C87069">
        <w:tblPrEx>
          <w:tblW w:w="0" w:type="auto"/>
          <w:tblLook w:val="04A0"/>
        </w:tblPrEx>
        <w:trPr>
          <w:trHeight w:val="717"/>
        </w:trPr>
        <w:tc>
          <w:tcPr>
            <w:tcW w:w="1240" w:type="dxa"/>
            <w:vMerge/>
            <w:hideMark/>
          </w:tcPr>
          <w:p w:rsidR="002B388B" w:rsidRPr="002B388B" w:rsidP="00C87069" w14:paraId="230D0EEE" w14:textId="77777777">
            <w:pPr>
              <w:rPr>
                <w:b/>
                <w:bCs/>
                <w:sz w:val="20"/>
                <w:szCs w:val="20"/>
              </w:rPr>
            </w:pPr>
          </w:p>
        </w:tc>
        <w:tc>
          <w:tcPr>
            <w:tcW w:w="2405" w:type="dxa"/>
            <w:vAlign w:val="center"/>
            <w:hideMark/>
          </w:tcPr>
          <w:p w:rsidR="002B388B" w:rsidRPr="002B388B" w:rsidP="00C87069" w14:paraId="47028C37" w14:textId="77777777">
            <w:pPr>
              <w:jc w:val="center"/>
              <w:rPr>
                <w:sz w:val="20"/>
                <w:szCs w:val="20"/>
              </w:rPr>
            </w:pPr>
            <w:r w:rsidRPr="002B388B">
              <w:rPr>
                <w:sz w:val="20"/>
                <w:szCs w:val="20"/>
              </w:rPr>
              <w:t>snížení rizika nesprávného nakládání s odpady</w:t>
            </w:r>
          </w:p>
        </w:tc>
        <w:tc>
          <w:tcPr>
            <w:tcW w:w="1496" w:type="dxa"/>
            <w:vAlign w:val="center"/>
            <w:hideMark/>
          </w:tcPr>
          <w:p w:rsidR="002B388B" w:rsidRPr="002B388B" w:rsidP="00C87069" w14:paraId="47C9E5F5" w14:textId="77777777">
            <w:pPr>
              <w:jc w:val="center"/>
              <w:rPr>
                <w:sz w:val="20"/>
                <w:szCs w:val="20"/>
              </w:rPr>
            </w:pPr>
            <w:r w:rsidRPr="002B388B">
              <w:rPr>
                <w:sz w:val="20"/>
                <w:szCs w:val="20"/>
              </w:rPr>
              <w:t>* až ****</w:t>
            </w:r>
          </w:p>
        </w:tc>
        <w:tc>
          <w:tcPr>
            <w:tcW w:w="2465" w:type="dxa"/>
            <w:vAlign w:val="center"/>
            <w:hideMark/>
          </w:tcPr>
          <w:p w:rsidR="002B388B" w:rsidRPr="002B388B" w:rsidP="00C87069" w14:paraId="2787C8E3" w14:textId="77777777">
            <w:pPr>
              <w:jc w:val="center"/>
              <w:rPr>
                <w:sz w:val="20"/>
                <w:szCs w:val="20"/>
              </w:rPr>
            </w:pPr>
          </w:p>
        </w:tc>
        <w:tc>
          <w:tcPr>
            <w:tcW w:w="1456" w:type="dxa"/>
            <w:vAlign w:val="center"/>
            <w:hideMark/>
          </w:tcPr>
          <w:p w:rsidR="002B388B" w:rsidRPr="002B388B" w:rsidP="00C87069" w14:paraId="1F3280FC" w14:textId="77777777">
            <w:pPr>
              <w:jc w:val="center"/>
              <w:rPr>
                <w:sz w:val="20"/>
                <w:szCs w:val="20"/>
              </w:rPr>
            </w:pPr>
          </w:p>
        </w:tc>
      </w:tr>
    </w:tbl>
    <w:p w:rsidR="002B388B" w:rsidRPr="001539F1" w:rsidP="002B388B" w14:paraId="465237E1" w14:textId="77777777">
      <w:pPr>
        <w:spacing w:after="0"/>
        <w:ind w:left="578" w:hanging="578"/>
        <w:outlineLvl w:val="1"/>
        <w:rPr>
          <w:iCs/>
          <w:kern w:val="32"/>
          <w:sz w:val="20"/>
          <w:szCs w:val="20"/>
        </w:rPr>
      </w:pPr>
      <w:r w:rsidRPr="001539F1">
        <w:rPr>
          <w:iCs/>
          <w:kern w:val="32"/>
          <w:sz w:val="20"/>
          <w:szCs w:val="20"/>
        </w:rPr>
        <w:t>- bez dopadů, * velmi nízké, ** nízké, *** střední, **** vysoké, ***** velmi vysoké</w:t>
      </w:r>
    </w:p>
    <w:p w:rsidR="003A3331" w:rsidRPr="003A3331" w:rsidP="003A3331" w14:paraId="5B368CE0" w14:textId="77777777">
      <w:pPr>
        <w:pStyle w:val="Heading2"/>
        <w:keepNext w:val="0"/>
        <w:numPr>
          <w:ilvl w:val="0"/>
          <w:numId w:val="0"/>
        </w:numPr>
        <w:spacing w:before="120" w:after="0"/>
        <w:ind w:left="578" w:hanging="578"/>
        <w:rPr>
          <w:rFonts w:cs="Times New Roman"/>
          <w:b w:val="0"/>
          <w:sz w:val="20"/>
          <w:szCs w:val="20"/>
        </w:rPr>
      </w:pPr>
    </w:p>
    <w:p w:rsidR="00257E70" w:rsidRPr="00ED38E9" w:rsidP="005D660F" w14:paraId="56C75AEB" w14:textId="24201F50">
      <w:pPr>
        <w:pStyle w:val="Heading2"/>
      </w:pPr>
      <w:r w:rsidRPr="00ED38E9">
        <w:t>Návrh řešení</w:t>
      </w:r>
      <w:bookmarkEnd w:id="34"/>
    </w:p>
    <w:p w:rsidR="00257E70" w:rsidRPr="00ED38E9" w:rsidP="00BF16B7" w14:paraId="38F7D8A4" w14:textId="77777777">
      <w:pPr>
        <w:pStyle w:val="Heading3"/>
      </w:pPr>
      <w:r w:rsidRPr="00ED38E9">
        <w:t>Stanovení pořadí variant a výběr nejvhodnějšího řešení</w:t>
      </w:r>
    </w:p>
    <w:p w:rsidR="00257E70" w:rsidRPr="00ED38E9" w:rsidP="003C445B" w14:paraId="173EDB4E" w14:textId="77777777">
      <w:pPr>
        <w:pStyle w:val="ListParagraph"/>
        <w:numPr>
          <w:ilvl w:val="0"/>
          <w:numId w:val="56"/>
        </w:numPr>
        <w:spacing w:after="0" w:line="240" w:lineRule="auto"/>
        <w:ind w:left="714" w:hanging="357"/>
        <w:contextualSpacing w:val="0"/>
        <w:rPr>
          <w:rFonts w:cs="Arial"/>
          <w:b/>
          <w:bCs/>
        </w:rPr>
      </w:pPr>
      <w:r w:rsidRPr="00ED38E9">
        <w:rPr>
          <w:rFonts w:cs="Arial"/>
          <w:b/>
          <w:bCs/>
        </w:rPr>
        <w:t>Varianta 1</w:t>
      </w:r>
    </w:p>
    <w:p w:rsidR="00257E70" w:rsidRPr="00ED38E9" w:rsidP="003C445B" w14:paraId="616FFD00" w14:textId="77777777">
      <w:pPr>
        <w:pStyle w:val="ListParagraph"/>
        <w:numPr>
          <w:ilvl w:val="0"/>
          <w:numId w:val="56"/>
        </w:numPr>
        <w:spacing w:after="0" w:line="240" w:lineRule="auto"/>
        <w:ind w:left="714" w:hanging="357"/>
        <w:contextualSpacing w:val="0"/>
        <w:rPr>
          <w:rFonts w:cs="Arial"/>
        </w:rPr>
      </w:pPr>
      <w:r w:rsidRPr="00ED38E9">
        <w:rPr>
          <w:rFonts w:cs="Arial"/>
        </w:rPr>
        <w:t>Varianta 0</w:t>
      </w:r>
    </w:p>
    <w:p w:rsidR="002B388B" w:rsidRPr="002B388B" w:rsidP="002B388B" w14:paraId="2049D5A6" w14:textId="77777777">
      <w:pPr>
        <w:spacing w:after="120"/>
        <w:rPr>
          <w:rFonts w:eastAsia="Calibri" w:cs="Arial"/>
        </w:rPr>
      </w:pPr>
      <w:r w:rsidRPr="002B388B">
        <w:rPr>
          <w:rFonts w:eastAsia="Calibri" w:cs="Arial"/>
        </w:rPr>
        <w:t xml:space="preserve">Na základě provedené analýzy přínosů a nákladů lze doporučit Variantu 1, která v porovnání s variantou 0 přispívá k transparentnějšímu prostředí a rovným podmínkám pro všechny KS. Tyto přínosy více než vyváží dodatečné náklady pro stávající KS ve formě nového oprávnění k provozování KS. Je pouze zapotřebí poskytnout stávajícím KS dostatečné přechodné období, v rámci něhož budou moci připravit nový projekt. Délka přechodného období by měla reflektovat požadavky a formu autorizačního projektu. </w:t>
      </w:r>
    </w:p>
    <w:p w:rsidR="000554A1" w:rsidRPr="002B388B" w:rsidP="002B388B" w14:paraId="4B960351" w14:textId="0C17A303">
      <w:pPr>
        <w:rPr>
          <w:rFonts w:cs="Arial"/>
        </w:rPr>
      </w:pPr>
      <w:r w:rsidRPr="002B388B">
        <w:rPr>
          <w:rFonts w:cs="Arial"/>
        </w:rPr>
        <w:t xml:space="preserve">Doporučujeme přijmout Variantu 1, která sice představuje jednorázové navýšení administrativní zátěže na straně ministerstva a podnikatelských subjektů, ale sjednocuje podmínky pro </w:t>
      </w:r>
      <w:r w:rsidR="00660AA9">
        <w:rPr>
          <w:rFonts w:cs="Arial"/>
        </w:rPr>
        <w:t>ZO</w:t>
      </w:r>
      <w:r w:rsidRPr="002B388B">
        <w:rPr>
          <w:rFonts w:cs="Arial"/>
        </w:rPr>
        <w:t xml:space="preserve"> a nakládání s </w:t>
      </w:r>
      <w:r w:rsidR="00660AA9">
        <w:rPr>
          <w:rFonts w:cs="Arial"/>
        </w:rPr>
        <w:t>VUŽ</w:t>
      </w:r>
      <w:r w:rsidRPr="002B388B">
        <w:rPr>
          <w:rFonts w:cs="Arial"/>
        </w:rPr>
        <w:t xml:space="preserve"> a přispívá k vytvoření transparentnějšího prostředí, </w:t>
      </w:r>
      <w:r w:rsidRPr="002B388B">
        <w:rPr>
          <w:rFonts w:eastAsia="Calibri" w:cs="Arial"/>
        </w:rPr>
        <w:t>což představuje jeden z dílčích cílů věcného záměru.</w:t>
      </w:r>
      <w:r w:rsidRPr="002B388B">
        <w:rPr>
          <w:rFonts w:cs="Arial"/>
        </w:rPr>
        <w:t xml:space="preserve"> Tato varianta </w:t>
      </w:r>
      <w:r w:rsidRPr="002B388B">
        <w:rPr>
          <w:rFonts w:eastAsia="Calibri" w:cs="Arial"/>
        </w:rPr>
        <w:t xml:space="preserve">nemá zásadní vliv na plnění cíle ve formě dosažení úrovně </w:t>
      </w:r>
      <w:r w:rsidR="00660AA9">
        <w:rPr>
          <w:rFonts w:eastAsia="Calibri" w:cs="Arial"/>
        </w:rPr>
        <w:t>ZO</w:t>
      </w:r>
      <w:r w:rsidRPr="002B388B">
        <w:rPr>
          <w:rFonts w:eastAsia="Calibri" w:cs="Arial"/>
        </w:rPr>
        <w:t xml:space="preserve"> a odděleného sběru </w:t>
      </w:r>
      <w:r w:rsidR="00660AA9">
        <w:rPr>
          <w:rFonts w:eastAsia="Calibri" w:cs="Arial"/>
        </w:rPr>
        <w:t>VUŽ</w:t>
      </w:r>
      <w:r w:rsidRPr="002B388B">
        <w:rPr>
          <w:rFonts w:eastAsia="Calibri" w:cs="Arial"/>
        </w:rPr>
        <w:t xml:space="preserve"> dle požadavků evropské směrnice, a zároveň</w:t>
      </w:r>
      <w:r w:rsidRPr="002B388B">
        <w:rPr>
          <w:rFonts w:cs="Arial"/>
        </w:rPr>
        <w:t xml:space="preserve"> minimalizauje rizika plynoucích pro výrobce, provozovatele solárních elektráren, obyvatele, obce, kraje a životní prostředí.</w:t>
      </w:r>
    </w:p>
    <w:p w:rsidR="001403A1" w:rsidP="00221615" w14:paraId="550A153D" w14:textId="77777777">
      <w:pPr>
        <w:spacing w:after="120"/>
        <w:rPr>
          <w:rFonts w:cs="Arial"/>
        </w:rPr>
      </w:pPr>
    </w:p>
    <w:p w:rsidR="009A27B9" w:rsidRPr="00ED38E9" w:rsidP="009A27B9" w14:paraId="7EDDA4B1" w14:textId="77777777">
      <w:pPr>
        <w:pStyle w:val="Heading1"/>
      </w:pPr>
      <w:bookmarkStart w:id="35" w:name="_Toc406598336"/>
      <w:bookmarkStart w:id="36" w:name="_Toc441759870"/>
      <w:bookmarkStart w:id="37" w:name="_Toc14942080"/>
      <w:bookmarkStart w:id="38" w:name="_Toc256000006"/>
      <w:r w:rsidRPr="00ED38E9">
        <w:t xml:space="preserve">Právní forma </w:t>
      </w:r>
      <w:bookmarkEnd w:id="35"/>
      <w:r>
        <w:t>kolektivního systému</w:t>
      </w:r>
      <w:bookmarkEnd w:id="36"/>
      <w:r>
        <w:t xml:space="preserve"> (§ 36 odst. 2)</w:t>
      </w:r>
      <w:bookmarkEnd w:id="38"/>
      <w:bookmarkEnd w:id="37"/>
    </w:p>
    <w:p w:rsidR="009A27B9" w:rsidRPr="00ED38E9" w:rsidP="009A27B9" w14:paraId="18040AD9" w14:textId="77777777">
      <w:pPr>
        <w:pStyle w:val="Heading2"/>
      </w:pPr>
      <w:bookmarkStart w:id="39" w:name="_Toc441759871"/>
      <w:r w:rsidRPr="00ED38E9">
        <w:t>Důvod předložení a cíle</w:t>
      </w:r>
    </w:p>
    <w:p w:rsidR="009A27B9" w:rsidRPr="005A36CE" w:rsidP="00BF16B7" w14:paraId="6E20D3B6" w14:textId="77777777">
      <w:pPr>
        <w:pStyle w:val="Heading3"/>
      </w:pPr>
      <w:r w:rsidRPr="005A36CE">
        <w:t>Definice problému a popis současného stavu</w:t>
      </w:r>
    </w:p>
    <w:p w:rsidR="009A27B9" w:rsidP="009A27B9" w14:paraId="7C66E5C0" w14:textId="2CB36474">
      <w:pPr>
        <w:rPr>
          <w:rFonts w:eastAsia="Calibri" w:cs="Arial"/>
          <w:noProof w:val="0"/>
          <w:szCs w:val="22"/>
          <w:lang w:bidi="ar-SA"/>
        </w:rPr>
      </w:pPr>
      <w:r w:rsidRPr="00ED38E9">
        <w:rPr>
          <w:rFonts w:eastAsia="Calibri" w:cs="Arial"/>
          <w:noProof w:val="0"/>
          <w:szCs w:val="22"/>
          <w:lang w:bidi="ar-SA"/>
        </w:rPr>
        <w:t>Právnická osoba zajišťující společné plněn</w:t>
      </w:r>
      <w:r w:rsidR="00CE72E5">
        <w:rPr>
          <w:rFonts w:eastAsia="Calibri" w:cs="Arial"/>
          <w:noProof w:val="0"/>
          <w:szCs w:val="22"/>
          <w:lang w:bidi="ar-SA"/>
        </w:rPr>
        <w:t xml:space="preserve">í povinností výrobců v oblasti  odpadních </w:t>
      </w:r>
      <w:r w:rsidRPr="00ED38E9">
        <w:rPr>
          <w:rFonts w:eastAsia="Calibri" w:cs="Arial"/>
          <w:noProof w:val="0"/>
          <w:szCs w:val="22"/>
          <w:lang w:bidi="ar-SA"/>
        </w:rPr>
        <w:t xml:space="preserve">EEZ musí být založena nejméně čtyřmi výrobci </w:t>
      </w:r>
      <w:r w:rsidR="00CE72E5">
        <w:rPr>
          <w:rFonts w:eastAsia="Calibri" w:cs="Arial"/>
          <w:noProof w:val="0"/>
          <w:szCs w:val="22"/>
          <w:lang w:bidi="ar-SA"/>
        </w:rPr>
        <w:t>EEZ</w:t>
      </w:r>
      <w:r w:rsidRPr="00ED38E9">
        <w:rPr>
          <w:rFonts w:eastAsia="Calibri" w:cs="Arial"/>
          <w:noProof w:val="0"/>
          <w:szCs w:val="22"/>
          <w:lang w:bidi="ar-SA"/>
        </w:rPr>
        <w:t xml:space="preserve">, anebo jinou právnickou osobou, sdružující nejméně čtyři výrobce </w:t>
      </w:r>
      <w:r w:rsidR="00CE72E5">
        <w:rPr>
          <w:rFonts w:eastAsia="Calibri" w:cs="Arial"/>
          <w:noProof w:val="0"/>
          <w:szCs w:val="22"/>
          <w:lang w:bidi="ar-SA"/>
        </w:rPr>
        <w:t>EEZ</w:t>
      </w:r>
      <w:r w:rsidRPr="00ED38E9">
        <w:rPr>
          <w:rFonts w:eastAsia="Calibri" w:cs="Arial"/>
          <w:noProof w:val="0"/>
          <w:szCs w:val="22"/>
          <w:lang w:bidi="ar-SA"/>
        </w:rPr>
        <w:t xml:space="preserve">. Právní formu </w:t>
      </w:r>
      <w:r w:rsidR="00660AA9">
        <w:rPr>
          <w:rFonts w:eastAsia="Calibri" w:cs="Arial"/>
          <w:noProof w:val="0"/>
          <w:szCs w:val="22"/>
          <w:lang w:bidi="ar-SA"/>
        </w:rPr>
        <w:t>KS</w:t>
      </w:r>
      <w:r w:rsidRPr="00ED38E9">
        <w:rPr>
          <w:rFonts w:eastAsia="Calibri" w:cs="Arial"/>
          <w:noProof w:val="0"/>
          <w:szCs w:val="22"/>
          <w:lang w:bidi="ar-SA"/>
        </w:rPr>
        <w:t xml:space="preserve"> </w:t>
      </w:r>
      <w:r>
        <w:rPr>
          <w:rFonts w:eastAsia="Calibri" w:cs="Arial"/>
          <w:noProof w:val="0"/>
          <w:szCs w:val="22"/>
          <w:lang w:bidi="ar-SA"/>
        </w:rPr>
        <w:t>v oblasti EEZ</w:t>
      </w:r>
      <w:r w:rsidRPr="00ED38E9">
        <w:rPr>
          <w:rFonts w:eastAsia="Calibri" w:cs="Arial"/>
          <w:noProof w:val="0"/>
          <w:szCs w:val="22"/>
          <w:lang w:bidi="ar-SA"/>
        </w:rPr>
        <w:t xml:space="preserve"> současná legislativní úprava tedy specifikuje</w:t>
      </w:r>
      <w:r>
        <w:rPr>
          <w:rFonts w:eastAsia="Calibri" w:cs="Arial"/>
          <w:noProof w:val="0"/>
          <w:szCs w:val="22"/>
          <w:lang w:bidi="ar-SA"/>
        </w:rPr>
        <w:t xml:space="preserve"> pouze do té míry, že musí jít o </w:t>
      </w:r>
      <w:r w:rsidRPr="00AB51B9">
        <w:rPr>
          <w:rFonts w:eastAsia="Calibri" w:cs="Arial"/>
          <w:noProof w:val="0"/>
          <w:szCs w:val="22"/>
          <w:lang w:bidi="ar-SA"/>
        </w:rPr>
        <w:t>obchodní společnost nebo družstvo</w:t>
      </w:r>
      <w:r w:rsidRPr="00ED38E9">
        <w:rPr>
          <w:rFonts w:eastAsia="Calibri" w:cs="Arial"/>
          <w:noProof w:val="0"/>
          <w:szCs w:val="22"/>
          <w:lang w:bidi="ar-SA"/>
        </w:rPr>
        <w:t xml:space="preserve"> (</w:t>
      </w:r>
      <w:r>
        <w:rPr>
          <w:rFonts w:eastAsia="Calibri" w:cs="Arial"/>
          <w:noProof w:val="0"/>
          <w:szCs w:val="22"/>
          <w:lang w:bidi="ar-SA"/>
        </w:rPr>
        <w:t>v</w:t>
      </w:r>
      <w:r w:rsidRPr="00ED38E9">
        <w:rPr>
          <w:rFonts w:eastAsia="Calibri" w:cs="Arial"/>
          <w:noProof w:val="0"/>
          <w:szCs w:val="22"/>
          <w:lang w:bidi="ar-SA"/>
        </w:rPr>
        <w:t xml:space="preserve">šechny </w:t>
      </w:r>
      <w:r w:rsidR="00660AA9">
        <w:rPr>
          <w:rFonts w:eastAsia="Calibri" w:cs="Arial"/>
          <w:noProof w:val="0"/>
          <w:szCs w:val="22"/>
          <w:lang w:bidi="ar-SA"/>
        </w:rPr>
        <w:t>KS</w:t>
      </w:r>
      <w:r w:rsidRPr="00ED38E9">
        <w:rPr>
          <w:rFonts w:eastAsia="Calibri" w:cs="Arial"/>
          <w:noProof w:val="0"/>
          <w:szCs w:val="22"/>
          <w:lang w:bidi="ar-SA"/>
        </w:rPr>
        <w:t xml:space="preserve"> působící </w:t>
      </w:r>
      <w:r>
        <w:rPr>
          <w:rFonts w:eastAsia="Calibri" w:cs="Arial"/>
          <w:noProof w:val="0"/>
          <w:szCs w:val="22"/>
          <w:lang w:bidi="ar-SA"/>
        </w:rPr>
        <w:t xml:space="preserve">v oblasti </w:t>
      </w:r>
      <w:r w:rsidRPr="003A3331" w:rsidR="003A3331">
        <w:rPr>
          <w:rFonts w:eastAsia="Calibri" w:cs="Arial"/>
          <w:noProof w:val="0"/>
          <w:szCs w:val="22"/>
          <w:lang w:bidi="ar-SA"/>
        </w:rPr>
        <w:t>mají</w:t>
      </w:r>
      <w:r w:rsidRPr="003A3331">
        <w:rPr>
          <w:rFonts w:eastAsia="Calibri" w:cs="Arial"/>
          <w:noProof w:val="0"/>
          <w:szCs w:val="22"/>
          <w:lang w:bidi="ar-SA"/>
        </w:rPr>
        <w:t xml:space="preserve"> formu a.s. nebo s.r.o.)</w:t>
      </w:r>
      <w:r>
        <w:rPr>
          <w:rFonts w:eastAsia="Calibri" w:cs="Arial"/>
          <w:noProof w:val="0"/>
          <w:szCs w:val="22"/>
          <w:lang w:bidi="ar-SA"/>
        </w:rPr>
        <w:t xml:space="preserve">. Formu akciové společnosti nebo společnosti s ručením omezeným musí mít podle zákona o odpadech </w:t>
      </w:r>
      <w:r w:rsidR="00660AA9">
        <w:rPr>
          <w:rFonts w:eastAsia="Calibri" w:cs="Arial"/>
          <w:noProof w:val="0"/>
          <w:szCs w:val="22"/>
          <w:lang w:bidi="ar-SA"/>
        </w:rPr>
        <w:t>KS</w:t>
      </w:r>
      <w:r>
        <w:rPr>
          <w:rFonts w:eastAsia="Calibri" w:cs="Arial"/>
          <w:noProof w:val="0"/>
          <w:szCs w:val="22"/>
          <w:lang w:bidi="ar-SA"/>
        </w:rPr>
        <w:t xml:space="preserve"> v oblasti baterií a akumulátorů a pneumatik.</w:t>
      </w:r>
    </w:p>
    <w:p w:rsidR="009A27B9" w:rsidRPr="00ED38E9" w:rsidP="00BF16B7" w14:paraId="2846651E" w14:textId="77777777">
      <w:pPr>
        <w:pStyle w:val="Heading3"/>
      </w:pPr>
      <w:r w:rsidRPr="00ED38E9">
        <w:t>Identifikace dotčených subjektů</w:t>
      </w:r>
    </w:p>
    <w:p w:rsidR="009A27B9" w:rsidRPr="00CE72E5" w:rsidP="003C445B" w14:paraId="2FA1FD60" w14:textId="77777777">
      <w:pPr>
        <w:pStyle w:val="ListParagraph"/>
        <w:numPr>
          <w:ilvl w:val="0"/>
          <w:numId w:val="112"/>
        </w:numPr>
        <w:rPr>
          <w:rFonts w:cs="Arial"/>
        </w:rPr>
      </w:pPr>
      <w:r w:rsidRPr="00CE72E5">
        <w:rPr>
          <w:rFonts w:cs="Arial"/>
        </w:rPr>
        <w:t>Kolektivní systémy</w:t>
      </w:r>
    </w:p>
    <w:p w:rsidR="009A27B9" w:rsidRPr="00ED38E9" w:rsidP="00BF16B7" w14:paraId="3EDF7B4F" w14:textId="77777777">
      <w:pPr>
        <w:pStyle w:val="Heading3"/>
      </w:pPr>
      <w:r w:rsidRPr="00ED38E9">
        <w:t>Popis cílového stavu</w:t>
      </w:r>
    </w:p>
    <w:p w:rsidR="009A27B9" w:rsidP="009A27B9" w14:paraId="1E8A62D6" w14:textId="77777777">
      <w:pPr>
        <w:rPr>
          <w:rFonts w:cs="Arial"/>
        </w:rPr>
      </w:pPr>
      <w:r w:rsidRPr="00ED38E9">
        <w:rPr>
          <w:rFonts w:eastAsia="Calibri" w:cs="Arial"/>
          <w:noProof w:val="0"/>
          <w:szCs w:val="22"/>
          <w:lang w:bidi="ar-SA"/>
        </w:rPr>
        <w:t>Cílem úpravy je při maximální možné efektivnosti sběru a kontroly KS minimalizovat jejich administrativní zátěž pomocí konzistentní právní úpravy.</w:t>
      </w:r>
    </w:p>
    <w:p w:rsidR="009A27B9" w:rsidRPr="00ED38E9" w:rsidP="009A27B9" w14:paraId="3DFE7D1D" w14:textId="77777777">
      <w:pPr>
        <w:rPr>
          <w:rFonts w:cs="Arial"/>
        </w:rPr>
      </w:pPr>
    </w:p>
    <w:p w:rsidR="009A27B9" w:rsidRPr="00ED38E9" w:rsidP="009A27B9" w14:paraId="6712A56A" w14:textId="77777777">
      <w:pPr>
        <w:pStyle w:val="Heading2"/>
        <w:spacing w:before="120" w:after="0"/>
      </w:pPr>
      <w:r w:rsidRPr="00ED38E9">
        <w:t>Návrh variant řešení</w:t>
      </w:r>
    </w:p>
    <w:p w:rsidR="009A27B9" w:rsidRPr="002575A5" w:rsidP="00BF16B7" w14:paraId="5160B237" w14:textId="77777777">
      <w:pPr>
        <w:pStyle w:val="Heading3"/>
      </w:pPr>
      <w:r w:rsidRPr="00ED38E9">
        <w:t>Varianta 0</w:t>
      </w:r>
    </w:p>
    <w:p w:rsidR="009A27B9" w:rsidRPr="00892679" w:rsidP="0099249D" w14:paraId="05A1D89A" w14:textId="77777777">
      <w:r w:rsidRPr="00892679">
        <w:t>Zachování současného stavu.</w:t>
      </w:r>
    </w:p>
    <w:p w:rsidR="009A27B9" w:rsidP="00BF16B7" w14:paraId="57398384" w14:textId="77777777">
      <w:pPr>
        <w:pStyle w:val="Heading3"/>
      </w:pPr>
      <w:r>
        <w:t>Varianta 1</w:t>
      </w:r>
    </w:p>
    <w:p w:rsidR="009A27B9" w:rsidRPr="00ED38E9" w:rsidP="00CE72E5" w14:paraId="54775257" w14:textId="77777777">
      <w:pPr>
        <w:widowControl w:val="0"/>
        <w:spacing w:after="0"/>
        <w:rPr>
          <w:rFonts w:eastAsia="Calibri" w:cs="Arial"/>
          <w:noProof w:val="0"/>
          <w:szCs w:val="22"/>
          <w:lang w:bidi="ar-SA"/>
        </w:rPr>
      </w:pPr>
      <w:r w:rsidRPr="00ED38E9">
        <w:rPr>
          <w:rFonts w:eastAsia="Calibri" w:cs="Arial"/>
          <w:noProof w:val="0"/>
          <w:szCs w:val="22"/>
          <w:lang w:bidi="ar-SA"/>
        </w:rPr>
        <w:t>Kolektivní systémy budou moci mít právní formu pouze a.s.</w:t>
      </w:r>
    </w:p>
    <w:p w:rsidR="009A27B9" w:rsidRPr="00221615" w:rsidP="003C445B" w14:paraId="009EC952" w14:textId="79321752">
      <w:pPr>
        <w:pStyle w:val="ListParagraph"/>
        <w:widowControl w:val="0"/>
        <w:numPr>
          <w:ilvl w:val="0"/>
          <w:numId w:val="94"/>
        </w:numPr>
        <w:spacing w:after="120"/>
        <w:ind w:left="714" w:hanging="357"/>
        <w:contextualSpacing w:val="0"/>
        <w:rPr>
          <w:rFonts w:eastAsia="Calibri" w:cs="Arial"/>
          <w:noProof w:val="0"/>
          <w:szCs w:val="22"/>
          <w:lang w:bidi="ar-SA"/>
        </w:rPr>
      </w:pPr>
      <w:r w:rsidRPr="00E73740">
        <w:rPr>
          <w:rFonts w:eastAsia="Calibri" w:cs="Arial"/>
          <w:b/>
          <w:noProof w:val="0"/>
          <w:szCs w:val="22"/>
          <w:lang w:bidi="ar-SA"/>
        </w:rPr>
        <w:t>Varianta 1a</w:t>
      </w:r>
      <w:r w:rsidR="00E73740">
        <w:rPr>
          <w:rFonts w:eastAsia="Calibri" w:cs="Arial"/>
          <w:noProof w:val="0"/>
          <w:szCs w:val="22"/>
          <w:lang w:bidi="ar-SA"/>
        </w:rPr>
        <w:t xml:space="preserve"> -</w:t>
      </w:r>
      <w:r w:rsidRPr="00221615">
        <w:rPr>
          <w:rFonts w:eastAsia="Calibri" w:cs="Arial"/>
          <w:noProof w:val="0"/>
          <w:szCs w:val="22"/>
          <w:lang w:bidi="ar-SA"/>
        </w:rPr>
        <w:t xml:space="preserve"> Právní forma a.s. nebude omezena dodatečnými požadavky</w:t>
      </w:r>
    </w:p>
    <w:p w:rsidR="009A27B9" w:rsidRPr="00043961" w:rsidP="003C445B" w14:paraId="669E0FFA" w14:textId="01C3A7CC">
      <w:pPr>
        <w:pStyle w:val="ListParagraph"/>
        <w:numPr>
          <w:ilvl w:val="0"/>
          <w:numId w:val="94"/>
        </w:numPr>
        <w:ind w:left="714" w:hanging="357"/>
        <w:contextualSpacing w:val="0"/>
      </w:pPr>
      <w:r w:rsidRPr="00E73740">
        <w:rPr>
          <w:rFonts w:eastAsia="Calibri" w:cs="Arial"/>
          <w:b/>
          <w:noProof w:val="0"/>
          <w:szCs w:val="22"/>
          <w:lang w:bidi="ar-SA"/>
        </w:rPr>
        <w:t>Varianta 1b</w:t>
      </w:r>
      <w:r>
        <w:rPr>
          <w:rFonts w:eastAsia="Calibri" w:cs="Arial"/>
          <w:noProof w:val="0"/>
          <w:szCs w:val="22"/>
          <w:lang w:bidi="ar-SA"/>
        </w:rPr>
        <w:t xml:space="preserve"> -</w:t>
      </w:r>
      <w:r w:rsidRPr="00221615">
        <w:rPr>
          <w:rFonts w:eastAsia="Calibri" w:cs="Arial"/>
          <w:noProof w:val="0"/>
          <w:szCs w:val="22"/>
          <w:lang w:bidi="ar-SA"/>
        </w:rPr>
        <w:t xml:space="preserve"> Právní forma a.s. bude omezena dodatečnými požadavky (požadavek min. 4 akcionářů, pouze kmenové zaknihované akcie znějící na jméno, nemožnost vydávání akcií s rozdílnou váhou hlasů, akcie lze upisovat pouze peněžitými vklady).</w:t>
      </w:r>
    </w:p>
    <w:p w:rsidR="009A27B9" w:rsidP="00BF16B7" w14:paraId="58D7C4B5" w14:textId="77777777">
      <w:pPr>
        <w:pStyle w:val="Heading3"/>
      </w:pPr>
      <w:r>
        <w:t>Varianta 2</w:t>
      </w:r>
    </w:p>
    <w:p w:rsidR="009A27B9" w:rsidRPr="00ED38E9" w:rsidP="009A27B9" w14:paraId="68A245B8" w14:textId="77777777">
      <w:pPr>
        <w:widowControl w:val="0"/>
        <w:spacing w:after="120"/>
        <w:rPr>
          <w:rFonts w:eastAsia="Calibri" w:cs="Arial"/>
          <w:noProof w:val="0"/>
          <w:szCs w:val="22"/>
          <w:lang w:bidi="ar-SA"/>
        </w:rPr>
      </w:pPr>
      <w:r>
        <w:rPr>
          <w:rFonts w:eastAsia="Calibri" w:cs="Arial"/>
          <w:noProof w:val="0"/>
          <w:szCs w:val="22"/>
          <w:lang w:bidi="ar-SA"/>
        </w:rPr>
        <w:t>Možnost volby</w:t>
      </w:r>
      <w:r w:rsidRPr="00ED38E9">
        <w:rPr>
          <w:rFonts w:eastAsia="Calibri" w:cs="Arial"/>
          <w:noProof w:val="0"/>
          <w:szCs w:val="22"/>
          <w:lang w:bidi="ar-SA"/>
        </w:rPr>
        <w:t xml:space="preserve"> právní form</w:t>
      </w:r>
      <w:r>
        <w:rPr>
          <w:rFonts w:eastAsia="Calibri" w:cs="Arial"/>
          <w:noProof w:val="0"/>
          <w:szCs w:val="22"/>
          <w:lang w:bidi="ar-SA"/>
        </w:rPr>
        <w:t>y</w:t>
      </w:r>
      <w:r w:rsidRPr="00ED38E9">
        <w:rPr>
          <w:rFonts w:eastAsia="Calibri" w:cs="Arial"/>
          <w:noProof w:val="0"/>
          <w:szCs w:val="22"/>
          <w:lang w:bidi="ar-SA"/>
        </w:rPr>
        <w:t xml:space="preserve"> založení KS </w:t>
      </w:r>
      <w:r>
        <w:rPr>
          <w:rFonts w:eastAsia="Calibri" w:cs="Arial"/>
          <w:noProof w:val="0"/>
          <w:szCs w:val="22"/>
          <w:lang w:bidi="ar-SA"/>
        </w:rPr>
        <w:t xml:space="preserve">jako a.s. nebo jako s.r.o. </w:t>
      </w:r>
      <w:r w:rsidRPr="00ED38E9">
        <w:rPr>
          <w:rFonts w:eastAsia="Calibri" w:cs="Arial"/>
          <w:noProof w:val="0"/>
          <w:szCs w:val="22"/>
          <w:lang w:bidi="ar-SA"/>
        </w:rPr>
        <w:t>s blíže definovanými znaky: dualistický systém (má zřízené představenstvo a dozorčí radu), minimální výše základního kapitálu, nemožnost existence akcií/podílů s rozdílnou váhou hlasů, akcie/vklad pouze formou peněžitého vkladu atd.</w:t>
      </w:r>
    </w:p>
    <w:p w:rsidR="009A27B9" w:rsidRPr="002575A5" w:rsidP="009A27B9" w14:paraId="34598840" w14:textId="4266C3CB">
      <w:r w:rsidRPr="00ED38E9">
        <w:rPr>
          <w:rFonts w:eastAsia="Calibri" w:cs="Arial"/>
          <w:noProof w:val="0"/>
          <w:szCs w:val="22"/>
          <w:lang w:bidi="ar-SA"/>
        </w:rPr>
        <w:t xml:space="preserve">V případě zavedení dodatečných požadavků by tyto měly sledovat za cíl podporu </w:t>
      </w:r>
      <w:r w:rsidR="00660AA9">
        <w:rPr>
          <w:rFonts w:eastAsia="Calibri" w:cs="Arial"/>
          <w:noProof w:val="0"/>
          <w:szCs w:val="22"/>
          <w:lang w:bidi="ar-SA"/>
        </w:rPr>
        <w:t>ZO</w:t>
      </w:r>
      <w:r w:rsidRPr="00ED38E9">
        <w:rPr>
          <w:rFonts w:eastAsia="Calibri" w:cs="Arial"/>
          <w:noProof w:val="0"/>
          <w:szCs w:val="22"/>
          <w:lang w:bidi="ar-SA"/>
        </w:rPr>
        <w:t xml:space="preserve"> a</w:t>
      </w:r>
      <w:r w:rsidR="00EB0BEF">
        <w:rPr>
          <w:rFonts w:eastAsia="Calibri" w:cs="Arial"/>
          <w:noProof w:val="0"/>
          <w:szCs w:val="22"/>
          <w:lang w:bidi="ar-SA"/>
        </w:rPr>
        <w:t> </w:t>
      </w:r>
      <w:r w:rsidRPr="00ED38E9">
        <w:rPr>
          <w:rFonts w:eastAsia="Calibri" w:cs="Arial"/>
          <w:noProof w:val="0"/>
          <w:szCs w:val="22"/>
          <w:lang w:bidi="ar-SA"/>
        </w:rPr>
        <w:t>zajištění efektivní kontroly, ale neměly by představovat neopodstatněné bariéry vstupu nových subjektů.</w:t>
      </w:r>
    </w:p>
    <w:p w:rsidR="009A27B9" w:rsidRPr="00ED38E9" w:rsidP="009A27B9" w14:paraId="69CCC202" w14:textId="77777777">
      <w:pPr>
        <w:pStyle w:val="TOC3"/>
      </w:pPr>
    </w:p>
    <w:p w:rsidR="009A27B9" w:rsidP="002564B6" w14:paraId="6F3BC0DB" w14:textId="77777777">
      <w:pPr>
        <w:pStyle w:val="Heading2"/>
        <w:spacing w:before="120" w:after="0"/>
      </w:pPr>
      <w:r>
        <w:t>Vyhodnocení nákladů a přínosů</w:t>
      </w:r>
    </w:p>
    <w:p w:rsidR="009A27B9" w:rsidRPr="00043961" w:rsidP="002564B6" w14:paraId="6262949B" w14:textId="77777777">
      <w:pPr>
        <w:pStyle w:val="Heading3"/>
        <w:keepNext/>
        <w:widowControl/>
      </w:pPr>
      <w:r w:rsidRPr="00043961">
        <w:t>Identifikace nákladů a přínosů</w:t>
      </w:r>
    </w:p>
    <w:p w:rsidR="009A27B9" w:rsidRPr="00221615" w:rsidP="003C445B" w14:paraId="7AEBF2AB" w14:textId="77777777">
      <w:pPr>
        <w:pStyle w:val="ListParagraph"/>
        <w:keepNext/>
        <w:numPr>
          <w:ilvl w:val="0"/>
          <w:numId w:val="95"/>
        </w:numPr>
        <w:spacing w:before="240" w:after="120"/>
        <w:contextualSpacing w:val="0"/>
        <w:rPr>
          <w:rFonts w:cs="Arial"/>
          <w:b/>
        </w:rPr>
      </w:pPr>
      <w:r w:rsidRPr="00221615">
        <w:rPr>
          <w:rFonts w:cs="Arial"/>
          <w:b/>
        </w:rPr>
        <w:t>Varianta 0</w:t>
      </w:r>
    </w:p>
    <w:p w:rsidR="009A27B9" w:rsidP="009A27B9" w14:paraId="48C98DB2" w14:textId="77777777">
      <w:pPr>
        <w:rPr>
          <w:rFonts w:cs="Arial"/>
        </w:rPr>
      </w:pPr>
      <w:r w:rsidRPr="00ED38E9">
        <w:rPr>
          <w:rFonts w:eastAsia="Calibri" w:cs="Arial"/>
          <w:noProof w:val="0"/>
          <w:szCs w:val="22"/>
          <w:lang w:bidi="ar-SA"/>
        </w:rPr>
        <w:t xml:space="preserve">Varianta 0 nepředstavuje pro dotčené subjekty žádné dodatečné náklady. Pouze představuje riziko nerovných podmínek pro účastníky trhu - rozdílná výše minimálního základního kapitálu, administrativní náklady apod. </w:t>
      </w:r>
    </w:p>
    <w:p w:rsidR="009A27B9" w:rsidRPr="00221615" w:rsidP="003C445B" w14:paraId="774DBE00" w14:textId="77777777">
      <w:pPr>
        <w:pStyle w:val="ListParagraph"/>
        <w:keepNext/>
        <w:numPr>
          <w:ilvl w:val="0"/>
          <w:numId w:val="95"/>
        </w:numPr>
        <w:spacing w:before="240" w:after="120"/>
        <w:ind w:left="714" w:hanging="357"/>
        <w:contextualSpacing w:val="0"/>
        <w:rPr>
          <w:rFonts w:cs="Arial"/>
          <w:b/>
        </w:rPr>
      </w:pPr>
      <w:r w:rsidRPr="00221615">
        <w:rPr>
          <w:rFonts w:cs="Arial"/>
          <w:b/>
        </w:rPr>
        <w:t>Varianta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3100E07F"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9A27B9" w:rsidRPr="002C4BD5" w:rsidP="006031E5" w14:paraId="7C7F0C1E" w14:textId="77777777">
            <w:pPr>
              <w:keepNext/>
              <w:jc w:val="left"/>
              <w:rPr>
                <w:rFonts w:eastAsia="MS Mincho" w:cs="Arial"/>
                <w:b/>
                <w:noProof w:val="0"/>
                <w:sz w:val="20"/>
                <w:szCs w:val="20"/>
                <w:lang w:bidi="ar-SA"/>
              </w:rPr>
            </w:pPr>
            <w:bookmarkEnd w:id="39"/>
            <w:r w:rsidRPr="002C4BD5">
              <w:rPr>
                <w:rFonts w:eastAsia="MS Mincho" w:cs="Arial"/>
                <w:b/>
                <w:noProof w:val="0"/>
                <w:sz w:val="20"/>
                <w:szCs w:val="20"/>
                <w:lang w:eastAsia="cs-CZ" w:bidi="ar-SA"/>
              </w:rPr>
              <w:t>Kolektivní systémy/výrobci</w:t>
            </w:r>
          </w:p>
        </w:tc>
      </w:tr>
      <w:tr w14:paraId="3AF787C5" w14:textId="77777777" w:rsidTr="006031E5">
        <w:tblPrEx>
          <w:tblW w:w="0" w:type="auto"/>
          <w:tblInd w:w="108" w:type="dxa"/>
          <w:tblLook w:val="00A0"/>
        </w:tblPrEx>
        <w:trPr>
          <w:trHeight w:val="397"/>
        </w:trPr>
        <w:tc>
          <w:tcPr>
            <w:tcW w:w="9180" w:type="dxa"/>
            <w:shd w:val="clear" w:color="auto" w:fill="auto"/>
            <w:vAlign w:val="center"/>
          </w:tcPr>
          <w:p w:rsidR="009A27B9" w:rsidRPr="002C4BD5" w:rsidP="006031E5" w14:paraId="09B13CE2" w14:textId="77777777">
            <w:pPr>
              <w:spacing w:before="20" w:after="20"/>
              <w:jc w:val="left"/>
              <w:rPr>
                <w:rFonts w:eastAsia="MS Mincho" w:cs="Arial"/>
                <w:noProof w:val="0"/>
                <w:sz w:val="20"/>
                <w:szCs w:val="20"/>
                <w:lang w:bidi="ar-SA"/>
              </w:rPr>
            </w:pPr>
            <w:r w:rsidRPr="002C4BD5">
              <w:rPr>
                <w:rFonts w:eastAsia="MS Mincho" w:cs="Arial"/>
                <w:b/>
                <w:i/>
                <w:noProof w:val="0"/>
                <w:sz w:val="20"/>
                <w:szCs w:val="20"/>
                <w:lang w:bidi="ar-SA"/>
              </w:rPr>
              <w:t>Přínosy</w:t>
            </w:r>
            <w:r w:rsidRPr="002C4BD5">
              <w:rPr>
                <w:rFonts w:eastAsia="MS Mincho" w:cs="Arial"/>
                <w:i/>
                <w:noProof w:val="0"/>
                <w:sz w:val="20"/>
                <w:szCs w:val="20"/>
                <w:lang w:bidi="ar-SA"/>
              </w:rPr>
              <w:t xml:space="preserve"> </w:t>
            </w:r>
            <w:r w:rsidRPr="002C4BD5">
              <w:rPr>
                <w:rFonts w:eastAsia="MS Mincho" w:cs="Arial"/>
                <w:noProof w:val="0"/>
                <w:sz w:val="20"/>
                <w:szCs w:val="20"/>
                <w:lang w:bidi="ar-SA"/>
              </w:rPr>
              <w:t>– Vyšší právní jistota, transparentnost, jednotnost podmínek pro všechny KS</w:t>
            </w:r>
          </w:p>
          <w:p w:rsidR="004114EA" w:rsidP="006031E5" w14:paraId="69CC86FC" w14:textId="518BDF08">
            <w:pPr>
              <w:spacing w:before="20" w:after="20"/>
              <w:jc w:val="left"/>
              <w:rPr>
                <w:rFonts w:eastAsia="MS Mincho" w:cs="Arial"/>
                <w:noProof w:val="0"/>
                <w:sz w:val="20"/>
                <w:szCs w:val="20"/>
                <w:lang w:bidi="ar-SA"/>
              </w:rPr>
            </w:pPr>
            <w:r w:rsidRPr="002C4BD5">
              <w:rPr>
                <w:rFonts w:eastAsia="MS Mincho" w:cs="Arial"/>
                <w:b/>
                <w:i/>
                <w:noProof w:val="0"/>
                <w:sz w:val="20"/>
                <w:szCs w:val="20"/>
                <w:lang w:bidi="ar-SA"/>
              </w:rPr>
              <w:t>Náklady</w:t>
            </w:r>
          </w:p>
          <w:p w:rsidR="009A27B9" w:rsidRPr="002C4BD5" w:rsidP="006031E5" w14:paraId="6F796E49" w14:textId="666358CC">
            <w:pPr>
              <w:spacing w:before="20" w:after="20"/>
              <w:jc w:val="left"/>
              <w:rPr>
                <w:rFonts w:eastAsia="MS Mincho" w:cs="Arial"/>
                <w:noProof w:val="0"/>
                <w:sz w:val="20"/>
                <w:szCs w:val="20"/>
                <w:lang w:bidi="ar-SA"/>
              </w:rPr>
            </w:pPr>
            <w:r w:rsidRPr="002C4BD5">
              <w:rPr>
                <w:rFonts w:eastAsia="MS Mincho" w:cs="Arial"/>
                <w:noProof w:val="0"/>
                <w:sz w:val="20"/>
                <w:szCs w:val="20"/>
                <w:lang w:bidi="ar-SA"/>
              </w:rPr>
              <w:t>Varianta 1a - Náklady na převod na právní formu a.s. v případě, že KS má jinou právní formu než a.s.</w:t>
            </w:r>
          </w:p>
          <w:p w:rsidR="009A27B9" w:rsidRPr="002C4BD5" w:rsidP="006031E5" w14:paraId="2088CB9A" w14:textId="119DB244">
            <w:pPr>
              <w:spacing w:before="20" w:after="20"/>
              <w:jc w:val="left"/>
              <w:rPr>
                <w:rFonts w:eastAsia="MS Mincho" w:cs="Arial"/>
                <w:noProof w:val="0"/>
                <w:sz w:val="20"/>
                <w:szCs w:val="20"/>
                <w:lang w:bidi="ar-SA"/>
              </w:rPr>
            </w:pPr>
            <w:r w:rsidRPr="002C4BD5">
              <w:rPr>
                <w:rFonts w:eastAsia="MS Mincho" w:cs="Arial"/>
                <w:noProof w:val="0"/>
                <w:sz w:val="20"/>
                <w:szCs w:val="20"/>
                <w:lang w:bidi="ar-SA"/>
              </w:rPr>
              <w:t xml:space="preserve">Varianta 1b - Náklady na povinné uschování akcií v CDCP (náklady první rok 30–40 tis. Kč, další </w:t>
            </w:r>
            <w:r w:rsidRPr="002C4BD5">
              <w:rPr>
                <w:rFonts w:eastAsia="MS Mincho" w:cs="Arial"/>
                <w:noProof w:val="0"/>
                <w:sz w:val="20"/>
                <w:szCs w:val="20"/>
                <w:lang w:bidi="ar-SA"/>
              </w:rPr>
              <w:br/>
              <w:t xml:space="preserve">                   roky 10–20 tis. Kč) a na další přizpůsobování v případě, že KS má jinou právní formu než a.s.</w:t>
            </w:r>
          </w:p>
        </w:tc>
      </w:tr>
      <w:tr w14:paraId="07F245B5" w14:textId="77777777" w:rsidTr="006031E5">
        <w:tblPrEx>
          <w:tblW w:w="0" w:type="auto"/>
          <w:tblInd w:w="108" w:type="dxa"/>
          <w:tblLook w:val="00A0"/>
        </w:tblPrEx>
        <w:trPr>
          <w:trHeight w:val="397"/>
        </w:trPr>
        <w:tc>
          <w:tcPr>
            <w:tcW w:w="9180" w:type="dxa"/>
            <w:shd w:val="clear" w:color="auto" w:fill="auto"/>
            <w:vAlign w:val="center"/>
          </w:tcPr>
          <w:p w:rsidR="009A27B9" w:rsidRPr="002C4BD5" w:rsidP="006031E5" w14:paraId="45206C94" w14:textId="77777777">
            <w:pPr>
              <w:keepNext/>
              <w:jc w:val="left"/>
              <w:rPr>
                <w:rFonts w:eastAsia="MS Mincho" w:cs="Arial"/>
                <w:b/>
                <w:noProof w:val="0"/>
                <w:sz w:val="20"/>
                <w:szCs w:val="20"/>
                <w:lang w:bidi="ar-SA"/>
              </w:rPr>
            </w:pPr>
            <w:r w:rsidRPr="002C4BD5">
              <w:rPr>
                <w:rFonts w:eastAsia="MS Mincho" w:cs="Arial"/>
                <w:b/>
                <w:noProof w:val="0"/>
                <w:sz w:val="20"/>
                <w:szCs w:val="20"/>
                <w:lang w:eastAsia="cs-CZ" w:bidi="ar-SA"/>
              </w:rPr>
              <w:t>Státní správa</w:t>
            </w:r>
          </w:p>
        </w:tc>
      </w:tr>
      <w:tr w14:paraId="764DA582" w14:textId="77777777" w:rsidTr="006031E5">
        <w:tblPrEx>
          <w:tblW w:w="0" w:type="auto"/>
          <w:tblInd w:w="108" w:type="dxa"/>
          <w:tblLook w:val="00A0"/>
        </w:tblPrEx>
        <w:trPr>
          <w:trHeight w:val="397"/>
        </w:trPr>
        <w:tc>
          <w:tcPr>
            <w:tcW w:w="9180" w:type="dxa"/>
            <w:vAlign w:val="center"/>
          </w:tcPr>
          <w:p w:rsidR="009A27B9" w:rsidRPr="002C4BD5" w:rsidP="006031E5" w14:paraId="7468DF5B" w14:textId="77777777">
            <w:pPr>
              <w:spacing w:before="20" w:after="20"/>
              <w:jc w:val="left"/>
              <w:rPr>
                <w:rFonts w:eastAsia="MS Mincho" w:cs="Arial"/>
                <w:noProof w:val="0"/>
                <w:sz w:val="20"/>
                <w:szCs w:val="20"/>
                <w:lang w:bidi="ar-SA"/>
              </w:rPr>
            </w:pPr>
            <w:r w:rsidRPr="002C4BD5">
              <w:rPr>
                <w:rFonts w:eastAsia="MS Mincho" w:cs="Arial"/>
                <w:b/>
                <w:i/>
                <w:noProof w:val="0"/>
                <w:sz w:val="20"/>
                <w:szCs w:val="20"/>
                <w:lang w:bidi="ar-SA"/>
              </w:rPr>
              <w:t>Přínosy</w:t>
            </w:r>
            <w:r w:rsidRPr="002C4BD5">
              <w:rPr>
                <w:rFonts w:eastAsia="MS Mincho" w:cs="Arial"/>
                <w:i/>
                <w:noProof w:val="0"/>
                <w:sz w:val="20"/>
                <w:szCs w:val="20"/>
                <w:lang w:bidi="ar-SA"/>
              </w:rPr>
              <w:t xml:space="preserve"> </w:t>
            </w:r>
            <w:r w:rsidRPr="002C4BD5">
              <w:rPr>
                <w:rFonts w:eastAsia="MS Mincho" w:cs="Arial"/>
                <w:noProof w:val="0"/>
                <w:sz w:val="20"/>
                <w:szCs w:val="20"/>
                <w:lang w:bidi="ar-SA"/>
              </w:rPr>
              <w:t>– Vyšší právní jistota, transparentnost, jednotnost řešení</w:t>
            </w:r>
          </w:p>
        </w:tc>
      </w:tr>
    </w:tbl>
    <w:p w:rsidR="009A27B9" w:rsidRPr="00387C89" w:rsidP="003C445B" w14:paraId="1BD36B62" w14:textId="77777777">
      <w:pPr>
        <w:pStyle w:val="ListParagraph"/>
        <w:keepNext/>
        <w:numPr>
          <w:ilvl w:val="0"/>
          <w:numId w:val="95"/>
        </w:numPr>
        <w:spacing w:before="360" w:after="120"/>
        <w:ind w:left="714" w:hanging="357"/>
        <w:contextualSpacing w:val="0"/>
        <w:rPr>
          <w:rFonts w:cs="Arial"/>
          <w:b/>
        </w:rPr>
      </w:pPr>
      <w:r w:rsidRPr="00387C89">
        <w:rPr>
          <w:rFonts w:cs="Arial"/>
          <w:b/>
        </w:rPr>
        <w:t>Varianta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4A1CFAA4"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9A27B9" w:rsidRPr="002C4BD5" w:rsidP="006031E5" w14:paraId="18CB4B85" w14:textId="77777777">
            <w:pPr>
              <w:keepNext/>
              <w:jc w:val="left"/>
              <w:rPr>
                <w:rFonts w:eastAsia="MS Mincho" w:cs="Arial"/>
                <w:b/>
                <w:noProof w:val="0"/>
                <w:sz w:val="20"/>
                <w:szCs w:val="20"/>
                <w:lang w:bidi="ar-SA"/>
              </w:rPr>
            </w:pPr>
            <w:r w:rsidRPr="002C4BD5">
              <w:rPr>
                <w:rFonts w:eastAsia="MS Mincho" w:cs="Arial"/>
                <w:b/>
                <w:noProof w:val="0"/>
                <w:sz w:val="20"/>
                <w:szCs w:val="20"/>
                <w:lang w:eastAsia="cs-CZ" w:bidi="ar-SA"/>
              </w:rPr>
              <w:t>Kolektivní systémy/výrobci</w:t>
            </w:r>
          </w:p>
        </w:tc>
      </w:tr>
      <w:tr w14:paraId="15854D86" w14:textId="77777777" w:rsidTr="006031E5">
        <w:tblPrEx>
          <w:tblW w:w="0" w:type="auto"/>
          <w:tblInd w:w="108" w:type="dxa"/>
          <w:tblLook w:val="00A0"/>
        </w:tblPrEx>
        <w:trPr>
          <w:trHeight w:val="397"/>
        </w:trPr>
        <w:tc>
          <w:tcPr>
            <w:tcW w:w="9180" w:type="dxa"/>
            <w:shd w:val="clear" w:color="auto" w:fill="auto"/>
            <w:vAlign w:val="center"/>
          </w:tcPr>
          <w:p w:rsidR="009A27B9" w:rsidRPr="002C4BD5" w:rsidP="00C14F33" w14:paraId="54C850CD" w14:textId="77777777">
            <w:pPr>
              <w:spacing w:before="20" w:after="20"/>
              <w:rPr>
                <w:rFonts w:eastAsia="MS Mincho" w:cs="Arial"/>
                <w:b/>
                <w:i/>
                <w:noProof w:val="0"/>
                <w:sz w:val="20"/>
                <w:szCs w:val="20"/>
                <w:lang w:bidi="ar-SA"/>
              </w:rPr>
            </w:pPr>
            <w:r w:rsidRPr="002C4BD5">
              <w:rPr>
                <w:rFonts w:eastAsia="MS Mincho" w:cs="Arial"/>
                <w:b/>
                <w:i/>
                <w:noProof w:val="0"/>
                <w:sz w:val="20"/>
                <w:szCs w:val="20"/>
                <w:lang w:bidi="ar-SA"/>
              </w:rPr>
              <w:t xml:space="preserve">Přínosy – </w:t>
            </w:r>
            <w:r w:rsidRPr="00660AA9">
              <w:rPr>
                <w:rFonts w:eastAsia="MS Mincho" w:cs="Arial"/>
                <w:noProof w:val="0"/>
                <w:sz w:val="20"/>
                <w:szCs w:val="20"/>
                <w:lang w:bidi="ar-SA"/>
              </w:rPr>
              <w:t>Vyšší právní jistota, transparentnost, možnost volby vhodnější právní formy</w:t>
            </w:r>
          </w:p>
          <w:p w:rsidR="009A27B9" w:rsidRPr="002C4BD5" w:rsidP="00C14F33" w14:paraId="23D09F8B" w14:textId="77777777">
            <w:pPr>
              <w:spacing w:before="20" w:after="20"/>
              <w:rPr>
                <w:rFonts w:eastAsia="MS Mincho" w:cs="Arial"/>
                <w:b/>
                <w:i/>
                <w:noProof w:val="0"/>
                <w:sz w:val="20"/>
                <w:szCs w:val="20"/>
                <w:lang w:bidi="ar-SA"/>
              </w:rPr>
            </w:pPr>
            <w:r w:rsidRPr="002C4BD5">
              <w:rPr>
                <w:rFonts w:eastAsia="MS Mincho" w:cs="Arial"/>
                <w:b/>
                <w:i/>
                <w:noProof w:val="0"/>
                <w:sz w:val="20"/>
                <w:szCs w:val="20"/>
                <w:lang w:bidi="ar-SA"/>
              </w:rPr>
              <w:t xml:space="preserve">Náklady – </w:t>
            </w:r>
            <w:r w:rsidRPr="00660AA9">
              <w:rPr>
                <w:rFonts w:eastAsia="MS Mincho" w:cs="Arial"/>
                <w:noProof w:val="0"/>
                <w:sz w:val="20"/>
                <w:szCs w:val="20"/>
                <w:lang w:bidi="ar-SA"/>
              </w:rPr>
              <w:t>Náklady na přizpůsobení se požadavkům specifikovaným MŽP</w:t>
            </w:r>
          </w:p>
        </w:tc>
      </w:tr>
      <w:tr w14:paraId="15F74FAA" w14:textId="77777777" w:rsidTr="006031E5">
        <w:tblPrEx>
          <w:tblW w:w="0" w:type="auto"/>
          <w:tblInd w:w="108" w:type="dxa"/>
          <w:tblLook w:val="00A0"/>
        </w:tblPrEx>
        <w:trPr>
          <w:trHeight w:val="397"/>
        </w:trPr>
        <w:tc>
          <w:tcPr>
            <w:tcW w:w="9180" w:type="dxa"/>
            <w:shd w:val="clear" w:color="auto" w:fill="auto"/>
            <w:vAlign w:val="center"/>
          </w:tcPr>
          <w:p w:rsidR="009A27B9" w:rsidRPr="002C4BD5" w:rsidP="006031E5" w14:paraId="35FBBFBC" w14:textId="77777777">
            <w:pPr>
              <w:keepNext/>
              <w:jc w:val="left"/>
              <w:rPr>
                <w:rFonts w:eastAsia="MS Mincho" w:cs="Arial"/>
                <w:b/>
                <w:noProof w:val="0"/>
                <w:sz w:val="20"/>
                <w:szCs w:val="20"/>
                <w:lang w:bidi="ar-SA"/>
              </w:rPr>
            </w:pPr>
            <w:r w:rsidRPr="002C4BD5">
              <w:rPr>
                <w:rFonts w:eastAsia="MS Mincho" w:cs="Arial"/>
                <w:b/>
                <w:noProof w:val="0"/>
                <w:sz w:val="20"/>
                <w:szCs w:val="20"/>
                <w:lang w:eastAsia="cs-CZ" w:bidi="ar-SA"/>
              </w:rPr>
              <w:t>Státní správa</w:t>
            </w:r>
          </w:p>
        </w:tc>
      </w:tr>
      <w:tr w14:paraId="684D4D87" w14:textId="77777777" w:rsidTr="006031E5">
        <w:tblPrEx>
          <w:tblW w:w="0" w:type="auto"/>
          <w:tblInd w:w="108" w:type="dxa"/>
          <w:tblLook w:val="00A0"/>
        </w:tblPrEx>
        <w:trPr>
          <w:trHeight w:val="397"/>
        </w:trPr>
        <w:tc>
          <w:tcPr>
            <w:tcW w:w="9180" w:type="dxa"/>
            <w:vAlign w:val="center"/>
          </w:tcPr>
          <w:p w:rsidR="009A27B9" w:rsidRPr="002C4BD5" w:rsidP="006031E5" w14:paraId="4BB7E15B" w14:textId="77777777">
            <w:pPr>
              <w:spacing w:before="20" w:after="20"/>
              <w:jc w:val="left"/>
              <w:rPr>
                <w:rFonts w:eastAsia="MS Mincho" w:cs="Arial"/>
                <w:noProof w:val="0"/>
                <w:sz w:val="20"/>
                <w:szCs w:val="20"/>
                <w:lang w:bidi="ar-SA"/>
              </w:rPr>
            </w:pPr>
            <w:r w:rsidRPr="002C4BD5">
              <w:rPr>
                <w:rFonts w:eastAsia="MS Mincho" w:cs="Arial"/>
                <w:b/>
                <w:i/>
                <w:noProof w:val="0"/>
                <w:sz w:val="20"/>
                <w:szCs w:val="20"/>
                <w:lang w:bidi="ar-SA"/>
              </w:rPr>
              <w:t>Přínosy</w:t>
            </w:r>
            <w:r w:rsidRPr="002C4BD5">
              <w:rPr>
                <w:rFonts w:eastAsia="MS Mincho" w:cs="Arial"/>
                <w:i/>
                <w:noProof w:val="0"/>
                <w:sz w:val="20"/>
                <w:szCs w:val="20"/>
                <w:lang w:bidi="ar-SA"/>
              </w:rPr>
              <w:t xml:space="preserve"> </w:t>
            </w:r>
            <w:r w:rsidRPr="002C4BD5">
              <w:rPr>
                <w:rFonts w:eastAsia="MS Mincho" w:cs="Arial"/>
                <w:noProof w:val="0"/>
                <w:sz w:val="20"/>
                <w:szCs w:val="20"/>
                <w:lang w:bidi="ar-SA"/>
              </w:rPr>
              <w:t>– Vyšší právní jistota, jednotnost podmínek pro všechny KS</w:t>
            </w:r>
          </w:p>
        </w:tc>
      </w:tr>
    </w:tbl>
    <w:p w:rsidR="009A27B9" w:rsidP="002C4BD5" w14:paraId="78A41C57" w14:textId="77777777">
      <w:pPr>
        <w:spacing w:before="240"/>
        <w:rPr>
          <w:rFonts w:eastAsia="Calibri" w:cs="Arial"/>
          <w:lang w:bidi="ar-SA"/>
        </w:rPr>
      </w:pPr>
      <w:r w:rsidRPr="00ED38E9">
        <w:rPr>
          <w:rFonts w:eastAsia="Calibri" w:cs="Arial"/>
          <w:lang w:bidi="ar-SA"/>
        </w:rPr>
        <w:t>Níže uvedený příklad z praxe ilustruje možné riziko plynoucí z definování právní formy KS pouze prostřednictvím právní formy obchodní korporace a nikoliv za pomoci blíže definovaných dodatečných požadavků (tj. například minimální výše základního kapitálu, existence dozorčí rady a jiné). Taková to definice je náchylná na změnu právního předpisu upravujícího příslušnou právní formu obchodní korporace a mohla by tak minimálně krátkodobě představovat riziko v případě rozvolnění příslušného právního předpisu. Po</w:t>
      </w:r>
      <w:r>
        <w:rPr>
          <w:rFonts w:eastAsia="Calibri" w:cs="Arial"/>
          <w:lang w:bidi="ar-SA"/>
        </w:rPr>
        <w:t> </w:t>
      </w:r>
      <w:r w:rsidRPr="00ED38E9">
        <w:rPr>
          <w:rFonts w:eastAsia="Calibri" w:cs="Arial"/>
          <w:lang w:bidi="ar-SA"/>
        </w:rPr>
        <w:t xml:space="preserve">úpravě požadavku na právní formu </w:t>
      </w:r>
      <w:r>
        <w:rPr>
          <w:rFonts w:eastAsia="Calibri" w:cs="Arial"/>
          <w:lang w:bidi="ar-SA"/>
        </w:rPr>
        <w:t>KS</w:t>
      </w:r>
      <w:r w:rsidRPr="00ED38E9">
        <w:rPr>
          <w:rFonts w:eastAsia="Calibri" w:cs="Arial"/>
          <w:lang w:bidi="ar-SA"/>
        </w:rPr>
        <w:t xml:space="preserve"> tak může dojít k situaci, kdy formálně bude i</w:t>
      </w:r>
      <w:r>
        <w:rPr>
          <w:rFonts w:eastAsia="Calibri" w:cs="Arial"/>
          <w:lang w:bidi="ar-SA"/>
        </w:rPr>
        <w:t> </w:t>
      </w:r>
      <w:r w:rsidRPr="00ED38E9">
        <w:rPr>
          <w:rFonts w:eastAsia="Calibri" w:cs="Arial"/>
          <w:lang w:bidi="ar-SA"/>
        </w:rPr>
        <w:t>nadále právní forma KS v souladu se zákonem, věcně ale nedojde k naplnění původních požadavků na právní formu KS v důsledku změny právního předpisu upravujícího příslušnou právní formu obchodní korporace.</w:t>
      </w:r>
    </w:p>
    <w:p w:rsidR="00EB0BEF" w14:paraId="77DE8C28" w14:textId="77777777">
      <w:pPr>
        <w:rPr>
          <w:rFonts w:eastAsia="Calibri" w:cs="Arial"/>
          <w:b/>
          <w:i/>
          <w:noProof w:val="0"/>
          <w:lang w:bidi="ar-SA"/>
        </w:rPr>
      </w:pPr>
      <w:r>
        <w:rPr>
          <w:rFonts w:eastAsia="Calibri" w:cs="Arial"/>
          <w:b/>
          <w:i/>
          <w:noProof w:val="0"/>
          <w:lang w:bidi="ar-SA"/>
        </w:rPr>
        <w:br w:type="page"/>
      </w:r>
    </w:p>
    <w:p w:rsidR="009A27B9" w:rsidRPr="00ED38E9" w:rsidP="00EB0BEF" w14:paraId="4AE02FD0" w14:textId="70AB54BB">
      <w:pPr>
        <w:keepNext/>
        <w:spacing w:after="120"/>
        <w:rPr>
          <w:rFonts w:eastAsia="Calibri" w:cs="Arial"/>
          <w:b/>
          <w:noProof w:val="0"/>
          <w:lang w:bidi="ar-SA"/>
        </w:rPr>
      </w:pPr>
      <w:r w:rsidRPr="002C4BD5">
        <w:rPr>
          <w:rFonts w:eastAsia="Calibri" w:cs="Arial"/>
          <w:b/>
          <w:i/>
          <w:noProof w:val="0"/>
          <w:lang w:bidi="ar-SA"/>
        </w:rPr>
        <w:t>Příklad</w:t>
      </w:r>
      <w:r w:rsidRPr="00ED38E9">
        <w:rPr>
          <w:rFonts w:eastAsia="Calibri" w:cs="Arial"/>
          <w:b/>
          <w:noProof w:val="0"/>
          <w:lang w:bidi="ar-SA"/>
        </w:rPr>
        <w:t xml:space="preserve">  - Změna minimální výše základního kapitálu společnosti s ručením omezeným</w:t>
      </w:r>
    </w:p>
    <w:p w:rsidR="009A27B9" w:rsidRPr="00ED38E9" w:rsidP="00EB0BEF" w14:paraId="1597224C" w14:textId="77777777">
      <w:pPr>
        <w:keepNext/>
        <w:pBdr>
          <w:top w:val="single" w:sz="4" w:space="1" w:color="auto"/>
          <w:left w:val="single" w:sz="4" w:space="4" w:color="auto"/>
          <w:bottom w:val="single" w:sz="4" w:space="1" w:color="auto"/>
          <w:right w:val="single" w:sz="4" w:space="4" w:color="auto"/>
        </w:pBdr>
        <w:shd w:val="clear" w:color="auto" w:fill="D9D9D9"/>
        <w:spacing w:after="120" w:line="240" w:lineRule="auto"/>
        <w:ind w:left="284" w:right="284"/>
        <w:rPr>
          <w:rFonts w:eastAsia="Calibri" w:cs="Arial"/>
          <w:noProof w:val="0"/>
          <w:lang w:bidi="ar-SA"/>
        </w:rPr>
      </w:pPr>
      <w:r w:rsidRPr="00ED38E9">
        <w:rPr>
          <w:rFonts w:eastAsia="Calibri" w:cs="Arial"/>
          <w:noProof w:val="0"/>
          <w:lang w:bidi="ar-SA"/>
        </w:rPr>
        <w:t xml:space="preserve">S účinností od 1. ledna 2014 vešel v platnost nový zákon č. 90/2012 Sb., o obchodních korporacích, který nově upravuje zejména společnost s ručením omezeným, jakožto jednu z nejčastějších právních forem obchodní korporace. Zákon o obchodních korporacích nově mimo jiné stanovuje minimální výši základního kapitálu na 1 Kč, nestanoví-li společenská smlouva výši základního kapitálu společnosti vyšší. Došlo tak oproti předcházející právní úpravě k snížení požadavku na minimální výši základního kapitálu u společnosti s ručením omezeným z částky 200 tis. Kč na 1 Kč.     </w:t>
      </w:r>
    </w:p>
    <w:p w:rsidR="009A27B9" w:rsidP="009A27B9" w14:paraId="620B6804" w14:textId="77777777">
      <w:pPr>
        <w:widowControl w:val="0"/>
        <w:spacing w:after="120" w:line="240" w:lineRule="auto"/>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 Zákon č.90/2012 Sb.</w:t>
      </w:r>
    </w:p>
    <w:p w:rsidR="009A27B9" w:rsidRPr="00ED38E9" w:rsidP="00BF16B7" w14:paraId="6AA25A4F" w14:textId="77777777">
      <w:pPr>
        <w:pStyle w:val="Heading3"/>
      </w:pPr>
      <w:r w:rsidRPr="00ED38E9">
        <w:t>Vyhodnocení nákladů a přínosů variant</w:t>
      </w:r>
    </w:p>
    <w:p w:rsidR="009A27B9" w:rsidRPr="002C4BD5" w:rsidP="009A27B9" w14:paraId="716F8860" w14:textId="4E3EEEA9">
      <w:pPr>
        <w:pStyle w:val="Caption"/>
        <w:spacing w:before="120"/>
        <w:contextualSpacing w:val="0"/>
        <w:rPr>
          <w:sz w:val="20"/>
          <w:szCs w:val="20"/>
        </w:rPr>
      </w:pPr>
      <w:r w:rsidRPr="002C4BD5">
        <w:rPr>
          <w:sz w:val="20"/>
          <w:szCs w:val="20"/>
        </w:rPr>
        <w:t>Tabulka 1</w:t>
      </w:r>
      <w:r w:rsidR="00925F10">
        <w:rPr>
          <w:sz w:val="20"/>
          <w:szCs w:val="20"/>
        </w:rPr>
        <w:t>3</w:t>
      </w:r>
      <w:r w:rsidRPr="002C4BD5">
        <w:rPr>
          <w:sz w:val="20"/>
          <w:szCs w:val="20"/>
        </w:rPr>
        <w:t>: Souhr</w:t>
      </w:r>
      <w:r w:rsidR="00B1436D">
        <w:rPr>
          <w:sz w:val="20"/>
          <w:szCs w:val="20"/>
        </w:rPr>
        <w:t>n nákladů a přínosů</w:t>
      </w:r>
    </w:p>
    <w:tbl>
      <w:tblPr>
        <w:tblStyle w:val="Mkatabulky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3323"/>
        <w:gridCol w:w="3324"/>
      </w:tblGrid>
      <w:tr w14:paraId="14B88A99"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2419" w:type="dxa"/>
            <w:shd w:val="clear" w:color="auto" w:fill="B6B002"/>
            <w:vAlign w:val="center"/>
          </w:tcPr>
          <w:p w:rsidR="009A27B9" w:rsidRPr="002C4BD5" w:rsidP="006031E5" w14:paraId="5ECFB87E" w14:textId="77777777">
            <w:pPr>
              <w:spacing w:line="264" w:lineRule="auto"/>
              <w:jc w:val="center"/>
              <w:rPr>
                <w:rFonts w:cs="Arial"/>
                <w:b/>
                <w:noProof w:val="0"/>
                <w:sz w:val="20"/>
                <w:szCs w:val="20"/>
                <w:lang w:bidi="ar-SA"/>
              </w:rPr>
            </w:pPr>
          </w:p>
        </w:tc>
        <w:tc>
          <w:tcPr>
            <w:tcW w:w="3326" w:type="dxa"/>
            <w:shd w:val="clear" w:color="auto" w:fill="B6B002"/>
            <w:vAlign w:val="center"/>
          </w:tcPr>
          <w:p w:rsidR="009A27B9" w:rsidRPr="002C4BD5" w:rsidP="006031E5" w14:paraId="61E5B015" w14:textId="77777777">
            <w:pPr>
              <w:spacing w:line="264" w:lineRule="auto"/>
              <w:rPr>
                <w:rFonts w:cs="Arial"/>
                <w:b/>
                <w:noProof w:val="0"/>
                <w:sz w:val="20"/>
                <w:szCs w:val="20"/>
                <w:lang w:bidi="ar-SA"/>
              </w:rPr>
            </w:pPr>
            <w:r w:rsidRPr="002C4BD5">
              <w:rPr>
                <w:rFonts w:cs="Arial"/>
                <w:b/>
                <w:noProof w:val="0"/>
                <w:sz w:val="20"/>
                <w:szCs w:val="20"/>
                <w:lang w:bidi="ar-SA"/>
              </w:rPr>
              <w:t>Náklady</w:t>
            </w:r>
          </w:p>
        </w:tc>
        <w:tc>
          <w:tcPr>
            <w:tcW w:w="3327" w:type="dxa"/>
            <w:shd w:val="clear" w:color="auto" w:fill="B6B002"/>
            <w:vAlign w:val="center"/>
          </w:tcPr>
          <w:p w:rsidR="009A27B9" w:rsidRPr="002C4BD5" w:rsidP="006031E5" w14:paraId="43A10E90" w14:textId="77777777">
            <w:pPr>
              <w:spacing w:line="264" w:lineRule="auto"/>
              <w:rPr>
                <w:rFonts w:cs="Arial"/>
                <w:b/>
                <w:noProof w:val="0"/>
                <w:sz w:val="20"/>
                <w:szCs w:val="20"/>
                <w:lang w:bidi="ar-SA"/>
              </w:rPr>
            </w:pPr>
            <w:r w:rsidRPr="002C4BD5">
              <w:rPr>
                <w:rFonts w:cs="Arial"/>
                <w:b/>
                <w:noProof w:val="0"/>
                <w:sz w:val="20"/>
                <w:szCs w:val="20"/>
                <w:lang w:bidi="ar-SA"/>
              </w:rPr>
              <w:t>Přínosy</w:t>
            </w:r>
          </w:p>
        </w:tc>
      </w:tr>
    </w:tbl>
    <w:tbl>
      <w:tblPr>
        <w:tblStyle w:val="Mkatabulky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3323"/>
        <w:gridCol w:w="3323"/>
      </w:tblGrid>
      <w:tr w14:paraId="3C05AD18"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9072" w:type="dxa"/>
            <w:gridSpan w:val="3"/>
            <w:shd w:val="clear" w:color="auto" w:fill="F2F2F2"/>
            <w:vAlign w:val="center"/>
          </w:tcPr>
          <w:p w:rsidR="009A27B9" w:rsidRPr="002C4BD5" w:rsidP="006031E5" w14:paraId="06A9D2B9" w14:textId="77777777">
            <w:pPr>
              <w:spacing w:after="120"/>
              <w:rPr>
                <w:rFonts w:cs="Arial"/>
                <w:b/>
                <w:noProof w:val="0"/>
                <w:sz w:val="20"/>
                <w:szCs w:val="20"/>
                <w:lang w:bidi="ar-SA"/>
              </w:rPr>
            </w:pPr>
            <w:r w:rsidRPr="002C4BD5">
              <w:rPr>
                <w:rFonts w:cs="Arial"/>
                <w:b/>
                <w:sz w:val="20"/>
                <w:szCs w:val="20"/>
                <w:lang w:bidi="ar-SA"/>
              </w:rPr>
              <w:t>Právní forma založení KS</w:t>
            </w:r>
          </w:p>
        </w:tc>
      </w:tr>
      <w:tr w14:paraId="32732D57" w14:textId="77777777" w:rsidTr="006031E5">
        <w:tblPrEx>
          <w:tblW w:w="0" w:type="auto"/>
          <w:jc w:val="center"/>
          <w:tblLook w:val="04A0"/>
        </w:tblPrEx>
        <w:trPr>
          <w:trHeight w:val="64"/>
          <w:jc w:val="center"/>
        </w:trPr>
        <w:tc>
          <w:tcPr>
            <w:tcW w:w="2419" w:type="dxa"/>
            <w:shd w:val="clear" w:color="auto" w:fill="D9D9D9"/>
            <w:vAlign w:val="center"/>
          </w:tcPr>
          <w:p w:rsidR="009A27B9" w:rsidRPr="002C4BD5" w:rsidP="006031E5" w14:paraId="40CE39CD" w14:textId="77777777">
            <w:pPr>
              <w:spacing w:before="60" w:line="240" w:lineRule="auto"/>
              <w:jc w:val="left"/>
              <w:rPr>
                <w:rFonts w:cs="Arial"/>
                <w:noProof w:val="0"/>
                <w:sz w:val="20"/>
                <w:szCs w:val="20"/>
                <w:lang w:bidi="ar-SA"/>
              </w:rPr>
            </w:pPr>
            <w:r w:rsidRPr="002C4BD5">
              <w:rPr>
                <w:rFonts w:cs="Arial"/>
                <w:noProof w:val="0"/>
                <w:sz w:val="20"/>
                <w:szCs w:val="20"/>
                <w:lang w:bidi="ar-SA"/>
              </w:rPr>
              <w:t>Varianta 0</w:t>
            </w:r>
          </w:p>
        </w:tc>
        <w:tc>
          <w:tcPr>
            <w:tcW w:w="3326" w:type="dxa"/>
            <w:shd w:val="clear" w:color="auto" w:fill="D9D9D9"/>
            <w:vAlign w:val="center"/>
          </w:tcPr>
          <w:p w:rsidR="009A27B9" w:rsidRPr="002C4BD5" w:rsidP="006031E5" w14:paraId="428C3D45" w14:textId="77777777">
            <w:pPr>
              <w:spacing w:before="60" w:line="240" w:lineRule="auto"/>
              <w:jc w:val="left"/>
              <w:rPr>
                <w:rFonts w:cs="Arial"/>
                <w:noProof w:val="0"/>
                <w:sz w:val="20"/>
                <w:szCs w:val="20"/>
                <w:lang w:bidi="ar-SA"/>
              </w:rPr>
            </w:pPr>
            <w:r w:rsidRPr="002C4BD5">
              <w:rPr>
                <w:rFonts w:cs="Arial"/>
                <w:noProof w:val="0"/>
                <w:sz w:val="20"/>
                <w:szCs w:val="20"/>
                <w:lang w:bidi="ar-SA"/>
              </w:rPr>
              <w:t>nulová varianta</w:t>
            </w:r>
          </w:p>
        </w:tc>
        <w:tc>
          <w:tcPr>
            <w:tcW w:w="3327" w:type="dxa"/>
            <w:shd w:val="clear" w:color="auto" w:fill="D9D9D9"/>
            <w:vAlign w:val="center"/>
          </w:tcPr>
          <w:p w:rsidR="009A27B9" w:rsidRPr="002C4BD5" w:rsidP="006031E5" w14:paraId="19176B11" w14:textId="77777777">
            <w:pPr>
              <w:spacing w:before="60" w:line="240" w:lineRule="auto"/>
              <w:jc w:val="left"/>
              <w:rPr>
                <w:rFonts w:cs="Arial"/>
                <w:noProof w:val="0"/>
                <w:sz w:val="20"/>
                <w:szCs w:val="20"/>
                <w:lang w:bidi="ar-SA"/>
              </w:rPr>
            </w:pPr>
            <w:r w:rsidRPr="002C4BD5">
              <w:rPr>
                <w:rFonts w:cs="Arial"/>
                <w:noProof w:val="0"/>
                <w:sz w:val="20"/>
                <w:szCs w:val="20"/>
                <w:lang w:bidi="ar-SA"/>
              </w:rPr>
              <w:t>nulová varianta</w:t>
            </w:r>
          </w:p>
        </w:tc>
      </w:tr>
      <w:tr w14:paraId="052A6A5D" w14:textId="77777777" w:rsidTr="006031E5">
        <w:tblPrEx>
          <w:tblW w:w="0" w:type="auto"/>
          <w:jc w:val="center"/>
          <w:tblLook w:val="04A0"/>
        </w:tblPrEx>
        <w:trPr>
          <w:trHeight w:val="64"/>
          <w:jc w:val="center"/>
        </w:trPr>
        <w:tc>
          <w:tcPr>
            <w:tcW w:w="2419" w:type="dxa"/>
            <w:shd w:val="clear" w:color="auto" w:fill="F2F2F2"/>
            <w:vAlign w:val="center"/>
          </w:tcPr>
          <w:p w:rsidR="009A27B9" w:rsidRPr="002C4BD5" w:rsidP="009E0B6D" w14:paraId="079F24FF" w14:textId="77777777">
            <w:pPr>
              <w:spacing w:before="360" w:line="240" w:lineRule="auto"/>
              <w:jc w:val="left"/>
              <w:rPr>
                <w:rFonts w:cs="Arial"/>
                <w:noProof w:val="0"/>
                <w:sz w:val="20"/>
                <w:szCs w:val="20"/>
                <w:lang w:bidi="ar-SA"/>
              </w:rPr>
            </w:pPr>
            <w:r w:rsidRPr="002C4BD5">
              <w:rPr>
                <w:rFonts w:cs="Arial"/>
                <w:noProof w:val="0"/>
                <w:sz w:val="20"/>
                <w:szCs w:val="20"/>
                <w:lang w:bidi="ar-SA"/>
              </w:rPr>
              <w:t>Varianta 1a</w:t>
            </w:r>
          </w:p>
        </w:tc>
        <w:tc>
          <w:tcPr>
            <w:tcW w:w="3326" w:type="dxa"/>
            <w:shd w:val="clear" w:color="auto" w:fill="F2F2F2"/>
            <w:vAlign w:val="center"/>
          </w:tcPr>
          <w:p w:rsidR="009A27B9" w:rsidRPr="002C4BD5" w:rsidP="006031E5" w14:paraId="7F5AFB90" w14:textId="77777777">
            <w:pPr>
              <w:spacing w:before="60" w:line="240" w:lineRule="auto"/>
              <w:jc w:val="left"/>
              <w:rPr>
                <w:rFonts w:cs="Arial"/>
                <w:noProof w:val="0"/>
                <w:sz w:val="20"/>
                <w:szCs w:val="20"/>
                <w:lang w:bidi="ar-SA"/>
              </w:rPr>
            </w:pPr>
            <w:r w:rsidRPr="002C4BD5">
              <w:rPr>
                <w:rFonts w:cs="Arial"/>
                <w:noProof w:val="0"/>
                <w:sz w:val="20"/>
                <w:szCs w:val="20"/>
                <w:lang w:bidi="ar-SA"/>
              </w:rPr>
              <w:t>Náklady pro KS spojené s transformací na akciovou společnost</w:t>
            </w:r>
          </w:p>
        </w:tc>
        <w:tc>
          <w:tcPr>
            <w:tcW w:w="3327" w:type="dxa"/>
            <w:shd w:val="clear" w:color="auto" w:fill="F2F2F2"/>
            <w:vAlign w:val="center"/>
          </w:tcPr>
          <w:p w:rsidR="009A27B9" w:rsidRPr="002C4BD5" w:rsidP="006031E5" w14:paraId="6071B49A" w14:textId="77777777">
            <w:pPr>
              <w:spacing w:before="60" w:line="240" w:lineRule="auto"/>
              <w:jc w:val="left"/>
              <w:rPr>
                <w:rFonts w:cs="Arial"/>
                <w:noProof w:val="0"/>
                <w:sz w:val="20"/>
                <w:szCs w:val="20"/>
                <w:lang w:bidi="ar-SA"/>
              </w:rPr>
            </w:pPr>
            <w:r w:rsidRPr="002C4BD5">
              <w:rPr>
                <w:rFonts w:cs="Arial"/>
                <w:noProof w:val="0"/>
                <w:sz w:val="20"/>
                <w:szCs w:val="20"/>
                <w:lang w:bidi="ar-SA"/>
              </w:rPr>
              <w:t>Vyšší právní jistota, transparentnost</w:t>
            </w:r>
          </w:p>
        </w:tc>
      </w:tr>
      <w:tr w14:paraId="1C3D0167" w14:textId="77777777" w:rsidTr="006031E5">
        <w:tblPrEx>
          <w:tblW w:w="0" w:type="auto"/>
          <w:jc w:val="center"/>
          <w:tblLook w:val="04A0"/>
        </w:tblPrEx>
        <w:trPr>
          <w:trHeight w:val="673"/>
          <w:jc w:val="center"/>
        </w:trPr>
        <w:tc>
          <w:tcPr>
            <w:tcW w:w="2419" w:type="dxa"/>
            <w:shd w:val="clear" w:color="auto" w:fill="D9D9D9"/>
            <w:vAlign w:val="center"/>
          </w:tcPr>
          <w:p w:rsidR="009A27B9" w:rsidRPr="002C4BD5" w:rsidP="006031E5" w14:paraId="473F3346" w14:textId="77777777">
            <w:pPr>
              <w:spacing w:before="60" w:line="240" w:lineRule="auto"/>
              <w:jc w:val="left"/>
              <w:rPr>
                <w:rFonts w:cs="Arial"/>
                <w:noProof w:val="0"/>
                <w:sz w:val="20"/>
                <w:szCs w:val="20"/>
                <w:lang w:bidi="ar-SA"/>
              </w:rPr>
            </w:pPr>
            <w:r w:rsidRPr="002C4BD5">
              <w:rPr>
                <w:rFonts w:cs="Arial"/>
                <w:noProof w:val="0"/>
                <w:sz w:val="20"/>
                <w:szCs w:val="20"/>
                <w:lang w:bidi="ar-SA"/>
              </w:rPr>
              <w:t>Varianta 1b</w:t>
            </w:r>
          </w:p>
        </w:tc>
        <w:tc>
          <w:tcPr>
            <w:tcW w:w="3326" w:type="dxa"/>
            <w:shd w:val="clear" w:color="auto" w:fill="D9D9D9"/>
            <w:vAlign w:val="center"/>
          </w:tcPr>
          <w:p w:rsidR="009A27B9" w:rsidRPr="002C4BD5" w:rsidP="006031E5" w14:paraId="5E9ED4D4" w14:textId="77777777">
            <w:pPr>
              <w:spacing w:before="60" w:line="240" w:lineRule="auto"/>
              <w:jc w:val="left"/>
              <w:rPr>
                <w:rFonts w:cs="Arial"/>
                <w:noProof w:val="0"/>
                <w:sz w:val="20"/>
                <w:szCs w:val="20"/>
                <w:lang w:bidi="ar-SA"/>
              </w:rPr>
            </w:pPr>
            <w:r w:rsidRPr="002C4BD5">
              <w:rPr>
                <w:rFonts w:cs="Arial"/>
                <w:noProof w:val="0"/>
                <w:sz w:val="20"/>
                <w:szCs w:val="20"/>
                <w:lang w:bidi="ar-SA"/>
              </w:rPr>
              <w:t xml:space="preserve">Náklady pro KS spojené s transformací na a.s. a s přizpůsobením se požadavkům specifikovaným v zákoně (např. uchování akcií v CDCP </w:t>
            </w:r>
          </w:p>
          <w:p w:rsidR="009A27B9" w:rsidRPr="002C4BD5" w:rsidP="006031E5" w14:paraId="0E579F09" w14:textId="77777777">
            <w:pPr>
              <w:spacing w:before="60" w:line="240" w:lineRule="auto"/>
              <w:jc w:val="left"/>
              <w:rPr>
                <w:rFonts w:cs="Arial"/>
                <w:noProof w:val="0"/>
                <w:sz w:val="20"/>
                <w:szCs w:val="20"/>
                <w:lang w:bidi="ar-SA"/>
              </w:rPr>
            </w:pPr>
            <w:r w:rsidRPr="002C4BD5">
              <w:rPr>
                <w:rFonts w:cs="Arial"/>
                <w:noProof w:val="0"/>
                <w:sz w:val="20"/>
                <w:szCs w:val="20"/>
                <w:lang w:bidi="ar-SA"/>
              </w:rPr>
              <w:t>30 - 40 tis. Kč ročně)</w:t>
            </w:r>
          </w:p>
        </w:tc>
        <w:tc>
          <w:tcPr>
            <w:tcW w:w="3327" w:type="dxa"/>
            <w:shd w:val="clear" w:color="auto" w:fill="D9D9D9"/>
            <w:vAlign w:val="center"/>
          </w:tcPr>
          <w:p w:rsidR="009A27B9" w:rsidRPr="002C4BD5" w:rsidP="006031E5" w14:paraId="527CE3D3" w14:textId="77777777">
            <w:pPr>
              <w:spacing w:before="60" w:line="240" w:lineRule="auto"/>
              <w:jc w:val="left"/>
              <w:rPr>
                <w:rFonts w:cs="Arial"/>
                <w:noProof w:val="0"/>
                <w:sz w:val="20"/>
                <w:szCs w:val="20"/>
                <w:lang w:bidi="ar-SA"/>
              </w:rPr>
            </w:pPr>
            <w:r w:rsidRPr="002C4BD5">
              <w:rPr>
                <w:rFonts w:cs="Arial"/>
                <w:noProof w:val="0"/>
                <w:sz w:val="20"/>
                <w:szCs w:val="20"/>
                <w:lang w:bidi="ar-SA"/>
              </w:rPr>
              <w:t>Vyšší právní jistota, transparentnost</w:t>
            </w:r>
          </w:p>
        </w:tc>
      </w:tr>
      <w:tr w14:paraId="615897C1" w14:textId="77777777" w:rsidTr="006031E5">
        <w:tblPrEx>
          <w:tblW w:w="0" w:type="auto"/>
          <w:jc w:val="center"/>
          <w:tblLook w:val="04A0"/>
        </w:tblPrEx>
        <w:trPr>
          <w:trHeight w:val="64"/>
          <w:jc w:val="center"/>
        </w:trPr>
        <w:tc>
          <w:tcPr>
            <w:tcW w:w="2419" w:type="dxa"/>
            <w:shd w:val="clear" w:color="auto" w:fill="F2F2F2"/>
            <w:vAlign w:val="center"/>
          </w:tcPr>
          <w:p w:rsidR="009A27B9" w:rsidRPr="002C4BD5" w:rsidP="009E0B6D" w14:paraId="6B6B8789" w14:textId="21F5F81D">
            <w:pPr>
              <w:spacing w:before="60" w:line="240" w:lineRule="auto"/>
              <w:jc w:val="left"/>
              <w:rPr>
                <w:rFonts w:cs="Arial"/>
                <w:b/>
                <w:sz w:val="20"/>
                <w:szCs w:val="20"/>
                <w:lang w:bidi="ar-SA"/>
              </w:rPr>
            </w:pPr>
            <w:r w:rsidRPr="002C4BD5">
              <w:rPr>
                <w:rFonts w:cs="Arial"/>
                <w:b/>
                <w:noProof w:val="0"/>
                <w:sz w:val="20"/>
                <w:szCs w:val="20"/>
                <w:u w:val="single"/>
                <w:lang w:bidi="ar-SA"/>
              </w:rPr>
              <w:t>Vari</w:t>
            </w:r>
            <w:r w:rsidR="00352D5E">
              <w:rPr>
                <w:rFonts w:cs="Arial"/>
                <w:b/>
                <w:noProof w:val="0"/>
                <w:sz w:val="20"/>
                <w:szCs w:val="20"/>
                <w:u w:val="single"/>
                <w:lang w:bidi="ar-SA"/>
              </w:rPr>
              <w:t>a</w:t>
            </w:r>
            <w:r w:rsidRPr="002C4BD5">
              <w:rPr>
                <w:rFonts w:cs="Arial"/>
                <w:b/>
                <w:noProof w:val="0"/>
                <w:sz w:val="20"/>
                <w:szCs w:val="20"/>
                <w:u w:val="single"/>
                <w:lang w:bidi="ar-SA"/>
              </w:rPr>
              <w:t>nta 2</w:t>
            </w:r>
          </w:p>
        </w:tc>
        <w:tc>
          <w:tcPr>
            <w:tcW w:w="3326" w:type="dxa"/>
            <w:shd w:val="clear" w:color="auto" w:fill="F2F2F2"/>
            <w:vAlign w:val="center"/>
          </w:tcPr>
          <w:p w:rsidR="009A27B9" w:rsidRPr="002C4BD5" w:rsidP="006031E5" w14:paraId="173B78AD" w14:textId="77777777">
            <w:pPr>
              <w:spacing w:before="60" w:line="240" w:lineRule="auto"/>
              <w:jc w:val="left"/>
              <w:rPr>
                <w:rFonts w:cs="Arial"/>
                <w:noProof w:val="0"/>
                <w:sz w:val="20"/>
                <w:szCs w:val="20"/>
                <w:lang w:bidi="ar-SA"/>
              </w:rPr>
            </w:pPr>
            <w:r w:rsidRPr="002C4BD5">
              <w:rPr>
                <w:rFonts w:cs="Arial"/>
                <w:noProof w:val="0"/>
                <w:sz w:val="20"/>
                <w:szCs w:val="20"/>
                <w:lang w:bidi="ar-SA"/>
              </w:rPr>
              <w:t>Náklady pro KS spojené s přizpůsobením se požadavkům specifikovaným v zákoně</w:t>
            </w:r>
          </w:p>
        </w:tc>
        <w:tc>
          <w:tcPr>
            <w:tcW w:w="3327" w:type="dxa"/>
            <w:shd w:val="clear" w:color="auto" w:fill="F2F2F2"/>
            <w:vAlign w:val="center"/>
          </w:tcPr>
          <w:p w:rsidR="009A27B9" w:rsidRPr="002C4BD5" w:rsidP="006031E5" w14:paraId="5F913985" w14:textId="77777777">
            <w:pPr>
              <w:spacing w:before="60" w:line="240" w:lineRule="auto"/>
              <w:jc w:val="left"/>
              <w:rPr>
                <w:rFonts w:cs="Arial"/>
                <w:noProof w:val="0"/>
                <w:sz w:val="20"/>
                <w:szCs w:val="20"/>
                <w:lang w:bidi="ar-SA"/>
              </w:rPr>
            </w:pPr>
            <w:r w:rsidRPr="002C4BD5">
              <w:rPr>
                <w:rFonts w:cs="Arial"/>
                <w:noProof w:val="0"/>
                <w:sz w:val="20"/>
                <w:szCs w:val="20"/>
                <w:lang w:bidi="ar-SA"/>
              </w:rPr>
              <w:t xml:space="preserve">Vyšší právní jistota, transparentnost </w:t>
            </w:r>
          </w:p>
        </w:tc>
      </w:tr>
    </w:tbl>
    <w:p w:rsidR="00C14F33" w:rsidRPr="00C14F33" w:rsidP="00C14F33" w14:paraId="3A25576A" w14:textId="77777777"/>
    <w:p w:rsidR="009A27B9" w:rsidRPr="00387C89" w:rsidP="003C445B" w14:paraId="1EC2AB4B" w14:textId="77777777">
      <w:pPr>
        <w:pStyle w:val="Heading2"/>
        <w:numPr>
          <w:ilvl w:val="1"/>
          <w:numId w:val="96"/>
        </w:numPr>
        <w:spacing w:after="0"/>
        <w:ind w:left="720" w:hanging="578"/>
        <w:rPr>
          <w:b w:val="0"/>
        </w:rPr>
      </w:pPr>
      <w:r>
        <w:t>N</w:t>
      </w:r>
      <w:r w:rsidRPr="002E3554">
        <w:t>ávrh řešení</w:t>
      </w:r>
    </w:p>
    <w:p w:rsidR="009A27B9" w:rsidRPr="00ED38E9" w:rsidP="009E0B6D" w14:paraId="2D323078" w14:textId="40059BAC">
      <w:pPr>
        <w:keepNext/>
        <w:widowControl w:val="0"/>
        <w:spacing w:after="120"/>
        <w:rPr>
          <w:rFonts w:eastAsia="Calibri" w:cs="Arial"/>
          <w:noProof w:val="0"/>
          <w:szCs w:val="22"/>
          <w:lang w:bidi="ar-SA"/>
        </w:rPr>
      </w:pPr>
      <w:r w:rsidRPr="00ED38E9">
        <w:rPr>
          <w:rFonts w:eastAsia="Calibri" w:cs="Arial"/>
          <w:noProof w:val="0"/>
          <w:szCs w:val="22"/>
          <w:lang w:bidi="ar-SA"/>
        </w:rPr>
        <w:t xml:space="preserve">Žádná z variant by neměla výrazně ovlivnit primární cíl daný směrnicí EU – úroveň sběru, zvolená právní forma </w:t>
      </w:r>
      <w:r>
        <w:rPr>
          <w:rFonts w:eastAsia="Calibri" w:cs="Arial"/>
          <w:noProof w:val="0"/>
          <w:szCs w:val="22"/>
          <w:lang w:bidi="ar-SA"/>
        </w:rPr>
        <w:t>KS</w:t>
      </w:r>
      <w:r w:rsidRPr="00ED38E9">
        <w:rPr>
          <w:rFonts w:eastAsia="Calibri" w:cs="Arial"/>
          <w:noProof w:val="0"/>
          <w:szCs w:val="22"/>
          <w:lang w:bidi="ar-SA"/>
        </w:rPr>
        <w:t xml:space="preserve"> bude mít vliv především na náklady KS. Protože KS musí být schopen plnit své finanční závazky a splňovat kritéria vyplývající z povinnosti pro získání oprávnění k provozování KS, pak z důvodu vyšší transparentnosti a zaručení rovných podmínek pro</w:t>
      </w:r>
      <w:r w:rsidR="00660AA9">
        <w:rPr>
          <w:rFonts w:eastAsia="Calibri" w:cs="Arial"/>
          <w:noProof w:val="0"/>
          <w:szCs w:val="22"/>
          <w:lang w:bidi="ar-SA"/>
        </w:rPr>
        <w:t> </w:t>
      </w:r>
      <w:r w:rsidRPr="00ED38E9">
        <w:rPr>
          <w:rFonts w:eastAsia="Calibri" w:cs="Arial"/>
          <w:noProof w:val="0"/>
          <w:szCs w:val="22"/>
          <w:lang w:bidi="ar-SA"/>
        </w:rPr>
        <w:t xml:space="preserve">povinné subjekty není vhodné zachovávání současného stavu (Varianty 0). </w:t>
      </w:r>
    </w:p>
    <w:p w:rsidR="009A27B9" w:rsidP="009A27B9" w14:paraId="797A255C" w14:textId="70584B86">
      <w:pPr>
        <w:widowControl w:val="0"/>
        <w:rPr>
          <w:rFonts w:eastAsia="Calibri" w:cs="Arial"/>
          <w:b/>
          <w:noProof w:val="0"/>
          <w:szCs w:val="22"/>
          <w:lang w:bidi="ar-SA"/>
        </w:rPr>
      </w:pPr>
      <w:r w:rsidRPr="00ED38E9">
        <w:rPr>
          <w:rFonts w:eastAsia="Calibri" w:cs="Arial"/>
          <w:noProof w:val="0"/>
          <w:szCs w:val="22"/>
          <w:lang w:bidi="ar-SA"/>
        </w:rPr>
        <w:t xml:space="preserve">Na základě výše uvedeného příkladu zde existuje reálné riziko, že může dojít ke změně definice pojmu akciová společnost (i pojmu společnost s ručením omezeným), která pak může být v rozporu s původním záměrem návrhu zákona, proto je z hlediska právní jistoty hodnocena Varianta 2 jako vhodnější než Varianta 1b, případně Varianta 1a. Povinná forma a.s. by navíc představovala neopodstatněné dodatečné náklady pro některé KS ve formě převodu obchodní korporace na právní formu akciové společnosti. Na základě výše uvedeného </w:t>
      </w:r>
      <w:r w:rsidRPr="00ED38E9">
        <w:rPr>
          <w:rFonts w:eastAsia="Calibri" w:cs="Arial"/>
          <w:b/>
          <w:noProof w:val="0"/>
          <w:szCs w:val="22"/>
          <w:lang w:bidi="ar-SA"/>
        </w:rPr>
        <w:t xml:space="preserve">doporučujeme </w:t>
      </w:r>
      <w:r w:rsidR="00E73740">
        <w:rPr>
          <w:rFonts w:eastAsia="Calibri" w:cs="Arial"/>
          <w:b/>
          <w:noProof w:val="0"/>
          <w:szCs w:val="22"/>
          <w:lang w:bidi="ar-SA"/>
        </w:rPr>
        <w:t>přijmout</w:t>
      </w:r>
      <w:r w:rsidRPr="00ED38E9">
        <w:rPr>
          <w:rFonts w:eastAsia="Calibri" w:cs="Arial"/>
          <w:b/>
          <w:noProof w:val="0"/>
          <w:szCs w:val="22"/>
          <w:lang w:bidi="ar-SA"/>
        </w:rPr>
        <w:t xml:space="preserve"> Variant</w:t>
      </w:r>
      <w:r w:rsidR="00E73740">
        <w:rPr>
          <w:rFonts w:eastAsia="Calibri" w:cs="Arial"/>
          <w:b/>
          <w:noProof w:val="0"/>
          <w:szCs w:val="22"/>
          <w:lang w:bidi="ar-SA"/>
        </w:rPr>
        <w:t>u</w:t>
      </w:r>
      <w:r w:rsidRPr="00ED38E9">
        <w:rPr>
          <w:rFonts w:eastAsia="Calibri" w:cs="Arial"/>
          <w:b/>
          <w:noProof w:val="0"/>
          <w:szCs w:val="22"/>
          <w:lang w:bidi="ar-SA"/>
        </w:rPr>
        <w:t xml:space="preserve"> 2 </w:t>
      </w:r>
      <w:r w:rsidRPr="00ED38E9">
        <w:rPr>
          <w:rFonts w:eastAsia="Calibri" w:cs="Arial"/>
          <w:noProof w:val="0"/>
          <w:szCs w:val="22"/>
          <w:lang w:bidi="ar-SA"/>
        </w:rPr>
        <w:t xml:space="preserve">- </w:t>
      </w:r>
      <w:r>
        <w:rPr>
          <w:rFonts w:eastAsia="Calibri" w:cs="Arial"/>
          <w:noProof w:val="0"/>
          <w:szCs w:val="22"/>
          <w:lang w:bidi="ar-SA"/>
        </w:rPr>
        <w:t>možnost volby</w:t>
      </w:r>
      <w:r w:rsidRPr="00ED38E9">
        <w:rPr>
          <w:rFonts w:eastAsia="Calibri" w:cs="Arial"/>
          <w:noProof w:val="0"/>
          <w:szCs w:val="22"/>
          <w:lang w:bidi="ar-SA"/>
        </w:rPr>
        <w:t xml:space="preserve"> právní form</w:t>
      </w:r>
      <w:r>
        <w:rPr>
          <w:rFonts w:eastAsia="Calibri" w:cs="Arial"/>
          <w:noProof w:val="0"/>
          <w:szCs w:val="22"/>
          <w:lang w:bidi="ar-SA"/>
        </w:rPr>
        <w:t>y</w:t>
      </w:r>
      <w:r w:rsidRPr="00ED38E9">
        <w:rPr>
          <w:rFonts w:eastAsia="Calibri" w:cs="Arial"/>
          <w:noProof w:val="0"/>
          <w:szCs w:val="22"/>
          <w:lang w:bidi="ar-SA"/>
        </w:rPr>
        <w:t xml:space="preserve"> založení KS </w:t>
      </w:r>
      <w:r>
        <w:rPr>
          <w:rFonts w:eastAsia="Calibri" w:cs="Arial"/>
          <w:noProof w:val="0"/>
          <w:szCs w:val="22"/>
          <w:lang w:bidi="ar-SA"/>
        </w:rPr>
        <w:t xml:space="preserve">jako a.s. nebo jako s.r.o. </w:t>
      </w:r>
      <w:r w:rsidRPr="00ED38E9">
        <w:rPr>
          <w:rFonts w:eastAsia="Calibri" w:cs="Arial"/>
          <w:noProof w:val="0"/>
          <w:szCs w:val="22"/>
          <w:lang w:bidi="ar-SA"/>
        </w:rPr>
        <w:t xml:space="preserve"> s blíže definovanými znaky.</w:t>
      </w:r>
      <w:r w:rsidRPr="00ED38E9">
        <w:rPr>
          <w:rFonts w:eastAsia="Calibri" w:cs="Arial"/>
          <w:b/>
          <w:noProof w:val="0"/>
          <w:szCs w:val="22"/>
          <w:lang w:bidi="ar-SA"/>
        </w:rPr>
        <w:t xml:space="preserve"> </w:t>
      </w:r>
    </w:p>
    <w:p w:rsidR="00B76CF9" w:rsidRPr="00ED38E9" w:rsidP="00B76CF9" w14:paraId="572D0ECE" w14:textId="56211001">
      <w:pPr>
        <w:pStyle w:val="Heading1"/>
      </w:pPr>
      <w:bookmarkStart w:id="40" w:name="_Toc406598340"/>
      <w:bookmarkStart w:id="41" w:name="_Toc441759887"/>
      <w:bookmarkStart w:id="42" w:name="_Toc14942081"/>
      <w:bookmarkStart w:id="43" w:name="_Toc256000007"/>
      <w:r w:rsidRPr="00ED38E9">
        <w:t>Prokázání dostatečných záruk o schopnosti dlouhodobého financování projektu při žádosti o udělení oprávnění</w:t>
      </w:r>
      <w:bookmarkEnd w:id="40"/>
      <w:r>
        <w:t xml:space="preserve"> k provozování KS</w:t>
      </w:r>
      <w:bookmarkEnd w:id="41"/>
      <w:r>
        <w:t xml:space="preserve"> (36 odst. 2 písm. </w:t>
      </w:r>
      <w:r w:rsidR="000F533C">
        <w:t>j</w:t>
      </w:r>
      <w:r>
        <w:t>)</w:t>
      </w:r>
      <w:bookmarkEnd w:id="43"/>
      <w:bookmarkEnd w:id="42"/>
    </w:p>
    <w:p w:rsidR="00B76CF9" w:rsidRPr="00ED38E9" w:rsidP="00B76CF9" w14:paraId="769DDC16" w14:textId="77777777">
      <w:pPr>
        <w:pStyle w:val="Heading2"/>
      </w:pPr>
      <w:bookmarkStart w:id="44" w:name="_Toc441759888"/>
      <w:r w:rsidRPr="00ED38E9">
        <w:t>Důvod předložení a cíle</w:t>
      </w:r>
    </w:p>
    <w:p w:rsidR="00B76CF9" w:rsidP="00BF16B7" w14:paraId="21111D5F" w14:textId="77777777">
      <w:pPr>
        <w:pStyle w:val="Heading3"/>
      </w:pPr>
      <w:r w:rsidRPr="005A36CE">
        <w:t>Definice prob</w:t>
      </w:r>
      <w:r>
        <w:t>lému</w:t>
      </w:r>
      <w:r w:rsidRPr="005A36CE">
        <w:t xml:space="preserve"> </w:t>
      </w:r>
      <w:r>
        <w:t>a popis současného stavu</w:t>
      </w:r>
    </w:p>
    <w:p w:rsidR="00B76CF9" w:rsidP="00B76CF9" w14:paraId="28A09636" w14:textId="77777777">
      <w:pPr>
        <w:rPr>
          <w:rFonts w:eastAsia="Calibri" w:cs="Arial"/>
          <w:noProof w:val="0"/>
          <w:szCs w:val="22"/>
          <w:lang w:bidi="ar-SA"/>
        </w:rPr>
      </w:pPr>
      <w:r>
        <w:rPr>
          <w:rFonts w:eastAsia="Calibri" w:cs="Arial"/>
          <w:noProof w:val="0"/>
          <w:szCs w:val="22"/>
          <w:lang w:bidi="ar-SA"/>
        </w:rPr>
        <w:t>S</w:t>
      </w:r>
      <w:r w:rsidRPr="00ED38E9">
        <w:rPr>
          <w:rFonts w:eastAsia="Calibri" w:cs="Arial"/>
          <w:noProof w:val="0"/>
          <w:szCs w:val="22"/>
          <w:lang w:bidi="ar-SA"/>
        </w:rPr>
        <w:t xml:space="preserve">oučasná právní úprava </w:t>
      </w:r>
      <w:r>
        <w:rPr>
          <w:rFonts w:eastAsia="Calibri" w:cs="Arial"/>
          <w:noProof w:val="0"/>
          <w:szCs w:val="22"/>
          <w:lang w:bidi="ar-SA"/>
        </w:rPr>
        <w:t xml:space="preserve">v oblasti EEZ </w:t>
      </w:r>
      <w:r w:rsidRPr="00ED38E9">
        <w:rPr>
          <w:rFonts w:eastAsia="Calibri" w:cs="Arial"/>
          <w:noProof w:val="0"/>
          <w:szCs w:val="22"/>
          <w:lang w:bidi="ar-SA"/>
        </w:rPr>
        <w:t>neupravuje podávání projektu při žádosti o udělení oprávnění</w:t>
      </w:r>
      <w:r>
        <w:rPr>
          <w:rFonts w:eastAsia="Calibri" w:cs="Arial"/>
          <w:noProof w:val="0"/>
          <w:szCs w:val="22"/>
          <w:lang w:bidi="ar-SA"/>
        </w:rPr>
        <w:t xml:space="preserve"> k provozování KS. Z toho důvodu</w:t>
      </w:r>
      <w:r w:rsidRPr="00ED38E9">
        <w:rPr>
          <w:rFonts w:eastAsia="Calibri" w:cs="Arial"/>
          <w:noProof w:val="0"/>
          <w:szCs w:val="22"/>
          <w:lang w:bidi="ar-SA"/>
        </w:rPr>
        <w:t xml:space="preserve"> není prokazování dostatečných záruk při tomto procesu rovněž upravováno.</w:t>
      </w:r>
    </w:p>
    <w:p w:rsidR="00B76CF9" w:rsidRPr="00ED38E9" w:rsidP="00BF16B7" w14:paraId="33AF6125" w14:textId="77777777">
      <w:pPr>
        <w:pStyle w:val="Heading3"/>
      </w:pPr>
      <w:r w:rsidRPr="00ED38E9">
        <w:t>Identifikace dotčených subjektů</w:t>
      </w:r>
    </w:p>
    <w:p w:rsidR="00B76CF9" w:rsidRPr="00FD7163" w:rsidP="005E0B3E" w14:paraId="6A2EA5E0" w14:textId="77777777">
      <w:pPr>
        <w:pStyle w:val="ListParagraph"/>
        <w:numPr>
          <w:ilvl w:val="0"/>
          <w:numId w:val="97"/>
        </w:numPr>
        <w:ind w:left="714" w:hanging="357"/>
        <w:contextualSpacing w:val="0"/>
        <w:rPr>
          <w:rFonts w:cs="Arial"/>
        </w:rPr>
      </w:pPr>
      <w:r w:rsidRPr="00FD7163">
        <w:rPr>
          <w:rFonts w:cs="Arial"/>
        </w:rPr>
        <w:t>Kolektivní systémy</w:t>
      </w:r>
    </w:p>
    <w:p w:rsidR="00B76CF9" w:rsidRPr="00FD7163" w:rsidP="005E0B3E" w14:paraId="1A9E6FA0" w14:textId="77777777">
      <w:pPr>
        <w:pStyle w:val="ListParagraph"/>
        <w:numPr>
          <w:ilvl w:val="0"/>
          <w:numId w:val="97"/>
        </w:numPr>
        <w:ind w:left="714" w:hanging="357"/>
        <w:contextualSpacing w:val="0"/>
        <w:rPr>
          <w:rFonts w:cs="Arial"/>
        </w:rPr>
      </w:pPr>
      <w:r w:rsidRPr="00FD7163">
        <w:rPr>
          <w:rFonts w:cs="Arial"/>
        </w:rPr>
        <w:t>MŽP</w:t>
      </w:r>
    </w:p>
    <w:p w:rsidR="00B76CF9" w:rsidRPr="00ED38E9" w:rsidP="00BF16B7" w14:paraId="4B2CFA28" w14:textId="77777777">
      <w:pPr>
        <w:pStyle w:val="Heading3"/>
      </w:pPr>
      <w:r w:rsidRPr="00ED38E9">
        <w:t>Popis cílového stavu</w:t>
      </w:r>
    </w:p>
    <w:p w:rsidR="00B76CF9" w:rsidRPr="00ED38E9" w:rsidP="00B76CF9" w14:paraId="1785B0BE" w14:textId="57792DE6">
      <w:pPr>
        <w:spacing w:after="120"/>
        <w:rPr>
          <w:rFonts w:eastAsia="Calibri" w:cs="Arial"/>
          <w:noProof w:val="0"/>
          <w:szCs w:val="22"/>
          <w:lang w:bidi="ar-SA"/>
        </w:rPr>
      </w:pPr>
      <w:r>
        <w:rPr>
          <w:rFonts w:eastAsia="Calibri" w:cs="Arial"/>
          <w:noProof w:val="0"/>
          <w:szCs w:val="22"/>
          <w:lang w:bidi="ar-SA"/>
        </w:rPr>
        <w:t>C</w:t>
      </w:r>
      <w:r w:rsidRPr="00ED38E9">
        <w:rPr>
          <w:rFonts w:eastAsia="Calibri" w:cs="Arial"/>
          <w:noProof w:val="0"/>
          <w:szCs w:val="22"/>
          <w:lang w:bidi="ar-SA"/>
        </w:rPr>
        <w:t xml:space="preserve">ílem je, aby </w:t>
      </w:r>
      <w:r w:rsidR="00660AA9">
        <w:rPr>
          <w:rFonts w:eastAsia="Calibri" w:cs="Arial"/>
          <w:noProof w:val="0"/>
          <w:szCs w:val="22"/>
          <w:lang w:bidi="ar-SA"/>
        </w:rPr>
        <w:t>KS</w:t>
      </w:r>
      <w:r w:rsidRPr="00ED38E9">
        <w:rPr>
          <w:rFonts w:eastAsia="Calibri" w:cs="Arial"/>
          <w:noProof w:val="0"/>
          <w:szCs w:val="22"/>
          <w:lang w:bidi="ar-SA"/>
        </w:rPr>
        <w:t xml:space="preserve"> v rámci žádosti o udělení oprávnění k provozování </w:t>
      </w:r>
      <w:r w:rsidR="00660AA9">
        <w:rPr>
          <w:rFonts w:eastAsia="Calibri" w:cs="Arial"/>
          <w:noProof w:val="0"/>
          <w:szCs w:val="22"/>
          <w:lang w:bidi="ar-SA"/>
        </w:rPr>
        <w:t>KS</w:t>
      </w:r>
      <w:r w:rsidRPr="00ED38E9">
        <w:rPr>
          <w:rFonts w:eastAsia="Calibri" w:cs="Arial"/>
          <w:noProof w:val="0"/>
          <w:szCs w:val="22"/>
          <w:lang w:bidi="ar-SA"/>
        </w:rPr>
        <w:t xml:space="preserve"> prokázal</w:t>
      </w:r>
      <w:r w:rsidR="00660AA9">
        <w:rPr>
          <w:rFonts w:eastAsia="Calibri" w:cs="Arial"/>
          <w:noProof w:val="0"/>
          <w:szCs w:val="22"/>
          <w:lang w:bidi="ar-SA"/>
        </w:rPr>
        <w:t>y</w:t>
      </w:r>
      <w:r w:rsidRPr="00ED38E9">
        <w:rPr>
          <w:rFonts w:eastAsia="Calibri" w:cs="Arial"/>
          <w:noProof w:val="0"/>
          <w:szCs w:val="22"/>
          <w:lang w:bidi="ar-SA"/>
        </w:rPr>
        <w:t xml:space="preserve"> MŽP dostatečné finanční záruky na zajištění řádného a</w:t>
      </w:r>
      <w:r>
        <w:rPr>
          <w:rFonts w:eastAsia="Calibri" w:cs="Arial"/>
          <w:noProof w:val="0"/>
          <w:szCs w:val="22"/>
          <w:lang w:bidi="ar-SA"/>
        </w:rPr>
        <w:t> </w:t>
      </w:r>
      <w:r w:rsidRPr="00ED38E9">
        <w:rPr>
          <w:rFonts w:eastAsia="Calibri" w:cs="Arial"/>
          <w:noProof w:val="0"/>
          <w:szCs w:val="22"/>
          <w:lang w:bidi="ar-SA"/>
        </w:rPr>
        <w:t>dlouhodobého financování projektu zajišťování kolektivního plnění povinností.</w:t>
      </w:r>
    </w:p>
    <w:p w:rsidR="00B76CF9" w:rsidRPr="00ED38E9" w:rsidP="00B76CF9" w14:paraId="7EDA2530" w14:textId="77777777">
      <w:pPr>
        <w:rPr>
          <w:rFonts w:cs="Arial"/>
        </w:rPr>
      </w:pPr>
    </w:p>
    <w:p w:rsidR="00B76CF9" w:rsidRPr="00ED38E9" w:rsidP="00B76CF9" w14:paraId="11D19D2C" w14:textId="77777777">
      <w:pPr>
        <w:pStyle w:val="Heading2"/>
        <w:spacing w:before="120" w:after="0"/>
      </w:pPr>
      <w:r w:rsidRPr="00ED38E9">
        <w:t>Návrh variant řešení</w:t>
      </w:r>
    </w:p>
    <w:p w:rsidR="00B76CF9" w:rsidRPr="002575A5" w:rsidP="00BF16B7" w14:paraId="318768D8" w14:textId="77777777">
      <w:pPr>
        <w:pStyle w:val="Heading3"/>
      </w:pPr>
      <w:r w:rsidRPr="00ED38E9">
        <w:t>Varianta 0</w:t>
      </w:r>
    </w:p>
    <w:p w:rsidR="00B76CF9" w:rsidRPr="00892679" w:rsidP="00EB0BEF" w14:paraId="32CDE15D" w14:textId="77777777">
      <w:r w:rsidRPr="00892679">
        <w:t>Zachování současného stavu.</w:t>
      </w:r>
    </w:p>
    <w:p w:rsidR="00B76CF9" w:rsidP="00BF16B7" w14:paraId="1F4B7DC9" w14:textId="77777777">
      <w:pPr>
        <w:pStyle w:val="Heading3"/>
      </w:pPr>
      <w:r>
        <w:t>Varianta 1</w:t>
      </w:r>
    </w:p>
    <w:p w:rsidR="00B76CF9" w:rsidRPr="00ED38E9" w:rsidP="00DC65EA" w14:paraId="2E25490F" w14:textId="77777777">
      <w:pPr>
        <w:spacing w:after="0"/>
        <w:rPr>
          <w:rFonts w:eastAsia="Calibri" w:cs="Arial"/>
          <w:noProof w:val="0"/>
          <w:szCs w:val="22"/>
          <w:lang w:bidi="ar-SA"/>
        </w:rPr>
      </w:pPr>
      <w:r w:rsidRPr="00ED38E9">
        <w:rPr>
          <w:rFonts w:eastAsia="Calibri" w:cs="Arial"/>
          <w:noProof w:val="0"/>
          <w:szCs w:val="22"/>
          <w:lang w:bidi="ar-SA"/>
        </w:rPr>
        <w:t>Zavedení povinnosti prokazování záruk o schopnosti dlouhodobého financování bez striktní definice těchto záruk. Rozhodnutí o schopnosti financování bude v kompetenci MŽP.</w:t>
      </w:r>
    </w:p>
    <w:p w:rsidR="00B76CF9" w:rsidP="00BF16B7" w14:paraId="67709166" w14:textId="77777777">
      <w:pPr>
        <w:pStyle w:val="Heading3"/>
      </w:pPr>
      <w:r>
        <w:t>Varianta 2</w:t>
      </w:r>
    </w:p>
    <w:p w:rsidR="00B76CF9" w:rsidP="00DC65EA" w14:paraId="6486E4CC" w14:textId="3BD1B248">
      <w:pPr>
        <w:widowControl w:val="0"/>
        <w:spacing w:after="0"/>
        <w:rPr>
          <w:rFonts w:eastAsia="Calibri" w:cs="Arial"/>
          <w:noProof w:val="0"/>
          <w:szCs w:val="22"/>
          <w:lang w:bidi="ar-SA"/>
        </w:rPr>
      </w:pPr>
      <w:r w:rsidRPr="00ED38E9">
        <w:rPr>
          <w:rFonts w:eastAsia="Calibri" w:cs="Arial"/>
          <w:noProof w:val="0"/>
          <w:szCs w:val="22"/>
          <w:lang w:bidi="ar-SA"/>
        </w:rPr>
        <w:t xml:space="preserve">Zavedení povinnosti prokazování záruk o schopnosti dlouhodobého financování se striktní definicí požadavků v rámci udělení oprávnění k provozování </w:t>
      </w:r>
      <w:r w:rsidR="00660AA9">
        <w:rPr>
          <w:rFonts w:eastAsia="Calibri" w:cs="Arial"/>
          <w:noProof w:val="0"/>
          <w:szCs w:val="22"/>
          <w:lang w:bidi="ar-SA"/>
        </w:rPr>
        <w:t>KS</w:t>
      </w:r>
      <w:r w:rsidRPr="00ED38E9">
        <w:rPr>
          <w:rFonts w:eastAsia="Calibri" w:cs="Arial"/>
          <w:noProof w:val="0"/>
          <w:szCs w:val="22"/>
          <w:lang w:bidi="ar-SA"/>
        </w:rPr>
        <w:t xml:space="preserve">. </w:t>
      </w:r>
    </w:p>
    <w:p w:rsidR="00B76CF9" w:rsidRPr="00ED38E9" w:rsidP="00B76CF9" w14:paraId="260451C9" w14:textId="77777777">
      <w:pPr>
        <w:pStyle w:val="TOC3"/>
      </w:pPr>
    </w:p>
    <w:p w:rsidR="00B76CF9" w:rsidP="00B76CF9" w14:paraId="0EC2402C" w14:textId="77777777">
      <w:pPr>
        <w:pStyle w:val="Heading2"/>
        <w:spacing w:before="120" w:after="0"/>
      </w:pPr>
      <w:r>
        <w:t>Vyhodnocení nákladů a přínosů</w:t>
      </w:r>
    </w:p>
    <w:p w:rsidR="00B76CF9" w:rsidRPr="00043961" w:rsidP="00BF16B7" w14:paraId="4D249BA5" w14:textId="77777777">
      <w:pPr>
        <w:pStyle w:val="Heading3"/>
      </w:pPr>
      <w:r w:rsidRPr="00043961">
        <w:t>Identifikace nákladů a přínosů</w:t>
      </w:r>
    </w:p>
    <w:p w:rsidR="00B76CF9" w:rsidRPr="002E3554" w:rsidP="003C445B" w14:paraId="1073E39C" w14:textId="77777777">
      <w:pPr>
        <w:pStyle w:val="ListParagraph"/>
        <w:keepNext/>
        <w:numPr>
          <w:ilvl w:val="0"/>
          <w:numId w:val="98"/>
        </w:numPr>
        <w:spacing w:before="240" w:after="120"/>
        <w:contextualSpacing w:val="0"/>
        <w:rPr>
          <w:rFonts w:cs="Arial"/>
          <w:b/>
        </w:rPr>
      </w:pPr>
      <w:r w:rsidRPr="002E3554">
        <w:rPr>
          <w:rFonts w:cs="Arial"/>
          <w:b/>
        </w:rPr>
        <w:t>Varianta 0</w:t>
      </w:r>
    </w:p>
    <w:p w:rsidR="00B76CF9" w:rsidRPr="00ED38E9" w:rsidP="00B76CF9" w14:paraId="48EF82E8" w14:textId="77777777">
      <w:pPr>
        <w:spacing w:after="120"/>
        <w:rPr>
          <w:rFonts w:eastAsia="Calibri" w:cs="Arial"/>
          <w:noProof w:val="0"/>
          <w:szCs w:val="22"/>
          <w:lang w:bidi="ar-SA"/>
        </w:rPr>
      </w:pPr>
      <w:r w:rsidRPr="00ED38E9">
        <w:rPr>
          <w:rFonts w:eastAsia="Calibri" w:cs="Arial"/>
          <w:noProof w:val="0"/>
          <w:szCs w:val="22"/>
          <w:lang w:bidi="ar-SA"/>
        </w:rPr>
        <w:t>Varianta 0 nepředstavuje pro dotčené su</w:t>
      </w:r>
      <w:r>
        <w:rPr>
          <w:rFonts w:eastAsia="Calibri" w:cs="Arial"/>
          <w:noProof w:val="0"/>
          <w:szCs w:val="22"/>
          <w:lang w:bidi="ar-SA"/>
        </w:rPr>
        <w:t>bjekty žádné dodatečné náklady, avšak p</w:t>
      </w:r>
      <w:r w:rsidRPr="00ED38E9">
        <w:rPr>
          <w:rFonts w:eastAsia="Calibri" w:cs="Arial"/>
          <w:noProof w:val="0"/>
          <w:szCs w:val="22"/>
          <w:lang w:bidi="ar-SA"/>
        </w:rPr>
        <w:t xml:space="preserve">onechání současného stavu je při zavedení povinnosti autorizace pro KS neudržitelné, </w:t>
      </w:r>
      <w:r>
        <w:rPr>
          <w:rFonts w:eastAsia="Calibri" w:cs="Arial"/>
          <w:noProof w:val="0"/>
          <w:szCs w:val="22"/>
          <w:lang w:bidi="ar-SA"/>
        </w:rPr>
        <w:t xml:space="preserve">neboť </w:t>
      </w:r>
      <w:r w:rsidRPr="00ED38E9">
        <w:rPr>
          <w:rFonts w:eastAsia="Calibri" w:cs="Arial"/>
          <w:noProof w:val="0"/>
          <w:szCs w:val="22"/>
          <w:lang w:bidi="ar-SA"/>
        </w:rPr>
        <w:t>je obtížné nést zodpovědnost za insolvenci KS.</w:t>
      </w:r>
    </w:p>
    <w:p w:rsidR="00B76CF9" w:rsidRPr="00846A21" w:rsidP="003C445B" w14:paraId="277DD0B4" w14:textId="77777777">
      <w:pPr>
        <w:pStyle w:val="ListParagraph"/>
        <w:keepNext/>
        <w:numPr>
          <w:ilvl w:val="0"/>
          <w:numId w:val="98"/>
        </w:numPr>
        <w:spacing w:after="120"/>
        <w:contextualSpacing w:val="0"/>
        <w:rPr>
          <w:rFonts w:eastAsia="Calibri" w:cs="Arial"/>
          <w:b/>
          <w:noProof w:val="0"/>
          <w:szCs w:val="22"/>
          <w:lang w:bidi="ar-SA"/>
        </w:rPr>
      </w:pPr>
      <w:r w:rsidRPr="0041484E">
        <w:rPr>
          <w:rFonts w:cs="Arial"/>
          <w:b/>
        </w:rPr>
        <w:t>Varianta 1</w:t>
      </w:r>
    </w:p>
    <w:p w:rsidR="00B76CF9" w:rsidRPr="00ED38E9" w:rsidP="00B76CF9" w14:paraId="20BC5BBD" w14:textId="4262A001">
      <w:pPr>
        <w:widowControl w:val="0"/>
        <w:spacing w:after="120"/>
        <w:rPr>
          <w:rFonts w:eastAsia="Calibri" w:cs="Arial"/>
          <w:noProof w:val="0"/>
          <w:szCs w:val="22"/>
          <w:lang w:bidi="ar-SA"/>
        </w:rPr>
      </w:pPr>
      <w:r w:rsidRPr="00ED38E9">
        <w:rPr>
          <w:rFonts w:eastAsia="Calibri" w:cs="Arial"/>
          <w:noProof w:val="0"/>
          <w:szCs w:val="22"/>
          <w:lang w:bidi="ar-SA"/>
        </w:rPr>
        <w:t>V případě Varianty 1 a 2, které zavádí požadavek prokázání dostatečných finančních záruk v rámci žádosti o udělení oprávnění k provozování KS, je zapotřebí stanovit záruky ve formě nevytváře</w:t>
      </w:r>
      <w:r w:rsidR="00C234C2">
        <w:rPr>
          <w:rFonts w:eastAsia="Calibri" w:cs="Arial"/>
          <w:noProof w:val="0"/>
          <w:szCs w:val="22"/>
          <w:lang w:bidi="ar-SA"/>
        </w:rPr>
        <w:t>ní</w:t>
      </w:r>
      <w:r w:rsidRPr="00ED38E9">
        <w:rPr>
          <w:rFonts w:eastAsia="Calibri" w:cs="Arial"/>
          <w:noProof w:val="0"/>
          <w:szCs w:val="22"/>
          <w:lang w:bidi="ar-SA"/>
        </w:rPr>
        <w:t xml:space="preserve"> neodůvodnitelné bariéry vstupu na trh KS (např. požadavek neúměrně vysoké záruky). V opačném případě může být ohrožen hlavní cíl, tj. navyšování míry sběru u</w:t>
      </w:r>
      <w:r>
        <w:rPr>
          <w:rFonts w:eastAsia="Calibri" w:cs="Arial"/>
          <w:noProof w:val="0"/>
          <w:szCs w:val="22"/>
          <w:lang w:bidi="ar-SA"/>
        </w:rPr>
        <w:t> </w:t>
      </w:r>
      <w:r w:rsidR="00C234C2">
        <w:rPr>
          <w:rFonts w:eastAsia="Calibri" w:cs="Arial"/>
          <w:noProof w:val="0"/>
          <w:szCs w:val="22"/>
          <w:lang w:bidi="ar-SA"/>
        </w:rPr>
        <w:t>ZO</w:t>
      </w:r>
      <w:r w:rsidRPr="00ED38E9">
        <w:rPr>
          <w:rFonts w:eastAsia="Calibri" w:cs="Arial"/>
          <w:noProof w:val="0"/>
          <w:szCs w:val="22"/>
          <w:lang w:bidi="ar-SA"/>
        </w:rPr>
        <w:t xml:space="preserve"> i</w:t>
      </w:r>
      <w:r w:rsidR="00C234C2">
        <w:rPr>
          <w:rFonts w:eastAsia="Calibri" w:cs="Arial"/>
          <w:noProof w:val="0"/>
          <w:szCs w:val="22"/>
          <w:lang w:bidi="ar-SA"/>
        </w:rPr>
        <w:t> </w:t>
      </w:r>
      <w:r w:rsidRPr="00ED38E9">
        <w:rPr>
          <w:rFonts w:eastAsia="Calibri" w:cs="Arial"/>
          <w:noProof w:val="0"/>
          <w:szCs w:val="22"/>
          <w:lang w:bidi="ar-SA"/>
        </w:rPr>
        <w:t xml:space="preserve">odděleného sběru. Finanční záruka nemusí být tvořena pouze vlastním kapitálem, ale musí být </w:t>
      </w:r>
      <w:r w:rsidR="00C234C2">
        <w:rPr>
          <w:rFonts w:eastAsia="Calibri" w:cs="Arial"/>
          <w:noProof w:val="0"/>
          <w:szCs w:val="22"/>
          <w:lang w:bidi="ar-SA"/>
        </w:rPr>
        <w:t>zajištěna její dlouhodobost (po</w:t>
      </w:r>
      <w:r w:rsidRPr="00ED38E9">
        <w:rPr>
          <w:rFonts w:eastAsia="Calibri" w:cs="Arial"/>
          <w:noProof w:val="0"/>
          <w:szCs w:val="22"/>
          <w:lang w:bidi="ar-SA"/>
        </w:rPr>
        <w:t xml:space="preserve"> dobu trvání oprávnění k provozu 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3B84A822"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B76CF9" w:rsidRPr="00ED38E9" w:rsidP="006031E5" w14:paraId="75182D09"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18116DE0"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6B32EF8C"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kontrola, vyšší pravomoci, možnost optimalizace sběru</w:t>
            </w:r>
          </w:p>
          <w:p w:rsidR="00B76CF9" w:rsidRPr="00ED38E9" w:rsidP="006031E5" w14:paraId="1C1CCDD7" w14:textId="183D084D">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w:t>
            </w:r>
          </w:p>
        </w:tc>
      </w:tr>
      <w:tr w14:paraId="7104D14D"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6FB0E9C3"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Stávající kolektivní systémy/výrobci</w:t>
            </w:r>
          </w:p>
        </w:tc>
      </w:tr>
      <w:tr w14:paraId="1D6B311C"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60DE73BA"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jistota, snížení podnikatelských rizik</w:t>
            </w:r>
          </w:p>
          <w:p w:rsidR="00B76CF9" w:rsidRPr="00ED38E9" w:rsidP="006031E5" w14:paraId="510A910B"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w:t>
            </w:r>
          </w:p>
        </w:tc>
      </w:tr>
      <w:tr w14:paraId="3E6C52AA"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3447B80B"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Nové kolektivní systémy/výrobci</w:t>
            </w:r>
          </w:p>
        </w:tc>
      </w:tr>
      <w:tr w14:paraId="3CBA84CA" w14:textId="77777777" w:rsidTr="006031E5">
        <w:tblPrEx>
          <w:tblW w:w="0" w:type="auto"/>
          <w:tblInd w:w="108" w:type="dxa"/>
          <w:tblLook w:val="00A0"/>
        </w:tblPrEx>
        <w:trPr>
          <w:trHeight w:val="397"/>
        </w:trPr>
        <w:tc>
          <w:tcPr>
            <w:tcW w:w="9180" w:type="dxa"/>
            <w:shd w:val="clear" w:color="auto" w:fill="auto"/>
            <w:vAlign w:val="center"/>
          </w:tcPr>
          <w:p w:rsidR="00B76CF9" w:rsidRPr="00ED38E9" w:rsidP="00B760EA" w14:paraId="5CAC2756"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Odstranění diskriminačních bariér vstupu na trh, vyšší jistota, snížení podnikatelských rizik</w:t>
            </w:r>
          </w:p>
          <w:p w:rsidR="00B76CF9" w:rsidRPr="00ED38E9" w:rsidP="00B760EA" w14:paraId="536DF771"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 nemožnost vstoupit na trh</w:t>
            </w:r>
          </w:p>
        </w:tc>
      </w:tr>
      <w:tr w14:paraId="3E0E6594"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5A8511F2"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7CA6A1F5"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495BB17C"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Možná optimalizace sběru, vyšší právní jistota</w:t>
            </w:r>
          </w:p>
          <w:p w:rsidR="00B76CF9" w:rsidRPr="00ED38E9" w:rsidP="006031E5" w14:paraId="5DB4D044"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Nejednoznačnost záruky může představovat možné korupční riziko</w:t>
            </w:r>
          </w:p>
        </w:tc>
      </w:tr>
    </w:tbl>
    <w:p w:rsidR="00B76CF9" w:rsidRPr="002E3554" w:rsidP="003C445B" w14:paraId="1FA02B5E" w14:textId="77777777">
      <w:pPr>
        <w:pStyle w:val="ListParagraph"/>
        <w:keepNext/>
        <w:numPr>
          <w:ilvl w:val="0"/>
          <w:numId w:val="98"/>
        </w:numPr>
        <w:spacing w:before="240" w:after="120"/>
        <w:ind w:left="714" w:hanging="357"/>
        <w:contextualSpacing w:val="0"/>
        <w:rPr>
          <w:rFonts w:eastAsia="Calibri" w:cs="Arial"/>
          <w:b/>
          <w:noProof w:val="0"/>
          <w:szCs w:val="22"/>
          <w:lang w:bidi="ar-SA"/>
        </w:rPr>
      </w:pPr>
      <w:r>
        <w:rPr>
          <w:rFonts w:cs="Arial"/>
          <w:b/>
        </w:rPr>
        <w:t>Varianta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1941BC43"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B76CF9" w:rsidRPr="00ED38E9" w:rsidP="006031E5" w14:paraId="5EAC7642" w14:textId="77777777">
            <w:pPr>
              <w:keepNext/>
              <w:spacing w:before="20" w:after="20"/>
              <w:jc w:val="left"/>
              <w:rPr>
                <w:rFonts w:eastAsia="MS Mincho" w:cs="Arial"/>
                <w:b/>
                <w:noProof w:val="0"/>
                <w:sz w:val="20"/>
                <w:szCs w:val="20"/>
                <w:lang w:bidi="ar-SA"/>
              </w:rPr>
            </w:pPr>
            <w:bookmarkEnd w:id="44"/>
            <w:r w:rsidRPr="00ED38E9">
              <w:rPr>
                <w:rFonts w:eastAsia="MS Mincho" w:cs="Arial"/>
                <w:b/>
                <w:noProof w:val="0"/>
                <w:sz w:val="20"/>
                <w:szCs w:val="20"/>
                <w:lang w:eastAsia="cs-CZ" w:bidi="ar-SA"/>
              </w:rPr>
              <w:t>Státní správa</w:t>
            </w:r>
          </w:p>
        </w:tc>
      </w:tr>
      <w:tr w14:paraId="6387367A"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09E01A9A"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kontrola, možnost optimalizace sběru</w:t>
            </w:r>
          </w:p>
          <w:p w:rsidR="00B76CF9" w:rsidRPr="00ED38E9" w:rsidP="006031E5" w14:paraId="75694BA0" w14:textId="6597BB50">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w:t>
            </w:r>
          </w:p>
        </w:tc>
      </w:tr>
      <w:tr w14:paraId="5B8EBBDA"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5541E22D"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Stávající kolektivní systémy/výrobci</w:t>
            </w:r>
          </w:p>
        </w:tc>
      </w:tr>
      <w:tr w14:paraId="6230A0B1"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0DC97C6E"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snížení podnikatelských rizik</w:t>
            </w:r>
          </w:p>
          <w:p w:rsidR="00B76CF9" w:rsidRPr="00ED38E9" w:rsidP="006031E5" w14:paraId="05B74076"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w:t>
            </w:r>
          </w:p>
        </w:tc>
      </w:tr>
      <w:tr w14:paraId="3379E260"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7E919E7B"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Nové kolektivní systémy/výrobci</w:t>
            </w:r>
          </w:p>
        </w:tc>
      </w:tr>
      <w:tr w14:paraId="60E78A6C" w14:textId="77777777" w:rsidTr="006031E5">
        <w:tblPrEx>
          <w:tblW w:w="0" w:type="auto"/>
          <w:tblInd w:w="108" w:type="dxa"/>
          <w:tblLook w:val="00A0"/>
        </w:tblPrEx>
        <w:trPr>
          <w:trHeight w:val="397"/>
        </w:trPr>
        <w:tc>
          <w:tcPr>
            <w:tcW w:w="9180" w:type="dxa"/>
            <w:shd w:val="clear" w:color="auto" w:fill="auto"/>
            <w:vAlign w:val="center"/>
          </w:tcPr>
          <w:p w:rsidR="00B76CF9" w:rsidRPr="00ED38E9" w:rsidP="00B760EA" w14:paraId="65EE42EE"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Odstranění diskriminačních bariér vstupu na trh, vyšší právní jistota, snížení podnikatelských rizik</w:t>
            </w:r>
          </w:p>
          <w:p w:rsidR="00B76CF9" w:rsidRPr="00ED38E9" w:rsidP="00B760EA" w14:paraId="008A9E4C" w14:textId="77777777">
            <w:pPr>
              <w:spacing w:before="20" w:after="20"/>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 nemožnost vstoupit na trh</w:t>
            </w:r>
          </w:p>
        </w:tc>
      </w:tr>
      <w:tr w14:paraId="414EAD26"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2DB62FA6"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2250509D" w14:textId="77777777" w:rsidTr="006031E5">
        <w:tblPrEx>
          <w:tblW w:w="0" w:type="auto"/>
          <w:tblInd w:w="108" w:type="dxa"/>
          <w:tblLook w:val="00A0"/>
        </w:tblPrEx>
        <w:trPr>
          <w:trHeight w:val="397"/>
        </w:trPr>
        <w:tc>
          <w:tcPr>
            <w:tcW w:w="9180" w:type="dxa"/>
            <w:shd w:val="clear" w:color="auto" w:fill="auto"/>
            <w:vAlign w:val="center"/>
          </w:tcPr>
          <w:p w:rsidR="00B76CF9" w:rsidRPr="00ED38E9" w:rsidP="004F2CF7" w14:paraId="02556D57" w14:textId="77777777">
            <w:pPr>
              <w:widowControl w:val="0"/>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transparentnost, možná optimalizace sběru</w:t>
            </w:r>
          </w:p>
        </w:tc>
      </w:tr>
    </w:tbl>
    <w:p w:rsidR="00EB0BEF" w:rsidP="00BF16B7" w14:paraId="708B58DC" w14:textId="77777777">
      <w:pPr>
        <w:pStyle w:val="Heading3"/>
      </w:pPr>
    </w:p>
    <w:p w:rsidR="00EB0BEF" w14:paraId="30D865B0" w14:textId="77777777">
      <w:pPr>
        <w:rPr>
          <w:rFonts w:eastAsia="Calibri" w:cs="Arial"/>
          <w:b/>
          <w:bCs/>
          <w:lang w:bidi="ar-SA"/>
        </w:rPr>
      </w:pPr>
      <w:r>
        <w:br w:type="page"/>
      </w:r>
    </w:p>
    <w:p w:rsidR="00B76CF9" w:rsidRPr="00ED38E9" w:rsidP="00BF16B7" w14:paraId="16437B36" w14:textId="2CDCE20A">
      <w:pPr>
        <w:pStyle w:val="Heading3"/>
      </w:pPr>
      <w:r w:rsidRPr="00ED38E9">
        <w:t>Vyhodnocení nákladů a přínosů variant</w:t>
      </w:r>
    </w:p>
    <w:p w:rsidR="00B76CF9" w:rsidRPr="002C4BD5" w14:paraId="35DA966B" w14:textId="1A454086">
      <w:pPr>
        <w:pStyle w:val="Caption"/>
        <w:spacing w:before="120"/>
        <w:contextualSpacing w:val="0"/>
        <w:rPr>
          <w:sz w:val="20"/>
          <w:szCs w:val="20"/>
        </w:rPr>
      </w:pPr>
      <w:r w:rsidRPr="002C4BD5">
        <w:rPr>
          <w:sz w:val="20"/>
          <w:szCs w:val="20"/>
        </w:rPr>
        <w:t>T</w:t>
      </w:r>
      <w:r w:rsidR="00925F10">
        <w:rPr>
          <w:sz w:val="20"/>
          <w:szCs w:val="20"/>
        </w:rPr>
        <w:t>abulka 14</w:t>
      </w:r>
      <w:r w:rsidRPr="002C4BD5">
        <w:rPr>
          <w:sz w:val="20"/>
          <w:szCs w:val="20"/>
        </w:rPr>
        <w:t>: Souhrn nákladů a přínosů</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3323"/>
        <w:gridCol w:w="3324"/>
      </w:tblGrid>
      <w:tr w14:paraId="574FA5C5"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2419" w:type="dxa"/>
            <w:shd w:val="clear" w:color="auto" w:fill="B6B002"/>
            <w:vAlign w:val="center"/>
          </w:tcPr>
          <w:p w:rsidR="00B76CF9" w:rsidRPr="002C4BD5" w:rsidP="004F2CF7" w14:paraId="1DC94B82" w14:textId="77777777">
            <w:pPr>
              <w:keepNext/>
              <w:spacing w:line="264" w:lineRule="auto"/>
              <w:jc w:val="center"/>
              <w:rPr>
                <w:rFonts w:cs="Arial"/>
                <w:b/>
                <w:noProof w:val="0"/>
                <w:sz w:val="20"/>
                <w:szCs w:val="20"/>
                <w:lang w:bidi="ar-SA"/>
              </w:rPr>
            </w:pPr>
          </w:p>
        </w:tc>
        <w:tc>
          <w:tcPr>
            <w:tcW w:w="3326" w:type="dxa"/>
            <w:shd w:val="clear" w:color="auto" w:fill="B6B002"/>
            <w:vAlign w:val="center"/>
          </w:tcPr>
          <w:p w:rsidR="00B76CF9" w:rsidRPr="002C4BD5" w:rsidP="004F2CF7" w14:paraId="4E627C63" w14:textId="77777777">
            <w:pPr>
              <w:keepNext/>
              <w:spacing w:line="264" w:lineRule="auto"/>
              <w:rPr>
                <w:rFonts w:cs="Arial"/>
                <w:b/>
                <w:noProof w:val="0"/>
                <w:sz w:val="20"/>
                <w:szCs w:val="20"/>
                <w:lang w:bidi="ar-SA"/>
              </w:rPr>
            </w:pPr>
            <w:r w:rsidRPr="002C4BD5">
              <w:rPr>
                <w:rFonts w:cs="Arial"/>
                <w:b/>
                <w:noProof w:val="0"/>
                <w:sz w:val="20"/>
                <w:szCs w:val="20"/>
                <w:lang w:bidi="ar-SA"/>
              </w:rPr>
              <w:t>Náklady</w:t>
            </w:r>
          </w:p>
        </w:tc>
        <w:tc>
          <w:tcPr>
            <w:tcW w:w="3327" w:type="dxa"/>
            <w:shd w:val="clear" w:color="auto" w:fill="B6B002"/>
            <w:vAlign w:val="center"/>
          </w:tcPr>
          <w:p w:rsidR="00B76CF9" w:rsidRPr="002C4BD5" w:rsidP="004F2CF7" w14:paraId="334ACAB7" w14:textId="77777777">
            <w:pPr>
              <w:keepNext/>
              <w:spacing w:line="264" w:lineRule="auto"/>
              <w:rPr>
                <w:rFonts w:cs="Arial"/>
                <w:b/>
                <w:noProof w:val="0"/>
                <w:sz w:val="20"/>
                <w:szCs w:val="20"/>
                <w:lang w:bidi="ar-SA"/>
              </w:rPr>
            </w:pPr>
            <w:r w:rsidRPr="002C4BD5">
              <w:rPr>
                <w:rFonts w:cs="Arial"/>
                <w:b/>
                <w:noProof w:val="0"/>
                <w:sz w:val="20"/>
                <w:szCs w:val="20"/>
                <w:lang w:bidi="ar-SA"/>
              </w:rPr>
              <w:t>Přínosy</w:t>
            </w:r>
          </w:p>
        </w:tc>
      </w:tr>
    </w:tbl>
    <w:tbl>
      <w:tblPr>
        <w:tblStyle w:val="Mkatabulky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3323"/>
        <w:gridCol w:w="3323"/>
      </w:tblGrid>
      <w:tr w14:paraId="3C782EFA"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9072" w:type="dxa"/>
            <w:gridSpan w:val="3"/>
            <w:shd w:val="clear" w:color="auto" w:fill="F2F2F2"/>
            <w:vAlign w:val="center"/>
          </w:tcPr>
          <w:p w:rsidR="00B76CF9" w:rsidRPr="002C4BD5" w:rsidP="004F2CF7" w14:paraId="259767DC" w14:textId="77777777">
            <w:pPr>
              <w:keepNext/>
              <w:spacing w:after="120"/>
              <w:rPr>
                <w:rFonts w:cs="Arial"/>
                <w:b/>
                <w:noProof w:val="0"/>
                <w:sz w:val="20"/>
                <w:szCs w:val="20"/>
                <w:lang w:bidi="ar-SA"/>
              </w:rPr>
            </w:pPr>
            <w:r w:rsidRPr="002C4BD5">
              <w:rPr>
                <w:rFonts w:cs="Arial"/>
                <w:b/>
                <w:sz w:val="20"/>
                <w:szCs w:val="20"/>
                <w:lang w:bidi="ar-SA"/>
              </w:rPr>
              <w:t>Prokázání dostatečných záruk o schopnosti dlouhodobého financování projektu při žádosti</w:t>
            </w:r>
          </w:p>
        </w:tc>
      </w:tr>
      <w:tr w14:paraId="5D359300" w14:textId="77777777" w:rsidTr="006031E5">
        <w:tblPrEx>
          <w:tblW w:w="0" w:type="auto"/>
          <w:jc w:val="center"/>
          <w:tblLook w:val="04A0"/>
        </w:tblPrEx>
        <w:trPr>
          <w:trHeight w:val="64"/>
          <w:jc w:val="center"/>
        </w:trPr>
        <w:tc>
          <w:tcPr>
            <w:tcW w:w="2419" w:type="dxa"/>
            <w:shd w:val="clear" w:color="auto" w:fill="D9D9D9"/>
            <w:vAlign w:val="center"/>
          </w:tcPr>
          <w:p w:rsidR="00B76CF9" w:rsidRPr="002C4BD5" w:rsidP="006031E5" w14:paraId="69AEEE4E" w14:textId="77777777">
            <w:pPr>
              <w:spacing w:before="60" w:line="240" w:lineRule="auto"/>
              <w:jc w:val="left"/>
              <w:rPr>
                <w:rFonts w:cs="Arial"/>
                <w:sz w:val="20"/>
                <w:szCs w:val="20"/>
                <w:lang w:bidi="ar-SA"/>
              </w:rPr>
            </w:pPr>
            <w:r w:rsidRPr="002C4BD5">
              <w:rPr>
                <w:rFonts w:cs="Arial"/>
                <w:noProof w:val="0"/>
                <w:sz w:val="20"/>
                <w:szCs w:val="20"/>
                <w:lang w:bidi="ar-SA"/>
              </w:rPr>
              <w:t>Varianta 0</w:t>
            </w:r>
          </w:p>
        </w:tc>
        <w:tc>
          <w:tcPr>
            <w:tcW w:w="3326" w:type="dxa"/>
            <w:shd w:val="clear" w:color="auto" w:fill="D9D9D9"/>
            <w:vAlign w:val="center"/>
          </w:tcPr>
          <w:p w:rsidR="00B76CF9" w:rsidRPr="002C4BD5" w:rsidP="006031E5" w14:paraId="76F91D18" w14:textId="77777777">
            <w:pPr>
              <w:spacing w:before="60" w:line="240" w:lineRule="auto"/>
              <w:jc w:val="left"/>
              <w:rPr>
                <w:rFonts w:cs="Arial"/>
                <w:noProof w:val="0"/>
                <w:sz w:val="20"/>
                <w:szCs w:val="20"/>
                <w:lang w:bidi="ar-SA"/>
              </w:rPr>
            </w:pPr>
            <w:r w:rsidRPr="002C4BD5">
              <w:rPr>
                <w:rFonts w:cs="Arial"/>
                <w:noProof w:val="0"/>
                <w:sz w:val="20"/>
                <w:szCs w:val="20"/>
                <w:lang w:bidi="ar-SA"/>
              </w:rPr>
              <w:t>nulová varianta</w:t>
            </w:r>
          </w:p>
        </w:tc>
        <w:tc>
          <w:tcPr>
            <w:tcW w:w="3327" w:type="dxa"/>
            <w:shd w:val="clear" w:color="auto" w:fill="D9D9D9"/>
            <w:vAlign w:val="center"/>
          </w:tcPr>
          <w:p w:rsidR="00B76CF9" w:rsidRPr="002C4BD5" w:rsidP="006031E5" w14:paraId="4DDE1E19" w14:textId="77777777">
            <w:pPr>
              <w:spacing w:before="60" w:line="240" w:lineRule="auto"/>
              <w:jc w:val="left"/>
              <w:rPr>
                <w:rFonts w:cs="Arial"/>
                <w:noProof w:val="0"/>
                <w:sz w:val="20"/>
                <w:szCs w:val="20"/>
                <w:lang w:bidi="ar-SA"/>
              </w:rPr>
            </w:pPr>
            <w:r w:rsidRPr="002C4BD5">
              <w:rPr>
                <w:rFonts w:cs="Arial"/>
                <w:noProof w:val="0"/>
                <w:sz w:val="20"/>
                <w:szCs w:val="20"/>
                <w:lang w:bidi="ar-SA"/>
              </w:rPr>
              <w:t>nulová varianta</w:t>
            </w:r>
          </w:p>
        </w:tc>
      </w:tr>
      <w:tr w14:paraId="1ACDA6E4" w14:textId="77777777" w:rsidTr="006031E5">
        <w:tblPrEx>
          <w:tblW w:w="0" w:type="auto"/>
          <w:jc w:val="center"/>
          <w:tblLook w:val="04A0"/>
        </w:tblPrEx>
        <w:trPr>
          <w:trHeight w:val="64"/>
          <w:jc w:val="center"/>
        </w:trPr>
        <w:tc>
          <w:tcPr>
            <w:tcW w:w="2419" w:type="dxa"/>
            <w:shd w:val="clear" w:color="auto" w:fill="F2F2F2"/>
            <w:vAlign w:val="center"/>
          </w:tcPr>
          <w:p w:rsidR="00B76CF9" w:rsidRPr="002C4BD5" w:rsidP="006031E5" w14:paraId="6B5552BF" w14:textId="77777777">
            <w:pPr>
              <w:spacing w:before="60" w:line="240" w:lineRule="auto"/>
              <w:jc w:val="left"/>
              <w:rPr>
                <w:rFonts w:cs="Arial"/>
                <w:sz w:val="20"/>
                <w:szCs w:val="20"/>
                <w:lang w:bidi="ar-SA"/>
              </w:rPr>
            </w:pPr>
            <w:r w:rsidRPr="002C4BD5">
              <w:rPr>
                <w:rFonts w:cs="Arial"/>
                <w:noProof w:val="0"/>
                <w:sz w:val="20"/>
                <w:szCs w:val="20"/>
                <w:lang w:bidi="ar-SA"/>
              </w:rPr>
              <w:t>Varianta 1</w:t>
            </w:r>
          </w:p>
        </w:tc>
        <w:tc>
          <w:tcPr>
            <w:tcW w:w="3326" w:type="dxa"/>
            <w:shd w:val="clear" w:color="auto" w:fill="F2F2F2"/>
            <w:vAlign w:val="center"/>
          </w:tcPr>
          <w:p w:rsidR="00B76CF9" w:rsidRPr="002C4BD5" w:rsidP="006031E5" w14:paraId="43544ADE" w14:textId="77777777">
            <w:pPr>
              <w:spacing w:before="60" w:line="240" w:lineRule="auto"/>
              <w:jc w:val="left"/>
              <w:rPr>
                <w:rFonts w:cs="Arial"/>
                <w:noProof w:val="0"/>
                <w:sz w:val="20"/>
                <w:szCs w:val="20"/>
                <w:lang w:bidi="ar-SA"/>
              </w:rPr>
            </w:pPr>
            <w:r w:rsidRPr="002C4BD5">
              <w:rPr>
                <w:rFonts w:cs="Arial"/>
                <w:noProof w:val="0"/>
                <w:sz w:val="20"/>
                <w:szCs w:val="20"/>
                <w:lang w:bidi="ar-SA"/>
              </w:rPr>
              <w:t>Náklady KS spojené s plněním prokázání dostatečných záruk</w:t>
            </w:r>
          </w:p>
          <w:p w:rsidR="00B76CF9" w:rsidRPr="002C4BD5" w:rsidP="006031E5" w14:paraId="13C90CA1" w14:textId="6CAD6818">
            <w:pPr>
              <w:spacing w:before="60" w:line="240" w:lineRule="auto"/>
              <w:jc w:val="left"/>
              <w:rPr>
                <w:rFonts w:cs="Arial"/>
                <w:noProof w:val="0"/>
                <w:sz w:val="20"/>
                <w:szCs w:val="20"/>
                <w:lang w:bidi="ar-SA"/>
              </w:rPr>
            </w:pPr>
            <w:r>
              <w:rPr>
                <w:rFonts w:cs="Arial"/>
                <w:noProof w:val="0"/>
                <w:sz w:val="20"/>
                <w:szCs w:val="20"/>
                <w:lang w:bidi="ar-SA"/>
              </w:rPr>
              <w:t>Dodatečné</w:t>
            </w:r>
            <w:r w:rsidRPr="002C4BD5">
              <w:rPr>
                <w:rFonts w:cs="Arial"/>
                <w:noProof w:val="0"/>
                <w:sz w:val="20"/>
                <w:szCs w:val="20"/>
                <w:lang w:bidi="ar-SA"/>
              </w:rPr>
              <w:t xml:space="preserve"> administrativní náklady pro státní správu</w:t>
            </w:r>
          </w:p>
          <w:p w:rsidR="00B76CF9" w:rsidRPr="002C4BD5" w:rsidP="006031E5" w14:paraId="22F63822" w14:textId="77777777">
            <w:pPr>
              <w:spacing w:before="60" w:line="240" w:lineRule="auto"/>
              <w:jc w:val="left"/>
              <w:rPr>
                <w:rFonts w:cs="Arial"/>
                <w:noProof w:val="0"/>
                <w:sz w:val="20"/>
                <w:szCs w:val="20"/>
                <w:lang w:bidi="ar-SA"/>
              </w:rPr>
            </w:pPr>
            <w:r w:rsidRPr="002C4BD5">
              <w:rPr>
                <w:rFonts w:cs="Arial"/>
                <w:noProof w:val="0"/>
                <w:sz w:val="20"/>
                <w:szCs w:val="20"/>
                <w:lang w:bidi="ar-SA"/>
              </w:rPr>
              <w:t>Nejednoznačnost definice může představovat korupční riziko</w:t>
            </w:r>
          </w:p>
        </w:tc>
        <w:tc>
          <w:tcPr>
            <w:tcW w:w="3327" w:type="dxa"/>
            <w:shd w:val="clear" w:color="auto" w:fill="F2F2F2"/>
            <w:vAlign w:val="center"/>
          </w:tcPr>
          <w:p w:rsidR="00B76CF9" w:rsidRPr="002C4BD5" w:rsidP="006031E5" w14:paraId="5AD43A4E" w14:textId="77777777">
            <w:pPr>
              <w:spacing w:before="60" w:line="240" w:lineRule="auto"/>
              <w:jc w:val="left"/>
              <w:rPr>
                <w:rFonts w:cs="Arial"/>
                <w:noProof w:val="0"/>
                <w:sz w:val="20"/>
                <w:szCs w:val="20"/>
                <w:lang w:bidi="ar-SA"/>
              </w:rPr>
            </w:pPr>
            <w:r w:rsidRPr="002C4BD5">
              <w:rPr>
                <w:rFonts w:cs="Arial"/>
                <w:noProof w:val="0"/>
                <w:sz w:val="20"/>
                <w:szCs w:val="20"/>
                <w:lang w:bidi="ar-SA"/>
              </w:rPr>
              <w:t xml:space="preserve">Vyšší právní jistota, snížení podnikatelských rizik, transparentnější prostředí. </w:t>
            </w:r>
          </w:p>
        </w:tc>
      </w:tr>
      <w:tr w14:paraId="311BF649" w14:textId="77777777" w:rsidTr="006031E5">
        <w:tblPrEx>
          <w:tblW w:w="0" w:type="auto"/>
          <w:jc w:val="center"/>
          <w:tblLook w:val="04A0"/>
        </w:tblPrEx>
        <w:trPr>
          <w:trHeight w:val="314"/>
          <w:jc w:val="center"/>
        </w:trPr>
        <w:tc>
          <w:tcPr>
            <w:tcW w:w="2419" w:type="dxa"/>
            <w:shd w:val="clear" w:color="auto" w:fill="D9D9D9"/>
            <w:vAlign w:val="center"/>
          </w:tcPr>
          <w:p w:rsidR="00B76CF9" w:rsidRPr="002C4BD5" w:rsidP="006031E5" w14:paraId="5E884986" w14:textId="77777777">
            <w:pPr>
              <w:spacing w:before="60" w:line="240" w:lineRule="auto"/>
              <w:jc w:val="left"/>
              <w:rPr>
                <w:rFonts w:cs="Arial"/>
                <w:b/>
                <w:noProof w:val="0"/>
                <w:sz w:val="20"/>
                <w:szCs w:val="20"/>
                <w:u w:val="single"/>
                <w:lang w:bidi="ar-SA"/>
              </w:rPr>
            </w:pPr>
            <w:r w:rsidRPr="002C4BD5">
              <w:rPr>
                <w:rFonts w:cs="Arial"/>
                <w:b/>
                <w:noProof w:val="0"/>
                <w:sz w:val="20"/>
                <w:szCs w:val="20"/>
                <w:u w:val="single"/>
                <w:lang w:bidi="ar-SA"/>
              </w:rPr>
              <w:t>Varianta 2</w:t>
            </w:r>
          </w:p>
        </w:tc>
        <w:tc>
          <w:tcPr>
            <w:tcW w:w="3326" w:type="dxa"/>
            <w:shd w:val="clear" w:color="auto" w:fill="D9D9D9"/>
            <w:vAlign w:val="center"/>
          </w:tcPr>
          <w:p w:rsidR="00B76CF9" w:rsidRPr="002C4BD5" w:rsidP="006031E5" w14:paraId="2D798B92" w14:textId="0FAAFF7E">
            <w:pPr>
              <w:spacing w:before="60" w:line="240" w:lineRule="auto"/>
              <w:jc w:val="left"/>
              <w:rPr>
                <w:rFonts w:cs="Arial"/>
                <w:noProof w:val="0"/>
                <w:sz w:val="20"/>
                <w:szCs w:val="20"/>
                <w:lang w:bidi="ar-SA"/>
              </w:rPr>
            </w:pPr>
            <w:r w:rsidRPr="002C4BD5">
              <w:rPr>
                <w:rFonts w:cs="Arial"/>
                <w:noProof w:val="0"/>
                <w:sz w:val="20"/>
                <w:szCs w:val="20"/>
                <w:lang w:bidi="ar-SA"/>
              </w:rPr>
              <w:t>Náklady KS spojené s prokázání</w:t>
            </w:r>
            <w:r w:rsidR="00C234C2">
              <w:rPr>
                <w:rFonts w:cs="Arial"/>
                <w:noProof w:val="0"/>
                <w:sz w:val="20"/>
                <w:szCs w:val="20"/>
                <w:lang w:bidi="ar-SA"/>
              </w:rPr>
              <w:t>m</w:t>
            </w:r>
            <w:r w:rsidRPr="002C4BD5">
              <w:rPr>
                <w:rFonts w:cs="Arial"/>
                <w:noProof w:val="0"/>
                <w:sz w:val="20"/>
                <w:szCs w:val="20"/>
                <w:lang w:bidi="ar-SA"/>
              </w:rPr>
              <w:t xml:space="preserve"> dostatečných záruk</w:t>
            </w:r>
          </w:p>
          <w:p w:rsidR="00B76CF9" w:rsidRPr="002C4BD5" w:rsidP="006031E5" w14:paraId="2AEC3D7A" w14:textId="30CBD69D">
            <w:pPr>
              <w:spacing w:before="60" w:line="240" w:lineRule="auto"/>
              <w:jc w:val="left"/>
              <w:rPr>
                <w:rFonts w:cs="Arial"/>
                <w:noProof w:val="0"/>
                <w:sz w:val="20"/>
                <w:szCs w:val="20"/>
                <w:lang w:bidi="ar-SA"/>
              </w:rPr>
            </w:pPr>
            <w:r w:rsidRPr="002C4BD5">
              <w:rPr>
                <w:rFonts w:cs="Arial"/>
                <w:noProof w:val="0"/>
                <w:sz w:val="20"/>
                <w:szCs w:val="20"/>
                <w:lang w:bidi="ar-SA"/>
              </w:rPr>
              <w:t>Dodat</w:t>
            </w:r>
            <w:r w:rsidR="003C3612">
              <w:rPr>
                <w:rFonts w:cs="Arial"/>
                <w:noProof w:val="0"/>
                <w:sz w:val="20"/>
                <w:szCs w:val="20"/>
                <w:lang w:bidi="ar-SA"/>
              </w:rPr>
              <w:t>ečné</w:t>
            </w:r>
            <w:r w:rsidRPr="002C4BD5">
              <w:rPr>
                <w:rFonts w:cs="Arial"/>
                <w:noProof w:val="0"/>
                <w:sz w:val="20"/>
                <w:szCs w:val="20"/>
                <w:lang w:bidi="ar-SA"/>
              </w:rPr>
              <w:t xml:space="preserve"> administrativní náklady pro státní správu</w:t>
            </w:r>
            <w:r w:rsidR="00EB1502">
              <w:rPr>
                <w:rFonts w:cs="Arial"/>
                <w:noProof w:val="0"/>
                <w:sz w:val="20"/>
                <w:szCs w:val="20"/>
                <w:lang w:bidi="ar-SA"/>
              </w:rPr>
              <w:t>*</w:t>
            </w:r>
          </w:p>
        </w:tc>
        <w:tc>
          <w:tcPr>
            <w:tcW w:w="3327" w:type="dxa"/>
            <w:shd w:val="clear" w:color="auto" w:fill="D9D9D9"/>
            <w:vAlign w:val="center"/>
          </w:tcPr>
          <w:p w:rsidR="00B76CF9" w:rsidRPr="002C4BD5" w:rsidP="00C234C2" w14:paraId="43FF3834" w14:textId="2E1836FA">
            <w:pPr>
              <w:spacing w:before="60" w:line="240" w:lineRule="auto"/>
              <w:jc w:val="left"/>
              <w:rPr>
                <w:rFonts w:cs="Arial"/>
                <w:noProof w:val="0"/>
                <w:sz w:val="20"/>
                <w:szCs w:val="20"/>
                <w:lang w:bidi="ar-SA"/>
              </w:rPr>
            </w:pPr>
            <w:r w:rsidRPr="002C4BD5">
              <w:rPr>
                <w:rFonts w:cs="Arial"/>
                <w:noProof w:val="0"/>
                <w:sz w:val="20"/>
                <w:szCs w:val="20"/>
                <w:lang w:bidi="ar-SA"/>
              </w:rPr>
              <w:t>Vyšší právní jistota, snížení podnikatelských rizik, transparentnější prostředí.</w:t>
            </w:r>
          </w:p>
        </w:tc>
      </w:tr>
    </w:tbl>
    <w:p w:rsidR="00EB1502" w:rsidP="00EB1502" w14:paraId="3F02B2F2" w14:textId="78C1D26C">
      <w:pPr>
        <w:keepNext/>
        <w:spacing w:after="120"/>
        <w:rPr>
          <w:rFonts w:eastAsia="Calibri" w:cs="Arial"/>
          <w:noProof w:val="0"/>
          <w:sz w:val="20"/>
          <w:szCs w:val="20"/>
          <w:lang w:bidi="ar-SA"/>
        </w:rPr>
      </w:pPr>
      <w:bookmarkStart w:id="45" w:name="_Toc441759892"/>
      <w:r w:rsidRPr="00EB1502">
        <w:rPr>
          <w:rFonts w:eastAsia="Calibri" w:cs="Arial"/>
          <w:noProof w:val="0"/>
          <w:sz w:val="20"/>
          <w:szCs w:val="20"/>
          <w:lang w:bidi="ar-SA"/>
        </w:rPr>
        <w:t xml:space="preserve">* Dodatečné administrativní náklady pro MŽP na prokázání dostatečných finančních záruk jsou zahrnuty v rámci </w:t>
      </w:r>
      <w:r>
        <w:rPr>
          <w:rFonts w:eastAsia="Calibri" w:cs="Arial"/>
          <w:noProof w:val="0"/>
          <w:sz w:val="20"/>
          <w:szCs w:val="20"/>
          <w:lang w:bidi="ar-SA"/>
        </w:rPr>
        <w:t>vyčíslené administrativní zátěže MŽP</w:t>
      </w:r>
      <w:r w:rsidRPr="00EB1502">
        <w:rPr>
          <w:rFonts w:eastAsia="Calibri" w:cs="Arial"/>
          <w:noProof w:val="0"/>
          <w:sz w:val="20"/>
          <w:szCs w:val="20"/>
          <w:lang w:bidi="ar-SA"/>
        </w:rPr>
        <w:t xml:space="preserve"> na vydání oprávnění k provozování kolek</w:t>
      </w:r>
      <w:r w:rsidR="000B0B14">
        <w:rPr>
          <w:rFonts w:eastAsia="Calibri" w:cs="Arial"/>
          <w:noProof w:val="0"/>
          <w:sz w:val="20"/>
          <w:szCs w:val="20"/>
          <w:lang w:bidi="ar-SA"/>
        </w:rPr>
        <w:t>tivních systémů (viz bod 4</w:t>
      </w:r>
      <w:r w:rsidRPr="00EB1502">
        <w:rPr>
          <w:rFonts w:eastAsia="Calibri" w:cs="Arial"/>
          <w:noProof w:val="0"/>
          <w:sz w:val="20"/>
          <w:szCs w:val="20"/>
          <w:lang w:bidi="ar-SA"/>
        </w:rPr>
        <w:t>)</w:t>
      </w:r>
    </w:p>
    <w:p w:rsidR="00B760EA" w:rsidP="00B760EA" w14:paraId="6A6CC7FB" w14:textId="77777777">
      <w:pPr>
        <w:rPr>
          <w:rFonts w:eastAsia="Calibri"/>
          <w:lang w:bidi="ar-SA"/>
        </w:rPr>
      </w:pPr>
    </w:p>
    <w:p w:rsidR="00B76CF9" w:rsidRPr="00ED38E9" w:rsidP="00B76CF9" w14:paraId="18C42EBB" w14:textId="77777777">
      <w:pPr>
        <w:pStyle w:val="Heading2"/>
        <w:rPr>
          <w:rFonts w:eastAsia="Calibri"/>
          <w:lang w:bidi="ar-SA"/>
        </w:rPr>
      </w:pPr>
      <w:r>
        <w:rPr>
          <w:rFonts w:eastAsia="Calibri"/>
          <w:lang w:bidi="ar-SA"/>
        </w:rPr>
        <w:t>N</w:t>
      </w:r>
      <w:r w:rsidRPr="00ED38E9">
        <w:rPr>
          <w:rFonts w:eastAsia="Calibri"/>
          <w:lang w:bidi="ar-SA"/>
        </w:rPr>
        <w:t>ávrh řešení</w:t>
      </w:r>
      <w:bookmarkEnd w:id="45"/>
    </w:p>
    <w:p w:rsidR="00B76CF9" w:rsidRPr="00ED38E9" w:rsidP="00B76CF9" w14:paraId="3941781A" w14:textId="40641743">
      <w:pPr>
        <w:spacing w:after="120"/>
        <w:rPr>
          <w:rFonts w:eastAsia="Calibri" w:cs="Arial"/>
          <w:noProof w:val="0"/>
          <w:szCs w:val="22"/>
          <w:lang w:bidi="ar-SA"/>
        </w:rPr>
      </w:pPr>
      <w:r w:rsidRPr="00ED38E9">
        <w:rPr>
          <w:rFonts w:eastAsia="Calibri" w:cs="Arial"/>
          <w:noProof w:val="0"/>
          <w:szCs w:val="22"/>
          <w:lang w:bidi="ar-SA"/>
        </w:rPr>
        <w:t xml:space="preserve">Ponechání současného stavu je při zavedení povinnosti </w:t>
      </w:r>
      <w:r w:rsidR="00352D5E">
        <w:rPr>
          <w:rFonts w:eastAsia="Calibri" w:cs="Arial"/>
          <w:noProof w:val="0"/>
          <w:szCs w:val="22"/>
          <w:lang w:bidi="ar-SA"/>
        </w:rPr>
        <w:t>oprávnění k činnosti</w:t>
      </w:r>
      <w:r w:rsidRPr="00ED38E9">
        <w:rPr>
          <w:rFonts w:eastAsia="Calibri" w:cs="Arial"/>
          <w:noProof w:val="0"/>
          <w:szCs w:val="22"/>
          <w:lang w:bidi="ar-SA"/>
        </w:rPr>
        <w:t xml:space="preserve"> pro KS neudržitelné, je totiž velmi obtížné nést zodpovědnost za insolvenci KS.</w:t>
      </w:r>
    </w:p>
    <w:p w:rsidR="00B76CF9" w:rsidRPr="00ED38E9" w:rsidP="00B76CF9" w14:paraId="1FA951D1" w14:textId="5E7F5FBA">
      <w:pPr>
        <w:spacing w:after="120"/>
        <w:rPr>
          <w:rFonts w:eastAsia="Calibri" w:cs="Arial"/>
          <w:noProof w:val="0"/>
          <w:szCs w:val="22"/>
          <w:lang w:bidi="ar-SA"/>
        </w:rPr>
      </w:pPr>
      <w:r w:rsidRPr="00ED38E9">
        <w:rPr>
          <w:rFonts w:eastAsia="Calibri" w:cs="Arial"/>
          <w:noProof w:val="0"/>
          <w:szCs w:val="22"/>
          <w:lang w:bidi="ar-SA"/>
        </w:rPr>
        <w:t xml:space="preserve">Obě </w:t>
      </w:r>
      <w:r w:rsidR="00C234C2">
        <w:rPr>
          <w:rFonts w:eastAsia="Calibri" w:cs="Arial"/>
          <w:noProof w:val="0"/>
          <w:szCs w:val="22"/>
          <w:lang w:bidi="ar-SA"/>
        </w:rPr>
        <w:t xml:space="preserve">navržené </w:t>
      </w:r>
      <w:r w:rsidRPr="00ED38E9">
        <w:rPr>
          <w:rFonts w:eastAsia="Calibri" w:cs="Arial"/>
          <w:noProof w:val="0"/>
          <w:szCs w:val="22"/>
          <w:lang w:bidi="ar-SA"/>
        </w:rPr>
        <w:t>varianty (</w:t>
      </w:r>
      <w:r w:rsidR="00C234C2">
        <w:rPr>
          <w:rFonts w:eastAsia="Calibri" w:cs="Arial"/>
          <w:noProof w:val="0"/>
          <w:szCs w:val="22"/>
          <w:lang w:bidi="ar-SA"/>
        </w:rPr>
        <w:t>V</w:t>
      </w:r>
      <w:r w:rsidRPr="00ED38E9">
        <w:rPr>
          <w:rFonts w:eastAsia="Calibri" w:cs="Arial"/>
          <w:noProof w:val="0"/>
          <w:szCs w:val="22"/>
          <w:lang w:bidi="ar-SA"/>
        </w:rPr>
        <w:t>arianta 1 a 2) zavádějí požadavek doložení existence finanční záruky, čímž se snižuje riziko nezajištění řádného a dlouhodobého financování projektu zajišťování kolektivního plnění povinností. Díky regulaci trhu pak obě varianty vedou ke</w:t>
      </w:r>
      <w:r w:rsidR="00EB0BEF">
        <w:rPr>
          <w:rFonts w:eastAsia="Calibri" w:cs="Arial"/>
          <w:noProof w:val="0"/>
          <w:szCs w:val="22"/>
          <w:lang w:bidi="ar-SA"/>
        </w:rPr>
        <w:t> </w:t>
      </w:r>
      <w:r w:rsidRPr="00ED38E9">
        <w:rPr>
          <w:rFonts w:eastAsia="Calibri" w:cs="Arial"/>
          <w:noProof w:val="0"/>
          <w:szCs w:val="22"/>
          <w:lang w:bidi="ar-SA"/>
        </w:rPr>
        <w:t xml:space="preserve">snižování rizika insolvence KS. </w:t>
      </w:r>
    </w:p>
    <w:p w:rsidR="00B76CF9" w:rsidRPr="00ED38E9" w:rsidP="00B76CF9" w14:paraId="3DB486A2" w14:textId="24900B22">
      <w:pPr>
        <w:spacing w:after="120"/>
        <w:rPr>
          <w:rFonts w:eastAsia="Calibri" w:cs="Arial"/>
          <w:noProof w:val="0"/>
          <w:szCs w:val="22"/>
          <w:lang w:bidi="ar-SA"/>
        </w:rPr>
      </w:pPr>
      <w:r w:rsidRPr="00ED38E9">
        <w:rPr>
          <w:rFonts w:eastAsia="Calibri" w:cs="Arial"/>
          <w:noProof w:val="0"/>
          <w:szCs w:val="22"/>
          <w:lang w:bidi="ar-SA"/>
        </w:rPr>
        <w:t xml:space="preserve">Z hlediska státní správy se mohou benefity z vyšší volnosti při rozhodování o tom, který KS skutečně splňuje podmínku záruky dlouhodobé udržitelnosti KS na trhu, jevit výrazně vyšší než při jasně daných kritériích, ovšem náklady budou u obou variant úměrně vysoké. </w:t>
      </w:r>
      <w:r w:rsidR="00C234C2">
        <w:rPr>
          <w:rFonts w:eastAsia="Calibri" w:cs="Arial"/>
          <w:noProof w:val="0"/>
          <w:szCs w:val="22"/>
          <w:lang w:bidi="ar-SA"/>
        </w:rPr>
        <w:t>S</w:t>
      </w:r>
      <w:r w:rsidR="00EB0BEF">
        <w:rPr>
          <w:rFonts w:eastAsia="Calibri" w:cs="Arial"/>
          <w:noProof w:val="0"/>
          <w:szCs w:val="22"/>
          <w:lang w:bidi="ar-SA"/>
        </w:rPr>
        <w:t> </w:t>
      </w:r>
      <w:r w:rsidR="00C234C2">
        <w:rPr>
          <w:rFonts w:eastAsia="Calibri" w:cs="Arial"/>
          <w:noProof w:val="0"/>
          <w:szCs w:val="22"/>
          <w:lang w:bidi="ar-SA"/>
        </w:rPr>
        <w:t>přihlédnutím</w:t>
      </w:r>
      <w:r w:rsidRPr="00ED38E9">
        <w:rPr>
          <w:rFonts w:eastAsia="Calibri" w:cs="Arial"/>
          <w:noProof w:val="0"/>
          <w:szCs w:val="22"/>
          <w:lang w:bidi="ar-SA"/>
        </w:rPr>
        <w:t xml:space="preserve"> k vyšší</w:t>
      </w:r>
      <w:r>
        <w:rPr>
          <w:rFonts w:eastAsia="Calibri" w:cs="Arial"/>
          <w:noProof w:val="0"/>
          <w:szCs w:val="22"/>
          <w:lang w:bidi="ar-SA"/>
        </w:rPr>
        <w:t>mu</w:t>
      </w:r>
      <w:r w:rsidRPr="00ED38E9">
        <w:rPr>
          <w:rFonts w:eastAsia="Calibri" w:cs="Arial"/>
          <w:noProof w:val="0"/>
          <w:szCs w:val="22"/>
          <w:lang w:bidi="ar-SA"/>
        </w:rPr>
        <w:t xml:space="preserve"> korup</w:t>
      </w:r>
      <w:r>
        <w:rPr>
          <w:rFonts w:eastAsia="Calibri" w:cs="Arial"/>
          <w:noProof w:val="0"/>
          <w:szCs w:val="22"/>
          <w:lang w:bidi="ar-SA"/>
        </w:rPr>
        <w:t>čnímu</w:t>
      </w:r>
      <w:r w:rsidRPr="00ED38E9">
        <w:rPr>
          <w:rFonts w:eastAsia="Calibri" w:cs="Arial"/>
          <w:noProof w:val="0"/>
          <w:szCs w:val="22"/>
          <w:lang w:bidi="ar-SA"/>
        </w:rPr>
        <w:t xml:space="preserve"> riziku v případě Varianty 1, </w:t>
      </w:r>
      <w:r w:rsidR="00C234C2">
        <w:rPr>
          <w:rFonts w:eastAsia="Calibri" w:cs="Arial"/>
          <w:noProof w:val="0"/>
          <w:szCs w:val="22"/>
          <w:lang w:bidi="ar-SA"/>
        </w:rPr>
        <w:t xml:space="preserve">doporučujeme </w:t>
      </w:r>
      <w:r w:rsidRPr="00ED38E9">
        <w:rPr>
          <w:rFonts w:eastAsia="Calibri" w:cs="Arial"/>
          <w:b/>
          <w:noProof w:val="0"/>
          <w:szCs w:val="22"/>
          <w:lang w:bidi="ar-SA"/>
        </w:rPr>
        <w:t>Variant</w:t>
      </w:r>
      <w:r w:rsidR="00C234C2">
        <w:rPr>
          <w:rFonts w:eastAsia="Calibri" w:cs="Arial"/>
          <w:b/>
          <w:noProof w:val="0"/>
          <w:szCs w:val="22"/>
          <w:lang w:bidi="ar-SA"/>
        </w:rPr>
        <w:t>u</w:t>
      </w:r>
      <w:r w:rsidRPr="00ED38E9">
        <w:rPr>
          <w:rFonts w:eastAsia="Calibri" w:cs="Arial"/>
          <w:b/>
          <w:noProof w:val="0"/>
          <w:szCs w:val="22"/>
          <w:lang w:bidi="ar-SA"/>
        </w:rPr>
        <w:t xml:space="preserve"> 2</w:t>
      </w:r>
      <w:r w:rsidR="00C234C2">
        <w:rPr>
          <w:rFonts w:eastAsia="Calibri" w:cs="Arial"/>
          <w:noProof w:val="0"/>
          <w:szCs w:val="22"/>
          <w:lang w:bidi="ar-SA"/>
        </w:rPr>
        <w:t xml:space="preserve">, neboť </w:t>
      </w:r>
      <w:r w:rsidRPr="00ED38E9">
        <w:rPr>
          <w:rFonts w:eastAsia="Calibri" w:cs="Arial"/>
          <w:noProof w:val="0"/>
          <w:szCs w:val="22"/>
          <w:lang w:bidi="ar-SA"/>
        </w:rPr>
        <w:t>navíc přináší vyšší právní jistoty a jednoznačnost výkladu.</w:t>
      </w:r>
    </w:p>
    <w:p w:rsidR="00B76CF9" w:rsidP="00221615" w14:paraId="519DC82C" w14:textId="77777777">
      <w:pPr>
        <w:spacing w:after="120"/>
        <w:rPr>
          <w:rFonts w:cs="Arial"/>
        </w:rPr>
      </w:pPr>
    </w:p>
    <w:p w:rsidR="00DF0ADE" w:rsidRPr="00ED38E9" w:rsidP="00DF0ADE" w14:paraId="777FEE1C" w14:textId="77777777">
      <w:pPr>
        <w:pStyle w:val="Heading1"/>
      </w:pPr>
      <w:bookmarkStart w:id="46" w:name="_Toc438037326"/>
      <w:bookmarkStart w:id="47" w:name="_Toc438037327"/>
      <w:bookmarkStart w:id="48" w:name="_Toc438037331"/>
      <w:bookmarkStart w:id="49" w:name="_Toc438037335"/>
      <w:bookmarkStart w:id="50" w:name="_Toc438037336"/>
      <w:bookmarkStart w:id="51" w:name="_Toc438037343"/>
      <w:bookmarkStart w:id="52" w:name="_Toc438037345"/>
      <w:bookmarkStart w:id="53" w:name="_Toc438037346"/>
      <w:bookmarkStart w:id="54" w:name="_Toc438037347"/>
      <w:bookmarkStart w:id="55" w:name="_Toc438037349"/>
      <w:bookmarkStart w:id="56" w:name="_Toc438037352"/>
      <w:bookmarkStart w:id="57" w:name="_Toc438037357"/>
      <w:bookmarkStart w:id="58" w:name="_Toc438037359"/>
      <w:bookmarkStart w:id="59" w:name="_Toc438037361"/>
      <w:bookmarkStart w:id="60" w:name="_Toc438037363"/>
      <w:bookmarkStart w:id="61" w:name="_Toc438037366"/>
      <w:bookmarkStart w:id="62" w:name="_Toc438037367"/>
      <w:bookmarkStart w:id="63" w:name="_Toc438037368"/>
      <w:bookmarkStart w:id="64" w:name="_Toc438037369"/>
      <w:bookmarkStart w:id="65" w:name="_Toc438037370"/>
      <w:bookmarkStart w:id="66" w:name="_Toc438037372"/>
      <w:bookmarkStart w:id="67" w:name="_Toc438037373"/>
      <w:bookmarkStart w:id="68" w:name="_Toc438037374"/>
      <w:bookmarkStart w:id="69" w:name="_Toc438037375"/>
      <w:bookmarkStart w:id="70" w:name="_Toc438037377"/>
      <w:bookmarkStart w:id="71" w:name="_Toc438037379"/>
      <w:bookmarkStart w:id="72" w:name="_Toc438037381"/>
      <w:bookmarkStart w:id="73" w:name="_Toc438037382"/>
      <w:bookmarkStart w:id="74" w:name="_Toc438037383"/>
      <w:bookmarkStart w:id="75" w:name="_Toc438037391"/>
      <w:bookmarkStart w:id="76" w:name="_Toc438037392"/>
      <w:bookmarkStart w:id="77" w:name="_Toc438037394"/>
      <w:bookmarkStart w:id="78" w:name="_Toc438037397"/>
      <w:bookmarkStart w:id="79" w:name="_Toc438037398"/>
      <w:bookmarkStart w:id="80" w:name="_Toc438037399"/>
      <w:bookmarkStart w:id="81" w:name="_Toc438037401"/>
      <w:bookmarkStart w:id="82" w:name="_Toc438037403"/>
      <w:bookmarkStart w:id="83" w:name="_Toc438037404"/>
      <w:bookmarkStart w:id="84" w:name="_Toc438037406"/>
      <w:bookmarkStart w:id="85" w:name="_Toc438037407"/>
      <w:bookmarkStart w:id="86" w:name="_Toc438037408"/>
      <w:bookmarkStart w:id="87" w:name="_Toc438037410"/>
      <w:bookmarkStart w:id="88" w:name="_Toc438037412"/>
      <w:bookmarkStart w:id="89" w:name="_Toc438037415"/>
      <w:bookmarkStart w:id="90" w:name="_Toc438037416"/>
      <w:bookmarkStart w:id="91" w:name="_Toc438037417"/>
      <w:bookmarkStart w:id="92" w:name="_Toc438037419"/>
      <w:bookmarkStart w:id="93" w:name="_Toc438037420"/>
      <w:bookmarkStart w:id="94" w:name="_Toc438037422"/>
      <w:bookmarkStart w:id="95" w:name="_Toc438037424"/>
      <w:bookmarkStart w:id="96" w:name="_Toc438037425"/>
      <w:bookmarkStart w:id="97" w:name="_Toc438037427"/>
      <w:bookmarkStart w:id="98" w:name="_Toc438037430"/>
      <w:bookmarkStart w:id="99" w:name="_Toc438037431"/>
      <w:bookmarkStart w:id="100" w:name="_Toc441759920"/>
      <w:bookmarkStart w:id="101" w:name="_Toc14942082"/>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Start w:id="102" w:name="_Toc256000008"/>
      <w:r>
        <w:t xml:space="preserve">Zapojení </w:t>
      </w:r>
      <w:r w:rsidRPr="00ED38E9">
        <w:t>Ministerstv</w:t>
      </w:r>
      <w:r>
        <w:t>a</w:t>
      </w:r>
      <w:r w:rsidRPr="00ED38E9">
        <w:t xml:space="preserve"> průmyslu a obchodu </w:t>
      </w:r>
      <w:r>
        <w:t>do řízení ve věcech oprávnění k provozování KS</w:t>
      </w:r>
      <w:bookmarkEnd w:id="100"/>
      <w:r>
        <w:t xml:space="preserve"> (§ 39)</w:t>
      </w:r>
      <w:bookmarkEnd w:id="102"/>
      <w:bookmarkEnd w:id="101"/>
    </w:p>
    <w:p w:rsidR="00DF0ADE" w:rsidRPr="00ED38E9" w:rsidP="00DF0ADE" w14:paraId="01DEAA2D" w14:textId="77777777">
      <w:pPr>
        <w:pStyle w:val="Heading2"/>
      </w:pPr>
      <w:bookmarkStart w:id="103" w:name="_Toc441759921"/>
      <w:r w:rsidRPr="00ED38E9">
        <w:t>Důvod předložení a cíle</w:t>
      </w:r>
      <w:bookmarkEnd w:id="103"/>
    </w:p>
    <w:p w:rsidR="00DF0ADE" w:rsidRPr="00ED38E9" w:rsidP="00BF16B7" w14:paraId="56333984" w14:textId="77777777">
      <w:pPr>
        <w:pStyle w:val="Heading3"/>
      </w:pPr>
      <w:r w:rsidRPr="00ED38E9">
        <w:t>Definice problému</w:t>
      </w:r>
    </w:p>
    <w:p w:rsidR="00DF0ADE" w:rsidP="00DF0ADE" w14:paraId="06326D80" w14:textId="12C20CD3">
      <w:pPr>
        <w:rPr>
          <w:rFonts w:cs="Arial"/>
        </w:rPr>
      </w:pPr>
      <w:r w:rsidRPr="00ED38E9">
        <w:rPr>
          <w:rFonts w:cs="Arial"/>
        </w:rPr>
        <w:t>Problematika vybraných výrobků a jejich životního cyklu v návaznosti na surovinovou politiku je zčásti v gesci Ministerstva průmyslu a obchodu</w:t>
      </w:r>
      <w:r w:rsidR="00C234C2">
        <w:rPr>
          <w:rFonts w:cs="Arial"/>
        </w:rPr>
        <w:t xml:space="preserve"> (MPO)</w:t>
      </w:r>
      <w:r w:rsidRPr="00ED38E9">
        <w:rPr>
          <w:rFonts w:cs="Arial"/>
        </w:rPr>
        <w:t xml:space="preserve">. To je také důvodem k zapojení </w:t>
      </w:r>
      <w:r w:rsidR="00C234C2">
        <w:rPr>
          <w:rFonts w:cs="Arial"/>
        </w:rPr>
        <w:t>MPO</w:t>
      </w:r>
      <w:r w:rsidRPr="00ED38E9">
        <w:rPr>
          <w:rFonts w:cs="Arial"/>
        </w:rPr>
        <w:t xml:space="preserve"> do vydávání oprávnění k provozování </w:t>
      </w:r>
      <w:r>
        <w:rPr>
          <w:rFonts w:cs="Arial"/>
        </w:rPr>
        <w:t>KS</w:t>
      </w:r>
      <w:r w:rsidRPr="00ED38E9">
        <w:rPr>
          <w:rFonts w:cs="Arial"/>
        </w:rPr>
        <w:t>.</w:t>
      </w:r>
    </w:p>
    <w:p w:rsidR="00DF0ADE" w:rsidRPr="00ED38E9" w:rsidP="00BF16B7" w14:paraId="579F8B3C" w14:textId="77777777">
      <w:pPr>
        <w:pStyle w:val="Heading3"/>
      </w:pPr>
      <w:r w:rsidRPr="00ED38E9">
        <w:t>Popis existujícího právního stavu v dané oblasti</w:t>
      </w:r>
    </w:p>
    <w:p w:rsidR="00DF0ADE" w:rsidP="00DF0ADE" w14:paraId="1EAD5E6E" w14:textId="026638F2">
      <w:pPr>
        <w:rPr>
          <w:rFonts w:cs="Arial"/>
        </w:rPr>
      </w:pPr>
      <w:r>
        <w:rPr>
          <w:rFonts w:cs="Arial"/>
        </w:rPr>
        <w:t>MPO</w:t>
      </w:r>
      <w:r w:rsidRPr="00ED38E9">
        <w:rPr>
          <w:rFonts w:cs="Arial"/>
        </w:rPr>
        <w:t xml:space="preserve"> není zapojeno do vydávání rozhodnutí k provozování </w:t>
      </w:r>
      <w:r>
        <w:rPr>
          <w:rFonts w:cs="Arial"/>
        </w:rPr>
        <w:t>KS</w:t>
      </w:r>
      <w:r w:rsidRPr="00ED38E9">
        <w:rPr>
          <w:rFonts w:cs="Arial"/>
        </w:rPr>
        <w:t>.</w:t>
      </w:r>
    </w:p>
    <w:p w:rsidR="00DF0ADE" w:rsidRPr="00ED38E9" w:rsidP="00BF16B7" w14:paraId="7C0C6F6F" w14:textId="77777777">
      <w:pPr>
        <w:pStyle w:val="Heading3"/>
      </w:pPr>
      <w:r w:rsidRPr="00ED38E9">
        <w:t>Identifikace dotčených subjektů</w:t>
      </w:r>
    </w:p>
    <w:p w:rsidR="00DF0ADE" w:rsidRPr="00ED38E9" w:rsidP="003C445B" w14:paraId="041BEE7D" w14:textId="77777777">
      <w:pPr>
        <w:pStyle w:val="ListParagraph"/>
        <w:numPr>
          <w:ilvl w:val="0"/>
          <w:numId w:val="7"/>
        </w:numPr>
        <w:ind w:left="714" w:hanging="357"/>
        <w:contextualSpacing w:val="0"/>
        <w:rPr>
          <w:rFonts w:cs="Arial"/>
          <w:noProof w:val="0"/>
        </w:rPr>
      </w:pPr>
      <w:r w:rsidRPr="00ED38E9">
        <w:rPr>
          <w:rFonts w:cs="Arial"/>
          <w:noProof w:val="0"/>
        </w:rPr>
        <w:t>Ministerstvo životního prostředí (MŽP),</w:t>
      </w:r>
    </w:p>
    <w:p w:rsidR="00DF0ADE" w:rsidP="003C445B" w14:paraId="3E98D9F2" w14:textId="77777777">
      <w:pPr>
        <w:pStyle w:val="ListParagraph"/>
        <w:numPr>
          <w:ilvl w:val="0"/>
          <w:numId w:val="7"/>
        </w:numPr>
        <w:ind w:left="714" w:hanging="357"/>
        <w:contextualSpacing w:val="0"/>
        <w:rPr>
          <w:rFonts w:cs="Arial"/>
          <w:noProof w:val="0"/>
        </w:rPr>
      </w:pPr>
      <w:r w:rsidRPr="00ED38E9">
        <w:rPr>
          <w:rFonts w:cs="Arial"/>
          <w:noProof w:val="0"/>
        </w:rPr>
        <w:t>Ministerstvo průmyslu a obchodu (MPO).</w:t>
      </w:r>
    </w:p>
    <w:p w:rsidR="00DF0ADE" w:rsidRPr="00ED38E9" w:rsidP="00BF16B7" w14:paraId="08EDFD06" w14:textId="77777777">
      <w:pPr>
        <w:pStyle w:val="Heading3"/>
      </w:pPr>
      <w:r w:rsidRPr="00ED38E9">
        <w:t>Popis cílového stavu</w:t>
      </w:r>
    </w:p>
    <w:p w:rsidR="00DF0ADE" w:rsidP="00DF0ADE" w14:paraId="2D107612" w14:textId="77777777">
      <w:pPr>
        <w:rPr>
          <w:rFonts w:cs="Arial"/>
        </w:rPr>
      </w:pPr>
      <w:r w:rsidRPr="00ED38E9">
        <w:rPr>
          <w:rFonts w:cs="Arial"/>
        </w:rPr>
        <w:t xml:space="preserve">Cílem je, aby do vydávání rozhodnutí, týkajících se oprávnění k provozování </w:t>
      </w:r>
      <w:r>
        <w:rPr>
          <w:rFonts w:cs="Arial"/>
        </w:rPr>
        <w:t>KS</w:t>
      </w:r>
      <w:r w:rsidRPr="00ED38E9">
        <w:rPr>
          <w:rFonts w:cs="Arial"/>
        </w:rPr>
        <w:t>, bylo zapojeno M</w:t>
      </w:r>
      <w:r>
        <w:rPr>
          <w:rFonts w:cs="Arial"/>
        </w:rPr>
        <w:t>PO</w:t>
      </w:r>
      <w:r w:rsidRPr="00ED38E9">
        <w:rPr>
          <w:rFonts w:cs="Arial"/>
        </w:rPr>
        <w:t>.</w:t>
      </w:r>
    </w:p>
    <w:p w:rsidR="00DF0ADE" w:rsidRPr="00ED38E9" w:rsidP="00BF16B7" w14:paraId="6B8E4E6D" w14:textId="77777777">
      <w:pPr>
        <w:pStyle w:val="Heading3"/>
      </w:pPr>
      <w:r w:rsidRPr="00ED38E9">
        <w:t>Zhodnocení rizika</w:t>
      </w:r>
    </w:p>
    <w:p w:rsidR="00DF0ADE" w:rsidP="00DF0ADE" w14:paraId="4D63AD26" w14:textId="77777777">
      <w:pPr>
        <w:rPr>
          <w:rFonts w:cs="Arial"/>
        </w:rPr>
      </w:pPr>
      <w:r w:rsidRPr="00ED38E9">
        <w:rPr>
          <w:rFonts w:cs="Arial"/>
        </w:rPr>
        <w:t>Rizikem může být případné opomenutí zásadních nedostatků v podání, které může být sníženo kontrolou orgánem, v jehož gesci je dohled nad právními (podnikatelskými) subjekty.</w:t>
      </w:r>
    </w:p>
    <w:p w:rsidR="00EB0BEF" w:rsidP="00DF0ADE" w14:paraId="091B7433" w14:textId="77777777">
      <w:pPr>
        <w:rPr>
          <w:rFonts w:cs="Arial"/>
        </w:rPr>
      </w:pPr>
    </w:p>
    <w:p w:rsidR="005D388A" w:rsidRPr="00ED38E9" w:rsidP="005D388A" w14:paraId="0B991658" w14:textId="4DCB20DB">
      <w:pPr>
        <w:pStyle w:val="Heading2"/>
      </w:pPr>
      <w:r>
        <w:t>Návrh variant řešení</w:t>
      </w:r>
    </w:p>
    <w:p w:rsidR="00DF0ADE" w:rsidRPr="00ED38E9" w:rsidP="00BF16B7" w14:paraId="16F2CC26" w14:textId="77777777">
      <w:pPr>
        <w:pStyle w:val="Heading3"/>
      </w:pPr>
      <w:r w:rsidRPr="00ED38E9">
        <w:t>Varianta 0</w:t>
      </w:r>
    </w:p>
    <w:p w:rsidR="00DF0ADE" w:rsidRPr="00ED38E9" w:rsidP="00DF0ADE" w14:paraId="7B8E80E7" w14:textId="77777777">
      <w:pPr>
        <w:rPr>
          <w:rFonts w:cs="Arial"/>
        </w:rPr>
      </w:pPr>
      <w:r w:rsidRPr="00ED38E9">
        <w:rPr>
          <w:rFonts w:cs="Arial"/>
        </w:rPr>
        <w:t xml:space="preserve">Ponechání současného stavu, kdy </w:t>
      </w:r>
      <w:r>
        <w:rPr>
          <w:rFonts w:cs="Arial"/>
        </w:rPr>
        <w:t>MŽP</w:t>
      </w:r>
      <w:r w:rsidRPr="00ED38E9">
        <w:rPr>
          <w:rFonts w:cs="Arial"/>
        </w:rPr>
        <w:t xml:space="preserve"> nežádá M</w:t>
      </w:r>
      <w:r>
        <w:rPr>
          <w:rFonts w:cs="Arial"/>
        </w:rPr>
        <w:t>PO</w:t>
      </w:r>
      <w:r w:rsidRPr="00ED38E9">
        <w:rPr>
          <w:rFonts w:cs="Arial"/>
        </w:rPr>
        <w:t xml:space="preserve"> o </w:t>
      </w:r>
      <w:r>
        <w:rPr>
          <w:rFonts w:cs="Arial"/>
        </w:rPr>
        <w:t>vyjádření</w:t>
      </w:r>
      <w:r w:rsidRPr="00ED38E9">
        <w:rPr>
          <w:rFonts w:cs="Arial"/>
        </w:rPr>
        <w:t xml:space="preserve"> k žádostem o vydání oprávnění k provozování </w:t>
      </w:r>
      <w:r>
        <w:rPr>
          <w:rFonts w:cs="Arial"/>
        </w:rPr>
        <w:t>KS</w:t>
      </w:r>
      <w:r w:rsidRPr="00ED38E9">
        <w:rPr>
          <w:rFonts w:cs="Arial"/>
        </w:rPr>
        <w:t>.</w:t>
      </w:r>
    </w:p>
    <w:p w:rsidR="00DF0ADE" w:rsidRPr="00ED38E9" w:rsidP="00BF16B7" w14:paraId="24F4197A" w14:textId="77777777">
      <w:pPr>
        <w:pStyle w:val="Heading3"/>
      </w:pPr>
      <w:r w:rsidRPr="00ED38E9">
        <w:t>Varianta 1</w:t>
      </w:r>
    </w:p>
    <w:p w:rsidR="00DF0ADE" w:rsidP="00DF0ADE" w14:paraId="43822507" w14:textId="40F19339">
      <w:pPr>
        <w:rPr>
          <w:rFonts w:cs="Arial"/>
        </w:rPr>
      </w:pPr>
      <w:r w:rsidRPr="00ED38E9">
        <w:rPr>
          <w:rFonts w:cs="Arial"/>
        </w:rPr>
        <w:t xml:space="preserve">Zavedení projednávání žádostí o vydání rozhodnutí o oprávění k provozování </w:t>
      </w:r>
      <w:r>
        <w:rPr>
          <w:rFonts w:cs="Arial"/>
        </w:rPr>
        <w:t>KS</w:t>
      </w:r>
      <w:r w:rsidRPr="00ED38E9">
        <w:rPr>
          <w:rFonts w:cs="Arial"/>
        </w:rPr>
        <w:t>, žádostí o</w:t>
      </w:r>
      <w:r>
        <w:rPr>
          <w:rFonts w:cs="Arial"/>
        </w:rPr>
        <w:t> </w:t>
      </w:r>
      <w:r w:rsidRPr="00ED38E9">
        <w:rPr>
          <w:rFonts w:cs="Arial"/>
        </w:rPr>
        <w:t xml:space="preserve">prodloužení platnosti rozhodnutí o autorizaci, žádostí o předchozí souhlas s fúzí nebo s rozdělením provozovatele </w:t>
      </w:r>
      <w:r>
        <w:rPr>
          <w:rFonts w:cs="Arial"/>
        </w:rPr>
        <w:t>KS</w:t>
      </w:r>
      <w:r w:rsidRPr="00ED38E9">
        <w:rPr>
          <w:rFonts w:cs="Arial"/>
        </w:rPr>
        <w:t>, změn rozhodnutí o autorizaci a zrušení rozhodnutí o</w:t>
      </w:r>
      <w:r>
        <w:rPr>
          <w:rFonts w:cs="Arial"/>
        </w:rPr>
        <w:t> </w:t>
      </w:r>
      <w:r w:rsidRPr="00ED38E9">
        <w:rPr>
          <w:rFonts w:cs="Arial"/>
        </w:rPr>
        <w:t>autorizaci s</w:t>
      </w:r>
      <w:r>
        <w:rPr>
          <w:rFonts w:cs="Arial"/>
        </w:rPr>
        <w:t> </w:t>
      </w:r>
      <w:r w:rsidRPr="00ED38E9">
        <w:rPr>
          <w:rFonts w:cs="Arial"/>
        </w:rPr>
        <w:t>M</w:t>
      </w:r>
      <w:r>
        <w:rPr>
          <w:rFonts w:cs="Arial"/>
        </w:rPr>
        <w:t xml:space="preserve">PO. </w:t>
      </w:r>
    </w:p>
    <w:p w:rsidR="00352D5E" w:rsidRPr="00ED38E9" w:rsidP="00DF0ADE" w14:paraId="5ADD33DD" w14:textId="77777777">
      <w:pPr>
        <w:rPr>
          <w:rFonts w:cs="Arial"/>
        </w:rPr>
      </w:pPr>
    </w:p>
    <w:p w:rsidR="00DF0ADE" w:rsidRPr="00ED38E9" w:rsidP="00DF0ADE" w14:paraId="72D350DC" w14:textId="77777777">
      <w:pPr>
        <w:pStyle w:val="Heading2"/>
      </w:pPr>
      <w:bookmarkStart w:id="104" w:name="_Toc441759923"/>
      <w:r w:rsidRPr="00ED38E9">
        <w:t>Vyhodnocení nákladů a přínosů</w:t>
      </w:r>
      <w:bookmarkEnd w:id="104"/>
    </w:p>
    <w:p w:rsidR="00DF0ADE" w:rsidRPr="00ED38E9" w:rsidP="00BF16B7" w14:paraId="2FD20787" w14:textId="77777777">
      <w:pPr>
        <w:pStyle w:val="Heading3"/>
      </w:pPr>
      <w:r w:rsidRPr="00ED38E9">
        <w:t>Identifikace nákladů a přínosů</w:t>
      </w:r>
    </w:p>
    <w:p w:rsidR="00DF0ADE" w:rsidRPr="00D45E16" w:rsidP="003C445B" w14:paraId="27778668" w14:textId="77777777">
      <w:pPr>
        <w:pStyle w:val="ListParagraph"/>
        <w:keepNext/>
        <w:numPr>
          <w:ilvl w:val="0"/>
          <w:numId w:val="8"/>
        </w:numPr>
        <w:spacing w:before="240" w:after="120"/>
        <w:ind w:left="714" w:hanging="357"/>
        <w:rPr>
          <w:rFonts w:cs="Arial"/>
          <w:b/>
          <w:bCs/>
          <w:noProof w:val="0"/>
        </w:rPr>
      </w:pPr>
      <w:r w:rsidRPr="00D45E16">
        <w:rPr>
          <w:rFonts w:cs="Arial"/>
          <w:b/>
          <w:bCs/>
          <w:noProof w:val="0"/>
        </w:rPr>
        <w:t>Varianta 0</w:t>
      </w:r>
    </w:p>
    <w:p w:rsidR="00DF0ADE" w:rsidRPr="00ED38E9" w:rsidP="00DF0ADE" w14:paraId="2F6C1EBF" w14:textId="13ED5F64">
      <w:pPr>
        <w:rPr>
          <w:rFonts w:cs="Arial"/>
        </w:rPr>
      </w:pPr>
      <w:r w:rsidRPr="00ED38E9">
        <w:rPr>
          <w:rFonts w:cs="Arial"/>
        </w:rPr>
        <w:t xml:space="preserve">Aktuální stav nepředstavuje žádné náklady, protože komunikace mezi </w:t>
      </w:r>
      <w:r w:rsidR="00D11FCD">
        <w:rPr>
          <w:rFonts w:cs="Arial"/>
        </w:rPr>
        <w:t>MŽP</w:t>
      </w:r>
      <w:r w:rsidRPr="00ED38E9">
        <w:rPr>
          <w:rFonts w:cs="Arial"/>
        </w:rPr>
        <w:t xml:space="preserve"> a </w:t>
      </w:r>
      <w:r>
        <w:rPr>
          <w:rFonts w:cs="Arial"/>
        </w:rPr>
        <w:t>MPO</w:t>
      </w:r>
      <w:r w:rsidRPr="00ED38E9">
        <w:rPr>
          <w:rFonts w:cs="Arial"/>
        </w:rPr>
        <w:t xml:space="preserve"> v oblasti autorizace v současné době neprobíhá.</w:t>
      </w:r>
    </w:p>
    <w:p w:rsidR="00DF0ADE" w:rsidRPr="00D45E16" w:rsidP="003C445B" w14:paraId="61E44C7E" w14:textId="77777777">
      <w:pPr>
        <w:pStyle w:val="ListParagraph"/>
        <w:numPr>
          <w:ilvl w:val="0"/>
          <w:numId w:val="8"/>
        </w:numPr>
        <w:spacing w:before="240" w:after="120"/>
        <w:rPr>
          <w:rFonts w:cs="Arial"/>
          <w:b/>
          <w:noProof w:val="0"/>
        </w:rPr>
      </w:pPr>
      <w:r w:rsidRPr="00D45E16">
        <w:rPr>
          <w:rFonts w:cs="Arial"/>
          <w:b/>
          <w:bCs/>
          <w:noProof w:val="0"/>
        </w:rPr>
        <w:t>Varianta</w:t>
      </w:r>
      <w:r w:rsidRPr="00D45E16">
        <w:rPr>
          <w:rFonts w:cs="Arial"/>
          <w:b/>
          <w:noProof w:val="0"/>
        </w:rPr>
        <w:t xml:space="preserve"> 1</w:t>
      </w:r>
    </w:p>
    <w:p w:rsidR="00DF0ADE" w:rsidP="00DF0ADE" w14:paraId="0E576614" w14:textId="77777777">
      <w:pPr>
        <w:rPr>
          <w:rFonts w:cs="Arial"/>
        </w:rPr>
      </w:pPr>
      <w:r w:rsidRPr="00ED38E9">
        <w:rPr>
          <w:rFonts w:cs="Arial"/>
        </w:rPr>
        <w:t xml:space="preserve">V případě spolupráce </w:t>
      </w:r>
      <w:r>
        <w:rPr>
          <w:rFonts w:cs="Arial"/>
        </w:rPr>
        <w:t>MPO</w:t>
      </w:r>
      <w:r w:rsidRPr="00ED38E9">
        <w:rPr>
          <w:rFonts w:cs="Arial"/>
        </w:rPr>
        <w:t xml:space="preserve"> při projednávání žádostí o vydání rozhodnutí oprávnění k provozování </w:t>
      </w:r>
      <w:r>
        <w:rPr>
          <w:rFonts w:cs="Arial"/>
        </w:rPr>
        <w:t>KS</w:t>
      </w:r>
      <w:r w:rsidRPr="00ED38E9">
        <w:rPr>
          <w:rFonts w:cs="Arial"/>
        </w:rPr>
        <w:t>, žádostí o prodloužení platnosti oprávnění, žádostí o předchozí souhlas s</w:t>
      </w:r>
      <w:r>
        <w:rPr>
          <w:rFonts w:cs="Arial"/>
        </w:rPr>
        <w:t> </w:t>
      </w:r>
      <w:r w:rsidRPr="00ED38E9">
        <w:rPr>
          <w:rFonts w:cs="Arial"/>
        </w:rPr>
        <w:t xml:space="preserve">fúzí nebo s rozdělením provozovatele </w:t>
      </w:r>
      <w:r>
        <w:rPr>
          <w:rFonts w:cs="Arial"/>
        </w:rPr>
        <w:t>KS</w:t>
      </w:r>
      <w:r w:rsidRPr="00ED38E9">
        <w:rPr>
          <w:rFonts w:cs="Arial"/>
        </w:rPr>
        <w:t xml:space="preserve">, změn nebo zrušení oprávnění lze očekávat, </w:t>
      </w:r>
      <w:r>
        <w:rPr>
          <w:rFonts w:cs="Arial"/>
        </w:rPr>
        <w:t>že</w:t>
      </w:r>
      <w:r w:rsidRPr="00A31006">
        <w:rPr>
          <w:rFonts w:cs="Arial"/>
        </w:rPr>
        <w:t xml:space="preserve"> MŽP</w:t>
      </w:r>
      <w:r>
        <w:rPr>
          <w:rFonts w:cs="Arial"/>
        </w:rPr>
        <w:t xml:space="preserve"> získá</w:t>
      </w:r>
      <w:r w:rsidRPr="00A31006">
        <w:rPr>
          <w:rFonts w:cs="Arial"/>
        </w:rPr>
        <w:t xml:space="preserve"> </w:t>
      </w:r>
      <w:r w:rsidRPr="00ED38E9">
        <w:rPr>
          <w:rFonts w:cs="Arial"/>
        </w:rPr>
        <w:t>ze strany MPO více podkladů pro správní rozhodnutí a zároveň se sníží riziko přehlédnutí z</w:t>
      </w:r>
      <w:r>
        <w:rPr>
          <w:rFonts w:cs="Arial"/>
        </w:rPr>
        <w:t>á</w:t>
      </w:r>
      <w:r w:rsidRPr="00ED38E9">
        <w:rPr>
          <w:rFonts w:cs="Arial"/>
        </w:rPr>
        <w:t>važných nedostatků podání. Negativním aspektem je určitě zvýšení časové náročnosti správního řízení.</w:t>
      </w:r>
    </w:p>
    <w:p w:rsidR="00DF0ADE" w:rsidRPr="00ED38E9" w:rsidP="002564B6" w14:paraId="2650150B" w14:textId="77777777">
      <w:pPr>
        <w:pStyle w:val="Heading3"/>
        <w:keepNext/>
        <w:widowControl/>
      </w:pPr>
      <w:r w:rsidRPr="00ED38E9">
        <w:t>Vyhodnocení nákladů a přínosů variant</w:t>
      </w:r>
    </w:p>
    <w:p w:rsidR="00DF0ADE" w:rsidRPr="007E1D9E" w:rsidP="00D45E16" w14:paraId="694410CC" w14:textId="548FB519">
      <w:pPr>
        <w:pStyle w:val="Caption"/>
        <w:spacing w:before="120"/>
        <w:contextualSpacing w:val="0"/>
        <w:rPr>
          <w:sz w:val="20"/>
          <w:szCs w:val="20"/>
        </w:rPr>
      </w:pPr>
      <w:r w:rsidRPr="007E1D9E">
        <w:rPr>
          <w:sz w:val="20"/>
          <w:szCs w:val="20"/>
        </w:rPr>
        <w:t xml:space="preserve">Tabulka </w:t>
      </w:r>
      <w:r w:rsidR="00925F10">
        <w:rPr>
          <w:sz w:val="20"/>
          <w:szCs w:val="20"/>
        </w:rPr>
        <w:t>15</w:t>
      </w:r>
      <w:r w:rsidRPr="007E1D9E">
        <w:rPr>
          <w:sz w:val="20"/>
          <w:szCs w:val="20"/>
        </w:rPr>
        <w:t>: Porovnání nákladů a přínosů</w:t>
      </w:r>
    </w:p>
    <w:tbl>
      <w:tblPr>
        <w:tblW w:w="8888" w:type="dxa"/>
        <w:tblInd w:w="80" w:type="dxa"/>
        <w:tblCellMar>
          <w:left w:w="70" w:type="dxa"/>
          <w:right w:w="70" w:type="dxa"/>
        </w:tblCellMar>
        <w:tblLook w:val="04A0"/>
      </w:tblPr>
      <w:tblGrid>
        <w:gridCol w:w="1578"/>
        <w:gridCol w:w="2074"/>
        <w:gridCol w:w="1361"/>
        <w:gridCol w:w="2291"/>
        <w:gridCol w:w="1584"/>
      </w:tblGrid>
      <w:tr w14:paraId="57BC0691" w14:textId="77777777" w:rsidTr="00D11FCD">
        <w:tblPrEx>
          <w:tblW w:w="8888" w:type="dxa"/>
          <w:tblInd w:w="80" w:type="dxa"/>
          <w:tblCellMar>
            <w:left w:w="70" w:type="dxa"/>
            <w:right w:w="70" w:type="dxa"/>
          </w:tblCellMar>
          <w:tblLook w:val="04A0"/>
        </w:tblPrEx>
        <w:trPr>
          <w:trHeight w:val="258"/>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FCD" w:rsidRPr="007E1D9E" w:rsidP="006031E5" w14:paraId="73455F16"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Varianta</w:t>
            </w:r>
          </w:p>
        </w:tc>
        <w:tc>
          <w:tcPr>
            <w:tcW w:w="2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FCD" w:rsidRPr="007E1D9E" w:rsidP="006031E5" w14:paraId="74C00476"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Přínosy</w:t>
            </w:r>
          </w:p>
        </w:tc>
        <w:tc>
          <w:tcPr>
            <w:tcW w:w="1361" w:type="dxa"/>
            <w:tcBorders>
              <w:top w:val="single" w:sz="8" w:space="0" w:color="auto"/>
              <w:left w:val="nil"/>
              <w:bottom w:val="single" w:sz="8" w:space="0" w:color="auto"/>
              <w:right w:val="single" w:sz="8" w:space="0" w:color="auto"/>
            </w:tcBorders>
            <w:shd w:val="clear" w:color="auto" w:fill="auto"/>
            <w:noWrap/>
            <w:vAlign w:val="bottom"/>
            <w:hideMark/>
          </w:tcPr>
          <w:p w:rsidR="00D11FCD" w:rsidRPr="007E1D9E" w:rsidP="006031E5" w14:paraId="05780E51"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Hodnocení</w:t>
            </w:r>
          </w:p>
        </w:tc>
        <w:tc>
          <w:tcPr>
            <w:tcW w:w="2291" w:type="dxa"/>
            <w:tcBorders>
              <w:top w:val="single" w:sz="8" w:space="0" w:color="auto"/>
              <w:left w:val="nil"/>
              <w:bottom w:val="single" w:sz="8" w:space="0" w:color="auto"/>
              <w:right w:val="single" w:sz="4" w:space="0" w:color="auto"/>
            </w:tcBorders>
            <w:shd w:val="clear" w:color="auto" w:fill="auto"/>
            <w:noWrap/>
            <w:vAlign w:val="bottom"/>
            <w:hideMark/>
          </w:tcPr>
          <w:p w:rsidR="00D11FCD" w:rsidRPr="007E1D9E" w:rsidP="006031E5" w14:paraId="69C9FF2F"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Náklady</w:t>
            </w:r>
          </w:p>
        </w:tc>
        <w:tc>
          <w:tcPr>
            <w:tcW w:w="1584" w:type="dxa"/>
            <w:tcBorders>
              <w:top w:val="single" w:sz="8" w:space="0" w:color="auto"/>
              <w:left w:val="nil"/>
              <w:bottom w:val="single" w:sz="8" w:space="0" w:color="auto"/>
              <w:right w:val="single" w:sz="8" w:space="0" w:color="auto"/>
            </w:tcBorders>
            <w:shd w:val="clear" w:color="auto" w:fill="auto"/>
            <w:noWrap/>
            <w:vAlign w:val="bottom"/>
            <w:hideMark/>
          </w:tcPr>
          <w:p w:rsidR="00D11FCD" w:rsidRPr="007E1D9E" w:rsidP="006031E5" w14:paraId="054F8C0A"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Hodnocení</w:t>
            </w:r>
          </w:p>
        </w:tc>
      </w:tr>
      <w:tr w14:paraId="320C0D78" w14:textId="77777777" w:rsidTr="00D11FCD">
        <w:tblPrEx>
          <w:tblW w:w="8888" w:type="dxa"/>
          <w:tblInd w:w="80" w:type="dxa"/>
          <w:tblCellMar>
            <w:left w:w="70" w:type="dxa"/>
            <w:right w:w="70" w:type="dxa"/>
          </w:tblCellMar>
          <w:tblLook w:val="04A0"/>
        </w:tblPrEx>
        <w:trPr>
          <w:trHeight w:val="739"/>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FCD" w:rsidP="006031E5" w14:paraId="14712BB0"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Varianta 0</w:t>
            </w:r>
          </w:p>
          <w:p w:rsidR="00D11FCD" w:rsidRPr="00D11FCD" w:rsidP="006031E5" w14:paraId="6354C596" w14:textId="5CAB5E0B">
            <w:pPr>
              <w:spacing w:line="240" w:lineRule="auto"/>
              <w:jc w:val="center"/>
              <w:rPr>
                <w:bCs/>
                <w:noProof w:val="0"/>
                <w:color w:val="000000"/>
                <w:sz w:val="20"/>
                <w:szCs w:val="20"/>
                <w:lang w:eastAsia="cs-CZ" w:bidi="ar-SA"/>
              </w:rPr>
            </w:pPr>
            <w:r w:rsidRPr="00D11FCD">
              <w:rPr>
                <w:bCs/>
                <w:noProof w:val="0"/>
                <w:color w:val="000000"/>
                <w:sz w:val="20"/>
                <w:szCs w:val="20"/>
                <w:lang w:eastAsia="cs-CZ" w:bidi="ar-SA"/>
              </w:rPr>
              <w:t>současný stav</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FCD" w:rsidRPr="007E1D9E" w:rsidP="006031E5" w14:paraId="44BFB008"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žádná administrativa spojená s komunikací s MPO</w:t>
            </w:r>
          </w:p>
        </w:tc>
        <w:tc>
          <w:tcPr>
            <w:tcW w:w="1361" w:type="dxa"/>
            <w:tcBorders>
              <w:top w:val="nil"/>
              <w:left w:val="nil"/>
              <w:bottom w:val="single" w:sz="8" w:space="0" w:color="auto"/>
              <w:right w:val="single" w:sz="8" w:space="0" w:color="auto"/>
            </w:tcBorders>
            <w:shd w:val="clear" w:color="auto" w:fill="auto"/>
            <w:noWrap/>
            <w:vAlign w:val="center"/>
            <w:hideMark/>
          </w:tcPr>
          <w:p w:rsidR="00D11FCD" w:rsidRPr="007E1D9E" w:rsidP="006031E5" w14:paraId="08D1007F"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w:t>
            </w:r>
          </w:p>
        </w:tc>
        <w:tc>
          <w:tcPr>
            <w:tcW w:w="2291" w:type="dxa"/>
            <w:tcBorders>
              <w:top w:val="nil"/>
              <w:left w:val="nil"/>
              <w:bottom w:val="single" w:sz="8" w:space="0" w:color="auto"/>
              <w:right w:val="single" w:sz="4" w:space="0" w:color="auto"/>
            </w:tcBorders>
            <w:shd w:val="clear" w:color="auto" w:fill="auto"/>
            <w:vAlign w:val="center"/>
            <w:hideMark/>
          </w:tcPr>
          <w:p w:rsidR="00D11FCD" w:rsidRPr="007E1D9E" w:rsidP="006031E5" w14:paraId="550CB697"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 </w:t>
            </w:r>
          </w:p>
        </w:tc>
        <w:tc>
          <w:tcPr>
            <w:tcW w:w="1584" w:type="dxa"/>
            <w:tcBorders>
              <w:top w:val="nil"/>
              <w:left w:val="nil"/>
              <w:bottom w:val="single" w:sz="8" w:space="0" w:color="auto"/>
              <w:right w:val="single" w:sz="8" w:space="0" w:color="auto"/>
            </w:tcBorders>
            <w:shd w:val="clear" w:color="auto" w:fill="auto"/>
            <w:noWrap/>
            <w:vAlign w:val="center"/>
            <w:hideMark/>
          </w:tcPr>
          <w:p w:rsidR="00D11FCD" w:rsidRPr="007E1D9E" w:rsidP="006031E5" w14:paraId="63C5B05F"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 </w:t>
            </w:r>
          </w:p>
        </w:tc>
      </w:tr>
      <w:tr w14:paraId="1FFFF4B0" w14:textId="77777777" w:rsidTr="00D11FCD">
        <w:tblPrEx>
          <w:tblW w:w="8888" w:type="dxa"/>
          <w:tblInd w:w="80" w:type="dxa"/>
          <w:tblCellMar>
            <w:left w:w="70" w:type="dxa"/>
            <w:right w:w="70" w:type="dxa"/>
          </w:tblCellMar>
          <w:tblLook w:val="04A0"/>
        </w:tblPrEx>
        <w:trPr>
          <w:trHeight w:val="739"/>
        </w:trPr>
        <w:tc>
          <w:tcPr>
            <w:tcW w:w="1578" w:type="dxa"/>
            <w:vMerge w:val="restart"/>
            <w:tcBorders>
              <w:top w:val="single" w:sz="4" w:space="0" w:color="auto"/>
              <w:left w:val="single" w:sz="8" w:space="0" w:color="auto"/>
              <w:bottom w:val="single" w:sz="8" w:space="0" w:color="000000"/>
              <w:right w:val="nil"/>
            </w:tcBorders>
            <w:shd w:val="clear" w:color="auto" w:fill="auto"/>
            <w:noWrap/>
            <w:vAlign w:val="center"/>
            <w:hideMark/>
          </w:tcPr>
          <w:p w:rsidR="00D11FCD" w:rsidP="006031E5" w14:paraId="71AB5892" w14:textId="77777777">
            <w:pPr>
              <w:spacing w:line="240" w:lineRule="auto"/>
              <w:jc w:val="center"/>
              <w:rPr>
                <w:b/>
                <w:bCs/>
                <w:noProof w:val="0"/>
                <w:color w:val="000000"/>
                <w:sz w:val="20"/>
                <w:szCs w:val="20"/>
                <w:lang w:eastAsia="cs-CZ" w:bidi="ar-SA"/>
              </w:rPr>
            </w:pPr>
            <w:r w:rsidRPr="007E1D9E">
              <w:rPr>
                <w:b/>
                <w:bCs/>
                <w:noProof w:val="0"/>
                <w:color w:val="000000"/>
                <w:sz w:val="20"/>
                <w:szCs w:val="20"/>
                <w:lang w:eastAsia="cs-CZ" w:bidi="ar-SA"/>
              </w:rPr>
              <w:t>Varianta 1</w:t>
            </w:r>
          </w:p>
          <w:p w:rsidR="00D11FCD" w:rsidRPr="007E1D9E" w:rsidP="00D11FCD" w14:paraId="136D9016" w14:textId="24E00677">
            <w:pPr>
              <w:spacing w:line="240" w:lineRule="auto"/>
              <w:jc w:val="center"/>
              <w:rPr>
                <w:b/>
                <w:bCs/>
                <w:noProof w:val="0"/>
                <w:color w:val="000000"/>
                <w:sz w:val="20"/>
                <w:szCs w:val="20"/>
                <w:lang w:eastAsia="cs-CZ" w:bidi="ar-SA"/>
              </w:rPr>
            </w:pPr>
            <w:r w:rsidRPr="007E1D9E">
              <w:rPr>
                <w:noProof w:val="0"/>
                <w:color w:val="000000"/>
                <w:sz w:val="20"/>
                <w:szCs w:val="20"/>
                <w:lang w:eastAsia="cs-CZ" w:bidi="ar-SA"/>
              </w:rPr>
              <w:t>zapojení MPO do</w:t>
            </w:r>
            <w:r>
              <w:rPr>
                <w:noProof w:val="0"/>
                <w:color w:val="000000"/>
                <w:sz w:val="20"/>
                <w:szCs w:val="20"/>
                <w:lang w:eastAsia="cs-CZ" w:bidi="ar-SA"/>
              </w:rPr>
              <w:t> </w:t>
            </w:r>
            <w:r w:rsidRPr="007E1D9E">
              <w:rPr>
                <w:noProof w:val="0"/>
                <w:color w:val="000000"/>
                <w:sz w:val="20"/>
                <w:szCs w:val="20"/>
                <w:lang w:eastAsia="cs-CZ" w:bidi="ar-SA"/>
              </w:rPr>
              <w:t>vydávání rozhodnutí - autorizace</w:t>
            </w:r>
          </w:p>
        </w:tc>
        <w:tc>
          <w:tcPr>
            <w:tcW w:w="2074"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D11FCD" w:rsidRPr="007E1D9E" w:rsidP="006031E5" w14:paraId="62DF6E9E"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životní prostředí</w:t>
            </w:r>
          </w:p>
        </w:tc>
        <w:tc>
          <w:tcPr>
            <w:tcW w:w="1361"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D11FCD" w:rsidRPr="007E1D9E" w:rsidP="006031E5" w14:paraId="30A3A04E"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w:t>
            </w:r>
          </w:p>
        </w:tc>
        <w:tc>
          <w:tcPr>
            <w:tcW w:w="2291" w:type="dxa"/>
            <w:tcBorders>
              <w:top w:val="nil"/>
              <w:left w:val="nil"/>
              <w:bottom w:val="single" w:sz="4" w:space="0" w:color="auto"/>
              <w:right w:val="single" w:sz="4" w:space="0" w:color="auto"/>
            </w:tcBorders>
            <w:shd w:val="clear" w:color="auto" w:fill="auto"/>
            <w:vAlign w:val="center"/>
            <w:hideMark/>
          </w:tcPr>
          <w:p w:rsidR="00D11FCD" w:rsidRPr="007E1D9E" w:rsidP="007E1D9E" w14:paraId="1049A250"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MŽP</w:t>
            </w:r>
            <w:r>
              <w:rPr>
                <w:noProof w:val="0"/>
                <w:color w:val="000000"/>
                <w:sz w:val="20"/>
                <w:szCs w:val="20"/>
                <w:lang w:eastAsia="cs-CZ" w:bidi="ar-SA"/>
              </w:rPr>
              <w:t xml:space="preserve"> - náklady na komunikaci s MPO</w:t>
            </w:r>
          </w:p>
        </w:tc>
        <w:tc>
          <w:tcPr>
            <w:tcW w:w="1584" w:type="dxa"/>
            <w:tcBorders>
              <w:top w:val="nil"/>
              <w:left w:val="nil"/>
              <w:bottom w:val="single" w:sz="4" w:space="0" w:color="auto"/>
              <w:right w:val="single" w:sz="8" w:space="0" w:color="auto"/>
            </w:tcBorders>
            <w:shd w:val="clear" w:color="auto" w:fill="auto"/>
            <w:noWrap/>
            <w:vAlign w:val="center"/>
            <w:hideMark/>
          </w:tcPr>
          <w:p w:rsidR="00D11FCD" w:rsidRPr="007E1D9E" w:rsidP="006031E5" w14:paraId="73E47F99"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550 Kč/žádost</w:t>
            </w:r>
          </w:p>
        </w:tc>
      </w:tr>
      <w:tr w14:paraId="123C00D4" w14:textId="77777777" w:rsidTr="00D11FCD">
        <w:tblPrEx>
          <w:tblW w:w="8888" w:type="dxa"/>
          <w:tblInd w:w="80" w:type="dxa"/>
          <w:tblCellMar>
            <w:left w:w="70" w:type="dxa"/>
            <w:right w:w="70" w:type="dxa"/>
          </w:tblCellMar>
          <w:tblLook w:val="04A0"/>
        </w:tblPrEx>
        <w:trPr>
          <w:trHeight w:val="1479"/>
        </w:trPr>
        <w:tc>
          <w:tcPr>
            <w:tcW w:w="1578" w:type="dxa"/>
            <w:vMerge/>
            <w:tcBorders>
              <w:top w:val="nil"/>
              <w:left w:val="single" w:sz="8" w:space="0" w:color="auto"/>
              <w:bottom w:val="single" w:sz="8" w:space="0" w:color="000000"/>
              <w:right w:val="nil"/>
            </w:tcBorders>
            <w:vAlign w:val="center"/>
            <w:hideMark/>
          </w:tcPr>
          <w:p w:rsidR="00D11FCD" w:rsidRPr="007E1D9E" w:rsidP="006031E5" w14:paraId="395AD130" w14:textId="77777777">
            <w:pPr>
              <w:spacing w:line="240" w:lineRule="auto"/>
              <w:jc w:val="left"/>
              <w:rPr>
                <w:b/>
                <w:bCs/>
                <w:noProof w:val="0"/>
                <w:color w:val="000000"/>
                <w:sz w:val="20"/>
                <w:szCs w:val="20"/>
                <w:lang w:eastAsia="cs-CZ" w:bidi="ar-SA"/>
              </w:rPr>
            </w:pPr>
          </w:p>
        </w:tc>
        <w:tc>
          <w:tcPr>
            <w:tcW w:w="2074" w:type="dxa"/>
            <w:vMerge/>
            <w:tcBorders>
              <w:top w:val="nil"/>
              <w:left w:val="single" w:sz="8" w:space="0" w:color="auto"/>
              <w:bottom w:val="single" w:sz="4" w:space="0" w:color="000000"/>
              <w:right w:val="single" w:sz="4" w:space="0" w:color="auto"/>
            </w:tcBorders>
            <w:vAlign w:val="center"/>
            <w:hideMark/>
          </w:tcPr>
          <w:p w:rsidR="00D11FCD" w:rsidRPr="007E1D9E" w:rsidP="006031E5" w14:paraId="702C1B7C" w14:textId="77777777">
            <w:pPr>
              <w:spacing w:line="240" w:lineRule="auto"/>
              <w:jc w:val="left"/>
              <w:rPr>
                <w:noProof w:val="0"/>
                <w:color w:val="000000"/>
                <w:sz w:val="20"/>
                <w:szCs w:val="20"/>
                <w:lang w:eastAsia="cs-CZ" w:bidi="ar-SA"/>
              </w:rPr>
            </w:pPr>
          </w:p>
        </w:tc>
        <w:tc>
          <w:tcPr>
            <w:tcW w:w="1361" w:type="dxa"/>
            <w:vMerge/>
            <w:tcBorders>
              <w:top w:val="nil"/>
              <w:left w:val="single" w:sz="4" w:space="0" w:color="auto"/>
              <w:bottom w:val="single" w:sz="4" w:space="0" w:color="000000"/>
              <w:right w:val="single" w:sz="8" w:space="0" w:color="auto"/>
            </w:tcBorders>
            <w:vAlign w:val="center"/>
            <w:hideMark/>
          </w:tcPr>
          <w:p w:rsidR="00D11FCD" w:rsidRPr="007E1D9E" w:rsidP="006031E5" w14:paraId="6727667F" w14:textId="77777777">
            <w:pPr>
              <w:spacing w:line="240" w:lineRule="auto"/>
              <w:jc w:val="left"/>
              <w:rPr>
                <w:noProof w:val="0"/>
                <w:color w:val="000000"/>
                <w:sz w:val="20"/>
                <w:szCs w:val="20"/>
                <w:lang w:eastAsia="cs-CZ" w:bidi="ar-SA"/>
              </w:rPr>
            </w:pPr>
          </w:p>
        </w:tc>
        <w:tc>
          <w:tcPr>
            <w:tcW w:w="2291" w:type="dxa"/>
            <w:tcBorders>
              <w:top w:val="nil"/>
              <w:left w:val="nil"/>
              <w:bottom w:val="single" w:sz="4" w:space="0" w:color="auto"/>
              <w:right w:val="single" w:sz="4" w:space="0" w:color="auto"/>
            </w:tcBorders>
            <w:shd w:val="clear" w:color="auto" w:fill="auto"/>
            <w:vAlign w:val="center"/>
            <w:hideMark/>
          </w:tcPr>
          <w:p w:rsidR="00D11FCD" w:rsidRPr="007E1D9E" w:rsidP="007E1D9E" w14:paraId="6D93F91D"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MPO - náklady na zpracování zaslaných ma</w:t>
            </w:r>
            <w:r>
              <w:rPr>
                <w:noProof w:val="0"/>
                <w:color w:val="000000"/>
                <w:sz w:val="20"/>
                <w:szCs w:val="20"/>
                <w:lang w:eastAsia="cs-CZ" w:bidi="ar-SA"/>
              </w:rPr>
              <w:t>teriálů a vytvoření stanoviska</w:t>
            </w:r>
          </w:p>
        </w:tc>
        <w:tc>
          <w:tcPr>
            <w:tcW w:w="1584" w:type="dxa"/>
            <w:tcBorders>
              <w:top w:val="nil"/>
              <w:left w:val="nil"/>
              <w:bottom w:val="single" w:sz="4" w:space="0" w:color="auto"/>
              <w:right w:val="single" w:sz="8" w:space="0" w:color="auto"/>
            </w:tcBorders>
            <w:shd w:val="clear" w:color="auto" w:fill="auto"/>
            <w:noWrap/>
            <w:vAlign w:val="center"/>
            <w:hideMark/>
          </w:tcPr>
          <w:p w:rsidR="00D11FCD" w:rsidRPr="007E1D9E" w:rsidP="006031E5" w14:paraId="60C8CBB6"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cca 11</w:t>
            </w:r>
            <w:r>
              <w:rPr>
                <w:noProof w:val="0"/>
                <w:color w:val="000000"/>
                <w:sz w:val="20"/>
                <w:szCs w:val="20"/>
                <w:lang w:eastAsia="cs-CZ" w:bidi="ar-SA"/>
              </w:rPr>
              <w:t> </w:t>
            </w:r>
            <w:r w:rsidRPr="007E1D9E">
              <w:rPr>
                <w:noProof w:val="0"/>
                <w:color w:val="000000"/>
                <w:sz w:val="20"/>
                <w:szCs w:val="20"/>
                <w:lang w:eastAsia="cs-CZ" w:bidi="ar-SA"/>
              </w:rPr>
              <w:t>700 Kč/ žádost</w:t>
            </w:r>
          </w:p>
        </w:tc>
      </w:tr>
      <w:tr w14:paraId="11D463C0" w14:textId="77777777" w:rsidTr="00D11FCD">
        <w:tblPrEx>
          <w:tblW w:w="8888" w:type="dxa"/>
          <w:tblInd w:w="80" w:type="dxa"/>
          <w:tblCellMar>
            <w:left w:w="70" w:type="dxa"/>
            <w:right w:w="70" w:type="dxa"/>
          </w:tblCellMar>
          <w:tblLook w:val="04A0"/>
        </w:tblPrEx>
        <w:trPr>
          <w:trHeight w:val="739"/>
        </w:trPr>
        <w:tc>
          <w:tcPr>
            <w:tcW w:w="1578" w:type="dxa"/>
            <w:vMerge/>
            <w:tcBorders>
              <w:top w:val="nil"/>
              <w:left w:val="single" w:sz="8" w:space="0" w:color="auto"/>
              <w:bottom w:val="single" w:sz="8" w:space="0" w:color="000000"/>
              <w:right w:val="nil"/>
            </w:tcBorders>
            <w:vAlign w:val="center"/>
            <w:hideMark/>
          </w:tcPr>
          <w:p w:rsidR="00D11FCD" w:rsidRPr="007E1D9E" w:rsidP="006031E5" w14:paraId="22F87439" w14:textId="77777777">
            <w:pPr>
              <w:spacing w:line="240" w:lineRule="auto"/>
              <w:jc w:val="left"/>
              <w:rPr>
                <w:b/>
                <w:bCs/>
                <w:noProof w:val="0"/>
                <w:color w:val="000000"/>
                <w:sz w:val="20"/>
                <w:szCs w:val="20"/>
                <w:lang w:eastAsia="cs-CZ" w:bidi="ar-SA"/>
              </w:rPr>
            </w:pPr>
          </w:p>
        </w:tc>
        <w:tc>
          <w:tcPr>
            <w:tcW w:w="2074" w:type="dxa"/>
            <w:vMerge w:val="restart"/>
            <w:tcBorders>
              <w:top w:val="nil"/>
              <w:left w:val="single" w:sz="8" w:space="0" w:color="auto"/>
              <w:bottom w:val="single" w:sz="8" w:space="0" w:color="000000"/>
              <w:right w:val="single" w:sz="4" w:space="0" w:color="auto"/>
            </w:tcBorders>
            <w:shd w:val="clear" w:color="auto" w:fill="auto"/>
            <w:vAlign w:val="center"/>
            <w:hideMark/>
          </w:tcPr>
          <w:p w:rsidR="00D11FCD" w:rsidRPr="007E1D9E" w:rsidP="006031E5" w14:paraId="0A349A0A"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snížení rizika přehlédnutí závažných nedostatků v podání</w:t>
            </w:r>
          </w:p>
        </w:tc>
        <w:tc>
          <w:tcPr>
            <w:tcW w:w="1361"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D11FCD" w:rsidRPr="007E1D9E" w:rsidP="006031E5" w14:paraId="1F062A81"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w:t>
            </w:r>
          </w:p>
        </w:tc>
        <w:tc>
          <w:tcPr>
            <w:tcW w:w="2291" w:type="dxa"/>
            <w:vMerge w:val="restart"/>
            <w:tcBorders>
              <w:top w:val="nil"/>
              <w:left w:val="single" w:sz="8" w:space="0" w:color="auto"/>
              <w:bottom w:val="single" w:sz="8" w:space="0" w:color="000000"/>
              <w:right w:val="single" w:sz="4" w:space="0" w:color="auto"/>
            </w:tcBorders>
            <w:shd w:val="clear" w:color="auto" w:fill="auto"/>
            <w:vAlign w:val="center"/>
            <w:hideMark/>
          </w:tcPr>
          <w:p w:rsidR="00D11FCD" w:rsidRPr="007E1D9E" w:rsidP="006031E5" w14:paraId="4A996B88" w14:textId="77777777">
            <w:pPr>
              <w:spacing w:line="240" w:lineRule="auto"/>
              <w:jc w:val="left"/>
              <w:rPr>
                <w:noProof w:val="0"/>
                <w:color w:val="000000"/>
                <w:sz w:val="20"/>
                <w:szCs w:val="20"/>
                <w:lang w:eastAsia="cs-CZ" w:bidi="ar-SA"/>
              </w:rPr>
            </w:pPr>
            <w:r w:rsidRPr="007E1D9E">
              <w:rPr>
                <w:noProof w:val="0"/>
                <w:color w:val="000000"/>
                <w:sz w:val="20"/>
                <w:szCs w:val="20"/>
                <w:lang w:eastAsia="cs-CZ" w:bidi="ar-SA"/>
              </w:rPr>
              <w:t>prodloužení času na vydání rozhodnutí</w:t>
            </w:r>
          </w:p>
        </w:tc>
        <w:tc>
          <w:tcPr>
            <w:tcW w:w="1584" w:type="dxa"/>
            <w:tcBorders>
              <w:top w:val="nil"/>
              <w:left w:val="nil"/>
              <w:bottom w:val="single" w:sz="4" w:space="0" w:color="auto"/>
              <w:right w:val="single" w:sz="8" w:space="0" w:color="auto"/>
            </w:tcBorders>
            <w:shd w:val="clear" w:color="auto" w:fill="auto"/>
            <w:noWrap/>
            <w:vAlign w:val="center"/>
            <w:hideMark/>
          </w:tcPr>
          <w:p w:rsidR="00D11FCD" w:rsidRPr="007E1D9E" w:rsidP="006031E5" w14:paraId="7ABF23FC"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w:t>
            </w:r>
          </w:p>
        </w:tc>
      </w:tr>
      <w:tr w14:paraId="7E75FFA1" w14:textId="77777777" w:rsidTr="00D11FCD">
        <w:tblPrEx>
          <w:tblW w:w="8888" w:type="dxa"/>
          <w:tblInd w:w="80" w:type="dxa"/>
          <w:tblCellMar>
            <w:left w:w="70" w:type="dxa"/>
            <w:right w:w="70" w:type="dxa"/>
          </w:tblCellMar>
          <w:tblLook w:val="04A0"/>
        </w:tblPrEx>
        <w:trPr>
          <w:trHeight w:val="739"/>
        </w:trPr>
        <w:tc>
          <w:tcPr>
            <w:tcW w:w="1578" w:type="dxa"/>
            <w:vMerge/>
            <w:tcBorders>
              <w:top w:val="nil"/>
              <w:left w:val="single" w:sz="8" w:space="0" w:color="auto"/>
              <w:bottom w:val="single" w:sz="8" w:space="0" w:color="000000"/>
              <w:right w:val="nil"/>
            </w:tcBorders>
            <w:vAlign w:val="center"/>
            <w:hideMark/>
          </w:tcPr>
          <w:p w:rsidR="00D11FCD" w:rsidRPr="007E1D9E" w:rsidP="006031E5" w14:paraId="1C037121" w14:textId="77777777">
            <w:pPr>
              <w:spacing w:line="240" w:lineRule="auto"/>
              <w:jc w:val="left"/>
              <w:rPr>
                <w:b/>
                <w:bCs/>
                <w:noProof w:val="0"/>
                <w:color w:val="000000"/>
                <w:sz w:val="20"/>
                <w:szCs w:val="20"/>
                <w:lang w:eastAsia="cs-CZ" w:bidi="ar-SA"/>
              </w:rPr>
            </w:pPr>
          </w:p>
        </w:tc>
        <w:tc>
          <w:tcPr>
            <w:tcW w:w="2074" w:type="dxa"/>
            <w:vMerge/>
            <w:tcBorders>
              <w:top w:val="nil"/>
              <w:left w:val="single" w:sz="8" w:space="0" w:color="auto"/>
              <w:bottom w:val="single" w:sz="8" w:space="0" w:color="000000"/>
              <w:right w:val="single" w:sz="4" w:space="0" w:color="auto"/>
            </w:tcBorders>
            <w:vAlign w:val="center"/>
            <w:hideMark/>
          </w:tcPr>
          <w:p w:rsidR="00D11FCD" w:rsidRPr="007E1D9E" w:rsidP="006031E5" w14:paraId="66F57319" w14:textId="77777777">
            <w:pPr>
              <w:spacing w:line="240" w:lineRule="auto"/>
              <w:jc w:val="left"/>
              <w:rPr>
                <w:noProof w:val="0"/>
                <w:color w:val="000000"/>
                <w:sz w:val="20"/>
                <w:szCs w:val="20"/>
                <w:lang w:eastAsia="cs-CZ" w:bidi="ar-SA"/>
              </w:rPr>
            </w:pPr>
          </w:p>
        </w:tc>
        <w:tc>
          <w:tcPr>
            <w:tcW w:w="1361" w:type="dxa"/>
            <w:vMerge/>
            <w:tcBorders>
              <w:top w:val="nil"/>
              <w:left w:val="single" w:sz="4" w:space="0" w:color="auto"/>
              <w:bottom w:val="single" w:sz="8" w:space="0" w:color="000000"/>
              <w:right w:val="single" w:sz="8" w:space="0" w:color="auto"/>
            </w:tcBorders>
            <w:vAlign w:val="center"/>
            <w:hideMark/>
          </w:tcPr>
          <w:p w:rsidR="00D11FCD" w:rsidRPr="007E1D9E" w:rsidP="006031E5" w14:paraId="714D7F2A" w14:textId="77777777">
            <w:pPr>
              <w:spacing w:line="240" w:lineRule="auto"/>
              <w:jc w:val="left"/>
              <w:rPr>
                <w:noProof w:val="0"/>
                <w:color w:val="000000"/>
                <w:sz w:val="20"/>
                <w:szCs w:val="20"/>
                <w:lang w:eastAsia="cs-CZ" w:bidi="ar-SA"/>
              </w:rPr>
            </w:pPr>
          </w:p>
        </w:tc>
        <w:tc>
          <w:tcPr>
            <w:tcW w:w="2291" w:type="dxa"/>
            <w:vMerge/>
            <w:tcBorders>
              <w:top w:val="nil"/>
              <w:left w:val="single" w:sz="8" w:space="0" w:color="auto"/>
              <w:bottom w:val="single" w:sz="8" w:space="0" w:color="000000"/>
              <w:right w:val="single" w:sz="4" w:space="0" w:color="auto"/>
            </w:tcBorders>
            <w:vAlign w:val="center"/>
            <w:hideMark/>
          </w:tcPr>
          <w:p w:rsidR="00D11FCD" w:rsidRPr="007E1D9E" w:rsidP="006031E5" w14:paraId="45145C7A" w14:textId="77777777">
            <w:pPr>
              <w:spacing w:line="240" w:lineRule="auto"/>
              <w:jc w:val="left"/>
              <w:rPr>
                <w:noProof w:val="0"/>
                <w:color w:val="000000"/>
                <w:sz w:val="20"/>
                <w:szCs w:val="20"/>
                <w:lang w:eastAsia="cs-CZ" w:bidi="ar-SA"/>
              </w:rPr>
            </w:pPr>
          </w:p>
        </w:tc>
        <w:tc>
          <w:tcPr>
            <w:tcW w:w="1584" w:type="dxa"/>
            <w:tcBorders>
              <w:top w:val="nil"/>
              <w:left w:val="nil"/>
              <w:bottom w:val="single" w:sz="8" w:space="0" w:color="auto"/>
              <w:right w:val="single" w:sz="8" w:space="0" w:color="auto"/>
            </w:tcBorders>
            <w:shd w:val="clear" w:color="auto" w:fill="auto"/>
            <w:noWrap/>
            <w:vAlign w:val="center"/>
            <w:hideMark/>
          </w:tcPr>
          <w:p w:rsidR="00D11FCD" w:rsidRPr="007E1D9E" w:rsidP="006031E5" w14:paraId="392C95A7" w14:textId="77777777">
            <w:pPr>
              <w:spacing w:line="240" w:lineRule="auto"/>
              <w:jc w:val="center"/>
              <w:rPr>
                <w:noProof w:val="0"/>
                <w:color w:val="000000"/>
                <w:sz w:val="20"/>
                <w:szCs w:val="20"/>
                <w:lang w:eastAsia="cs-CZ" w:bidi="ar-SA"/>
              </w:rPr>
            </w:pPr>
            <w:r w:rsidRPr="007E1D9E">
              <w:rPr>
                <w:noProof w:val="0"/>
                <w:color w:val="000000"/>
                <w:sz w:val="20"/>
                <w:szCs w:val="20"/>
                <w:lang w:eastAsia="cs-CZ" w:bidi="ar-SA"/>
              </w:rPr>
              <w:t>až o měsíc</w:t>
            </w:r>
          </w:p>
        </w:tc>
      </w:tr>
    </w:tbl>
    <w:p w:rsidR="00DF0ADE" w:rsidRPr="00ED38E9" w:rsidP="00DF0ADE" w14:paraId="035DDDF2" w14:textId="77777777">
      <w:pPr>
        <w:pStyle w:val="Heading2"/>
        <w:rPr>
          <w:rFonts w:eastAsia="Calibri"/>
          <w:lang w:bidi="ar-SA"/>
        </w:rPr>
      </w:pPr>
      <w:r>
        <w:rPr>
          <w:rFonts w:eastAsia="Calibri"/>
          <w:lang w:bidi="ar-SA"/>
        </w:rPr>
        <w:t>N</w:t>
      </w:r>
      <w:r w:rsidRPr="00ED38E9">
        <w:rPr>
          <w:rFonts w:eastAsia="Calibri"/>
          <w:lang w:bidi="ar-SA"/>
        </w:rPr>
        <w:t>ávrh řešení</w:t>
      </w:r>
    </w:p>
    <w:p w:rsidR="00DF0ADE" w:rsidRPr="00ED38E9" w:rsidP="00526F1E" w14:paraId="4318397F" w14:textId="77777777">
      <w:pPr>
        <w:pStyle w:val="ListParagraph"/>
        <w:numPr>
          <w:ilvl w:val="0"/>
          <w:numId w:val="9"/>
        </w:numPr>
        <w:ind w:left="714" w:hanging="357"/>
        <w:contextualSpacing w:val="0"/>
        <w:rPr>
          <w:rFonts w:cs="Arial"/>
          <w:b/>
          <w:noProof w:val="0"/>
        </w:rPr>
      </w:pPr>
      <w:r w:rsidRPr="00ED38E9">
        <w:rPr>
          <w:rFonts w:cs="Arial"/>
          <w:b/>
          <w:noProof w:val="0"/>
        </w:rPr>
        <w:t>Varianta 1</w:t>
      </w:r>
    </w:p>
    <w:p w:rsidR="00DF0ADE" w:rsidRPr="00ED38E9" w:rsidP="00526F1E" w14:paraId="136299E7" w14:textId="77777777">
      <w:pPr>
        <w:pStyle w:val="ListParagraph"/>
        <w:numPr>
          <w:ilvl w:val="0"/>
          <w:numId w:val="9"/>
        </w:numPr>
        <w:ind w:left="714" w:hanging="357"/>
        <w:contextualSpacing w:val="0"/>
        <w:rPr>
          <w:rFonts w:cs="Arial"/>
          <w:noProof w:val="0"/>
        </w:rPr>
      </w:pPr>
      <w:r w:rsidRPr="00ED38E9">
        <w:rPr>
          <w:rFonts w:cs="Arial"/>
          <w:noProof w:val="0"/>
        </w:rPr>
        <w:t>Varianta 0</w:t>
      </w:r>
    </w:p>
    <w:p w:rsidR="00DF0ADE" w:rsidP="00DF0ADE" w14:paraId="48B6E173" w14:textId="77777777">
      <w:pPr>
        <w:rPr>
          <w:rFonts w:cs="Arial"/>
        </w:rPr>
      </w:pPr>
      <w:r w:rsidRPr="00ED38E9">
        <w:rPr>
          <w:rFonts w:cs="Arial"/>
        </w:rPr>
        <w:t xml:space="preserve">Cílem obou rezortů je sice snižování administrativní zátěže, avšak je doporučováno nezachovávat současný stav, kdy </w:t>
      </w:r>
      <w:r>
        <w:rPr>
          <w:rFonts w:cs="Arial"/>
        </w:rPr>
        <w:t>MPO</w:t>
      </w:r>
      <w:r w:rsidRPr="00ED38E9">
        <w:rPr>
          <w:rFonts w:cs="Arial"/>
        </w:rPr>
        <w:t xml:space="preserve"> není obligátně osloveno ze strany MŽP při udělování oprávnění KS (resp. zápisu výrobců do Seznamu), ale je preferována Varianta 1, a to z důvodu vyšší právní jistoty při řízení o udělení oprávnění KS ze strany MŽP.</w:t>
      </w:r>
    </w:p>
    <w:p w:rsidR="00526F1E" w:rsidP="00DF0ADE" w14:paraId="3FDD9E8A" w14:textId="77777777">
      <w:pPr>
        <w:rPr>
          <w:rFonts w:cs="Arial"/>
        </w:rPr>
      </w:pPr>
    </w:p>
    <w:p w:rsidR="006A3043" w:rsidRPr="00F004DF" w:rsidP="006A3043" w14:paraId="65BBB664" w14:textId="5E1B9E87">
      <w:pPr>
        <w:pStyle w:val="Heading1"/>
        <w:keepLines/>
        <w:spacing w:before="480"/>
        <w:rPr>
          <w:rFonts w:cs="Times New Roman"/>
        </w:rPr>
      </w:pPr>
      <w:bookmarkStart w:id="105" w:name="_Toc526868766"/>
      <w:bookmarkStart w:id="106" w:name="_Toc14942083"/>
      <w:bookmarkStart w:id="107" w:name="_Toc406598342"/>
      <w:bookmarkStart w:id="108" w:name="_Toc441759899"/>
      <w:bookmarkStart w:id="109" w:name="_Toc256000009"/>
      <w:r w:rsidRPr="00F004DF">
        <w:rPr>
          <w:rFonts w:cs="Times New Roman"/>
        </w:rPr>
        <w:t>Povinnost kolektivních systémů provádět tzv. ekomodulaci</w:t>
      </w:r>
      <w:bookmarkEnd w:id="105"/>
      <w:r w:rsidRPr="00F004DF">
        <w:rPr>
          <w:rFonts w:cs="Times New Roman"/>
        </w:rPr>
        <w:t xml:space="preserve"> (§ 45 odst. 6)</w:t>
      </w:r>
      <w:bookmarkEnd w:id="109"/>
      <w:bookmarkEnd w:id="106"/>
    </w:p>
    <w:p w:rsidR="006A3043" w:rsidRPr="00F004DF" w:rsidP="006A3043" w14:paraId="6D50F630" w14:textId="77777777">
      <w:pPr>
        <w:pStyle w:val="Heading2"/>
        <w:keepLines/>
        <w:spacing w:before="360"/>
        <w:ind w:left="578" w:hanging="578"/>
        <w:rPr>
          <w:rFonts w:cs="Times New Roman"/>
        </w:rPr>
      </w:pPr>
      <w:bookmarkStart w:id="110" w:name="_Toc526868767"/>
      <w:r w:rsidRPr="00F004DF">
        <w:rPr>
          <w:rFonts w:cs="Times New Roman"/>
        </w:rPr>
        <w:t>Důvod předložení a cíle</w:t>
      </w:r>
      <w:bookmarkEnd w:id="110"/>
    </w:p>
    <w:p w:rsidR="006A3043" w:rsidRPr="00F004DF" w:rsidP="00BF16B7" w14:paraId="560183CD" w14:textId="77777777">
      <w:pPr>
        <w:pStyle w:val="Heading3"/>
      </w:pPr>
      <w:bookmarkStart w:id="111" w:name="_Toc526868768"/>
      <w:r w:rsidRPr="00F004DF">
        <w:t>Definice problému</w:t>
      </w:r>
      <w:bookmarkEnd w:id="111"/>
    </w:p>
    <w:p w:rsidR="006A3043" w:rsidRPr="00F004DF" w:rsidP="006A3043" w14:paraId="132A2CC3" w14:textId="77777777">
      <w:r w:rsidRPr="00F004DF">
        <w:t>Jedná se o transpozici článku 8a odst. 4 písm. b) rámcové směrnice o odpadech, dle kterého členské státy zajistí, aby byly finanční příspěvky hrazené povinnými osobami v případě kolektivního plnění v rámci rozšířené odpovědnosti výrobce upravovány, pokud je to možné, pro jednotlivé výrobky nebo skupiny obdobných výrobků, a to zejména se zohledněním jejich trvanlivosti, opravitelnosti, opětovné použitelnosti, recyklovatelnosti a přítomnosti nebezpečných látek, přičemž se přihlíží k jejich životnímu cyklu a zohledňují se požadavky stanovené příslušným právem EU, a pokud možno na základě harmonizovaných kritérií, aby bylo zajištěno řádné fungování vnitřního trhu. EU předpokládá v této věci vydat během roku 2019 prováděcí dokumenty.</w:t>
      </w:r>
    </w:p>
    <w:p w:rsidR="006A3043" w:rsidRPr="00F004DF" w:rsidP="00BF16B7" w14:paraId="5403EDC9" w14:textId="77777777">
      <w:pPr>
        <w:pStyle w:val="Heading3"/>
      </w:pPr>
      <w:bookmarkStart w:id="112" w:name="_Toc526868769"/>
      <w:r w:rsidRPr="00F004DF">
        <w:t>Popis existujícího právního stavu v dané oblasti</w:t>
      </w:r>
      <w:bookmarkEnd w:id="112"/>
    </w:p>
    <w:p w:rsidR="006A3043" w:rsidRPr="00F004DF" w:rsidP="006A3043" w14:paraId="35C613A8" w14:textId="40CD9727">
      <w:r w:rsidRPr="00F004DF">
        <w:t xml:space="preserve">Existující právní stav detailněji nereguluje smluvní vztah mezi </w:t>
      </w:r>
      <w:r w:rsidR="00D11FCD">
        <w:t>KS</w:t>
      </w:r>
      <w:r w:rsidRPr="00F004DF">
        <w:t xml:space="preserve"> a</w:t>
      </w:r>
      <w:r w:rsidR="00592446">
        <w:t> </w:t>
      </w:r>
      <w:r w:rsidRPr="00F004DF">
        <w:t xml:space="preserve">povinnými osobami, resp. výrobci. Většina </w:t>
      </w:r>
      <w:r w:rsidR="00D11FCD">
        <w:t>KS</w:t>
      </w:r>
      <w:r w:rsidRPr="00F004DF">
        <w:t xml:space="preserve"> deklaruje, že uzavírají se všemi  výrobci smluvní vztahy jednotně a tak, aby žádné výrobky ani žádní výrobci nebyli neodůvodněně znevýhodněni v hospodářské soutěži. Tento postup je však v přímém rozporu s požadavkem na</w:t>
      </w:r>
      <w:r w:rsidR="00CC39B7">
        <w:t> </w:t>
      </w:r>
      <w:r w:rsidRPr="00F004DF">
        <w:t xml:space="preserve">provádění ekomodulace. </w:t>
      </w:r>
    </w:p>
    <w:p w:rsidR="006A3043" w:rsidRPr="00F004DF" w:rsidP="00BF16B7" w14:paraId="0AECF37E" w14:textId="77777777">
      <w:pPr>
        <w:pStyle w:val="Heading3"/>
      </w:pPr>
      <w:bookmarkStart w:id="113" w:name="_Toc526868770"/>
      <w:r w:rsidRPr="00F004DF">
        <w:t>Identifikace dotčených subjektů</w:t>
      </w:r>
      <w:bookmarkEnd w:id="113"/>
    </w:p>
    <w:p w:rsidR="006A3043" w:rsidRPr="00F004DF" w:rsidP="003C445B" w14:paraId="3F45EBFC" w14:textId="77777777">
      <w:pPr>
        <w:pStyle w:val="ListParagraph"/>
        <w:keepLines/>
        <w:numPr>
          <w:ilvl w:val="0"/>
          <w:numId w:val="50"/>
        </w:numPr>
        <w:spacing w:before="0" w:after="120"/>
        <w:contextualSpacing w:val="0"/>
      </w:pPr>
      <w:r w:rsidRPr="00F004DF">
        <w:t xml:space="preserve">Výrobci </w:t>
      </w:r>
      <w:r w:rsidR="00D45E16">
        <w:t>vybraných výrobků</w:t>
      </w:r>
    </w:p>
    <w:p w:rsidR="006A3043" w:rsidRPr="00F004DF" w:rsidP="003C445B" w14:paraId="787AF9C3" w14:textId="77777777">
      <w:pPr>
        <w:pStyle w:val="ListParagraph"/>
        <w:keepLines/>
        <w:numPr>
          <w:ilvl w:val="0"/>
          <w:numId w:val="50"/>
        </w:numPr>
        <w:spacing w:before="0" w:after="120"/>
        <w:ind w:left="714" w:hanging="357"/>
        <w:contextualSpacing w:val="0"/>
      </w:pPr>
      <w:r w:rsidRPr="00F004DF">
        <w:t>Kolektivní systé</w:t>
      </w:r>
      <w:r w:rsidR="00D45E16">
        <w:t>my</w:t>
      </w:r>
    </w:p>
    <w:p w:rsidR="006A3043" w:rsidRPr="00F004DF" w:rsidP="00BF16B7" w14:paraId="20CC982A" w14:textId="77777777">
      <w:pPr>
        <w:pStyle w:val="Heading3"/>
      </w:pPr>
      <w:bookmarkStart w:id="114" w:name="_Toc526868771"/>
      <w:r w:rsidRPr="00F004DF">
        <w:t>Popis cílového stavu</w:t>
      </w:r>
      <w:bookmarkEnd w:id="114"/>
    </w:p>
    <w:p w:rsidR="006A3043" w:rsidRPr="00F004DF" w:rsidP="006A3043" w14:paraId="63F65381" w14:textId="06DE92A0">
      <w:r w:rsidRPr="00F004DF">
        <w:t>K</w:t>
      </w:r>
      <w:r w:rsidR="00D11FCD">
        <w:t xml:space="preserve">S </w:t>
      </w:r>
      <w:r w:rsidRPr="00F004DF">
        <w:t>při sestavování sazebníků budou u jednotlivých typů výrobků zohledňovat kromě reálných nákladů také jejich životní cyklus, čímž budou povinné osoby finančně motivovány k uvádění environmentálně příznivějších výrobkových řešení na trh.</w:t>
      </w:r>
    </w:p>
    <w:p w:rsidR="006A3043" w:rsidRPr="00F004DF" w:rsidP="00BF16B7" w14:paraId="7BEE6A4E" w14:textId="77777777">
      <w:pPr>
        <w:pStyle w:val="Heading3"/>
      </w:pPr>
      <w:bookmarkStart w:id="115" w:name="_Toc526868772"/>
      <w:r w:rsidRPr="00F004DF">
        <w:t>Zhodnocení rizika</w:t>
      </w:r>
      <w:bookmarkEnd w:id="115"/>
    </w:p>
    <w:p w:rsidR="006A3043" w:rsidRPr="00F004DF" w:rsidP="006A3043" w14:paraId="04712880" w14:textId="6998A011">
      <w:r w:rsidRPr="00F004DF">
        <w:t>Stávající stav, kdy zákon problematiku specificky nereguluje, nicméně většina KS uzavírá se všemi  výrobci smluvní vztahy jednotně a tak, aby žádné výrobky ani žádní výrobci nebyli neodůvodněně znevýhodněni v hospodářské soutěži, sice v principu umožňuje provádět ekomodulaci, ale jen na dobrovolné bázi. Pro řádné provedení transpozice daných povinností do českého právního řádu je nezbytné, aby byla ekomodulace stanovena jako zákonná povinnost. Č</w:t>
      </w:r>
      <w:r w:rsidR="00D11FCD">
        <w:t>R</w:t>
      </w:r>
      <w:r w:rsidRPr="00F004DF">
        <w:t xml:space="preserve"> jinak hrozí zahájení infringementového řízení ze strany Evropské komise.</w:t>
      </w:r>
    </w:p>
    <w:p w:rsidR="006A3043" w:rsidRPr="00F004DF" w:rsidP="006A3043" w14:paraId="042B7B37" w14:textId="77777777">
      <w:pPr>
        <w:pStyle w:val="Heading2"/>
        <w:keepLines/>
        <w:spacing w:before="360"/>
        <w:ind w:left="578" w:hanging="578"/>
        <w:rPr>
          <w:rFonts w:cs="Times New Roman"/>
          <w:szCs w:val="24"/>
        </w:rPr>
      </w:pPr>
      <w:bookmarkStart w:id="116" w:name="_Toc526868773"/>
      <w:r w:rsidRPr="00F004DF">
        <w:rPr>
          <w:rFonts w:cs="Times New Roman"/>
          <w:szCs w:val="24"/>
        </w:rPr>
        <w:t>Návrh variant řešení</w:t>
      </w:r>
      <w:bookmarkEnd w:id="116"/>
    </w:p>
    <w:p w:rsidR="006A3043" w:rsidRPr="00F004DF" w:rsidP="00BF16B7" w14:paraId="13228FC0" w14:textId="77777777">
      <w:pPr>
        <w:pStyle w:val="Heading3"/>
      </w:pPr>
      <w:bookmarkStart w:id="117" w:name="_Toc526868774"/>
      <w:r w:rsidRPr="00F004DF">
        <w:t>Varianta 0</w:t>
      </w:r>
      <w:bookmarkEnd w:id="117"/>
    </w:p>
    <w:p w:rsidR="006A3043" w:rsidRPr="00F004DF" w:rsidP="006A3043" w14:paraId="2FF17704" w14:textId="77777777">
      <w:r w:rsidRPr="00F004DF">
        <w:t>KS za stávajícího právního stavu sice mohou de facto provádět ekomodulaci, ale pouze na</w:t>
      </w:r>
      <w:r w:rsidR="00592446">
        <w:t> </w:t>
      </w:r>
      <w:r w:rsidRPr="00F004DF">
        <w:t>dobrovolné bázi, což je v rozporu s evropskou směrnicí 98/2008 ES o odpadech, která ekomodulaci stanovuje jako povinnost.</w:t>
      </w:r>
    </w:p>
    <w:p w:rsidR="006A3043" w:rsidRPr="00F004DF" w:rsidP="00BF16B7" w14:paraId="5D6FAC1E" w14:textId="77777777">
      <w:pPr>
        <w:pStyle w:val="Heading3"/>
      </w:pPr>
      <w:bookmarkStart w:id="118" w:name="_Toc526868775"/>
      <w:r w:rsidRPr="00F004DF">
        <w:t>Varianta 1</w:t>
      </w:r>
      <w:bookmarkEnd w:id="118"/>
    </w:p>
    <w:p w:rsidR="00E73740" w:rsidP="006A3043" w14:paraId="06565562" w14:textId="77777777">
      <w:r w:rsidRPr="00F004DF">
        <w:t>KS budou povinny provádět ekomodulaci, tj. budou do struktury příspěvků za sdružené plnění  promítat životní cyklus jednotlivých výrobkových řešení.</w:t>
      </w:r>
    </w:p>
    <w:p w:rsidR="006A3043" w:rsidRPr="00F004DF" w:rsidP="006A3043" w14:paraId="202AE8AC" w14:textId="39165443">
      <w:r w:rsidRPr="00F004DF">
        <w:t xml:space="preserve"> </w:t>
      </w:r>
    </w:p>
    <w:p w:rsidR="006A3043" w:rsidRPr="00F004DF" w:rsidP="00E73740" w14:paraId="292CC5EF" w14:textId="77777777">
      <w:pPr>
        <w:pStyle w:val="Heading2"/>
        <w:keepLines/>
        <w:spacing w:before="0"/>
        <w:ind w:left="578" w:hanging="578"/>
        <w:rPr>
          <w:rFonts w:cs="Times New Roman"/>
          <w:szCs w:val="24"/>
        </w:rPr>
      </w:pPr>
      <w:bookmarkStart w:id="119" w:name="_Toc526868776"/>
      <w:r w:rsidRPr="00F004DF">
        <w:rPr>
          <w:rFonts w:cs="Times New Roman"/>
          <w:szCs w:val="24"/>
        </w:rPr>
        <w:t>Vyhodnocení nákladů a přínosů</w:t>
      </w:r>
      <w:bookmarkEnd w:id="119"/>
    </w:p>
    <w:p w:rsidR="006A3043" w:rsidRPr="00F004DF" w:rsidP="00BF16B7" w14:paraId="35B22530" w14:textId="77777777">
      <w:pPr>
        <w:pStyle w:val="Heading3"/>
      </w:pPr>
      <w:bookmarkStart w:id="120" w:name="_Toc526859122"/>
      <w:bookmarkStart w:id="121" w:name="_Toc526859528"/>
      <w:bookmarkStart w:id="122" w:name="_Toc526859784"/>
      <w:bookmarkStart w:id="123" w:name="_Toc526860040"/>
      <w:bookmarkStart w:id="124" w:name="_Toc526860553"/>
      <w:bookmarkStart w:id="125" w:name="_Toc526860804"/>
      <w:bookmarkStart w:id="126" w:name="_Toc526868777"/>
      <w:r w:rsidRPr="00F004DF">
        <w:t>Identifikace nákladů a přínosů</w:t>
      </w:r>
      <w:bookmarkStart w:id="127" w:name="_Toc526860297"/>
      <w:bookmarkEnd w:id="120"/>
      <w:bookmarkEnd w:id="121"/>
      <w:bookmarkEnd w:id="122"/>
      <w:bookmarkEnd w:id="123"/>
      <w:bookmarkEnd w:id="124"/>
      <w:bookmarkEnd w:id="125"/>
      <w:bookmarkEnd w:id="126"/>
      <w:bookmarkEnd w:id="127"/>
    </w:p>
    <w:p w:rsidR="006A3043" w:rsidRPr="00526F1E" w:rsidP="00526F1E" w14:paraId="0E49613B" w14:textId="77777777">
      <w:pPr>
        <w:pStyle w:val="variantadopady"/>
      </w:pPr>
      <w:bookmarkStart w:id="128" w:name="_Toc526868778"/>
      <w:r w:rsidRPr="00526F1E">
        <w:t>Varianta 0</w:t>
      </w:r>
      <w:bookmarkEnd w:id="128"/>
    </w:p>
    <w:p w:rsidR="006A3043" w:rsidRPr="00F004DF" w:rsidP="006A3043" w14:paraId="3023D027" w14:textId="77777777">
      <w:r w:rsidRPr="00F004DF">
        <w:t xml:space="preserve">Ponechání současného stavu, kdy KS ekomodulace je pouze dobrovolným nástrojem. </w:t>
      </w:r>
    </w:p>
    <w:p w:rsidR="006A3043" w:rsidRPr="00F004DF" w:rsidP="00526F1E" w14:paraId="68F53917" w14:textId="77777777">
      <w:pPr>
        <w:pStyle w:val="Normlntun"/>
      </w:pPr>
      <w:bookmarkStart w:id="129" w:name="_Toc526868779"/>
      <w:r w:rsidRPr="00F004DF">
        <w:t>Dopady na státní rozpočet a ostatní veřejné rozpočty</w:t>
      </w:r>
      <w:bookmarkEnd w:id="129"/>
    </w:p>
    <w:p w:rsidR="006A3043" w:rsidRPr="00F004DF" w:rsidP="006A3043" w14:paraId="229C07CA" w14:textId="22EA8969">
      <w:pPr>
        <w:rPr>
          <w:b/>
        </w:rPr>
      </w:pPr>
      <w:r w:rsidRPr="00F004DF">
        <w:t xml:space="preserve">Při ponechání současné legislativní úpravy, která </w:t>
      </w:r>
      <w:r w:rsidR="000F533C">
        <w:t>explicitně nestanovuje povinnost</w:t>
      </w:r>
      <w:r w:rsidRPr="00F004DF" w:rsidR="000F533C">
        <w:t xml:space="preserve"> </w:t>
      </w:r>
      <w:r w:rsidRPr="00F004DF">
        <w:t xml:space="preserve">KS provádět ekomodulaci, lze očekávat, </w:t>
      </w:r>
      <w:r w:rsidR="00D11FCD">
        <w:t xml:space="preserve">že </w:t>
      </w:r>
      <w:r w:rsidRPr="00F004DF">
        <w:t>bude ze strany E</w:t>
      </w:r>
      <w:r w:rsidR="00AE29F8">
        <w:t>vropské komise</w:t>
      </w:r>
      <w:r w:rsidRPr="00F004DF">
        <w:t xml:space="preserve"> zahájeno infringementové řízení. S ohledem na soudní praxi lze reálně očekávat, že v případě ČR by výše paušální pokuty i penále mohla být cca 10 000 € denně (tj. cca 270 000 Kč denně, tj. cca 8 370 000 Kč měsíčně) a 2 000 000 € jednorázově (tj.</w:t>
      </w:r>
      <w:r w:rsidR="00C138F6">
        <w:t> </w:t>
      </w:r>
      <w:r w:rsidRPr="00F004DF">
        <w:t>cca 54 mil. Kč). Tyto náklady by byly hrazeny z rozpočtové kapitoly resortu, který je gestorem, tedy v tomto případě z rozpočtu MŽP.</w:t>
      </w:r>
    </w:p>
    <w:p w:rsidR="006A3043" w:rsidRPr="00F004DF" w:rsidP="00B760EA" w14:paraId="56E3A174" w14:textId="77777777">
      <w:pPr>
        <w:pStyle w:val="Normlntun"/>
        <w:spacing w:before="240"/>
      </w:pPr>
      <w:bookmarkStart w:id="130" w:name="_Toc526868781"/>
      <w:r w:rsidRPr="00F004DF">
        <w:t>Dopady na podnikatelské prostředí</w:t>
      </w:r>
      <w:bookmarkEnd w:id="130"/>
    </w:p>
    <w:p w:rsidR="006A3043" w:rsidRPr="00F004DF" w:rsidP="006A3043" w14:paraId="5A99E36B" w14:textId="1F3FE2FE">
      <w:r w:rsidRPr="00F004DF">
        <w:rPr>
          <w:lang w:eastAsia="cs-CZ"/>
        </w:rPr>
        <w:t>KS neprovádějí ekomodulaci a při sestavování sazebníků promítají do výše příspěvků u</w:t>
      </w:r>
      <w:r w:rsidR="00592446">
        <w:rPr>
          <w:lang w:eastAsia="cs-CZ"/>
        </w:rPr>
        <w:t> </w:t>
      </w:r>
      <w:r w:rsidRPr="00F004DF">
        <w:rPr>
          <w:lang w:eastAsia="cs-CZ"/>
        </w:rPr>
        <w:t xml:space="preserve">jednotlivých výrobků pouze reálné náklady na sdružené plnění. </w:t>
      </w:r>
      <w:r w:rsidRPr="00F004DF">
        <w:t>Podnikatelé nejsou ekonomicky motivováni k volbě environmentálně příznivějších řešení.</w:t>
      </w:r>
      <w:r w:rsidR="00D11FCD">
        <w:t xml:space="preserve"> Tato varianta</w:t>
      </w:r>
      <w:r w:rsidRPr="00F004DF">
        <w:t xml:space="preserve"> </w:t>
      </w:r>
      <w:r w:rsidR="00D11FCD">
        <w:t>nemá</w:t>
      </w:r>
      <w:r w:rsidRPr="00F004DF">
        <w:t xml:space="preserve"> vliv na změnu příjmů KS ani podnikajících subjektů.</w:t>
      </w:r>
    </w:p>
    <w:p w:rsidR="006A3043" w:rsidRPr="00526F1E" w:rsidP="00B760EA" w14:paraId="5DCCC80F" w14:textId="77777777">
      <w:pPr>
        <w:spacing w:before="240"/>
        <w:rPr>
          <w:b/>
        </w:rPr>
      </w:pPr>
      <w:bookmarkStart w:id="131" w:name="_Toc526868785"/>
      <w:r w:rsidRPr="00526F1E">
        <w:rPr>
          <w:b/>
        </w:rPr>
        <w:t>Dopady na životní prostředí</w:t>
      </w:r>
      <w:bookmarkEnd w:id="131"/>
    </w:p>
    <w:p w:rsidR="006A3043" w:rsidRPr="00F004DF" w:rsidP="006A3043" w14:paraId="1423D3B9" w14:textId="77777777">
      <w:pPr>
        <w:rPr>
          <w:lang w:eastAsia="cs-CZ"/>
        </w:rPr>
      </w:pPr>
      <w:r w:rsidRPr="00F004DF">
        <w:rPr>
          <w:lang w:eastAsia="cs-CZ"/>
        </w:rPr>
        <w:t xml:space="preserve">Podnikatelské subjekty dnes nejsou motivovány k využívání ekologicky vhodnějších řešení, protože příspěvky u jednotlivých výrobků zohledňují pouze reálné náklady na kolektivní plnění. </w:t>
      </w:r>
    </w:p>
    <w:p w:rsidR="006A3043" w:rsidRPr="00F004DF" w:rsidP="006A3043" w14:paraId="3D7E25BE" w14:textId="77777777">
      <w:pPr>
        <w:rPr>
          <w:lang w:eastAsia="cs-CZ"/>
        </w:rPr>
      </w:pPr>
    </w:p>
    <w:p w:rsidR="006A3043" w:rsidRPr="00892122" w:rsidP="00E51F78" w14:paraId="2B7AB315" w14:textId="77777777">
      <w:pPr>
        <w:pStyle w:val="variantadopady"/>
      </w:pPr>
      <w:bookmarkStart w:id="132" w:name="_Toc526868790"/>
      <w:r w:rsidRPr="00892122">
        <w:t>Varianta 1</w:t>
      </w:r>
      <w:bookmarkEnd w:id="132"/>
    </w:p>
    <w:p w:rsidR="006A3043" w:rsidRPr="00F004DF" w:rsidP="006A3043" w14:paraId="1D34E3EE" w14:textId="77777777">
      <w:r w:rsidRPr="00F004DF">
        <w:t>KS budou povinny provádět ekomodulaci, tj. budou do struktury příspěvků za sdružené plnění  promítat životní cyklus jednotlivých výrobkových řešení.</w:t>
      </w:r>
    </w:p>
    <w:p w:rsidR="006A3043" w:rsidRPr="00F004DF" w:rsidP="00B760EA" w14:paraId="1118D6E3" w14:textId="77777777">
      <w:pPr>
        <w:pStyle w:val="Normlntun"/>
        <w:spacing w:before="240"/>
      </w:pPr>
      <w:bookmarkStart w:id="133" w:name="_Toc526868791"/>
      <w:r w:rsidRPr="00F004DF">
        <w:t>Dopady na státní rozpočet a ostatní veřejné rozpočty</w:t>
      </w:r>
      <w:bookmarkEnd w:id="133"/>
    </w:p>
    <w:p w:rsidR="006A3043" w:rsidRPr="00F004DF" w:rsidP="006A3043" w14:paraId="00F88980" w14:textId="7E880CE7">
      <w:r w:rsidRPr="00F004DF">
        <w:t xml:space="preserve">V případě včasného přijetí nové legislativy </w:t>
      </w:r>
      <w:r w:rsidR="00352D5E">
        <w:t>se omezí riziko</w:t>
      </w:r>
      <w:r w:rsidRPr="00F004DF">
        <w:t xml:space="preserve"> infringementové</w:t>
      </w:r>
      <w:r w:rsidR="00352D5E">
        <w:t xml:space="preserve">ho </w:t>
      </w:r>
      <w:r w:rsidRPr="00F004DF">
        <w:t>řízení</w:t>
      </w:r>
      <w:r w:rsidR="00352D5E">
        <w:t xml:space="preserve"> pro</w:t>
      </w:r>
      <w:r w:rsidRPr="00F004DF">
        <w:t xml:space="preserve"> ČR</w:t>
      </w:r>
      <w:r w:rsidR="00352D5E">
        <w:t xml:space="preserve"> a následných pokut za neplnění požadavků směrnice </w:t>
      </w:r>
      <w:r w:rsidRPr="00F004DF" w:rsidR="00352D5E">
        <w:t>98/2008 ES o odpadech</w:t>
      </w:r>
      <w:r w:rsidR="00352D5E">
        <w:t>.</w:t>
      </w:r>
      <w:r w:rsidRPr="00F004DF">
        <w:t xml:space="preserve"> </w:t>
      </w:r>
    </w:p>
    <w:p w:rsidR="006A3043" w:rsidRPr="00F004DF" w:rsidP="00B760EA" w14:paraId="59BFAE78" w14:textId="77777777">
      <w:pPr>
        <w:pStyle w:val="Normlntun"/>
        <w:spacing w:before="240"/>
      </w:pPr>
      <w:bookmarkStart w:id="134" w:name="_Toc526868793"/>
      <w:r w:rsidRPr="00F004DF">
        <w:t>Dopady na podnikatelské prostředí</w:t>
      </w:r>
      <w:bookmarkEnd w:id="134"/>
    </w:p>
    <w:p w:rsidR="00CC5289" w:rsidP="00CC5289" w14:paraId="37F3A9D1" w14:textId="5C2DF9E7">
      <w:pPr>
        <w:keepLines/>
        <w:spacing w:after="120"/>
      </w:pPr>
      <w:r w:rsidRPr="00F004DF">
        <w:t>KS, kter</w:t>
      </w:r>
      <w:r>
        <w:t>ý</w:t>
      </w:r>
      <w:r w:rsidRPr="00F004DF">
        <w:t xml:space="preserve"> provádí tzv. ekomodulaci, promítne do výše příspěvků pro jednotlivé výrobky nebo skupiny obdobných výrobků</w:t>
      </w:r>
      <w:r w:rsidRPr="00F004DF">
        <w:t xml:space="preserve"> </w:t>
      </w:r>
      <w:r w:rsidRPr="00F004DF">
        <w:t>nejen reálné náklady na sdružené plnění, ale zohlední také životní cyklus jednotlivých výrobků nebo skupiny obdobných výrobků</w:t>
      </w:r>
      <w:r w:rsidRPr="00892122" w:rsidR="00892122">
        <w:t xml:space="preserve"> </w:t>
      </w:r>
      <w:r w:rsidR="00A0467E">
        <w:t>a bude</w:t>
      </w:r>
      <w:r w:rsidRPr="00F004DF" w:rsidR="00892122">
        <w:t xml:space="preserve"> moci více akcentovat recyklovatelnost výrobků</w:t>
      </w:r>
      <w:r w:rsidRPr="00F004DF">
        <w:t xml:space="preserve">. </w:t>
      </w:r>
      <w:r w:rsidR="00892122">
        <w:t>Výrobci tak</w:t>
      </w:r>
      <w:r w:rsidRPr="00F004DF" w:rsidR="00892122">
        <w:t xml:space="preserve"> budou finančně motivováni k uvádění environmentálně příznivějších výrobků na trh</w:t>
      </w:r>
      <w:r w:rsidR="00892122">
        <w:t xml:space="preserve">. </w:t>
      </w:r>
    </w:p>
    <w:p w:rsidR="00E51F78" w:rsidP="00F37472" w14:paraId="21548A8C" w14:textId="77777777">
      <w:pPr>
        <w:keepLines/>
        <w:spacing w:after="120"/>
        <w:rPr>
          <w:rFonts w:eastAsia="Calibri" w:cs="Arial"/>
          <w:b/>
          <w:sz w:val="20"/>
          <w:szCs w:val="20"/>
        </w:rPr>
      </w:pPr>
    </w:p>
    <w:p w:rsidR="00E51F78" w:rsidP="00D11FCD" w14:paraId="4353DDD3" w14:textId="77777777">
      <w:pPr>
        <w:keepLines/>
        <w:spacing w:before="360" w:after="120"/>
        <w:rPr>
          <w:rFonts w:eastAsia="Calibri" w:cs="Arial"/>
          <w:b/>
          <w:sz w:val="20"/>
          <w:szCs w:val="20"/>
        </w:rPr>
      </w:pPr>
    </w:p>
    <w:p w:rsidR="00B760EA" w:rsidP="00D11FCD" w14:paraId="4E002F59" w14:textId="77777777">
      <w:pPr>
        <w:keepLines/>
        <w:spacing w:before="360" w:after="120"/>
        <w:rPr>
          <w:rFonts w:eastAsia="Calibri" w:cs="Arial"/>
          <w:b/>
          <w:sz w:val="20"/>
          <w:szCs w:val="20"/>
        </w:rPr>
      </w:pPr>
    </w:p>
    <w:p w:rsidR="008853F0" w14:paraId="6192C1C3" w14:textId="77777777">
      <w:pPr>
        <w:rPr>
          <w:rFonts w:eastAsia="Calibri" w:cs="Arial"/>
          <w:b/>
          <w:sz w:val="20"/>
          <w:szCs w:val="20"/>
        </w:rPr>
      </w:pPr>
      <w:r>
        <w:rPr>
          <w:rFonts w:eastAsia="Calibri" w:cs="Arial"/>
          <w:b/>
          <w:sz w:val="20"/>
          <w:szCs w:val="20"/>
        </w:rPr>
        <w:br w:type="page"/>
      </w:r>
    </w:p>
    <w:p w:rsidR="00CC5289" w:rsidRPr="001539F1" w:rsidP="00D11FCD" w14:paraId="54A75153" w14:textId="4CFEAF2A">
      <w:pPr>
        <w:keepLines/>
        <w:spacing w:before="360" w:after="120"/>
        <w:rPr>
          <w:rFonts w:eastAsia="Calibri" w:cs="Arial"/>
          <w:b/>
          <w:sz w:val="20"/>
          <w:szCs w:val="20"/>
        </w:rPr>
      </w:pPr>
      <w:r>
        <w:rPr>
          <w:rFonts w:eastAsia="Calibri" w:cs="Arial"/>
          <w:b/>
          <w:sz w:val="20"/>
          <w:szCs w:val="20"/>
        </w:rPr>
        <w:t>Tabulka 1</w:t>
      </w:r>
      <w:r w:rsidR="00925F10">
        <w:rPr>
          <w:rFonts w:eastAsia="Calibri" w:cs="Arial"/>
          <w:b/>
          <w:sz w:val="20"/>
          <w:szCs w:val="20"/>
        </w:rPr>
        <w:t>6</w:t>
      </w:r>
      <w:r w:rsidRPr="001539F1">
        <w:rPr>
          <w:rFonts w:eastAsia="Calibri" w:cs="Arial"/>
          <w:b/>
          <w:sz w:val="20"/>
          <w:szCs w:val="20"/>
        </w:rPr>
        <w:t xml:space="preserve">: </w:t>
      </w:r>
      <w:r w:rsidR="00A0467E">
        <w:rPr>
          <w:rFonts w:eastAsia="Calibri" w:cs="Arial"/>
          <w:b/>
          <w:sz w:val="20"/>
          <w:szCs w:val="20"/>
        </w:rPr>
        <w:t>Administrativní zátěž spoje</w:t>
      </w:r>
      <w:r w:rsidRPr="001539F1">
        <w:rPr>
          <w:rFonts w:eastAsia="Calibri" w:cs="Arial"/>
          <w:b/>
          <w:sz w:val="20"/>
          <w:szCs w:val="20"/>
        </w:rPr>
        <w:t>n</w:t>
      </w:r>
      <w:r w:rsidR="00A0467E">
        <w:rPr>
          <w:rFonts w:eastAsia="Calibri" w:cs="Arial"/>
          <w:b/>
          <w:sz w:val="20"/>
          <w:szCs w:val="20"/>
        </w:rPr>
        <w:t>á s</w:t>
      </w:r>
      <w:r w:rsidRPr="001539F1">
        <w:rPr>
          <w:rFonts w:eastAsia="Calibri" w:cs="Arial"/>
          <w:b/>
          <w:sz w:val="20"/>
          <w:szCs w:val="20"/>
        </w:rPr>
        <w:t xml:space="preserve"> </w:t>
      </w:r>
      <w:r w:rsidR="00A0467E">
        <w:rPr>
          <w:rFonts w:eastAsia="Calibri" w:cs="Arial"/>
          <w:b/>
          <w:sz w:val="20"/>
          <w:szCs w:val="20"/>
        </w:rPr>
        <w:t>ekomodulací</w:t>
      </w:r>
      <w:r>
        <w:rPr>
          <w:rStyle w:val="FootnoteReference"/>
          <w:rFonts w:eastAsia="Calibri" w:cs="Arial"/>
          <w:b/>
          <w:sz w:val="20"/>
          <w:szCs w:val="20"/>
        </w:rPr>
        <w:footnoteReference w:id="3"/>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559"/>
      </w:tblGrid>
      <w:tr w14:paraId="45F4D718" w14:textId="77777777" w:rsidTr="00712C9A">
        <w:tblPrEx>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6663" w:type="dxa"/>
            <w:shd w:val="clear" w:color="auto" w:fill="auto"/>
            <w:vAlign w:val="center"/>
          </w:tcPr>
          <w:p w:rsidR="00CC5289" w:rsidRPr="001539F1" w:rsidP="00712C9A" w14:paraId="5E966C71" w14:textId="77777777">
            <w:pPr>
              <w:keepNext/>
              <w:spacing w:before="20" w:after="20"/>
              <w:rPr>
                <w:rFonts w:eastAsia="MS Mincho" w:cs="Arial"/>
                <w:sz w:val="20"/>
                <w:szCs w:val="20"/>
              </w:rPr>
            </w:pPr>
            <w:r w:rsidRPr="001539F1">
              <w:rPr>
                <w:rFonts w:eastAsia="MS Mincho" w:cs="Arial"/>
                <w:sz w:val="20"/>
                <w:szCs w:val="20"/>
              </w:rPr>
              <w:t>Počet subjektů (ks)</w:t>
            </w:r>
          </w:p>
        </w:tc>
        <w:tc>
          <w:tcPr>
            <w:tcW w:w="1559" w:type="dxa"/>
            <w:shd w:val="clear" w:color="auto" w:fill="auto"/>
          </w:tcPr>
          <w:p w:rsidR="00CC5289" w:rsidRPr="001539F1" w:rsidP="00712C9A" w14:paraId="4BCB0111" w14:textId="0514CC75">
            <w:pPr>
              <w:keepNext/>
              <w:spacing w:before="20" w:after="20"/>
              <w:jc w:val="right"/>
              <w:rPr>
                <w:rFonts w:eastAsia="MS Mincho" w:cs="Arial"/>
                <w:sz w:val="20"/>
                <w:szCs w:val="20"/>
              </w:rPr>
            </w:pPr>
            <w:r>
              <w:rPr>
                <w:rFonts w:eastAsia="MS Mincho" w:cs="Arial"/>
                <w:sz w:val="20"/>
                <w:szCs w:val="20"/>
              </w:rPr>
              <w:t>18</w:t>
            </w:r>
          </w:p>
        </w:tc>
      </w:tr>
      <w:tr w14:paraId="4C802105" w14:textId="77777777" w:rsidTr="00712C9A">
        <w:tblPrEx>
          <w:tblW w:w="8222" w:type="dxa"/>
          <w:tblInd w:w="108" w:type="dxa"/>
          <w:tblLook w:val="00A0"/>
        </w:tblPrEx>
        <w:trPr>
          <w:trHeight w:val="397"/>
        </w:trPr>
        <w:tc>
          <w:tcPr>
            <w:tcW w:w="6663" w:type="dxa"/>
            <w:shd w:val="clear" w:color="auto" w:fill="auto"/>
            <w:vAlign w:val="center"/>
          </w:tcPr>
          <w:p w:rsidR="00CC5289" w:rsidRPr="001539F1" w:rsidP="00712C9A" w14:paraId="5CEC9F77" w14:textId="7B64C66F">
            <w:pPr>
              <w:keepNext/>
              <w:spacing w:before="20" w:after="20"/>
              <w:rPr>
                <w:rFonts w:eastAsia="MS Mincho" w:cs="Arial"/>
                <w:sz w:val="20"/>
                <w:szCs w:val="20"/>
              </w:rPr>
            </w:pPr>
            <w:r>
              <w:rPr>
                <w:rFonts w:eastAsia="MS Mincho" w:cs="Arial"/>
                <w:sz w:val="20"/>
                <w:szCs w:val="20"/>
              </w:rPr>
              <w:t>Hodinové náklady</w:t>
            </w:r>
            <w:r w:rsidRPr="001539F1">
              <w:rPr>
                <w:rFonts w:eastAsia="MS Mincho" w:cs="Arial"/>
                <w:sz w:val="20"/>
                <w:szCs w:val="20"/>
              </w:rPr>
              <w:t xml:space="preserve"> (Kč/hod)*</w:t>
            </w:r>
          </w:p>
        </w:tc>
        <w:tc>
          <w:tcPr>
            <w:tcW w:w="1559" w:type="dxa"/>
            <w:shd w:val="clear" w:color="auto" w:fill="auto"/>
          </w:tcPr>
          <w:p w:rsidR="00CC5289" w:rsidRPr="001539F1" w:rsidP="00F251E9" w14:paraId="7CAE79B5" w14:textId="7C8ACD29">
            <w:pPr>
              <w:keepNext/>
              <w:spacing w:before="20" w:after="20"/>
              <w:jc w:val="right"/>
              <w:rPr>
                <w:rFonts w:eastAsia="MS Mincho" w:cs="Arial"/>
                <w:sz w:val="20"/>
                <w:szCs w:val="20"/>
              </w:rPr>
            </w:pPr>
            <w:r>
              <w:rPr>
                <w:rFonts w:eastAsia="MS Mincho" w:cs="Arial"/>
                <w:sz w:val="20"/>
                <w:szCs w:val="20"/>
              </w:rPr>
              <w:t>3</w:t>
            </w:r>
            <w:r w:rsidR="00F251E9">
              <w:rPr>
                <w:rFonts w:eastAsia="MS Mincho" w:cs="Arial"/>
                <w:sz w:val="20"/>
                <w:szCs w:val="20"/>
              </w:rPr>
              <w:t>17</w:t>
            </w:r>
          </w:p>
        </w:tc>
      </w:tr>
      <w:tr w14:paraId="39FA7D08" w14:textId="77777777" w:rsidTr="00712C9A">
        <w:tblPrEx>
          <w:tblW w:w="8222" w:type="dxa"/>
          <w:tblInd w:w="108" w:type="dxa"/>
          <w:tblLook w:val="00A0"/>
        </w:tblPrEx>
        <w:trPr>
          <w:trHeight w:val="397"/>
        </w:trPr>
        <w:tc>
          <w:tcPr>
            <w:tcW w:w="6663" w:type="dxa"/>
            <w:shd w:val="clear" w:color="auto" w:fill="auto"/>
            <w:vAlign w:val="center"/>
          </w:tcPr>
          <w:p w:rsidR="00CC5289" w:rsidRPr="001539F1" w:rsidP="00CC5289" w14:paraId="6A7F97DA" w14:textId="171F856D">
            <w:pPr>
              <w:keepNext/>
              <w:spacing w:before="20" w:after="20"/>
              <w:rPr>
                <w:rFonts w:eastAsia="MS Mincho" w:cs="Arial"/>
                <w:sz w:val="20"/>
                <w:szCs w:val="20"/>
              </w:rPr>
            </w:pPr>
            <w:r w:rsidRPr="001539F1">
              <w:rPr>
                <w:rFonts w:eastAsia="MS Mincho" w:cs="Arial"/>
                <w:sz w:val="20"/>
                <w:szCs w:val="20"/>
              </w:rPr>
              <w:t xml:space="preserve">Časová náročnost </w:t>
            </w:r>
            <w:r>
              <w:rPr>
                <w:rFonts w:eastAsia="MS Mincho" w:cs="Arial"/>
                <w:sz w:val="20"/>
                <w:szCs w:val="20"/>
              </w:rPr>
              <w:t xml:space="preserve">1 KS </w:t>
            </w:r>
            <w:r w:rsidRPr="001539F1">
              <w:rPr>
                <w:rFonts w:eastAsia="MS Mincho" w:cs="Arial"/>
                <w:sz w:val="20"/>
                <w:szCs w:val="20"/>
              </w:rPr>
              <w:t>spojená s </w:t>
            </w:r>
            <w:r>
              <w:rPr>
                <w:rFonts w:eastAsia="MS Mincho" w:cs="Arial"/>
                <w:sz w:val="20"/>
                <w:szCs w:val="20"/>
              </w:rPr>
              <w:t>ekomodulací (hod</w:t>
            </w:r>
            <w:r w:rsidRPr="001539F1">
              <w:rPr>
                <w:rFonts w:eastAsia="MS Mincho" w:cs="Arial"/>
                <w:sz w:val="20"/>
                <w:szCs w:val="20"/>
              </w:rPr>
              <w:t>)</w:t>
            </w:r>
            <w:r w:rsidR="00A0467E">
              <w:rPr>
                <w:rFonts w:eastAsia="MS Mincho" w:cs="Arial"/>
                <w:sz w:val="20"/>
                <w:szCs w:val="20"/>
              </w:rPr>
              <w:t>**</w:t>
            </w:r>
          </w:p>
        </w:tc>
        <w:tc>
          <w:tcPr>
            <w:tcW w:w="1559" w:type="dxa"/>
            <w:shd w:val="clear" w:color="auto" w:fill="auto"/>
          </w:tcPr>
          <w:p w:rsidR="00CC5289" w:rsidRPr="001539F1" w:rsidP="00712C9A" w14:paraId="3BF17AA2" w14:textId="0BD303C3">
            <w:pPr>
              <w:keepNext/>
              <w:spacing w:before="20" w:after="20"/>
              <w:jc w:val="right"/>
              <w:rPr>
                <w:rFonts w:eastAsia="MS Mincho" w:cs="Arial"/>
                <w:sz w:val="20"/>
                <w:szCs w:val="20"/>
              </w:rPr>
            </w:pPr>
            <w:r>
              <w:rPr>
                <w:rFonts w:eastAsia="MS Mincho" w:cs="Arial"/>
                <w:sz w:val="20"/>
                <w:szCs w:val="20"/>
              </w:rPr>
              <w:t>24</w:t>
            </w:r>
          </w:p>
        </w:tc>
      </w:tr>
      <w:tr w14:paraId="3CB1FD0A" w14:textId="77777777" w:rsidTr="00712C9A">
        <w:tblPrEx>
          <w:tblW w:w="8222" w:type="dxa"/>
          <w:tblInd w:w="108" w:type="dxa"/>
          <w:tblLook w:val="00A0"/>
        </w:tblPrEx>
        <w:trPr>
          <w:trHeight w:val="397"/>
        </w:trPr>
        <w:tc>
          <w:tcPr>
            <w:tcW w:w="6663" w:type="dxa"/>
            <w:shd w:val="clear" w:color="auto" w:fill="auto"/>
            <w:vAlign w:val="center"/>
          </w:tcPr>
          <w:p w:rsidR="00CC5289" w:rsidRPr="001539F1" w:rsidP="00CC5289" w14:paraId="599B7020" w14:textId="1C864CDB">
            <w:pPr>
              <w:keepNext/>
              <w:spacing w:before="20" w:after="20"/>
              <w:rPr>
                <w:rFonts w:eastAsia="MS Mincho" w:cs="Arial"/>
                <w:sz w:val="20"/>
                <w:szCs w:val="20"/>
              </w:rPr>
            </w:pPr>
            <w:r w:rsidRPr="001539F1">
              <w:rPr>
                <w:rFonts w:eastAsia="MS Mincho" w:cs="Arial"/>
                <w:sz w:val="20"/>
                <w:szCs w:val="20"/>
              </w:rPr>
              <w:t xml:space="preserve">Mzdové a režijní náklady </w:t>
            </w:r>
            <w:r>
              <w:rPr>
                <w:rFonts w:eastAsia="MS Mincho" w:cs="Arial"/>
                <w:sz w:val="20"/>
                <w:szCs w:val="20"/>
              </w:rPr>
              <w:t>1 KS</w:t>
            </w:r>
            <w:r w:rsidRPr="001539F1">
              <w:rPr>
                <w:rFonts w:eastAsia="MS Mincho" w:cs="Arial"/>
                <w:sz w:val="20"/>
                <w:szCs w:val="20"/>
              </w:rPr>
              <w:t xml:space="preserve"> (Kč)</w:t>
            </w:r>
          </w:p>
        </w:tc>
        <w:tc>
          <w:tcPr>
            <w:tcW w:w="1559" w:type="dxa"/>
            <w:shd w:val="clear" w:color="auto" w:fill="auto"/>
          </w:tcPr>
          <w:p w:rsidR="00CC5289" w:rsidRPr="001539F1" w:rsidP="00F251E9" w14:paraId="3B295BC2" w14:textId="23556BD4">
            <w:pPr>
              <w:keepNext/>
              <w:spacing w:before="20" w:after="20"/>
              <w:jc w:val="right"/>
              <w:rPr>
                <w:rFonts w:eastAsia="MS Mincho" w:cs="Arial"/>
                <w:sz w:val="20"/>
                <w:szCs w:val="20"/>
              </w:rPr>
            </w:pPr>
            <w:r>
              <w:rPr>
                <w:rFonts w:eastAsia="MS Mincho" w:cs="Arial"/>
                <w:sz w:val="20"/>
                <w:szCs w:val="20"/>
              </w:rPr>
              <w:t xml:space="preserve">7 </w:t>
            </w:r>
            <w:r w:rsidR="00F251E9">
              <w:rPr>
                <w:rFonts w:eastAsia="MS Mincho" w:cs="Arial"/>
                <w:sz w:val="20"/>
                <w:szCs w:val="20"/>
              </w:rPr>
              <w:t>608</w:t>
            </w:r>
          </w:p>
        </w:tc>
      </w:tr>
      <w:tr w14:paraId="4D9CA0D8" w14:textId="77777777" w:rsidTr="00712C9A">
        <w:tblPrEx>
          <w:tblW w:w="8222" w:type="dxa"/>
          <w:tblInd w:w="108" w:type="dxa"/>
          <w:tblLook w:val="00A0"/>
        </w:tblPrEx>
        <w:trPr>
          <w:trHeight w:val="397"/>
        </w:trPr>
        <w:tc>
          <w:tcPr>
            <w:tcW w:w="6663" w:type="dxa"/>
            <w:shd w:val="clear" w:color="auto" w:fill="auto"/>
            <w:vAlign w:val="center"/>
          </w:tcPr>
          <w:p w:rsidR="00CC5289" w:rsidRPr="001539F1" w:rsidP="00CC5289" w14:paraId="13454120" w14:textId="1A38161C">
            <w:pPr>
              <w:keepNext/>
              <w:spacing w:before="20" w:after="20"/>
              <w:rPr>
                <w:rFonts w:eastAsia="MS Mincho" w:cs="Arial"/>
                <w:b/>
                <w:sz w:val="20"/>
                <w:szCs w:val="20"/>
              </w:rPr>
            </w:pPr>
            <w:r>
              <w:rPr>
                <w:rFonts w:eastAsia="MS Mincho" w:cs="Arial"/>
                <w:b/>
                <w:sz w:val="20"/>
                <w:szCs w:val="20"/>
              </w:rPr>
              <w:t>Odhadované náklady při počtu 18 KS</w:t>
            </w:r>
            <w:r w:rsidRPr="001539F1">
              <w:rPr>
                <w:rFonts w:eastAsia="MS Mincho" w:cs="Arial"/>
                <w:b/>
                <w:sz w:val="20"/>
                <w:szCs w:val="20"/>
              </w:rPr>
              <w:t xml:space="preserve"> (Kč)</w:t>
            </w:r>
          </w:p>
        </w:tc>
        <w:tc>
          <w:tcPr>
            <w:tcW w:w="1559" w:type="dxa"/>
            <w:shd w:val="clear" w:color="auto" w:fill="auto"/>
          </w:tcPr>
          <w:p w:rsidR="00CC5289" w:rsidRPr="001539F1" w:rsidP="00712C9A" w14:paraId="62E02FF4" w14:textId="38CDDB6F">
            <w:pPr>
              <w:keepNext/>
              <w:spacing w:before="20" w:after="20"/>
              <w:jc w:val="right"/>
              <w:rPr>
                <w:rFonts w:eastAsia="MS Mincho" w:cs="Arial"/>
                <w:b/>
                <w:sz w:val="20"/>
                <w:szCs w:val="20"/>
              </w:rPr>
            </w:pPr>
            <w:r>
              <w:rPr>
                <w:rFonts w:eastAsia="MS Mincho" w:cs="Arial"/>
                <w:b/>
                <w:sz w:val="20"/>
                <w:szCs w:val="20"/>
              </w:rPr>
              <w:t>136 944</w:t>
            </w:r>
          </w:p>
        </w:tc>
      </w:tr>
    </w:tbl>
    <w:p w:rsidR="00CC5289" w:rsidP="00CC5289" w14:paraId="3760275B" w14:textId="783C6477">
      <w:pPr>
        <w:keepNext/>
        <w:spacing w:after="120" w:line="240" w:lineRule="auto"/>
        <w:rPr>
          <w:sz w:val="20"/>
          <w:szCs w:val="20"/>
        </w:rPr>
      </w:pPr>
      <w:r w:rsidRPr="001539F1">
        <w:rPr>
          <w:rFonts w:cs="Arial"/>
          <w:bCs/>
          <w:iCs/>
          <w:color w:val="000000"/>
          <w:sz w:val="20"/>
          <w:szCs w:val="20"/>
          <w:lang w:eastAsia="cs-CZ"/>
        </w:rPr>
        <w:t xml:space="preserve">* </w:t>
      </w:r>
      <w:r w:rsidRPr="00CC5289">
        <w:rPr>
          <w:sz w:val="20"/>
          <w:szCs w:val="20"/>
        </w:rPr>
        <w:t>Hodinové sazby pro podnikatelský sektor vyc</w:t>
      </w:r>
      <w:r w:rsidR="00F251E9">
        <w:rPr>
          <w:sz w:val="20"/>
          <w:szCs w:val="20"/>
        </w:rPr>
        <w:t>házejí z průměrné mzdy roku 2018</w:t>
      </w:r>
      <w:r w:rsidRPr="00CC5289">
        <w:rPr>
          <w:sz w:val="20"/>
          <w:szCs w:val="20"/>
        </w:rPr>
        <w:t xml:space="preserve"> (ČSÚ) pro sektor E - Zásobování vodou; činnosti související s odpadními vodami, odpady a sanacemi, s připočítáním 35 % odvodů na</w:t>
      </w:r>
      <w:r w:rsidR="00A0467E">
        <w:rPr>
          <w:sz w:val="20"/>
          <w:szCs w:val="20"/>
        </w:rPr>
        <w:t> </w:t>
      </w:r>
      <w:r w:rsidRPr="00CC5289">
        <w:rPr>
          <w:sz w:val="20"/>
          <w:szCs w:val="20"/>
        </w:rPr>
        <w:t xml:space="preserve">zdravotní a sociální pojištění a </w:t>
      </w:r>
      <w:r w:rsidR="00F251E9">
        <w:rPr>
          <w:sz w:val="20"/>
          <w:szCs w:val="20"/>
        </w:rPr>
        <w:t>43 % režijních nákladů, tzn. 317</w:t>
      </w:r>
      <w:r w:rsidRPr="00CC5289">
        <w:rPr>
          <w:sz w:val="20"/>
          <w:szCs w:val="20"/>
        </w:rPr>
        <w:t xml:space="preserve"> Kč/hod.</w:t>
      </w:r>
    </w:p>
    <w:p w:rsidR="00A0467E" w:rsidRPr="00CC5289" w:rsidP="00CC5289" w14:paraId="3BD46264" w14:textId="78C74208">
      <w:pPr>
        <w:keepNext/>
        <w:spacing w:after="120" w:line="240" w:lineRule="auto"/>
        <w:rPr>
          <w:color w:val="000000"/>
          <w:sz w:val="20"/>
          <w:szCs w:val="20"/>
        </w:rPr>
      </w:pPr>
      <w:r>
        <w:rPr>
          <w:sz w:val="20"/>
          <w:szCs w:val="20"/>
        </w:rPr>
        <w:t xml:space="preserve">** </w:t>
      </w:r>
      <w:r w:rsidRPr="00A0467E">
        <w:rPr>
          <w:sz w:val="20"/>
          <w:szCs w:val="20"/>
        </w:rPr>
        <w:t>Administrativní zátěž byla vyčíslena na základě odborného odhadu pracovníků MŽP</w:t>
      </w:r>
    </w:p>
    <w:p w:rsidR="00A0467E" w:rsidP="00A0467E" w14:paraId="5408349E" w14:textId="77777777">
      <w:pPr>
        <w:jc w:val="right"/>
        <w:rPr>
          <w:rFonts w:cs="Arial"/>
        </w:rPr>
      </w:pPr>
      <w:r>
        <w:rPr>
          <w:rFonts w:cs="Arial"/>
          <w:i/>
          <w:iCs/>
          <w:color w:val="000000"/>
          <w:sz w:val="20"/>
          <w:szCs w:val="20"/>
          <w:lang w:eastAsia="cs-CZ"/>
        </w:rPr>
        <w:t>Zdroj: MŽP</w:t>
      </w:r>
    </w:p>
    <w:p w:rsidR="00A0467E" w:rsidRPr="00A0467E" w:rsidP="00A0467E" w14:paraId="64FCD00B" w14:textId="4FA36EDE">
      <w:pPr>
        <w:rPr>
          <w:rFonts w:cs="Arial"/>
        </w:rPr>
      </w:pPr>
      <w:r>
        <w:t>Z důvodu zavedení ekomodulace (</w:t>
      </w:r>
      <w:r w:rsidRPr="00CC5289">
        <w:t>výše poplatků již nemusí odrážet pouze reálné náklady na</w:t>
      </w:r>
      <w:r>
        <w:t> </w:t>
      </w:r>
      <w:r w:rsidRPr="00CC5289">
        <w:t xml:space="preserve">sdružené plnění, při sestavování sazebníků u jednotlivých </w:t>
      </w:r>
      <w:r>
        <w:t xml:space="preserve">výrobků s ukončenou životností, ale </w:t>
      </w:r>
      <w:r w:rsidRPr="00CC5289">
        <w:t>zohledňuje kromě reálných nákladů také jejich životní cyklus</w:t>
      </w:r>
      <w:r>
        <w:t>) d</w:t>
      </w:r>
      <w:r w:rsidRPr="00F004DF">
        <w:t>ojde k</w:t>
      </w:r>
      <w:r>
        <w:t xml:space="preserve"> jednorázovému zvýšení </w:t>
      </w:r>
      <w:r w:rsidRPr="00A0467E">
        <w:t>administrativní zátěže KS. Celková administrativní zátěž se odhaduje na 13</w:t>
      </w:r>
      <w:r w:rsidR="00F251E9">
        <w:t>7</w:t>
      </w:r>
      <w:r w:rsidRPr="00A0467E">
        <w:t xml:space="preserve"> tis. Kč.</w:t>
      </w:r>
      <w:r w:rsidRPr="00F004DF">
        <w:t xml:space="preserve"> </w:t>
      </w:r>
    </w:p>
    <w:p w:rsidR="006A3043" w:rsidRPr="00F004DF" w:rsidP="006A3043" w14:paraId="559CA1B1" w14:textId="77777777">
      <w:r w:rsidRPr="00F004DF">
        <w:t>KS si také budou muset za účelem provedení tzv. ekomodulace nechat vypracovat odborné studie, které budou sloužit jako podklad pro její realizaci. Předpokládané jednorázové náklady na vypracování této studie činí cca 200 tis. Kč pro každou výrobkovou skupinu (elektrozařízení, baterie a akumulátory, pneumatiky).</w:t>
      </w:r>
    </w:p>
    <w:p w:rsidR="006A3043" w:rsidRPr="00F004DF" w:rsidP="006A3043" w14:paraId="74F3EEF8" w14:textId="77777777">
      <w:r w:rsidRPr="00F004DF">
        <w:t xml:space="preserve">Dojde ke změně příjmů KS z vybraných příspěvků za sdružené plnění. Vzhledem k tomu, že není známo, jak KS tyto příspěvky nastaví a jak budou s ohledem na výši těchto příspěvků povinné osoby motivovány ke změně, nelze tuto změnu příjmů KS v současnosti kvantifikovat. </w:t>
      </w:r>
    </w:p>
    <w:p w:rsidR="006A3043" w:rsidP="006A3043" w14:paraId="6AE3341D" w14:textId="13D273BA">
      <w:r w:rsidRPr="00F004DF">
        <w:t>V případě, že KS budou provádět ekomodulaci, dojde pro jednotlivé podnikatelské subjekty ke</w:t>
      </w:r>
      <w:r w:rsidR="004114EA">
        <w:t> </w:t>
      </w:r>
      <w:r w:rsidRPr="00F004DF">
        <w:t>změně příspěvků na zajištění sdruženého plnění a to v závislosti na tom, jak environmentálně šetrná řešení používají. Vzhledem k tomu, že není známo nastavení příspěvků KS, nelze konkrétní dopad na podnikatelské subjekty v současné době kvantifikovat. Lze očekávat, že tuto změnu příspěvků promítne podnikatelský subjekt do</w:t>
      </w:r>
      <w:r w:rsidR="00592446">
        <w:t> </w:t>
      </w:r>
      <w:r w:rsidRPr="00F004DF">
        <w:t>konečné ceny výrobků. Vedle toho lze nicméně předpokládat pozitivní dopad na</w:t>
      </w:r>
      <w:r w:rsidR="00592446">
        <w:t> </w:t>
      </w:r>
      <w:r w:rsidRPr="00F004DF">
        <w:t>recyklační průmysl, kdy eliminace některých materiálových kombinací může pozitivně přispět k snadnější recyklovatelnosti některých výrobků.</w:t>
      </w:r>
    </w:p>
    <w:p w:rsidR="006A3043" w:rsidRPr="00F004DF" w:rsidP="00E51F78" w14:paraId="29533D90" w14:textId="77777777">
      <w:pPr>
        <w:pStyle w:val="Normlntun"/>
      </w:pPr>
      <w:bookmarkStart w:id="135" w:name="_Toc526868796"/>
      <w:r w:rsidRPr="00F004DF">
        <w:t>Dopady na spotřebitele</w:t>
      </w:r>
      <w:bookmarkEnd w:id="135"/>
    </w:p>
    <w:p w:rsidR="006A3043" w:rsidRPr="00F004DF" w:rsidP="006A3043" w14:paraId="796D8F0E" w14:textId="7E360F8F">
      <w:r w:rsidRPr="00F004DF">
        <w:t>Lze očekávat, že doje ke zdražení výrobků, které budou v rámci ekomodulace vyhodnoceny jako environmentálně málo šetrné. Oproti tomu ceny environmentálně šetrných výrobků by měly zůstat nedotčeny. Je možné, že se však tato změna promítne do cen výrobků pro</w:t>
      </w:r>
      <w:r w:rsidR="00592446">
        <w:t> </w:t>
      </w:r>
      <w:r w:rsidRPr="00F004DF">
        <w:t>spotřebitele pozitivně a spotřebitel tedy zakoupením výrobku zatíží v porovnání se</w:t>
      </w:r>
      <w:r w:rsidR="00E73740">
        <w:t> </w:t>
      </w:r>
      <w:r w:rsidRPr="00F004DF">
        <w:t>současným stavem méně životní prostředí, a současně zaplatí méně (efekt eliminace environmentálně nevhodných řešen z trhu).</w:t>
      </w:r>
    </w:p>
    <w:p w:rsidR="006A3043" w:rsidP="006A3043" w14:paraId="7B1612CE" w14:textId="77777777">
      <w:r w:rsidRPr="00F004DF">
        <w:t>Pokud budou povinné osoby i nadále uvádět na trh výrobky, které budou ekomodulací znevýhodněny, projeví se toto znevýhodnění do ceny výrobků. Spotřebitel pak bude ekonomicky motivován k volbě environmentálně šetrnějších výrobků, neboť výrobky zatížené ekomodulací budou dražší.</w:t>
      </w:r>
    </w:p>
    <w:p w:rsidR="006A3043" w:rsidRPr="00F004DF" w:rsidP="00E51F78" w14:paraId="18DC5975" w14:textId="77777777">
      <w:pPr>
        <w:pStyle w:val="Normlntun"/>
      </w:pPr>
      <w:bookmarkStart w:id="136" w:name="_Toc526868797"/>
      <w:r w:rsidRPr="00F004DF">
        <w:t>Dopady na životní prostředí</w:t>
      </w:r>
      <w:bookmarkEnd w:id="136"/>
    </w:p>
    <w:p w:rsidR="006A3043" w:rsidRPr="00F004DF" w:rsidP="006A3043" w14:paraId="58609147" w14:textId="77777777">
      <w:r w:rsidRPr="00F004DF">
        <w:t>Stanovení rozdílné úrovně příspěvků za sdružené plnění povede k motivaci výrobců používat environmentálně šetrnější řešení. Dojde ke zvýšení recyklace a sníží se skládkování a energetické využití odpadů vznikajících při zpracování zpětně odebraných výrobků.</w:t>
      </w:r>
    </w:p>
    <w:p w:rsidR="006A3043" w:rsidRPr="00F004DF" w:rsidP="00E51F78" w14:paraId="0BB23E57" w14:textId="77777777">
      <w:pPr>
        <w:pStyle w:val="Normlntun"/>
      </w:pPr>
      <w:bookmarkStart w:id="137" w:name="_Toc526868800"/>
      <w:r w:rsidRPr="00F004DF">
        <w:t>Korupční rizika</w:t>
      </w:r>
      <w:bookmarkEnd w:id="137"/>
    </w:p>
    <w:p w:rsidR="006A3043" w:rsidRPr="00F004DF" w:rsidP="006A3043" w14:paraId="500E5883" w14:textId="016E4D3F">
      <w:r w:rsidRPr="00F004DF">
        <w:t xml:space="preserve">Určité riziko lze možná spatřovat v důsledku zavedení ekomodulace jako zcela nového environmentálně-ekonomického nástroje. Zde lze předpokládat existenci určitého rizika ovlivňování </w:t>
      </w:r>
      <w:r w:rsidR="00E344A3">
        <w:t>KS</w:t>
      </w:r>
      <w:r w:rsidRPr="00F004DF">
        <w:t xml:space="preserve"> při určování skupin výrobků, které mají být v rámci ekomodulace zvýhodňovány či naopak nezvýhodňovány, a to v rámci sazebníků příspěvků za</w:t>
      </w:r>
      <w:r w:rsidR="00592446">
        <w:t> </w:t>
      </w:r>
      <w:r w:rsidRPr="00F004DF">
        <w:t>služby kolektivního plnění. Evropská komise by měla k této problematice teprve v budoucnu vydat informační materiály, jakým způsobem by měla být ekomodulace v praxi realizována. Vhledem k tomu, že směrnice o odpadech stanovuje ekomodulaci jako povinnost pro výrobce, resp. systémy rozšířené odpovědnosti výrobců, nejsou tato potenciální korupční rizika na straně státní správy, ale na</w:t>
      </w:r>
      <w:r w:rsidR="00B760EA">
        <w:t> </w:t>
      </w:r>
      <w:r w:rsidRPr="00F004DF">
        <w:t xml:space="preserve">straně </w:t>
      </w:r>
      <w:r w:rsidR="00E344A3">
        <w:t>KS</w:t>
      </w:r>
      <w:r w:rsidRPr="00F004DF">
        <w:t>. Ministerstvo by v této souvislosti mělo být v</w:t>
      </w:r>
      <w:r w:rsidR="004114EA">
        <w:t> </w:t>
      </w:r>
      <w:r w:rsidRPr="00F004DF">
        <w:t>pozici dozorového orgánu, a to s</w:t>
      </w:r>
      <w:r w:rsidR="00B760EA">
        <w:t> </w:t>
      </w:r>
      <w:r w:rsidRPr="00F004DF">
        <w:t xml:space="preserve">ohledem na kompetenci kontrolovat činnost </w:t>
      </w:r>
      <w:r w:rsidR="00E344A3">
        <w:t>KS</w:t>
      </w:r>
      <w:r w:rsidRPr="00F004DF">
        <w:t>.</w:t>
      </w:r>
    </w:p>
    <w:p w:rsidR="00E51F78" w:rsidP="00B760EA" w14:paraId="25D33818" w14:textId="77777777">
      <w:bookmarkStart w:id="138" w:name="_Toc526868802"/>
    </w:p>
    <w:p w:rsidR="006A3043" w:rsidRPr="00F004DF" w:rsidP="00BF16B7" w14:paraId="2AD05CF8" w14:textId="5C024C02">
      <w:pPr>
        <w:pStyle w:val="Heading3"/>
      </w:pPr>
      <w:r w:rsidRPr="00F004DF">
        <w:t>Vyhodnocení nákladů a přínosů variant</w:t>
      </w:r>
      <w:bookmarkEnd w:id="138"/>
    </w:p>
    <w:p w:rsidR="006A3043" w:rsidRPr="007E1D9E" w:rsidP="00892679" w14:paraId="168B6752" w14:textId="25D4C846">
      <w:pPr>
        <w:pStyle w:val="Caption"/>
        <w:spacing w:before="120"/>
        <w:contextualSpacing w:val="0"/>
        <w:rPr>
          <w:sz w:val="20"/>
          <w:szCs w:val="20"/>
        </w:rPr>
      </w:pPr>
      <w:r w:rsidRPr="008231E9">
        <w:rPr>
          <w:sz w:val="20"/>
          <w:szCs w:val="20"/>
        </w:rPr>
        <w:t xml:space="preserve">Tabulka </w:t>
      </w:r>
      <w:r w:rsidR="00925F10">
        <w:rPr>
          <w:sz w:val="20"/>
          <w:szCs w:val="20"/>
        </w:rPr>
        <w:t>17</w:t>
      </w:r>
      <w:r w:rsidRPr="008231E9">
        <w:rPr>
          <w:sz w:val="20"/>
          <w:szCs w:val="20"/>
        </w:rPr>
        <w:t>: Porovnání</w:t>
      </w:r>
      <w:r w:rsidRPr="007E1D9E">
        <w:rPr>
          <w:sz w:val="20"/>
          <w:szCs w:val="20"/>
        </w:rPr>
        <w:t xml:space="preserve"> nákladů a přínosů</w:t>
      </w:r>
    </w:p>
    <w:tbl>
      <w:tblPr>
        <w:tblW w:w="8929" w:type="dxa"/>
        <w:tblInd w:w="80" w:type="dxa"/>
        <w:tblCellMar>
          <w:left w:w="70" w:type="dxa"/>
          <w:right w:w="70" w:type="dxa"/>
        </w:tblCellMar>
        <w:tblLook w:val="04A0"/>
      </w:tblPr>
      <w:tblGrid>
        <w:gridCol w:w="1408"/>
        <w:gridCol w:w="2551"/>
        <w:gridCol w:w="1398"/>
        <w:gridCol w:w="2288"/>
        <w:gridCol w:w="1284"/>
      </w:tblGrid>
      <w:tr w14:paraId="01D4753C" w14:textId="77777777" w:rsidTr="00A10242">
        <w:tblPrEx>
          <w:tblW w:w="8929" w:type="dxa"/>
          <w:tblInd w:w="80" w:type="dxa"/>
          <w:tblCellMar>
            <w:left w:w="70" w:type="dxa"/>
            <w:right w:w="70" w:type="dxa"/>
          </w:tblCellMar>
          <w:tblLook w:val="04A0"/>
        </w:tblPrEx>
        <w:trPr>
          <w:trHeight w:val="261"/>
        </w:trPr>
        <w:tc>
          <w:tcPr>
            <w:tcW w:w="1408" w:type="dxa"/>
            <w:tcBorders>
              <w:top w:val="single" w:sz="8" w:space="0" w:color="auto"/>
              <w:left w:val="single" w:sz="8" w:space="0" w:color="auto"/>
              <w:bottom w:val="single" w:sz="8" w:space="0" w:color="auto"/>
              <w:right w:val="nil"/>
            </w:tcBorders>
            <w:shd w:val="clear" w:color="auto" w:fill="auto"/>
            <w:noWrap/>
            <w:vAlign w:val="bottom"/>
            <w:hideMark/>
          </w:tcPr>
          <w:p w:rsidR="006A3043" w:rsidRPr="00A10242" w:rsidP="006A3043" w14:paraId="7D07645D" w14:textId="77777777">
            <w:pPr>
              <w:spacing w:line="240" w:lineRule="auto"/>
              <w:jc w:val="center"/>
              <w:rPr>
                <w:b/>
                <w:bCs/>
                <w:noProof w:val="0"/>
                <w:color w:val="000000"/>
                <w:sz w:val="20"/>
                <w:szCs w:val="20"/>
                <w:lang w:eastAsia="cs-CZ" w:bidi="ar-SA"/>
              </w:rPr>
            </w:pPr>
            <w:r w:rsidRPr="00A10242">
              <w:rPr>
                <w:b/>
                <w:bCs/>
                <w:noProof w:val="0"/>
                <w:color w:val="000000"/>
                <w:sz w:val="20"/>
                <w:szCs w:val="20"/>
                <w:lang w:eastAsia="cs-CZ" w:bidi="ar-SA"/>
              </w:rPr>
              <w:t>Varianta</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A3043" w:rsidRPr="00A10242" w:rsidP="006A3043" w14:paraId="1FA2511A" w14:textId="77777777">
            <w:pPr>
              <w:spacing w:line="240" w:lineRule="auto"/>
              <w:jc w:val="center"/>
              <w:rPr>
                <w:b/>
                <w:bCs/>
                <w:noProof w:val="0"/>
                <w:color w:val="000000"/>
                <w:sz w:val="20"/>
                <w:szCs w:val="20"/>
                <w:lang w:eastAsia="cs-CZ" w:bidi="ar-SA"/>
              </w:rPr>
            </w:pPr>
            <w:r w:rsidRPr="00A10242">
              <w:rPr>
                <w:b/>
                <w:bCs/>
                <w:noProof w:val="0"/>
                <w:color w:val="000000"/>
                <w:sz w:val="20"/>
                <w:szCs w:val="20"/>
                <w:lang w:eastAsia="cs-CZ" w:bidi="ar-SA"/>
              </w:rPr>
              <w:t>Přínosy</w:t>
            </w:r>
          </w:p>
        </w:tc>
        <w:tc>
          <w:tcPr>
            <w:tcW w:w="1398" w:type="dxa"/>
            <w:tcBorders>
              <w:top w:val="single" w:sz="8" w:space="0" w:color="auto"/>
              <w:left w:val="nil"/>
              <w:bottom w:val="single" w:sz="8" w:space="0" w:color="auto"/>
              <w:right w:val="single" w:sz="4" w:space="0" w:color="auto"/>
            </w:tcBorders>
            <w:shd w:val="clear" w:color="auto" w:fill="auto"/>
            <w:noWrap/>
            <w:vAlign w:val="bottom"/>
            <w:hideMark/>
          </w:tcPr>
          <w:p w:rsidR="006A3043" w:rsidRPr="00A10242" w:rsidP="006A3043" w14:paraId="310E1C1A" w14:textId="77777777">
            <w:pPr>
              <w:spacing w:line="240" w:lineRule="auto"/>
              <w:jc w:val="center"/>
              <w:rPr>
                <w:b/>
                <w:bCs/>
                <w:noProof w:val="0"/>
                <w:color w:val="000000"/>
                <w:sz w:val="20"/>
                <w:szCs w:val="20"/>
                <w:lang w:eastAsia="cs-CZ" w:bidi="ar-SA"/>
              </w:rPr>
            </w:pPr>
            <w:r w:rsidRPr="00A10242">
              <w:rPr>
                <w:b/>
                <w:bCs/>
                <w:noProof w:val="0"/>
                <w:color w:val="000000"/>
                <w:sz w:val="20"/>
                <w:szCs w:val="20"/>
                <w:lang w:eastAsia="cs-CZ" w:bidi="ar-SA"/>
              </w:rPr>
              <w:t>Hodnocení</w:t>
            </w:r>
          </w:p>
        </w:tc>
        <w:tc>
          <w:tcPr>
            <w:tcW w:w="2288" w:type="dxa"/>
            <w:tcBorders>
              <w:top w:val="single" w:sz="8" w:space="0" w:color="auto"/>
              <w:left w:val="nil"/>
              <w:bottom w:val="single" w:sz="8" w:space="0" w:color="auto"/>
              <w:right w:val="single" w:sz="8" w:space="0" w:color="auto"/>
            </w:tcBorders>
            <w:shd w:val="clear" w:color="auto" w:fill="auto"/>
            <w:noWrap/>
            <w:vAlign w:val="bottom"/>
            <w:hideMark/>
          </w:tcPr>
          <w:p w:rsidR="006A3043" w:rsidRPr="00A10242" w:rsidP="006A3043" w14:paraId="0558DA21" w14:textId="77777777">
            <w:pPr>
              <w:spacing w:line="240" w:lineRule="auto"/>
              <w:jc w:val="center"/>
              <w:rPr>
                <w:b/>
                <w:bCs/>
                <w:noProof w:val="0"/>
                <w:color w:val="000000"/>
                <w:sz w:val="20"/>
                <w:szCs w:val="20"/>
                <w:lang w:eastAsia="cs-CZ" w:bidi="ar-SA"/>
              </w:rPr>
            </w:pPr>
            <w:r w:rsidRPr="00A10242">
              <w:rPr>
                <w:b/>
                <w:bCs/>
                <w:noProof w:val="0"/>
                <w:color w:val="000000"/>
                <w:sz w:val="20"/>
                <w:szCs w:val="20"/>
                <w:lang w:eastAsia="cs-CZ" w:bidi="ar-SA"/>
              </w:rPr>
              <w:t>Náklady</w:t>
            </w:r>
          </w:p>
        </w:tc>
        <w:tc>
          <w:tcPr>
            <w:tcW w:w="1284" w:type="dxa"/>
            <w:tcBorders>
              <w:top w:val="single" w:sz="8" w:space="0" w:color="auto"/>
              <w:left w:val="nil"/>
              <w:bottom w:val="single" w:sz="8" w:space="0" w:color="auto"/>
              <w:right w:val="single" w:sz="4" w:space="0" w:color="auto"/>
            </w:tcBorders>
            <w:shd w:val="clear" w:color="auto" w:fill="auto"/>
            <w:noWrap/>
            <w:vAlign w:val="bottom"/>
            <w:hideMark/>
          </w:tcPr>
          <w:p w:rsidR="006A3043" w:rsidRPr="00A10242" w:rsidP="006A3043" w14:paraId="3CB4DECF" w14:textId="77777777">
            <w:pPr>
              <w:spacing w:line="240" w:lineRule="auto"/>
              <w:jc w:val="center"/>
              <w:rPr>
                <w:b/>
                <w:bCs/>
                <w:noProof w:val="0"/>
                <w:color w:val="000000"/>
                <w:sz w:val="20"/>
                <w:szCs w:val="20"/>
                <w:lang w:eastAsia="cs-CZ" w:bidi="ar-SA"/>
              </w:rPr>
            </w:pPr>
            <w:r w:rsidRPr="00A10242">
              <w:rPr>
                <w:b/>
                <w:bCs/>
                <w:noProof w:val="0"/>
                <w:color w:val="000000"/>
                <w:sz w:val="20"/>
                <w:szCs w:val="20"/>
                <w:lang w:eastAsia="cs-CZ" w:bidi="ar-SA"/>
              </w:rPr>
              <w:t>Hodnocení</w:t>
            </w:r>
          </w:p>
        </w:tc>
      </w:tr>
      <w:tr w14:paraId="4E9BA104" w14:textId="77777777" w:rsidTr="00E344A3">
        <w:tblPrEx>
          <w:tblW w:w="8929" w:type="dxa"/>
          <w:tblInd w:w="80" w:type="dxa"/>
          <w:tblCellMar>
            <w:left w:w="70" w:type="dxa"/>
            <w:right w:w="70" w:type="dxa"/>
          </w:tblCellMar>
          <w:tblLook w:val="04A0"/>
        </w:tblPrEx>
        <w:trPr>
          <w:trHeight w:val="489"/>
        </w:trPr>
        <w:tc>
          <w:tcPr>
            <w:tcW w:w="1408" w:type="dxa"/>
            <w:vMerge w:val="restart"/>
            <w:tcBorders>
              <w:top w:val="nil"/>
              <w:left w:val="single" w:sz="8" w:space="0" w:color="auto"/>
              <w:right w:val="nil"/>
            </w:tcBorders>
            <w:shd w:val="clear" w:color="auto" w:fill="auto"/>
            <w:noWrap/>
            <w:vAlign w:val="center"/>
            <w:hideMark/>
          </w:tcPr>
          <w:p w:rsidR="00A10242" w:rsidRPr="00A10242" w:rsidP="006A3043" w14:paraId="4EA21D98" w14:textId="77777777">
            <w:pPr>
              <w:spacing w:before="0" w:after="0" w:line="240" w:lineRule="auto"/>
              <w:jc w:val="center"/>
              <w:rPr>
                <w:b/>
                <w:bCs/>
                <w:noProof w:val="0"/>
                <w:color w:val="000000"/>
                <w:sz w:val="20"/>
                <w:szCs w:val="20"/>
                <w:lang w:eastAsia="cs-CZ" w:bidi="ar-SA"/>
              </w:rPr>
            </w:pPr>
            <w:r w:rsidRPr="00A10242">
              <w:rPr>
                <w:b/>
                <w:bCs/>
                <w:noProof w:val="0"/>
                <w:color w:val="000000"/>
                <w:sz w:val="20"/>
                <w:szCs w:val="20"/>
                <w:lang w:eastAsia="cs-CZ" w:bidi="ar-SA"/>
              </w:rPr>
              <w:t>Varianta 0</w:t>
            </w:r>
          </w:p>
        </w:tc>
        <w:tc>
          <w:tcPr>
            <w:tcW w:w="7521" w:type="dxa"/>
            <w:gridSpan w:val="4"/>
            <w:tcBorders>
              <w:top w:val="nil"/>
              <w:left w:val="single" w:sz="8" w:space="0" w:color="auto"/>
              <w:bottom w:val="single" w:sz="8" w:space="0" w:color="auto"/>
              <w:right w:val="single" w:sz="4" w:space="0" w:color="auto"/>
            </w:tcBorders>
            <w:shd w:val="clear" w:color="auto" w:fill="auto"/>
            <w:noWrap/>
            <w:vAlign w:val="center"/>
            <w:hideMark/>
          </w:tcPr>
          <w:p w:rsidR="00A10242" w:rsidRPr="00A10242" w:rsidP="006A3043" w14:paraId="3C561CCC" w14:textId="77777777">
            <w:pPr>
              <w:spacing w:before="0" w:after="0" w:line="240" w:lineRule="auto"/>
              <w:jc w:val="center"/>
              <w:rPr>
                <w:b/>
                <w:noProof w:val="0"/>
                <w:color w:val="000000"/>
                <w:sz w:val="20"/>
                <w:szCs w:val="20"/>
                <w:lang w:eastAsia="cs-CZ" w:bidi="ar-SA"/>
              </w:rPr>
            </w:pPr>
            <w:r w:rsidRPr="00A10242">
              <w:rPr>
                <w:b/>
                <w:noProof w:val="0"/>
                <w:color w:val="000000"/>
                <w:sz w:val="20"/>
                <w:szCs w:val="20"/>
                <w:lang w:eastAsia="cs-CZ" w:bidi="ar-SA"/>
              </w:rPr>
              <w:t>Státní rozpočet a ostatní veřejné rozpočty</w:t>
            </w:r>
          </w:p>
        </w:tc>
      </w:tr>
      <w:tr w14:paraId="068821AB" w14:textId="77777777" w:rsidTr="00E344A3">
        <w:tblPrEx>
          <w:tblW w:w="8929" w:type="dxa"/>
          <w:tblInd w:w="80" w:type="dxa"/>
          <w:tblCellMar>
            <w:left w:w="70" w:type="dxa"/>
            <w:right w:w="70" w:type="dxa"/>
          </w:tblCellMar>
          <w:tblLook w:val="04A0"/>
        </w:tblPrEx>
        <w:trPr>
          <w:trHeight w:val="382"/>
        </w:trPr>
        <w:tc>
          <w:tcPr>
            <w:tcW w:w="1408" w:type="dxa"/>
            <w:vMerge/>
            <w:tcBorders>
              <w:left w:val="single" w:sz="8" w:space="0" w:color="auto"/>
              <w:right w:val="nil"/>
            </w:tcBorders>
            <w:shd w:val="clear" w:color="auto" w:fill="auto"/>
            <w:noWrap/>
            <w:vAlign w:val="center"/>
          </w:tcPr>
          <w:p w:rsidR="00A10242" w:rsidRPr="00A10242" w:rsidP="006A3043" w14:paraId="437CE74D"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A10242" w:rsidRPr="00A10242" w:rsidP="006A3043" w14:paraId="29C24E70"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8" w:space="0" w:color="auto"/>
              <w:right w:val="single" w:sz="4" w:space="0" w:color="auto"/>
            </w:tcBorders>
            <w:shd w:val="clear" w:color="auto" w:fill="auto"/>
            <w:vAlign w:val="center"/>
          </w:tcPr>
          <w:p w:rsidR="00A10242" w:rsidRPr="00A10242" w:rsidP="006A3043" w14:paraId="1E47F3E2"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8" w:space="0" w:color="auto"/>
              <w:right w:val="single" w:sz="8" w:space="0" w:color="auto"/>
            </w:tcBorders>
            <w:shd w:val="clear" w:color="auto" w:fill="auto"/>
            <w:noWrap/>
            <w:vAlign w:val="center"/>
          </w:tcPr>
          <w:p w:rsidR="00A10242" w:rsidRPr="00A10242" w:rsidP="006A3043" w14:paraId="4963ECBC"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Riziko infringementu</w:t>
            </w:r>
          </w:p>
        </w:tc>
        <w:tc>
          <w:tcPr>
            <w:tcW w:w="1284" w:type="dxa"/>
            <w:tcBorders>
              <w:top w:val="nil"/>
              <w:left w:val="nil"/>
              <w:bottom w:val="single" w:sz="8" w:space="0" w:color="auto"/>
              <w:right w:val="single" w:sz="4" w:space="0" w:color="auto"/>
            </w:tcBorders>
            <w:shd w:val="clear" w:color="auto" w:fill="auto"/>
            <w:vAlign w:val="center"/>
          </w:tcPr>
          <w:p w:rsidR="00A10242" w:rsidRPr="00A10242" w:rsidP="006A3043" w14:paraId="197DB4A7"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w:t>
            </w:r>
          </w:p>
        </w:tc>
      </w:tr>
      <w:tr w14:paraId="7DE473D9" w14:textId="77777777" w:rsidTr="00E344A3">
        <w:tblPrEx>
          <w:tblW w:w="8929" w:type="dxa"/>
          <w:tblInd w:w="80" w:type="dxa"/>
          <w:tblCellMar>
            <w:left w:w="70" w:type="dxa"/>
            <w:right w:w="70" w:type="dxa"/>
          </w:tblCellMar>
          <w:tblLook w:val="04A0"/>
        </w:tblPrEx>
        <w:trPr>
          <w:trHeight w:val="444"/>
        </w:trPr>
        <w:tc>
          <w:tcPr>
            <w:tcW w:w="1408" w:type="dxa"/>
            <w:vMerge/>
            <w:tcBorders>
              <w:left w:val="single" w:sz="8" w:space="0" w:color="auto"/>
              <w:right w:val="nil"/>
            </w:tcBorders>
            <w:shd w:val="clear" w:color="auto" w:fill="auto"/>
            <w:noWrap/>
            <w:vAlign w:val="center"/>
          </w:tcPr>
          <w:p w:rsidR="00A10242" w:rsidRPr="00A10242" w:rsidP="006A3043" w14:paraId="2F805D09" w14:textId="77777777">
            <w:pPr>
              <w:spacing w:before="0" w:after="0" w:line="240" w:lineRule="auto"/>
              <w:jc w:val="center"/>
              <w:rPr>
                <w:b/>
                <w:bCs/>
                <w:noProof w:val="0"/>
                <w:color w:val="000000"/>
                <w:sz w:val="20"/>
                <w:szCs w:val="20"/>
                <w:lang w:eastAsia="cs-CZ" w:bidi="ar-SA"/>
              </w:rPr>
            </w:pPr>
          </w:p>
        </w:tc>
        <w:tc>
          <w:tcPr>
            <w:tcW w:w="7521" w:type="dxa"/>
            <w:gridSpan w:val="4"/>
            <w:tcBorders>
              <w:top w:val="nil"/>
              <w:left w:val="single" w:sz="8" w:space="0" w:color="auto"/>
              <w:bottom w:val="single" w:sz="8" w:space="0" w:color="auto"/>
              <w:right w:val="single" w:sz="4" w:space="0" w:color="auto"/>
            </w:tcBorders>
            <w:shd w:val="clear" w:color="auto" w:fill="auto"/>
            <w:noWrap/>
            <w:vAlign w:val="center"/>
          </w:tcPr>
          <w:p w:rsidR="00A10242" w:rsidRPr="00A10242" w:rsidP="006A3043" w14:paraId="6A7DF9C9" w14:textId="77777777">
            <w:pPr>
              <w:spacing w:before="0" w:after="0" w:line="240" w:lineRule="auto"/>
              <w:jc w:val="center"/>
              <w:rPr>
                <w:b/>
                <w:noProof w:val="0"/>
                <w:color w:val="000000"/>
                <w:sz w:val="20"/>
                <w:szCs w:val="20"/>
                <w:lang w:eastAsia="cs-CZ" w:bidi="ar-SA"/>
              </w:rPr>
            </w:pPr>
            <w:r w:rsidRPr="00A10242">
              <w:rPr>
                <w:b/>
                <w:noProof w:val="0"/>
                <w:color w:val="000000"/>
                <w:sz w:val="20"/>
                <w:szCs w:val="20"/>
                <w:lang w:eastAsia="cs-CZ" w:bidi="ar-SA"/>
              </w:rPr>
              <w:t>Podnikatelské prostředí</w:t>
            </w:r>
          </w:p>
        </w:tc>
      </w:tr>
      <w:tr w14:paraId="776E3DD2" w14:textId="77777777" w:rsidTr="00A10242">
        <w:tblPrEx>
          <w:tblW w:w="8929" w:type="dxa"/>
          <w:tblInd w:w="80" w:type="dxa"/>
          <w:tblCellMar>
            <w:left w:w="70" w:type="dxa"/>
            <w:right w:w="70" w:type="dxa"/>
          </w:tblCellMar>
          <w:tblLook w:val="04A0"/>
        </w:tblPrEx>
        <w:trPr>
          <w:trHeight w:val="746"/>
        </w:trPr>
        <w:tc>
          <w:tcPr>
            <w:tcW w:w="1408" w:type="dxa"/>
            <w:vMerge/>
            <w:tcBorders>
              <w:left w:val="single" w:sz="8" w:space="0" w:color="auto"/>
              <w:right w:val="nil"/>
            </w:tcBorders>
            <w:shd w:val="clear" w:color="auto" w:fill="auto"/>
            <w:noWrap/>
            <w:vAlign w:val="center"/>
          </w:tcPr>
          <w:p w:rsidR="00A10242" w:rsidRPr="00A10242" w:rsidP="006A3043" w14:paraId="403D583F"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A10242" w:rsidRPr="00A10242" w:rsidP="006A3043" w14:paraId="0C6F5204"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Rovné podmínky pro výrobce zapojené do KS</w:t>
            </w:r>
          </w:p>
        </w:tc>
        <w:tc>
          <w:tcPr>
            <w:tcW w:w="1398" w:type="dxa"/>
            <w:tcBorders>
              <w:top w:val="nil"/>
              <w:left w:val="nil"/>
              <w:bottom w:val="single" w:sz="8" w:space="0" w:color="auto"/>
              <w:right w:val="single" w:sz="4" w:space="0" w:color="auto"/>
            </w:tcBorders>
            <w:shd w:val="clear" w:color="auto" w:fill="auto"/>
            <w:vAlign w:val="center"/>
          </w:tcPr>
          <w:p w:rsidR="00A10242" w:rsidRPr="00A10242" w:rsidP="006A3043" w14:paraId="25AA10DD"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w:t>
            </w:r>
          </w:p>
        </w:tc>
        <w:tc>
          <w:tcPr>
            <w:tcW w:w="2288" w:type="dxa"/>
            <w:tcBorders>
              <w:top w:val="nil"/>
              <w:left w:val="nil"/>
              <w:bottom w:val="single" w:sz="8" w:space="0" w:color="auto"/>
              <w:right w:val="single" w:sz="8" w:space="0" w:color="auto"/>
            </w:tcBorders>
            <w:shd w:val="clear" w:color="auto" w:fill="auto"/>
            <w:noWrap/>
            <w:vAlign w:val="center"/>
          </w:tcPr>
          <w:p w:rsidR="00A10242" w:rsidRPr="00A10242" w:rsidP="00A10242" w14:paraId="0855A49D"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 xml:space="preserve">Chybí ekonomická motivace </w:t>
            </w:r>
            <w:r>
              <w:rPr>
                <w:noProof w:val="0"/>
                <w:color w:val="000000"/>
                <w:sz w:val="20"/>
                <w:szCs w:val="20"/>
                <w:lang w:eastAsia="cs-CZ" w:bidi="ar-SA"/>
              </w:rPr>
              <w:t xml:space="preserve">výrobců </w:t>
            </w:r>
            <w:r w:rsidRPr="00A10242">
              <w:rPr>
                <w:noProof w:val="0"/>
                <w:color w:val="000000"/>
                <w:sz w:val="20"/>
                <w:szCs w:val="20"/>
                <w:lang w:eastAsia="cs-CZ" w:bidi="ar-SA"/>
              </w:rPr>
              <w:t>k</w:t>
            </w:r>
            <w:r>
              <w:rPr>
                <w:noProof w:val="0"/>
                <w:color w:val="000000"/>
                <w:sz w:val="20"/>
                <w:szCs w:val="20"/>
                <w:lang w:eastAsia="cs-CZ" w:bidi="ar-SA"/>
              </w:rPr>
              <w:t> výrobě ekologicky příznivějších</w:t>
            </w:r>
            <w:r w:rsidRPr="00A10242">
              <w:rPr>
                <w:noProof w:val="0"/>
                <w:color w:val="000000"/>
                <w:sz w:val="20"/>
                <w:szCs w:val="20"/>
                <w:lang w:eastAsia="cs-CZ" w:bidi="ar-SA"/>
              </w:rPr>
              <w:t xml:space="preserve"> </w:t>
            </w:r>
            <w:r>
              <w:rPr>
                <w:noProof w:val="0"/>
                <w:color w:val="000000"/>
                <w:sz w:val="20"/>
                <w:szCs w:val="20"/>
                <w:lang w:eastAsia="cs-CZ" w:bidi="ar-SA"/>
              </w:rPr>
              <w:t>výrobků</w:t>
            </w:r>
          </w:p>
        </w:tc>
        <w:tc>
          <w:tcPr>
            <w:tcW w:w="1284" w:type="dxa"/>
            <w:tcBorders>
              <w:top w:val="nil"/>
              <w:left w:val="nil"/>
              <w:bottom w:val="single" w:sz="8" w:space="0" w:color="auto"/>
              <w:right w:val="single" w:sz="4" w:space="0" w:color="auto"/>
            </w:tcBorders>
            <w:shd w:val="clear" w:color="auto" w:fill="auto"/>
            <w:vAlign w:val="center"/>
          </w:tcPr>
          <w:p w:rsidR="00A10242" w:rsidRPr="00A10242" w:rsidP="006A3043" w14:paraId="5898C299" w14:textId="77777777">
            <w:pPr>
              <w:spacing w:before="0" w:after="0" w:line="240" w:lineRule="auto"/>
              <w:jc w:val="center"/>
              <w:rPr>
                <w:noProof w:val="0"/>
                <w:color w:val="000000"/>
                <w:sz w:val="20"/>
                <w:szCs w:val="20"/>
                <w:lang w:eastAsia="cs-CZ" w:bidi="ar-SA"/>
              </w:rPr>
            </w:pPr>
            <w:r w:rsidRPr="00A10242">
              <w:rPr>
                <w:noProof w:val="0"/>
                <w:color w:val="000000"/>
                <w:sz w:val="20"/>
                <w:szCs w:val="20"/>
                <w:lang w:eastAsia="cs-CZ" w:bidi="ar-SA"/>
              </w:rPr>
              <w:t>***</w:t>
            </w:r>
          </w:p>
        </w:tc>
      </w:tr>
      <w:tr w14:paraId="2C2B98B8" w14:textId="77777777" w:rsidTr="00E344A3">
        <w:tblPrEx>
          <w:tblW w:w="8929" w:type="dxa"/>
          <w:tblInd w:w="80" w:type="dxa"/>
          <w:tblCellMar>
            <w:left w:w="70" w:type="dxa"/>
            <w:right w:w="70" w:type="dxa"/>
          </w:tblCellMar>
          <w:tblLook w:val="04A0"/>
        </w:tblPrEx>
        <w:trPr>
          <w:trHeight w:val="408"/>
        </w:trPr>
        <w:tc>
          <w:tcPr>
            <w:tcW w:w="1408" w:type="dxa"/>
            <w:vMerge/>
            <w:tcBorders>
              <w:left w:val="single" w:sz="8" w:space="0" w:color="auto"/>
              <w:right w:val="nil"/>
            </w:tcBorders>
            <w:shd w:val="clear" w:color="auto" w:fill="auto"/>
            <w:noWrap/>
            <w:vAlign w:val="center"/>
          </w:tcPr>
          <w:p w:rsidR="00A10242" w:rsidRPr="00A10242" w:rsidP="006A3043" w14:paraId="5B46A41D" w14:textId="77777777">
            <w:pPr>
              <w:spacing w:before="0" w:after="0" w:line="240" w:lineRule="auto"/>
              <w:jc w:val="center"/>
              <w:rPr>
                <w:b/>
                <w:bCs/>
                <w:noProof w:val="0"/>
                <w:color w:val="000000"/>
                <w:sz w:val="20"/>
                <w:szCs w:val="20"/>
                <w:lang w:eastAsia="cs-CZ" w:bidi="ar-SA"/>
              </w:rPr>
            </w:pPr>
          </w:p>
        </w:tc>
        <w:tc>
          <w:tcPr>
            <w:tcW w:w="7521" w:type="dxa"/>
            <w:gridSpan w:val="4"/>
            <w:tcBorders>
              <w:top w:val="nil"/>
              <w:left w:val="single" w:sz="8" w:space="0" w:color="auto"/>
              <w:bottom w:val="single" w:sz="8" w:space="0" w:color="auto"/>
              <w:right w:val="single" w:sz="4" w:space="0" w:color="auto"/>
            </w:tcBorders>
            <w:shd w:val="clear" w:color="auto" w:fill="auto"/>
            <w:noWrap/>
            <w:vAlign w:val="center"/>
          </w:tcPr>
          <w:p w:rsidR="00A10242" w:rsidRPr="00A10242" w:rsidP="006A3043" w14:paraId="4012CC12" w14:textId="77777777">
            <w:pPr>
              <w:spacing w:before="0" w:after="0" w:line="240" w:lineRule="auto"/>
              <w:jc w:val="center"/>
              <w:rPr>
                <w:b/>
                <w:noProof w:val="0"/>
                <w:color w:val="000000"/>
                <w:sz w:val="20"/>
                <w:szCs w:val="20"/>
                <w:lang w:eastAsia="cs-CZ" w:bidi="ar-SA"/>
              </w:rPr>
            </w:pPr>
            <w:r w:rsidRPr="00A10242">
              <w:rPr>
                <w:b/>
                <w:noProof w:val="0"/>
                <w:color w:val="000000"/>
                <w:sz w:val="20"/>
                <w:szCs w:val="20"/>
                <w:lang w:eastAsia="cs-CZ" w:bidi="ar-SA"/>
              </w:rPr>
              <w:t>Životní prostředí</w:t>
            </w:r>
          </w:p>
        </w:tc>
      </w:tr>
      <w:tr w14:paraId="3F5F292E" w14:textId="77777777" w:rsidTr="00A10242">
        <w:tblPrEx>
          <w:tblW w:w="8929" w:type="dxa"/>
          <w:tblInd w:w="80" w:type="dxa"/>
          <w:tblCellMar>
            <w:left w:w="70" w:type="dxa"/>
            <w:right w:w="70" w:type="dxa"/>
          </w:tblCellMar>
          <w:tblLook w:val="04A0"/>
        </w:tblPrEx>
        <w:trPr>
          <w:trHeight w:val="746"/>
        </w:trPr>
        <w:tc>
          <w:tcPr>
            <w:tcW w:w="1408" w:type="dxa"/>
            <w:vMerge/>
            <w:tcBorders>
              <w:left w:val="single" w:sz="8" w:space="0" w:color="auto"/>
              <w:bottom w:val="single" w:sz="8" w:space="0" w:color="auto"/>
              <w:right w:val="nil"/>
            </w:tcBorders>
            <w:shd w:val="clear" w:color="auto" w:fill="auto"/>
            <w:noWrap/>
            <w:vAlign w:val="center"/>
          </w:tcPr>
          <w:p w:rsidR="00A10242" w:rsidRPr="00A10242" w:rsidP="006A3043" w14:paraId="1F8E9DF1"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A10242" w:rsidRPr="00A10242" w:rsidP="006A3043" w14:paraId="3D4DEAE3"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8" w:space="0" w:color="auto"/>
              <w:right w:val="single" w:sz="4" w:space="0" w:color="auto"/>
            </w:tcBorders>
            <w:shd w:val="clear" w:color="auto" w:fill="auto"/>
            <w:vAlign w:val="center"/>
          </w:tcPr>
          <w:p w:rsidR="00A10242" w:rsidRPr="00A10242" w:rsidP="006A3043" w14:paraId="7138D31D"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8" w:space="0" w:color="auto"/>
              <w:right w:val="single" w:sz="8" w:space="0" w:color="auto"/>
            </w:tcBorders>
            <w:shd w:val="clear" w:color="auto" w:fill="auto"/>
            <w:noWrap/>
            <w:vAlign w:val="center"/>
          </w:tcPr>
          <w:p w:rsidR="00A10242" w:rsidRPr="00A10242" w:rsidP="00A10242" w14:paraId="2C07F8C5"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Chybějící</w:t>
            </w:r>
            <w:r w:rsidRPr="00A10242">
              <w:rPr>
                <w:noProof w:val="0"/>
                <w:color w:val="000000"/>
                <w:sz w:val="20"/>
                <w:szCs w:val="20"/>
                <w:lang w:eastAsia="cs-CZ" w:bidi="ar-SA"/>
              </w:rPr>
              <w:t xml:space="preserve"> motivace k</w:t>
            </w:r>
            <w:r>
              <w:rPr>
                <w:noProof w:val="0"/>
                <w:color w:val="000000"/>
                <w:sz w:val="20"/>
                <w:szCs w:val="20"/>
                <w:lang w:eastAsia="cs-CZ" w:bidi="ar-SA"/>
              </w:rPr>
              <w:t> využívání ekologicky příznivějších technologií</w:t>
            </w:r>
          </w:p>
        </w:tc>
        <w:tc>
          <w:tcPr>
            <w:tcW w:w="1284" w:type="dxa"/>
            <w:tcBorders>
              <w:top w:val="nil"/>
              <w:left w:val="nil"/>
              <w:bottom w:val="single" w:sz="8" w:space="0" w:color="auto"/>
              <w:right w:val="single" w:sz="4" w:space="0" w:color="auto"/>
            </w:tcBorders>
            <w:shd w:val="clear" w:color="auto" w:fill="auto"/>
            <w:vAlign w:val="center"/>
          </w:tcPr>
          <w:p w:rsidR="00A10242" w:rsidRPr="00A10242" w:rsidP="00A10242" w14:paraId="48DF7382"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r>
      <w:tr w14:paraId="1023E36B" w14:textId="77777777" w:rsidTr="00E344A3">
        <w:tblPrEx>
          <w:tblW w:w="8929" w:type="dxa"/>
          <w:tblInd w:w="80" w:type="dxa"/>
          <w:tblCellMar>
            <w:left w:w="70" w:type="dxa"/>
            <w:right w:w="70" w:type="dxa"/>
          </w:tblCellMar>
          <w:tblLook w:val="04A0"/>
        </w:tblPrEx>
        <w:trPr>
          <w:trHeight w:val="381"/>
        </w:trPr>
        <w:tc>
          <w:tcPr>
            <w:tcW w:w="1408" w:type="dxa"/>
            <w:vMerge w:val="restart"/>
            <w:tcBorders>
              <w:top w:val="nil"/>
              <w:left w:val="single" w:sz="8" w:space="0" w:color="auto"/>
              <w:right w:val="nil"/>
            </w:tcBorders>
            <w:shd w:val="clear" w:color="auto" w:fill="auto"/>
            <w:noWrap/>
            <w:vAlign w:val="center"/>
          </w:tcPr>
          <w:p w:rsidR="00640DED" w:rsidRPr="00A10242" w:rsidP="006A3043" w14:paraId="40BB9337" w14:textId="77777777">
            <w:pPr>
              <w:spacing w:before="0" w:after="0" w:line="240" w:lineRule="auto"/>
              <w:jc w:val="center"/>
              <w:rPr>
                <w:b/>
                <w:bCs/>
                <w:noProof w:val="0"/>
                <w:color w:val="000000"/>
                <w:sz w:val="20"/>
                <w:szCs w:val="20"/>
                <w:lang w:eastAsia="cs-CZ" w:bidi="ar-SA"/>
              </w:rPr>
            </w:pPr>
            <w:r>
              <w:rPr>
                <w:b/>
                <w:bCs/>
                <w:noProof w:val="0"/>
                <w:color w:val="000000"/>
                <w:sz w:val="20"/>
                <w:szCs w:val="20"/>
                <w:lang w:eastAsia="cs-CZ" w:bidi="ar-SA"/>
              </w:rPr>
              <w:t>Varianta 1</w:t>
            </w:r>
          </w:p>
        </w:tc>
        <w:tc>
          <w:tcPr>
            <w:tcW w:w="7521" w:type="dxa"/>
            <w:gridSpan w:val="4"/>
            <w:tcBorders>
              <w:top w:val="nil"/>
              <w:left w:val="single" w:sz="8" w:space="0" w:color="auto"/>
              <w:bottom w:val="single" w:sz="8" w:space="0" w:color="auto"/>
              <w:right w:val="single" w:sz="4" w:space="0" w:color="auto"/>
            </w:tcBorders>
            <w:shd w:val="clear" w:color="auto" w:fill="auto"/>
            <w:noWrap/>
            <w:vAlign w:val="center"/>
          </w:tcPr>
          <w:p w:rsidR="00640DED" w:rsidRPr="00A10242" w:rsidP="00A10242" w14:paraId="770B8616" w14:textId="77777777">
            <w:pPr>
              <w:spacing w:before="0" w:after="0" w:line="240" w:lineRule="auto"/>
              <w:jc w:val="center"/>
              <w:rPr>
                <w:noProof w:val="0"/>
                <w:color w:val="000000"/>
                <w:sz w:val="20"/>
                <w:szCs w:val="20"/>
                <w:lang w:eastAsia="cs-CZ" w:bidi="ar-SA"/>
              </w:rPr>
            </w:pPr>
            <w:r w:rsidRPr="00A10242">
              <w:rPr>
                <w:b/>
                <w:noProof w:val="0"/>
                <w:color w:val="000000"/>
                <w:sz w:val="20"/>
                <w:szCs w:val="20"/>
                <w:lang w:eastAsia="cs-CZ" w:bidi="ar-SA"/>
              </w:rPr>
              <w:t>Státní rozpočet a ostatní veřejné rozpočty</w:t>
            </w:r>
          </w:p>
        </w:tc>
      </w:tr>
      <w:tr w14:paraId="6E5B2B27" w14:textId="77777777" w:rsidTr="00E344A3">
        <w:tblPrEx>
          <w:tblW w:w="8929" w:type="dxa"/>
          <w:tblInd w:w="80" w:type="dxa"/>
          <w:tblCellMar>
            <w:left w:w="70" w:type="dxa"/>
            <w:right w:w="70" w:type="dxa"/>
          </w:tblCellMar>
          <w:tblLook w:val="04A0"/>
        </w:tblPrEx>
        <w:trPr>
          <w:trHeight w:val="416"/>
        </w:trPr>
        <w:tc>
          <w:tcPr>
            <w:tcW w:w="1408" w:type="dxa"/>
            <w:vMerge/>
            <w:tcBorders>
              <w:left w:val="single" w:sz="8" w:space="0" w:color="auto"/>
              <w:right w:val="nil"/>
            </w:tcBorders>
            <w:shd w:val="clear" w:color="auto" w:fill="auto"/>
            <w:noWrap/>
            <w:vAlign w:val="center"/>
          </w:tcPr>
          <w:p w:rsidR="00640DED" w:rsidRPr="00A10242" w:rsidP="006A3043" w14:paraId="4BD8493A"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640DED" w:rsidRPr="00A10242" w:rsidP="006A3043" w14:paraId="437E093E"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Zamezení infringementu</w:t>
            </w:r>
          </w:p>
        </w:tc>
        <w:tc>
          <w:tcPr>
            <w:tcW w:w="1398" w:type="dxa"/>
            <w:tcBorders>
              <w:top w:val="nil"/>
              <w:left w:val="nil"/>
              <w:bottom w:val="single" w:sz="8" w:space="0" w:color="auto"/>
              <w:right w:val="single" w:sz="4" w:space="0" w:color="auto"/>
            </w:tcBorders>
            <w:shd w:val="clear" w:color="auto" w:fill="auto"/>
            <w:vAlign w:val="center"/>
          </w:tcPr>
          <w:p w:rsidR="00640DED" w:rsidRPr="00A10242" w:rsidP="00A10242" w14:paraId="55355AD3"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c>
          <w:tcPr>
            <w:tcW w:w="2288" w:type="dxa"/>
            <w:tcBorders>
              <w:top w:val="nil"/>
              <w:left w:val="nil"/>
              <w:bottom w:val="single" w:sz="8" w:space="0" w:color="auto"/>
              <w:right w:val="single" w:sz="8" w:space="0" w:color="auto"/>
            </w:tcBorders>
            <w:shd w:val="clear" w:color="auto" w:fill="auto"/>
            <w:noWrap/>
            <w:vAlign w:val="center"/>
          </w:tcPr>
          <w:p w:rsidR="00640DED" w:rsidRPr="00A10242" w:rsidP="006A3043" w14:paraId="7AEA3F8B" w14:textId="77777777">
            <w:pPr>
              <w:spacing w:before="0" w:after="0" w:line="240" w:lineRule="auto"/>
              <w:jc w:val="center"/>
              <w:rPr>
                <w:noProof w:val="0"/>
                <w:color w:val="000000"/>
                <w:sz w:val="20"/>
                <w:szCs w:val="20"/>
                <w:lang w:eastAsia="cs-CZ" w:bidi="ar-SA"/>
              </w:rPr>
            </w:pPr>
          </w:p>
        </w:tc>
        <w:tc>
          <w:tcPr>
            <w:tcW w:w="1284" w:type="dxa"/>
            <w:tcBorders>
              <w:top w:val="nil"/>
              <w:left w:val="nil"/>
              <w:bottom w:val="single" w:sz="8" w:space="0" w:color="auto"/>
              <w:right w:val="single" w:sz="4" w:space="0" w:color="auto"/>
            </w:tcBorders>
            <w:shd w:val="clear" w:color="auto" w:fill="auto"/>
            <w:vAlign w:val="center"/>
          </w:tcPr>
          <w:p w:rsidR="00640DED" w:rsidRPr="00A10242" w:rsidP="006A3043" w14:paraId="0794B11C" w14:textId="77777777">
            <w:pPr>
              <w:spacing w:before="0" w:after="0" w:line="240" w:lineRule="auto"/>
              <w:jc w:val="left"/>
              <w:rPr>
                <w:noProof w:val="0"/>
                <w:color w:val="000000"/>
                <w:sz w:val="20"/>
                <w:szCs w:val="20"/>
                <w:lang w:eastAsia="cs-CZ" w:bidi="ar-SA"/>
              </w:rPr>
            </w:pPr>
          </w:p>
        </w:tc>
      </w:tr>
      <w:tr w14:paraId="7A8F544E" w14:textId="77777777" w:rsidTr="00E344A3">
        <w:tblPrEx>
          <w:tblW w:w="8929" w:type="dxa"/>
          <w:tblInd w:w="80" w:type="dxa"/>
          <w:tblCellMar>
            <w:left w:w="70" w:type="dxa"/>
            <w:right w:w="70" w:type="dxa"/>
          </w:tblCellMar>
          <w:tblLook w:val="04A0"/>
        </w:tblPrEx>
        <w:trPr>
          <w:trHeight w:val="408"/>
        </w:trPr>
        <w:tc>
          <w:tcPr>
            <w:tcW w:w="1408" w:type="dxa"/>
            <w:vMerge/>
            <w:tcBorders>
              <w:left w:val="single" w:sz="8" w:space="0" w:color="auto"/>
              <w:right w:val="nil"/>
            </w:tcBorders>
            <w:shd w:val="clear" w:color="auto" w:fill="auto"/>
            <w:noWrap/>
            <w:vAlign w:val="center"/>
          </w:tcPr>
          <w:p w:rsidR="00640DED" w:rsidRPr="00A10242" w:rsidP="006A3043" w14:paraId="3A9368E9" w14:textId="77777777">
            <w:pPr>
              <w:spacing w:before="0" w:after="0" w:line="240" w:lineRule="auto"/>
              <w:jc w:val="center"/>
              <w:rPr>
                <w:b/>
                <w:bCs/>
                <w:noProof w:val="0"/>
                <w:color w:val="000000"/>
                <w:sz w:val="20"/>
                <w:szCs w:val="20"/>
                <w:lang w:eastAsia="cs-CZ" w:bidi="ar-SA"/>
              </w:rPr>
            </w:pPr>
          </w:p>
        </w:tc>
        <w:tc>
          <w:tcPr>
            <w:tcW w:w="7521" w:type="dxa"/>
            <w:gridSpan w:val="4"/>
            <w:tcBorders>
              <w:top w:val="nil"/>
              <w:left w:val="single" w:sz="8" w:space="0" w:color="auto"/>
              <w:bottom w:val="single" w:sz="8" w:space="0" w:color="auto"/>
              <w:right w:val="single" w:sz="4" w:space="0" w:color="auto"/>
            </w:tcBorders>
            <w:shd w:val="clear" w:color="auto" w:fill="auto"/>
            <w:noWrap/>
            <w:vAlign w:val="center"/>
          </w:tcPr>
          <w:p w:rsidR="00640DED" w:rsidRPr="00A10242" w:rsidP="00A10242" w14:paraId="442C824B" w14:textId="77777777">
            <w:pPr>
              <w:spacing w:before="0" w:after="0" w:line="240" w:lineRule="auto"/>
              <w:jc w:val="center"/>
              <w:rPr>
                <w:noProof w:val="0"/>
                <w:color w:val="000000"/>
                <w:sz w:val="20"/>
                <w:szCs w:val="20"/>
                <w:lang w:eastAsia="cs-CZ" w:bidi="ar-SA"/>
              </w:rPr>
            </w:pPr>
            <w:r w:rsidRPr="00A10242">
              <w:rPr>
                <w:b/>
                <w:noProof w:val="0"/>
                <w:color w:val="000000"/>
                <w:sz w:val="20"/>
                <w:szCs w:val="20"/>
                <w:lang w:eastAsia="cs-CZ" w:bidi="ar-SA"/>
              </w:rPr>
              <w:t>Podnikatelské prostředí</w:t>
            </w:r>
          </w:p>
        </w:tc>
      </w:tr>
      <w:tr w14:paraId="713EF167" w14:textId="77777777" w:rsidTr="00F62739">
        <w:tblPrEx>
          <w:tblW w:w="8929" w:type="dxa"/>
          <w:tblInd w:w="80" w:type="dxa"/>
          <w:tblCellMar>
            <w:left w:w="70" w:type="dxa"/>
            <w:right w:w="70" w:type="dxa"/>
          </w:tblCellMar>
          <w:tblLook w:val="04A0"/>
        </w:tblPrEx>
        <w:trPr>
          <w:trHeight w:val="746"/>
        </w:trPr>
        <w:tc>
          <w:tcPr>
            <w:tcW w:w="1408" w:type="dxa"/>
            <w:vMerge/>
            <w:tcBorders>
              <w:left w:val="single" w:sz="8" w:space="0" w:color="auto"/>
              <w:right w:val="nil"/>
            </w:tcBorders>
            <w:shd w:val="clear" w:color="auto" w:fill="auto"/>
            <w:noWrap/>
            <w:vAlign w:val="center"/>
          </w:tcPr>
          <w:p w:rsidR="00640DED" w:rsidRPr="00A10242" w:rsidP="00640DED" w14:paraId="67A2251A"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640DED" w:rsidRPr="00A10242" w:rsidP="00640DED" w14:paraId="52763E85"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8" w:space="0" w:color="auto"/>
              <w:right w:val="single" w:sz="4" w:space="0" w:color="auto"/>
            </w:tcBorders>
            <w:shd w:val="clear" w:color="auto" w:fill="auto"/>
            <w:vAlign w:val="center"/>
          </w:tcPr>
          <w:p w:rsidR="00640DED" w:rsidRPr="00A10242" w:rsidP="00640DED" w14:paraId="1D49599F"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8" w:space="0" w:color="auto"/>
              <w:right w:val="single" w:sz="8" w:space="0" w:color="auto"/>
            </w:tcBorders>
            <w:shd w:val="clear" w:color="auto" w:fill="auto"/>
            <w:noWrap/>
            <w:vAlign w:val="center"/>
          </w:tcPr>
          <w:p w:rsidR="00640DED" w:rsidRPr="00A10242" w:rsidP="00640DED" w14:paraId="21FFF26B" w14:textId="77777777">
            <w:pPr>
              <w:spacing w:before="0" w:after="0" w:line="240" w:lineRule="auto"/>
              <w:jc w:val="center"/>
              <w:rPr>
                <w:noProof w:val="0"/>
                <w:color w:val="000000"/>
                <w:sz w:val="20"/>
                <w:szCs w:val="20"/>
                <w:lang w:eastAsia="cs-CZ" w:bidi="ar-SA"/>
              </w:rPr>
            </w:pPr>
            <w:r>
              <w:rPr>
                <w:sz w:val="20"/>
                <w:szCs w:val="20"/>
              </w:rPr>
              <w:t>Výrobci - r</w:t>
            </w:r>
            <w:r w:rsidRPr="00A10242">
              <w:rPr>
                <w:sz w:val="20"/>
                <w:szCs w:val="20"/>
              </w:rPr>
              <w:t>ozdílná výše příspěvků pro jednotlivé výrobky nebo skupiny</w:t>
            </w:r>
          </w:p>
        </w:tc>
        <w:tc>
          <w:tcPr>
            <w:tcW w:w="1284" w:type="dxa"/>
            <w:tcBorders>
              <w:top w:val="nil"/>
              <w:left w:val="nil"/>
              <w:bottom w:val="single" w:sz="8" w:space="0" w:color="auto"/>
              <w:right w:val="single" w:sz="4" w:space="0" w:color="auto"/>
            </w:tcBorders>
            <w:shd w:val="clear" w:color="auto" w:fill="auto"/>
            <w:vAlign w:val="center"/>
          </w:tcPr>
          <w:p w:rsidR="00640DED" w:rsidRPr="00A10242" w:rsidP="00640DED" w14:paraId="7303BB8C"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r>
      <w:tr w14:paraId="206D8D39" w14:textId="77777777" w:rsidTr="00F62739">
        <w:tblPrEx>
          <w:tblW w:w="8929" w:type="dxa"/>
          <w:tblInd w:w="80" w:type="dxa"/>
          <w:tblCellMar>
            <w:left w:w="70" w:type="dxa"/>
            <w:right w:w="70" w:type="dxa"/>
          </w:tblCellMar>
          <w:tblLook w:val="04A0"/>
        </w:tblPrEx>
        <w:trPr>
          <w:trHeight w:val="746"/>
        </w:trPr>
        <w:tc>
          <w:tcPr>
            <w:tcW w:w="1408" w:type="dxa"/>
            <w:vMerge/>
            <w:tcBorders>
              <w:left w:val="single" w:sz="8" w:space="0" w:color="auto"/>
              <w:right w:val="nil"/>
            </w:tcBorders>
            <w:shd w:val="clear" w:color="auto" w:fill="auto"/>
            <w:noWrap/>
            <w:vAlign w:val="center"/>
          </w:tcPr>
          <w:p w:rsidR="00640DED" w:rsidRPr="00A10242" w:rsidP="00640DED" w14:paraId="16BFECE3"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640DED" w:rsidRPr="00A10242" w:rsidP="00640DED" w14:paraId="5BEF8CAA"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8" w:space="0" w:color="auto"/>
              <w:right w:val="single" w:sz="4" w:space="0" w:color="auto"/>
            </w:tcBorders>
            <w:shd w:val="clear" w:color="auto" w:fill="auto"/>
            <w:vAlign w:val="center"/>
          </w:tcPr>
          <w:p w:rsidR="00640DED" w:rsidRPr="00A10242" w:rsidP="00640DED" w14:paraId="0FF44B8C"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8" w:space="0" w:color="auto"/>
              <w:right w:val="single" w:sz="8" w:space="0" w:color="auto"/>
            </w:tcBorders>
            <w:shd w:val="clear" w:color="auto" w:fill="auto"/>
            <w:noWrap/>
            <w:vAlign w:val="center"/>
          </w:tcPr>
          <w:p w:rsidR="00640DED" w:rsidRPr="00A10242" w:rsidP="00640DED" w14:paraId="2A030204" w14:textId="77777777">
            <w:pPr>
              <w:spacing w:before="0" w:after="0" w:line="240" w:lineRule="auto"/>
              <w:jc w:val="center"/>
              <w:rPr>
                <w:noProof w:val="0"/>
                <w:color w:val="000000"/>
                <w:sz w:val="20"/>
                <w:szCs w:val="20"/>
                <w:lang w:eastAsia="cs-CZ" w:bidi="ar-SA"/>
              </w:rPr>
            </w:pPr>
            <w:r w:rsidRPr="00A10242">
              <w:rPr>
                <w:sz w:val="20"/>
                <w:szCs w:val="20"/>
              </w:rPr>
              <w:t>Výrobci - změna výše příspěvků na zajištění sdruženého plnění</w:t>
            </w:r>
          </w:p>
        </w:tc>
        <w:tc>
          <w:tcPr>
            <w:tcW w:w="1284" w:type="dxa"/>
            <w:tcBorders>
              <w:top w:val="nil"/>
              <w:left w:val="nil"/>
              <w:bottom w:val="single" w:sz="8" w:space="0" w:color="auto"/>
              <w:right w:val="single" w:sz="4" w:space="0" w:color="auto"/>
            </w:tcBorders>
            <w:shd w:val="clear" w:color="auto" w:fill="auto"/>
            <w:vAlign w:val="center"/>
          </w:tcPr>
          <w:p w:rsidR="00640DED" w:rsidRPr="00A10242" w:rsidP="00640DED" w14:paraId="50712A38"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r>
      <w:tr w14:paraId="033057B7" w14:textId="77777777" w:rsidTr="00F62739">
        <w:tblPrEx>
          <w:tblW w:w="8929" w:type="dxa"/>
          <w:tblInd w:w="80" w:type="dxa"/>
          <w:tblCellMar>
            <w:left w:w="70" w:type="dxa"/>
            <w:right w:w="70" w:type="dxa"/>
          </w:tblCellMar>
          <w:tblLook w:val="04A0"/>
        </w:tblPrEx>
        <w:trPr>
          <w:trHeight w:val="746"/>
        </w:trPr>
        <w:tc>
          <w:tcPr>
            <w:tcW w:w="1408" w:type="dxa"/>
            <w:vMerge/>
            <w:tcBorders>
              <w:left w:val="single" w:sz="8" w:space="0" w:color="auto"/>
              <w:right w:val="nil"/>
            </w:tcBorders>
            <w:shd w:val="clear" w:color="auto" w:fill="auto"/>
            <w:noWrap/>
            <w:vAlign w:val="center"/>
          </w:tcPr>
          <w:p w:rsidR="00640DED" w:rsidRPr="00A10242" w:rsidP="00640DED" w14:paraId="25CF863F"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8" w:space="0" w:color="auto"/>
              <w:right w:val="single" w:sz="8" w:space="0" w:color="auto"/>
            </w:tcBorders>
            <w:shd w:val="clear" w:color="auto" w:fill="auto"/>
            <w:noWrap/>
            <w:vAlign w:val="center"/>
          </w:tcPr>
          <w:p w:rsidR="00640DED" w:rsidRPr="00A10242" w:rsidP="00640DED" w14:paraId="255DDDC1"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8" w:space="0" w:color="auto"/>
              <w:right w:val="single" w:sz="4" w:space="0" w:color="auto"/>
            </w:tcBorders>
            <w:shd w:val="clear" w:color="auto" w:fill="auto"/>
            <w:vAlign w:val="center"/>
          </w:tcPr>
          <w:p w:rsidR="00640DED" w:rsidRPr="00A10242" w:rsidP="00640DED" w14:paraId="1D10F7CD"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8" w:space="0" w:color="auto"/>
              <w:right w:val="single" w:sz="8" w:space="0" w:color="auto"/>
            </w:tcBorders>
            <w:shd w:val="clear" w:color="auto" w:fill="auto"/>
            <w:noWrap/>
            <w:vAlign w:val="center"/>
          </w:tcPr>
          <w:p w:rsidR="00640DED" w:rsidRPr="00A10242" w:rsidP="00640DED" w14:paraId="2EFF4047" w14:textId="77777777">
            <w:pPr>
              <w:spacing w:before="0" w:after="0" w:line="240" w:lineRule="auto"/>
              <w:jc w:val="center"/>
              <w:rPr>
                <w:noProof w:val="0"/>
                <w:color w:val="000000"/>
                <w:sz w:val="20"/>
                <w:szCs w:val="20"/>
                <w:lang w:eastAsia="cs-CZ" w:bidi="ar-SA"/>
              </w:rPr>
            </w:pPr>
            <w:r w:rsidRPr="0004367C">
              <w:rPr>
                <w:noProof w:val="0"/>
                <w:color w:val="000000"/>
                <w:sz w:val="20"/>
                <w:szCs w:val="20"/>
                <w:lang w:eastAsia="cs-CZ" w:bidi="ar-SA"/>
              </w:rPr>
              <w:t>KS - Zvýšení AZ z důvodu kalkulace příspěvků</w:t>
            </w:r>
          </w:p>
        </w:tc>
        <w:tc>
          <w:tcPr>
            <w:tcW w:w="1284" w:type="dxa"/>
            <w:tcBorders>
              <w:top w:val="nil"/>
              <w:left w:val="nil"/>
              <w:bottom w:val="single" w:sz="8" w:space="0" w:color="auto"/>
              <w:right w:val="single" w:sz="4" w:space="0" w:color="auto"/>
            </w:tcBorders>
            <w:shd w:val="clear" w:color="auto" w:fill="auto"/>
            <w:vAlign w:val="center"/>
          </w:tcPr>
          <w:p w:rsidR="00640DED" w:rsidRPr="00A10242" w:rsidP="00F251E9" w14:paraId="11519E3D" w14:textId="15A7E7E7">
            <w:pPr>
              <w:spacing w:before="0" w:after="0" w:line="240" w:lineRule="auto"/>
              <w:jc w:val="center"/>
              <w:rPr>
                <w:noProof w:val="0"/>
                <w:color w:val="000000"/>
                <w:sz w:val="20"/>
                <w:szCs w:val="20"/>
                <w:lang w:eastAsia="cs-CZ" w:bidi="ar-SA"/>
              </w:rPr>
            </w:pPr>
            <w:r>
              <w:rPr>
                <w:noProof w:val="0"/>
                <w:color w:val="000000"/>
                <w:sz w:val="20"/>
                <w:szCs w:val="20"/>
                <w:lang w:eastAsia="cs-CZ" w:bidi="ar-SA"/>
              </w:rPr>
              <w:t>13</w:t>
            </w:r>
            <w:r w:rsidR="00F251E9">
              <w:rPr>
                <w:noProof w:val="0"/>
                <w:color w:val="000000"/>
                <w:sz w:val="20"/>
                <w:szCs w:val="20"/>
                <w:lang w:eastAsia="cs-CZ" w:bidi="ar-SA"/>
              </w:rPr>
              <w:t>7</w:t>
            </w:r>
            <w:r>
              <w:rPr>
                <w:noProof w:val="0"/>
                <w:color w:val="000000"/>
                <w:sz w:val="20"/>
                <w:szCs w:val="20"/>
                <w:lang w:eastAsia="cs-CZ" w:bidi="ar-SA"/>
              </w:rPr>
              <w:t xml:space="preserve"> tis. Kč</w:t>
            </w:r>
          </w:p>
        </w:tc>
      </w:tr>
      <w:tr w14:paraId="5C05E13D" w14:textId="77777777" w:rsidTr="00F62739">
        <w:tblPrEx>
          <w:tblW w:w="8929" w:type="dxa"/>
          <w:tblInd w:w="80" w:type="dxa"/>
          <w:tblCellMar>
            <w:left w:w="70" w:type="dxa"/>
            <w:right w:w="70" w:type="dxa"/>
          </w:tblCellMar>
          <w:tblLook w:val="04A0"/>
        </w:tblPrEx>
        <w:trPr>
          <w:trHeight w:val="746"/>
        </w:trPr>
        <w:tc>
          <w:tcPr>
            <w:tcW w:w="1408" w:type="dxa"/>
            <w:vMerge/>
            <w:tcBorders>
              <w:left w:val="single" w:sz="8" w:space="0" w:color="auto"/>
              <w:right w:val="nil"/>
            </w:tcBorders>
            <w:shd w:val="clear" w:color="auto" w:fill="auto"/>
            <w:noWrap/>
            <w:vAlign w:val="center"/>
          </w:tcPr>
          <w:p w:rsidR="00640DED" w:rsidRPr="00A10242" w:rsidP="00640DED" w14:paraId="70A1BAE1" w14:textId="77777777">
            <w:pPr>
              <w:spacing w:before="0" w:after="0" w:line="240" w:lineRule="auto"/>
              <w:jc w:val="center"/>
              <w:rPr>
                <w:b/>
                <w:bCs/>
                <w:noProof w:val="0"/>
                <w:color w:val="000000"/>
                <w:sz w:val="20"/>
                <w:szCs w:val="20"/>
                <w:lang w:eastAsia="cs-CZ" w:bidi="ar-SA"/>
              </w:rPr>
            </w:pPr>
          </w:p>
        </w:tc>
        <w:tc>
          <w:tcPr>
            <w:tcW w:w="2551" w:type="dxa"/>
            <w:tcBorders>
              <w:top w:val="nil"/>
              <w:left w:val="single" w:sz="8" w:space="0" w:color="auto"/>
              <w:bottom w:val="single" w:sz="4" w:space="0" w:color="auto"/>
              <w:right w:val="single" w:sz="8" w:space="0" w:color="auto"/>
            </w:tcBorders>
            <w:shd w:val="clear" w:color="auto" w:fill="auto"/>
            <w:noWrap/>
            <w:vAlign w:val="center"/>
          </w:tcPr>
          <w:p w:rsidR="00640DED" w:rsidRPr="00A10242" w:rsidP="00640DED" w14:paraId="078B3AD0" w14:textId="77777777">
            <w:pPr>
              <w:spacing w:before="0" w:after="0" w:line="240" w:lineRule="auto"/>
              <w:jc w:val="center"/>
              <w:rPr>
                <w:noProof w:val="0"/>
                <w:color w:val="000000"/>
                <w:sz w:val="20"/>
                <w:szCs w:val="20"/>
                <w:lang w:eastAsia="cs-CZ" w:bidi="ar-SA"/>
              </w:rPr>
            </w:pPr>
          </w:p>
        </w:tc>
        <w:tc>
          <w:tcPr>
            <w:tcW w:w="1398" w:type="dxa"/>
            <w:tcBorders>
              <w:top w:val="nil"/>
              <w:left w:val="nil"/>
              <w:bottom w:val="single" w:sz="4" w:space="0" w:color="auto"/>
              <w:right w:val="single" w:sz="4" w:space="0" w:color="auto"/>
            </w:tcBorders>
            <w:shd w:val="clear" w:color="auto" w:fill="auto"/>
            <w:vAlign w:val="center"/>
          </w:tcPr>
          <w:p w:rsidR="00640DED" w:rsidRPr="00A10242" w:rsidP="00640DED" w14:paraId="035BE55A" w14:textId="77777777">
            <w:pPr>
              <w:spacing w:before="0" w:after="0" w:line="240" w:lineRule="auto"/>
              <w:jc w:val="left"/>
              <w:rPr>
                <w:noProof w:val="0"/>
                <w:color w:val="000000"/>
                <w:sz w:val="20"/>
                <w:szCs w:val="20"/>
                <w:lang w:eastAsia="cs-CZ" w:bidi="ar-SA"/>
              </w:rPr>
            </w:pPr>
          </w:p>
        </w:tc>
        <w:tc>
          <w:tcPr>
            <w:tcW w:w="2288" w:type="dxa"/>
            <w:tcBorders>
              <w:top w:val="nil"/>
              <w:left w:val="nil"/>
              <w:bottom w:val="single" w:sz="4" w:space="0" w:color="auto"/>
              <w:right w:val="single" w:sz="8" w:space="0" w:color="auto"/>
            </w:tcBorders>
            <w:shd w:val="clear" w:color="auto" w:fill="auto"/>
            <w:noWrap/>
            <w:vAlign w:val="center"/>
          </w:tcPr>
          <w:p w:rsidR="00640DED" w:rsidRPr="00A10242" w:rsidP="00640DED" w14:paraId="777A727A"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KS – odborná studie jako podklad pro ekomodulaci</w:t>
            </w:r>
          </w:p>
        </w:tc>
        <w:tc>
          <w:tcPr>
            <w:tcW w:w="1284" w:type="dxa"/>
            <w:tcBorders>
              <w:top w:val="nil"/>
              <w:left w:val="nil"/>
              <w:bottom w:val="single" w:sz="4" w:space="0" w:color="auto"/>
              <w:right w:val="single" w:sz="4" w:space="0" w:color="auto"/>
            </w:tcBorders>
            <w:shd w:val="clear" w:color="auto" w:fill="auto"/>
            <w:vAlign w:val="center"/>
          </w:tcPr>
          <w:p w:rsidR="00640DED" w:rsidRPr="00A10242" w:rsidP="00640DED" w14:paraId="2F86A8C9"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200 tis. Kč/skupinu výrobků</w:t>
            </w:r>
          </w:p>
        </w:tc>
      </w:tr>
      <w:tr w14:paraId="687EEA54" w14:textId="77777777" w:rsidTr="00F62739">
        <w:tblPrEx>
          <w:tblW w:w="8929" w:type="dxa"/>
          <w:tblInd w:w="80" w:type="dxa"/>
          <w:tblCellMar>
            <w:left w:w="70" w:type="dxa"/>
            <w:right w:w="70" w:type="dxa"/>
          </w:tblCellMar>
          <w:tblLook w:val="04A0"/>
        </w:tblPrEx>
        <w:trPr>
          <w:trHeight w:val="427"/>
        </w:trPr>
        <w:tc>
          <w:tcPr>
            <w:tcW w:w="1408" w:type="dxa"/>
            <w:vMerge/>
            <w:tcBorders>
              <w:left w:val="single" w:sz="8" w:space="0" w:color="auto"/>
              <w:right w:val="single" w:sz="4" w:space="0" w:color="auto"/>
            </w:tcBorders>
            <w:shd w:val="clear" w:color="auto" w:fill="auto"/>
            <w:noWrap/>
            <w:vAlign w:val="center"/>
          </w:tcPr>
          <w:p w:rsidR="00640DED" w:rsidRPr="00A10242" w:rsidP="00640DED" w14:paraId="689EC02B" w14:textId="77777777">
            <w:pPr>
              <w:spacing w:before="0" w:after="0" w:line="240" w:lineRule="auto"/>
              <w:jc w:val="center"/>
              <w:rPr>
                <w:b/>
                <w:bCs/>
                <w:noProof w:val="0"/>
                <w:color w:val="000000"/>
                <w:sz w:val="20"/>
                <w:szCs w:val="20"/>
                <w:lang w:eastAsia="cs-CZ" w:bidi="ar-SA"/>
              </w:rPr>
            </w:pPr>
          </w:p>
        </w:tc>
        <w:tc>
          <w:tcPr>
            <w:tcW w:w="75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640DED" w:rsidP="00640DED" w14:paraId="2D3F17C0" w14:textId="77777777">
            <w:pPr>
              <w:spacing w:before="0" w:after="0" w:line="240" w:lineRule="auto"/>
              <w:jc w:val="center"/>
              <w:rPr>
                <w:b/>
                <w:noProof w:val="0"/>
                <w:color w:val="000000"/>
                <w:sz w:val="20"/>
                <w:szCs w:val="20"/>
                <w:lang w:eastAsia="cs-CZ" w:bidi="ar-SA"/>
              </w:rPr>
            </w:pPr>
            <w:r w:rsidRPr="00640DED">
              <w:rPr>
                <w:b/>
                <w:noProof w:val="0"/>
                <w:color w:val="000000"/>
                <w:sz w:val="20"/>
                <w:szCs w:val="20"/>
                <w:lang w:eastAsia="cs-CZ" w:bidi="ar-SA"/>
              </w:rPr>
              <w:t>Dopady na spotřebitele</w:t>
            </w:r>
          </w:p>
        </w:tc>
      </w:tr>
      <w:tr w14:paraId="3BB04F7A" w14:textId="77777777" w:rsidTr="00E344A3">
        <w:tblPrEx>
          <w:tblW w:w="8929" w:type="dxa"/>
          <w:tblInd w:w="80" w:type="dxa"/>
          <w:tblCellMar>
            <w:left w:w="70" w:type="dxa"/>
            <w:right w:w="70" w:type="dxa"/>
          </w:tblCellMar>
          <w:tblLook w:val="04A0"/>
        </w:tblPrEx>
        <w:trPr>
          <w:trHeight w:val="602"/>
        </w:trPr>
        <w:tc>
          <w:tcPr>
            <w:tcW w:w="1408" w:type="dxa"/>
            <w:vMerge/>
            <w:tcBorders>
              <w:left w:val="single" w:sz="8" w:space="0" w:color="auto"/>
              <w:right w:val="single" w:sz="4" w:space="0" w:color="auto"/>
            </w:tcBorders>
            <w:shd w:val="clear" w:color="auto" w:fill="auto"/>
            <w:noWrap/>
            <w:vAlign w:val="center"/>
          </w:tcPr>
          <w:p w:rsidR="00640DED" w:rsidRPr="00A10242" w:rsidP="00640DED" w14:paraId="67F08097" w14:textId="77777777">
            <w:pPr>
              <w:spacing w:before="0" w:after="0" w:line="240" w:lineRule="auto"/>
              <w:jc w:val="center"/>
              <w:rPr>
                <w:b/>
                <w:bCs/>
                <w:noProof w:val="0"/>
                <w:color w:val="000000"/>
                <w:sz w:val="20"/>
                <w:szCs w:val="20"/>
                <w:lang w:eastAsia="cs-CZ" w:bidi="ar-SA"/>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A10242" w:rsidP="00640DED" w14:paraId="10820629"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Možné zlevnění ekologicky šetrných výrobků</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40DED" w:rsidRPr="00A10242" w:rsidP="00640DED" w14:paraId="67331C8C"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A10242" w:rsidP="00640DED" w14:paraId="2EDB15E8"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Zdražení ekologicky málo šetrných výrobků</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640DED" w:rsidRPr="00A10242" w:rsidP="00640DED" w14:paraId="25E4201A"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r>
      <w:tr w14:paraId="08550565" w14:textId="77777777" w:rsidTr="00F62739">
        <w:tblPrEx>
          <w:tblW w:w="8929" w:type="dxa"/>
          <w:tblInd w:w="80" w:type="dxa"/>
          <w:tblCellMar>
            <w:left w:w="70" w:type="dxa"/>
            <w:right w:w="70" w:type="dxa"/>
          </w:tblCellMar>
          <w:tblLook w:val="04A0"/>
        </w:tblPrEx>
        <w:trPr>
          <w:trHeight w:val="425"/>
        </w:trPr>
        <w:tc>
          <w:tcPr>
            <w:tcW w:w="1408" w:type="dxa"/>
            <w:vMerge/>
            <w:tcBorders>
              <w:left w:val="single" w:sz="8" w:space="0" w:color="auto"/>
              <w:right w:val="single" w:sz="4" w:space="0" w:color="auto"/>
            </w:tcBorders>
            <w:shd w:val="clear" w:color="auto" w:fill="auto"/>
            <w:noWrap/>
            <w:vAlign w:val="center"/>
          </w:tcPr>
          <w:p w:rsidR="00640DED" w:rsidRPr="00A10242" w:rsidP="00640DED" w14:paraId="75E5C07A" w14:textId="77777777">
            <w:pPr>
              <w:spacing w:before="0" w:after="0" w:line="240" w:lineRule="auto"/>
              <w:jc w:val="center"/>
              <w:rPr>
                <w:b/>
                <w:bCs/>
                <w:noProof w:val="0"/>
                <w:color w:val="000000"/>
                <w:sz w:val="20"/>
                <w:szCs w:val="20"/>
                <w:lang w:eastAsia="cs-CZ" w:bidi="ar-SA"/>
              </w:rPr>
            </w:pPr>
          </w:p>
        </w:tc>
        <w:tc>
          <w:tcPr>
            <w:tcW w:w="75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A10242" w:rsidP="00640DED" w14:paraId="0A15FB44" w14:textId="77777777">
            <w:pPr>
              <w:spacing w:before="0" w:after="0" w:line="240" w:lineRule="auto"/>
              <w:jc w:val="center"/>
              <w:rPr>
                <w:noProof w:val="0"/>
                <w:color w:val="000000"/>
                <w:sz w:val="20"/>
                <w:szCs w:val="20"/>
                <w:lang w:eastAsia="cs-CZ" w:bidi="ar-SA"/>
              </w:rPr>
            </w:pPr>
            <w:r w:rsidRPr="00A10242">
              <w:rPr>
                <w:b/>
                <w:noProof w:val="0"/>
                <w:color w:val="000000"/>
                <w:sz w:val="20"/>
                <w:szCs w:val="20"/>
                <w:lang w:eastAsia="cs-CZ" w:bidi="ar-SA"/>
              </w:rPr>
              <w:t>Životní prostředí</w:t>
            </w:r>
          </w:p>
        </w:tc>
      </w:tr>
      <w:tr w14:paraId="43B32B51" w14:textId="77777777" w:rsidTr="00F62739">
        <w:tblPrEx>
          <w:tblW w:w="8929" w:type="dxa"/>
          <w:tblInd w:w="80" w:type="dxa"/>
          <w:tblCellMar>
            <w:left w:w="70" w:type="dxa"/>
            <w:right w:w="70" w:type="dxa"/>
          </w:tblCellMar>
          <w:tblLook w:val="04A0"/>
        </w:tblPrEx>
        <w:trPr>
          <w:trHeight w:val="746"/>
        </w:trPr>
        <w:tc>
          <w:tcPr>
            <w:tcW w:w="1408" w:type="dxa"/>
            <w:vMerge/>
            <w:tcBorders>
              <w:left w:val="single" w:sz="8" w:space="0" w:color="auto"/>
              <w:bottom w:val="single" w:sz="4" w:space="0" w:color="auto"/>
              <w:right w:val="single" w:sz="4" w:space="0" w:color="auto"/>
            </w:tcBorders>
            <w:shd w:val="clear" w:color="auto" w:fill="auto"/>
            <w:noWrap/>
            <w:vAlign w:val="center"/>
          </w:tcPr>
          <w:p w:rsidR="00640DED" w:rsidRPr="00A10242" w:rsidP="00640DED" w14:paraId="40BCB52E" w14:textId="77777777">
            <w:pPr>
              <w:spacing w:before="0" w:after="0" w:line="240" w:lineRule="auto"/>
              <w:jc w:val="center"/>
              <w:rPr>
                <w:b/>
                <w:bCs/>
                <w:noProof w:val="0"/>
                <w:color w:val="000000"/>
                <w:sz w:val="20"/>
                <w:szCs w:val="20"/>
                <w:lang w:eastAsia="cs-CZ" w:bidi="ar-SA"/>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A10242" w:rsidP="00640DED" w14:paraId="227F761C"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Využívání ekologicky příznivějších výrobků a technologií</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40DED" w:rsidRPr="00A10242" w:rsidP="00640DED" w14:paraId="0EE2E631" w14:textId="77777777">
            <w:pPr>
              <w:spacing w:before="0" w:after="0" w:line="240" w:lineRule="auto"/>
              <w:jc w:val="center"/>
              <w:rPr>
                <w:noProof w:val="0"/>
                <w:color w:val="000000"/>
                <w:sz w:val="20"/>
                <w:szCs w:val="20"/>
                <w:lang w:eastAsia="cs-CZ" w:bidi="ar-SA"/>
              </w:rPr>
            </w:pPr>
            <w:r>
              <w:rPr>
                <w:noProof w:val="0"/>
                <w:color w:val="000000"/>
                <w:sz w:val="20"/>
                <w:szCs w:val="20"/>
                <w:lang w:eastAsia="cs-CZ" w:bidi="ar-SA"/>
              </w:rPr>
              <w:t>*****</w:t>
            </w:r>
          </w:p>
        </w:tc>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DED" w:rsidRPr="00A10242" w:rsidP="00640DED" w14:paraId="31A5AD5C" w14:textId="77777777">
            <w:pPr>
              <w:spacing w:before="0" w:after="0" w:line="240" w:lineRule="auto"/>
              <w:jc w:val="center"/>
              <w:rPr>
                <w:noProof w:val="0"/>
                <w:color w:val="000000"/>
                <w:sz w:val="20"/>
                <w:szCs w:val="20"/>
                <w:lang w:eastAsia="cs-CZ" w:bidi="ar-SA"/>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640DED" w:rsidRPr="00A10242" w:rsidP="00640DED" w14:paraId="3BF867CE" w14:textId="77777777">
            <w:pPr>
              <w:spacing w:before="0" w:after="0" w:line="240" w:lineRule="auto"/>
              <w:jc w:val="left"/>
              <w:rPr>
                <w:noProof w:val="0"/>
                <w:color w:val="000000"/>
                <w:sz w:val="20"/>
                <w:szCs w:val="20"/>
                <w:lang w:eastAsia="cs-CZ" w:bidi="ar-SA"/>
              </w:rPr>
            </w:pPr>
          </w:p>
        </w:tc>
      </w:tr>
    </w:tbl>
    <w:p w:rsidR="006A3043" w:rsidRPr="00F004DF" w:rsidP="006A3043" w14:paraId="4B91A854" w14:textId="77777777">
      <w:r w:rsidRPr="007E1D9E">
        <w:rPr>
          <w:noProof w:val="0"/>
          <w:color w:val="000000"/>
          <w:sz w:val="20"/>
          <w:szCs w:val="20"/>
          <w:lang w:eastAsia="cs-CZ" w:bidi="ar-SA"/>
        </w:rPr>
        <w:t>- bez dopadů, * velmi nízké, ** nízké, *** střední, **** vysoké, ***** velmi vysoké</w:t>
      </w:r>
    </w:p>
    <w:p w:rsidR="006A3043" w:rsidRPr="00F004DF" w:rsidP="006A3043" w14:paraId="2DF3798E" w14:textId="77777777">
      <w:pPr>
        <w:pStyle w:val="Heading2"/>
        <w:keepLines/>
        <w:spacing w:before="360"/>
        <w:ind w:left="578" w:hanging="578"/>
        <w:rPr>
          <w:rFonts w:cs="Times New Roman"/>
          <w:szCs w:val="24"/>
        </w:rPr>
      </w:pPr>
      <w:bookmarkStart w:id="139" w:name="_Toc526868803"/>
      <w:r w:rsidRPr="00F004DF">
        <w:rPr>
          <w:rFonts w:cs="Times New Roman"/>
          <w:szCs w:val="24"/>
        </w:rPr>
        <w:t>Stanovení pořadí variant a výběr nejvhodnějšího řešení</w:t>
      </w:r>
      <w:bookmarkEnd w:id="139"/>
    </w:p>
    <w:p w:rsidR="006A3043" w:rsidRPr="00F004DF" w:rsidP="003C445B" w14:paraId="708B0AA9" w14:textId="77777777">
      <w:pPr>
        <w:pStyle w:val="ListParagraph"/>
        <w:keepLines/>
        <w:numPr>
          <w:ilvl w:val="0"/>
          <w:numId w:val="49"/>
        </w:numPr>
        <w:spacing w:before="0" w:after="120" w:line="240" w:lineRule="auto"/>
        <w:contextualSpacing w:val="0"/>
        <w:rPr>
          <w:b/>
          <w:bCs/>
        </w:rPr>
      </w:pPr>
      <w:r w:rsidRPr="00F004DF">
        <w:rPr>
          <w:b/>
          <w:bCs/>
        </w:rPr>
        <w:t>Varianta 1</w:t>
      </w:r>
    </w:p>
    <w:p w:rsidR="006A3043" w:rsidRPr="00F004DF" w:rsidP="003C445B" w14:paraId="2124D993" w14:textId="77777777">
      <w:pPr>
        <w:pStyle w:val="ListParagraph"/>
        <w:keepLines/>
        <w:numPr>
          <w:ilvl w:val="0"/>
          <w:numId w:val="49"/>
        </w:numPr>
        <w:spacing w:before="0" w:after="120" w:line="240" w:lineRule="auto"/>
        <w:ind w:left="714" w:hanging="357"/>
        <w:contextualSpacing w:val="0"/>
      </w:pPr>
      <w:r w:rsidRPr="00F004DF">
        <w:t>Varianta 0</w:t>
      </w:r>
    </w:p>
    <w:p w:rsidR="006A3043" w:rsidRPr="00F004DF" w:rsidP="006A3043" w14:paraId="1DBBB0B3" w14:textId="7D36EE40">
      <w:r w:rsidRPr="00F004DF">
        <w:t xml:space="preserve">Na základě uvedených faktů doporučujeme přijmout variantu 1, neboť se jedná o transpozici článku 8a odst. 4 písm. b) rámcové směrnice o odpadech a prostřednictvím motivace výrobců přispívá k plnění cílů v oblasti nakládání </w:t>
      </w:r>
      <w:r w:rsidR="00E344A3">
        <w:t>s VUŽ</w:t>
      </w:r>
      <w:r w:rsidRPr="00F004DF">
        <w:t xml:space="preserve">. </w:t>
      </w:r>
    </w:p>
    <w:p w:rsidR="006631D1" w:rsidP="006A3043" w14:paraId="4B024723" w14:textId="526DB9FE">
      <w:r>
        <w:t>V případě nepřijetí V</w:t>
      </w:r>
      <w:r w:rsidRPr="00F004DF" w:rsidR="006A3043">
        <w:t xml:space="preserve">arianty 1 </w:t>
      </w:r>
      <w:r w:rsidRPr="00F004DF">
        <w:t xml:space="preserve">hrozí </w:t>
      </w:r>
      <w:r>
        <w:t>ČR</w:t>
      </w:r>
      <w:r w:rsidRPr="00F004DF" w:rsidR="006A3043">
        <w:t xml:space="preserve"> zahájení infringementového řízení ze</w:t>
      </w:r>
      <w:r w:rsidR="006A3043">
        <w:t> </w:t>
      </w:r>
      <w:r w:rsidRPr="00F004DF" w:rsidR="006A3043">
        <w:t>strany Evropské komise. </w:t>
      </w:r>
    </w:p>
    <w:p w:rsidR="00925F10" w:rsidP="006A3043" w14:paraId="6F13E68A" w14:textId="77777777"/>
    <w:p w:rsidR="00445337" w:rsidP="00B76CF9" w14:paraId="2171F9E2" w14:textId="3B704CF9">
      <w:pPr>
        <w:pStyle w:val="Heading1"/>
      </w:pPr>
      <w:bookmarkStart w:id="140" w:name="_Toc14942084"/>
      <w:bookmarkStart w:id="141" w:name="_Toc406598341"/>
      <w:bookmarkStart w:id="142" w:name="_Toc441759893"/>
      <w:bookmarkEnd w:id="107"/>
      <w:bookmarkEnd w:id="108"/>
      <w:bookmarkStart w:id="143" w:name="_Toc256000010"/>
      <w:r>
        <w:t>Rezerva (§ 49)</w:t>
      </w:r>
      <w:bookmarkEnd w:id="143"/>
      <w:bookmarkEnd w:id="140"/>
    </w:p>
    <w:p w:rsidR="00445337" w:rsidRPr="00ED38E9" w:rsidP="00445337" w14:paraId="6E311603" w14:textId="77777777">
      <w:pPr>
        <w:pStyle w:val="Heading2"/>
      </w:pPr>
      <w:r w:rsidRPr="00ED38E9">
        <w:t>Důvod předložení a cíle</w:t>
      </w:r>
    </w:p>
    <w:p w:rsidR="00445337" w:rsidP="00BF16B7" w14:paraId="6C2675A3" w14:textId="77777777">
      <w:pPr>
        <w:pStyle w:val="Heading3"/>
      </w:pPr>
      <w:r w:rsidRPr="005A36CE">
        <w:t>Definice prob</w:t>
      </w:r>
      <w:r>
        <w:t>lému</w:t>
      </w:r>
      <w:r w:rsidRPr="005A36CE">
        <w:t xml:space="preserve"> </w:t>
      </w:r>
      <w:r>
        <w:t>a popis současného stavu</w:t>
      </w:r>
    </w:p>
    <w:p w:rsidR="00010BAB" w:rsidRPr="000E6DE5" w:rsidP="00B760EA" w14:paraId="728C06A6" w14:textId="39C98ECD">
      <w:r w:rsidRPr="000E6DE5">
        <w:t xml:space="preserve">Současná právní úprava nedefinuje způsob financování činnosti provozovatele </w:t>
      </w:r>
      <w:r w:rsidRPr="000E6DE5">
        <w:t xml:space="preserve">KS, čímž </w:t>
      </w:r>
      <w:r w:rsidRPr="000E6DE5" w:rsidR="00DA6AD6">
        <w:t>nastává situace, kdy paralelně</w:t>
      </w:r>
      <w:r w:rsidRPr="000E6DE5">
        <w:t xml:space="preserve"> </w:t>
      </w:r>
      <w:r w:rsidRPr="000E6DE5" w:rsidR="00DA6AD6">
        <w:t xml:space="preserve">vedle sebe </w:t>
      </w:r>
      <w:r w:rsidRPr="000E6DE5">
        <w:t>exist</w:t>
      </w:r>
      <w:r w:rsidRPr="000E6DE5" w:rsidR="00DA6AD6">
        <w:t>ují dva systémy financování obecně označované jako „zálohový“ a „průběžný</w:t>
      </w:r>
      <w:r w:rsidRPr="000E6DE5">
        <w:t>“.</w:t>
      </w:r>
      <w:r w:rsidRPr="000E6DE5">
        <w:t xml:space="preserve"> </w:t>
      </w:r>
      <w:r w:rsidRPr="000E6DE5" w:rsidR="00DA6AD6">
        <w:t>Problematický se v určitých případech může stát</w:t>
      </w:r>
      <w:r w:rsidRPr="000E6DE5">
        <w:t xml:space="preserve"> „průběžn</w:t>
      </w:r>
      <w:r w:rsidRPr="000E6DE5" w:rsidR="00DA6AD6">
        <w:t>ý“ systém</w:t>
      </w:r>
      <w:r w:rsidRPr="000E6DE5">
        <w:t xml:space="preserve"> financování</w:t>
      </w:r>
      <w:r w:rsidRPr="000E6DE5" w:rsidR="00DA6AD6">
        <w:t>, kdy</w:t>
      </w:r>
      <w:r w:rsidRPr="000E6DE5">
        <w:t xml:space="preserve"> KS nevytváří prakticky žádnou finanční rezervu a v případě zvýšení nákladů na zajišťování kolektivního plnění (např. pokles cen druhotných surovin atd.) hrozí riziko omezení činnosti KS s</w:t>
      </w:r>
      <w:r w:rsidRPr="000E6DE5" w:rsidR="00DA6AD6">
        <w:t xml:space="preserve"> následným </w:t>
      </w:r>
      <w:r w:rsidRPr="000E6DE5">
        <w:t xml:space="preserve">možným poklesem míry </w:t>
      </w:r>
      <w:r w:rsidRPr="000E6DE5" w:rsidR="00DA6AD6">
        <w:t>ZO</w:t>
      </w:r>
      <w:r w:rsidRPr="000E6DE5">
        <w:t>.</w:t>
      </w:r>
      <w:r w:rsidRPr="00673B0F" w:rsidR="00673B0F">
        <w:t xml:space="preserve"> </w:t>
      </w:r>
      <w:r w:rsidR="00673B0F">
        <w:t>To</w:t>
      </w:r>
      <w:r w:rsidR="00B760EA">
        <w:t> </w:t>
      </w:r>
      <w:r w:rsidR="00673B0F">
        <w:t>může mít dopad i na smluvní partnery KS, zejména zpracovatele nebo obce.</w:t>
      </w:r>
    </w:p>
    <w:p w:rsidR="00445337" w:rsidRPr="00ED38E9" w:rsidP="00411BD4" w14:paraId="0395CE2A" w14:textId="13B9FBDA">
      <w:pPr>
        <w:pStyle w:val="Heading3"/>
        <w:keepNext/>
        <w:widowControl/>
      </w:pPr>
      <w:r w:rsidRPr="00ED38E9">
        <w:t>Identifikace dotčených subjektů</w:t>
      </w:r>
    </w:p>
    <w:p w:rsidR="00445337" w:rsidP="00411BD4" w14:paraId="5CDA1497" w14:textId="05766AD6">
      <w:pPr>
        <w:pStyle w:val="ListParagraph"/>
        <w:keepNext/>
        <w:numPr>
          <w:ilvl w:val="0"/>
          <w:numId w:val="142"/>
        </w:numPr>
        <w:rPr>
          <w:rFonts w:cs="Arial"/>
        </w:rPr>
      </w:pPr>
      <w:r w:rsidRPr="00963FAF">
        <w:rPr>
          <w:rFonts w:cs="Arial"/>
        </w:rPr>
        <w:t>Kolektivní systémy</w:t>
      </w:r>
    </w:p>
    <w:p w:rsidR="00673B0F" w:rsidP="00673B0F" w14:paraId="17B2E1BA" w14:textId="77777777">
      <w:pPr>
        <w:pStyle w:val="ListParagraph"/>
        <w:numPr>
          <w:ilvl w:val="0"/>
          <w:numId w:val="142"/>
        </w:numPr>
        <w:rPr>
          <w:rFonts w:cs="Arial"/>
        </w:rPr>
      </w:pPr>
      <w:r>
        <w:rPr>
          <w:rFonts w:cs="Arial"/>
        </w:rPr>
        <w:t>Zpracovatelé elektroodpadu</w:t>
      </w:r>
    </w:p>
    <w:p w:rsidR="00673B0F" w:rsidRPr="00673B0F" w:rsidP="000E6DE5" w14:paraId="57DCB673" w14:textId="49EE32DF">
      <w:pPr>
        <w:pStyle w:val="ListParagraph"/>
        <w:numPr>
          <w:ilvl w:val="0"/>
          <w:numId w:val="142"/>
        </w:numPr>
        <w:rPr>
          <w:rFonts w:cs="Arial"/>
        </w:rPr>
      </w:pPr>
      <w:r>
        <w:rPr>
          <w:rFonts w:cs="Arial"/>
        </w:rPr>
        <w:t>Obce</w:t>
      </w:r>
    </w:p>
    <w:p w:rsidR="00445337" w:rsidRPr="00ED38E9" w:rsidP="00BF16B7" w14:paraId="3554D03B" w14:textId="77777777">
      <w:pPr>
        <w:pStyle w:val="Heading3"/>
      </w:pPr>
      <w:r w:rsidRPr="00ED38E9">
        <w:t>Popis cílového stavu</w:t>
      </w:r>
    </w:p>
    <w:p w:rsidR="00DF2C6B" w:rsidP="000E6DE5" w14:paraId="7A2443F9" w14:textId="276CAEEA">
      <w:r w:rsidRPr="00ED38E9">
        <w:rPr>
          <w:rFonts w:eastAsia="Calibri" w:cs="Arial"/>
          <w:noProof w:val="0"/>
          <w:szCs w:val="22"/>
          <w:lang w:bidi="ar-SA"/>
        </w:rPr>
        <w:t xml:space="preserve">Hlavním cílem je </w:t>
      </w:r>
      <w:r>
        <w:rPr>
          <w:rFonts w:eastAsia="Calibri" w:cs="Arial"/>
          <w:noProof w:val="0"/>
          <w:szCs w:val="22"/>
          <w:lang w:bidi="ar-SA"/>
        </w:rPr>
        <w:t xml:space="preserve">zajištění </w:t>
      </w:r>
      <w:r>
        <w:t>potřebných</w:t>
      </w:r>
      <w:r w:rsidRPr="00997FAA">
        <w:t xml:space="preserve"> finanční</w:t>
      </w:r>
      <w:r>
        <w:t xml:space="preserve">ch prostředků </w:t>
      </w:r>
      <w:r w:rsidRPr="00997FAA">
        <w:t xml:space="preserve">pro </w:t>
      </w:r>
      <w:r>
        <w:t xml:space="preserve">krytí nákladů </w:t>
      </w:r>
      <w:r w:rsidR="001547BB">
        <w:t>na </w:t>
      </w:r>
      <w:r w:rsidR="00C26A91">
        <w:t>kolektivní plně</w:t>
      </w:r>
      <w:r w:rsidR="001547BB">
        <w:t xml:space="preserve">ní </w:t>
      </w:r>
      <w:r w:rsidRPr="00997FAA">
        <w:t>povinností týkajících se</w:t>
      </w:r>
      <w:r>
        <w:t xml:space="preserve"> rozšířené odpovědnosti výrobce</w:t>
      </w:r>
      <w:r w:rsidR="00673B0F">
        <w:t xml:space="preserve"> v případech dynamických změna na trhu</w:t>
      </w:r>
      <w:r>
        <w:t xml:space="preserve">, a tím i dosažení </w:t>
      </w:r>
      <w:r>
        <w:rPr>
          <w:rFonts w:eastAsia="Calibri" w:cs="Arial"/>
          <w:noProof w:val="0"/>
          <w:szCs w:val="22"/>
          <w:lang w:bidi="ar-SA"/>
        </w:rPr>
        <w:t xml:space="preserve">souladu se směrnicí </w:t>
      </w:r>
      <w:r w:rsidRPr="00997FAA">
        <w:t>o odpadech článku 8a odst. 3 písm. c)</w:t>
      </w:r>
      <w:r>
        <w:t>.</w:t>
      </w:r>
    </w:p>
    <w:p w:rsidR="00DA6AD6" w:rsidRPr="00F004DF" w:rsidP="00BF16B7" w14:paraId="4AB1832C" w14:textId="77777777">
      <w:pPr>
        <w:pStyle w:val="Heading3"/>
      </w:pPr>
      <w:r w:rsidRPr="00F004DF">
        <w:t>Zhodnocení rizika</w:t>
      </w:r>
    </w:p>
    <w:p w:rsidR="00DA6AD6" w:rsidP="000E6DE5" w14:paraId="748A68D8" w14:textId="275B58E6">
      <w:r>
        <w:t>Pokud nedojde k právní úpravě a bude</w:t>
      </w:r>
      <w:r w:rsidRPr="003F0645">
        <w:t xml:space="preserve"> ponechána </w:t>
      </w:r>
      <w:r>
        <w:t xml:space="preserve">možnost financování KS </w:t>
      </w:r>
      <w:r w:rsidRPr="003F0645">
        <w:t xml:space="preserve">„průběžným“ systémem </w:t>
      </w:r>
      <w:r>
        <w:t xml:space="preserve">bez povinnosti založení rezervního fondu, </w:t>
      </w:r>
      <w:r w:rsidRPr="00997FAA">
        <w:t>existuje zde riziko, že v případě výskytu fluktuací na trhu, které se odrazí v</w:t>
      </w:r>
      <w:r>
        <w:t xml:space="preserve"> potřebě</w:t>
      </w:r>
      <w:r w:rsidRPr="00997FAA">
        <w:t xml:space="preserve"> </w:t>
      </w:r>
      <w:r>
        <w:t xml:space="preserve">razantního  </w:t>
      </w:r>
      <w:r w:rsidRPr="00997FAA">
        <w:t>zvýšení nákladů na zajišťování kolektivního plnění (pokles cen druhotných surovin, zvýšení cen za</w:t>
      </w:r>
      <w:r>
        <w:t> </w:t>
      </w:r>
      <w:r w:rsidRPr="00997FAA">
        <w:t>zpracování, zvýšení cen pohonných hmot, snížení množství vybraných výro</w:t>
      </w:r>
      <w:r>
        <w:t>bků uváděných na trh apod.), KS</w:t>
      </w:r>
      <w:r w:rsidRPr="00997FAA">
        <w:t xml:space="preserve"> </w:t>
      </w:r>
      <w:r>
        <w:t>nebude mít</w:t>
      </w:r>
      <w:r w:rsidRPr="00997FAA">
        <w:t xml:space="preserve"> vytvořeny dostatečné finanční prostředky, aby mohl</w:t>
      </w:r>
      <w:r>
        <w:t xml:space="preserve"> nastalou situaci rychle překlenout, a </w:t>
      </w:r>
      <w:r w:rsidRPr="00997FAA">
        <w:t>začne omezovat svoji činnost, což může být spojeno s poklesem míry zpětného odběru.</w:t>
      </w:r>
    </w:p>
    <w:p w:rsidR="00DA6AD6" w:rsidRPr="00963FAF" w:rsidP="000E6DE5" w14:paraId="2A535F40" w14:textId="77777777"/>
    <w:p w:rsidR="00445337" w:rsidRPr="00ED38E9" w:rsidP="00445337" w14:paraId="57C84769" w14:textId="77777777">
      <w:pPr>
        <w:pStyle w:val="Heading2"/>
        <w:spacing w:before="120" w:after="0"/>
      </w:pPr>
      <w:r w:rsidRPr="00ED38E9">
        <w:t>Návrh variant řešení</w:t>
      </w:r>
    </w:p>
    <w:p w:rsidR="00445337" w:rsidRPr="002575A5" w:rsidP="00BF16B7" w14:paraId="39687058" w14:textId="77777777">
      <w:pPr>
        <w:pStyle w:val="Heading3"/>
      </w:pPr>
      <w:r w:rsidRPr="00ED38E9">
        <w:t>Varianta 0</w:t>
      </w:r>
    </w:p>
    <w:p w:rsidR="00DF2C6B" w:rsidRPr="000E6DE5" w:rsidP="00B760EA" w14:paraId="27C998F8" w14:textId="5DECCE99">
      <w:r w:rsidRPr="000E6DE5">
        <w:t>Současná právní úprava nedefinuje způsob financování činnosti provozovatelů KS.</w:t>
      </w:r>
    </w:p>
    <w:p w:rsidR="00445337" w:rsidP="00BF16B7" w14:paraId="0EC98A53" w14:textId="7BFE2DB1">
      <w:pPr>
        <w:pStyle w:val="Heading3"/>
      </w:pPr>
      <w:r>
        <w:t>Varianta 1</w:t>
      </w:r>
    </w:p>
    <w:p w:rsidR="00445337" w:rsidRPr="000E6DE5" w:rsidP="00F11B62" w14:paraId="483D0E0D" w14:textId="2F7C421E">
      <w:pPr>
        <w:rPr>
          <w:rFonts w:eastAsia="Calibri"/>
          <w:lang w:bidi="ar-SA"/>
        </w:rPr>
      </w:pPr>
      <w:r>
        <w:t>F</w:t>
      </w:r>
      <w:r w:rsidRPr="003F0645">
        <w:t xml:space="preserve">inancování činnosti provozovatele </w:t>
      </w:r>
      <w:r w:rsidRPr="000E6DE5">
        <w:t>KS</w:t>
      </w:r>
      <w:r w:rsidRPr="001547BB">
        <w:rPr>
          <w:rFonts w:eastAsia="Calibri"/>
          <w:lang w:bidi="ar-SA"/>
        </w:rPr>
        <w:t xml:space="preserve"> </w:t>
      </w:r>
      <w:r>
        <w:rPr>
          <w:rFonts w:eastAsia="Calibri"/>
          <w:lang w:bidi="ar-SA"/>
        </w:rPr>
        <w:t>„zálohovým“ systémem, tzn. p</w:t>
      </w:r>
      <w:r w:rsidRPr="000E6DE5" w:rsidR="001547BB">
        <w:rPr>
          <w:rFonts w:eastAsia="Calibri"/>
          <w:lang w:bidi="ar-SA"/>
        </w:rPr>
        <w:t>rovozovatelé KS jsou povinni vytvořit finanční rezervu (ukládáním peněžních prostředků na</w:t>
      </w:r>
      <w:r w:rsidR="001547BB">
        <w:rPr>
          <w:rFonts w:eastAsia="Calibri"/>
          <w:lang w:bidi="ar-SA"/>
        </w:rPr>
        <w:t> </w:t>
      </w:r>
      <w:r w:rsidRPr="000E6DE5" w:rsidR="001547BB">
        <w:rPr>
          <w:rFonts w:eastAsia="Calibri"/>
          <w:lang w:bidi="ar-SA"/>
        </w:rPr>
        <w:t>zvláštní vázaný účet vedený v bance) určenou na krytí budoucích nákladů na kolektivní plnění povinností výrobců.</w:t>
      </w:r>
    </w:p>
    <w:p w:rsidR="001547BB" w:rsidRPr="00600EF4" w:rsidP="00445337" w14:paraId="61A09F38" w14:textId="77777777">
      <w:pPr>
        <w:rPr>
          <w:lang w:bidi="ar-SA"/>
        </w:rPr>
      </w:pPr>
    </w:p>
    <w:p w:rsidR="00445337" w:rsidP="00445337" w14:paraId="6950ED46" w14:textId="77777777">
      <w:pPr>
        <w:pStyle w:val="Heading2"/>
        <w:spacing w:before="120" w:after="0"/>
      </w:pPr>
      <w:r>
        <w:t>Vyhodnocení nákladů a přínosů</w:t>
      </w:r>
    </w:p>
    <w:p w:rsidR="00445337" w:rsidRPr="003F0645" w:rsidP="00445337" w14:paraId="64ED2D93" w14:textId="77777777">
      <w:pPr>
        <w:pStyle w:val="Heading4"/>
        <w:numPr>
          <w:ilvl w:val="0"/>
          <w:numId w:val="0"/>
        </w:numPr>
        <w:spacing w:before="120" w:after="0"/>
        <w:ind w:left="864" w:hanging="864"/>
        <w:rPr>
          <w:b/>
          <w:i/>
          <w:sz w:val="24"/>
          <w:szCs w:val="24"/>
        </w:rPr>
      </w:pPr>
      <w:r w:rsidRPr="003F0645">
        <w:rPr>
          <w:b/>
          <w:i/>
          <w:sz w:val="24"/>
          <w:szCs w:val="24"/>
        </w:rPr>
        <w:t>Identifikace nákladů a přínosů</w:t>
      </w:r>
    </w:p>
    <w:p w:rsidR="00445337" w:rsidRPr="003F0645" w:rsidP="00445337" w14:paraId="79FA4FAB" w14:textId="77777777">
      <w:pPr>
        <w:pStyle w:val="ListParagraph"/>
        <w:keepNext/>
        <w:numPr>
          <w:ilvl w:val="0"/>
          <w:numId w:val="76"/>
        </w:numPr>
        <w:spacing w:before="240" w:after="120"/>
        <w:contextualSpacing w:val="0"/>
        <w:rPr>
          <w:rFonts w:cs="Arial"/>
          <w:b/>
        </w:rPr>
      </w:pPr>
      <w:r w:rsidRPr="003F0645">
        <w:rPr>
          <w:rFonts w:cs="Arial"/>
          <w:b/>
        </w:rPr>
        <w:t>Varianta 0</w:t>
      </w:r>
    </w:p>
    <w:p w:rsidR="00445337" w:rsidRPr="003F0645" w:rsidP="00B760EA" w14:paraId="12CF4936" w14:textId="77777777">
      <w:pPr>
        <w:pStyle w:val="Normlntun"/>
        <w:spacing w:before="240" w:after="0" w:line="276" w:lineRule="auto"/>
        <w:rPr>
          <w:rFonts w:cs="Arial"/>
        </w:rPr>
      </w:pPr>
      <w:r w:rsidRPr="003F0645">
        <w:rPr>
          <w:rFonts w:cs="Arial"/>
        </w:rPr>
        <w:t>Dopady na státní rozpočet a ostatní veřejné rozpočty</w:t>
      </w:r>
    </w:p>
    <w:p w:rsidR="00445337" w:rsidRPr="003F0645" w:rsidP="00445337" w14:paraId="35385A49" w14:textId="2D58FCDA">
      <w:pPr>
        <w:rPr>
          <w:rFonts w:cs="Arial"/>
        </w:rPr>
      </w:pPr>
      <w:r>
        <w:rPr>
          <w:rFonts w:cs="Arial"/>
        </w:rPr>
        <w:t xml:space="preserve">Současný stav nemá </w:t>
      </w:r>
      <w:r w:rsidRPr="003F0645">
        <w:rPr>
          <w:rFonts w:cs="Arial"/>
        </w:rPr>
        <w:t>dopady na státní ani veřejné rozpočty.</w:t>
      </w:r>
    </w:p>
    <w:p w:rsidR="00445337" w:rsidRPr="003F0645" w:rsidP="00445337" w14:paraId="4DEC68CD" w14:textId="77777777">
      <w:pPr>
        <w:pStyle w:val="Normlntun"/>
        <w:spacing w:before="240" w:after="0" w:line="276" w:lineRule="auto"/>
        <w:rPr>
          <w:rFonts w:cs="Arial"/>
        </w:rPr>
      </w:pPr>
      <w:r w:rsidRPr="003F0645">
        <w:rPr>
          <w:rFonts w:cs="Arial"/>
        </w:rPr>
        <w:t>Dopady na podnikatelské subjekty</w:t>
      </w:r>
    </w:p>
    <w:p w:rsidR="00C26A91" w:rsidP="000E6DE5" w14:paraId="79F2007D" w14:textId="77777777">
      <w:pPr>
        <w:spacing w:after="0"/>
      </w:pPr>
      <w:r w:rsidRPr="00997FAA">
        <w:t xml:space="preserve">Současná právní úprava prakticky nedefinuje způsob financování činnosti provozovatele kolektivního systému. Je tak umožněna paralelní existence různých systémů financování, které se obvykle rozdělují na dva základní modely obecně označované jako „zálohové“ a „průběžné“. V rámci „průběžného“ systému financování kolektivní systémy nevytváří prakticky žádnou finanční rezervu, a existuje zde riziko, že v případě výskytu fluktuací na trhu, které se odrazí ve zvýšení nákladů na zajišťování kolektivního plnění (pokles cen druhotných surovin, zvýšení cen za zpracování, zvýšení cen pohonných hmot, snížení množství vybraných výrobků uváděných na trh apod.), kolektivní systém </w:t>
      </w:r>
      <w:r>
        <w:t>nebude mít</w:t>
      </w:r>
      <w:r w:rsidRPr="00997FAA">
        <w:t xml:space="preserve"> vytvořeny dostatečné finanční prostředky, aby mohl nastalou situaci překlenout, a ve výsledku začne omezovat svoji činnost, což může být spojeno s poklesem míry zpětného odběru. </w:t>
      </w:r>
    </w:p>
    <w:p w:rsidR="00C26A91" w:rsidRPr="000E6DE5" w:rsidP="000E6DE5" w14:paraId="128F3D4F" w14:textId="77777777">
      <w:pPr>
        <w:pStyle w:val="Normlntun"/>
        <w:spacing w:after="0" w:line="276" w:lineRule="auto"/>
        <w:rPr>
          <w:b w:val="0"/>
          <w:bCs w:val="0"/>
          <w:noProof/>
          <w:szCs w:val="24"/>
          <w:lang w:eastAsia="en-US" w:bidi="en-US"/>
        </w:rPr>
      </w:pPr>
      <w:r w:rsidRPr="000E6DE5">
        <w:rPr>
          <w:b w:val="0"/>
          <w:bCs w:val="0"/>
          <w:noProof/>
          <w:szCs w:val="24"/>
          <w:lang w:eastAsia="en-US" w:bidi="en-US"/>
        </w:rPr>
        <w:t xml:space="preserve">Příkladem může být např. situace začínající ekonomické recese, kdy mj. dochází k poklesu cen druhotných surovin, což má za následek zvýšení nákladů ze strany kolektivního systému nebo výrobce (vyšší náklady na zpracování). Pokud KS nemá vytvořenou finanční rezervu nebo ji má jen minimální, je nucen (za předpokladu, že má v úmyslu dále řádně fungovat) skokově zvýšit příspěvky stávajícím výrobcům, kteří do tohoto systému finančně přispívají. V době počátku ekonomické recese však obvykle zároveň klesají množství výrobků uváděných na trh, což obvykle zároveň vyvolá potřebu zvýšit příspěvky významněji než např. v případě pouhého poklesu cen druhotných surovin bez návaznosti na pokles množství prodávaných výrobků. V době počínající ekonomické recese je však jakékoliv zvyšování příspěvků vůči výrobcům ze strany KS krajně citlivé téma, a to platí o to více, pokud na trhu existuje více KS, které zajišťují kolektivní plnění v identické oblasti. Výsledkem takovéto situace je pak stav, že KS namísto zvyšování příspěvků výrobcům zavádějí různá „úsporná opatření“ (např. v oblasti osvěty, komunikace, vnitřní kontrolní činnosti, hustoty sběrné sítě), která však ve výsledku jdou proti samotnému cíli zákona, jímž je zvyšování množství zpětně odebraných výrobků s ukončenou životností. </w:t>
      </w:r>
    </w:p>
    <w:p w:rsidR="00445337" w:rsidRPr="003F0645" w:rsidP="00C26A91" w14:paraId="432C27A5" w14:textId="1C2FB068">
      <w:pPr>
        <w:pStyle w:val="Normlntun"/>
        <w:spacing w:before="240" w:after="0" w:line="276" w:lineRule="auto"/>
        <w:rPr>
          <w:rFonts w:cs="Arial"/>
        </w:rPr>
      </w:pPr>
      <w:r w:rsidRPr="003F0645">
        <w:rPr>
          <w:rFonts w:cs="Arial"/>
        </w:rPr>
        <w:t>Dopady na územní samosprávné celky (obce, kraje)</w:t>
      </w:r>
    </w:p>
    <w:p w:rsidR="00445337" w:rsidRPr="003F0645" w:rsidP="00445337" w14:paraId="0FF9C47B" w14:textId="7FB55ADE">
      <w:pPr>
        <w:rPr>
          <w:rFonts w:cs="Arial"/>
        </w:rPr>
      </w:pPr>
      <w:r>
        <w:rPr>
          <w:rFonts w:cs="Arial"/>
        </w:rPr>
        <w:t xml:space="preserve">Současný stav nemá </w:t>
      </w:r>
      <w:r w:rsidRPr="003F0645">
        <w:rPr>
          <w:rFonts w:cs="Arial"/>
        </w:rPr>
        <w:t xml:space="preserve">dopady </w:t>
      </w:r>
      <w:r w:rsidRPr="003F0645">
        <w:rPr>
          <w:rFonts w:cs="Arial"/>
        </w:rPr>
        <w:t>na obce ani kraje.</w:t>
      </w:r>
      <w:r w:rsidR="00673B0F">
        <w:rPr>
          <w:rFonts w:cs="Arial"/>
        </w:rPr>
        <w:t xml:space="preserve"> Potenciálně může mít negativní vliv na</w:t>
      </w:r>
      <w:r w:rsidR="00CA6B92">
        <w:rPr>
          <w:rFonts w:cs="Arial"/>
        </w:rPr>
        <w:t> </w:t>
      </w:r>
      <w:r w:rsidR="00673B0F">
        <w:rPr>
          <w:rFonts w:cs="Arial"/>
        </w:rPr>
        <w:t>rozpočty obcí.</w:t>
      </w:r>
    </w:p>
    <w:p w:rsidR="00445337" w:rsidRPr="003F0645" w:rsidP="00445337" w14:paraId="7BF351F6" w14:textId="77777777">
      <w:pPr>
        <w:pStyle w:val="Normlntun"/>
        <w:spacing w:before="240" w:after="0" w:line="276" w:lineRule="auto"/>
        <w:rPr>
          <w:rFonts w:cs="Arial"/>
        </w:rPr>
      </w:pPr>
      <w:r w:rsidRPr="003F0645">
        <w:rPr>
          <w:rFonts w:cs="Arial"/>
        </w:rPr>
        <w:t>Sociální dopady</w:t>
      </w:r>
    </w:p>
    <w:p w:rsidR="00445337" w:rsidRPr="003F0645" w:rsidP="00445337" w14:paraId="409C3BCF" w14:textId="1F2C45F3">
      <w:pPr>
        <w:rPr>
          <w:rFonts w:cs="Arial"/>
        </w:rPr>
      </w:pPr>
      <w:r>
        <w:rPr>
          <w:rFonts w:cs="Arial"/>
        </w:rPr>
        <w:t xml:space="preserve">Současný stav nemá </w:t>
      </w:r>
      <w:r w:rsidRPr="003F0645">
        <w:rPr>
          <w:rFonts w:cs="Arial"/>
        </w:rPr>
        <w:t xml:space="preserve">dopady </w:t>
      </w:r>
      <w:r w:rsidRPr="003F0645">
        <w:rPr>
          <w:rFonts w:cs="Arial"/>
        </w:rPr>
        <w:t>v sociální oblasti.</w:t>
      </w:r>
    </w:p>
    <w:p w:rsidR="00445337" w:rsidRPr="003F0645" w:rsidP="00445337" w14:paraId="44AF4E57" w14:textId="77777777">
      <w:pPr>
        <w:pStyle w:val="Normlntun"/>
        <w:spacing w:before="240" w:after="0" w:line="276" w:lineRule="auto"/>
        <w:rPr>
          <w:rFonts w:cs="Arial"/>
        </w:rPr>
      </w:pPr>
      <w:r w:rsidRPr="003F0645">
        <w:rPr>
          <w:rFonts w:cs="Arial"/>
        </w:rPr>
        <w:t>Dopady na životní prostředí</w:t>
      </w:r>
    </w:p>
    <w:p w:rsidR="00445337" w:rsidRPr="003F0645" w:rsidP="00445337" w14:paraId="145D26CA" w14:textId="56047B44">
      <w:pPr>
        <w:rPr>
          <w:rFonts w:cs="Arial"/>
        </w:rPr>
      </w:pPr>
      <w:r>
        <w:rPr>
          <w:rFonts w:cs="Arial"/>
        </w:rPr>
        <w:t xml:space="preserve">Současný stav </w:t>
      </w:r>
      <w:r w:rsidR="002131C5">
        <w:rPr>
          <w:rFonts w:cs="Arial"/>
        </w:rPr>
        <w:t>může mít negativní dopady na životní prostředí. Pokud by KS, který využívá „průběžný“ systém financování (</w:t>
      </w:r>
      <w:r w:rsidR="00E8135E">
        <w:rPr>
          <w:rFonts w:cs="Arial"/>
        </w:rPr>
        <w:t xml:space="preserve">a </w:t>
      </w:r>
      <w:r w:rsidRPr="00997FAA" w:rsidR="002131C5">
        <w:t>nevytváří prakticky žádnou finanční rezervu</w:t>
      </w:r>
      <w:r w:rsidR="002131C5">
        <w:t>)</w:t>
      </w:r>
      <w:r w:rsidR="002131C5">
        <w:rPr>
          <w:rFonts w:cs="Arial"/>
        </w:rPr>
        <w:t xml:space="preserve">, </w:t>
      </w:r>
      <w:r w:rsidR="00C80631">
        <w:rPr>
          <w:rFonts w:cs="Arial"/>
        </w:rPr>
        <w:t>ukončil svoji činnost, hrozí riziko, že</w:t>
      </w:r>
      <w:r w:rsidR="002131C5">
        <w:rPr>
          <w:rFonts w:cs="Arial"/>
        </w:rPr>
        <w:t xml:space="preserve"> </w:t>
      </w:r>
      <w:r w:rsidR="00C80631">
        <w:rPr>
          <w:rFonts w:cs="Arial"/>
        </w:rPr>
        <w:t>část odpadních EEZ nebude</w:t>
      </w:r>
      <w:r w:rsidR="002131C5">
        <w:rPr>
          <w:rFonts w:cs="Arial"/>
        </w:rPr>
        <w:t xml:space="preserve"> zrecyklována</w:t>
      </w:r>
      <w:r w:rsidR="00C80631">
        <w:rPr>
          <w:rFonts w:cs="Arial"/>
        </w:rPr>
        <w:t xml:space="preserve"> a bude představovat</w:t>
      </w:r>
      <w:r w:rsidR="002131C5">
        <w:rPr>
          <w:rFonts w:cs="Arial"/>
        </w:rPr>
        <w:t xml:space="preserve"> v konečném důsledku zátěž pro</w:t>
      </w:r>
      <w:r w:rsidR="00E8135E">
        <w:rPr>
          <w:rFonts w:cs="Arial"/>
        </w:rPr>
        <w:t> </w:t>
      </w:r>
      <w:r w:rsidR="002131C5">
        <w:rPr>
          <w:rFonts w:cs="Arial"/>
        </w:rPr>
        <w:t>životní prostředí.</w:t>
      </w:r>
    </w:p>
    <w:p w:rsidR="00445337" w:rsidRPr="003F0645" w:rsidP="00445337" w14:paraId="54A5DC49" w14:textId="77777777">
      <w:pPr>
        <w:pStyle w:val="ListParagraph"/>
        <w:keepNext/>
        <w:numPr>
          <w:ilvl w:val="0"/>
          <w:numId w:val="76"/>
        </w:numPr>
        <w:spacing w:before="360" w:after="120"/>
        <w:ind w:left="714" w:hanging="357"/>
        <w:contextualSpacing w:val="0"/>
        <w:rPr>
          <w:rFonts w:cs="Arial"/>
          <w:b/>
        </w:rPr>
      </w:pPr>
      <w:r w:rsidRPr="003F0645">
        <w:rPr>
          <w:rFonts w:cs="Arial"/>
          <w:b/>
        </w:rPr>
        <w:t>Varianta 1</w:t>
      </w:r>
    </w:p>
    <w:p w:rsidR="00445337" w:rsidRPr="003F0645" w:rsidP="00445337" w14:paraId="0C9C6857" w14:textId="77777777">
      <w:pPr>
        <w:pStyle w:val="Normlntun"/>
        <w:spacing w:before="240" w:after="0" w:line="276" w:lineRule="auto"/>
        <w:rPr>
          <w:rFonts w:cs="Arial"/>
        </w:rPr>
      </w:pPr>
      <w:r w:rsidRPr="003F0645">
        <w:rPr>
          <w:rFonts w:cs="Arial"/>
        </w:rPr>
        <w:t>Dopady na státní rozpočet a ostatní veřejné rozpočty</w:t>
      </w:r>
    </w:p>
    <w:p w:rsidR="00445337" w:rsidRPr="003F0645" w:rsidP="00445337" w14:paraId="675B97F6" w14:textId="71109137">
      <w:pPr>
        <w:rPr>
          <w:rFonts w:cs="Arial"/>
        </w:rPr>
      </w:pPr>
      <w:r w:rsidRPr="003F0645">
        <w:rPr>
          <w:rFonts w:cs="Arial"/>
        </w:rPr>
        <w:t>Nepředpokládáme dopady na státní ani veřejné rozpočty.</w:t>
      </w:r>
      <w:r>
        <w:t xml:space="preserve"> </w:t>
      </w:r>
    </w:p>
    <w:p w:rsidR="00445337" w:rsidRPr="003F0645" w:rsidP="00445337" w14:paraId="3FE1A7B6" w14:textId="77777777">
      <w:pPr>
        <w:pStyle w:val="Normlntun"/>
        <w:spacing w:before="240" w:after="0" w:line="276" w:lineRule="auto"/>
        <w:rPr>
          <w:rFonts w:cs="Arial"/>
        </w:rPr>
      </w:pPr>
      <w:r w:rsidRPr="003F0645">
        <w:rPr>
          <w:rFonts w:cs="Arial"/>
        </w:rPr>
        <w:t>Dopady na podnikatelské subjekty</w:t>
      </w:r>
    </w:p>
    <w:p w:rsidR="00445337" w:rsidRPr="00C22698" w:rsidP="00445337" w14:paraId="4EEBC7CF" w14:textId="554BA4A9">
      <w:pPr>
        <w:autoSpaceDE w:val="0"/>
        <w:autoSpaceDN w:val="0"/>
        <w:adjustRightInd w:val="0"/>
        <w:spacing w:after="0"/>
      </w:pPr>
      <w:r>
        <w:t>Provozovatelé</w:t>
      </w:r>
      <w:r w:rsidR="00D26184">
        <w:rPr>
          <w:rFonts w:eastAsia="Calibri" w:cs="Arial"/>
          <w:noProof w:val="0"/>
          <w:szCs w:val="22"/>
          <w:lang w:bidi="ar-SA"/>
        </w:rPr>
        <w:t xml:space="preserve"> </w:t>
      </w:r>
      <w:r w:rsidRPr="003F0645" w:rsidR="00D26184">
        <w:rPr>
          <w:rFonts w:eastAsia="Calibri" w:cs="Arial"/>
          <w:noProof w:val="0"/>
          <w:szCs w:val="22"/>
          <w:lang w:bidi="ar-SA"/>
        </w:rPr>
        <w:t>KS jsou povinni vytvořit finanční rezervu (ukládáním peněžních prostředků na</w:t>
      </w:r>
      <w:r w:rsidR="00D26184">
        <w:rPr>
          <w:rFonts w:eastAsia="Calibri" w:cs="Arial"/>
          <w:noProof w:val="0"/>
          <w:szCs w:val="22"/>
          <w:lang w:bidi="ar-SA"/>
        </w:rPr>
        <w:t> </w:t>
      </w:r>
      <w:r w:rsidRPr="003F0645" w:rsidR="00D26184">
        <w:rPr>
          <w:rFonts w:eastAsia="Calibri" w:cs="Arial"/>
          <w:noProof w:val="0"/>
          <w:szCs w:val="22"/>
          <w:lang w:bidi="ar-SA"/>
        </w:rPr>
        <w:t>zvláštní vázaný účet vedený v bance) určenou na krytí budoucích nákladů na kolektivní plnění povinností výrobců.</w:t>
      </w:r>
      <w:r w:rsidR="00DB3FE1">
        <w:rPr>
          <w:rFonts w:eastAsia="Calibri" w:cs="Arial"/>
          <w:noProof w:val="0"/>
          <w:szCs w:val="22"/>
          <w:lang w:bidi="ar-SA"/>
        </w:rPr>
        <w:t xml:space="preserve"> KS, které </w:t>
      </w:r>
      <w:r w:rsidRPr="00C22698" w:rsidR="00DB3FE1">
        <w:t>jsou financovány „průběžným“ systémem jsou obvykle levnější</w:t>
      </w:r>
      <w:r w:rsidR="00F33272">
        <w:t>,</w:t>
      </w:r>
      <w:r w:rsidRPr="00C22698" w:rsidR="00DB3FE1">
        <w:t xml:space="preserve"> a </w:t>
      </w:r>
      <w:r w:rsidR="00F33272">
        <w:t>z toho důvodu</w:t>
      </w:r>
      <w:r w:rsidRPr="00C22698" w:rsidR="00DB3FE1">
        <w:t xml:space="preserve"> vyžadují od výrobců</w:t>
      </w:r>
      <w:r w:rsidR="00F33272">
        <w:t xml:space="preserve"> EEZ</w:t>
      </w:r>
      <w:r w:rsidRPr="00F33272" w:rsidR="00F33272">
        <w:t xml:space="preserve"> </w:t>
      </w:r>
      <w:r w:rsidRPr="004B3CA7" w:rsidR="00F33272">
        <w:t>nižší příspěvky</w:t>
      </w:r>
      <w:r w:rsidRPr="00C22698" w:rsidR="00DB3FE1">
        <w:t xml:space="preserve">. </w:t>
      </w:r>
      <w:r w:rsidR="00F33272">
        <w:t xml:space="preserve">Z toho vyplývá, že zapojení do těchto KS bývá pro výrobce výhodnější. </w:t>
      </w:r>
      <w:r w:rsidRPr="00C22698" w:rsidR="00DB3FE1">
        <w:t xml:space="preserve">Lze </w:t>
      </w:r>
      <w:r w:rsidR="00F33272">
        <w:t xml:space="preserve">tedy </w:t>
      </w:r>
      <w:r w:rsidRPr="00C22698" w:rsidR="00DB3FE1">
        <w:t xml:space="preserve">očekávat, že pro výrobce EEZ, kteří </w:t>
      </w:r>
      <w:r w:rsidR="00F33272">
        <w:t>plnili své zákonné povinnosti ohledně ZO prostřednictvím</w:t>
      </w:r>
      <w:r w:rsidRPr="00C22698" w:rsidR="00DB3FE1">
        <w:t xml:space="preserve"> KS</w:t>
      </w:r>
      <w:r w:rsidRPr="00C22698" w:rsidR="00F33272">
        <w:t xml:space="preserve"> financovaného</w:t>
      </w:r>
      <w:r w:rsidRPr="00C22698" w:rsidR="00DB3FE1">
        <w:t xml:space="preserve"> „průběžným“ systémem dojde ke zdražení příspěvků z důvodu tvorby finanční rezervy KS.</w:t>
      </w:r>
    </w:p>
    <w:p w:rsidR="00445337" w:rsidRPr="003F0645" w:rsidP="00445337" w14:paraId="50C171DE" w14:textId="77777777">
      <w:pPr>
        <w:pStyle w:val="Normlntun"/>
        <w:spacing w:before="240" w:after="0" w:line="276" w:lineRule="auto"/>
        <w:rPr>
          <w:rFonts w:cs="Arial"/>
        </w:rPr>
      </w:pPr>
      <w:r w:rsidRPr="003F0645">
        <w:rPr>
          <w:rFonts w:cs="Arial"/>
        </w:rPr>
        <w:t>Dopady na územní samosprávné celky (obce, kraje)</w:t>
      </w:r>
    </w:p>
    <w:p w:rsidR="00445337" w:rsidRPr="003F0645" w:rsidP="00445337" w14:paraId="283A3E39" w14:textId="4038BEC0">
      <w:pPr>
        <w:rPr>
          <w:rFonts w:cs="Arial"/>
        </w:rPr>
      </w:pPr>
      <w:r>
        <w:t xml:space="preserve">Navrhovaná právní úprava bude mít pozitivní dopad na obce. Pokud budou KS </w:t>
      </w:r>
      <w:r w:rsidR="00CA6B92">
        <w:t xml:space="preserve">financovány „zálohovým“ systémem, budou mít i v případě </w:t>
      </w:r>
      <w:r w:rsidRPr="00997FAA" w:rsidR="00CA6B92">
        <w:t>výskytu fluktuací na trhu</w:t>
      </w:r>
      <w:r w:rsidR="00CA6B92">
        <w:t xml:space="preserve"> </w:t>
      </w:r>
      <w:r>
        <w:t>dostat</w:t>
      </w:r>
      <w:r w:rsidR="00CA6B92">
        <w:t>ek financí na zajištění ZO OEEZ a</w:t>
      </w:r>
      <w:r>
        <w:t xml:space="preserve"> budou přispívat obcícm na sběr</w:t>
      </w:r>
      <w:r w:rsidR="00CA6B92">
        <w:t xml:space="preserve"> OEEZ. Lze tedy očekávat, že občané budou OEEZ odkládat na místa ZO a méně OEEZ bude končit ve směsném komunálním odpadu, který financují obce.</w:t>
      </w:r>
    </w:p>
    <w:p w:rsidR="00445337" w:rsidRPr="003F0645" w:rsidP="00445337" w14:paraId="5D71D963" w14:textId="77777777">
      <w:pPr>
        <w:pStyle w:val="Normlntun"/>
        <w:spacing w:before="240" w:after="0" w:line="276" w:lineRule="auto"/>
        <w:rPr>
          <w:rFonts w:cs="Arial"/>
        </w:rPr>
      </w:pPr>
      <w:r w:rsidRPr="003F0645">
        <w:rPr>
          <w:rFonts w:cs="Arial"/>
        </w:rPr>
        <w:t>Sociální dopady</w:t>
      </w:r>
    </w:p>
    <w:p w:rsidR="00445337" w:rsidRPr="003F0645" w:rsidP="00445337" w14:paraId="73AD8C25" w14:textId="77777777">
      <w:pPr>
        <w:rPr>
          <w:rFonts w:cs="Arial"/>
        </w:rPr>
      </w:pPr>
      <w:r w:rsidRPr="003F0645">
        <w:rPr>
          <w:rFonts w:cs="Arial"/>
        </w:rPr>
        <w:t>Nepředpokládáme sociální dopady.</w:t>
      </w:r>
    </w:p>
    <w:p w:rsidR="00445337" w:rsidRPr="003F0645" w:rsidP="00445337" w14:paraId="63E657D5" w14:textId="77777777">
      <w:pPr>
        <w:pStyle w:val="Normlntun"/>
        <w:spacing w:before="240" w:after="0" w:line="276" w:lineRule="auto"/>
        <w:rPr>
          <w:rFonts w:cs="Arial"/>
        </w:rPr>
      </w:pPr>
      <w:r w:rsidRPr="003F0645">
        <w:rPr>
          <w:rFonts w:cs="Arial"/>
        </w:rPr>
        <w:t>Dopady na životní prostředí</w:t>
      </w:r>
    </w:p>
    <w:p w:rsidR="00D26184" w:rsidRPr="000E6DE5" w14:paraId="528326B3" w14:textId="669D055E">
      <w:pPr>
        <w:rPr>
          <w:rFonts w:cs="Arial"/>
        </w:rPr>
      </w:pPr>
      <w:r>
        <w:rPr>
          <w:rFonts w:cs="Arial"/>
        </w:rPr>
        <w:t xml:space="preserve">Tato regulace bude mít pozitivní dopad </w:t>
      </w:r>
      <w:r w:rsidRPr="003F0645">
        <w:rPr>
          <w:rFonts w:cs="Arial"/>
        </w:rPr>
        <w:t>na životní prostředí, nebo</w:t>
      </w:r>
      <w:r>
        <w:rPr>
          <w:rFonts w:cs="Arial"/>
        </w:rPr>
        <w:t>ť zajišťuje</w:t>
      </w:r>
      <w:r w:rsidRPr="003F0645">
        <w:rPr>
          <w:rFonts w:cs="Arial"/>
        </w:rPr>
        <w:t xml:space="preserve"> </w:t>
      </w:r>
      <w:r>
        <w:t>potřebné</w:t>
      </w:r>
      <w:r w:rsidRPr="00997FAA">
        <w:t xml:space="preserve"> finanční</w:t>
      </w:r>
      <w:r>
        <w:t xml:space="preserve"> prostředky </w:t>
      </w:r>
      <w:r w:rsidRPr="00997FAA">
        <w:t xml:space="preserve">pro </w:t>
      </w:r>
      <w:r>
        <w:t xml:space="preserve">krytí budoucích nákladů na kolektivní plnění </w:t>
      </w:r>
      <w:r w:rsidRPr="00997FAA">
        <w:t>povinností týkajících se</w:t>
      </w:r>
      <w:r>
        <w:t xml:space="preserve"> rozšířené odpovědnosti výrobce</w:t>
      </w:r>
      <w:r>
        <w:rPr>
          <w:rFonts w:cs="Arial"/>
        </w:rPr>
        <w:t xml:space="preserve">, čímž bude zajištěna řádná recyklace odpadních EEZ. Díky tomu se </w:t>
      </w:r>
      <w:r w:rsidRPr="003F0645">
        <w:rPr>
          <w:color w:val="000000"/>
        </w:rPr>
        <w:t>snižuje riziko úniku nebezpečných látek obsažených v </w:t>
      </w:r>
      <w:r>
        <w:rPr>
          <w:color w:val="000000"/>
        </w:rPr>
        <w:t>EEZ</w:t>
      </w:r>
      <w:r w:rsidRPr="003F0645">
        <w:rPr>
          <w:color w:val="000000"/>
        </w:rPr>
        <w:t xml:space="preserve"> a kontaminace ŽP těmito látkami při ne</w:t>
      </w:r>
      <w:r w:rsidRPr="003F0645">
        <w:rPr>
          <w:rFonts w:cs="Arial"/>
        </w:rPr>
        <w:t xml:space="preserve">správném nakládání s  </w:t>
      </w:r>
      <w:r>
        <w:rPr>
          <w:rFonts w:cs="Arial"/>
        </w:rPr>
        <w:t>nimi</w:t>
      </w:r>
      <w:r w:rsidRPr="003F0645">
        <w:rPr>
          <w:rFonts w:cs="Arial"/>
        </w:rPr>
        <w:t>.</w:t>
      </w:r>
      <w:r>
        <w:rPr>
          <w:rFonts w:cs="Arial"/>
        </w:rPr>
        <w:t xml:space="preserve"> Zároveň řádnou recyklací dochází také k </w:t>
      </w:r>
      <w:r>
        <w:rPr>
          <w:color w:val="000000"/>
        </w:rPr>
        <w:t>úspoře</w:t>
      </w:r>
      <w:r w:rsidRPr="00325145">
        <w:rPr>
          <w:color w:val="000000"/>
        </w:rPr>
        <w:t xml:space="preserve"> materiálů využívaných v </w:t>
      </w:r>
      <w:r>
        <w:rPr>
          <w:color w:val="000000"/>
        </w:rPr>
        <w:t>EEZ</w:t>
      </w:r>
      <w:r w:rsidRPr="00325145">
        <w:rPr>
          <w:color w:val="000000"/>
        </w:rPr>
        <w:t xml:space="preserve"> </w:t>
      </w:r>
      <w:r>
        <w:rPr>
          <w:color w:val="000000"/>
        </w:rPr>
        <w:t>díky opětovnému</w:t>
      </w:r>
      <w:r w:rsidRPr="00325145">
        <w:rPr>
          <w:color w:val="000000"/>
        </w:rPr>
        <w:t xml:space="preserve"> vyu</w:t>
      </w:r>
      <w:r>
        <w:rPr>
          <w:color w:val="000000"/>
        </w:rPr>
        <w:t>žití</w:t>
      </w:r>
      <w:r w:rsidRPr="00D35C5B">
        <w:rPr>
          <w:color w:val="000000"/>
        </w:rPr>
        <w:t xml:space="preserve"> </w:t>
      </w:r>
      <w:r>
        <w:rPr>
          <w:color w:val="000000"/>
        </w:rPr>
        <w:t xml:space="preserve">a </w:t>
      </w:r>
      <w:r w:rsidRPr="00325145">
        <w:rPr>
          <w:color w:val="000000"/>
        </w:rPr>
        <w:t>zajištění materiálu pro budoucí využití</w:t>
      </w:r>
      <w:r w:rsidRPr="00CA6B68">
        <w:rPr>
          <w:color w:val="000000"/>
        </w:rPr>
        <w:t xml:space="preserve"> </w:t>
      </w:r>
      <w:r>
        <w:rPr>
          <w:color w:val="000000"/>
        </w:rPr>
        <w:t xml:space="preserve">a </w:t>
      </w:r>
      <w:r w:rsidRPr="0029680F">
        <w:rPr>
          <w:color w:val="000000"/>
        </w:rPr>
        <w:t>úspoře energie</w:t>
      </w:r>
      <w:r>
        <w:rPr>
          <w:color w:val="000000"/>
        </w:rPr>
        <w:t>.</w:t>
      </w:r>
    </w:p>
    <w:p w:rsidR="00445337" w:rsidRPr="003F0645" w:rsidP="00445337" w14:paraId="09527780" w14:textId="77777777">
      <w:pPr>
        <w:rPr>
          <w:rFonts w:cs="Arial"/>
        </w:rPr>
      </w:pPr>
    </w:p>
    <w:p w:rsidR="00445337" w:rsidRPr="003F0645" w:rsidP="00445337" w14:paraId="3BBF0F0A" w14:textId="77777777">
      <w:pPr>
        <w:pStyle w:val="Heading4"/>
        <w:numPr>
          <w:ilvl w:val="0"/>
          <w:numId w:val="0"/>
        </w:numPr>
        <w:spacing w:before="120" w:after="0"/>
        <w:ind w:left="864" w:hanging="864"/>
        <w:rPr>
          <w:szCs w:val="24"/>
        </w:rPr>
      </w:pPr>
      <w:r w:rsidRPr="003F0645">
        <w:rPr>
          <w:b/>
          <w:i/>
          <w:sz w:val="24"/>
          <w:szCs w:val="24"/>
        </w:rPr>
        <w:t>Vyhodnocení nákladů a přínosů variant</w:t>
      </w:r>
    </w:p>
    <w:p w:rsidR="00445337" w:rsidRPr="003F0645" w:rsidP="00445337" w14:paraId="2BB0CC8C" w14:textId="025EC273">
      <w:pPr>
        <w:keepNext/>
        <w:spacing w:after="120"/>
        <w:rPr>
          <w:b/>
          <w:spacing w:val="10"/>
          <w:sz w:val="20"/>
          <w:szCs w:val="20"/>
        </w:rPr>
      </w:pPr>
      <w:r>
        <w:rPr>
          <w:b/>
          <w:spacing w:val="10"/>
          <w:sz w:val="20"/>
          <w:szCs w:val="20"/>
        </w:rPr>
        <w:t xml:space="preserve">Tabulka </w:t>
      </w:r>
      <w:r w:rsidR="00925F10">
        <w:rPr>
          <w:b/>
          <w:spacing w:val="10"/>
          <w:sz w:val="20"/>
          <w:szCs w:val="20"/>
        </w:rPr>
        <w:t>18</w:t>
      </w:r>
      <w:r w:rsidRPr="003F0645">
        <w:rPr>
          <w:b/>
          <w:spacing w:val="10"/>
          <w:sz w:val="20"/>
          <w:szCs w:val="20"/>
        </w:rPr>
        <w:t>: Porovnání přínosů a nákladů</w:t>
      </w:r>
    </w:p>
    <w:tbl>
      <w:tblPr>
        <w:tblStyle w:val="TableGrid"/>
        <w:tblW w:w="0" w:type="auto"/>
        <w:tblLook w:val="04A0"/>
      </w:tblPr>
      <w:tblGrid>
        <w:gridCol w:w="1252"/>
        <w:gridCol w:w="2513"/>
        <w:gridCol w:w="1250"/>
        <w:gridCol w:w="2791"/>
        <w:gridCol w:w="1250"/>
      </w:tblGrid>
      <w:tr w14:paraId="382B1038" w14:textId="77777777" w:rsidTr="00D96576">
        <w:tblPrEx>
          <w:tblW w:w="0" w:type="auto"/>
          <w:tblLook w:val="04A0"/>
        </w:tblPrEx>
        <w:trPr>
          <w:trHeight w:val="454"/>
        </w:trPr>
        <w:tc>
          <w:tcPr>
            <w:tcW w:w="1252" w:type="dxa"/>
            <w:noWrap/>
            <w:vAlign w:val="center"/>
            <w:hideMark/>
          </w:tcPr>
          <w:p w:rsidR="00445337" w:rsidRPr="003F0645" w:rsidP="00445337" w14:paraId="38A3EF80" w14:textId="77777777">
            <w:pPr>
              <w:keepNext/>
              <w:spacing w:before="0" w:after="0"/>
              <w:jc w:val="center"/>
              <w:rPr>
                <w:b/>
                <w:bCs/>
                <w:sz w:val="20"/>
                <w:szCs w:val="20"/>
              </w:rPr>
            </w:pPr>
            <w:r w:rsidRPr="003F0645">
              <w:rPr>
                <w:b/>
                <w:bCs/>
                <w:sz w:val="20"/>
                <w:szCs w:val="20"/>
              </w:rPr>
              <w:t>Varianta</w:t>
            </w:r>
          </w:p>
        </w:tc>
        <w:tc>
          <w:tcPr>
            <w:tcW w:w="2513" w:type="dxa"/>
            <w:noWrap/>
            <w:vAlign w:val="center"/>
            <w:hideMark/>
          </w:tcPr>
          <w:p w:rsidR="00445337" w:rsidRPr="003F0645" w:rsidP="00445337" w14:paraId="0427D6C6" w14:textId="77777777">
            <w:pPr>
              <w:keepNext/>
              <w:spacing w:before="0" w:after="0"/>
              <w:jc w:val="center"/>
              <w:rPr>
                <w:b/>
                <w:bCs/>
                <w:sz w:val="20"/>
                <w:szCs w:val="20"/>
              </w:rPr>
            </w:pPr>
            <w:r w:rsidRPr="003F0645">
              <w:rPr>
                <w:b/>
                <w:bCs/>
                <w:sz w:val="20"/>
                <w:szCs w:val="20"/>
              </w:rPr>
              <w:t>Přínosy</w:t>
            </w:r>
          </w:p>
        </w:tc>
        <w:tc>
          <w:tcPr>
            <w:tcW w:w="1250" w:type="dxa"/>
            <w:noWrap/>
            <w:vAlign w:val="center"/>
            <w:hideMark/>
          </w:tcPr>
          <w:p w:rsidR="00445337" w:rsidRPr="003F0645" w:rsidP="00445337" w14:paraId="0767122C" w14:textId="77777777">
            <w:pPr>
              <w:keepNext/>
              <w:spacing w:before="0" w:after="0"/>
              <w:jc w:val="center"/>
              <w:rPr>
                <w:b/>
                <w:bCs/>
                <w:sz w:val="20"/>
                <w:szCs w:val="20"/>
              </w:rPr>
            </w:pPr>
            <w:r w:rsidRPr="003F0645">
              <w:rPr>
                <w:b/>
                <w:bCs/>
                <w:sz w:val="20"/>
                <w:szCs w:val="20"/>
              </w:rPr>
              <w:t>Hodnocení</w:t>
            </w:r>
          </w:p>
        </w:tc>
        <w:tc>
          <w:tcPr>
            <w:tcW w:w="2791" w:type="dxa"/>
            <w:noWrap/>
            <w:vAlign w:val="center"/>
            <w:hideMark/>
          </w:tcPr>
          <w:p w:rsidR="00445337" w:rsidRPr="003F0645" w:rsidP="00445337" w14:paraId="1830C3DB" w14:textId="77777777">
            <w:pPr>
              <w:keepNext/>
              <w:spacing w:before="0" w:after="0"/>
              <w:jc w:val="center"/>
              <w:rPr>
                <w:b/>
                <w:bCs/>
                <w:sz w:val="20"/>
                <w:szCs w:val="20"/>
              </w:rPr>
            </w:pPr>
            <w:r w:rsidRPr="003F0645">
              <w:rPr>
                <w:b/>
                <w:bCs/>
                <w:sz w:val="20"/>
                <w:szCs w:val="20"/>
              </w:rPr>
              <w:t>Náklady</w:t>
            </w:r>
          </w:p>
        </w:tc>
        <w:tc>
          <w:tcPr>
            <w:tcW w:w="1250" w:type="dxa"/>
            <w:noWrap/>
            <w:vAlign w:val="center"/>
            <w:hideMark/>
          </w:tcPr>
          <w:p w:rsidR="00445337" w:rsidRPr="003F0645" w:rsidP="00445337" w14:paraId="21D65FEF" w14:textId="77777777">
            <w:pPr>
              <w:keepNext/>
              <w:spacing w:before="0" w:after="0"/>
              <w:jc w:val="center"/>
              <w:rPr>
                <w:b/>
                <w:bCs/>
                <w:sz w:val="20"/>
                <w:szCs w:val="20"/>
              </w:rPr>
            </w:pPr>
            <w:r w:rsidRPr="003F0645">
              <w:rPr>
                <w:b/>
                <w:bCs/>
                <w:sz w:val="20"/>
                <w:szCs w:val="20"/>
              </w:rPr>
              <w:t>Hodnocení</w:t>
            </w:r>
          </w:p>
        </w:tc>
      </w:tr>
      <w:tr w14:paraId="35A8D03C" w14:textId="77777777" w:rsidTr="00D96576">
        <w:tblPrEx>
          <w:tblW w:w="0" w:type="auto"/>
          <w:tblLook w:val="04A0"/>
        </w:tblPrEx>
        <w:trPr>
          <w:trHeight w:val="504"/>
        </w:trPr>
        <w:tc>
          <w:tcPr>
            <w:tcW w:w="1252" w:type="dxa"/>
            <w:vMerge w:val="restart"/>
            <w:noWrap/>
            <w:vAlign w:val="center"/>
            <w:hideMark/>
          </w:tcPr>
          <w:p w:rsidR="00445337" w:rsidRPr="003F0645" w:rsidP="00445337" w14:paraId="6719F741" w14:textId="77777777">
            <w:pPr>
              <w:keepNext/>
              <w:spacing w:before="0" w:after="0"/>
              <w:jc w:val="center"/>
              <w:rPr>
                <w:b/>
                <w:bCs/>
                <w:sz w:val="20"/>
                <w:szCs w:val="20"/>
              </w:rPr>
            </w:pPr>
            <w:r w:rsidRPr="003F0645">
              <w:rPr>
                <w:b/>
                <w:bCs/>
                <w:sz w:val="20"/>
                <w:szCs w:val="20"/>
              </w:rPr>
              <w:t>Varianta 0</w:t>
            </w:r>
          </w:p>
        </w:tc>
        <w:tc>
          <w:tcPr>
            <w:tcW w:w="7804" w:type="dxa"/>
            <w:gridSpan w:val="4"/>
            <w:vAlign w:val="center"/>
            <w:hideMark/>
          </w:tcPr>
          <w:p w:rsidR="00445337" w:rsidRPr="003F0645" w:rsidP="00445337" w14:paraId="6A2F5A51" w14:textId="77777777">
            <w:pPr>
              <w:keepNext/>
              <w:spacing w:before="0" w:after="0"/>
              <w:jc w:val="center"/>
              <w:rPr>
                <w:b/>
                <w:bCs/>
                <w:sz w:val="20"/>
                <w:szCs w:val="20"/>
              </w:rPr>
            </w:pPr>
            <w:r w:rsidRPr="003F0645">
              <w:rPr>
                <w:b/>
                <w:bCs/>
                <w:sz w:val="20"/>
                <w:szCs w:val="20"/>
              </w:rPr>
              <w:t>Státní rozpočet a ostatní veřejné rozpočty</w:t>
            </w:r>
          </w:p>
        </w:tc>
      </w:tr>
      <w:tr w14:paraId="41B489B8" w14:textId="77777777" w:rsidTr="00D96576">
        <w:tblPrEx>
          <w:tblW w:w="0" w:type="auto"/>
          <w:tblLook w:val="04A0"/>
        </w:tblPrEx>
        <w:trPr>
          <w:trHeight w:val="497"/>
        </w:trPr>
        <w:tc>
          <w:tcPr>
            <w:tcW w:w="1252" w:type="dxa"/>
            <w:vMerge/>
            <w:vAlign w:val="center"/>
            <w:hideMark/>
          </w:tcPr>
          <w:p w:rsidR="00445337" w:rsidRPr="003F0645" w:rsidP="00445337" w14:paraId="28495C79" w14:textId="77777777">
            <w:pPr>
              <w:spacing w:before="0" w:after="0"/>
              <w:jc w:val="center"/>
              <w:rPr>
                <w:b/>
                <w:bCs/>
                <w:sz w:val="20"/>
                <w:szCs w:val="20"/>
              </w:rPr>
            </w:pPr>
          </w:p>
        </w:tc>
        <w:tc>
          <w:tcPr>
            <w:tcW w:w="2513" w:type="dxa"/>
            <w:vAlign w:val="center"/>
            <w:hideMark/>
          </w:tcPr>
          <w:p w:rsidR="00445337" w:rsidRPr="003F0645" w:rsidP="00445337" w14:paraId="216D5D29" w14:textId="77777777">
            <w:pPr>
              <w:spacing w:before="0" w:after="0"/>
              <w:jc w:val="center"/>
              <w:rPr>
                <w:sz w:val="20"/>
                <w:szCs w:val="20"/>
              </w:rPr>
            </w:pPr>
            <w:r>
              <w:rPr>
                <w:sz w:val="20"/>
                <w:szCs w:val="20"/>
              </w:rPr>
              <w:t>-</w:t>
            </w:r>
          </w:p>
        </w:tc>
        <w:tc>
          <w:tcPr>
            <w:tcW w:w="1250" w:type="dxa"/>
            <w:vAlign w:val="center"/>
            <w:hideMark/>
          </w:tcPr>
          <w:p w:rsidR="00445337" w:rsidRPr="003F0645" w:rsidP="00445337" w14:paraId="7B9BA124" w14:textId="77777777">
            <w:pPr>
              <w:spacing w:before="0" w:after="0"/>
              <w:jc w:val="center"/>
              <w:rPr>
                <w:sz w:val="20"/>
                <w:szCs w:val="20"/>
              </w:rPr>
            </w:pPr>
            <w:r>
              <w:rPr>
                <w:sz w:val="20"/>
                <w:szCs w:val="20"/>
              </w:rPr>
              <w:t>-</w:t>
            </w:r>
          </w:p>
        </w:tc>
        <w:tc>
          <w:tcPr>
            <w:tcW w:w="2791" w:type="dxa"/>
            <w:vAlign w:val="center"/>
          </w:tcPr>
          <w:p w:rsidR="00445337" w:rsidRPr="003F0645" w:rsidP="00445337" w14:paraId="1C81EB93" w14:textId="359F50A9">
            <w:pPr>
              <w:spacing w:before="0" w:after="0"/>
              <w:jc w:val="center"/>
              <w:rPr>
                <w:sz w:val="20"/>
                <w:szCs w:val="20"/>
              </w:rPr>
            </w:pPr>
            <w:r>
              <w:rPr>
                <w:sz w:val="20"/>
                <w:szCs w:val="20"/>
              </w:rPr>
              <w:t>-</w:t>
            </w:r>
          </w:p>
        </w:tc>
        <w:tc>
          <w:tcPr>
            <w:tcW w:w="1250" w:type="dxa"/>
            <w:vAlign w:val="center"/>
          </w:tcPr>
          <w:p w:rsidR="00445337" w:rsidRPr="003F0645" w:rsidP="00445337" w14:paraId="3F3725DE" w14:textId="3BE646AD">
            <w:pPr>
              <w:spacing w:before="0" w:after="0"/>
              <w:jc w:val="center"/>
              <w:rPr>
                <w:sz w:val="20"/>
                <w:szCs w:val="20"/>
              </w:rPr>
            </w:pPr>
            <w:r>
              <w:rPr>
                <w:sz w:val="20"/>
                <w:szCs w:val="20"/>
              </w:rPr>
              <w:t>-</w:t>
            </w:r>
          </w:p>
        </w:tc>
      </w:tr>
      <w:tr w14:paraId="50E0916E" w14:textId="77777777" w:rsidTr="00D96576">
        <w:tblPrEx>
          <w:tblW w:w="0" w:type="auto"/>
          <w:tblLook w:val="04A0"/>
        </w:tblPrEx>
        <w:trPr>
          <w:trHeight w:val="504"/>
        </w:trPr>
        <w:tc>
          <w:tcPr>
            <w:tcW w:w="1252" w:type="dxa"/>
            <w:vMerge/>
            <w:vAlign w:val="center"/>
            <w:hideMark/>
          </w:tcPr>
          <w:p w:rsidR="00445337" w:rsidRPr="003F0645" w:rsidP="00445337" w14:paraId="46142A0A" w14:textId="77777777">
            <w:pPr>
              <w:spacing w:before="0" w:after="0"/>
              <w:jc w:val="center"/>
              <w:rPr>
                <w:b/>
                <w:bCs/>
                <w:sz w:val="20"/>
                <w:szCs w:val="20"/>
              </w:rPr>
            </w:pPr>
          </w:p>
        </w:tc>
        <w:tc>
          <w:tcPr>
            <w:tcW w:w="7804" w:type="dxa"/>
            <w:gridSpan w:val="4"/>
            <w:vAlign w:val="center"/>
            <w:hideMark/>
          </w:tcPr>
          <w:p w:rsidR="00445337" w:rsidRPr="003F0645" w:rsidP="00445337" w14:paraId="0E9DA571" w14:textId="77777777">
            <w:pPr>
              <w:spacing w:before="0" w:after="0"/>
              <w:jc w:val="center"/>
              <w:rPr>
                <w:b/>
                <w:bCs/>
                <w:sz w:val="20"/>
                <w:szCs w:val="20"/>
              </w:rPr>
            </w:pPr>
            <w:r w:rsidRPr="003F0645">
              <w:rPr>
                <w:b/>
                <w:bCs/>
                <w:sz w:val="20"/>
                <w:szCs w:val="20"/>
              </w:rPr>
              <w:t>Podnikatelské subjekty</w:t>
            </w:r>
          </w:p>
        </w:tc>
      </w:tr>
      <w:tr w14:paraId="74C9755C" w14:textId="77777777" w:rsidTr="00D96576">
        <w:tblPrEx>
          <w:tblW w:w="0" w:type="auto"/>
          <w:tblLook w:val="04A0"/>
        </w:tblPrEx>
        <w:trPr>
          <w:trHeight w:val="900"/>
        </w:trPr>
        <w:tc>
          <w:tcPr>
            <w:tcW w:w="1252" w:type="dxa"/>
            <w:vMerge/>
            <w:vAlign w:val="center"/>
          </w:tcPr>
          <w:p w:rsidR="001A7A11" w:rsidRPr="003F0645" w:rsidP="001A7A11" w14:paraId="64F27086" w14:textId="77777777">
            <w:pPr>
              <w:spacing w:before="0" w:after="0"/>
              <w:jc w:val="center"/>
              <w:rPr>
                <w:b/>
                <w:bCs/>
                <w:sz w:val="20"/>
                <w:szCs w:val="20"/>
              </w:rPr>
            </w:pPr>
          </w:p>
        </w:tc>
        <w:tc>
          <w:tcPr>
            <w:tcW w:w="2513" w:type="dxa"/>
            <w:vAlign w:val="center"/>
          </w:tcPr>
          <w:p w:rsidR="001A7A11" w:rsidP="000E6DE5" w14:paraId="43D3A231" w14:textId="529B0FDA">
            <w:pPr>
              <w:spacing w:before="0" w:after="0"/>
              <w:rPr>
                <w:sz w:val="20"/>
                <w:szCs w:val="20"/>
              </w:rPr>
            </w:pPr>
            <w:r>
              <w:rPr>
                <w:sz w:val="20"/>
                <w:szCs w:val="20"/>
              </w:rPr>
              <w:t>KS – nemají povinnost vytvářet finanční rezervu</w:t>
            </w:r>
          </w:p>
        </w:tc>
        <w:tc>
          <w:tcPr>
            <w:tcW w:w="1250" w:type="dxa"/>
            <w:noWrap/>
            <w:vAlign w:val="center"/>
          </w:tcPr>
          <w:p w:rsidR="001A7A11" w:rsidP="001A7A11" w14:paraId="2901FFA7" w14:textId="21BC0E38">
            <w:pPr>
              <w:spacing w:before="0" w:after="0"/>
              <w:jc w:val="center"/>
              <w:rPr>
                <w:sz w:val="20"/>
                <w:szCs w:val="20"/>
              </w:rPr>
            </w:pPr>
            <w:r>
              <w:rPr>
                <w:sz w:val="20"/>
                <w:szCs w:val="20"/>
              </w:rPr>
              <w:t>**</w:t>
            </w:r>
          </w:p>
        </w:tc>
        <w:tc>
          <w:tcPr>
            <w:tcW w:w="2791" w:type="dxa"/>
            <w:vAlign w:val="center"/>
          </w:tcPr>
          <w:p w:rsidR="001A7A11" w:rsidRPr="003F0645" w14:paraId="4CB978F1" w14:textId="14683DA1">
            <w:pPr>
              <w:spacing w:before="0" w:after="0"/>
              <w:jc w:val="center"/>
              <w:rPr>
                <w:rFonts w:cs="Arial"/>
                <w:sz w:val="20"/>
                <w:szCs w:val="20"/>
              </w:rPr>
            </w:pPr>
            <w:r>
              <w:rPr>
                <w:rFonts w:cs="Arial"/>
                <w:sz w:val="20"/>
                <w:szCs w:val="20"/>
              </w:rPr>
              <w:t>-</w:t>
            </w:r>
          </w:p>
        </w:tc>
        <w:tc>
          <w:tcPr>
            <w:tcW w:w="1250" w:type="dxa"/>
            <w:noWrap/>
            <w:vAlign w:val="center"/>
          </w:tcPr>
          <w:p w:rsidR="001A7A11" w:rsidRPr="003F0645" w:rsidP="001A7A11" w14:paraId="02619623" w14:textId="391E28B0">
            <w:pPr>
              <w:spacing w:before="0" w:after="0"/>
              <w:jc w:val="center"/>
              <w:rPr>
                <w:sz w:val="20"/>
                <w:szCs w:val="20"/>
              </w:rPr>
            </w:pPr>
            <w:r>
              <w:rPr>
                <w:sz w:val="20"/>
                <w:szCs w:val="20"/>
              </w:rPr>
              <w:t>-</w:t>
            </w:r>
          </w:p>
        </w:tc>
      </w:tr>
      <w:tr w14:paraId="63F7A21B" w14:textId="77777777" w:rsidTr="00D96576">
        <w:tblPrEx>
          <w:tblW w:w="0" w:type="auto"/>
          <w:tblLook w:val="04A0"/>
        </w:tblPrEx>
        <w:trPr>
          <w:trHeight w:val="900"/>
        </w:trPr>
        <w:tc>
          <w:tcPr>
            <w:tcW w:w="1252" w:type="dxa"/>
            <w:vMerge/>
            <w:vAlign w:val="center"/>
          </w:tcPr>
          <w:p w:rsidR="001A7A11" w:rsidRPr="003F0645" w:rsidP="001A7A11" w14:paraId="15A149DD" w14:textId="77777777">
            <w:pPr>
              <w:spacing w:before="0" w:after="0"/>
              <w:jc w:val="center"/>
              <w:rPr>
                <w:b/>
                <w:bCs/>
                <w:sz w:val="20"/>
                <w:szCs w:val="20"/>
              </w:rPr>
            </w:pPr>
          </w:p>
        </w:tc>
        <w:tc>
          <w:tcPr>
            <w:tcW w:w="2513" w:type="dxa"/>
            <w:vAlign w:val="center"/>
          </w:tcPr>
          <w:p w:rsidR="001A7A11" w:rsidP="001A7A11" w14:paraId="679B6B84" w14:textId="1D9F5B07">
            <w:pPr>
              <w:spacing w:before="0" w:after="0"/>
              <w:rPr>
                <w:sz w:val="20"/>
                <w:szCs w:val="20"/>
              </w:rPr>
            </w:pPr>
            <w:r>
              <w:rPr>
                <w:sz w:val="20"/>
                <w:szCs w:val="20"/>
              </w:rPr>
              <w:t xml:space="preserve">Výrobci EEZ – možnost volby KS financovaného levnějším „průběžným“ systémem </w:t>
            </w:r>
          </w:p>
        </w:tc>
        <w:tc>
          <w:tcPr>
            <w:tcW w:w="1250" w:type="dxa"/>
            <w:noWrap/>
            <w:vAlign w:val="center"/>
          </w:tcPr>
          <w:p w:rsidR="001A7A11" w:rsidP="001A7A11" w14:paraId="507884B0" w14:textId="0573EC78">
            <w:pPr>
              <w:spacing w:before="0" w:after="0"/>
              <w:jc w:val="center"/>
              <w:rPr>
                <w:sz w:val="20"/>
                <w:szCs w:val="20"/>
              </w:rPr>
            </w:pPr>
            <w:r>
              <w:rPr>
                <w:sz w:val="20"/>
                <w:szCs w:val="20"/>
              </w:rPr>
              <w:t>***</w:t>
            </w:r>
          </w:p>
        </w:tc>
        <w:tc>
          <w:tcPr>
            <w:tcW w:w="2791" w:type="dxa"/>
            <w:vAlign w:val="center"/>
          </w:tcPr>
          <w:p w:rsidR="001A7A11" w:rsidP="000E6DE5" w14:paraId="3A8736B2" w14:textId="4B4371AA">
            <w:pPr>
              <w:spacing w:before="0" w:after="0"/>
              <w:jc w:val="center"/>
              <w:rPr>
                <w:sz w:val="20"/>
                <w:szCs w:val="20"/>
              </w:rPr>
            </w:pPr>
            <w:r>
              <w:rPr>
                <w:sz w:val="20"/>
                <w:szCs w:val="20"/>
              </w:rPr>
              <w:t>-</w:t>
            </w:r>
          </w:p>
        </w:tc>
        <w:tc>
          <w:tcPr>
            <w:tcW w:w="1250" w:type="dxa"/>
            <w:noWrap/>
            <w:vAlign w:val="center"/>
          </w:tcPr>
          <w:p w:rsidR="001A7A11" w:rsidP="001A7A11" w14:paraId="704A0D93" w14:textId="756C57D4">
            <w:pPr>
              <w:spacing w:before="0" w:after="0"/>
              <w:jc w:val="center"/>
              <w:rPr>
                <w:sz w:val="20"/>
                <w:szCs w:val="20"/>
              </w:rPr>
            </w:pPr>
            <w:r>
              <w:rPr>
                <w:sz w:val="20"/>
                <w:szCs w:val="20"/>
              </w:rPr>
              <w:t>-</w:t>
            </w:r>
          </w:p>
        </w:tc>
      </w:tr>
      <w:tr w14:paraId="2929CAEC" w14:textId="77777777" w:rsidTr="00D96576">
        <w:tblPrEx>
          <w:tblW w:w="0" w:type="auto"/>
          <w:tblLook w:val="04A0"/>
        </w:tblPrEx>
        <w:trPr>
          <w:trHeight w:val="423"/>
        </w:trPr>
        <w:tc>
          <w:tcPr>
            <w:tcW w:w="1252" w:type="dxa"/>
            <w:vMerge/>
            <w:vAlign w:val="center"/>
          </w:tcPr>
          <w:p w:rsidR="001A7A11" w:rsidRPr="003F0645" w:rsidP="001A7A11" w14:paraId="6FA8308D" w14:textId="77777777">
            <w:pPr>
              <w:spacing w:before="0" w:after="0"/>
              <w:jc w:val="center"/>
              <w:rPr>
                <w:b/>
                <w:bCs/>
                <w:sz w:val="20"/>
                <w:szCs w:val="20"/>
              </w:rPr>
            </w:pPr>
          </w:p>
        </w:tc>
        <w:tc>
          <w:tcPr>
            <w:tcW w:w="7804" w:type="dxa"/>
            <w:gridSpan w:val="4"/>
            <w:vAlign w:val="center"/>
          </w:tcPr>
          <w:p w:rsidR="001A7A11" w:rsidRPr="003F0645" w:rsidP="001A7A11" w14:paraId="225B71CF" w14:textId="77777777">
            <w:pPr>
              <w:spacing w:before="0" w:after="0"/>
              <w:jc w:val="center"/>
              <w:rPr>
                <w:sz w:val="20"/>
                <w:szCs w:val="20"/>
              </w:rPr>
            </w:pPr>
            <w:r w:rsidRPr="003F0645">
              <w:rPr>
                <w:b/>
                <w:bCs/>
                <w:sz w:val="20"/>
                <w:szCs w:val="20"/>
              </w:rPr>
              <w:t>Územní samosprávné celky (obce, kraje)</w:t>
            </w:r>
          </w:p>
        </w:tc>
      </w:tr>
      <w:tr w14:paraId="5B83E93F" w14:textId="77777777" w:rsidTr="00D96576">
        <w:tblPrEx>
          <w:tblW w:w="0" w:type="auto"/>
          <w:tblLook w:val="04A0"/>
        </w:tblPrEx>
        <w:trPr>
          <w:trHeight w:val="415"/>
        </w:trPr>
        <w:tc>
          <w:tcPr>
            <w:tcW w:w="1252" w:type="dxa"/>
            <w:vMerge/>
            <w:vAlign w:val="center"/>
          </w:tcPr>
          <w:p w:rsidR="001A7A11" w:rsidRPr="003F0645" w:rsidP="001A7A11" w14:paraId="435A8678" w14:textId="77777777">
            <w:pPr>
              <w:spacing w:before="0" w:after="0"/>
              <w:jc w:val="center"/>
              <w:rPr>
                <w:b/>
                <w:bCs/>
                <w:sz w:val="20"/>
                <w:szCs w:val="20"/>
              </w:rPr>
            </w:pPr>
          </w:p>
        </w:tc>
        <w:tc>
          <w:tcPr>
            <w:tcW w:w="2513" w:type="dxa"/>
            <w:vAlign w:val="center"/>
          </w:tcPr>
          <w:p w:rsidR="001A7A11" w:rsidRPr="003F0645" w:rsidP="001A7A11" w14:paraId="02E56F0E" w14:textId="77777777">
            <w:pPr>
              <w:spacing w:before="0" w:after="0"/>
              <w:jc w:val="center"/>
              <w:rPr>
                <w:sz w:val="20"/>
                <w:szCs w:val="20"/>
              </w:rPr>
            </w:pPr>
            <w:r w:rsidRPr="003F0645">
              <w:rPr>
                <w:sz w:val="20"/>
                <w:szCs w:val="20"/>
              </w:rPr>
              <w:t>-</w:t>
            </w:r>
          </w:p>
        </w:tc>
        <w:tc>
          <w:tcPr>
            <w:tcW w:w="1250" w:type="dxa"/>
            <w:noWrap/>
            <w:vAlign w:val="center"/>
          </w:tcPr>
          <w:p w:rsidR="001A7A11" w:rsidRPr="003F0645" w:rsidP="001A7A11" w14:paraId="36E22E2C" w14:textId="77777777">
            <w:pPr>
              <w:spacing w:before="0" w:after="0"/>
              <w:jc w:val="center"/>
              <w:rPr>
                <w:sz w:val="20"/>
                <w:szCs w:val="20"/>
              </w:rPr>
            </w:pPr>
            <w:r w:rsidRPr="003F0645">
              <w:rPr>
                <w:sz w:val="20"/>
                <w:szCs w:val="20"/>
              </w:rPr>
              <w:t>-</w:t>
            </w:r>
          </w:p>
        </w:tc>
        <w:tc>
          <w:tcPr>
            <w:tcW w:w="2791" w:type="dxa"/>
            <w:vAlign w:val="center"/>
          </w:tcPr>
          <w:p w:rsidR="001A7A11" w:rsidRPr="003F0645" w:rsidP="001A7A11" w14:paraId="1E122FC5" w14:textId="4B71EA21">
            <w:pPr>
              <w:spacing w:before="0" w:after="0"/>
              <w:jc w:val="center"/>
              <w:rPr>
                <w:sz w:val="20"/>
                <w:szCs w:val="20"/>
              </w:rPr>
            </w:pPr>
            <w:r>
              <w:rPr>
                <w:sz w:val="20"/>
                <w:szCs w:val="20"/>
              </w:rPr>
              <w:t>V případě nedostatečného financování ZO OEEZ od KS, hrozí odkládání OEEZ do komunálního odpadu financovaného obcemi</w:t>
            </w:r>
          </w:p>
        </w:tc>
        <w:tc>
          <w:tcPr>
            <w:tcW w:w="1250" w:type="dxa"/>
            <w:noWrap/>
            <w:vAlign w:val="center"/>
          </w:tcPr>
          <w:p w:rsidR="001A7A11" w:rsidRPr="003F0645" w:rsidP="001A7A11" w14:paraId="3ABF649F" w14:textId="7F2F0F7B">
            <w:pPr>
              <w:spacing w:before="0" w:after="0"/>
              <w:jc w:val="center"/>
              <w:rPr>
                <w:sz w:val="20"/>
                <w:szCs w:val="20"/>
              </w:rPr>
            </w:pPr>
            <w:r>
              <w:rPr>
                <w:sz w:val="20"/>
                <w:szCs w:val="20"/>
              </w:rPr>
              <w:t>**</w:t>
            </w:r>
          </w:p>
        </w:tc>
      </w:tr>
      <w:tr w14:paraId="1B0DC1B6" w14:textId="77777777" w:rsidTr="00D96576">
        <w:tblPrEx>
          <w:tblW w:w="0" w:type="auto"/>
          <w:tblLook w:val="04A0"/>
        </w:tblPrEx>
        <w:trPr>
          <w:trHeight w:val="421"/>
        </w:trPr>
        <w:tc>
          <w:tcPr>
            <w:tcW w:w="1252" w:type="dxa"/>
            <w:vMerge/>
            <w:vAlign w:val="center"/>
          </w:tcPr>
          <w:p w:rsidR="001A7A11" w:rsidRPr="003F0645" w:rsidP="001A7A11" w14:paraId="6E980CA5" w14:textId="77777777">
            <w:pPr>
              <w:spacing w:before="0" w:after="0"/>
              <w:jc w:val="center"/>
              <w:rPr>
                <w:b/>
                <w:bCs/>
                <w:sz w:val="20"/>
                <w:szCs w:val="20"/>
              </w:rPr>
            </w:pPr>
          </w:p>
        </w:tc>
        <w:tc>
          <w:tcPr>
            <w:tcW w:w="7804" w:type="dxa"/>
            <w:gridSpan w:val="4"/>
            <w:vAlign w:val="center"/>
          </w:tcPr>
          <w:p w:rsidR="001A7A11" w:rsidRPr="003F0645" w:rsidP="001A7A11" w14:paraId="5A2A1252" w14:textId="77777777">
            <w:pPr>
              <w:spacing w:before="0" w:after="0"/>
              <w:jc w:val="center"/>
              <w:rPr>
                <w:sz w:val="20"/>
                <w:szCs w:val="20"/>
              </w:rPr>
            </w:pPr>
            <w:r w:rsidRPr="003F0645">
              <w:rPr>
                <w:b/>
                <w:bCs/>
                <w:sz w:val="20"/>
                <w:szCs w:val="20"/>
              </w:rPr>
              <w:t>Sociální dopady</w:t>
            </w:r>
          </w:p>
        </w:tc>
      </w:tr>
      <w:tr w14:paraId="4AE64691" w14:textId="77777777" w:rsidTr="00D96576">
        <w:tblPrEx>
          <w:tblW w:w="0" w:type="auto"/>
          <w:tblLook w:val="04A0"/>
        </w:tblPrEx>
        <w:trPr>
          <w:trHeight w:val="412"/>
        </w:trPr>
        <w:tc>
          <w:tcPr>
            <w:tcW w:w="1252" w:type="dxa"/>
            <w:vMerge/>
            <w:vAlign w:val="center"/>
          </w:tcPr>
          <w:p w:rsidR="001A7A11" w:rsidRPr="003F0645" w:rsidP="001A7A11" w14:paraId="79CD287F" w14:textId="77777777">
            <w:pPr>
              <w:spacing w:before="0" w:after="0"/>
              <w:jc w:val="center"/>
              <w:rPr>
                <w:b/>
                <w:bCs/>
                <w:sz w:val="20"/>
                <w:szCs w:val="20"/>
              </w:rPr>
            </w:pPr>
          </w:p>
        </w:tc>
        <w:tc>
          <w:tcPr>
            <w:tcW w:w="2513" w:type="dxa"/>
            <w:vAlign w:val="center"/>
          </w:tcPr>
          <w:p w:rsidR="001A7A11" w:rsidRPr="003F0645" w:rsidP="001A7A11" w14:paraId="4E9797FB" w14:textId="77777777">
            <w:pPr>
              <w:spacing w:before="0" w:after="0"/>
              <w:jc w:val="center"/>
              <w:rPr>
                <w:sz w:val="20"/>
                <w:szCs w:val="20"/>
              </w:rPr>
            </w:pPr>
            <w:r w:rsidRPr="003F0645">
              <w:rPr>
                <w:sz w:val="20"/>
                <w:szCs w:val="20"/>
              </w:rPr>
              <w:t>-</w:t>
            </w:r>
          </w:p>
        </w:tc>
        <w:tc>
          <w:tcPr>
            <w:tcW w:w="1250" w:type="dxa"/>
            <w:noWrap/>
            <w:vAlign w:val="center"/>
          </w:tcPr>
          <w:p w:rsidR="001A7A11" w:rsidRPr="003F0645" w:rsidP="001A7A11" w14:paraId="28AE5E2A" w14:textId="77777777">
            <w:pPr>
              <w:spacing w:before="0" w:after="0"/>
              <w:jc w:val="center"/>
              <w:rPr>
                <w:sz w:val="20"/>
                <w:szCs w:val="20"/>
              </w:rPr>
            </w:pPr>
            <w:r w:rsidRPr="003F0645">
              <w:rPr>
                <w:sz w:val="20"/>
                <w:szCs w:val="20"/>
              </w:rPr>
              <w:t>-</w:t>
            </w:r>
          </w:p>
        </w:tc>
        <w:tc>
          <w:tcPr>
            <w:tcW w:w="2791" w:type="dxa"/>
            <w:vAlign w:val="center"/>
          </w:tcPr>
          <w:p w:rsidR="001A7A11" w:rsidRPr="003F0645" w:rsidP="001A7A11" w14:paraId="445F2CE7" w14:textId="77777777">
            <w:pPr>
              <w:spacing w:before="0" w:after="0"/>
              <w:jc w:val="center"/>
              <w:rPr>
                <w:sz w:val="20"/>
                <w:szCs w:val="20"/>
              </w:rPr>
            </w:pPr>
            <w:r w:rsidRPr="003F0645">
              <w:rPr>
                <w:sz w:val="20"/>
                <w:szCs w:val="20"/>
              </w:rPr>
              <w:t>-</w:t>
            </w:r>
          </w:p>
        </w:tc>
        <w:tc>
          <w:tcPr>
            <w:tcW w:w="1250" w:type="dxa"/>
            <w:noWrap/>
            <w:vAlign w:val="center"/>
          </w:tcPr>
          <w:p w:rsidR="001A7A11" w:rsidRPr="003F0645" w:rsidP="001A7A11" w14:paraId="124A63E0" w14:textId="77777777">
            <w:pPr>
              <w:spacing w:before="0" w:after="0"/>
              <w:jc w:val="center"/>
              <w:rPr>
                <w:sz w:val="20"/>
                <w:szCs w:val="20"/>
              </w:rPr>
            </w:pPr>
            <w:r w:rsidRPr="003F0645">
              <w:rPr>
                <w:sz w:val="20"/>
                <w:szCs w:val="20"/>
              </w:rPr>
              <w:t>-</w:t>
            </w:r>
          </w:p>
        </w:tc>
      </w:tr>
      <w:tr w14:paraId="0FBD83DB" w14:textId="77777777" w:rsidTr="00D96576">
        <w:tblPrEx>
          <w:tblW w:w="0" w:type="auto"/>
          <w:tblLook w:val="04A0"/>
        </w:tblPrEx>
        <w:trPr>
          <w:trHeight w:val="504"/>
        </w:trPr>
        <w:tc>
          <w:tcPr>
            <w:tcW w:w="1252" w:type="dxa"/>
            <w:vMerge/>
            <w:vAlign w:val="center"/>
            <w:hideMark/>
          </w:tcPr>
          <w:p w:rsidR="001A7A11" w:rsidRPr="003F0645" w:rsidP="001A7A11" w14:paraId="7F2DF95F" w14:textId="77777777">
            <w:pPr>
              <w:spacing w:before="0" w:after="0"/>
              <w:jc w:val="center"/>
              <w:rPr>
                <w:b/>
                <w:bCs/>
                <w:sz w:val="20"/>
                <w:szCs w:val="20"/>
              </w:rPr>
            </w:pPr>
          </w:p>
        </w:tc>
        <w:tc>
          <w:tcPr>
            <w:tcW w:w="7804" w:type="dxa"/>
            <w:gridSpan w:val="4"/>
            <w:vAlign w:val="center"/>
            <w:hideMark/>
          </w:tcPr>
          <w:p w:rsidR="001A7A11" w:rsidRPr="003F0645" w:rsidP="001A7A11" w14:paraId="21C4A368" w14:textId="77777777">
            <w:pPr>
              <w:spacing w:before="0" w:after="0"/>
              <w:jc w:val="center"/>
              <w:rPr>
                <w:b/>
                <w:bCs/>
                <w:sz w:val="20"/>
                <w:szCs w:val="20"/>
              </w:rPr>
            </w:pPr>
            <w:r w:rsidRPr="003F0645">
              <w:rPr>
                <w:b/>
                <w:bCs/>
                <w:sz w:val="20"/>
                <w:szCs w:val="20"/>
              </w:rPr>
              <w:t>Životní prostředí</w:t>
            </w:r>
          </w:p>
        </w:tc>
      </w:tr>
      <w:tr w14:paraId="7F04864E" w14:textId="77777777" w:rsidTr="00D96576">
        <w:tblPrEx>
          <w:tblW w:w="0" w:type="auto"/>
          <w:tblLook w:val="04A0"/>
        </w:tblPrEx>
        <w:trPr>
          <w:trHeight w:val="617"/>
        </w:trPr>
        <w:tc>
          <w:tcPr>
            <w:tcW w:w="1252" w:type="dxa"/>
            <w:vMerge/>
            <w:vAlign w:val="center"/>
            <w:hideMark/>
          </w:tcPr>
          <w:p w:rsidR="001A7A11" w:rsidRPr="003F0645" w:rsidP="001A7A11" w14:paraId="74782F70" w14:textId="77777777">
            <w:pPr>
              <w:spacing w:before="0" w:after="0"/>
              <w:jc w:val="center"/>
              <w:rPr>
                <w:b/>
                <w:bCs/>
                <w:sz w:val="20"/>
                <w:szCs w:val="20"/>
              </w:rPr>
            </w:pPr>
          </w:p>
        </w:tc>
        <w:tc>
          <w:tcPr>
            <w:tcW w:w="2513" w:type="dxa"/>
            <w:vAlign w:val="center"/>
            <w:hideMark/>
          </w:tcPr>
          <w:p w:rsidR="001A7A11" w:rsidRPr="003F0645" w:rsidP="001A7A11" w14:paraId="41C0D572" w14:textId="77777777">
            <w:pPr>
              <w:spacing w:before="0" w:after="0"/>
              <w:jc w:val="center"/>
              <w:rPr>
                <w:sz w:val="20"/>
                <w:szCs w:val="20"/>
              </w:rPr>
            </w:pPr>
            <w:r>
              <w:rPr>
                <w:sz w:val="20"/>
                <w:szCs w:val="20"/>
              </w:rPr>
              <w:t>-</w:t>
            </w:r>
          </w:p>
        </w:tc>
        <w:tc>
          <w:tcPr>
            <w:tcW w:w="1250" w:type="dxa"/>
            <w:vAlign w:val="center"/>
            <w:hideMark/>
          </w:tcPr>
          <w:p w:rsidR="001A7A11" w:rsidRPr="003F0645" w:rsidP="001A7A11" w14:paraId="1DC956B3" w14:textId="77777777">
            <w:pPr>
              <w:spacing w:before="0" w:after="0"/>
              <w:jc w:val="center"/>
              <w:rPr>
                <w:sz w:val="20"/>
                <w:szCs w:val="20"/>
              </w:rPr>
            </w:pPr>
            <w:r>
              <w:rPr>
                <w:sz w:val="20"/>
                <w:szCs w:val="20"/>
              </w:rPr>
              <w:t>-</w:t>
            </w:r>
          </w:p>
        </w:tc>
        <w:tc>
          <w:tcPr>
            <w:tcW w:w="2791" w:type="dxa"/>
            <w:vAlign w:val="center"/>
            <w:hideMark/>
          </w:tcPr>
          <w:p w:rsidR="001A7A11" w:rsidRPr="003F0645" w14:paraId="500FD42A" w14:textId="700FE995">
            <w:pPr>
              <w:spacing w:before="0" w:after="0"/>
              <w:jc w:val="center"/>
              <w:rPr>
                <w:sz w:val="20"/>
                <w:szCs w:val="20"/>
              </w:rPr>
            </w:pPr>
            <w:r w:rsidRPr="003F0645">
              <w:rPr>
                <w:rFonts w:cs="Arial"/>
                <w:sz w:val="20"/>
                <w:szCs w:val="20"/>
              </w:rPr>
              <w:t>Při nesprávném nakládání s</w:t>
            </w:r>
            <w:r>
              <w:rPr>
                <w:rFonts w:cs="Arial"/>
                <w:sz w:val="20"/>
                <w:szCs w:val="20"/>
              </w:rPr>
              <w:t xml:space="preserve"> OEEZ bez finanční rezervy na sběr a recyklaci OEEZ hrozí </w:t>
            </w:r>
            <w:r w:rsidRPr="003F0645">
              <w:rPr>
                <w:rFonts w:cs="Arial"/>
                <w:sz w:val="20"/>
                <w:szCs w:val="20"/>
              </w:rPr>
              <w:t>riziko kontaminace ŽP  nebezpečnými látkami obsaženými v </w:t>
            </w:r>
            <w:r>
              <w:rPr>
                <w:rFonts w:cs="Arial"/>
                <w:sz w:val="20"/>
                <w:szCs w:val="20"/>
              </w:rPr>
              <w:t>O</w:t>
            </w:r>
            <w:r w:rsidRPr="003F0645">
              <w:rPr>
                <w:rFonts w:cs="Arial"/>
                <w:sz w:val="20"/>
                <w:szCs w:val="20"/>
              </w:rPr>
              <w:t>EEZ</w:t>
            </w:r>
          </w:p>
        </w:tc>
        <w:tc>
          <w:tcPr>
            <w:tcW w:w="1250" w:type="dxa"/>
            <w:vAlign w:val="center"/>
            <w:hideMark/>
          </w:tcPr>
          <w:p w:rsidR="001A7A11" w:rsidRPr="003F0645" w:rsidP="001A7A11" w14:paraId="0A4B1F82" w14:textId="77777777">
            <w:pPr>
              <w:spacing w:before="0" w:after="0"/>
              <w:jc w:val="center"/>
              <w:rPr>
                <w:sz w:val="20"/>
                <w:szCs w:val="20"/>
              </w:rPr>
            </w:pPr>
            <w:r w:rsidRPr="003F0645">
              <w:rPr>
                <w:sz w:val="20"/>
                <w:szCs w:val="20"/>
              </w:rPr>
              <w:t>**</w:t>
            </w:r>
            <w:r>
              <w:rPr>
                <w:sz w:val="20"/>
                <w:szCs w:val="20"/>
              </w:rPr>
              <w:t>*</w:t>
            </w:r>
          </w:p>
        </w:tc>
      </w:tr>
      <w:tr w14:paraId="7C711BD2" w14:textId="77777777" w:rsidTr="00D96576">
        <w:tblPrEx>
          <w:tblW w:w="0" w:type="auto"/>
          <w:tblLook w:val="04A0"/>
        </w:tblPrEx>
        <w:trPr>
          <w:trHeight w:val="569"/>
        </w:trPr>
        <w:tc>
          <w:tcPr>
            <w:tcW w:w="1252" w:type="dxa"/>
            <w:vMerge w:val="restart"/>
            <w:noWrap/>
            <w:vAlign w:val="center"/>
            <w:hideMark/>
          </w:tcPr>
          <w:p w:rsidR="001A7A11" w:rsidRPr="003F0645" w:rsidP="001A7A11" w14:paraId="6BA1547F" w14:textId="77777777">
            <w:pPr>
              <w:spacing w:before="0" w:after="0"/>
              <w:jc w:val="center"/>
              <w:rPr>
                <w:b/>
                <w:bCs/>
                <w:sz w:val="20"/>
                <w:szCs w:val="20"/>
              </w:rPr>
            </w:pPr>
            <w:r w:rsidRPr="003F0645">
              <w:rPr>
                <w:b/>
                <w:bCs/>
                <w:sz w:val="20"/>
                <w:szCs w:val="20"/>
              </w:rPr>
              <w:t>Varianta 1</w:t>
            </w:r>
          </w:p>
        </w:tc>
        <w:tc>
          <w:tcPr>
            <w:tcW w:w="7804" w:type="dxa"/>
            <w:gridSpan w:val="4"/>
            <w:vAlign w:val="center"/>
            <w:hideMark/>
          </w:tcPr>
          <w:p w:rsidR="001A7A11" w:rsidRPr="003F0645" w:rsidP="001A7A11" w14:paraId="27337736" w14:textId="77777777">
            <w:pPr>
              <w:spacing w:before="0" w:after="0"/>
              <w:jc w:val="center"/>
              <w:rPr>
                <w:b/>
                <w:bCs/>
                <w:sz w:val="20"/>
                <w:szCs w:val="20"/>
              </w:rPr>
            </w:pPr>
            <w:r w:rsidRPr="003F0645">
              <w:rPr>
                <w:b/>
                <w:bCs/>
                <w:sz w:val="20"/>
                <w:szCs w:val="20"/>
              </w:rPr>
              <w:t>Státní rozpočet a ostatní veřejné rozpočty</w:t>
            </w:r>
          </w:p>
        </w:tc>
      </w:tr>
      <w:tr w14:paraId="3C598109" w14:textId="77777777" w:rsidTr="00D96576">
        <w:tblPrEx>
          <w:tblW w:w="0" w:type="auto"/>
          <w:tblLook w:val="04A0"/>
        </w:tblPrEx>
        <w:trPr>
          <w:trHeight w:val="419"/>
        </w:trPr>
        <w:tc>
          <w:tcPr>
            <w:tcW w:w="1252" w:type="dxa"/>
            <w:vMerge/>
            <w:vAlign w:val="center"/>
            <w:hideMark/>
          </w:tcPr>
          <w:p w:rsidR="001A7A11" w:rsidRPr="003F0645" w:rsidP="001A7A11" w14:paraId="1A4532E4" w14:textId="77777777">
            <w:pPr>
              <w:spacing w:before="0" w:after="0"/>
              <w:jc w:val="center"/>
              <w:rPr>
                <w:b/>
                <w:bCs/>
                <w:sz w:val="20"/>
                <w:szCs w:val="20"/>
              </w:rPr>
            </w:pPr>
          </w:p>
        </w:tc>
        <w:tc>
          <w:tcPr>
            <w:tcW w:w="2513" w:type="dxa"/>
            <w:vAlign w:val="center"/>
          </w:tcPr>
          <w:p w:rsidR="001A7A11" w:rsidRPr="003F0645" w:rsidP="001A7A11" w14:paraId="6BBE0202" w14:textId="2D80F151">
            <w:pPr>
              <w:spacing w:before="0" w:after="0"/>
              <w:jc w:val="center"/>
              <w:rPr>
                <w:sz w:val="20"/>
                <w:szCs w:val="20"/>
              </w:rPr>
            </w:pPr>
            <w:r>
              <w:rPr>
                <w:sz w:val="20"/>
                <w:szCs w:val="20"/>
              </w:rPr>
              <w:t>-</w:t>
            </w:r>
          </w:p>
        </w:tc>
        <w:tc>
          <w:tcPr>
            <w:tcW w:w="1250" w:type="dxa"/>
            <w:vAlign w:val="center"/>
          </w:tcPr>
          <w:p w:rsidR="001A7A11" w:rsidRPr="003F0645" w:rsidP="001A7A11" w14:paraId="735FF4DE" w14:textId="46B67163">
            <w:pPr>
              <w:spacing w:before="0" w:after="0"/>
              <w:jc w:val="center"/>
              <w:rPr>
                <w:sz w:val="20"/>
                <w:szCs w:val="20"/>
              </w:rPr>
            </w:pPr>
            <w:r>
              <w:rPr>
                <w:sz w:val="20"/>
                <w:szCs w:val="20"/>
              </w:rPr>
              <w:t>-</w:t>
            </w:r>
          </w:p>
        </w:tc>
        <w:tc>
          <w:tcPr>
            <w:tcW w:w="2791" w:type="dxa"/>
            <w:vAlign w:val="center"/>
          </w:tcPr>
          <w:p w:rsidR="001A7A11" w:rsidRPr="003F0645" w:rsidP="001A7A11" w14:paraId="4341E973" w14:textId="6028CF4F">
            <w:pPr>
              <w:spacing w:before="0" w:after="0"/>
              <w:jc w:val="center"/>
              <w:rPr>
                <w:sz w:val="20"/>
                <w:szCs w:val="20"/>
              </w:rPr>
            </w:pPr>
            <w:r>
              <w:rPr>
                <w:sz w:val="20"/>
                <w:szCs w:val="20"/>
              </w:rPr>
              <w:t>-</w:t>
            </w:r>
          </w:p>
        </w:tc>
        <w:tc>
          <w:tcPr>
            <w:tcW w:w="1250" w:type="dxa"/>
            <w:vAlign w:val="center"/>
          </w:tcPr>
          <w:p w:rsidR="001A7A11" w:rsidRPr="003F0645" w:rsidP="001A7A11" w14:paraId="52A5C3E8" w14:textId="18A5FC91">
            <w:pPr>
              <w:spacing w:before="0" w:after="0"/>
              <w:jc w:val="center"/>
              <w:rPr>
                <w:sz w:val="20"/>
                <w:szCs w:val="20"/>
              </w:rPr>
            </w:pPr>
            <w:r>
              <w:rPr>
                <w:sz w:val="20"/>
                <w:szCs w:val="20"/>
              </w:rPr>
              <w:t>-</w:t>
            </w:r>
          </w:p>
        </w:tc>
      </w:tr>
      <w:tr w14:paraId="705F8D71" w14:textId="77777777" w:rsidTr="00D96576">
        <w:tblPrEx>
          <w:tblW w:w="0" w:type="auto"/>
          <w:tblLook w:val="04A0"/>
        </w:tblPrEx>
        <w:trPr>
          <w:trHeight w:val="504"/>
        </w:trPr>
        <w:tc>
          <w:tcPr>
            <w:tcW w:w="1252" w:type="dxa"/>
            <w:vMerge/>
            <w:vAlign w:val="center"/>
            <w:hideMark/>
          </w:tcPr>
          <w:p w:rsidR="001A7A11" w:rsidRPr="003F0645" w:rsidP="001A7A11" w14:paraId="50B8035F" w14:textId="77777777">
            <w:pPr>
              <w:spacing w:before="0" w:after="0"/>
              <w:jc w:val="center"/>
              <w:rPr>
                <w:b/>
                <w:bCs/>
                <w:sz w:val="20"/>
                <w:szCs w:val="20"/>
              </w:rPr>
            </w:pPr>
          </w:p>
        </w:tc>
        <w:tc>
          <w:tcPr>
            <w:tcW w:w="7804" w:type="dxa"/>
            <w:gridSpan w:val="4"/>
            <w:vAlign w:val="center"/>
            <w:hideMark/>
          </w:tcPr>
          <w:p w:rsidR="001A7A11" w:rsidRPr="003F0645" w:rsidP="001A7A11" w14:paraId="3E6629D4" w14:textId="77777777">
            <w:pPr>
              <w:spacing w:before="0" w:after="0"/>
              <w:jc w:val="center"/>
              <w:rPr>
                <w:b/>
                <w:bCs/>
                <w:sz w:val="20"/>
                <w:szCs w:val="20"/>
              </w:rPr>
            </w:pPr>
            <w:r w:rsidRPr="003F0645">
              <w:rPr>
                <w:b/>
                <w:bCs/>
                <w:sz w:val="20"/>
                <w:szCs w:val="20"/>
              </w:rPr>
              <w:t>Podnikatelské subjekty</w:t>
            </w:r>
          </w:p>
        </w:tc>
      </w:tr>
      <w:tr w14:paraId="5CB19B24" w14:textId="77777777" w:rsidTr="00D96576">
        <w:tblPrEx>
          <w:tblW w:w="0" w:type="auto"/>
          <w:tblLook w:val="04A0"/>
        </w:tblPrEx>
        <w:trPr>
          <w:trHeight w:val="1135"/>
        </w:trPr>
        <w:tc>
          <w:tcPr>
            <w:tcW w:w="1252" w:type="dxa"/>
            <w:vMerge/>
            <w:vAlign w:val="center"/>
            <w:hideMark/>
          </w:tcPr>
          <w:p w:rsidR="00D96576" w:rsidRPr="003F0645" w:rsidP="00D96576" w14:paraId="1CC229AE" w14:textId="77777777">
            <w:pPr>
              <w:spacing w:before="0" w:after="0"/>
              <w:jc w:val="center"/>
              <w:rPr>
                <w:b/>
                <w:bCs/>
                <w:sz w:val="20"/>
                <w:szCs w:val="20"/>
              </w:rPr>
            </w:pPr>
          </w:p>
        </w:tc>
        <w:tc>
          <w:tcPr>
            <w:tcW w:w="2513" w:type="dxa"/>
            <w:vAlign w:val="center"/>
          </w:tcPr>
          <w:p w:rsidR="00D96576" w:rsidRPr="003F0645" w:rsidP="00D96576" w14:paraId="5FC5B4FA" w14:textId="1F307FBF">
            <w:pPr>
              <w:spacing w:before="0" w:after="0"/>
              <w:jc w:val="center"/>
              <w:rPr>
                <w:sz w:val="20"/>
                <w:szCs w:val="20"/>
              </w:rPr>
            </w:pPr>
          </w:p>
        </w:tc>
        <w:tc>
          <w:tcPr>
            <w:tcW w:w="1250" w:type="dxa"/>
            <w:noWrap/>
            <w:vAlign w:val="center"/>
          </w:tcPr>
          <w:p w:rsidR="00D96576" w:rsidRPr="003F0645" w:rsidP="00D96576" w14:paraId="3EBCC093" w14:textId="7C78AFB9">
            <w:pPr>
              <w:spacing w:before="0" w:after="0"/>
              <w:jc w:val="center"/>
              <w:rPr>
                <w:sz w:val="20"/>
                <w:szCs w:val="20"/>
              </w:rPr>
            </w:pPr>
          </w:p>
        </w:tc>
        <w:tc>
          <w:tcPr>
            <w:tcW w:w="2791" w:type="dxa"/>
            <w:vAlign w:val="center"/>
          </w:tcPr>
          <w:p w:rsidR="00D96576" w:rsidRPr="00D96576" w:rsidP="00D96576" w14:paraId="6A349480" w14:textId="3EDF54CF">
            <w:pPr>
              <w:spacing w:before="0" w:after="0"/>
              <w:jc w:val="center"/>
              <w:rPr>
                <w:sz w:val="20"/>
                <w:szCs w:val="20"/>
              </w:rPr>
            </w:pPr>
            <w:r w:rsidRPr="00D96576">
              <w:rPr>
                <w:sz w:val="20"/>
                <w:szCs w:val="20"/>
              </w:rPr>
              <w:t>KS – povinnost vytvářet finanční rezervu</w:t>
            </w:r>
          </w:p>
        </w:tc>
        <w:tc>
          <w:tcPr>
            <w:tcW w:w="1250" w:type="dxa"/>
            <w:noWrap/>
            <w:vAlign w:val="center"/>
          </w:tcPr>
          <w:p w:rsidR="00D96576" w:rsidRPr="00D96576" w:rsidP="00D96576" w14:paraId="7E31EF2D" w14:textId="18C55CF9">
            <w:pPr>
              <w:spacing w:before="0" w:after="0"/>
              <w:jc w:val="center"/>
              <w:rPr>
                <w:sz w:val="20"/>
                <w:szCs w:val="20"/>
              </w:rPr>
            </w:pPr>
            <w:r w:rsidRPr="00D96576">
              <w:rPr>
                <w:sz w:val="20"/>
                <w:szCs w:val="20"/>
              </w:rPr>
              <w:t>**</w:t>
            </w:r>
          </w:p>
        </w:tc>
      </w:tr>
      <w:tr w14:paraId="4C7425B1" w14:textId="77777777" w:rsidTr="00D96576">
        <w:tblPrEx>
          <w:tblW w:w="0" w:type="auto"/>
          <w:tblLook w:val="04A0"/>
        </w:tblPrEx>
        <w:trPr>
          <w:trHeight w:val="1135"/>
        </w:trPr>
        <w:tc>
          <w:tcPr>
            <w:tcW w:w="1252" w:type="dxa"/>
            <w:vMerge/>
            <w:vAlign w:val="center"/>
          </w:tcPr>
          <w:p w:rsidR="00D96576" w:rsidRPr="003F0645" w:rsidP="00D96576" w14:paraId="24998F6B" w14:textId="77777777">
            <w:pPr>
              <w:spacing w:before="0" w:after="0"/>
              <w:jc w:val="center"/>
              <w:rPr>
                <w:b/>
                <w:bCs/>
                <w:sz w:val="20"/>
                <w:szCs w:val="20"/>
              </w:rPr>
            </w:pPr>
          </w:p>
        </w:tc>
        <w:tc>
          <w:tcPr>
            <w:tcW w:w="2513" w:type="dxa"/>
            <w:vAlign w:val="center"/>
          </w:tcPr>
          <w:p w:rsidR="00D96576" w:rsidRPr="003F0645" w:rsidP="00D96576" w14:paraId="321FBF75" w14:textId="192A0120">
            <w:pPr>
              <w:spacing w:before="0" w:after="0"/>
              <w:jc w:val="center"/>
              <w:rPr>
                <w:sz w:val="20"/>
                <w:szCs w:val="20"/>
              </w:rPr>
            </w:pPr>
          </w:p>
        </w:tc>
        <w:tc>
          <w:tcPr>
            <w:tcW w:w="1250" w:type="dxa"/>
            <w:noWrap/>
            <w:vAlign w:val="center"/>
          </w:tcPr>
          <w:p w:rsidR="00D96576" w:rsidRPr="003F0645" w:rsidP="00D96576" w14:paraId="0700BF34" w14:textId="2123144E">
            <w:pPr>
              <w:spacing w:before="0" w:after="0"/>
              <w:jc w:val="center"/>
              <w:rPr>
                <w:sz w:val="20"/>
                <w:szCs w:val="20"/>
              </w:rPr>
            </w:pPr>
          </w:p>
        </w:tc>
        <w:tc>
          <w:tcPr>
            <w:tcW w:w="2791" w:type="dxa"/>
            <w:vAlign w:val="center"/>
          </w:tcPr>
          <w:p w:rsidR="00D96576" w:rsidRPr="00D96576" w:rsidP="00D96576" w14:paraId="42B3DD3F" w14:textId="668C72C7">
            <w:pPr>
              <w:spacing w:before="0" w:after="0"/>
              <w:jc w:val="center"/>
              <w:rPr>
                <w:sz w:val="20"/>
                <w:szCs w:val="20"/>
              </w:rPr>
            </w:pPr>
            <w:r w:rsidRPr="00D96576">
              <w:rPr>
                <w:sz w:val="20"/>
                <w:szCs w:val="20"/>
              </w:rPr>
              <w:t>Výrobci EEZ, kteří využívali KS financovaný „průběžným“ systémem – zdražení příspěvků z důvodu tvorby rezervy KS</w:t>
            </w:r>
          </w:p>
        </w:tc>
        <w:tc>
          <w:tcPr>
            <w:tcW w:w="1250" w:type="dxa"/>
            <w:noWrap/>
            <w:vAlign w:val="center"/>
          </w:tcPr>
          <w:p w:rsidR="00D96576" w:rsidRPr="00D96576" w:rsidP="00D96576" w14:paraId="093B8BF0" w14:textId="351C3095">
            <w:pPr>
              <w:spacing w:before="0" w:after="0"/>
              <w:jc w:val="center"/>
              <w:rPr>
                <w:sz w:val="20"/>
                <w:szCs w:val="20"/>
              </w:rPr>
            </w:pPr>
            <w:r w:rsidRPr="00D96576">
              <w:rPr>
                <w:sz w:val="20"/>
                <w:szCs w:val="20"/>
              </w:rPr>
              <w:t>***</w:t>
            </w:r>
          </w:p>
        </w:tc>
      </w:tr>
      <w:tr w14:paraId="3550412D" w14:textId="77777777" w:rsidTr="00D96576">
        <w:tblPrEx>
          <w:tblW w:w="0" w:type="auto"/>
          <w:tblLook w:val="04A0"/>
        </w:tblPrEx>
        <w:trPr>
          <w:trHeight w:val="504"/>
        </w:trPr>
        <w:tc>
          <w:tcPr>
            <w:tcW w:w="1252" w:type="dxa"/>
            <w:vMerge/>
            <w:vAlign w:val="center"/>
            <w:hideMark/>
          </w:tcPr>
          <w:p w:rsidR="001A7A11" w:rsidRPr="003F0645" w:rsidP="001A7A11" w14:paraId="1ED6D749" w14:textId="77777777">
            <w:pPr>
              <w:spacing w:before="0" w:after="0"/>
              <w:jc w:val="center"/>
              <w:rPr>
                <w:b/>
                <w:bCs/>
                <w:sz w:val="20"/>
                <w:szCs w:val="20"/>
              </w:rPr>
            </w:pPr>
          </w:p>
        </w:tc>
        <w:tc>
          <w:tcPr>
            <w:tcW w:w="7804" w:type="dxa"/>
            <w:gridSpan w:val="4"/>
            <w:vAlign w:val="center"/>
            <w:hideMark/>
          </w:tcPr>
          <w:p w:rsidR="001A7A11" w:rsidRPr="003F0645" w:rsidP="001A7A11" w14:paraId="330DD925" w14:textId="77777777">
            <w:pPr>
              <w:spacing w:before="0" w:after="0"/>
              <w:jc w:val="center"/>
              <w:rPr>
                <w:b/>
                <w:bCs/>
                <w:sz w:val="20"/>
                <w:szCs w:val="20"/>
              </w:rPr>
            </w:pPr>
            <w:r w:rsidRPr="003F0645">
              <w:rPr>
                <w:b/>
                <w:bCs/>
                <w:sz w:val="20"/>
                <w:szCs w:val="20"/>
              </w:rPr>
              <w:t>Územní samosprávné celky (obce, kraje)</w:t>
            </w:r>
          </w:p>
        </w:tc>
      </w:tr>
      <w:tr w14:paraId="72E047A2" w14:textId="77777777" w:rsidTr="00D96576">
        <w:tblPrEx>
          <w:tblW w:w="0" w:type="auto"/>
          <w:tblLook w:val="04A0"/>
        </w:tblPrEx>
        <w:trPr>
          <w:trHeight w:val="480"/>
        </w:trPr>
        <w:tc>
          <w:tcPr>
            <w:tcW w:w="1252" w:type="dxa"/>
            <w:vMerge/>
            <w:vAlign w:val="center"/>
            <w:hideMark/>
          </w:tcPr>
          <w:p w:rsidR="001A7A11" w:rsidRPr="003F0645" w:rsidP="001A7A11" w14:paraId="62E121EE" w14:textId="77777777">
            <w:pPr>
              <w:spacing w:before="0" w:after="0"/>
              <w:jc w:val="center"/>
              <w:rPr>
                <w:b/>
                <w:bCs/>
                <w:sz w:val="20"/>
                <w:szCs w:val="20"/>
              </w:rPr>
            </w:pPr>
          </w:p>
        </w:tc>
        <w:tc>
          <w:tcPr>
            <w:tcW w:w="2513" w:type="dxa"/>
            <w:vAlign w:val="center"/>
          </w:tcPr>
          <w:p w:rsidR="001A7A11" w:rsidRPr="003F0645" w:rsidP="00CA6B92" w14:paraId="71DF8558" w14:textId="6B9D81A4">
            <w:pPr>
              <w:spacing w:before="0" w:after="0"/>
              <w:jc w:val="center"/>
              <w:rPr>
                <w:sz w:val="20"/>
                <w:szCs w:val="20"/>
              </w:rPr>
            </w:pPr>
            <w:r>
              <w:rPr>
                <w:sz w:val="20"/>
                <w:szCs w:val="20"/>
              </w:rPr>
              <w:t>V případě zajištění dostatečného financování ZO OEEZ od KS, snížení rizika odkládání OEEZ do komunálního odpadu financovaného obcemi</w:t>
            </w:r>
          </w:p>
        </w:tc>
        <w:tc>
          <w:tcPr>
            <w:tcW w:w="1250" w:type="dxa"/>
            <w:noWrap/>
            <w:vAlign w:val="center"/>
          </w:tcPr>
          <w:p w:rsidR="001A7A11" w:rsidRPr="003F0645" w:rsidP="001A7A11" w14:paraId="270B71AA" w14:textId="7309DD3A">
            <w:pPr>
              <w:spacing w:before="0" w:after="0"/>
              <w:jc w:val="center"/>
              <w:rPr>
                <w:sz w:val="20"/>
                <w:szCs w:val="20"/>
              </w:rPr>
            </w:pPr>
            <w:r>
              <w:rPr>
                <w:sz w:val="20"/>
                <w:szCs w:val="20"/>
              </w:rPr>
              <w:t>**</w:t>
            </w:r>
          </w:p>
        </w:tc>
        <w:tc>
          <w:tcPr>
            <w:tcW w:w="2791" w:type="dxa"/>
            <w:noWrap/>
            <w:vAlign w:val="center"/>
            <w:hideMark/>
          </w:tcPr>
          <w:p w:rsidR="001A7A11" w:rsidRPr="003F0645" w:rsidP="001A7A11" w14:paraId="7D14416C" w14:textId="77777777">
            <w:pPr>
              <w:spacing w:before="0" w:after="0"/>
              <w:jc w:val="center"/>
              <w:rPr>
                <w:sz w:val="20"/>
                <w:szCs w:val="20"/>
              </w:rPr>
            </w:pPr>
            <w:r w:rsidRPr="003F0645">
              <w:rPr>
                <w:sz w:val="20"/>
                <w:szCs w:val="20"/>
              </w:rPr>
              <w:t>-</w:t>
            </w:r>
          </w:p>
        </w:tc>
        <w:tc>
          <w:tcPr>
            <w:tcW w:w="1250" w:type="dxa"/>
            <w:noWrap/>
            <w:vAlign w:val="center"/>
            <w:hideMark/>
          </w:tcPr>
          <w:p w:rsidR="001A7A11" w:rsidRPr="003F0645" w:rsidP="001A7A11" w14:paraId="0D1ED50F" w14:textId="77777777">
            <w:pPr>
              <w:spacing w:before="0" w:after="0"/>
              <w:jc w:val="center"/>
              <w:rPr>
                <w:sz w:val="20"/>
                <w:szCs w:val="20"/>
              </w:rPr>
            </w:pPr>
            <w:r w:rsidRPr="003F0645">
              <w:rPr>
                <w:sz w:val="20"/>
                <w:szCs w:val="20"/>
              </w:rPr>
              <w:t>-</w:t>
            </w:r>
          </w:p>
        </w:tc>
      </w:tr>
      <w:tr w14:paraId="019965B9" w14:textId="77777777" w:rsidTr="00D96576">
        <w:tblPrEx>
          <w:tblW w:w="0" w:type="auto"/>
          <w:tblLook w:val="04A0"/>
        </w:tblPrEx>
        <w:trPr>
          <w:trHeight w:val="504"/>
        </w:trPr>
        <w:tc>
          <w:tcPr>
            <w:tcW w:w="1252" w:type="dxa"/>
            <w:vMerge/>
            <w:vAlign w:val="center"/>
            <w:hideMark/>
          </w:tcPr>
          <w:p w:rsidR="001A7A11" w:rsidRPr="003F0645" w:rsidP="001A7A11" w14:paraId="212911FB" w14:textId="77777777">
            <w:pPr>
              <w:spacing w:before="0" w:after="0"/>
              <w:jc w:val="center"/>
              <w:rPr>
                <w:b/>
                <w:bCs/>
                <w:sz w:val="20"/>
                <w:szCs w:val="20"/>
              </w:rPr>
            </w:pPr>
          </w:p>
        </w:tc>
        <w:tc>
          <w:tcPr>
            <w:tcW w:w="7804" w:type="dxa"/>
            <w:gridSpan w:val="4"/>
            <w:vAlign w:val="center"/>
            <w:hideMark/>
          </w:tcPr>
          <w:p w:rsidR="001A7A11" w:rsidRPr="003F0645" w:rsidP="001A7A11" w14:paraId="3FA3950A" w14:textId="77777777">
            <w:pPr>
              <w:spacing w:before="0" w:after="0"/>
              <w:jc w:val="center"/>
              <w:rPr>
                <w:b/>
                <w:bCs/>
                <w:sz w:val="20"/>
                <w:szCs w:val="20"/>
              </w:rPr>
            </w:pPr>
            <w:r w:rsidRPr="003F0645">
              <w:rPr>
                <w:b/>
                <w:bCs/>
                <w:sz w:val="20"/>
                <w:szCs w:val="20"/>
              </w:rPr>
              <w:t>Sociální dopady</w:t>
            </w:r>
          </w:p>
        </w:tc>
      </w:tr>
      <w:tr w14:paraId="62A3A280" w14:textId="77777777" w:rsidTr="00D96576">
        <w:tblPrEx>
          <w:tblW w:w="0" w:type="auto"/>
          <w:tblLook w:val="04A0"/>
        </w:tblPrEx>
        <w:trPr>
          <w:trHeight w:val="479"/>
        </w:trPr>
        <w:tc>
          <w:tcPr>
            <w:tcW w:w="1252" w:type="dxa"/>
            <w:vMerge/>
            <w:vAlign w:val="center"/>
            <w:hideMark/>
          </w:tcPr>
          <w:p w:rsidR="001A7A11" w:rsidRPr="003F0645" w:rsidP="001A7A11" w14:paraId="74E00973" w14:textId="77777777">
            <w:pPr>
              <w:spacing w:before="0" w:after="0"/>
              <w:jc w:val="center"/>
              <w:rPr>
                <w:b/>
                <w:bCs/>
                <w:sz w:val="20"/>
                <w:szCs w:val="20"/>
              </w:rPr>
            </w:pPr>
          </w:p>
        </w:tc>
        <w:tc>
          <w:tcPr>
            <w:tcW w:w="2513" w:type="dxa"/>
            <w:vAlign w:val="center"/>
          </w:tcPr>
          <w:p w:rsidR="001A7A11" w:rsidRPr="003F0645" w:rsidP="001A7A11" w14:paraId="51D7772A" w14:textId="77777777">
            <w:pPr>
              <w:spacing w:before="0" w:after="0"/>
              <w:jc w:val="center"/>
              <w:rPr>
                <w:sz w:val="20"/>
                <w:szCs w:val="20"/>
              </w:rPr>
            </w:pPr>
            <w:r w:rsidRPr="003F0645">
              <w:rPr>
                <w:sz w:val="20"/>
                <w:szCs w:val="20"/>
              </w:rPr>
              <w:t>-</w:t>
            </w:r>
          </w:p>
        </w:tc>
        <w:tc>
          <w:tcPr>
            <w:tcW w:w="1250" w:type="dxa"/>
            <w:vAlign w:val="center"/>
          </w:tcPr>
          <w:p w:rsidR="001A7A11" w:rsidRPr="003F0645" w:rsidP="001A7A11" w14:paraId="52036B56" w14:textId="77777777">
            <w:pPr>
              <w:spacing w:before="0" w:after="0"/>
              <w:jc w:val="center"/>
              <w:rPr>
                <w:sz w:val="20"/>
                <w:szCs w:val="20"/>
              </w:rPr>
            </w:pPr>
            <w:r w:rsidRPr="003F0645">
              <w:rPr>
                <w:sz w:val="20"/>
                <w:szCs w:val="20"/>
              </w:rPr>
              <w:t>-</w:t>
            </w:r>
          </w:p>
        </w:tc>
        <w:tc>
          <w:tcPr>
            <w:tcW w:w="2791" w:type="dxa"/>
            <w:vAlign w:val="center"/>
          </w:tcPr>
          <w:p w:rsidR="001A7A11" w:rsidRPr="003F0645" w:rsidP="001A7A11" w14:paraId="68399D5A" w14:textId="77777777">
            <w:pPr>
              <w:spacing w:before="0" w:after="0"/>
              <w:jc w:val="center"/>
              <w:rPr>
                <w:sz w:val="20"/>
                <w:szCs w:val="20"/>
              </w:rPr>
            </w:pPr>
            <w:r w:rsidRPr="003F0645">
              <w:rPr>
                <w:sz w:val="20"/>
                <w:szCs w:val="20"/>
              </w:rPr>
              <w:t>-</w:t>
            </w:r>
          </w:p>
        </w:tc>
        <w:tc>
          <w:tcPr>
            <w:tcW w:w="1250" w:type="dxa"/>
            <w:vAlign w:val="center"/>
          </w:tcPr>
          <w:p w:rsidR="001A7A11" w:rsidRPr="003F0645" w:rsidP="001A7A11" w14:paraId="0556811B" w14:textId="77777777">
            <w:pPr>
              <w:spacing w:before="0" w:after="0"/>
              <w:jc w:val="center"/>
              <w:rPr>
                <w:sz w:val="20"/>
                <w:szCs w:val="20"/>
              </w:rPr>
            </w:pPr>
            <w:r w:rsidRPr="003F0645">
              <w:rPr>
                <w:sz w:val="20"/>
                <w:szCs w:val="20"/>
              </w:rPr>
              <w:t>-</w:t>
            </w:r>
          </w:p>
        </w:tc>
      </w:tr>
      <w:tr w14:paraId="636151DB" w14:textId="77777777" w:rsidTr="00D96576">
        <w:tblPrEx>
          <w:tblW w:w="0" w:type="auto"/>
          <w:tblLook w:val="04A0"/>
        </w:tblPrEx>
        <w:trPr>
          <w:trHeight w:val="504"/>
        </w:trPr>
        <w:tc>
          <w:tcPr>
            <w:tcW w:w="1252" w:type="dxa"/>
            <w:vMerge/>
            <w:vAlign w:val="center"/>
            <w:hideMark/>
          </w:tcPr>
          <w:p w:rsidR="001A7A11" w:rsidRPr="003F0645" w:rsidP="001A7A11" w14:paraId="3A9E0375" w14:textId="77777777">
            <w:pPr>
              <w:spacing w:before="0" w:after="0"/>
              <w:jc w:val="center"/>
              <w:rPr>
                <w:b/>
                <w:bCs/>
                <w:sz w:val="20"/>
                <w:szCs w:val="20"/>
              </w:rPr>
            </w:pPr>
          </w:p>
        </w:tc>
        <w:tc>
          <w:tcPr>
            <w:tcW w:w="7804" w:type="dxa"/>
            <w:gridSpan w:val="4"/>
            <w:vAlign w:val="center"/>
            <w:hideMark/>
          </w:tcPr>
          <w:p w:rsidR="001A7A11" w:rsidRPr="003F0645" w:rsidP="001A7A11" w14:paraId="5AF77C1D" w14:textId="77777777">
            <w:pPr>
              <w:spacing w:before="0" w:after="0"/>
              <w:jc w:val="center"/>
              <w:rPr>
                <w:b/>
                <w:bCs/>
                <w:sz w:val="20"/>
                <w:szCs w:val="20"/>
              </w:rPr>
            </w:pPr>
            <w:r w:rsidRPr="003F0645">
              <w:rPr>
                <w:b/>
                <w:bCs/>
                <w:sz w:val="20"/>
                <w:szCs w:val="20"/>
              </w:rPr>
              <w:t>Životní prostředí</w:t>
            </w:r>
          </w:p>
        </w:tc>
      </w:tr>
      <w:tr w14:paraId="4BF35EC8" w14:textId="77777777" w:rsidTr="00D96576">
        <w:tblPrEx>
          <w:tblW w:w="0" w:type="auto"/>
          <w:tblLook w:val="04A0"/>
        </w:tblPrEx>
        <w:trPr>
          <w:trHeight w:val="687"/>
        </w:trPr>
        <w:tc>
          <w:tcPr>
            <w:tcW w:w="1252" w:type="dxa"/>
            <w:vMerge/>
            <w:vAlign w:val="center"/>
            <w:hideMark/>
          </w:tcPr>
          <w:p w:rsidR="001A7A11" w:rsidRPr="003F0645" w:rsidP="001A7A11" w14:paraId="278E18ED" w14:textId="77777777">
            <w:pPr>
              <w:spacing w:before="0" w:after="0"/>
              <w:jc w:val="center"/>
              <w:rPr>
                <w:b/>
                <w:bCs/>
                <w:sz w:val="20"/>
                <w:szCs w:val="20"/>
              </w:rPr>
            </w:pPr>
          </w:p>
        </w:tc>
        <w:tc>
          <w:tcPr>
            <w:tcW w:w="2513" w:type="dxa"/>
            <w:vAlign w:val="center"/>
          </w:tcPr>
          <w:p w:rsidR="001A7A11" w:rsidRPr="003F0645" w14:paraId="115EF1D3" w14:textId="34E01654">
            <w:pPr>
              <w:spacing w:before="0" w:after="0"/>
              <w:jc w:val="center"/>
              <w:rPr>
                <w:sz w:val="20"/>
                <w:szCs w:val="20"/>
              </w:rPr>
            </w:pPr>
            <w:r>
              <w:rPr>
                <w:rFonts w:cs="Arial"/>
                <w:sz w:val="20"/>
                <w:szCs w:val="20"/>
              </w:rPr>
              <w:t xml:space="preserve">Vytvořením rezervy na zajištění řádné recyklace OEEZ </w:t>
            </w:r>
            <w:r w:rsidRPr="003F0645">
              <w:rPr>
                <w:rFonts w:cs="Arial"/>
                <w:sz w:val="20"/>
                <w:szCs w:val="20"/>
              </w:rPr>
              <w:t>se sniží riziko úniku nebezpečných látek obsažených v </w:t>
            </w:r>
            <w:r>
              <w:rPr>
                <w:rFonts w:cs="Arial"/>
                <w:sz w:val="20"/>
                <w:szCs w:val="20"/>
              </w:rPr>
              <w:t>O</w:t>
            </w:r>
            <w:r w:rsidRPr="003F0645">
              <w:rPr>
                <w:rFonts w:cs="Arial"/>
                <w:sz w:val="20"/>
                <w:szCs w:val="20"/>
              </w:rPr>
              <w:t>EEZ a</w:t>
            </w:r>
            <w:r>
              <w:rPr>
                <w:rFonts w:cs="Arial"/>
                <w:sz w:val="20"/>
                <w:szCs w:val="20"/>
              </w:rPr>
              <w:t> </w:t>
            </w:r>
            <w:r w:rsidRPr="003F0645">
              <w:rPr>
                <w:rFonts w:cs="Arial"/>
                <w:sz w:val="20"/>
                <w:szCs w:val="20"/>
              </w:rPr>
              <w:t>kontaminace ŽP</w:t>
            </w:r>
            <w:r>
              <w:rPr>
                <w:rFonts w:cs="Arial"/>
                <w:sz w:val="20"/>
                <w:szCs w:val="20"/>
              </w:rPr>
              <w:t xml:space="preserve"> a dochází k úspoře materiálů i energií</w:t>
            </w:r>
          </w:p>
        </w:tc>
        <w:tc>
          <w:tcPr>
            <w:tcW w:w="1250" w:type="dxa"/>
            <w:vAlign w:val="center"/>
          </w:tcPr>
          <w:p w:rsidR="001A7A11" w:rsidRPr="003F0645" w:rsidP="001A7A11" w14:paraId="026FE833" w14:textId="77777777">
            <w:pPr>
              <w:spacing w:before="0" w:after="0"/>
              <w:jc w:val="center"/>
              <w:rPr>
                <w:sz w:val="20"/>
                <w:szCs w:val="20"/>
              </w:rPr>
            </w:pPr>
            <w:r>
              <w:rPr>
                <w:sz w:val="20"/>
                <w:szCs w:val="20"/>
              </w:rPr>
              <w:t>***</w:t>
            </w:r>
          </w:p>
        </w:tc>
        <w:tc>
          <w:tcPr>
            <w:tcW w:w="2791" w:type="dxa"/>
            <w:vAlign w:val="center"/>
            <w:hideMark/>
          </w:tcPr>
          <w:p w:rsidR="001A7A11" w:rsidRPr="003F0645" w:rsidP="001A7A11" w14:paraId="1A2B9704" w14:textId="77777777">
            <w:pPr>
              <w:spacing w:before="0" w:after="0"/>
              <w:jc w:val="center"/>
              <w:rPr>
                <w:sz w:val="20"/>
                <w:szCs w:val="20"/>
              </w:rPr>
            </w:pPr>
            <w:r>
              <w:rPr>
                <w:sz w:val="20"/>
                <w:szCs w:val="20"/>
              </w:rPr>
              <w:t>-</w:t>
            </w:r>
          </w:p>
        </w:tc>
        <w:tc>
          <w:tcPr>
            <w:tcW w:w="1250" w:type="dxa"/>
            <w:vAlign w:val="center"/>
            <w:hideMark/>
          </w:tcPr>
          <w:p w:rsidR="001A7A11" w:rsidRPr="003F0645" w:rsidP="001A7A11" w14:paraId="154D278F" w14:textId="77777777">
            <w:pPr>
              <w:spacing w:before="0" w:after="0"/>
              <w:jc w:val="center"/>
              <w:rPr>
                <w:sz w:val="20"/>
                <w:szCs w:val="20"/>
              </w:rPr>
            </w:pPr>
            <w:r>
              <w:rPr>
                <w:sz w:val="20"/>
                <w:szCs w:val="20"/>
              </w:rPr>
              <w:t>-</w:t>
            </w:r>
          </w:p>
        </w:tc>
      </w:tr>
    </w:tbl>
    <w:p w:rsidR="00445337" w:rsidRPr="003F0645" w:rsidP="00445337" w14:paraId="52880395" w14:textId="77777777">
      <w:pPr>
        <w:rPr>
          <w:sz w:val="20"/>
          <w:szCs w:val="20"/>
        </w:rPr>
      </w:pPr>
      <w:r w:rsidRPr="003F0645">
        <w:rPr>
          <w:sz w:val="20"/>
          <w:szCs w:val="20"/>
        </w:rPr>
        <w:t>- bez dopadů, * velmi nízké, ** nízké, *** střední, **** vysoké, ***** velmi vysoké</w:t>
      </w:r>
    </w:p>
    <w:p w:rsidR="00445337" w:rsidRPr="003F0645" w:rsidP="00445337" w14:paraId="46FE5EAB" w14:textId="77777777">
      <w:pPr>
        <w:pStyle w:val="Heading2"/>
      </w:pPr>
      <w:r w:rsidRPr="003F0645">
        <w:t>Návrh řešení</w:t>
      </w:r>
    </w:p>
    <w:p w:rsidR="00445337" w:rsidRPr="003F0645" w:rsidP="00445337" w14:paraId="2782A369" w14:textId="77777777">
      <w:pPr>
        <w:pStyle w:val="Heading4"/>
        <w:numPr>
          <w:ilvl w:val="0"/>
          <w:numId w:val="0"/>
        </w:numPr>
        <w:spacing w:before="120" w:after="0"/>
        <w:ind w:left="864" w:hanging="864"/>
        <w:rPr>
          <w:b/>
          <w:i/>
          <w:sz w:val="24"/>
          <w:szCs w:val="24"/>
        </w:rPr>
      </w:pPr>
      <w:r w:rsidRPr="003F0645">
        <w:rPr>
          <w:b/>
          <w:i/>
          <w:sz w:val="24"/>
          <w:szCs w:val="24"/>
        </w:rPr>
        <w:t>Stanovení pořadí variant a výběr nejvhodnějšího řešení</w:t>
      </w:r>
    </w:p>
    <w:p w:rsidR="00445337" w:rsidRPr="003F0645" w:rsidP="00445337" w14:paraId="59C3AC17" w14:textId="77777777">
      <w:pPr>
        <w:pStyle w:val="ListParagraph"/>
        <w:numPr>
          <w:ilvl w:val="0"/>
          <w:numId w:val="77"/>
        </w:numPr>
        <w:spacing w:after="0" w:line="240" w:lineRule="auto"/>
        <w:contextualSpacing w:val="0"/>
        <w:rPr>
          <w:rFonts w:cs="Arial"/>
          <w:b/>
          <w:bCs/>
        </w:rPr>
      </w:pPr>
      <w:r w:rsidRPr="003F0645">
        <w:rPr>
          <w:rFonts w:cs="Arial"/>
          <w:b/>
          <w:bCs/>
        </w:rPr>
        <w:t>Varianta 1</w:t>
      </w:r>
    </w:p>
    <w:p w:rsidR="00445337" w:rsidRPr="003F0645" w:rsidP="00445337" w14:paraId="42ADC9FE" w14:textId="77777777">
      <w:pPr>
        <w:pStyle w:val="ListParagraph"/>
        <w:numPr>
          <w:ilvl w:val="0"/>
          <w:numId w:val="77"/>
        </w:numPr>
        <w:spacing w:after="0" w:line="240" w:lineRule="auto"/>
        <w:ind w:left="714" w:hanging="357"/>
        <w:contextualSpacing w:val="0"/>
        <w:rPr>
          <w:rFonts w:cs="Arial"/>
        </w:rPr>
      </w:pPr>
      <w:r w:rsidRPr="003F0645">
        <w:rPr>
          <w:rFonts w:cs="Arial"/>
        </w:rPr>
        <w:t>Varianta 0</w:t>
      </w:r>
    </w:p>
    <w:p w:rsidR="00445337" w:rsidP="00E82C35" w14:paraId="17713DAA" w14:textId="44E035E9">
      <w:pPr>
        <w:rPr>
          <w:b/>
        </w:rPr>
      </w:pPr>
      <w:r w:rsidRPr="000E6DE5">
        <w:t>Doporučujeme přijmout Variantu 1, která</w:t>
      </w:r>
      <w:r w:rsidRPr="000E6DE5" w:rsidR="008D72DF">
        <w:t xml:space="preserve"> zajistí potřebné finanční prostředky pro krytí budoucích nákladů na kolektivní plnění povinností týkajících se rozšířené odpovědnosti výrobce, a tím zajistí soulad se směrnicí o odpadech článku 8a odst. 3 písm. c).</w:t>
      </w:r>
    </w:p>
    <w:p w:rsidR="000F533C" w:rsidRPr="000E6DE5" w:rsidP="00E82C35" w14:paraId="6880F931" w14:textId="77777777"/>
    <w:p w:rsidR="00B76CF9" w:rsidRPr="00ED38E9" w:rsidP="00B76CF9" w14:paraId="7CFEA4B5" w14:textId="70D36994">
      <w:pPr>
        <w:pStyle w:val="Heading1"/>
      </w:pPr>
      <w:bookmarkStart w:id="144" w:name="_Toc14942085"/>
      <w:bookmarkStart w:id="145" w:name="_Toc256000011"/>
      <w:r w:rsidRPr="00ED38E9">
        <w:t xml:space="preserve">Spolupráce </w:t>
      </w:r>
      <w:r>
        <w:t>mezi</w:t>
      </w:r>
      <w:r w:rsidRPr="00ED38E9">
        <w:t xml:space="preserve"> KS</w:t>
      </w:r>
      <w:bookmarkEnd w:id="141"/>
      <w:bookmarkEnd w:id="142"/>
      <w:r>
        <w:t xml:space="preserve"> (§ 5</w:t>
      </w:r>
      <w:r w:rsidR="00C23A89">
        <w:t>1</w:t>
      </w:r>
      <w:r>
        <w:t>)</w:t>
      </w:r>
      <w:bookmarkEnd w:id="145"/>
      <w:bookmarkEnd w:id="144"/>
    </w:p>
    <w:p w:rsidR="00B76CF9" w:rsidRPr="00ED38E9" w:rsidP="00B76CF9" w14:paraId="5001AFE9" w14:textId="77777777">
      <w:pPr>
        <w:pStyle w:val="Heading2"/>
      </w:pPr>
      <w:bookmarkStart w:id="146" w:name="_Toc441759894"/>
      <w:r w:rsidRPr="00ED38E9">
        <w:t>Důvod předložení a cíle</w:t>
      </w:r>
    </w:p>
    <w:p w:rsidR="00B76CF9" w:rsidP="00BF16B7" w14:paraId="6BC656BB" w14:textId="77777777">
      <w:pPr>
        <w:pStyle w:val="Heading3"/>
      </w:pPr>
      <w:r w:rsidRPr="005A36CE">
        <w:t>Definice prob</w:t>
      </w:r>
      <w:r>
        <w:t>lému</w:t>
      </w:r>
      <w:r w:rsidRPr="005A36CE">
        <w:t xml:space="preserve"> </w:t>
      </w:r>
      <w:r>
        <w:t>a popis současného stavu</w:t>
      </w:r>
    </w:p>
    <w:p w:rsidR="00B76CF9" w:rsidP="00B76CF9" w14:paraId="32FA4303" w14:textId="30CDEDE3">
      <w:pPr>
        <w:spacing w:after="120"/>
        <w:rPr>
          <w:rFonts w:eastAsia="Calibri" w:cs="Arial"/>
          <w:noProof w:val="0"/>
          <w:szCs w:val="22"/>
          <w:lang w:bidi="ar-SA"/>
        </w:rPr>
      </w:pPr>
      <w:r>
        <w:rPr>
          <w:rFonts w:eastAsia="Calibri" w:cs="Arial"/>
          <w:noProof w:val="0"/>
          <w:szCs w:val="22"/>
          <w:lang w:bidi="ar-SA"/>
        </w:rPr>
        <w:t>S</w:t>
      </w:r>
      <w:r w:rsidRPr="00ED38E9">
        <w:rPr>
          <w:rFonts w:eastAsia="Calibri" w:cs="Arial"/>
          <w:noProof w:val="0"/>
          <w:szCs w:val="22"/>
          <w:lang w:bidi="ar-SA"/>
        </w:rPr>
        <w:t>oučasná právní úprava</w:t>
      </w:r>
      <w:r>
        <w:rPr>
          <w:rFonts w:eastAsia="Calibri" w:cs="Arial"/>
          <w:noProof w:val="0"/>
          <w:szCs w:val="22"/>
          <w:lang w:bidi="ar-SA"/>
        </w:rPr>
        <w:t xml:space="preserve"> </w:t>
      </w:r>
      <w:r w:rsidRPr="00ED38E9">
        <w:rPr>
          <w:rFonts w:eastAsia="Calibri" w:cs="Arial"/>
          <w:noProof w:val="0"/>
          <w:szCs w:val="22"/>
          <w:lang w:bidi="ar-SA"/>
        </w:rPr>
        <w:t xml:space="preserve">neupravuje spolupráci mezi </w:t>
      </w:r>
      <w:r w:rsidR="00E344A3">
        <w:rPr>
          <w:rFonts w:eastAsia="Calibri" w:cs="Arial"/>
          <w:noProof w:val="0"/>
          <w:szCs w:val="22"/>
          <w:lang w:bidi="ar-SA"/>
        </w:rPr>
        <w:t>KS</w:t>
      </w:r>
      <w:r w:rsidRPr="00ED38E9">
        <w:rPr>
          <w:rFonts w:eastAsia="Calibri" w:cs="Arial"/>
          <w:noProof w:val="0"/>
          <w:szCs w:val="22"/>
          <w:lang w:bidi="ar-SA"/>
        </w:rPr>
        <w:t>.</w:t>
      </w:r>
    </w:p>
    <w:p w:rsidR="00B76CF9" w:rsidRPr="00ED38E9" w:rsidP="00BF16B7" w14:paraId="45E9A654" w14:textId="77777777">
      <w:pPr>
        <w:pStyle w:val="Heading3"/>
      </w:pPr>
      <w:r w:rsidRPr="00ED38E9">
        <w:t>Identifikace dotčených subjektů</w:t>
      </w:r>
    </w:p>
    <w:p w:rsidR="00B76CF9" w:rsidRPr="0010416C" w:rsidP="00B760EA" w14:paraId="2F9EAEFF" w14:textId="77777777">
      <w:pPr>
        <w:pStyle w:val="ListParagraph"/>
        <w:numPr>
          <w:ilvl w:val="0"/>
          <w:numId w:val="100"/>
        </w:numPr>
        <w:ind w:left="714" w:hanging="357"/>
        <w:contextualSpacing w:val="0"/>
        <w:rPr>
          <w:rFonts w:cs="Arial"/>
        </w:rPr>
      </w:pPr>
      <w:r w:rsidRPr="0010416C">
        <w:rPr>
          <w:rFonts w:cs="Arial"/>
        </w:rPr>
        <w:t>Kolektivní systémy</w:t>
      </w:r>
    </w:p>
    <w:p w:rsidR="00B76CF9" w:rsidRPr="0010416C" w:rsidP="00B760EA" w14:paraId="75AC353D" w14:textId="77777777">
      <w:pPr>
        <w:pStyle w:val="ListParagraph"/>
        <w:numPr>
          <w:ilvl w:val="0"/>
          <w:numId w:val="100"/>
        </w:numPr>
        <w:ind w:left="714" w:hanging="357"/>
        <w:contextualSpacing w:val="0"/>
        <w:rPr>
          <w:rFonts w:cs="Arial"/>
        </w:rPr>
      </w:pPr>
      <w:r w:rsidRPr="0010416C">
        <w:rPr>
          <w:rFonts w:cs="Arial"/>
        </w:rPr>
        <w:t>MŽP</w:t>
      </w:r>
    </w:p>
    <w:p w:rsidR="00B76CF9" w:rsidRPr="00ED38E9" w:rsidP="00BF16B7" w14:paraId="6A8365BC" w14:textId="77777777">
      <w:pPr>
        <w:pStyle w:val="Heading3"/>
      </w:pPr>
      <w:r w:rsidRPr="00ED38E9">
        <w:t>Popis cílového stavu</w:t>
      </w:r>
    </w:p>
    <w:p w:rsidR="00B76CF9" w:rsidRPr="00ED38E9" w:rsidP="00B76CF9" w14:paraId="4DE2D1CF" w14:textId="5A151323">
      <w:pPr>
        <w:spacing w:after="120"/>
        <w:rPr>
          <w:rFonts w:eastAsia="Calibri" w:cs="Arial"/>
          <w:noProof w:val="0"/>
          <w:szCs w:val="22"/>
          <w:lang w:bidi="ar-SA"/>
        </w:rPr>
      </w:pPr>
      <w:r w:rsidRPr="00ED38E9">
        <w:rPr>
          <w:rFonts w:eastAsia="Calibri" w:cs="Arial"/>
          <w:noProof w:val="0"/>
          <w:szCs w:val="22"/>
          <w:lang w:bidi="ar-SA"/>
        </w:rPr>
        <w:t xml:space="preserve">Hlavním cílem je dosažení minimální požadované úrovně sběru </w:t>
      </w:r>
      <w:r>
        <w:rPr>
          <w:rFonts w:eastAsia="Calibri" w:cs="Arial"/>
          <w:noProof w:val="0"/>
          <w:szCs w:val="22"/>
          <w:lang w:bidi="ar-SA"/>
        </w:rPr>
        <w:t xml:space="preserve">VUŽ, především </w:t>
      </w:r>
      <w:r w:rsidRPr="00ED38E9">
        <w:rPr>
          <w:rFonts w:eastAsia="Calibri" w:cs="Arial"/>
          <w:noProof w:val="0"/>
          <w:szCs w:val="22"/>
          <w:lang w:bidi="ar-SA"/>
        </w:rPr>
        <w:t xml:space="preserve">OEEZ. Vedlejším cílem je zajištění transparentního prostředí na trhu </w:t>
      </w:r>
      <w:r w:rsidR="00E344A3">
        <w:rPr>
          <w:rFonts w:eastAsia="Calibri" w:cs="Arial"/>
          <w:noProof w:val="0"/>
          <w:szCs w:val="22"/>
          <w:lang w:bidi="ar-SA"/>
        </w:rPr>
        <w:t>KS</w:t>
      </w:r>
      <w:r w:rsidRPr="00ED38E9">
        <w:rPr>
          <w:rFonts w:eastAsia="Calibri" w:cs="Arial"/>
          <w:noProof w:val="0"/>
          <w:szCs w:val="22"/>
          <w:lang w:bidi="ar-SA"/>
        </w:rPr>
        <w:t>.</w:t>
      </w:r>
    </w:p>
    <w:p w:rsidR="00B76CF9" w:rsidRPr="00ED38E9" w:rsidP="00B76CF9" w14:paraId="1197DD5A" w14:textId="77777777">
      <w:pPr>
        <w:rPr>
          <w:rFonts w:cs="Arial"/>
        </w:rPr>
      </w:pPr>
    </w:p>
    <w:p w:rsidR="00B76CF9" w:rsidRPr="00ED38E9" w:rsidP="00B76CF9" w14:paraId="0A136F6F" w14:textId="77777777">
      <w:pPr>
        <w:pStyle w:val="Heading2"/>
        <w:spacing w:before="120" w:after="0"/>
      </w:pPr>
      <w:r w:rsidRPr="00ED38E9">
        <w:t>Návrh variant řešení</w:t>
      </w:r>
    </w:p>
    <w:p w:rsidR="00B76CF9" w:rsidRPr="002575A5" w:rsidP="00BF16B7" w14:paraId="26A6AF78" w14:textId="77777777">
      <w:pPr>
        <w:pStyle w:val="Heading3"/>
      </w:pPr>
      <w:r w:rsidRPr="00ED38E9">
        <w:t>Varianta 0</w:t>
      </w:r>
    </w:p>
    <w:p w:rsidR="00B76CF9" w:rsidRPr="003F755E" w:rsidP="00B760EA" w14:paraId="63A666A2" w14:textId="77777777">
      <w:r w:rsidRPr="003F755E">
        <w:t>Zachování současného stavu.</w:t>
      </w:r>
    </w:p>
    <w:p w:rsidR="00B76CF9" w:rsidP="00BF16B7" w14:paraId="01BC3F1B" w14:textId="77777777">
      <w:pPr>
        <w:pStyle w:val="Heading3"/>
      </w:pPr>
      <w:r>
        <w:t>Varianta 1</w:t>
      </w:r>
    </w:p>
    <w:p w:rsidR="00B76CF9" w:rsidP="00B76CF9" w14:paraId="2DCD91A7" w14:textId="1910E2A7">
      <w:pPr>
        <w:spacing w:after="120"/>
        <w:rPr>
          <w:rFonts w:eastAsia="Calibri" w:cs="Arial"/>
          <w:noProof w:val="0"/>
          <w:szCs w:val="22"/>
          <w:lang w:bidi="ar-SA"/>
        </w:rPr>
      </w:pPr>
      <w:r>
        <w:rPr>
          <w:rFonts w:eastAsia="Calibri" w:cs="Arial"/>
          <w:noProof w:val="0"/>
          <w:szCs w:val="22"/>
          <w:lang w:bidi="ar-SA"/>
        </w:rPr>
        <w:t>KS</w:t>
      </w:r>
      <w:r w:rsidRPr="007F6B6C">
        <w:rPr>
          <w:rFonts w:eastAsia="Calibri" w:cs="Arial"/>
          <w:noProof w:val="0"/>
          <w:szCs w:val="22"/>
          <w:lang w:bidi="ar-SA"/>
        </w:rPr>
        <w:t xml:space="preserve"> mohou vzájemně spolupracovat</w:t>
      </w:r>
      <w:r>
        <w:rPr>
          <w:rFonts w:eastAsia="Calibri" w:cs="Arial"/>
          <w:noProof w:val="0"/>
          <w:szCs w:val="22"/>
          <w:lang w:bidi="ar-SA"/>
        </w:rPr>
        <w:t>.</w:t>
      </w:r>
      <w:r w:rsidRPr="00ED38E9">
        <w:rPr>
          <w:rFonts w:eastAsia="Calibri" w:cs="Arial"/>
          <w:noProof w:val="0"/>
          <w:szCs w:val="22"/>
          <w:lang w:bidi="ar-SA"/>
        </w:rPr>
        <w:t xml:space="preserve"> </w:t>
      </w:r>
    </w:p>
    <w:p w:rsidR="00B76CF9" w:rsidRPr="00ED38E9" w:rsidP="00B76CF9" w14:paraId="425978E7" w14:textId="77777777">
      <w:pPr>
        <w:spacing w:after="120"/>
        <w:ind w:left="709"/>
        <w:rPr>
          <w:rFonts w:eastAsia="Calibri" w:cs="Arial"/>
          <w:noProof w:val="0"/>
          <w:szCs w:val="22"/>
          <w:lang w:bidi="ar-SA"/>
        </w:rPr>
      </w:pPr>
      <w:r w:rsidRPr="00ED38E9">
        <w:rPr>
          <w:rFonts w:eastAsia="Calibri" w:cs="Arial"/>
          <w:noProof w:val="0"/>
          <w:szCs w:val="22"/>
          <w:lang w:bidi="ar-SA"/>
        </w:rPr>
        <w:t xml:space="preserve">Varianta 1a – </w:t>
      </w:r>
      <w:r w:rsidRPr="007F6B6C">
        <w:rPr>
          <w:rFonts w:eastAsia="Calibri" w:cs="Arial"/>
          <w:noProof w:val="0"/>
          <w:szCs w:val="22"/>
          <w:lang w:bidi="ar-SA"/>
        </w:rPr>
        <w:t>Pouze v oblasti zajištění společné sběrné sítě nebo realizace osvětových aktivit či výzkumné činnosti.</w:t>
      </w:r>
    </w:p>
    <w:p w:rsidR="00B76CF9" w:rsidRPr="00ED38E9" w:rsidP="00B76CF9" w14:paraId="7D802076" w14:textId="58A03185">
      <w:pPr>
        <w:spacing w:after="120"/>
        <w:ind w:left="709"/>
        <w:rPr>
          <w:rFonts w:eastAsia="Calibri" w:cs="Arial"/>
          <w:noProof w:val="0"/>
          <w:szCs w:val="22"/>
          <w:lang w:bidi="ar-SA"/>
        </w:rPr>
      </w:pPr>
      <w:r w:rsidRPr="00ED38E9">
        <w:rPr>
          <w:rFonts w:eastAsia="Calibri" w:cs="Arial"/>
          <w:noProof w:val="0"/>
          <w:szCs w:val="22"/>
          <w:lang w:bidi="ar-SA"/>
        </w:rPr>
        <w:t xml:space="preserve">Varianta 1b – </w:t>
      </w:r>
      <w:r w:rsidRPr="007F6B6C">
        <w:rPr>
          <w:rFonts w:eastAsia="Calibri" w:cs="Arial"/>
          <w:noProof w:val="0"/>
          <w:szCs w:val="22"/>
          <w:lang w:bidi="ar-SA"/>
        </w:rPr>
        <w:t>V oblasti zajištění společné sběrné sítě nebo realizace osvětových aktivit či výzkumné činnosti. Spolupráce může probíhat též v oblasti sdílení nákladů na</w:t>
      </w:r>
      <w:r>
        <w:rPr>
          <w:rFonts w:eastAsia="Calibri" w:cs="Arial"/>
          <w:noProof w:val="0"/>
          <w:szCs w:val="22"/>
          <w:lang w:bidi="ar-SA"/>
        </w:rPr>
        <w:t> </w:t>
      </w:r>
      <w:r w:rsidRPr="007F6B6C">
        <w:rPr>
          <w:rFonts w:eastAsia="Calibri" w:cs="Arial"/>
          <w:noProof w:val="0"/>
          <w:szCs w:val="22"/>
          <w:lang w:bidi="ar-SA"/>
        </w:rPr>
        <w:t xml:space="preserve">sběrnou síť a </w:t>
      </w:r>
      <w:r w:rsidR="00E344A3">
        <w:rPr>
          <w:rFonts w:eastAsia="Calibri" w:cs="Arial"/>
          <w:noProof w:val="0"/>
          <w:szCs w:val="22"/>
          <w:lang w:bidi="ar-SA"/>
        </w:rPr>
        <w:t>ZO</w:t>
      </w:r>
      <w:r w:rsidRPr="007F6B6C">
        <w:rPr>
          <w:rFonts w:eastAsia="Calibri" w:cs="Arial"/>
          <w:noProof w:val="0"/>
          <w:szCs w:val="22"/>
          <w:lang w:bidi="ar-SA"/>
        </w:rPr>
        <w:t xml:space="preserve"> vybraných výrobků (tzv. clearing).</w:t>
      </w:r>
    </w:p>
    <w:p w:rsidR="00D81F64" w:rsidRPr="00600EF4" w:rsidP="00B76CF9" w14:paraId="05AB5BD5" w14:textId="77777777">
      <w:pPr>
        <w:rPr>
          <w:lang w:bidi="ar-SA"/>
        </w:rPr>
      </w:pPr>
    </w:p>
    <w:p w:rsidR="00B76CF9" w:rsidP="00F37472" w14:paraId="061763E4" w14:textId="77777777">
      <w:pPr>
        <w:pStyle w:val="Heading2"/>
        <w:spacing w:before="120" w:after="0"/>
      </w:pPr>
      <w:r>
        <w:t>Vyhodnocení nákladů a přínosů</w:t>
      </w:r>
    </w:p>
    <w:p w:rsidR="00B76CF9" w:rsidRPr="00043961" w:rsidP="00BF16B7" w14:paraId="4A5FD77A" w14:textId="77777777">
      <w:pPr>
        <w:pStyle w:val="Heading3"/>
      </w:pPr>
      <w:r w:rsidRPr="00043961">
        <w:t>Identifikace nákladů a přínosů</w:t>
      </w:r>
    </w:p>
    <w:p w:rsidR="00B76CF9" w:rsidRPr="002E3554" w:rsidP="000E6DE5" w14:paraId="59DA3F42" w14:textId="77777777">
      <w:pPr>
        <w:pStyle w:val="ListParagraph"/>
        <w:keepNext/>
        <w:numPr>
          <w:ilvl w:val="0"/>
          <w:numId w:val="140"/>
        </w:numPr>
        <w:spacing w:before="240" w:after="120"/>
        <w:ind w:left="714" w:hanging="357"/>
        <w:contextualSpacing w:val="0"/>
        <w:rPr>
          <w:rFonts w:cs="Arial"/>
          <w:b/>
        </w:rPr>
      </w:pPr>
      <w:r w:rsidRPr="002E3554">
        <w:rPr>
          <w:rFonts w:cs="Arial"/>
          <w:b/>
        </w:rPr>
        <w:t>Varianta 0</w:t>
      </w:r>
    </w:p>
    <w:p w:rsidR="00B76CF9" w:rsidP="00B76CF9" w14:paraId="24B99BF2" w14:textId="77777777">
      <w:pPr>
        <w:rPr>
          <w:rFonts w:cs="Arial"/>
        </w:rPr>
      </w:pPr>
      <w:r w:rsidRPr="00ED38E9">
        <w:rPr>
          <w:rFonts w:eastAsia="Calibri" w:cs="Arial"/>
          <w:noProof w:val="0"/>
          <w:szCs w:val="22"/>
          <w:lang w:bidi="ar-SA"/>
        </w:rPr>
        <w:t xml:space="preserve">Varianta 0 nepředstavuje pro dotčené subjekty žádné dodatečné náklady. </w:t>
      </w:r>
    </w:p>
    <w:p w:rsidR="00B76CF9" w:rsidRPr="00846A21" w:rsidP="000E6DE5" w14:paraId="485C3B14" w14:textId="77777777">
      <w:pPr>
        <w:pStyle w:val="ListParagraph"/>
        <w:keepNext/>
        <w:numPr>
          <w:ilvl w:val="0"/>
          <w:numId w:val="140"/>
        </w:numPr>
        <w:spacing w:before="240" w:after="120"/>
        <w:ind w:left="714" w:hanging="357"/>
        <w:contextualSpacing w:val="0"/>
        <w:rPr>
          <w:rFonts w:eastAsia="Calibri" w:cs="Arial"/>
          <w:b/>
          <w:noProof w:val="0"/>
          <w:szCs w:val="22"/>
          <w:lang w:bidi="ar-SA"/>
        </w:rPr>
      </w:pPr>
      <w:r w:rsidRPr="0041484E">
        <w:rPr>
          <w:rFonts w:cs="Arial"/>
          <w:b/>
        </w:rPr>
        <w:t>Varianta 1</w:t>
      </w:r>
    </w:p>
    <w:p w:rsidR="00B76CF9" w:rsidRPr="00ED38E9" w:rsidP="00B760EA" w14:paraId="15534A81" w14:textId="41F70FC9">
      <w:pPr>
        <w:widowControl w:val="0"/>
        <w:spacing w:after="120"/>
        <w:rPr>
          <w:rFonts w:eastAsia="Calibri" w:cs="Arial"/>
          <w:noProof w:val="0"/>
          <w:szCs w:val="22"/>
          <w:lang w:bidi="ar-SA"/>
        </w:rPr>
      </w:pPr>
      <w:bookmarkEnd w:id="146"/>
      <w:r w:rsidRPr="00ED38E9">
        <w:rPr>
          <w:rFonts w:eastAsia="Calibri" w:cs="Arial"/>
          <w:noProof w:val="0"/>
          <w:szCs w:val="22"/>
          <w:lang w:bidi="ar-SA"/>
        </w:rPr>
        <w:t xml:space="preserve">V případě variant 1a a 1b patří mezi hlavní obecné přínosy vyšší právní jistota v důsledku specifikace spolupráce KS. Dalším přínosem v závislosti na volbě subvarianty je v důsledku vzájemné spolupráce KS možnost snížit náklady na celý systém zajištění rozšířené odpovědnosti výrobce. Snížení nákladů by se mohlo pozitivně promítnout jak v potenciálním navýšení úrovně </w:t>
      </w:r>
      <w:r w:rsidR="00E344A3">
        <w:rPr>
          <w:rFonts w:eastAsia="Calibri" w:cs="Arial"/>
          <w:noProof w:val="0"/>
          <w:szCs w:val="22"/>
          <w:lang w:bidi="ar-SA"/>
        </w:rPr>
        <w:t>ZO</w:t>
      </w:r>
      <w:r w:rsidRPr="00ED38E9">
        <w:rPr>
          <w:rFonts w:eastAsia="Calibri" w:cs="Arial"/>
          <w:noProof w:val="0"/>
          <w:szCs w:val="22"/>
          <w:lang w:bidi="ar-SA"/>
        </w:rPr>
        <w:t xml:space="preserve"> a odděleného sběru, tak i ve formě nižších recyklačních </w:t>
      </w:r>
      <w:r>
        <w:rPr>
          <w:rFonts w:eastAsia="Calibri" w:cs="Arial"/>
          <w:noProof w:val="0"/>
          <w:szCs w:val="22"/>
          <w:lang w:bidi="ar-SA"/>
        </w:rPr>
        <w:t>příspěvků</w:t>
      </w:r>
      <w:r w:rsidRPr="00ED38E9">
        <w:rPr>
          <w:rFonts w:eastAsia="Calibri" w:cs="Arial"/>
          <w:noProof w:val="0"/>
          <w:szCs w:val="22"/>
          <w:lang w:bidi="ar-SA"/>
        </w:rPr>
        <w:t xml:space="preserve">. V případě varianty 1b (umožnění clearingových plateb mezi systémy) může být potenciální efekt na navýšení úrovně sběru dokonce ještě vyšší. Existence možnosti clearingových plateb zvýší motivaci </w:t>
      </w:r>
      <w:r w:rsidR="00E344A3">
        <w:rPr>
          <w:rFonts w:eastAsia="Calibri" w:cs="Arial"/>
          <w:noProof w:val="0"/>
          <w:szCs w:val="22"/>
          <w:lang w:bidi="ar-SA"/>
        </w:rPr>
        <w:t>KS</w:t>
      </w:r>
      <w:r w:rsidRPr="00ED38E9">
        <w:rPr>
          <w:rFonts w:eastAsia="Calibri" w:cs="Arial"/>
          <w:noProof w:val="0"/>
          <w:szCs w:val="22"/>
          <w:lang w:bidi="ar-SA"/>
        </w:rPr>
        <w:t xml:space="preserve"> sbírat nad požadovaný limit, neboť „nadbytečné náklady“ spojené se sběrem nad limit mohou být v rámci clearingových plateb zaplaceny </w:t>
      </w:r>
      <w:r w:rsidR="00E344A3">
        <w:rPr>
          <w:rFonts w:eastAsia="Calibri" w:cs="Arial"/>
          <w:noProof w:val="0"/>
          <w:szCs w:val="22"/>
          <w:lang w:bidi="ar-SA"/>
        </w:rPr>
        <w:t>KS</w:t>
      </w:r>
      <w:r w:rsidRPr="00ED38E9">
        <w:rPr>
          <w:rFonts w:eastAsia="Calibri" w:cs="Arial"/>
          <w:noProof w:val="0"/>
          <w:szCs w:val="22"/>
          <w:lang w:bidi="ar-SA"/>
        </w:rPr>
        <w:t xml:space="preserve">, které nedosahují požadovaného limitu. Bez existence clearingových plateb nikdo nemá motivaci sbírat nad limit, protože se tím znevýhodňuje oproti ostatním </w:t>
      </w:r>
      <w:r w:rsidR="00E344A3">
        <w:rPr>
          <w:rFonts w:eastAsia="Calibri" w:cs="Arial"/>
          <w:noProof w:val="0"/>
          <w:szCs w:val="22"/>
          <w:lang w:bidi="ar-SA"/>
        </w:rPr>
        <w:t>KS</w:t>
      </w:r>
      <w:r w:rsidRPr="00ED38E9">
        <w:rPr>
          <w:rFonts w:eastAsia="Calibri" w:cs="Arial"/>
          <w:noProof w:val="0"/>
          <w:szCs w:val="22"/>
          <w:lang w:bidi="ar-SA"/>
        </w:rPr>
        <w:t xml:space="preserve"> (vyšší náklady). To platí zejména u komodit se zápornou hodnotou, kde KS ještě musí významně platit i za zpracování (například úsporné žárovky a zářivky). Obecně tak platí, že vzájemná spolupráce KS má významně pozitivní přínos na hlavní cíl, tj. splnění požadavků </w:t>
      </w:r>
      <w:r>
        <w:rPr>
          <w:rFonts w:eastAsia="Calibri" w:cs="Arial"/>
          <w:noProof w:val="0"/>
          <w:szCs w:val="22"/>
          <w:lang w:bidi="ar-SA"/>
        </w:rPr>
        <w:t>S</w:t>
      </w:r>
      <w:r w:rsidRPr="00ED38E9">
        <w:rPr>
          <w:rFonts w:eastAsia="Calibri" w:cs="Arial"/>
          <w:noProof w:val="0"/>
          <w:szCs w:val="22"/>
          <w:lang w:bidi="ar-SA"/>
        </w:rPr>
        <w:t>měrnice</w:t>
      </w:r>
      <w:r>
        <w:rPr>
          <w:rFonts w:eastAsia="Calibri" w:cs="Arial"/>
          <w:noProof w:val="0"/>
          <w:szCs w:val="22"/>
          <w:lang w:bidi="ar-SA"/>
        </w:rPr>
        <w:t xml:space="preserve"> OEEZ</w:t>
      </w:r>
      <w:r w:rsidRPr="00ED38E9">
        <w:rPr>
          <w:rFonts w:eastAsia="Calibri" w:cs="Arial"/>
          <w:noProof w:val="0"/>
          <w:szCs w:val="22"/>
          <w:lang w:bidi="ar-SA"/>
        </w:rPr>
        <w:t xml:space="preserve"> na úroveň </w:t>
      </w:r>
      <w:r w:rsidR="00E344A3">
        <w:rPr>
          <w:rFonts w:eastAsia="Calibri" w:cs="Arial"/>
          <w:noProof w:val="0"/>
          <w:szCs w:val="22"/>
          <w:lang w:bidi="ar-SA"/>
        </w:rPr>
        <w:t>ZO</w:t>
      </w:r>
      <w:r w:rsidRPr="00ED38E9">
        <w:rPr>
          <w:rFonts w:eastAsia="Calibri" w:cs="Arial"/>
          <w:noProof w:val="0"/>
          <w:szCs w:val="22"/>
          <w:lang w:bidi="ar-SA"/>
        </w:rPr>
        <w:t xml:space="preserve">. Díky </w:t>
      </w:r>
      <w:r>
        <w:rPr>
          <w:rFonts w:eastAsia="Calibri" w:cs="Arial"/>
          <w:noProof w:val="0"/>
          <w:szCs w:val="22"/>
          <w:lang w:bidi="ar-SA"/>
        </w:rPr>
        <w:t>uzavření</w:t>
      </w:r>
      <w:r w:rsidRPr="00ED38E9">
        <w:rPr>
          <w:rFonts w:eastAsia="Calibri" w:cs="Arial"/>
          <w:noProof w:val="0"/>
          <w:szCs w:val="22"/>
          <w:lang w:bidi="ar-SA"/>
        </w:rPr>
        <w:t xml:space="preserve"> dohody mezi KS dojde i k vytvoření transparentnějšího prostředí. </w:t>
      </w:r>
      <w:r w:rsidR="002A2909">
        <w:rPr>
          <w:rFonts w:eastAsia="Calibri" w:cs="Arial"/>
          <w:noProof w:val="0"/>
          <w:szCs w:val="22"/>
          <w:lang w:bidi="ar-SA"/>
        </w:rPr>
        <w:t>Po uzavření této dohody bude ministerstvu poslána informace o této dohodě pro možnou kontrolu.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2C665593"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B76CF9" w:rsidRPr="00ED38E9" w:rsidP="006031E5" w14:paraId="375E0158"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14:paraId="2E8BE715"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6CEDC29D"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optimalizace sběru, navíc varianta 1b může některé KS motivovat k plnění svých povinností nad stanovený limit.</w:t>
            </w:r>
          </w:p>
          <w:p w:rsidR="00B76CF9" w:rsidRPr="00ED38E9" w:rsidP="003F755E" w14:paraId="784FF58C" w14:textId="3E2573BA">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w:t>
            </w:r>
            <w:r w:rsidR="000F533C">
              <w:rPr>
                <w:rFonts w:eastAsia="MS Mincho" w:cs="Arial"/>
                <w:noProof w:val="0"/>
                <w:sz w:val="20"/>
                <w:szCs w:val="20"/>
                <w:lang w:bidi="ar-SA"/>
              </w:rPr>
              <w:t xml:space="preserve"> </w:t>
            </w:r>
            <w:r w:rsidRPr="00ED38E9">
              <w:rPr>
                <w:rFonts w:eastAsia="MS Mincho" w:cs="Arial"/>
                <w:noProof w:val="0"/>
                <w:sz w:val="20"/>
                <w:szCs w:val="20"/>
                <w:lang w:bidi="ar-SA"/>
              </w:rPr>
              <w:t xml:space="preserve">Nutnost zlepšené kontroly a evidence zejména v případě Varianty 1b povolení clearingu </w:t>
            </w:r>
          </w:p>
        </w:tc>
      </w:tr>
      <w:tr w14:paraId="7DC453EB"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482CE7C5"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14:paraId="7BBA9953"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6FD45907"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možnost sdílet náklady s ostatními KS, snížení podnikatelských rizik</w:t>
            </w:r>
          </w:p>
          <w:p w:rsidR="00B76CF9" w:rsidRPr="00ED38E9" w:rsidP="006031E5" w14:paraId="406848B8"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na vzájemnou spolupráci</w:t>
            </w:r>
          </w:p>
        </w:tc>
      </w:tr>
      <w:tr w14:paraId="49B7227F"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4099073A" w14:textId="77777777">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14:paraId="25CE4373" w14:textId="77777777" w:rsidTr="006031E5">
        <w:tblPrEx>
          <w:tblW w:w="0" w:type="auto"/>
          <w:tblInd w:w="108" w:type="dxa"/>
          <w:tblLook w:val="00A0"/>
        </w:tblPrEx>
        <w:trPr>
          <w:trHeight w:val="397"/>
        </w:trPr>
        <w:tc>
          <w:tcPr>
            <w:tcW w:w="9180" w:type="dxa"/>
            <w:shd w:val="clear" w:color="auto" w:fill="auto"/>
            <w:vAlign w:val="center"/>
          </w:tcPr>
          <w:p w:rsidR="00B76CF9" w:rsidRPr="00ED38E9" w:rsidP="006031E5" w14:paraId="11B34798" w14:textId="77777777">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transparentnost, možnost snížení nákladů na systém zajišťující rozšířenou odpovědnost výrobce (nižší recyklační poplatky)</w:t>
            </w:r>
          </w:p>
        </w:tc>
      </w:tr>
    </w:tbl>
    <w:p w:rsidR="00B76CF9" w:rsidRPr="00ED38E9" w:rsidP="00BF16B7" w14:paraId="5BCB46E9" w14:textId="77777777">
      <w:pPr>
        <w:pStyle w:val="Heading3"/>
      </w:pPr>
      <w:r w:rsidRPr="00ED38E9">
        <w:t>Vyhodnocení nákladů a přínosů variant</w:t>
      </w:r>
    </w:p>
    <w:p w:rsidR="00B76CF9" w:rsidRPr="00BA6FEA" w:rsidP="00D94213" w14:paraId="206C4212" w14:textId="745E9AD4">
      <w:pPr>
        <w:pStyle w:val="Caption"/>
        <w:spacing w:before="120"/>
        <w:contextualSpacing w:val="0"/>
        <w:rPr>
          <w:sz w:val="20"/>
          <w:szCs w:val="20"/>
        </w:rPr>
      </w:pPr>
      <w:r w:rsidRPr="00BA6FEA">
        <w:rPr>
          <w:sz w:val="20"/>
          <w:szCs w:val="20"/>
        </w:rPr>
        <w:t xml:space="preserve">Tabulka </w:t>
      </w:r>
      <w:r w:rsidR="00193C68">
        <w:rPr>
          <w:sz w:val="20"/>
          <w:szCs w:val="20"/>
        </w:rPr>
        <w:t>19</w:t>
      </w:r>
      <w:r w:rsidRPr="00BA6FEA">
        <w:rPr>
          <w:sz w:val="20"/>
          <w:szCs w:val="20"/>
        </w:rPr>
        <w:t>: Souhrn nákladů a přínosů</w:t>
      </w:r>
    </w:p>
    <w:tbl>
      <w:tblPr>
        <w:tblStyle w:val="Mkatabulky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3323"/>
        <w:gridCol w:w="3324"/>
      </w:tblGrid>
      <w:tr w14:paraId="312B468E"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2419" w:type="dxa"/>
            <w:shd w:val="clear" w:color="auto" w:fill="B6B002"/>
            <w:vAlign w:val="center"/>
          </w:tcPr>
          <w:p w:rsidR="00B76CF9" w:rsidRPr="00BA6FEA" w:rsidP="00D94213" w14:paraId="742F75D1" w14:textId="77777777">
            <w:pPr>
              <w:keepNext/>
              <w:spacing w:line="264" w:lineRule="auto"/>
              <w:jc w:val="center"/>
              <w:rPr>
                <w:rFonts w:cs="Arial"/>
                <w:b/>
                <w:noProof w:val="0"/>
                <w:sz w:val="20"/>
                <w:szCs w:val="20"/>
                <w:lang w:bidi="ar-SA"/>
              </w:rPr>
            </w:pPr>
          </w:p>
        </w:tc>
        <w:tc>
          <w:tcPr>
            <w:tcW w:w="3326" w:type="dxa"/>
            <w:shd w:val="clear" w:color="auto" w:fill="B6B002"/>
            <w:vAlign w:val="center"/>
          </w:tcPr>
          <w:p w:rsidR="00B76CF9" w:rsidRPr="00BA6FEA" w:rsidP="00D94213" w14:paraId="5BC7C57D" w14:textId="77777777">
            <w:pPr>
              <w:keepNext/>
              <w:spacing w:line="264" w:lineRule="auto"/>
              <w:rPr>
                <w:rFonts w:cs="Arial"/>
                <w:b/>
                <w:noProof w:val="0"/>
                <w:sz w:val="20"/>
                <w:szCs w:val="20"/>
                <w:lang w:bidi="ar-SA"/>
              </w:rPr>
            </w:pPr>
            <w:r w:rsidRPr="00BA6FEA">
              <w:rPr>
                <w:rFonts w:cs="Arial"/>
                <w:b/>
                <w:noProof w:val="0"/>
                <w:sz w:val="20"/>
                <w:szCs w:val="20"/>
                <w:lang w:bidi="ar-SA"/>
              </w:rPr>
              <w:t>Náklady</w:t>
            </w:r>
          </w:p>
        </w:tc>
        <w:tc>
          <w:tcPr>
            <w:tcW w:w="3327" w:type="dxa"/>
            <w:shd w:val="clear" w:color="auto" w:fill="B6B002"/>
            <w:vAlign w:val="center"/>
          </w:tcPr>
          <w:p w:rsidR="00B76CF9" w:rsidRPr="00BA6FEA" w:rsidP="00D94213" w14:paraId="19F04246" w14:textId="77777777">
            <w:pPr>
              <w:keepNext/>
              <w:spacing w:line="264" w:lineRule="auto"/>
              <w:rPr>
                <w:rFonts w:cs="Arial"/>
                <w:b/>
                <w:noProof w:val="0"/>
                <w:sz w:val="20"/>
                <w:szCs w:val="20"/>
                <w:lang w:bidi="ar-SA"/>
              </w:rPr>
            </w:pPr>
            <w:r w:rsidRPr="00BA6FEA">
              <w:rPr>
                <w:rFonts w:cs="Arial"/>
                <w:b/>
                <w:noProof w:val="0"/>
                <w:sz w:val="20"/>
                <w:szCs w:val="20"/>
                <w:lang w:bidi="ar-SA"/>
              </w:rPr>
              <w:t>Přínosy</w:t>
            </w:r>
          </w:p>
        </w:tc>
      </w:tr>
    </w:tbl>
    <w:tbl>
      <w:tblPr>
        <w:tblStyle w:val="Mkatabulky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3323"/>
        <w:gridCol w:w="3323"/>
      </w:tblGrid>
      <w:tr w14:paraId="4DFD26AF"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9072" w:type="dxa"/>
            <w:gridSpan w:val="3"/>
            <w:shd w:val="clear" w:color="auto" w:fill="F2F2F2"/>
            <w:vAlign w:val="center"/>
          </w:tcPr>
          <w:p w:rsidR="00B76CF9" w:rsidRPr="00BA6FEA" w:rsidP="00D94213" w14:paraId="643E883B" w14:textId="77777777">
            <w:pPr>
              <w:keepNext/>
              <w:spacing w:after="120"/>
              <w:rPr>
                <w:rFonts w:cs="Arial"/>
                <w:b/>
                <w:noProof w:val="0"/>
                <w:sz w:val="20"/>
                <w:szCs w:val="20"/>
                <w:lang w:bidi="ar-SA"/>
              </w:rPr>
            </w:pPr>
            <w:r w:rsidRPr="00BA6FEA">
              <w:rPr>
                <w:rFonts w:cs="Arial"/>
                <w:b/>
                <w:sz w:val="20"/>
                <w:szCs w:val="20"/>
                <w:lang w:bidi="ar-SA"/>
              </w:rPr>
              <w:t>Spolupráce více KS</w:t>
            </w:r>
          </w:p>
        </w:tc>
      </w:tr>
      <w:tr w14:paraId="1F57B1E6" w14:textId="77777777" w:rsidTr="006031E5">
        <w:tblPrEx>
          <w:tblW w:w="0" w:type="auto"/>
          <w:jc w:val="center"/>
          <w:tblLook w:val="04A0"/>
        </w:tblPrEx>
        <w:trPr>
          <w:trHeight w:val="64"/>
          <w:jc w:val="center"/>
        </w:trPr>
        <w:tc>
          <w:tcPr>
            <w:tcW w:w="2419" w:type="dxa"/>
            <w:shd w:val="clear" w:color="auto" w:fill="D9D9D9"/>
            <w:vAlign w:val="center"/>
          </w:tcPr>
          <w:p w:rsidR="00B76CF9" w:rsidRPr="00BA6FEA" w:rsidP="00D94213" w14:paraId="03C1ECF5" w14:textId="77777777">
            <w:pPr>
              <w:keepNext/>
              <w:spacing w:before="60" w:line="240" w:lineRule="auto"/>
              <w:jc w:val="left"/>
              <w:rPr>
                <w:rFonts w:cs="Arial"/>
                <w:sz w:val="20"/>
                <w:szCs w:val="20"/>
                <w:lang w:bidi="ar-SA"/>
              </w:rPr>
            </w:pPr>
            <w:r w:rsidRPr="00BA6FEA">
              <w:rPr>
                <w:rFonts w:cs="Arial"/>
                <w:noProof w:val="0"/>
                <w:sz w:val="20"/>
                <w:szCs w:val="20"/>
                <w:lang w:bidi="ar-SA"/>
              </w:rPr>
              <w:t>Varianta 0</w:t>
            </w:r>
          </w:p>
        </w:tc>
        <w:tc>
          <w:tcPr>
            <w:tcW w:w="3326" w:type="dxa"/>
            <w:shd w:val="clear" w:color="auto" w:fill="D9D9D9"/>
            <w:vAlign w:val="center"/>
          </w:tcPr>
          <w:p w:rsidR="00B76CF9" w:rsidRPr="00BA6FEA" w:rsidP="00D94213" w14:paraId="41AC1D44" w14:textId="77777777">
            <w:pPr>
              <w:keepNext/>
              <w:spacing w:before="60" w:line="240" w:lineRule="auto"/>
              <w:jc w:val="left"/>
              <w:rPr>
                <w:rFonts w:cs="Arial"/>
                <w:noProof w:val="0"/>
                <w:sz w:val="20"/>
                <w:szCs w:val="20"/>
                <w:lang w:bidi="ar-SA"/>
              </w:rPr>
            </w:pPr>
            <w:r w:rsidRPr="00BA6FEA">
              <w:rPr>
                <w:rFonts w:cs="Arial"/>
                <w:noProof w:val="0"/>
                <w:sz w:val="20"/>
                <w:szCs w:val="20"/>
                <w:lang w:bidi="ar-SA"/>
              </w:rPr>
              <w:t>nulová varianta</w:t>
            </w:r>
          </w:p>
        </w:tc>
        <w:tc>
          <w:tcPr>
            <w:tcW w:w="3327" w:type="dxa"/>
            <w:shd w:val="clear" w:color="auto" w:fill="D9D9D9"/>
            <w:vAlign w:val="center"/>
          </w:tcPr>
          <w:p w:rsidR="00B76CF9" w:rsidRPr="00BA6FEA" w:rsidP="00D94213" w14:paraId="02EB7E44" w14:textId="77777777">
            <w:pPr>
              <w:keepNext/>
              <w:spacing w:before="60" w:line="240" w:lineRule="auto"/>
              <w:jc w:val="left"/>
              <w:rPr>
                <w:rFonts w:cs="Arial"/>
                <w:noProof w:val="0"/>
                <w:sz w:val="20"/>
                <w:szCs w:val="20"/>
                <w:lang w:bidi="ar-SA"/>
              </w:rPr>
            </w:pPr>
            <w:r w:rsidRPr="00BA6FEA">
              <w:rPr>
                <w:rFonts w:cs="Arial"/>
                <w:noProof w:val="0"/>
                <w:sz w:val="20"/>
                <w:szCs w:val="20"/>
                <w:lang w:bidi="ar-SA"/>
              </w:rPr>
              <w:t>nulová varianta</w:t>
            </w:r>
          </w:p>
        </w:tc>
      </w:tr>
      <w:tr w14:paraId="12467AB3" w14:textId="77777777" w:rsidTr="006031E5">
        <w:tblPrEx>
          <w:tblW w:w="0" w:type="auto"/>
          <w:jc w:val="center"/>
          <w:tblLook w:val="04A0"/>
        </w:tblPrEx>
        <w:trPr>
          <w:trHeight w:val="164"/>
          <w:jc w:val="center"/>
        </w:trPr>
        <w:tc>
          <w:tcPr>
            <w:tcW w:w="2419" w:type="dxa"/>
            <w:shd w:val="clear" w:color="auto" w:fill="F2F2F2"/>
            <w:vAlign w:val="center"/>
          </w:tcPr>
          <w:p w:rsidR="00B76CF9" w:rsidRPr="00BA6FEA" w:rsidP="00D94213" w14:paraId="02508B12" w14:textId="77777777">
            <w:pPr>
              <w:keepNext/>
              <w:spacing w:before="60" w:line="240" w:lineRule="auto"/>
              <w:jc w:val="left"/>
              <w:rPr>
                <w:rFonts w:cs="Arial"/>
                <w:b/>
                <w:noProof w:val="0"/>
                <w:sz w:val="20"/>
                <w:szCs w:val="20"/>
                <w:u w:val="single"/>
                <w:lang w:bidi="ar-SA"/>
              </w:rPr>
            </w:pPr>
            <w:r w:rsidRPr="00BA6FEA">
              <w:rPr>
                <w:rFonts w:cs="Arial"/>
                <w:b/>
                <w:noProof w:val="0"/>
                <w:sz w:val="20"/>
                <w:szCs w:val="20"/>
                <w:u w:val="single"/>
                <w:lang w:bidi="ar-SA"/>
              </w:rPr>
              <w:t>Varianta 1a</w:t>
            </w:r>
          </w:p>
        </w:tc>
        <w:tc>
          <w:tcPr>
            <w:tcW w:w="3326" w:type="dxa"/>
            <w:shd w:val="clear" w:color="auto" w:fill="F2F2F2"/>
            <w:vAlign w:val="center"/>
          </w:tcPr>
          <w:p w:rsidR="00B76CF9" w:rsidRPr="00BA6FEA" w:rsidP="00D94213" w14:paraId="66F3D2BB" w14:textId="3DD57B04">
            <w:pPr>
              <w:keepNext/>
              <w:spacing w:before="60" w:line="240" w:lineRule="auto"/>
              <w:jc w:val="left"/>
              <w:rPr>
                <w:rFonts w:cs="Arial"/>
                <w:noProof w:val="0"/>
                <w:sz w:val="20"/>
                <w:szCs w:val="20"/>
                <w:lang w:bidi="ar-SA"/>
              </w:rPr>
            </w:pPr>
            <w:r w:rsidRPr="00BA6FEA">
              <w:rPr>
                <w:rFonts w:cs="Arial"/>
                <w:noProof w:val="0"/>
                <w:sz w:val="20"/>
                <w:szCs w:val="20"/>
                <w:lang w:bidi="ar-SA"/>
              </w:rPr>
              <w:t>Náklady pro</w:t>
            </w:r>
            <w:r w:rsidR="00384113">
              <w:rPr>
                <w:rFonts w:cs="Arial"/>
                <w:noProof w:val="0"/>
                <w:sz w:val="20"/>
                <w:szCs w:val="20"/>
                <w:lang w:bidi="ar-SA"/>
              </w:rPr>
              <w:t> </w:t>
            </w:r>
            <w:r w:rsidRPr="00BA6FEA">
              <w:rPr>
                <w:rFonts w:cs="Arial"/>
                <w:noProof w:val="0"/>
                <w:sz w:val="20"/>
                <w:szCs w:val="20"/>
                <w:lang w:bidi="ar-SA"/>
              </w:rPr>
              <w:t xml:space="preserve">KS v souvislosti s navýšením administrativních nákladů. </w:t>
            </w:r>
          </w:p>
        </w:tc>
        <w:tc>
          <w:tcPr>
            <w:tcW w:w="3327" w:type="dxa"/>
            <w:shd w:val="clear" w:color="auto" w:fill="F2F2F2"/>
            <w:vAlign w:val="center"/>
          </w:tcPr>
          <w:p w:rsidR="00B76CF9" w:rsidRPr="00BA6FEA" w:rsidP="00D94213" w14:paraId="32E83BAF" w14:textId="77777777">
            <w:pPr>
              <w:keepNext/>
              <w:spacing w:before="60" w:line="240" w:lineRule="auto"/>
              <w:jc w:val="left"/>
              <w:rPr>
                <w:rFonts w:cs="Arial"/>
                <w:noProof w:val="0"/>
                <w:sz w:val="20"/>
                <w:szCs w:val="20"/>
                <w:lang w:bidi="ar-SA"/>
              </w:rPr>
            </w:pPr>
            <w:r w:rsidRPr="00BA6FEA">
              <w:rPr>
                <w:rFonts w:cs="Arial"/>
                <w:noProof w:val="0"/>
                <w:sz w:val="20"/>
                <w:szCs w:val="20"/>
                <w:lang w:bidi="ar-SA"/>
              </w:rPr>
              <w:t>Vyšší právní jistota, možnost sdílet náklady s ostatními KS, snížení podnikatelských rizik</w:t>
            </w:r>
          </w:p>
        </w:tc>
      </w:tr>
      <w:tr w14:paraId="31E6C63B" w14:textId="77777777" w:rsidTr="006031E5">
        <w:tblPrEx>
          <w:tblW w:w="0" w:type="auto"/>
          <w:jc w:val="center"/>
          <w:tblLook w:val="04A0"/>
        </w:tblPrEx>
        <w:trPr>
          <w:trHeight w:val="262"/>
          <w:jc w:val="center"/>
        </w:trPr>
        <w:tc>
          <w:tcPr>
            <w:tcW w:w="2419" w:type="dxa"/>
            <w:shd w:val="clear" w:color="auto" w:fill="D9D9D9"/>
            <w:vAlign w:val="center"/>
          </w:tcPr>
          <w:p w:rsidR="00B76CF9" w:rsidRPr="00BA6FEA" w:rsidP="006031E5" w14:paraId="34DDDB80" w14:textId="77777777">
            <w:pPr>
              <w:spacing w:before="60" w:line="240" w:lineRule="auto"/>
              <w:jc w:val="left"/>
              <w:rPr>
                <w:rFonts w:cs="Arial"/>
                <w:b/>
                <w:sz w:val="20"/>
                <w:szCs w:val="20"/>
                <w:lang w:bidi="ar-SA"/>
              </w:rPr>
            </w:pPr>
            <w:r w:rsidRPr="00BA6FEA">
              <w:rPr>
                <w:rFonts w:cs="Arial"/>
                <w:b/>
                <w:noProof w:val="0"/>
                <w:sz w:val="20"/>
                <w:szCs w:val="20"/>
                <w:u w:val="single"/>
                <w:lang w:bidi="ar-SA"/>
              </w:rPr>
              <w:t>Varianta 1b</w:t>
            </w:r>
          </w:p>
        </w:tc>
        <w:tc>
          <w:tcPr>
            <w:tcW w:w="3326" w:type="dxa"/>
            <w:shd w:val="clear" w:color="auto" w:fill="D9D9D9"/>
            <w:vAlign w:val="center"/>
          </w:tcPr>
          <w:p w:rsidR="00B76CF9" w:rsidRPr="00BA6FEA" w:rsidP="006031E5" w14:paraId="3E3A995D" w14:textId="41DD1721">
            <w:pPr>
              <w:spacing w:before="60" w:line="240" w:lineRule="auto"/>
              <w:jc w:val="left"/>
              <w:rPr>
                <w:rFonts w:cs="Arial"/>
                <w:noProof w:val="0"/>
                <w:sz w:val="20"/>
                <w:szCs w:val="20"/>
                <w:lang w:bidi="ar-SA"/>
              </w:rPr>
            </w:pPr>
            <w:r w:rsidRPr="00BA6FEA">
              <w:rPr>
                <w:rFonts w:cs="Arial"/>
                <w:noProof w:val="0"/>
                <w:sz w:val="20"/>
                <w:szCs w:val="20"/>
                <w:lang w:bidi="ar-SA"/>
              </w:rPr>
              <w:t xml:space="preserve">Náklady pro KS v souvislosti s navýšením administrativních nákladů. </w:t>
            </w:r>
          </w:p>
        </w:tc>
        <w:tc>
          <w:tcPr>
            <w:tcW w:w="3327" w:type="dxa"/>
            <w:shd w:val="clear" w:color="auto" w:fill="D9D9D9"/>
            <w:vAlign w:val="center"/>
          </w:tcPr>
          <w:p w:rsidR="00B76CF9" w:rsidRPr="00BA6FEA" w:rsidP="006031E5" w14:paraId="691A52C9" w14:textId="77777777">
            <w:pPr>
              <w:spacing w:before="60" w:line="240" w:lineRule="auto"/>
              <w:jc w:val="left"/>
              <w:rPr>
                <w:rFonts w:cs="Arial"/>
                <w:noProof w:val="0"/>
                <w:sz w:val="20"/>
                <w:szCs w:val="20"/>
                <w:lang w:bidi="ar-SA"/>
              </w:rPr>
            </w:pPr>
            <w:r w:rsidRPr="00BA6FEA">
              <w:rPr>
                <w:rFonts w:cs="Arial"/>
                <w:noProof w:val="0"/>
                <w:sz w:val="20"/>
                <w:szCs w:val="20"/>
                <w:lang w:bidi="ar-SA"/>
              </w:rPr>
              <w:t>Vyšší právní jistota, možnost sdílet náklady s ostatními KS, snížení podnikatelských rizik. Motivace KS plnit nad stanovený limit.</w:t>
            </w:r>
          </w:p>
        </w:tc>
      </w:tr>
    </w:tbl>
    <w:p w:rsidR="00B76CF9" w:rsidRPr="00ED38E9" w:rsidP="00B760EA" w14:paraId="726494AF" w14:textId="77777777">
      <w:pPr>
        <w:pStyle w:val="Heading2"/>
        <w:spacing w:before="360"/>
        <w:ind w:left="578" w:hanging="578"/>
        <w:rPr>
          <w:rFonts w:eastAsia="Calibri"/>
          <w:lang w:bidi="ar-SA"/>
        </w:rPr>
      </w:pPr>
      <w:bookmarkStart w:id="147" w:name="_Toc441759898"/>
      <w:r>
        <w:rPr>
          <w:rFonts w:eastAsia="Calibri"/>
          <w:lang w:bidi="ar-SA"/>
        </w:rPr>
        <w:t>N</w:t>
      </w:r>
      <w:r w:rsidRPr="00ED38E9">
        <w:rPr>
          <w:rFonts w:eastAsia="Calibri"/>
          <w:lang w:bidi="ar-SA"/>
        </w:rPr>
        <w:t>ávrh řešení</w:t>
      </w:r>
      <w:bookmarkEnd w:id="147"/>
    </w:p>
    <w:p w:rsidR="00B76CF9" w:rsidP="00B76CF9" w14:paraId="17A9032D" w14:textId="0902CB41">
      <w:pPr>
        <w:spacing w:after="120"/>
        <w:rPr>
          <w:rFonts w:eastAsia="Calibri" w:cs="Arial"/>
          <w:noProof w:val="0"/>
          <w:szCs w:val="22"/>
          <w:lang w:bidi="ar-SA"/>
        </w:rPr>
      </w:pPr>
      <w:r>
        <w:rPr>
          <w:rFonts w:eastAsia="Calibri" w:cs="Arial"/>
          <w:noProof w:val="0"/>
          <w:szCs w:val="22"/>
          <w:lang w:bidi="ar-SA"/>
        </w:rPr>
        <w:t xml:space="preserve">S ohledem na splnění cíle, jímž je </w:t>
      </w:r>
      <w:r w:rsidRPr="00ED38E9">
        <w:rPr>
          <w:rFonts w:eastAsia="Calibri" w:cs="Arial"/>
          <w:noProof w:val="0"/>
          <w:szCs w:val="22"/>
          <w:lang w:bidi="ar-SA"/>
        </w:rPr>
        <w:t xml:space="preserve">dosažení minimální požadované úrovně sběru </w:t>
      </w:r>
      <w:r>
        <w:rPr>
          <w:rFonts w:eastAsia="Calibri" w:cs="Arial"/>
          <w:noProof w:val="0"/>
          <w:szCs w:val="22"/>
          <w:lang w:bidi="ar-SA"/>
        </w:rPr>
        <w:t xml:space="preserve">VUŽ, především OEEZ za současného zajištění </w:t>
      </w:r>
      <w:r w:rsidRPr="00ED38E9">
        <w:rPr>
          <w:rFonts w:eastAsia="Calibri" w:cs="Arial"/>
          <w:noProof w:val="0"/>
          <w:szCs w:val="22"/>
          <w:lang w:bidi="ar-SA"/>
        </w:rPr>
        <w:t xml:space="preserve">transparentního prostředí na trhu </w:t>
      </w:r>
      <w:r w:rsidR="00384113">
        <w:rPr>
          <w:rFonts w:eastAsia="Calibri" w:cs="Arial"/>
          <w:noProof w:val="0"/>
          <w:szCs w:val="22"/>
          <w:lang w:bidi="ar-SA"/>
        </w:rPr>
        <w:t>KS</w:t>
      </w:r>
      <w:r>
        <w:rPr>
          <w:rFonts w:eastAsia="Calibri" w:cs="Arial"/>
          <w:noProof w:val="0"/>
          <w:szCs w:val="22"/>
          <w:lang w:bidi="ar-SA"/>
        </w:rPr>
        <w:t xml:space="preserve"> </w:t>
      </w:r>
      <w:r w:rsidRPr="00ED38E9">
        <w:rPr>
          <w:rFonts w:eastAsia="Calibri" w:cs="Arial"/>
          <w:b/>
          <w:noProof w:val="0"/>
          <w:szCs w:val="22"/>
          <w:lang w:bidi="ar-SA"/>
        </w:rPr>
        <w:t>doporučujeme realizovat Variantu 1a nebo 1b v závislosti na politickém rozhodnutí</w:t>
      </w:r>
      <w:r w:rsidRPr="00ED38E9">
        <w:rPr>
          <w:rFonts w:eastAsia="Calibri" w:cs="Arial"/>
          <w:noProof w:val="0"/>
          <w:szCs w:val="22"/>
          <w:lang w:bidi="ar-SA"/>
        </w:rPr>
        <w:t>, neboť existence clearingu představuje určité přínosy ve formě zvýšené motivace, ovšem nese sebou také náklady. V současnosti není zřejmé, v jaké podobě by clearing mezi KS fungoval, zda na</w:t>
      </w:r>
      <w:r w:rsidR="00384113">
        <w:rPr>
          <w:rFonts w:eastAsia="Calibri" w:cs="Arial"/>
          <w:noProof w:val="0"/>
          <w:szCs w:val="22"/>
          <w:lang w:bidi="ar-SA"/>
        </w:rPr>
        <w:t> </w:t>
      </w:r>
      <w:r w:rsidRPr="00ED38E9">
        <w:rPr>
          <w:rFonts w:eastAsia="Calibri" w:cs="Arial"/>
          <w:noProof w:val="0"/>
          <w:szCs w:val="22"/>
          <w:lang w:bidi="ar-SA"/>
        </w:rPr>
        <w:t>individuální bázi či prostřednictvím operátora trhu, jako je tomu v zahraničí.</w:t>
      </w:r>
    </w:p>
    <w:p w:rsidR="00F37472" w:rsidRPr="00ED38E9" w:rsidP="00B76CF9" w14:paraId="313DCF3B" w14:textId="77777777">
      <w:pPr>
        <w:spacing w:after="120"/>
        <w:rPr>
          <w:rFonts w:eastAsia="Calibri" w:cs="Arial"/>
          <w:noProof w:val="0"/>
          <w:szCs w:val="22"/>
          <w:lang w:bidi="ar-SA"/>
        </w:rPr>
      </w:pPr>
    </w:p>
    <w:p w:rsidR="00DB3E7D" w:rsidRPr="00ED38E9" w:rsidP="00DB3E7D" w14:paraId="6B29611E" w14:textId="59CD1C30">
      <w:pPr>
        <w:pStyle w:val="Heading1"/>
      </w:pPr>
      <w:bookmarkStart w:id="148" w:name="_Toc441759935"/>
      <w:bookmarkStart w:id="149" w:name="_Toc14942086"/>
      <w:bookmarkStart w:id="150" w:name="_Toc256000012"/>
      <w:r>
        <w:t xml:space="preserve">Ověřování údajů - </w:t>
      </w:r>
      <w:r w:rsidRPr="00ED38E9">
        <w:t xml:space="preserve">Povinnost </w:t>
      </w:r>
      <w:r>
        <w:t>provádět audit</w:t>
      </w:r>
      <w:r w:rsidRPr="00ED38E9">
        <w:t xml:space="preserve"> </w:t>
      </w:r>
      <w:bookmarkEnd w:id="148"/>
      <w:r w:rsidR="00C23A89">
        <w:t>(§ 55</w:t>
      </w:r>
      <w:r>
        <w:t>)</w:t>
      </w:r>
      <w:bookmarkEnd w:id="150"/>
      <w:bookmarkEnd w:id="149"/>
    </w:p>
    <w:p w:rsidR="00DB3E7D" w:rsidRPr="00ED38E9" w:rsidP="00DB3E7D" w14:paraId="2D7FA0FA" w14:textId="77777777">
      <w:pPr>
        <w:pStyle w:val="Heading2"/>
      </w:pPr>
      <w:bookmarkStart w:id="151" w:name="_Toc441759936"/>
      <w:r w:rsidRPr="00ED38E9">
        <w:t>Důvod předložení a cíle</w:t>
      </w:r>
      <w:bookmarkEnd w:id="151"/>
    </w:p>
    <w:p w:rsidR="00DB3E7D" w:rsidRPr="00ED38E9" w:rsidP="00BF16B7" w14:paraId="144F7203" w14:textId="77777777">
      <w:pPr>
        <w:pStyle w:val="Heading3"/>
      </w:pPr>
      <w:r w:rsidRPr="00ED38E9">
        <w:t>Definice problému</w:t>
      </w:r>
    </w:p>
    <w:p w:rsidR="00DB3E7D" w:rsidP="00DB3E7D" w14:paraId="46D592BD" w14:textId="5F3E91D4">
      <w:pPr>
        <w:rPr>
          <w:rFonts w:cs="Arial"/>
        </w:rPr>
      </w:pPr>
      <w:r w:rsidRPr="00F004DF">
        <w:t>Jedná se o transpozici rámcové směrnice 98/2008 ES o odpadech</w:t>
      </w:r>
      <w:r>
        <w:t>.</w:t>
      </w:r>
      <w:r w:rsidRPr="00ED38E9">
        <w:rPr>
          <w:rFonts w:eastAsia="Calibri" w:cs="Arial"/>
          <w:noProof w:val="0"/>
          <w:szCs w:val="22"/>
          <w:lang w:bidi="ar-SA"/>
        </w:rPr>
        <w:t xml:space="preserve"> </w:t>
      </w:r>
      <w:r>
        <w:rPr>
          <w:rFonts w:cs="Arial"/>
        </w:rPr>
        <w:t>Povinnost KS provádět audit účetnictví a evidencí o vybraných výrobcích a výrobcí</w:t>
      </w:r>
      <w:r w:rsidR="00384113">
        <w:rPr>
          <w:rFonts w:cs="Arial"/>
        </w:rPr>
        <w:t>ch s ukončenou životností nezá</w:t>
      </w:r>
      <w:r>
        <w:rPr>
          <w:rFonts w:cs="Arial"/>
        </w:rPr>
        <w:t>vislým auditorem</w:t>
      </w:r>
      <w:r w:rsidRPr="00ED38E9">
        <w:rPr>
          <w:rFonts w:cs="Arial"/>
        </w:rPr>
        <w:t>.</w:t>
      </w:r>
    </w:p>
    <w:p w:rsidR="00DB3E7D" w:rsidRPr="00ED38E9" w:rsidP="00BF16B7" w14:paraId="0A6B389A" w14:textId="77777777">
      <w:pPr>
        <w:pStyle w:val="Heading3"/>
      </w:pPr>
      <w:r w:rsidRPr="00ED38E9">
        <w:t>Popis existujícího právního stavu v dané oblasti</w:t>
      </w:r>
    </w:p>
    <w:p w:rsidR="00DB3E7D" w:rsidP="00DB3E7D" w14:paraId="4E671A8D" w14:textId="4ED08B51">
      <w:pPr>
        <w:rPr>
          <w:rFonts w:cs="Arial"/>
        </w:rPr>
      </w:pPr>
      <w:r w:rsidRPr="00ED38E9">
        <w:rPr>
          <w:rFonts w:cs="Arial"/>
        </w:rPr>
        <w:t xml:space="preserve">V současné </w:t>
      </w:r>
      <w:r>
        <w:rPr>
          <w:rFonts w:cs="Arial"/>
        </w:rPr>
        <w:t>době mají KS (v oblasti baterií a akumulátorů a pneumatik) povinnost provádět audit úč</w:t>
      </w:r>
      <w:r w:rsidR="006E2211">
        <w:rPr>
          <w:rFonts w:cs="Arial"/>
        </w:rPr>
        <w:t>e</w:t>
      </w:r>
      <w:r>
        <w:rPr>
          <w:rFonts w:cs="Arial"/>
        </w:rPr>
        <w:t>tní uzávěrky a  vedení evidencí. Toto v současné době neplatí v oblasti EEZ.</w:t>
      </w:r>
    </w:p>
    <w:p w:rsidR="00DB3E7D" w:rsidP="00BF16B7" w14:paraId="64726C4F" w14:textId="77777777">
      <w:pPr>
        <w:pStyle w:val="Heading3"/>
      </w:pPr>
      <w:r w:rsidRPr="00ED38E9">
        <w:t>Identifikace dotčených subjektů</w:t>
      </w:r>
    </w:p>
    <w:p w:rsidR="00DB3E7D" w:rsidRPr="00ED38E9" w:rsidP="003C445B" w14:paraId="14B211C8" w14:textId="3211E805">
      <w:pPr>
        <w:pStyle w:val="ListParagraph"/>
        <w:numPr>
          <w:ilvl w:val="0"/>
          <w:numId w:val="15"/>
        </w:numPr>
        <w:contextualSpacing w:val="0"/>
        <w:rPr>
          <w:rFonts w:cs="Arial"/>
        </w:rPr>
      </w:pPr>
      <w:r>
        <w:rPr>
          <w:rFonts w:cs="Arial"/>
        </w:rPr>
        <w:t>K</w:t>
      </w:r>
      <w:r w:rsidRPr="00ED38E9">
        <w:rPr>
          <w:rFonts w:cs="Arial"/>
        </w:rPr>
        <w:t>olektivní systémy (KS),</w:t>
      </w:r>
    </w:p>
    <w:p w:rsidR="00DB3E7D" w:rsidP="003C445B" w14:paraId="0E60DB88" w14:textId="77777777">
      <w:pPr>
        <w:pStyle w:val="ListParagraph"/>
        <w:numPr>
          <w:ilvl w:val="0"/>
          <w:numId w:val="15"/>
        </w:numPr>
        <w:contextualSpacing w:val="0"/>
        <w:rPr>
          <w:rFonts w:cs="Arial"/>
        </w:rPr>
      </w:pPr>
      <w:r w:rsidRPr="00ED38E9">
        <w:rPr>
          <w:rFonts w:cs="Arial"/>
        </w:rPr>
        <w:t>Ministerstvo životního prostředí (MŽP, ministerstvo).</w:t>
      </w:r>
    </w:p>
    <w:p w:rsidR="00DB3E7D" w:rsidRPr="00ED38E9" w:rsidP="00BF16B7" w14:paraId="34D2BAE3" w14:textId="77777777">
      <w:pPr>
        <w:pStyle w:val="Heading3"/>
      </w:pPr>
      <w:r w:rsidRPr="00ED38E9">
        <w:t>Popis cílového stavu</w:t>
      </w:r>
    </w:p>
    <w:p w:rsidR="00DB3E7D" w:rsidP="00DB3E7D" w14:paraId="13585F13" w14:textId="77777777">
      <w:pPr>
        <w:rPr>
          <w:rFonts w:cs="Arial"/>
        </w:rPr>
      </w:pPr>
      <w:r w:rsidRPr="00ED38E9">
        <w:rPr>
          <w:rFonts w:cs="Arial"/>
        </w:rPr>
        <w:t xml:space="preserve">Cílem je, aby ministerstvo mělo průběžný přehled o hospodaření </w:t>
      </w:r>
      <w:r>
        <w:rPr>
          <w:rFonts w:cs="Arial"/>
        </w:rPr>
        <w:t>a vedení evidencí KS při provádění dohledu nad jejich činností</w:t>
      </w:r>
      <w:r w:rsidRPr="00ED38E9">
        <w:rPr>
          <w:rFonts w:cs="Arial"/>
        </w:rPr>
        <w:t>.</w:t>
      </w:r>
    </w:p>
    <w:p w:rsidR="00DB3E7D" w:rsidRPr="00ED38E9" w:rsidP="00BF16B7" w14:paraId="40440FC1" w14:textId="77777777">
      <w:pPr>
        <w:pStyle w:val="Heading3"/>
      </w:pPr>
      <w:r w:rsidRPr="00ED38E9">
        <w:t>Zhodnocení rizika</w:t>
      </w:r>
    </w:p>
    <w:p w:rsidR="00DB3E7D" w:rsidP="00DB3E7D" w14:paraId="0E1D2D44" w14:textId="6ADF1FD2">
      <w:pPr>
        <w:rPr>
          <w:rFonts w:cs="Arial"/>
        </w:rPr>
      </w:pPr>
      <w:r w:rsidRPr="00ED38E9">
        <w:rPr>
          <w:rFonts w:cs="Arial"/>
        </w:rPr>
        <w:t xml:space="preserve">Hlavním rizikem </w:t>
      </w:r>
      <w:r>
        <w:rPr>
          <w:rFonts w:cs="Arial"/>
        </w:rPr>
        <w:t>je</w:t>
      </w:r>
      <w:r w:rsidRPr="00ED38E9">
        <w:rPr>
          <w:rFonts w:cs="Arial"/>
        </w:rPr>
        <w:t xml:space="preserve">, že </w:t>
      </w:r>
      <w:r>
        <w:rPr>
          <w:rFonts w:cs="Arial"/>
        </w:rPr>
        <w:t xml:space="preserve">MŽP na </w:t>
      </w:r>
      <w:r w:rsidRPr="00ED38E9">
        <w:rPr>
          <w:rFonts w:cs="Arial"/>
        </w:rPr>
        <w:t xml:space="preserve">špatné hospodaření </w:t>
      </w:r>
      <w:r>
        <w:rPr>
          <w:rFonts w:cs="Arial"/>
        </w:rPr>
        <w:t xml:space="preserve">či vedení evidencí </w:t>
      </w:r>
      <w:r w:rsidRPr="00ED38E9">
        <w:rPr>
          <w:rFonts w:cs="Arial"/>
        </w:rPr>
        <w:t xml:space="preserve">nepřijde do té doby, než po </w:t>
      </w:r>
      <w:r>
        <w:rPr>
          <w:rFonts w:cs="Arial"/>
        </w:rPr>
        <w:t>KS</w:t>
      </w:r>
      <w:r w:rsidRPr="00ED38E9">
        <w:rPr>
          <w:rFonts w:cs="Arial"/>
        </w:rPr>
        <w:t xml:space="preserve"> zůstane ekologická zátěž v podobě mnoha tun </w:t>
      </w:r>
      <w:r w:rsidR="00384113">
        <w:rPr>
          <w:rFonts w:cs="Arial"/>
        </w:rPr>
        <w:t>VUŽ</w:t>
      </w:r>
      <w:r w:rsidRPr="00ED38E9">
        <w:rPr>
          <w:rFonts w:cs="Arial"/>
        </w:rPr>
        <w:t>, na</w:t>
      </w:r>
      <w:r>
        <w:rPr>
          <w:rFonts w:cs="Arial"/>
        </w:rPr>
        <w:t> </w:t>
      </w:r>
      <w:r w:rsidRPr="00ED38E9">
        <w:rPr>
          <w:rFonts w:cs="Arial"/>
        </w:rPr>
        <w:t>jejichž zpracování nebudou finance.</w:t>
      </w:r>
    </w:p>
    <w:p w:rsidR="00DB3E7D" w:rsidRPr="00ED38E9" w:rsidP="00193C68" w14:paraId="0CF5E183" w14:textId="77777777">
      <w:pPr>
        <w:pStyle w:val="Heading2"/>
        <w:spacing w:before="360"/>
        <w:ind w:left="578" w:hanging="578"/>
      </w:pPr>
      <w:bookmarkStart w:id="152" w:name="_Toc441759937"/>
      <w:r w:rsidRPr="00ED38E9">
        <w:t>Návrh variant řešení</w:t>
      </w:r>
      <w:bookmarkEnd w:id="152"/>
    </w:p>
    <w:p w:rsidR="00DB3E7D" w:rsidRPr="00ED38E9" w:rsidP="00BF16B7" w14:paraId="4FD918BC" w14:textId="77777777">
      <w:pPr>
        <w:pStyle w:val="Heading3"/>
      </w:pPr>
      <w:r w:rsidRPr="00ED38E9">
        <w:t>Varianta 0</w:t>
      </w:r>
    </w:p>
    <w:p w:rsidR="00DB3E7D" w:rsidRPr="00ED38E9" w:rsidP="00325E59" w14:paraId="5696BC56" w14:textId="48CAADB4">
      <w:r w:rsidRPr="000E6DE5">
        <w:t xml:space="preserve">Provozovatel KS </w:t>
      </w:r>
      <w:r w:rsidR="00B24EF4">
        <w:t>není</w:t>
      </w:r>
      <w:r w:rsidRPr="000E6DE5">
        <w:t xml:space="preserve"> povinen mít ověřenou řádnou nebo mimořádnou účetní závěrku auditorem.</w:t>
      </w:r>
    </w:p>
    <w:p w:rsidR="00DB3E7D" w:rsidRPr="00ED38E9" w:rsidP="00BF16B7" w14:paraId="6FC4197D" w14:textId="77777777">
      <w:pPr>
        <w:pStyle w:val="Heading3"/>
      </w:pPr>
      <w:r w:rsidRPr="00ED38E9">
        <w:t>Varianta 1</w:t>
      </w:r>
    </w:p>
    <w:p w:rsidR="00B24EF4" w:rsidRPr="000E6DE5" w:rsidP="00325E59" w14:paraId="45833138" w14:textId="01CE44C0">
      <w:r w:rsidRPr="000E6DE5">
        <w:t>Provozovatel KS je povinen mít ověřenou řádnou nebo mimořádnou účetní závěrku auditorem.</w:t>
      </w:r>
      <w:r>
        <w:t xml:space="preserve"> </w:t>
      </w:r>
      <w:r w:rsidRPr="000E6DE5">
        <w:t>Provozovatel KS musí zajistit ověření správnosti a úplnost</w:t>
      </w:r>
      <w:r w:rsidR="00A6593E">
        <w:t>i</w:t>
      </w:r>
      <w:r w:rsidRPr="000E6DE5">
        <w:t xml:space="preserve"> údajů o množství výrobků uvedených na trh, vedení evidencí, množství zpětně odebraných výrobků s ukončenou životností a nakládání s nimi. </w:t>
      </w:r>
    </w:p>
    <w:p w:rsidR="00193C68" w:rsidP="00193C68" w14:paraId="5288F7FF" w14:textId="77777777">
      <w:pPr>
        <w:spacing w:before="0" w:line="240" w:lineRule="auto"/>
        <w:rPr>
          <w:rFonts w:cs="Arial"/>
        </w:rPr>
      </w:pPr>
    </w:p>
    <w:p w:rsidR="00DB3E7D" w:rsidRPr="00ED38E9" w:rsidP="00411BD4" w14:paraId="76B44D49" w14:textId="77777777">
      <w:pPr>
        <w:pStyle w:val="Heading2"/>
        <w:spacing w:before="120"/>
        <w:ind w:left="578" w:hanging="578"/>
      </w:pPr>
      <w:bookmarkStart w:id="153" w:name="_Toc441759938"/>
      <w:r w:rsidRPr="00ED38E9">
        <w:t>Vyhodnocení nákladů a přínosů</w:t>
      </w:r>
      <w:bookmarkEnd w:id="153"/>
    </w:p>
    <w:p w:rsidR="00DB3E7D" w:rsidRPr="00ED38E9" w:rsidP="00411BD4" w14:paraId="7E05D38A" w14:textId="77777777">
      <w:pPr>
        <w:pStyle w:val="Heading3"/>
        <w:keepNext/>
        <w:widowControl/>
      </w:pPr>
      <w:r w:rsidRPr="00ED38E9">
        <w:t>Identifikace nákladů a přínosů</w:t>
      </w:r>
    </w:p>
    <w:p w:rsidR="00DB3E7D" w:rsidRPr="00692CF1" w:rsidP="00B760EA" w14:paraId="4091563C" w14:textId="77777777">
      <w:pPr>
        <w:pStyle w:val="ListParagraph"/>
        <w:keepNext/>
        <w:numPr>
          <w:ilvl w:val="0"/>
          <w:numId w:val="16"/>
        </w:numPr>
        <w:spacing w:after="120"/>
        <w:ind w:left="714" w:hanging="357"/>
        <w:contextualSpacing w:val="0"/>
        <w:rPr>
          <w:rFonts w:cs="Arial"/>
          <w:b/>
        </w:rPr>
      </w:pPr>
      <w:r w:rsidRPr="00692CF1">
        <w:rPr>
          <w:rFonts w:cs="Arial"/>
          <w:b/>
        </w:rPr>
        <w:t>Varianta 0</w:t>
      </w:r>
    </w:p>
    <w:p w:rsidR="00A007FD" w:rsidRPr="003F0645" w:rsidP="00B760EA" w14:paraId="234F3933" w14:textId="77777777">
      <w:pPr>
        <w:pStyle w:val="Normlntun"/>
        <w:spacing w:before="120" w:after="0" w:line="276" w:lineRule="auto"/>
        <w:rPr>
          <w:rFonts w:cs="Arial"/>
        </w:rPr>
      </w:pPr>
      <w:r w:rsidRPr="003F0645">
        <w:rPr>
          <w:rFonts w:cs="Arial"/>
        </w:rPr>
        <w:t>Dopady na státní rozpočet a ostatní veřejné rozpočty</w:t>
      </w:r>
    </w:p>
    <w:p w:rsidR="00A007FD" w:rsidRPr="003F755E" w:rsidP="000E6DE5" w14:paraId="315210E7" w14:textId="77777777">
      <w:pPr>
        <w:rPr>
          <w:rFonts w:cs="Arial"/>
        </w:rPr>
      </w:pPr>
      <w:r w:rsidRPr="003F755E">
        <w:rPr>
          <w:rFonts w:cs="Arial"/>
        </w:rPr>
        <w:t>Současný stav nemá dopady na státní ani veřejné rozpočty.</w:t>
      </w:r>
    </w:p>
    <w:p w:rsidR="00A007FD" w:rsidRPr="003F0645" w:rsidP="000E6DE5" w14:paraId="345F2A50" w14:textId="77777777">
      <w:pPr>
        <w:pStyle w:val="Normlntun"/>
        <w:spacing w:before="240" w:after="0" w:line="276" w:lineRule="auto"/>
        <w:rPr>
          <w:rFonts w:cs="Arial"/>
        </w:rPr>
      </w:pPr>
      <w:r w:rsidRPr="003F0645">
        <w:rPr>
          <w:rFonts w:cs="Arial"/>
        </w:rPr>
        <w:t>Dopady na podnikatelské subjekty</w:t>
      </w:r>
    </w:p>
    <w:p w:rsidR="00DB3E7D" w:rsidP="003F755E" w14:paraId="22A61470" w14:textId="6B3B01C8">
      <w:pPr>
        <w:rPr>
          <w:rFonts w:cs="Arial"/>
        </w:rPr>
      </w:pPr>
      <w:r>
        <w:rPr>
          <w:rFonts w:cs="Arial"/>
        </w:rPr>
        <w:t>U této</w:t>
      </w:r>
      <w:r w:rsidRPr="00ED38E9">
        <w:rPr>
          <w:rFonts w:cs="Arial"/>
        </w:rPr>
        <w:t xml:space="preserve"> variant</w:t>
      </w:r>
      <w:r>
        <w:rPr>
          <w:rFonts w:cs="Arial"/>
        </w:rPr>
        <w:t>y hrozí</w:t>
      </w:r>
      <w:r w:rsidRPr="00ED38E9">
        <w:rPr>
          <w:rFonts w:cs="Arial"/>
        </w:rPr>
        <w:t xml:space="preserve"> riziko špatného hospodaření</w:t>
      </w:r>
      <w:r>
        <w:rPr>
          <w:rFonts w:cs="Arial"/>
        </w:rPr>
        <w:t xml:space="preserve"> </w:t>
      </w:r>
      <w:r>
        <w:rPr>
          <w:rFonts w:cs="Arial"/>
        </w:rPr>
        <w:t>KS</w:t>
      </w:r>
      <w:r w:rsidR="00A007FD">
        <w:rPr>
          <w:rFonts w:cs="Arial"/>
        </w:rPr>
        <w:t xml:space="preserve"> s </w:t>
      </w:r>
      <w:r w:rsidRPr="002E4FB5" w:rsidR="00A007FD">
        <w:t>peněžními prostředky získanými z příspěvků výrobců</w:t>
      </w:r>
      <w:r w:rsidR="00A007FD">
        <w:rPr>
          <w:rFonts w:cs="Arial"/>
        </w:rPr>
        <w:t xml:space="preserve"> </w:t>
      </w:r>
      <w:r w:rsidRPr="00997FAA" w:rsidR="00A007FD">
        <w:t>k zajištění splnění povinností výrobců ve vztahu k vybraný</w:t>
      </w:r>
      <w:r w:rsidR="00A007FD">
        <w:t xml:space="preserve">m výrobkům, které uvedli na trh. </w:t>
      </w:r>
      <w:r w:rsidR="00A007FD">
        <w:rPr>
          <w:rFonts w:cs="Arial"/>
        </w:rPr>
        <w:t xml:space="preserve">Špatné hospodaření, včetně vedení evidencí apod. </w:t>
      </w:r>
      <w:r w:rsidRPr="00ED38E9">
        <w:rPr>
          <w:rFonts w:cs="Arial"/>
        </w:rPr>
        <w:t xml:space="preserve">nemusí být </w:t>
      </w:r>
      <w:r w:rsidR="00A007FD">
        <w:rPr>
          <w:rFonts w:cs="Arial"/>
        </w:rPr>
        <w:t xml:space="preserve">bez kontroly </w:t>
      </w:r>
      <w:r w:rsidRPr="00ED38E9">
        <w:rPr>
          <w:rFonts w:cs="Arial"/>
        </w:rPr>
        <w:t>včas odhaleno.</w:t>
      </w:r>
    </w:p>
    <w:p w:rsidR="00A007FD" w:rsidRPr="003F0645" w:rsidP="00A007FD" w14:paraId="13624279" w14:textId="77777777">
      <w:pPr>
        <w:pStyle w:val="Normlntun"/>
        <w:spacing w:before="240" w:after="0" w:line="276" w:lineRule="auto"/>
        <w:rPr>
          <w:rFonts w:cs="Arial"/>
        </w:rPr>
      </w:pPr>
      <w:r w:rsidRPr="003F0645">
        <w:rPr>
          <w:rFonts w:cs="Arial"/>
        </w:rPr>
        <w:t>Dopady na územní samosprávné celky (obce, kraje)</w:t>
      </w:r>
    </w:p>
    <w:p w:rsidR="00A007FD" w:rsidRPr="003F0645" w:rsidP="00A007FD" w14:paraId="3B9CD235" w14:textId="77777777">
      <w:pPr>
        <w:rPr>
          <w:rFonts w:cs="Arial"/>
        </w:rPr>
      </w:pPr>
      <w:r>
        <w:rPr>
          <w:rFonts w:cs="Arial"/>
        </w:rPr>
        <w:t xml:space="preserve">Současný stav nemá </w:t>
      </w:r>
      <w:r w:rsidRPr="003F0645">
        <w:rPr>
          <w:rFonts w:cs="Arial"/>
        </w:rPr>
        <w:t>dopady na obce ani kraje.</w:t>
      </w:r>
    </w:p>
    <w:p w:rsidR="00A007FD" w:rsidRPr="003F0645" w:rsidP="00A007FD" w14:paraId="0A390237" w14:textId="77777777">
      <w:pPr>
        <w:pStyle w:val="Normlntun"/>
        <w:spacing w:before="240" w:after="0" w:line="276" w:lineRule="auto"/>
        <w:rPr>
          <w:rFonts w:cs="Arial"/>
        </w:rPr>
      </w:pPr>
      <w:r w:rsidRPr="003F0645">
        <w:rPr>
          <w:rFonts w:cs="Arial"/>
        </w:rPr>
        <w:t>Sociální dopady</w:t>
      </w:r>
    </w:p>
    <w:p w:rsidR="00A007FD" w:rsidRPr="003F0645" w:rsidP="00A007FD" w14:paraId="4816ABFB" w14:textId="77777777">
      <w:pPr>
        <w:rPr>
          <w:rFonts w:cs="Arial"/>
        </w:rPr>
      </w:pPr>
      <w:r>
        <w:rPr>
          <w:rFonts w:cs="Arial"/>
        </w:rPr>
        <w:t xml:space="preserve">Současný stav nemá </w:t>
      </w:r>
      <w:r w:rsidRPr="003F0645">
        <w:rPr>
          <w:rFonts w:cs="Arial"/>
        </w:rPr>
        <w:t>dopady v sociální oblasti.</w:t>
      </w:r>
    </w:p>
    <w:p w:rsidR="00A007FD" w:rsidRPr="003F0645" w:rsidP="00A007FD" w14:paraId="28D09846" w14:textId="77777777">
      <w:pPr>
        <w:pStyle w:val="Normlntun"/>
        <w:spacing w:before="240" w:after="0" w:line="276" w:lineRule="auto"/>
        <w:rPr>
          <w:rFonts w:cs="Arial"/>
        </w:rPr>
      </w:pPr>
      <w:r w:rsidRPr="003F0645">
        <w:rPr>
          <w:rFonts w:cs="Arial"/>
        </w:rPr>
        <w:t>Dopady na životní prostředí</w:t>
      </w:r>
    </w:p>
    <w:p w:rsidR="00786FD5" w:rsidRPr="003F0645" w:rsidP="00786FD5" w14:paraId="74C58CFA" w14:textId="0CC37C9D">
      <w:pPr>
        <w:rPr>
          <w:rFonts w:cs="Arial"/>
        </w:rPr>
      </w:pPr>
      <w:r>
        <w:rPr>
          <w:rFonts w:cs="Arial"/>
        </w:rPr>
        <w:t>Současný stav může mít negativní dopady na životní prostředí. Pokud by provozovatel KS špatně hospodařil s vybranými peněžními prostředky a tyto prostředky by nebyly použity na financování ZO, hrozí riziko, že část vybraných výrobků s ukončenou životností nebude zrecyklována a bude představovat v konečném důsledku zátěž pro životní prostředí.</w:t>
      </w:r>
    </w:p>
    <w:p w:rsidR="00A007FD" w:rsidRPr="00ED38E9" w:rsidP="003F755E" w14:paraId="0D7F1A90" w14:textId="77777777">
      <w:pPr>
        <w:rPr>
          <w:rFonts w:cs="Arial"/>
        </w:rPr>
      </w:pPr>
    </w:p>
    <w:p w:rsidR="00DB3E7D" w:rsidRPr="00692CF1" w:rsidP="003C445B" w14:paraId="586AE1F4" w14:textId="77777777">
      <w:pPr>
        <w:pStyle w:val="ListParagraph"/>
        <w:keepNext/>
        <w:numPr>
          <w:ilvl w:val="0"/>
          <w:numId w:val="16"/>
        </w:numPr>
        <w:spacing w:before="240" w:after="120"/>
        <w:ind w:left="714" w:hanging="357"/>
        <w:contextualSpacing w:val="0"/>
        <w:rPr>
          <w:rFonts w:cs="Arial"/>
          <w:b/>
        </w:rPr>
      </w:pPr>
      <w:r w:rsidRPr="00692CF1">
        <w:rPr>
          <w:rFonts w:cs="Arial"/>
          <w:b/>
        </w:rPr>
        <w:t>Varianta 1</w:t>
      </w:r>
    </w:p>
    <w:p w:rsidR="00786FD5" w:rsidRPr="003F0645" w:rsidP="00B760EA" w14:paraId="026EAAE2" w14:textId="77777777">
      <w:pPr>
        <w:pStyle w:val="Normlntun"/>
        <w:spacing w:before="120" w:after="0" w:line="276" w:lineRule="auto"/>
        <w:rPr>
          <w:rFonts w:cs="Arial"/>
        </w:rPr>
      </w:pPr>
      <w:r w:rsidRPr="003F0645">
        <w:rPr>
          <w:rFonts w:cs="Arial"/>
        </w:rPr>
        <w:t>Dopady na státní rozpočet a ostatní veřejné rozpočty</w:t>
      </w:r>
    </w:p>
    <w:p w:rsidR="00786FD5" w:rsidRPr="003F755E" w:rsidP="000E6DE5" w14:paraId="6A9E42F1" w14:textId="315D13B5">
      <w:pPr>
        <w:rPr>
          <w:rFonts w:cs="Arial"/>
        </w:rPr>
      </w:pPr>
      <w:r w:rsidRPr="003F0645">
        <w:rPr>
          <w:rFonts w:cs="Arial"/>
        </w:rPr>
        <w:t>Nepředpokládáme dopady na</w:t>
      </w:r>
      <w:r>
        <w:rPr>
          <w:rFonts w:cs="Arial"/>
        </w:rPr>
        <w:t xml:space="preserve"> </w:t>
      </w:r>
      <w:r w:rsidRPr="003F755E">
        <w:rPr>
          <w:rFonts w:cs="Arial"/>
        </w:rPr>
        <w:t>státní ani veřejné rozpočty</w:t>
      </w:r>
      <w:r>
        <w:rPr>
          <w:rFonts w:cs="Arial"/>
        </w:rPr>
        <w:t>.</w:t>
      </w:r>
    </w:p>
    <w:p w:rsidR="00786FD5" w:rsidRPr="003F0645" w:rsidP="000E6DE5" w14:paraId="547B0326" w14:textId="77777777">
      <w:pPr>
        <w:pStyle w:val="Normlntun"/>
        <w:spacing w:before="240" w:after="0" w:line="276" w:lineRule="auto"/>
        <w:rPr>
          <w:rFonts w:cs="Arial"/>
        </w:rPr>
      </w:pPr>
      <w:r w:rsidRPr="003F0645">
        <w:rPr>
          <w:rFonts w:cs="Arial"/>
        </w:rPr>
        <w:t>Dopady na podnikatelské subjekty</w:t>
      </w:r>
    </w:p>
    <w:p w:rsidR="003F755E" w:rsidP="000E6DE5" w14:paraId="15E2AFEF" w14:textId="36E11CEC">
      <w:pPr>
        <w:spacing w:before="0"/>
        <w:rPr>
          <w:rFonts w:cs="Arial"/>
        </w:rPr>
      </w:pPr>
      <w:r w:rsidRPr="002E4FB5">
        <w:rPr>
          <w:rFonts w:cs="Arial"/>
        </w:rPr>
        <w:t>Provozovatel KS</w:t>
      </w:r>
      <w:r>
        <w:rPr>
          <w:rFonts w:cs="Arial"/>
        </w:rPr>
        <w:t xml:space="preserve"> bud</w:t>
      </w:r>
      <w:r w:rsidRPr="002E4FB5">
        <w:rPr>
          <w:rFonts w:cs="Arial"/>
        </w:rPr>
        <w:t>e povinen mít ověřenou řádnou nebo mimořádnou účetní závěrku</w:t>
      </w:r>
      <w:r>
        <w:rPr>
          <w:rFonts w:cs="Arial"/>
        </w:rPr>
        <w:t xml:space="preserve"> auditorem k </w:t>
      </w:r>
      <w:r w:rsidRPr="002E4FB5">
        <w:rPr>
          <w:rFonts w:cs="Arial"/>
        </w:rPr>
        <w:t>ověření správnosti a úplnost</w:t>
      </w:r>
      <w:r>
        <w:rPr>
          <w:rFonts w:cs="Arial"/>
        </w:rPr>
        <w:t>i</w:t>
      </w:r>
      <w:r w:rsidRPr="002E4FB5">
        <w:rPr>
          <w:rFonts w:cs="Arial"/>
        </w:rPr>
        <w:t xml:space="preserve"> údajů o množství výrobků uvedených na trh, vedení evidencí, množství zpětně odebraných výrobků s ukončenou životností a nakládání s nimi.</w:t>
      </w:r>
      <w:r>
        <w:rPr>
          <w:rFonts w:cs="Arial"/>
        </w:rPr>
        <w:t xml:space="preserve"> Každoroční náklady KS na </w:t>
      </w:r>
      <w:r w:rsidRPr="00ED38E9">
        <w:rPr>
          <w:rFonts w:cs="Arial"/>
        </w:rPr>
        <w:t>činnost spojenou s</w:t>
      </w:r>
      <w:r>
        <w:rPr>
          <w:rFonts w:cs="Arial"/>
        </w:rPr>
        <w:t> </w:t>
      </w:r>
      <w:r w:rsidRPr="00ED38E9">
        <w:rPr>
          <w:rFonts w:cs="Arial"/>
        </w:rPr>
        <w:t>auditem</w:t>
      </w:r>
      <w:r>
        <w:rPr>
          <w:rFonts w:cs="Arial"/>
        </w:rPr>
        <w:t xml:space="preserve"> jsou odhadovány na</w:t>
      </w:r>
      <w:r w:rsidRPr="00ED38E9">
        <w:rPr>
          <w:rFonts w:cs="Arial"/>
        </w:rPr>
        <w:t xml:space="preserve"> 100</w:t>
      </w:r>
      <w:r>
        <w:rPr>
          <w:rFonts w:cs="Arial"/>
        </w:rPr>
        <w:t xml:space="preserve"> </w:t>
      </w:r>
      <w:r w:rsidRPr="00ED38E9">
        <w:rPr>
          <w:rFonts w:cs="Arial"/>
        </w:rPr>
        <w:t>–</w:t>
      </w:r>
      <w:r>
        <w:rPr>
          <w:rFonts w:cs="Arial"/>
        </w:rPr>
        <w:t xml:space="preserve"> </w:t>
      </w:r>
      <w:r w:rsidRPr="00ED38E9">
        <w:rPr>
          <w:rFonts w:cs="Arial"/>
        </w:rPr>
        <w:t>400 tis.</w:t>
      </w:r>
      <w:r>
        <w:rPr>
          <w:rFonts w:cs="Arial"/>
        </w:rPr>
        <w:t> </w:t>
      </w:r>
      <w:r w:rsidRPr="00ED38E9">
        <w:rPr>
          <w:rFonts w:cs="Arial"/>
        </w:rPr>
        <w:t>Kč v závislosti na společnosti, která audit provádí a velikosti subjektu, který je auditován.</w:t>
      </w:r>
      <w:r w:rsidR="006A68F8">
        <w:rPr>
          <w:rFonts w:cs="Arial"/>
        </w:rPr>
        <w:t xml:space="preserve"> Přínosem je z</w:t>
      </w:r>
      <w:r w:rsidRPr="00963FAF" w:rsidR="006A68F8">
        <w:rPr>
          <w:rFonts w:cs="Arial"/>
        </w:rPr>
        <w:t xml:space="preserve">ajištění </w:t>
      </w:r>
      <w:r w:rsidR="006A68F8">
        <w:rPr>
          <w:rFonts w:cs="Arial"/>
        </w:rPr>
        <w:t xml:space="preserve">kontroly řádného nakládání KS s </w:t>
      </w:r>
      <w:r w:rsidR="006A68F8">
        <w:t>příspěvky</w:t>
      </w:r>
      <w:r w:rsidRPr="002E4FB5" w:rsidR="006A68F8">
        <w:t xml:space="preserve"> výrobců</w:t>
      </w:r>
      <w:r w:rsidR="006A68F8">
        <w:rPr>
          <w:rFonts w:cs="Arial"/>
        </w:rPr>
        <w:t xml:space="preserve"> vybranými </w:t>
      </w:r>
      <w:r w:rsidRPr="00997FAA" w:rsidR="006A68F8">
        <w:t>k zajištění splnění povinností výrobců ve vztahu k vybraný</w:t>
      </w:r>
      <w:r w:rsidR="006A68F8">
        <w:t>m výrobkům, aby tyto</w:t>
      </w:r>
      <w:r w:rsidR="006A68F8">
        <w:rPr>
          <w:rFonts w:cs="Arial"/>
        </w:rPr>
        <w:t xml:space="preserve"> peněžními prostředky byly použity na financování ZO vybraných výrobků s ukončenou životností.</w:t>
      </w:r>
    </w:p>
    <w:p w:rsidR="00786FD5" w:rsidRPr="003F0645" w:rsidP="00786FD5" w14:paraId="1D55BF4C" w14:textId="50C62603">
      <w:pPr>
        <w:pStyle w:val="Normlntun"/>
        <w:spacing w:before="240" w:after="0" w:line="276" w:lineRule="auto"/>
        <w:rPr>
          <w:rFonts w:cs="Arial"/>
        </w:rPr>
      </w:pPr>
      <w:r w:rsidRPr="003F0645">
        <w:rPr>
          <w:rFonts w:cs="Arial"/>
        </w:rPr>
        <w:t>Dopady na územní samosprávné celky (obce, kraje)</w:t>
      </w:r>
    </w:p>
    <w:p w:rsidR="00786FD5" w:rsidRPr="003F0645" w:rsidP="00786FD5" w14:paraId="7D9877FC" w14:textId="77777777">
      <w:pPr>
        <w:rPr>
          <w:rFonts w:cs="Arial"/>
        </w:rPr>
      </w:pPr>
      <w:r w:rsidRPr="003F0645">
        <w:rPr>
          <w:rFonts w:cs="Arial"/>
        </w:rPr>
        <w:t>Nepředpokládáme dopady na obce ani kraje.</w:t>
      </w:r>
    </w:p>
    <w:p w:rsidR="00786FD5" w:rsidRPr="003F0645" w:rsidP="00786FD5" w14:paraId="5D3FF349" w14:textId="77777777">
      <w:pPr>
        <w:pStyle w:val="Normlntun"/>
        <w:spacing w:before="240" w:after="0" w:line="276" w:lineRule="auto"/>
        <w:rPr>
          <w:rFonts w:cs="Arial"/>
        </w:rPr>
      </w:pPr>
      <w:r w:rsidRPr="003F0645">
        <w:rPr>
          <w:rFonts w:cs="Arial"/>
        </w:rPr>
        <w:t>Sociální dopady</w:t>
      </w:r>
    </w:p>
    <w:p w:rsidR="00786FD5" w:rsidRPr="003F0645" w:rsidP="00786FD5" w14:paraId="7965115B" w14:textId="77777777">
      <w:pPr>
        <w:rPr>
          <w:rFonts w:cs="Arial"/>
        </w:rPr>
      </w:pPr>
      <w:r w:rsidRPr="003F0645">
        <w:rPr>
          <w:rFonts w:cs="Arial"/>
        </w:rPr>
        <w:t>Nepředpokládáme sociální dopady.</w:t>
      </w:r>
    </w:p>
    <w:p w:rsidR="00786FD5" w:rsidRPr="003F0645" w:rsidP="00786FD5" w14:paraId="3557C818" w14:textId="77777777">
      <w:pPr>
        <w:pStyle w:val="Normlntun"/>
        <w:spacing w:before="240" w:after="0" w:line="276" w:lineRule="auto"/>
        <w:rPr>
          <w:rFonts w:cs="Arial"/>
        </w:rPr>
      </w:pPr>
      <w:r w:rsidRPr="003F0645">
        <w:rPr>
          <w:rFonts w:cs="Arial"/>
        </w:rPr>
        <w:t>Dopady na životní prostředí</w:t>
      </w:r>
    </w:p>
    <w:p w:rsidR="00786FD5" w:rsidP="00786FD5" w14:paraId="03A41A43" w14:textId="791A9CDD">
      <w:pPr>
        <w:rPr>
          <w:color w:val="000000"/>
        </w:rPr>
      </w:pPr>
      <w:r w:rsidRPr="00963FAF">
        <w:rPr>
          <w:rFonts w:cs="Arial"/>
        </w:rPr>
        <w:t xml:space="preserve">Zajištění </w:t>
      </w:r>
      <w:r>
        <w:rPr>
          <w:rFonts w:cs="Arial"/>
        </w:rPr>
        <w:t>kontroly řádného nakládání s vybranými peněžními prostředky</w:t>
      </w:r>
      <w:r w:rsidRPr="00963FAF">
        <w:rPr>
          <w:rFonts w:cs="Arial"/>
        </w:rPr>
        <w:t xml:space="preserve"> </w:t>
      </w:r>
      <w:r>
        <w:rPr>
          <w:rFonts w:cs="Arial"/>
        </w:rPr>
        <w:t>bude mít pozitivní dopad</w:t>
      </w:r>
      <w:r w:rsidRPr="00963FAF">
        <w:rPr>
          <w:rFonts w:cs="Arial"/>
        </w:rPr>
        <w:t xml:space="preserve"> na ŽP, neboť se </w:t>
      </w:r>
      <w:r>
        <w:rPr>
          <w:rFonts w:cs="Arial"/>
        </w:rPr>
        <w:t xml:space="preserve">tím </w:t>
      </w:r>
      <w:r w:rsidRPr="00CA6B68">
        <w:rPr>
          <w:color w:val="000000"/>
        </w:rPr>
        <w:t>snižuje riziko</w:t>
      </w:r>
      <w:r>
        <w:rPr>
          <w:rFonts w:cs="Arial"/>
        </w:rPr>
        <w:t xml:space="preserve"> kontaminace životního prostředí </w:t>
      </w:r>
      <w:r w:rsidRPr="00CA6B68">
        <w:rPr>
          <w:color w:val="000000"/>
        </w:rPr>
        <w:t>nebezpečný</w:t>
      </w:r>
      <w:r>
        <w:rPr>
          <w:color w:val="000000"/>
        </w:rPr>
        <w:t>mi</w:t>
      </w:r>
      <w:r w:rsidRPr="00CA6B68">
        <w:rPr>
          <w:color w:val="000000"/>
        </w:rPr>
        <w:t xml:space="preserve"> látk</w:t>
      </w:r>
      <w:r>
        <w:rPr>
          <w:color w:val="000000"/>
        </w:rPr>
        <w:t>ami</w:t>
      </w:r>
      <w:r w:rsidRPr="00CA6B68">
        <w:rPr>
          <w:color w:val="000000"/>
        </w:rPr>
        <w:t xml:space="preserve"> obsažený</w:t>
      </w:r>
      <w:r>
        <w:rPr>
          <w:color w:val="000000"/>
        </w:rPr>
        <w:t xml:space="preserve">mi ve vybraných výrobcích s ukončenou životností </w:t>
      </w:r>
      <w:r w:rsidRPr="00CA6B68">
        <w:rPr>
          <w:color w:val="000000"/>
        </w:rPr>
        <w:t>při ne</w:t>
      </w:r>
      <w:r w:rsidRPr="00963FAF">
        <w:rPr>
          <w:rFonts w:cs="Arial"/>
        </w:rPr>
        <w:t xml:space="preserve">správném nakládání s  </w:t>
      </w:r>
      <w:r>
        <w:rPr>
          <w:rFonts w:cs="Arial"/>
        </w:rPr>
        <w:t>nimi</w:t>
      </w:r>
      <w:r w:rsidRPr="00963FAF">
        <w:rPr>
          <w:rFonts w:cs="Arial"/>
        </w:rPr>
        <w:t>.</w:t>
      </w:r>
    </w:p>
    <w:p w:rsidR="00D94213" w:rsidP="00B760EA" w14:paraId="52211BDC" w14:textId="77777777"/>
    <w:p w:rsidR="00DB3E7D" w:rsidRPr="00ED38E9" w:rsidP="00BF16B7" w14:paraId="207317DF" w14:textId="77777777">
      <w:pPr>
        <w:pStyle w:val="Heading3"/>
      </w:pPr>
      <w:r w:rsidRPr="00ED38E9">
        <w:t>Vyhodnocení nákladů a přínosů variant</w:t>
      </w:r>
    </w:p>
    <w:p w:rsidR="00786FD5" w:rsidRPr="003F0645" w:rsidP="00786FD5" w14:paraId="79040A5D" w14:textId="40301482">
      <w:pPr>
        <w:keepNext/>
        <w:spacing w:after="120"/>
        <w:rPr>
          <w:b/>
          <w:spacing w:val="10"/>
          <w:sz w:val="20"/>
          <w:szCs w:val="20"/>
        </w:rPr>
      </w:pPr>
      <w:r>
        <w:rPr>
          <w:b/>
          <w:spacing w:val="10"/>
          <w:sz w:val="20"/>
          <w:szCs w:val="20"/>
        </w:rPr>
        <w:t xml:space="preserve">Tabulka </w:t>
      </w:r>
      <w:r w:rsidR="003F755E">
        <w:rPr>
          <w:b/>
          <w:spacing w:val="10"/>
          <w:sz w:val="20"/>
          <w:szCs w:val="20"/>
        </w:rPr>
        <w:t>20</w:t>
      </w:r>
      <w:r w:rsidRPr="003F0645">
        <w:rPr>
          <w:b/>
          <w:spacing w:val="10"/>
          <w:sz w:val="20"/>
          <w:szCs w:val="20"/>
        </w:rPr>
        <w:t>: Porovnání přínosů a nákladů</w:t>
      </w:r>
    </w:p>
    <w:tbl>
      <w:tblPr>
        <w:tblStyle w:val="TableGrid"/>
        <w:tblW w:w="0" w:type="auto"/>
        <w:tblLook w:val="04A0"/>
      </w:tblPr>
      <w:tblGrid>
        <w:gridCol w:w="1250"/>
        <w:gridCol w:w="2509"/>
        <w:gridCol w:w="1250"/>
        <w:gridCol w:w="2787"/>
        <w:gridCol w:w="1250"/>
      </w:tblGrid>
      <w:tr w14:paraId="1042F408" w14:textId="77777777" w:rsidTr="00F37472">
        <w:tblPrEx>
          <w:tblW w:w="0" w:type="auto"/>
          <w:tblLook w:val="04A0"/>
        </w:tblPrEx>
        <w:trPr>
          <w:trHeight w:val="454"/>
        </w:trPr>
        <w:tc>
          <w:tcPr>
            <w:tcW w:w="1250" w:type="dxa"/>
            <w:noWrap/>
            <w:vAlign w:val="center"/>
            <w:hideMark/>
          </w:tcPr>
          <w:p w:rsidR="00786FD5" w:rsidRPr="003F0645" w:rsidP="003F755E" w14:paraId="2B0E900A" w14:textId="77777777">
            <w:pPr>
              <w:keepNext/>
              <w:spacing w:before="0" w:after="0"/>
              <w:jc w:val="center"/>
              <w:rPr>
                <w:b/>
                <w:bCs/>
                <w:sz w:val="20"/>
                <w:szCs w:val="20"/>
              </w:rPr>
            </w:pPr>
            <w:r w:rsidRPr="003F0645">
              <w:rPr>
                <w:b/>
                <w:bCs/>
                <w:sz w:val="20"/>
                <w:szCs w:val="20"/>
              </w:rPr>
              <w:t>Varianta</w:t>
            </w:r>
          </w:p>
        </w:tc>
        <w:tc>
          <w:tcPr>
            <w:tcW w:w="2509" w:type="dxa"/>
            <w:noWrap/>
            <w:vAlign w:val="center"/>
            <w:hideMark/>
          </w:tcPr>
          <w:p w:rsidR="00786FD5" w:rsidRPr="003F0645" w:rsidP="003F755E" w14:paraId="68B8AC04" w14:textId="77777777">
            <w:pPr>
              <w:keepNext/>
              <w:spacing w:before="0" w:after="0"/>
              <w:jc w:val="center"/>
              <w:rPr>
                <w:b/>
                <w:bCs/>
                <w:sz w:val="20"/>
                <w:szCs w:val="20"/>
              </w:rPr>
            </w:pPr>
            <w:r w:rsidRPr="003F0645">
              <w:rPr>
                <w:b/>
                <w:bCs/>
                <w:sz w:val="20"/>
                <w:szCs w:val="20"/>
              </w:rPr>
              <w:t>Přínosy</w:t>
            </w:r>
          </w:p>
        </w:tc>
        <w:tc>
          <w:tcPr>
            <w:tcW w:w="1230" w:type="dxa"/>
            <w:noWrap/>
            <w:vAlign w:val="center"/>
            <w:hideMark/>
          </w:tcPr>
          <w:p w:rsidR="00786FD5" w:rsidRPr="003F0645" w:rsidP="003F755E" w14:paraId="0FAC143C" w14:textId="77777777">
            <w:pPr>
              <w:keepNext/>
              <w:spacing w:before="0" w:after="0"/>
              <w:jc w:val="center"/>
              <w:rPr>
                <w:b/>
                <w:bCs/>
                <w:sz w:val="20"/>
                <w:szCs w:val="20"/>
              </w:rPr>
            </w:pPr>
            <w:r w:rsidRPr="003F0645">
              <w:rPr>
                <w:b/>
                <w:bCs/>
                <w:sz w:val="20"/>
                <w:szCs w:val="20"/>
              </w:rPr>
              <w:t>Hodnocení</w:t>
            </w:r>
          </w:p>
        </w:tc>
        <w:tc>
          <w:tcPr>
            <w:tcW w:w="2787" w:type="dxa"/>
            <w:noWrap/>
            <w:vAlign w:val="center"/>
            <w:hideMark/>
          </w:tcPr>
          <w:p w:rsidR="00786FD5" w:rsidRPr="003F0645" w:rsidP="003F755E" w14:paraId="57910229" w14:textId="77777777">
            <w:pPr>
              <w:keepNext/>
              <w:spacing w:before="0" w:after="0"/>
              <w:jc w:val="center"/>
              <w:rPr>
                <w:b/>
                <w:bCs/>
                <w:sz w:val="20"/>
                <w:szCs w:val="20"/>
              </w:rPr>
            </w:pPr>
            <w:r w:rsidRPr="003F0645">
              <w:rPr>
                <w:b/>
                <w:bCs/>
                <w:sz w:val="20"/>
                <w:szCs w:val="20"/>
              </w:rPr>
              <w:t>Náklady</w:t>
            </w:r>
          </w:p>
        </w:tc>
        <w:tc>
          <w:tcPr>
            <w:tcW w:w="1238" w:type="dxa"/>
            <w:noWrap/>
            <w:vAlign w:val="center"/>
            <w:hideMark/>
          </w:tcPr>
          <w:p w:rsidR="00786FD5" w:rsidRPr="003F0645" w:rsidP="003F755E" w14:paraId="710CB9DB" w14:textId="77777777">
            <w:pPr>
              <w:keepNext/>
              <w:spacing w:before="0" w:after="0"/>
              <w:jc w:val="center"/>
              <w:rPr>
                <w:b/>
                <w:bCs/>
                <w:sz w:val="20"/>
                <w:szCs w:val="20"/>
              </w:rPr>
            </w:pPr>
            <w:r w:rsidRPr="003F0645">
              <w:rPr>
                <w:b/>
                <w:bCs/>
                <w:sz w:val="20"/>
                <w:szCs w:val="20"/>
              </w:rPr>
              <w:t>Hodnocení</w:t>
            </w:r>
          </w:p>
        </w:tc>
      </w:tr>
      <w:tr w14:paraId="713DCC9B" w14:textId="77777777" w:rsidTr="00F37472">
        <w:tblPrEx>
          <w:tblW w:w="0" w:type="auto"/>
          <w:tblLook w:val="04A0"/>
        </w:tblPrEx>
        <w:trPr>
          <w:trHeight w:val="504"/>
        </w:trPr>
        <w:tc>
          <w:tcPr>
            <w:tcW w:w="1250" w:type="dxa"/>
            <w:vMerge w:val="restart"/>
            <w:noWrap/>
            <w:vAlign w:val="center"/>
            <w:hideMark/>
          </w:tcPr>
          <w:p w:rsidR="00786FD5" w:rsidRPr="003F0645" w:rsidP="003F755E" w14:paraId="739898EA" w14:textId="77777777">
            <w:pPr>
              <w:keepNext/>
              <w:spacing w:before="0" w:after="0"/>
              <w:jc w:val="center"/>
              <w:rPr>
                <w:b/>
                <w:bCs/>
                <w:sz w:val="20"/>
                <w:szCs w:val="20"/>
              </w:rPr>
            </w:pPr>
            <w:r w:rsidRPr="003F0645">
              <w:rPr>
                <w:b/>
                <w:bCs/>
                <w:sz w:val="20"/>
                <w:szCs w:val="20"/>
              </w:rPr>
              <w:t>Varianta 0</w:t>
            </w:r>
          </w:p>
        </w:tc>
        <w:tc>
          <w:tcPr>
            <w:tcW w:w="7766" w:type="dxa"/>
            <w:gridSpan w:val="4"/>
            <w:vAlign w:val="center"/>
            <w:hideMark/>
          </w:tcPr>
          <w:p w:rsidR="00786FD5" w:rsidRPr="003F0645" w:rsidP="003F755E" w14:paraId="402F4A2F" w14:textId="77777777">
            <w:pPr>
              <w:keepNext/>
              <w:spacing w:before="0" w:after="0"/>
              <w:jc w:val="center"/>
              <w:rPr>
                <w:b/>
                <w:bCs/>
                <w:sz w:val="20"/>
                <w:szCs w:val="20"/>
              </w:rPr>
            </w:pPr>
            <w:r w:rsidRPr="003F0645">
              <w:rPr>
                <w:b/>
                <w:bCs/>
                <w:sz w:val="20"/>
                <w:szCs w:val="20"/>
              </w:rPr>
              <w:t>Státní rozpočet a ostatní veřejné rozpočty</w:t>
            </w:r>
          </w:p>
        </w:tc>
      </w:tr>
      <w:tr w14:paraId="56C29FC7" w14:textId="77777777" w:rsidTr="00F37472">
        <w:tblPrEx>
          <w:tblW w:w="0" w:type="auto"/>
          <w:tblLook w:val="04A0"/>
        </w:tblPrEx>
        <w:trPr>
          <w:trHeight w:val="497"/>
        </w:trPr>
        <w:tc>
          <w:tcPr>
            <w:tcW w:w="1250" w:type="dxa"/>
            <w:vMerge/>
            <w:vAlign w:val="center"/>
            <w:hideMark/>
          </w:tcPr>
          <w:p w:rsidR="00786FD5" w:rsidRPr="003F0645" w:rsidP="003F755E" w14:paraId="6ADF46D9" w14:textId="77777777">
            <w:pPr>
              <w:spacing w:before="0" w:after="0"/>
              <w:jc w:val="center"/>
              <w:rPr>
                <w:b/>
                <w:bCs/>
                <w:sz w:val="20"/>
                <w:szCs w:val="20"/>
              </w:rPr>
            </w:pPr>
          </w:p>
        </w:tc>
        <w:tc>
          <w:tcPr>
            <w:tcW w:w="2509" w:type="dxa"/>
            <w:vAlign w:val="center"/>
            <w:hideMark/>
          </w:tcPr>
          <w:p w:rsidR="00786FD5" w:rsidRPr="003F0645" w:rsidP="003F755E" w14:paraId="12ADEC72" w14:textId="77777777">
            <w:pPr>
              <w:spacing w:before="0" w:after="0"/>
              <w:jc w:val="center"/>
              <w:rPr>
                <w:sz w:val="20"/>
                <w:szCs w:val="20"/>
              </w:rPr>
            </w:pPr>
            <w:r>
              <w:rPr>
                <w:sz w:val="20"/>
                <w:szCs w:val="20"/>
              </w:rPr>
              <w:t>-</w:t>
            </w:r>
          </w:p>
        </w:tc>
        <w:tc>
          <w:tcPr>
            <w:tcW w:w="1230" w:type="dxa"/>
            <w:vAlign w:val="center"/>
            <w:hideMark/>
          </w:tcPr>
          <w:p w:rsidR="00786FD5" w:rsidRPr="003F0645" w:rsidP="003F755E" w14:paraId="35547D66" w14:textId="77777777">
            <w:pPr>
              <w:spacing w:before="0" w:after="0"/>
              <w:jc w:val="center"/>
              <w:rPr>
                <w:sz w:val="20"/>
                <w:szCs w:val="20"/>
              </w:rPr>
            </w:pPr>
            <w:r>
              <w:rPr>
                <w:sz w:val="20"/>
                <w:szCs w:val="20"/>
              </w:rPr>
              <w:t>-</w:t>
            </w:r>
          </w:p>
        </w:tc>
        <w:tc>
          <w:tcPr>
            <w:tcW w:w="2787" w:type="dxa"/>
            <w:vAlign w:val="center"/>
          </w:tcPr>
          <w:p w:rsidR="00786FD5" w:rsidRPr="003F0645" w:rsidP="003F755E" w14:paraId="055B7D70" w14:textId="77777777">
            <w:pPr>
              <w:spacing w:before="0" w:after="0"/>
              <w:jc w:val="center"/>
              <w:rPr>
                <w:sz w:val="20"/>
                <w:szCs w:val="20"/>
              </w:rPr>
            </w:pPr>
            <w:r>
              <w:rPr>
                <w:sz w:val="20"/>
                <w:szCs w:val="20"/>
              </w:rPr>
              <w:t>-</w:t>
            </w:r>
          </w:p>
        </w:tc>
        <w:tc>
          <w:tcPr>
            <w:tcW w:w="1238" w:type="dxa"/>
            <w:vAlign w:val="center"/>
          </w:tcPr>
          <w:p w:rsidR="00786FD5" w:rsidRPr="003F0645" w:rsidP="003F755E" w14:paraId="21E7DAD3" w14:textId="77777777">
            <w:pPr>
              <w:spacing w:before="0" w:after="0"/>
              <w:jc w:val="center"/>
              <w:rPr>
                <w:sz w:val="20"/>
                <w:szCs w:val="20"/>
              </w:rPr>
            </w:pPr>
            <w:r>
              <w:rPr>
                <w:sz w:val="20"/>
                <w:szCs w:val="20"/>
              </w:rPr>
              <w:t>-</w:t>
            </w:r>
          </w:p>
        </w:tc>
      </w:tr>
      <w:tr w14:paraId="33663311" w14:textId="77777777" w:rsidTr="00F37472">
        <w:tblPrEx>
          <w:tblW w:w="0" w:type="auto"/>
          <w:tblLook w:val="04A0"/>
        </w:tblPrEx>
        <w:trPr>
          <w:trHeight w:val="504"/>
        </w:trPr>
        <w:tc>
          <w:tcPr>
            <w:tcW w:w="1250" w:type="dxa"/>
            <w:vMerge/>
            <w:vAlign w:val="center"/>
            <w:hideMark/>
          </w:tcPr>
          <w:p w:rsidR="00786FD5" w:rsidRPr="003F0645" w:rsidP="003F755E" w14:paraId="037867F1" w14:textId="77777777">
            <w:pPr>
              <w:spacing w:before="0" w:after="0"/>
              <w:jc w:val="center"/>
              <w:rPr>
                <w:b/>
                <w:bCs/>
                <w:sz w:val="20"/>
                <w:szCs w:val="20"/>
              </w:rPr>
            </w:pPr>
          </w:p>
        </w:tc>
        <w:tc>
          <w:tcPr>
            <w:tcW w:w="7766" w:type="dxa"/>
            <w:gridSpan w:val="4"/>
            <w:vAlign w:val="center"/>
            <w:hideMark/>
          </w:tcPr>
          <w:p w:rsidR="00786FD5" w:rsidRPr="003F0645" w:rsidP="003F755E" w14:paraId="3D384970" w14:textId="77777777">
            <w:pPr>
              <w:spacing w:before="0" w:after="0"/>
              <w:jc w:val="center"/>
              <w:rPr>
                <w:b/>
                <w:bCs/>
                <w:sz w:val="20"/>
                <w:szCs w:val="20"/>
              </w:rPr>
            </w:pPr>
            <w:r w:rsidRPr="003F0645">
              <w:rPr>
                <w:b/>
                <w:bCs/>
                <w:sz w:val="20"/>
                <w:szCs w:val="20"/>
              </w:rPr>
              <w:t>Podnikatelské subjekty</w:t>
            </w:r>
          </w:p>
        </w:tc>
      </w:tr>
      <w:tr w14:paraId="5BD57C6B" w14:textId="77777777" w:rsidTr="00F37472">
        <w:tblPrEx>
          <w:tblW w:w="0" w:type="auto"/>
          <w:tblLook w:val="04A0"/>
        </w:tblPrEx>
        <w:trPr>
          <w:trHeight w:val="900"/>
        </w:trPr>
        <w:tc>
          <w:tcPr>
            <w:tcW w:w="1250" w:type="dxa"/>
            <w:vMerge/>
            <w:vAlign w:val="center"/>
          </w:tcPr>
          <w:p w:rsidR="00786FD5" w:rsidRPr="003F0645" w:rsidP="003F755E" w14:paraId="72C1E3CC" w14:textId="77777777">
            <w:pPr>
              <w:spacing w:before="0" w:after="0"/>
              <w:jc w:val="center"/>
              <w:rPr>
                <w:b/>
                <w:bCs/>
                <w:sz w:val="20"/>
                <w:szCs w:val="20"/>
              </w:rPr>
            </w:pPr>
          </w:p>
        </w:tc>
        <w:tc>
          <w:tcPr>
            <w:tcW w:w="2509" w:type="dxa"/>
            <w:vAlign w:val="center"/>
          </w:tcPr>
          <w:p w:rsidR="00786FD5" w:rsidP="003F755E" w14:paraId="134CF409" w14:textId="02B3C0E6">
            <w:pPr>
              <w:spacing w:before="0" w:after="0"/>
              <w:rPr>
                <w:sz w:val="20"/>
                <w:szCs w:val="20"/>
              </w:rPr>
            </w:pPr>
            <w:r>
              <w:rPr>
                <w:sz w:val="20"/>
                <w:szCs w:val="20"/>
              </w:rPr>
              <w:t>KS – nemají povinnost auditu účetní uzávěrky</w:t>
            </w:r>
          </w:p>
        </w:tc>
        <w:tc>
          <w:tcPr>
            <w:tcW w:w="1230" w:type="dxa"/>
            <w:noWrap/>
            <w:vAlign w:val="center"/>
          </w:tcPr>
          <w:p w:rsidR="00786FD5" w:rsidP="003F755E" w14:paraId="0A3AB88B" w14:textId="74E3832F">
            <w:pPr>
              <w:spacing w:before="0" w:after="0"/>
              <w:jc w:val="center"/>
              <w:rPr>
                <w:sz w:val="20"/>
                <w:szCs w:val="20"/>
              </w:rPr>
            </w:pPr>
            <w:r>
              <w:rPr>
                <w:sz w:val="20"/>
                <w:szCs w:val="20"/>
              </w:rPr>
              <w:t>***</w:t>
            </w:r>
          </w:p>
        </w:tc>
        <w:tc>
          <w:tcPr>
            <w:tcW w:w="2787" w:type="dxa"/>
            <w:vAlign w:val="center"/>
          </w:tcPr>
          <w:p w:rsidR="00786FD5" w:rsidRPr="003F0645" w:rsidP="003F755E" w14:paraId="09C6539D" w14:textId="3E421367">
            <w:pPr>
              <w:spacing w:before="0" w:after="0"/>
              <w:jc w:val="center"/>
              <w:rPr>
                <w:rFonts w:cs="Arial"/>
                <w:sz w:val="20"/>
                <w:szCs w:val="20"/>
              </w:rPr>
            </w:pPr>
            <w:r>
              <w:rPr>
                <w:rFonts w:cs="Arial"/>
                <w:sz w:val="20"/>
                <w:szCs w:val="20"/>
              </w:rPr>
              <w:t>Riziko špatného hospodaření s peněžními prostředky</w:t>
            </w:r>
          </w:p>
        </w:tc>
        <w:tc>
          <w:tcPr>
            <w:tcW w:w="1238" w:type="dxa"/>
            <w:noWrap/>
            <w:vAlign w:val="center"/>
          </w:tcPr>
          <w:p w:rsidR="00786FD5" w:rsidRPr="003F0645" w:rsidP="003F755E" w14:paraId="18825A78" w14:textId="7B97429D">
            <w:pPr>
              <w:spacing w:before="0" w:after="0"/>
              <w:jc w:val="center"/>
              <w:rPr>
                <w:sz w:val="20"/>
                <w:szCs w:val="20"/>
              </w:rPr>
            </w:pPr>
            <w:r>
              <w:rPr>
                <w:sz w:val="20"/>
                <w:szCs w:val="20"/>
              </w:rPr>
              <w:t>****</w:t>
            </w:r>
          </w:p>
        </w:tc>
      </w:tr>
      <w:tr w14:paraId="1B0036E6" w14:textId="77777777" w:rsidTr="00F37472">
        <w:tblPrEx>
          <w:tblW w:w="0" w:type="auto"/>
          <w:tblLook w:val="04A0"/>
        </w:tblPrEx>
        <w:trPr>
          <w:trHeight w:val="424"/>
        </w:trPr>
        <w:tc>
          <w:tcPr>
            <w:tcW w:w="1250" w:type="dxa"/>
            <w:vMerge/>
            <w:vAlign w:val="center"/>
          </w:tcPr>
          <w:p w:rsidR="00786FD5" w:rsidRPr="003F0645" w:rsidP="003F755E" w14:paraId="2F0B8F05" w14:textId="77777777">
            <w:pPr>
              <w:spacing w:before="0" w:after="0"/>
              <w:jc w:val="center"/>
              <w:rPr>
                <w:b/>
                <w:bCs/>
                <w:sz w:val="20"/>
                <w:szCs w:val="20"/>
              </w:rPr>
            </w:pPr>
          </w:p>
        </w:tc>
        <w:tc>
          <w:tcPr>
            <w:tcW w:w="7766" w:type="dxa"/>
            <w:gridSpan w:val="4"/>
            <w:vAlign w:val="center"/>
          </w:tcPr>
          <w:p w:rsidR="00786FD5" w:rsidRPr="003F0645" w:rsidP="003F755E" w14:paraId="697A7C52" w14:textId="77777777">
            <w:pPr>
              <w:spacing w:before="0" w:after="0"/>
              <w:jc w:val="center"/>
              <w:rPr>
                <w:sz w:val="20"/>
                <w:szCs w:val="20"/>
              </w:rPr>
            </w:pPr>
            <w:r w:rsidRPr="003F0645">
              <w:rPr>
                <w:b/>
                <w:bCs/>
                <w:sz w:val="20"/>
                <w:szCs w:val="20"/>
              </w:rPr>
              <w:t>Územní samosprávné celky (obce, kraje)</w:t>
            </w:r>
          </w:p>
        </w:tc>
      </w:tr>
      <w:tr w14:paraId="29A4EE5C" w14:textId="77777777" w:rsidTr="00F37472">
        <w:tblPrEx>
          <w:tblW w:w="0" w:type="auto"/>
          <w:tblLook w:val="04A0"/>
        </w:tblPrEx>
        <w:trPr>
          <w:trHeight w:val="416"/>
        </w:trPr>
        <w:tc>
          <w:tcPr>
            <w:tcW w:w="1250" w:type="dxa"/>
            <w:vMerge/>
            <w:vAlign w:val="center"/>
          </w:tcPr>
          <w:p w:rsidR="00786FD5" w:rsidRPr="003F0645" w:rsidP="003F755E" w14:paraId="7246D89D" w14:textId="77777777">
            <w:pPr>
              <w:spacing w:before="0" w:after="0"/>
              <w:jc w:val="center"/>
              <w:rPr>
                <w:b/>
                <w:bCs/>
                <w:sz w:val="20"/>
                <w:szCs w:val="20"/>
              </w:rPr>
            </w:pPr>
          </w:p>
        </w:tc>
        <w:tc>
          <w:tcPr>
            <w:tcW w:w="2509" w:type="dxa"/>
            <w:vAlign w:val="center"/>
          </w:tcPr>
          <w:p w:rsidR="00786FD5" w:rsidRPr="003F0645" w:rsidP="003F755E" w14:paraId="22F0EEAE" w14:textId="77777777">
            <w:pPr>
              <w:spacing w:before="0" w:after="0"/>
              <w:jc w:val="center"/>
              <w:rPr>
                <w:sz w:val="20"/>
                <w:szCs w:val="20"/>
              </w:rPr>
            </w:pPr>
            <w:r w:rsidRPr="003F0645">
              <w:rPr>
                <w:sz w:val="20"/>
                <w:szCs w:val="20"/>
              </w:rPr>
              <w:t>-</w:t>
            </w:r>
          </w:p>
        </w:tc>
        <w:tc>
          <w:tcPr>
            <w:tcW w:w="1230" w:type="dxa"/>
            <w:noWrap/>
            <w:vAlign w:val="center"/>
          </w:tcPr>
          <w:p w:rsidR="00786FD5" w:rsidRPr="003F0645" w:rsidP="003F755E" w14:paraId="10015591" w14:textId="77777777">
            <w:pPr>
              <w:spacing w:before="0" w:after="0"/>
              <w:jc w:val="center"/>
              <w:rPr>
                <w:sz w:val="20"/>
                <w:szCs w:val="20"/>
              </w:rPr>
            </w:pPr>
            <w:r w:rsidRPr="003F0645">
              <w:rPr>
                <w:sz w:val="20"/>
                <w:szCs w:val="20"/>
              </w:rPr>
              <w:t>-</w:t>
            </w:r>
          </w:p>
        </w:tc>
        <w:tc>
          <w:tcPr>
            <w:tcW w:w="2787" w:type="dxa"/>
            <w:vAlign w:val="center"/>
          </w:tcPr>
          <w:p w:rsidR="00786FD5" w:rsidRPr="003F0645" w:rsidP="003F755E" w14:paraId="1E3C52AD" w14:textId="77777777">
            <w:pPr>
              <w:spacing w:before="0" w:after="0"/>
              <w:jc w:val="center"/>
              <w:rPr>
                <w:sz w:val="20"/>
                <w:szCs w:val="20"/>
              </w:rPr>
            </w:pPr>
            <w:r w:rsidRPr="003F0645">
              <w:rPr>
                <w:sz w:val="20"/>
                <w:szCs w:val="20"/>
              </w:rPr>
              <w:t>-</w:t>
            </w:r>
          </w:p>
        </w:tc>
        <w:tc>
          <w:tcPr>
            <w:tcW w:w="1238" w:type="dxa"/>
            <w:noWrap/>
            <w:vAlign w:val="center"/>
          </w:tcPr>
          <w:p w:rsidR="00786FD5" w:rsidRPr="003F0645" w:rsidP="003F755E" w14:paraId="0B3C76C4" w14:textId="77777777">
            <w:pPr>
              <w:spacing w:before="0" w:after="0"/>
              <w:jc w:val="center"/>
              <w:rPr>
                <w:sz w:val="20"/>
                <w:szCs w:val="20"/>
              </w:rPr>
            </w:pPr>
            <w:r w:rsidRPr="003F0645">
              <w:rPr>
                <w:sz w:val="20"/>
                <w:szCs w:val="20"/>
              </w:rPr>
              <w:t>-</w:t>
            </w:r>
          </w:p>
        </w:tc>
      </w:tr>
      <w:tr w14:paraId="239A28B7" w14:textId="77777777" w:rsidTr="00F37472">
        <w:tblPrEx>
          <w:tblW w:w="0" w:type="auto"/>
          <w:tblLook w:val="04A0"/>
        </w:tblPrEx>
        <w:trPr>
          <w:trHeight w:val="422"/>
        </w:trPr>
        <w:tc>
          <w:tcPr>
            <w:tcW w:w="1250" w:type="dxa"/>
            <w:vMerge/>
            <w:vAlign w:val="center"/>
          </w:tcPr>
          <w:p w:rsidR="00786FD5" w:rsidRPr="003F0645" w:rsidP="003F755E" w14:paraId="3758F8E5" w14:textId="77777777">
            <w:pPr>
              <w:spacing w:before="0" w:after="0"/>
              <w:jc w:val="center"/>
              <w:rPr>
                <w:b/>
                <w:bCs/>
                <w:sz w:val="20"/>
                <w:szCs w:val="20"/>
              </w:rPr>
            </w:pPr>
          </w:p>
        </w:tc>
        <w:tc>
          <w:tcPr>
            <w:tcW w:w="7766" w:type="dxa"/>
            <w:gridSpan w:val="4"/>
            <w:vAlign w:val="center"/>
          </w:tcPr>
          <w:p w:rsidR="00786FD5" w:rsidRPr="003F0645" w:rsidP="003F755E" w14:paraId="6B5128E1" w14:textId="77777777">
            <w:pPr>
              <w:spacing w:before="0" w:after="0"/>
              <w:jc w:val="center"/>
              <w:rPr>
                <w:sz w:val="20"/>
                <w:szCs w:val="20"/>
              </w:rPr>
            </w:pPr>
            <w:r w:rsidRPr="003F0645">
              <w:rPr>
                <w:b/>
                <w:bCs/>
                <w:sz w:val="20"/>
                <w:szCs w:val="20"/>
              </w:rPr>
              <w:t>Sociální dopady</w:t>
            </w:r>
          </w:p>
        </w:tc>
      </w:tr>
      <w:tr w14:paraId="7B57698B" w14:textId="77777777" w:rsidTr="00F37472">
        <w:tblPrEx>
          <w:tblW w:w="0" w:type="auto"/>
          <w:tblLook w:val="04A0"/>
        </w:tblPrEx>
        <w:trPr>
          <w:trHeight w:val="413"/>
        </w:trPr>
        <w:tc>
          <w:tcPr>
            <w:tcW w:w="1250" w:type="dxa"/>
            <w:vMerge/>
            <w:vAlign w:val="center"/>
          </w:tcPr>
          <w:p w:rsidR="00786FD5" w:rsidRPr="003F0645" w:rsidP="003F755E" w14:paraId="6C18BA63" w14:textId="77777777">
            <w:pPr>
              <w:spacing w:before="0" w:after="0"/>
              <w:jc w:val="center"/>
              <w:rPr>
                <w:b/>
                <w:bCs/>
                <w:sz w:val="20"/>
                <w:szCs w:val="20"/>
              </w:rPr>
            </w:pPr>
          </w:p>
        </w:tc>
        <w:tc>
          <w:tcPr>
            <w:tcW w:w="2509" w:type="dxa"/>
            <w:vAlign w:val="center"/>
          </w:tcPr>
          <w:p w:rsidR="00786FD5" w:rsidRPr="003F0645" w:rsidP="003F755E" w14:paraId="0BB353DD" w14:textId="77777777">
            <w:pPr>
              <w:spacing w:before="0" w:after="0"/>
              <w:jc w:val="center"/>
              <w:rPr>
                <w:sz w:val="20"/>
                <w:szCs w:val="20"/>
              </w:rPr>
            </w:pPr>
            <w:r w:rsidRPr="003F0645">
              <w:rPr>
                <w:sz w:val="20"/>
                <w:szCs w:val="20"/>
              </w:rPr>
              <w:t>-</w:t>
            </w:r>
          </w:p>
        </w:tc>
        <w:tc>
          <w:tcPr>
            <w:tcW w:w="1230" w:type="dxa"/>
            <w:noWrap/>
            <w:vAlign w:val="center"/>
          </w:tcPr>
          <w:p w:rsidR="00786FD5" w:rsidRPr="003F0645" w:rsidP="003F755E" w14:paraId="79A50E56" w14:textId="77777777">
            <w:pPr>
              <w:spacing w:before="0" w:after="0"/>
              <w:jc w:val="center"/>
              <w:rPr>
                <w:sz w:val="20"/>
                <w:szCs w:val="20"/>
              </w:rPr>
            </w:pPr>
            <w:r w:rsidRPr="003F0645">
              <w:rPr>
                <w:sz w:val="20"/>
                <w:szCs w:val="20"/>
              </w:rPr>
              <w:t>-</w:t>
            </w:r>
          </w:p>
        </w:tc>
        <w:tc>
          <w:tcPr>
            <w:tcW w:w="2787" w:type="dxa"/>
            <w:vAlign w:val="center"/>
          </w:tcPr>
          <w:p w:rsidR="00786FD5" w:rsidRPr="003F0645" w:rsidP="003F755E" w14:paraId="4C23FD44" w14:textId="77777777">
            <w:pPr>
              <w:spacing w:before="0" w:after="0"/>
              <w:jc w:val="center"/>
              <w:rPr>
                <w:sz w:val="20"/>
                <w:szCs w:val="20"/>
              </w:rPr>
            </w:pPr>
            <w:r w:rsidRPr="003F0645">
              <w:rPr>
                <w:sz w:val="20"/>
                <w:szCs w:val="20"/>
              </w:rPr>
              <w:t>-</w:t>
            </w:r>
          </w:p>
        </w:tc>
        <w:tc>
          <w:tcPr>
            <w:tcW w:w="1238" w:type="dxa"/>
            <w:noWrap/>
            <w:vAlign w:val="center"/>
          </w:tcPr>
          <w:p w:rsidR="00786FD5" w:rsidRPr="003F0645" w:rsidP="003F755E" w14:paraId="1BB7F5A5" w14:textId="77777777">
            <w:pPr>
              <w:spacing w:before="0" w:after="0"/>
              <w:jc w:val="center"/>
              <w:rPr>
                <w:sz w:val="20"/>
                <w:szCs w:val="20"/>
              </w:rPr>
            </w:pPr>
            <w:r w:rsidRPr="003F0645">
              <w:rPr>
                <w:sz w:val="20"/>
                <w:szCs w:val="20"/>
              </w:rPr>
              <w:t>-</w:t>
            </w:r>
          </w:p>
        </w:tc>
      </w:tr>
      <w:tr w14:paraId="3CF97E62" w14:textId="77777777" w:rsidTr="00F37472">
        <w:tblPrEx>
          <w:tblW w:w="0" w:type="auto"/>
          <w:tblLook w:val="04A0"/>
        </w:tblPrEx>
        <w:trPr>
          <w:trHeight w:val="504"/>
        </w:trPr>
        <w:tc>
          <w:tcPr>
            <w:tcW w:w="1250" w:type="dxa"/>
            <w:vMerge/>
            <w:vAlign w:val="center"/>
            <w:hideMark/>
          </w:tcPr>
          <w:p w:rsidR="00786FD5" w:rsidRPr="003F0645" w:rsidP="003F755E" w14:paraId="6378F8F3" w14:textId="77777777">
            <w:pPr>
              <w:spacing w:before="0" w:after="0"/>
              <w:jc w:val="center"/>
              <w:rPr>
                <w:b/>
                <w:bCs/>
                <w:sz w:val="20"/>
                <w:szCs w:val="20"/>
              </w:rPr>
            </w:pPr>
          </w:p>
        </w:tc>
        <w:tc>
          <w:tcPr>
            <w:tcW w:w="7766" w:type="dxa"/>
            <w:gridSpan w:val="4"/>
            <w:vAlign w:val="center"/>
            <w:hideMark/>
          </w:tcPr>
          <w:p w:rsidR="00786FD5" w:rsidRPr="003F0645" w:rsidP="003F755E" w14:paraId="32F35B12" w14:textId="77777777">
            <w:pPr>
              <w:spacing w:before="0" w:after="0"/>
              <w:jc w:val="center"/>
              <w:rPr>
                <w:b/>
                <w:bCs/>
                <w:sz w:val="20"/>
                <w:szCs w:val="20"/>
              </w:rPr>
            </w:pPr>
            <w:r w:rsidRPr="003F0645">
              <w:rPr>
                <w:b/>
                <w:bCs/>
                <w:sz w:val="20"/>
                <w:szCs w:val="20"/>
              </w:rPr>
              <w:t>Životní prostředí</w:t>
            </w:r>
          </w:p>
        </w:tc>
      </w:tr>
      <w:tr w14:paraId="637888F1" w14:textId="77777777" w:rsidTr="00F37472">
        <w:tblPrEx>
          <w:tblW w:w="0" w:type="auto"/>
          <w:tblLook w:val="04A0"/>
        </w:tblPrEx>
        <w:trPr>
          <w:trHeight w:val="617"/>
        </w:trPr>
        <w:tc>
          <w:tcPr>
            <w:tcW w:w="1250" w:type="dxa"/>
            <w:vMerge/>
            <w:vAlign w:val="center"/>
            <w:hideMark/>
          </w:tcPr>
          <w:p w:rsidR="00786FD5" w:rsidRPr="003F0645" w:rsidP="003F755E" w14:paraId="4A723BF5" w14:textId="77777777">
            <w:pPr>
              <w:spacing w:before="0" w:after="0"/>
              <w:jc w:val="center"/>
              <w:rPr>
                <w:b/>
                <w:bCs/>
                <w:sz w:val="20"/>
                <w:szCs w:val="20"/>
              </w:rPr>
            </w:pPr>
          </w:p>
        </w:tc>
        <w:tc>
          <w:tcPr>
            <w:tcW w:w="2509" w:type="dxa"/>
            <w:vAlign w:val="center"/>
            <w:hideMark/>
          </w:tcPr>
          <w:p w:rsidR="00786FD5" w:rsidRPr="003F0645" w:rsidP="003F755E" w14:paraId="1B73155A" w14:textId="77777777">
            <w:pPr>
              <w:spacing w:before="0" w:after="0"/>
              <w:jc w:val="center"/>
              <w:rPr>
                <w:sz w:val="20"/>
                <w:szCs w:val="20"/>
              </w:rPr>
            </w:pPr>
            <w:r>
              <w:rPr>
                <w:sz w:val="20"/>
                <w:szCs w:val="20"/>
              </w:rPr>
              <w:t>-</w:t>
            </w:r>
          </w:p>
        </w:tc>
        <w:tc>
          <w:tcPr>
            <w:tcW w:w="1230" w:type="dxa"/>
            <w:vAlign w:val="center"/>
            <w:hideMark/>
          </w:tcPr>
          <w:p w:rsidR="00786FD5" w:rsidRPr="003F0645" w:rsidP="003F755E" w14:paraId="2906CE07" w14:textId="77777777">
            <w:pPr>
              <w:spacing w:before="0" w:after="0"/>
              <w:jc w:val="center"/>
              <w:rPr>
                <w:sz w:val="20"/>
                <w:szCs w:val="20"/>
              </w:rPr>
            </w:pPr>
            <w:r>
              <w:rPr>
                <w:sz w:val="20"/>
                <w:szCs w:val="20"/>
              </w:rPr>
              <w:t>-</w:t>
            </w:r>
          </w:p>
        </w:tc>
        <w:tc>
          <w:tcPr>
            <w:tcW w:w="2787" w:type="dxa"/>
            <w:vAlign w:val="center"/>
            <w:hideMark/>
          </w:tcPr>
          <w:p w:rsidR="00786FD5" w:rsidRPr="003F0645" w:rsidP="003F755E" w14:paraId="051A9C18" w14:textId="297735AB">
            <w:pPr>
              <w:spacing w:before="0" w:after="0"/>
              <w:jc w:val="center"/>
              <w:rPr>
                <w:sz w:val="20"/>
                <w:szCs w:val="20"/>
              </w:rPr>
            </w:pPr>
            <w:r w:rsidRPr="003F0645">
              <w:rPr>
                <w:rFonts w:cs="Arial"/>
                <w:sz w:val="20"/>
                <w:szCs w:val="20"/>
              </w:rPr>
              <w:t xml:space="preserve">Při nesprávném </w:t>
            </w:r>
            <w:r>
              <w:rPr>
                <w:rFonts w:cs="Arial"/>
                <w:sz w:val="20"/>
                <w:szCs w:val="20"/>
              </w:rPr>
              <w:t xml:space="preserve">hospodaření KS hrozí </w:t>
            </w:r>
            <w:r w:rsidRPr="003F0645">
              <w:rPr>
                <w:rFonts w:cs="Arial"/>
                <w:sz w:val="20"/>
                <w:szCs w:val="20"/>
              </w:rPr>
              <w:t>riziko kontaminace ŽP  ne</w:t>
            </w:r>
            <w:r>
              <w:rPr>
                <w:rFonts w:cs="Arial"/>
                <w:sz w:val="20"/>
                <w:szCs w:val="20"/>
              </w:rPr>
              <w:t>bezpečnými látkami obsaženými ve VUŽ</w:t>
            </w:r>
          </w:p>
        </w:tc>
        <w:tc>
          <w:tcPr>
            <w:tcW w:w="1238" w:type="dxa"/>
            <w:vAlign w:val="center"/>
            <w:hideMark/>
          </w:tcPr>
          <w:p w:rsidR="00786FD5" w:rsidRPr="003F0645" w:rsidP="003F755E" w14:paraId="68E2E503" w14:textId="77777777">
            <w:pPr>
              <w:spacing w:before="0" w:after="0"/>
              <w:jc w:val="center"/>
              <w:rPr>
                <w:sz w:val="20"/>
                <w:szCs w:val="20"/>
              </w:rPr>
            </w:pPr>
            <w:r w:rsidRPr="003F0645">
              <w:rPr>
                <w:sz w:val="20"/>
                <w:szCs w:val="20"/>
              </w:rPr>
              <w:t>**</w:t>
            </w:r>
            <w:r>
              <w:rPr>
                <w:sz w:val="20"/>
                <w:szCs w:val="20"/>
              </w:rPr>
              <w:t>*</w:t>
            </w:r>
          </w:p>
        </w:tc>
      </w:tr>
      <w:tr w14:paraId="41E5AF0E" w14:textId="77777777" w:rsidTr="00F37472">
        <w:tblPrEx>
          <w:tblW w:w="0" w:type="auto"/>
          <w:tblLook w:val="04A0"/>
        </w:tblPrEx>
        <w:trPr>
          <w:trHeight w:val="569"/>
        </w:trPr>
        <w:tc>
          <w:tcPr>
            <w:tcW w:w="1250" w:type="dxa"/>
            <w:vMerge w:val="restart"/>
            <w:noWrap/>
            <w:vAlign w:val="center"/>
            <w:hideMark/>
          </w:tcPr>
          <w:p w:rsidR="00786FD5" w:rsidRPr="003F0645" w:rsidP="003F755E" w14:paraId="222A7220" w14:textId="77777777">
            <w:pPr>
              <w:spacing w:before="0" w:after="0"/>
              <w:jc w:val="center"/>
              <w:rPr>
                <w:b/>
                <w:bCs/>
                <w:sz w:val="20"/>
                <w:szCs w:val="20"/>
              </w:rPr>
            </w:pPr>
            <w:r w:rsidRPr="003F0645">
              <w:rPr>
                <w:b/>
                <w:bCs/>
                <w:sz w:val="20"/>
                <w:szCs w:val="20"/>
              </w:rPr>
              <w:t>Varianta 1</w:t>
            </w:r>
          </w:p>
        </w:tc>
        <w:tc>
          <w:tcPr>
            <w:tcW w:w="7766" w:type="dxa"/>
            <w:gridSpan w:val="4"/>
            <w:vAlign w:val="center"/>
            <w:hideMark/>
          </w:tcPr>
          <w:p w:rsidR="00786FD5" w:rsidRPr="003F0645" w:rsidP="003F755E" w14:paraId="5168F0AB" w14:textId="77777777">
            <w:pPr>
              <w:spacing w:before="0" w:after="0"/>
              <w:jc w:val="center"/>
              <w:rPr>
                <w:b/>
                <w:bCs/>
                <w:sz w:val="20"/>
                <w:szCs w:val="20"/>
              </w:rPr>
            </w:pPr>
            <w:r w:rsidRPr="003F0645">
              <w:rPr>
                <w:b/>
                <w:bCs/>
                <w:sz w:val="20"/>
                <w:szCs w:val="20"/>
              </w:rPr>
              <w:t>Státní rozpočet a ostatní veřejné rozpočty</w:t>
            </w:r>
          </w:p>
        </w:tc>
      </w:tr>
      <w:tr w14:paraId="3BA98BC6" w14:textId="77777777" w:rsidTr="00F37472">
        <w:tblPrEx>
          <w:tblW w:w="0" w:type="auto"/>
          <w:tblLook w:val="04A0"/>
        </w:tblPrEx>
        <w:trPr>
          <w:trHeight w:val="420"/>
        </w:trPr>
        <w:tc>
          <w:tcPr>
            <w:tcW w:w="1250" w:type="dxa"/>
            <w:vMerge/>
            <w:vAlign w:val="center"/>
            <w:hideMark/>
          </w:tcPr>
          <w:p w:rsidR="00786FD5" w:rsidRPr="003F0645" w:rsidP="003F755E" w14:paraId="23798B3F" w14:textId="77777777">
            <w:pPr>
              <w:spacing w:before="0" w:after="0"/>
              <w:jc w:val="center"/>
              <w:rPr>
                <w:b/>
                <w:bCs/>
                <w:sz w:val="20"/>
                <w:szCs w:val="20"/>
              </w:rPr>
            </w:pPr>
          </w:p>
        </w:tc>
        <w:tc>
          <w:tcPr>
            <w:tcW w:w="2509" w:type="dxa"/>
            <w:vAlign w:val="center"/>
          </w:tcPr>
          <w:p w:rsidR="00786FD5" w:rsidRPr="003F0645" w:rsidP="003F755E" w14:paraId="08DFBD97" w14:textId="77777777">
            <w:pPr>
              <w:spacing w:before="0" w:after="0"/>
              <w:jc w:val="center"/>
              <w:rPr>
                <w:sz w:val="20"/>
                <w:szCs w:val="20"/>
              </w:rPr>
            </w:pPr>
            <w:r>
              <w:rPr>
                <w:sz w:val="20"/>
                <w:szCs w:val="20"/>
              </w:rPr>
              <w:t>-</w:t>
            </w:r>
          </w:p>
        </w:tc>
        <w:tc>
          <w:tcPr>
            <w:tcW w:w="1230" w:type="dxa"/>
            <w:vAlign w:val="center"/>
          </w:tcPr>
          <w:p w:rsidR="00786FD5" w:rsidRPr="003F0645" w:rsidP="003F755E" w14:paraId="0A790B32" w14:textId="77777777">
            <w:pPr>
              <w:spacing w:before="0" w:after="0"/>
              <w:jc w:val="center"/>
              <w:rPr>
                <w:sz w:val="20"/>
                <w:szCs w:val="20"/>
              </w:rPr>
            </w:pPr>
            <w:r>
              <w:rPr>
                <w:sz w:val="20"/>
                <w:szCs w:val="20"/>
              </w:rPr>
              <w:t>-</w:t>
            </w:r>
          </w:p>
        </w:tc>
        <w:tc>
          <w:tcPr>
            <w:tcW w:w="2787" w:type="dxa"/>
            <w:vAlign w:val="center"/>
          </w:tcPr>
          <w:p w:rsidR="00786FD5" w:rsidRPr="003F0645" w:rsidP="003F755E" w14:paraId="60AF3FA0" w14:textId="77777777">
            <w:pPr>
              <w:spacing w:before="0" w:after="0"/>
              <w:jc w:val="center"/>
              <w:rPr>
                <w:sz w:val="20"/>
                <w:szCs w:val="20"/>
              </w:rPr>
            </w:pPr>
            <w:r>
              <w:rPr>
                <w:sz w:val="20"/>
                <w:szCs w:val="20"/>
              </w:rPr>
              <w:t>-</w:t>
            </w:r>
          </w:p>
        </w:tc>
        <w:tc>
          <w:tcPr>
            <w:tcW w:w="1238" w:type="dxa"/>
            <w:vAlign w:val="center"/>
          </w:tcPr>
          <w:p w:rsidR="00786FD5" w:rsidRPr="003F0645" w:rsidP="003F755E" w14:paraId="3E28BB63" w14:textId="77777777">
            <w:pPr>
              <w:spacing w:before="0" w:after="0"/>
              <w:jc w:val="center"/>
              <w:rPr>
                <w:sz w:val="20"/>
                <w:szCs w:val="20"/>
              </w:rPr>
            </w:pPr>
            <w:r>
              <w:rPr>
                <w:sz w:val="20"/>
                <w:szCs w:val="20"/>
              </w:rPr>
              <w:t>-</w:t>
            </w:r>
          </w:p>
        </w:tc>
      </w:tr>
      <w:tr w14:paraId="4AA0B232" w14:textId="77777777" w:rsidTr="00F37472">
        <w:tblPrEx>
          <w:tblW w:w="0" w:type="auto"/>
          <w:tblLook w:val="04A0"/>
        </w:tblPrEx>
        <w:trPr>
          <w:trHeight w:val="504"/>
        </w:trPr>
        <w:tc>
          <w:tcPr>
            <w:tcW w:w="1250" w:type="dxa"/>
            <w:vMerge/>
            <w:vAlign w:val="center"/>
            <w:hideMark/>
          </w:tcPr>
          <w:p w:rsidR="00786FD5" w:rsidRPr="003F0645" w:rsidP="003F755E" w14:paraId="7263F75B" w14:textId="77777777">
            <w:pPr>
              <w:spacing w:before="0" w:after="0"/>
              <w:jc w:val="center"/>
              <w:rPr>
                <w:b/>
                <w:bCs/>
                <w:sz w:val="20"/>
                <w:szCs w:val="20"/>
              </w:rPr>
            </w:pPr>
          </w:p>
        </w:tc>
        <w:tc>
          <w:tcPr>
            <w:tcW w:w="7766" w:type="dxa"/>
            <w:gridSpan w:val="4"/>
            <w:vAlign w:val="center"/>
            <w:hideMark/>
          </w:tcPr>
          <w:p w:rsidR="00786FD5" w:rsidRPr="003F0645" w:rsidP="003F755E" w14:paraId="00154264" w14:textId="77777777">
            <w:pPr>
              <w:spacing w:before="0" w:after="0"/>
              <w:jc w:val="center"/>
              <w:rPr>
                <w:b/>
                <w:bCs/>
                <w:sz w:val="20"/>
                <w:szCs w:val="20"/>
              </w:rPr>
            </w:pPr>
            <w:r w:rsidRPr="003F0645">
              <w:rPr>
                <w:b/>
                <w:bCs/>
                <w:sz w:val="20"/>
                <w:szCs w:val="20"/>
              </w:rPr>
              <w:t>Podnikatelské subjekty</w:t>
            </w:r>
          </w:p>
        </w:tc>
      </w:tr>
      <w:tr w14:paraId="70A5F81B" w14:textId="77777777" w:rsidTr="00F37472">
        <w:tblPrEx>
          <w:tblW w:w="0" w:type="auto"/>
          <w:tblLook w:val="04A0"/>
        </w:tblPrEx>
        <w:trPr>
          <w:trHeight w:val="1136"/>
        </w:trPr>
        <w:tc>
          <w:tcPr>
            <w:tcW w:w="1250" w:type="dxa"/>
            <w:vMerge/>
            <w:vAlign w:val="center"/>
            <w:hideMark/>
          </w:tcPr>
          <w:p w:rsidR="00786FD5" w:rsidRPr="003F0645" w:rsidP="003F755E" w14:paraId="11E10707" w14:textId="77777777">
            <w:pPr>
              <w:spacing w:before="0" w:after="0"/>
              <w:jc w:val="center"/>
              <w:rPr>
                <w:b/>
                <w:bCs/>
                <w:sz w:val="20"/>
                <w:szCs w:val="20"/>
              </w:rPr>
            </w:pPr>
          </w:p>
        </w:tc>
        <w:tc>
          <w:tcPr>
            <w:tcW w:w="2509" w:type="dxa"/>
            <w:vAlign w:val="center"/>
          </w:tcPr>
          <w:p w:rsidR="00786FD5" w:rsidRPr="003F0645" w:rsidP="003F755E" w14:paraId="00D75703" w14:textId="43D91218">
            <w:pPr>
              <w:spacing w:before="0" w:after="0"/>
              <w:jc w:val="center"/>
              <w:rPr>
                <w:sz w:val="20"/>
                <w:szCs w:val="20"/>
              </w:rPr>
            </w:pPr>
            <w:r>
              <w:rPr>
                <w:sz w:val="20"/>
                <w:szCs w:val="20"/>
              </w:rPr>
              <w:t xml:space="preserve">Kontrola pro výrobce VUŽ zapojené do KS, že s příspěvky na zajištění ZO je nakládáno řádně a slouží k danému účelu </w:t>
            </w:r>
          </w:p>
        </w:tc>
        <w:tc>
          <w:tcPr>
            <w:tcW w:w="1230" w:type="dxa"/>
            <w:noWrap/>
            <w:vAlign w:val="center"/>
          </w:tcPr>
          <w:p w:rsidR="00786FD5" w:rsidRPr="003F0645" w:rsidP="003F755E" w14:paraId="6031BBCB" w14:textId="54F40C45">
            <w:pPr>
              <w:spacing w:before="0" w:after="0"/>
              <w:jc w:val="center"/>
              <w:rPr>
                <w:sz w:val="20"/>
                <w:szCs w:val="20"/>
              </w:rPr>
            </w:pPr>
            <w:r>
              <w:rPr>
                <w:sz w:val="20"/>
                <w:szCs w:val="20"/>
              </w:rPr>
              <w:t>****</w:t>
            </w:r>
          </w:p>
        </w:tc>
        <w:tc>
          <w:tcPr>
            <w:tcW w:w="2787" w:type="dxa"/>
            <w:vAlign w:val="center"/>
          </w:tcPr>
          <w:p w:rsidR="00786FD5" w:rsidRPr="003F0645" w:rsidP="003F755E" w14:paraId="6EFE534E" w14:textId="2F17BE3D">
            <w:pPr>
              <w:spacing w:before="0" w:after="0"/>
              <w:jc w:val="center"/>
              <w:rPr>
                <w:sz w:val="20"/>
                <w:szCs w:val="20"/>
              </w:rPr>
            </w:pPr>
            <w:r>
              <w:rPr>
                <w:sz w:val="20"/>
                <w:szCs w:val="20"/>
              </w:rPr>
              <w:t xml:space="preserve">KS – povinnost </w:t>
            </w:r>
            <w:r w:rsidR="003F755E">
              <w:rPr>
                <w:sz w:val="20"/>
                <w:szCs w:val="20"/>
              </w:rPr>
              <w:t>provádět audit účetní uzávěrky</w:t>
            </w:r>
          </w:p>
        </w:tc>
        <w:tc>
          <w:tcPr>
            <w:tcW w:w="1238" w:type="dxa"/>
            <w:noWrap/>
            <w:vAlign w:val="center"/>
          </w:tcPr>
          <w:p w:rsidR="00786FD5" w:rsidRPr="003F0645" w:rsidP="003F755E" w14:paraId="2DCEC69B" w14:textId="78C22481">
            <w:pPr>
              <w:spacing w:before="0" w:after="0"/>
              <w:jc w:val="center"/>
              <w:rPr>
                <w:sz w:val="20"/>
                <w:szCs w:val="20"/>
              </w:rPr>
            </w:pPr>
            <w:r>
              <w:rPr>
                <w:sz w:val="20"/>
                <w:szCs w:val="20"/>
              </w:rPr>
              <w:t>100-400 tis. Kč/rok</w:t>
            </w:r>
          </w:p>
        </w:tc>
      </w:tr>
      <w:tr w14:paraId="36556F57" w14:textId="77777777" w:rsidTr="00F37472">
        <w:tblPrEx>
          <w:tblW w:w="0" w:type="auto"/>
          <w:tblLook w:val="04A0"/>
        </w:tblPrEx>
        <w:trPr>
          <w:trHeight w:val="504"/>
        </w:trPr>
        <w:tc>
          <w:tcPr>
            <w:tcW w:w="1250" w:type="dxa"/>
            <w:vMerge/>
            <w:vAlign w:val="center"/>
            <w:hideMark/>
          </w:tcPr>
          <w:p w:rsidR="00786FD5" w:rsidRPr="003F0645" w:rsidP="003F755E" w14:paraId="379C313C" w14:textId="77777777">
            <w:pPr>
              <w:spacing w:before="0" w:after="0"/>
              <w:jc w:val="center"/>
              <w:rPr>
                <w:b/>
                <w:bCs/>
                <w:sz w:val="20"/>
                <w:szCs w:val="20"/>
              </w:rPr>
            </w:pPr>
          </w:p>
        </w:tc>
        <w:tc>
          <w:tcPr>
            <w:tcW w:w="7766" w:type="dxa"/>
            <w:gridSpan w:val="4"/>
            <w:vAlign w:val="center"/>
            <w:hideMark/>
          </w:tcPr>
          <w:p w:rsidR="00786FD5" w:rsidRPr="003F0645" w:rsidP="003F755E" w14:paraId="7E199426" w14:textId="77777777">
            <w:pPr>
              <w:spacing w:before="0" w:after="0"/>
              <w:jc w:val="center"/>
              <w:rPr>
                <w:b/>
                <w:bCs/>
                <w:sz w:val="20"/>
                <w:szCs w:val="20"/>
              </w:rPr>
            </w:pPr>
            <w:r w:rsidRPr="003F0645">
              <w:rPr>
                <w:b/>
                <w:bCs/>
                <w:sz w:val="20"/>
                <w:szCs w:val="20"/>
              </w:rPr>
              <w:t>Územní samosprávné celky (obce, kraje)</w:t>
            </w:r>
          </w:p>
        </w:tc>
      </w:tr>
      <w:tr w14:paraId="17ACE683" w14:textId="77777777" w:rsidTr="00F37472">
        <w:tblPrEx>
          <w:tblW w:w="0" w:type="auto"/>
          <w:tblLook w:val="04A0"/>
        </w:tblPrEx>
        <w:trPr>
          <w:trHeight w:val="480"/>
        </w:trPr>
        <w:tc>
          <w:tcPr>
            <w:tcW w:w="1250" w:type="dxa"/>
            <w:vMerge/>
            <w:vAlign w:val="center"/>
            <w:hideMark/>
          </w:tcPr>
          <w:p w:rsidR="00786FD5" w:rsidRPr="003F0645" w:rsidP="003F755E" w14:paraId="069D2810" w14:textId="77777777">
            <w:pPr>
              <w:spacing w:before="0" w:after="0"/>
              <w:jc w:val="center"/>
              <w:rPr>
                <w:b/>
                <w:bCs/>
                <w:sz w:val="20"/>
                <w:szCs w:val="20"/>
              </w:rPr>
            </w:pPr>
          </w:p>
        </w:tc>
        <w:tc>
          <w:tcPr>
            <w:tcW w:w="2509" w:type="dxa"/>
            <w:vAlign w:val="center"/>
          </w:tcPr>
          <w:p w:rsidR="00786FD5" w:rsidRPr="003F0645" w:rsidP="003F755E" w14:paraId="56169DEA" w14:textId="77777777">
            <w:pPr>
              <w:spacing w:before="0" w:after="0"/>
              <w:jc w:val="center"/>
              <w:rPr>
                <w:sz w:val="20"/>
                <w:szCs w:val="20"/>
              </w:rPr>
            </w:pPr>
            <w:r w:rsidRPr="003F0645">
              <w:rPr>
                <w:sz w:val="20"/>
                <w:szCs w:val="20"/>
              </w:rPr>
              <w:t>-</w:t>
            </w:r>
          </w:p>
        </w:tc>
        <w:tc>
          <w:tcPr>
            <w:tcW w:w="1230" w:type="dxa"/>
            <w:noWrap/>
            <w:vAlign w:val="center"/>
          </w:tcPr>
          <w:p w:rsidR="00786FD5" w:rsidRPr="003F0645" w:rsidP="003F755E" w14:paraId="3CB50B60" w14:textId="77777777">
            <w:pPr>
              <w:spacing w:before="0" w:after="0"/>
              <w:jc w:val="center"/>
              <w:rPr>
                <w:sz w:val="20"/>
                <w:szCs w:val="20"/>
              </w:rPr>
            </w:pPr>
            <w:r w:rsidRPr="003F0645">
              <w:rPr>
                <w:sz w:val="20"/>
                <w:szCs w:val="20"/>
              </w:rPr>
              <w:t>-</w:t>
            </w:r>
          </w:p>
        </w:tc>
        <w:tc>
          <w:tcPr>
            <w:tcW w:w="2787" w:type="dxa"/>
            <w:noWrap/>
            <w:vAlign w:val="center"/>
            <w:hideMark/>
          </w:tcPr>
          <w:p w:rsidR="00786FD5" w:rsidRPr="003F0645" w:rsidP="003F755E" w14:paraId="088234E6" w14:textId="77777777">
            <w:pPr>
              <w:spacing w:before="0" w:after="0"/>
              <w:jc w:val="center"/>
              <w:rPr>
                <w:sz w:val="20"/>
                <w:szCs w:val="20"/>
              </w:rPr>
            </w:pPr>
            <w:r w:rsidRPr="003F0645">
              <w:rPr>
                <w:sz w:val="20"/>
                <w:szCs w:val="20"/>
              </w:rPr>
              <w:t>-</w:t>
            </w:r>
          </w:p>
        </w:tc>
        <w:tc>
          <w:tcPr>
            <w:tcW w:w="1238" w:type="dxa"/>
            <w:noWrap/>
            <w:vAlign w:val="center"/>
            <w:hideMark/>
          </w:tcPr>
          <w:p w:rsidR="00786FD5" w:rsidRPr="003F0645" w:rsidP="003F755E" w14:paraId="063418ED" w14:textId="77777777">
            <w:pPr>
              <w:spacing w:before="0" w:after="0"/>
              <w:jc w:val="center"/>
              <w:rPr>
                <w:sz w:val="20"/>
                <w:szCs w:val="20"/>
              </w:rPr>
            </w:pPr>
            <w:r w:rsidRPr="003F0645">
              <w:rPr>
                <w:sz w:val="20"/>
                <w:szCs w:val="20"/>
              </w:rPr>
              <w:t>-</w:t>
            </w:r>
          </w:p>
        </w:tc>
      </w:tr>
      <w:tr w14:paraId="32CFD8F0" w14:textId="77777777" w:rsidTr="00F37472">
        <w:tblPrEx>
          <w:tblW w:w="0" w:type="auto"/>
          <w:tblLook w:val="04A0"/>
        </w:tblPrEx>
        <w:trPr>
          <w:trHeight w:val="504"/>
        </w:trPr>
        <w:tc>
          <w:tcPr>
            <w:tcW w:w="1250" w:type="dxa"/>
            <w:vMerge/>
            <w:vAlign w:val="center"/>
            <w:hideMark/>
          </w:tcPr>
          <w:p w:rsidR="00786FD5" w:rsidRPr="003F0645" w:rsidP="003F755E" w14:paraId="5F13DBB9" w14:textId="77777777">
            <w:pPr>
              <w:spacing w:before="0" w:after="0"/>
              <w:jc w:val="center"/>
              <w:rPr>
                <w:b/>
                <w:bCs/>
                <w:sz w:val="20"/>
                <w:szCs w:val="20"/>
              </w:rPr>
            </w:pPr>
          </w:p>
        </w:tc>
        <w:tc>
          <w:tcPr>
            <w:tcW w:w="7766" w:type="dxa"/>
            <w:gridSpan w:val="4"/>
            <w:vAlign w:val="center"/>
            <w:hideMark/>
          </w:tcPr>
          <w:p w:rsidR="00786FD5" w:rsidRPr="003F0645" w:rsidP="003F755E" w14:paraId="17E12186" w14:textId="77777777">
            <w:pPr>
              <w:spacing w:before="0" w:after="0"/>
              <w:jc w:val="center"/>
              <w:rPr>
                <w:b/>
                <w:bCs/>
                <w:sz w:val="20"/>
                <w:szCs w:val="20"/>
              </w:rPr>
            </w:pPr>
            <w:r w:rsidRPr="003F0645">
              <w:rPr>
                <w:b/>
                <w:bCs/>
                <w:sz w:val="20"/>
                <w:szCs w:val="20"/>
              </w:rPr>
              <w:t>Sociální dopady</w:t>
            </w:r>
          </w:p>
        </w:tc>
      </w:tr>
      <w:tr w14:paraId="2D7ED1CE" w14:textId="77777777" w:rsidTr="00F37472">
        <w:tblPrEx>
          <w:tblW w:w="0" w:type="auto"/>
          <w:tblLook w:val="04A0"/>
        </w:tblPrEx>
        <w:trPr>
          <w:trHeight w:val="479"/>
        </w:trPr>
        <w:tc>
          <w:tcPr>
            <w:tcW w:w="1250" w:type="dxa"/>
            <w:vMerge/>
            <w:vAlign w:val="center"/>
            <w:hideMark/>
          </w:tcPr>
          <w:p w:rsidR="00786FD5" w:rsidRPr="003F0645" w:rsidP="003F755E" w14:paraId="6AC23F0F" w14:textId="77777777">
            <w:pPr>
              <w:spacing w:before="0" w:after="0"/>
              <w:jc w:val="center"/>
              <w:rPr>
                <w:b/>
                <w:bCs/>
                <w:sz w:val="20"/>
                <w:szCs w:val="20"/>
              </w:rPr>
            </w:pPr>
          </w:p>
        </w:tc>
        <w:tc>
          <w:tcPr>
            <w:tcW w:w="2509" w:type="dxa"/>
            <w:vAlign w:val="center"/>
          </w:tcPr>
          <w:p w:rsidR="00786FD5" w:rsidRPr="003F0645" w:rsidP="003F755E" w14:paraId="38FA146A" w14:textId="77777777">
            <w:pPr>
              <w:spacing w:before="0" w:after="0"/>
              <w:jc w:val="center"/>
              <w:rPr>
                <w:sz w:val="20"/>
                <w:szCs w:val="20"/>
              </w:rPr>
            </w:pPr>
            <w:r w:rsidRPr="003F0645">
              <w:rPr>
                <w:sz w:val="20"/>
                <w:szCs w:val="20"/>
              </w:rPr>
              <w:t>-</w:t>
            </w:r>
          </w:p>
        </w:tc>
        <w:tc>
          <w:tcPr>
            <w:tcW w:w="1230" w:type="dxa"/>
            <w:vAlign w:val="center"/>
          </w:tcPr>
          <w:p w:rsidR="00786FD5" w:rsidRPr="003F0645" w:rsidP="003F755E" w14:paraId="6CEE0AE9" w14:textId="77777777">
            <w:pPr>
              <w:spacing w:before="0" w:after="0"/>
              <w:jc w:val="center"/>
              <w:rPr>
                <w:sz w:val="20"/>
                <w:szCs w:val="20"/>
              </w:rPr>
            </w:pPr>
            <w:r w:rsidRPr="003F0645">
              <w:rPr>
                <w:sz w:val="20"/>
                <w:szCs w:val="20"/>
              </w:rPr>
              <w:t>-</w:t>
            </w:r>
          </w:p>
        </w:tc>
        <w:tc>
          <w:tcPr>
            <w:tcW w:w="2787" w:type="dxa"/>
            <w:vAlign w:val="center"/>
          </w:tcPr>
          <w:p w:rsidR="00786FD5" w:rsidRPr="003F0645" w:rsidP="003F755E" w14:paraId="032575C6" w14:textId="77777777">
            <w:pPr>
              <w:spacing w:before="0" w:after="0"/>
              <w:jc w:val="center"/>
              <w:rPr>
                <w:sz w:val="20"/>
                <w:szCs w:val="20"/>
              </w:rPr>
            </w:pPr>
            <w:r w:rsidRPr="003F0645">
              <w:rPr>
                <w:sz w:val="20"/>
                <w:szCs w:val="20"/>
              </w:rPr>
              <w:t>-</w:t>
            </w:r>
          </w:p>
        </w:tc>
        <w:tc>
          <w:tcPr>
            <w:tcW w:w="1238" w:type="dxa"/>
            <w:vAlign w:val="center"/>
          </w:tcPr>
          <w:p w:rsidR="00786FD5" w:rsidRPr="003F0645" w:rsidP="003F755E" w14:paraId="4F23DA69" w14:textId="77777777">
            <w:pPr>
              <w:spacing w:before="0" w:after="0"/>
              <w:jc w:val="center"/>
              <w:rPr>
                <w:sz w:val="20"/>
                <w:szCs w:val="20"/>
              </w:rPr>
            </w:pPr>
            <w:r w:rsidRPr="003F0645">
              <w:rPr>
                <w:sz w:val="20"/>
                <w:szCs w:val="20"/>
              </w:rPr>
              <w:t>-</w:t>
            </w:r>
          </w:p>
        </w:tc>
      </w:tr>
      <w:tr w14:paraId="59160A97" w14:textId="77777777" w:rsidTr="00F37472">
        <w:tblPrEx>
          <w:tblW w:w="0" w:type="auto"/>
          <w:tblLook w:val="04A0"/>
        </w:tblPrEx>
        <w:trPr>
          <w:trHeight w:val="504"/>
        </w:trPr>
        <w:tc>
          <w:tcPr>
            <w:tcW w:w="1250" w:type="dxa"/>
            <w:vMerge/>
            <w:vAlign w:val="center"/>
            <w:hideMark/>
          </w:tcPr>
          <w:p w:rsidR="00786FD5" w:rsidRPr="003F0645" w:rsidP="003F755E" w14:paraId="75438647" w14:textId="77777777">
            <w:pPr>
              <w:spacing w:before="0" w:after="0"/>
              <w:jc w:val="center"/>
              <w:rPr>
                <w:b/>
                <w:bCs/>
                <w:sz w:val="20"/>
                <w:szCs w:val="20"/>
              </w:rPr>
            </w:pPr>
          </w:p>
        </w:tc>
        <w:tc>
          <w:tcPr>
            <w:tcW w:w="7766" w:type="dxa"/>
            <w:gridSpan w:val="4"/>
            <w:vAlign w:val="center"/>
            <w:hideMark/>
          </w:tcPr>
          <w:p w:rsidR="00786FD5" w:rsidRPr="003F0645" w:rsidP="003F755E" w14:paraId="3A8345B5" w14:textId="77777777">
            <w:pPr>
              <w:spacing w:before="0" w:after="0"/>
              <w:jc w:val="center"/>
              <w:rPr>
                <w:b/>
                <w:bCs/>
                <w:sz w:val="20"/>
                <w:szCs w:val="20"/>
              </w:rPr>
            </w:pPr>
            <w:r w:rsidRPr="003F0645">
              <w:rPr>
                <w:b/>
                <w:bCs/>
                <w:sz w:val="20"/>
                <w:szCs w:val="20"/>
              </w:rPr>
              <w:t>Životní prostředí</w:t>
            </w:r>
          </w:p>
        </w:tc>
      </w:tr>
      <w:tr w14:paraId="688D9116" w14:textId="77777777" w:rsidTr="00F37472">
        <w:tblPrEx>
          <w:tblW w:w="0" w:type="auto"/>
          <w:tblLook w:val="04A0"/>
        </w:tblPrEx>
        <w:trPr>
          <w:trHeight w:val="687"/>
        </w:trPr>
        <w:tc>
          <w:tcPr>
            <w:tcW w:w="1250" w:type="dxa"/>
            <w:vMerge/>
            <w:vAlign w:val="center"/>
            <w:hideMark/>
          </w:tcPr>
          <w:p w:rsidR="00786FD5" w:rsidRPr="003F0645" w:rsidP="003F755E" w14:paraId="3DA13AE4" w14:textId="77777777">
            <w:pPr>
              <w:spacing w:before="0" w:after="0"/>
              <w:jc w:val="center"/>
              <w:rPr>
                <w:b/>
                <w:bCs/>
                <w:sz w:val="20"/>
                <w:szCs w:val="20"/>
              </w:rPr>
            </w:pPr>
          </w:p>
        </w:tc>
        <w:tc>
          <w:tcPr>
            <w:tcW w:w="2509" w:type="dxa"/>
            <w:vAlign w:val="center"/>
          </w:tcPr>
          <w:p w:rsidR="00786FD5" w:rsidRPr="003F0645" w:rsidP="003F755E" w14:paraId="6D5D1637" w14:textId="4D2282F0">
            <w:pPr>
              <w:spacing w:before="0" w:after="0"/>
              <w:jc w:val="center"/>
              <w:rPr>
                <w:sz w:val="20"/>
                <w:szCs w:val="20"/>
              </w:rPr>
            </w:pPr>
            <w:r>
              <w:rPr>
                <w:rFonts w:cs="Arial"/>
                <w:sz w:val="20"/>
                <w:szCs w:val="20"/>
              </w:rPr>
              <w:t>Při správném hspodaření KS</w:t>
            </w:r>
            <w:r>
              <w:rPr>
                <w:rFonts w:cs="Arial"/>
                <w:sz w:val="20"/>
                <w:szCs w:val="20"/>
              </w:rPr>
              <w:t xml:space="preserve"> </w:t>
            </w:r>
            <w:r>
              <w:rPr>
                <w:rFonts w:cs="Arial"/>
                <w:sz w:val="20"/>
                <w:szCs w:val="20"/>
              </w:rPr>
              <w:t>se snižuje</w:t>
            </w:r>
            <w:r w:rsidRPr="003F0645">
              <w:rPr>
                <w:rFonts w:cs="Arial"/>
                <w:sz w:val="20"/>
                <w:szCs w:val="20"/>
              </w:rPr>
              <w:t xml:space="preserve"> </w:t>
            </w:r>
            <w:r>
              <w:rPr>
                <w:rFonts w:cs="Arial"/>
                <w:sz w:val="20"/>
                <w:szCs w:val="20"/>
              </w:rPr>
              <w:t>r</w:t>
            </w:r>
            <w:r w:rsidRPr="003F0645">
              <w:rPr>
                <w:rFonts w:cs="Arial"/>
                <w:sz w:val="20"/>
                <w:szCs w:val="20"/>
              </w:rPr>
              <w:t>iziko</w:t>
            </w:r>
            <w:r>
              <w:rPr>
                <w:rFonts w:cs="Arial"/>
                <w:sz w:val="20"/>
                <w:szCs w:val="20"/>
              </w:rPr>
              <w:t xml:space="preserve"> </w:t>
            </w:r>
            <w:r w:rsidRPr="00BA6FEA">
              <w:rPr>
                <w:noProof w:val="0"/>
                <w:color w:val="000000"/>
                <w:sz w:val="20"/>
                <w:szCs w:val="20"/>
                <w:lang w:eastAsia="cs-CZ" w:bidi="ar-SA"/>
              </w:rPr>
              <w:t>vzniku případné ekologické zátěže</w:t>
            </w:r>
            <w:r w:rsidRPr="003F0645">
              <w:rPr>
                <w:rFonts w:cs="Arial"/>
                <w:sz w:val="20"/>
                <w:szCs w:val="20"/>
              </w:rPr>
              <w:t xml:space="preserve"> </w:t>
            </w:r>
          </w:p>
        </w:tc>
        <w:tc>
          <w:tcPr>
            <w:tcW w:w="1230" w:type="dxa"/>
            <w:vAlign w:val="center"/>
          </w:tcPr>
          <w:p w:rsidR="00786FD5" w:rsidRPr="003F0645" w:rsidP="003F755E" w14:paraId="272A3092" w14:textId="77777777">
            <w:pPr>
              <w:spacing w:before="0" w:after="0"/>
              <w:jc w:val="center"/>
              <w:rPr>
                <w:sz w:val="20"/>
                <w:szCs w:val="20"/>
              </w:rPr>
            </w:pPr>
            <w:r>
              <w:rPr>
                <w:sz w:val="20"/>
                <w:szCs w:val="20"/>
              </w:rPr>
              <w:t>***</w:t>
            </w:r>
          </w:p>
        </w:tc>
        <w:tc>
          <w:tcPr>
            <w:tcW w:w="2787" w:type="dxa"/>
            <w:vAlign w:val="center"/>
            <w:hideMark/>
          </w:tcPr>
          <w:p w:rsidR="00786FD5" w:rsidRPr="003F0645" w:rsidP="003F755E" w14:paraId="18961CCB" w14:textId="77777777">
            <w:pPr>
              <w:spacing w:before="0" w:after="0"/>
              <w:jc w:val="center"/>
              <w:rPr>
                <w:sz w:val="20"/>
                <w:szCs w:val="20"/>
              </w:rPr>
            </w:pPr>
            <w:r>
              <w:rPr>
                <w:sz w:val="20"/>
                <w:szCs w:val="20"/>
              </w:rPr>
              <w:t>-</w:t>
            </w:r>
          </w:p>
        </w:tc>
        <w:tc>
          <w:tcPr>
            <w:tcW w:w="1238" w:type="dxa"/>
            <w:vAlign w:val="center"/>
            <w:hideMark/>
          </w:tcPr>
          <w:p w:rsidR="00786FD5" w:rsidRPr="003F0645" w:rsidP="003F755E" w14:paraId="51DB63B9" w14:textId="77777777">
            <w:pPr>
              <w:spacing w:before="0" w:after="0"/>
              <w:jc w:val="center"/>
              <w:rPr>
                <w:sz w:val="20"/>
                <w:szCs w:val="20"/>
              </w:rPr>
            </w:pPr>
            <w:r>
              <w:rPr>
                <w:sz w:val="20"/>
                <w:szCs w:val="20"/>
              </w:rPr>
              <w:t>-</w:t>
            </w:r>
          </w:p>
        </w:tc>
      </w:tr>
    </w:tbl>
    <w:p w:rsidR="00786FD5" w:rsidP="00786FD5" w14:paraId="1A03F3E1" w14:textId="77777777">
      <w:pPr>
        <w:rPr>
          <w:sz w:val="20"/>
          <w:szCs w:val="20"/>
        </w:rPr>
      </w:pPr>
      <w:r w:rsidRPr="003F0645">
        <w:rPr>
          <w:sz w:val="20"/>
          <w:szCs w:val="20"/>
        </w:rPr>
        <w:t>- bez dopadů, * velmi nízké, ** nízké, *** střední, **** vysoké, ***** velmi vysoké</w:t>
      </w:r>
    </w:p>
    <w:p w:rsidR="00B760EA" w:rsidRPr="003F0645" w:rsidP="00786FD5" w14:paraId="7652B803" w14:textId="77777777">
      <w:pPr>
        <w:rPr>
          <w:sz w:val="20"/>
          <w:szCs w:val="20"/>
        </w:rPr>
      </w:pPr>
    </w:p>
    <w:p w:rsidR="00DB3E7D" w:rsidRPr="00ED38E9" w:rsidP="00DB3E7D" w14:paraId="5A375AC4" w14:textId="77777777">
      <w:pPr>
        <w:pStyle w:val="Heading2"/>
      </w:pPr>
      <w:bookmarkStart w:id="154" w:name="_Toc441759939"/>
      <w:r w:rsidRPr="00ED38E9">
        <w:t>Návrh řešení</w:t>
      </w:r>
      <w:bookmarkEnd w:id="154"/>
    </w:p>
    <w:p w:rsidR="00DB3E7D" w:rsidRPr="00ED38E9" w:rsidP="00BF16B7" w14:paraId="18A1F250" w14:textId="77777777">
      <w:pPr>
        <w:pStyle w:val="Heading3"/>
      </w:pPr>
      <w:r w:rsidRPr="00ED38E9">
        <w:t>Stanovení pořadí variant a výběr nejvhodnějšího řešení</w:t>
      </w:r>
    </w:p>
    <w:p w:rsidR="00DB3E7D" w:rsidRPr="00ED38E9" w:rsidP="003C445B" w14:paraId="17D9AA20" w14:textId="77777777">
      <w:pPr>
        <w:pStyle w:val="ListParagraph"/>
        <w:numPr>
          <w:ilvl w:val="0"/>
          <w:numId w:val="17"/>
        </w:numPr>
        <w:spacing w:line="240" w:lineRule="auto"/>
        <w:ind w:left="714" w:hanging="357"/>
        <w:contextualSpacing w:val="0"/>
        <w:rPr>
          <w:rFonts w:cs="Arial"/>
          <w:b/>
          <w:bCs/>
        </w:rPr>
      </w:pPr>
      <w:r w:rsidRPr="00ED38E9">
        <w:rPr>
          <w:rFonts w:cs="Arial"/>
          <w:b/>
          <w:bCs/>
        </w:rPr>
        <w:t>Varianta 1</w:t>
      </w:r>
    </w:p>
    <w:p w:rsidR="00DB3E7D" w:rsidRPr="00ED38E9" w:rsidP="003C445B" w14:paraId="146056E8" w14:textId="77777777">
      <w:pPr>
        <w:pStyle w:val="ListParagraph"/>
        <w:numPr>
          <w:ilvl w:val="0"/>
          <w:numId w:val="17"/>
        </w:numPr>
        <w:spacing w:line="240" w:lineRule="auto"/>
        <w:ind w:left="714" w:hanging="357"/>
        <w:contextualSpacing w:val="0"/>
        <w:rPr>
          <w:rFonts w:cs="Arial"/>
        </w:rPr>
      </w:pPr>
      <w:r w:rsidRPr="00ED38E9">
        <w:rPr>
          <w:rFonts w:cs="Arial"/>
        </w:rPr>
        <w:t>Varianta 0</w:t>
      </w:r>
    </w:p>
    <w:p w:rsidR="00DB3E7D" w:rsidP="00DB3E7D" w14:paraId="4EF2CE7C" w14:textId="2DB50D46">
      <w:pPr>
        <w:rPr>
          <w:rFonts w:cs="Arial"/>
        </w:rPr>
      </w:pPr>
      <w:r>
        <w:rPr>
          <w:rFonts w:cs="Arial"/>
        </w:rPr>
        <w:t>D</w:t>
      </w:r>
      <w:r w:rsidRPr="00ED38E9">
        <w:rPr>
          <w:rFonts w:cs="Arial"/>
        </w:rPr>
        <w:t xml:space="preserve">oporučujeme přijmout Variantu 1, protože </w:t>
      </w:r>
      <w:r w:rsidR="00384113">
        <w:rPr>
          <w:rFonts w:cs="Arial"/>
        </w:rPr>
        <w:t xml:space="preserve">výrazně omezuje </w:t>
      </w:r>
      <w:r w:rsidRPr="00ED38E9">
        <w:rPr>
          <w:rFonts w:cs="Arial"/>
        </w:rPr>
        <w:t>riziko špatného hospodaření</w:t>
      </w:r>
      <w:r w:rsidR="00384113">
        <w:rPr>
          <w:rFonts w:cs="Arial"/>
        </w:rPr>
        <w:t>, čímž se zároveň výrazně snižuje riziko vzniku eko</w:t>
      </w:r>
      <w:r w:rsidRPr="00ED38E9">
        <w:rPr>
          <w:rFonts w:cs="Arial"/>
        </w:rPr>
        <w:t>logické zátěže</w:t>
      </w:r>
      <w:r w:rsidR="00384113">
        <w:rPr>
          <w:rFonts w:cs="Arial"/>
        </w:rPr>
        <w:t xml:space="preserve"> a následných nákladů na její odstranění</w:t>
      </w:r>
      <w:r>
        <w:rPr>
          <w:rFonts w:cs="Arial"/>
        </w:rPr>
        <w:t>.</w:t>
      </w:r>
    </w:p>
    <w:p w:rsidR="00B760EA" w:rsidP="00DB3E7D" w14:paraId="5E6A54A8" w14:textId="77777777">
      <w:pPr>
        <w:rPr>
          <w:rFonts w:cs="Arial"/>
        </w:rPr>
      </w:pPr>
    </w:p>
    <w:p w:rsidR="00667393" w:rsidRPr="00ED38E9" w:rsidP="00F37472" w14:paraId="0F17FC1E" w14:textId="70238730">
      <w:pPr>
        <w:pStyle w:val="Heading1"/>
      </w:pPr>
      <w:bookmarkStart w:id="155" w:name="_Toc406598335"/>
      <w:bookmarkStart w:id="156" w:name="_Toc441759865"/>
      <w:bookmarkStart w:id="157" w:name="_Toc14942087"/>
      <w:bookmarkStart w:id="158" w:name="_Toc256000013"/>
      <w:r w:rsidRPr="00ED38E9">
        <w:t>Odebrání oprávnění k provozování KS</w:t>
      </w:r>
      <w:bookmarkEnd w:id="155"/>
      <w:bookmarkEnd w:id="156"/>
      <w:r w:rsidRPr="00ED38E9">
        <w:t xml:space="preserve"> </w:t>
      </w:r>
      <w:r w:rsidR="00C23A89">
        <w:t>(§ 57</w:t>
      </w:r>
      <w:r>
        <w:t>)</w:t>
      </w:r>
      <w:bookmarkEnd w:id="158"/>
      <w:bookmarkEnd w:id="157"/>
    </w:p>
    <w:p w:rsidR="00667393" w:rsidRPr="00ED38E9" w:rsidP="00F37472" w14:paraId="262FBB4E" w14:textId="77777777">
      <w:pPr>
        <w:pStyle w:val="Heading2"/>
      </w:pPr>
      <w:bookmarkStart w:id="159" w:name="_Toc441759866"/>
      <w:r w:rsidRPr="00ED38E9">
        <w:t>Důvod předložení a cíle</w:t>
      </w:r>
    </w:p>
    <w:p w:rsidR="00667393" w:rsidRPr="005A36CE" w:rsidP="00BF16B7" w14:paraId="10315FDA" w14:textId="77777777">
      <w:pPr>
        <w:pStyle w:val="Heading3"/>
      </w:pPr>
      <w:r w:rsidRPr="005A36CE">
        <w:t>Definice problému a popis současného stavu</w:t>
      </w:r>
    </w:p>
    <w:p w:rsidR="00667393" w:rsidP="00667393" w14:paraId="5136F0BB" w14:textId="724E6C01">
      <w:pPr>
        <w:tabs>
          <w:tab w:val="left" w:pos="1843"/>
        </w:tabs>
        <w:rPr>
          <w:rFonts w:eastAsia="Calibri" w:cs="Arial"/>
          <w:noProof w:val="0"/>
          <w:szCs w:val="22"/>
          <w:lang w:bidi="ar-SA"/>
        </w:rPr>
      </w:pPr>
      <w:r>
        <w:rPr>
          <w:rFonts w:eastAsia="Calibri" w:cs="Arial"/>
          <w:noProof w:val="0"/>
          <w:szCs w:val="22"/>
          <w:lang w:bidi="ar-SA"/>
        </w:rPr>
        <w:t>S</w:t>
      </w:r>
      <w:r w:rsidRPr="00ED38E9">
        <w:rPr>
          <w:rFonts w:eastAsia="Calibri" w:cs="Arial"/>
          <w:noProof w:val="0"/>
          <w:szCs w:val="22"/>
          <w:lang w:bidi="ar-SA"/>
        </w:rPr>
        <w:t>oučasn</w:t>
      </w:r>
      <w:r>
        <w:rPr>
          <w:rFonts w:eastAsia="Calibri" w:cs="Arial"/>
          <w:noProof w:val="0"/>
          <w:szCs w:val="22"/>
          <w:lang w:bidi="ar-SA"/>
        </w:rPr>
        <w:t>ý</w:t>
      </w:r>
      <w:r w:rsidRPr="00ED38E9">
        <w:rPr>
          <w:rFonts w:eastAsia="Calibri" w:cs="Arial"/>
          <w:noProof w:val="0"/>
          <w:szCs w:val="22"/>
          <w:lang w:bidi="ar-SA"/>
        </w:rPr>
        <w:t xml:space="preserve"> zákon </w:t>
      </w:r>
      <w:r w:rsidRPr="00ED38E9">
        <w:rPr>
          <w:rFonts w:eastAsia="Calibri" w:cs="Arial"/>
          <w:noProof w:val="0"/>
          <w:szCs w:val="22"/>
          <w:lang w:bidi="ar-SA"/>
        </w:rPr>
        <w:t xml:space="preserve">neumožňuje </w:t>
      </w:r>
      <w:r w:rsidRPr="00ED38E9">
        <w:rPr>
          <w:rFonts w:eastAsia="Calibri" w:cs="Arial"/>
          <w:noProof w:val="0"/>
          <w:szCs w:val="22"/>
          <w:lang w:bidi="ar-SA"/>
        </w:rPr>
        <w:t>přímo odebrání oprávnění k provozování KS ze</w:t>
      </w:r>
      <w:r>
        <w:rPr>
          <w:rFonts w:eastAsia="Calibri" w:cs="Arial"/>
          <w:noProof w:val="0"/>
          <w:szCs w:val="22"/>
          <w:lang w:bidi="ar-SA"/>
        </w:rPr>
        <w:t> </w:t>
      </w:r>
      <w:r w:rsidRPr="00ED38E9">
        <w:rPr>
          <w:rFonts w:eastAsia="Calibri" w:cs="Arial"/>
          <w:noProof w:val="0"/>
          <w:szCs w:val="22"/>
          <w:lang w:bidi="ar-SA"/>
        </w:rPr>
        <w:t>strany MŽP. Tento úkon tedy nemá jasně stanovené podmínky a vzhledem ke</w:t>
      </w:r>
      <w:r>
        <w:rPr>
          <w:rFonts w:eastAsia="Calibri" w:cs="Arial"/>
          <w:noProof w:val="0"/>
          <w:szCs w:val="22"/>
          <w:lang w:bidi="ar-SA"/>
        </w:rPr>
        <w:t> </w:t>
      </w:r>
      <w:r w:rsidRPr="00ED38E9">
        <w:rPr>
          <w:rFonts w:eastAsia="Calibri" w:cs="Arial"/>
          <w:noProof w:val="0"/>
          <w:szCs w:val="22"/>
          <w:lang w:bidi="ar-SA"/>
        </w:rPr>
        <w:t xml:space="preserve">značné právní nejistotě dotčených subjektů </w:t>
      </w:r>
      <w:r>
        <w:rPr>
          <w:rFonts w:eastAsia="Calibri" w:cs="Arial"/>
          <w:noProof w:val="0"/>
          <w:szCs w:val="22"/>
          <w:lang w:bidi="ar-SA"/>
        </w:rPr>
        <w:t>je</w:t>
      </w:r>
      <w:r w:rsidRPr="00ED38E9">
        <w:rPr>
          <w:rFonts w:eastAsia="Calibri" w:cs="Arial"/>
          <w:noProof w:val="0"/>
          <w:szCs w:val="22"/>
          <w:lang w:bidi="ar-SA"/>
        </w:rPr>
        <w:t xml:space="preserve"> potřeba tuto oblast legislativně upravit.</w:t>
      </w:r>
    </w:p>
    <w:p w:rsidR="00667393" w:rsidRPr="00ED38E9" w:rsidP="00BF16B7" w14:paraId="6F24DCF1" w14:textId="77777777">
      <w:pPr>
        <w:pStyle w:val="Heading3"/>
      </w:pPr>
      <w:r w:rsidRPr="00ED38E9">
        <w:t>Identifikace dotčených subjektů</w:t>
      </w:r>
    </w:p>
    <w:p w:rsidR="00667393" w:rsidRPr="00ED38E9" w:rsidP="003C445B" w14:paraId="743CFCB6" w14:textId="77777777">
      <w:pPr>
        <w:pStyle w:val="ListParagraph"/>
        <w:numPr>
          <w:ilvl w:val="0"/>
          <w:numId w:val="92"/>
        </w:numPr>
        <w:contextualSpacing w:val="0"/>
        <w:rPr>
          <w:rFonts w:cs="Arial"/>
        </w:rPr>
      </w:pPr>
      <w:r w:rsidRPr="00ED38E9">
        <w:rPr>
          <w:rFonts w:cs="Arial"/>
        </w:rPr>
        <w:t>MŽP,</w:t>
      </w:r>
    </w:p>
    <w:p w:rsidR="00667393" w:rsidP="003C445B" w14:paraId="62B7D95C" w14:textId="77777777">
      <w:pPr>
        <w:pStyle w:val="ListParagraph"/>
        <w:numPr>
          <w:ilvl w:val="0"/>
          <w:numId w:val="92"/>
        </w:numPr>
        <w:contextualSpacing w:val="0"/>
        <w:rPr>
          <w:rFonts w:cs="Arial"/>
        </w:rPr>
      </w:pPr>
      <w:r>
        <w:rPr>
          <w:rFonts w:cs="Arial"/>
        </w:rPr>
        <w:t>Kolektivní systémy</w:t>
      </w:r>
      <w:r w:rsidRPr="00ED38E9">
        <w:rPr>
          <w:rFonts w:cs="Arial"/>
        </w:rPr>
        <w:t>.</w:t>
      </w:r>
    </w:p>
    <w:p w:rsidR="00667393" w:rsidRPr="00ED38E9" w:rsidP="00BF16B7" w14:paraId="117AFADA" w14:textId="77777777">
      <w:pPr>
        <w:pStyle w:val="Heading3"/>
      </w:pPr>
      <w:r w:rsidRPr="00ED38E9">
        <w:t>Popis cílového stavu</w:t>
      </w:r>
    </w:p>
    <w:p w:rsidR="00BA6FEA" w:rsidP="00667393" w14:paraId="35F64427" w14:textId="77777777">
      <w:pPr>
        <w:rPr>
          <w:rFonts w:eastAsia="Calibri" w:cs="Arial"/>
          <w:noProof w:val="0"/>
          <w:szCs w:val="22"/>
          <w:lang w:bidi="ar-SA"/>
        </w:rPr>
      </w:pPr>
      <w:r w:rsidRPr="00ED38E9">
        <w:rPr>
          <w:rFonts w:eastAsia="Calibri" w:cs="Arial"/>
          <w:noProof w:val="0"/>
          <w:szCs w:val="22"/>
          <w:lang w:bidi="ar-SA"/>
        </w:rPr>
        <w:t>Cílem je vytvořit transparentní systém, který bude přispívat k navyšování úrovní sběru a zároveň nebude podněcovat kolektivní systém k obcházení zákona – například  ve formě vytvoření fiktivních sběrných míst, které by kolektivní systém zakládal z důvodu vyhnutí se odebrání oprávnění k provozování KS.</w:t>
      </w:r>
    </w:p>
    <w:p w:rsidR="00667393" w:rsidP="00667393" w14:paraId="43A16688" w14:textId="77777777">
      <w:pPr>
        <w:rPr>
          <w:rFonts w:cs="Arial"/>
        </w:rPr>
      </w:pPr>
      <w:r w:rsidRPr="002B593F">
        <w:rPr>
          <w:rFonts w:eastAsia="Calibri" w:cs="Arial"/>
          <w:noProof w:val="0"/>
          <w:szCs w:val="22"/>
          <w:lang w:bidi="ar-SA"/>
        </w:rPr>
        <w:t xml:space="preserve"> </w:t>
      </w:r>
    </w:p>
    <w:p w:rsidR="00667393" w:rsidRPr="00ED38E9" w:rsidP="00411BD4" w14:paraId="21E74B7F" w14:textId="77777777">
      <w:pPr>
        <w:pStyle w:val="Heading2"/>
        <w:spacing w:before="120" w:after="0"/>
      </w:pPr>
      <w:r w:rsidRPr="00ED38E9">
        <w:t>Návrh variant řešení</w:t>
      </w:r>
    </w:p>
    <w:p w:rsidR="00667393" w:rsidP="00411BD4" w14:paraId="414803AE" w14:textId="77777777">
      <w:pPr>
        <w:pStyle w:val="Heading3"/>
        <w:keepNext/>
        <w:widowControl/>
      </w:pPr>
      <w:r w:rsidRPr="00ED38E9">
        <w:t>Varianta 0</w:t>
      </w:r>
    </w:p>
    <w:p w:rsidR="00667393" w:rsidRPr="00D81F64" w:rsidP="00B760EA" w14:paraId="02C1FB10" w14:textId="77777777">
      <w:r w:rsidRPr="00D81F64">
        <w:t>Zachování současného stavu.</w:t>
      </w:r>
    </w:p>
    <w:p w:rsidR="00667393" w:rsidP="00BF16B7" w14:paraId="66C947E9" w14:textId="77777777">
      <w:pPr>
        <w:pStyle w:val="Heading3"/>
      </w:pPr>
      <w:r>
        <w:t>Varianta 1</w:t>
      </w:r>
    </w:p>
    <w:p w:rsidR="00667393" w:rsidP="00B760EA" w14:paraId="5E12F686" w14:textId="68277569">
      <w:r w:rsidRPr="00ED38E9">
        <w:rPr>
          <w:rFonts w:eastAsia="Calibri" w:cs="Arial"/>
          <w:noProof w:val="0"/>
          <w:szCs w:val="22"/>
          <w:lang w:bidi="ar-SA"/>
        </w:rPr>
        <w:t>Stanovení jednoznačných podmínek, za kterých bude možno zahájit s KS správní řízení o</w:t>
      </w:r>
      <w:r>
        <w:rPr>
          <w:rFonts w:eastAsia="Calibri" w:cs="Arial"/>
          <w:noProof w:val="0"/>
          <w:szCs w:val="22"/>
          <w:lang w:bidi="ar-SA"/>
        </w:rPr>
        <w:t> </w:t>
      </w:r>
      <w:r w:rsidRPr="00ED38E9">
        <w:rPr>
          <w:rFonts w:eastAsia="Calibri" w:cs="Arial"/>
          <w:noProof w:val="0"/>
          <w:szCs w:val="22"/>
          <w:lang w:bidi="ar-SA"/>
        </w:rPr>
        <w:t>odebrání oprávnění k provozování KS.</w:t>
      </w:r>
    </w:p>
    <w:p w:rsidR="00D81F64" w:rsidRPr="00D81F64" w:rsidP="00D81F64" w14:paraId="031DAB52" w14:textId="77777777"/>
    <w:p w:rsidR="00667393" w:rsidP="00667393" w14:paraId="18885C55" w14:textId="77777777">
      <w:pPr>
        <w:pStyle w:val="Heading2"/>
        <w:spacing w:before="120" w:after="0"/>
      </w:pPr>
      <w:r>
        <w:t>Vyhodnocení nákladů a přínosů</w:t>
      </w:r>
    </w:p>
    <w:p w:rsidR="00667393" w:rsidRPr="00043961" w:rsidP="00BF16B7" w14:paraId="424AE0B3" w14:textId="77777777">
      <w:pPr>
        <w:pStyle w:val="Heading3"/>
      </w:pPr>
      <w:r w:rsidRPr="00043961">
        <w:t>Identifikace nákladů a přínosů</w:t>
      </w:r>
    </w:p>
    <w:p w:rsidR="00667393" w:rsidRPr="00692CF1" w:rsidP="003C445B" w14:paraId="4D9B193B" w14:textId="77777777">
      <w:pPr>
        <w:pStyle w:val="ListParagraph"/>
        <w:keepNext/>
        <w:numPr>
          <w:ilvl w:val="0"/>
          <w:numId w:val="93"/>
        </w:numPr>
        <w:spacing w:before="240" w:after="120"/>
        <w:contextualSpacing w:val="0"/>
        <w:rPr>
          <w:rFonts w:cs="Arial"/>
          <w:b/>
        </w:rPr>
      </w:pPr>
      <w:r w:rsidRPr="00692CF1">
        <w:rPr>
          <w:rFonts w:cs="Arial"/>
          <w:b/>
        </w:rPr>
        <w:t>Varianta 0</w:t>
      </w:r>
    </w:p>
    <w:p w:rsidR="00667393" w:rsidP="00667393" w14:paraId="5223BCFB" w14:textId="77777777">
      <w:pPr>
        <w:rPr>
          <w:rFonts w:cs="Arial"/>
        </w:rPr>
      </w:pPr>
      <w:r w:rsidRPr="00ED38E9">
        <w:rPr>
          <w:rFonts w:cs="Arial"/>
        </w:rPr>
        <w:t xml:space="preserve">Současný stav nepředstavuje </w:t>
      </w:r>
      <w:r>
        <w:rPr>
          <w:rFonts w:cs="Arial"/>
        </w:rPr>
        <w:t xml:space="preserve">pro dotčené subjekty dodatečné náklady. </w:t>
      </w:r>
    </w:p>
    <w:p w:rsidR="00667393" w:rsidRPr="00692CF1" w:rsidP="003C445B" w14:paraId="1F6B9D65" w14:textId="77777777">
      <w:pPr>
        <w:pStyle w:val="ListParagraph"/>
        <w:keepNext/>
        <w:numPr>
          <w:ilvl w:val="0"/>
          <w:numId w:val="93"/>
        </w:numPr>
        <w:spacing w:before="360" w:after="120"/>
        <w:ind w:left="714" w:hanging="357"/>
        <w:contextualSpacing w:val="0"/>
        <w:rPr>
          <w:rFonts w:cs="Arial"/>
          <w:b/>
        </w:rPr>
      </w:pPr>
      <w:r w:rsidRPr="00692CF1">
        <w:rPr>
          <w:rFonts w:cs="Arial"/>
          <w:b/>
        </w:rPr>
        <w:t>Varianta 1</w:t>
      </w:r>
    </w:p>
    <w:p w:rsidR="00667393" w:rsidRPr="00221615" w:rsidP="00667393" w14:paraId="7E81F1D2" w14:textId="5BA14E84">
      <w:pPr>
        <w:widowControl w:val="0"/>
        <w:spacing w:after="120"/>
        <w:rPr>
          <w:rFonts w:eastAsia="Calibri" w:cs="Arial"/>
          <w:noProof w:val="0"/>
          <w:szCs w:val="22"/>
          <w:lang w:bidi="ar-SA"/>
        </w:rPr>
      </w:pPr>
      <w:r w:rsidRPr="00AA24BA">
        <w:rPr>
          <w:rFonts w:eastAsia="Calibri" w:cs="Arial"/>
          <w:noProof w:val="0"/>
          <w:szCs w:val="22"/>
          <w:lang w:bidi="ar-SA"/>
        </w:rPr>
        <w:t>V </w:t>
      </w:r>
      <w:r w:rsidRPr="00221615">
        <w:rPr>
          <w:rFonts w:eastAsia="Calibri" w:cs="Arial"/>
          <w:noProof w:val="0"/>
          <w:szCs w:val="22"/>
          <w:lang w:bidi="ar-SA"/>
        </w:rPr>
        <w:t>případě úvah o zavedení přesně definovaných podmínek vedoucích v případě jejich nesplnění ke správnímu řízení o odebrání oprávnění k provozování KS je zapotřebí důkl</w:t>
      </w:r>
      <w:r w:rsidR="006E2211">
        <w:rPr>
          <w:rFonts w:eastAsia="Calibri" w:cs="Arial"/>
          <w:noProof w:val="0"/>
          <w:szCs w:val="22"/>
          <w:lang w:bidi="ar-SA"/>
        </w:rPr>
        <w:t xml:space="preserve">adně zvážit stanovené podmínky </w:t>
      </w:r>
      <w:r w:rsidRPr="00221615">
        <w:rPr>
          <w:rFonts w:eastAsia="Calibri" w:cs="Arial"/>
          <w:noProof w:val="0"/>
          <w:szCs w:val="22"/>
          <w:lang w:bidi="ar-SA"/>
        </w:rPr>
        <w:t>tak</w:t>
      </w:r>
      <w:r w:rsidR="006E2211">
        <w:rPr>
          <w:rFonts w:eastAsia="Calibri" w:cs="Arial"/>
          <w:noProof w:val="0"/>
          <w:szCs w:val="22"/>
          <w:lang w:bidi="ar-SA"/>
        </w:rPr>
        <w:t>,</w:t>
      </w:r>
      <w:r w:rsidRPr="00221615">
        <w:rPr>
          <w:rFonts w:eastAsia="Calibri" w:cs="Arial"/>
          <w:noProof w:val="0"/>
          <w:szCs w:val="22"/>
          <w:lang w:bidi="ar-SA"/>
        </w:rPr>
        <w:t xml:space="preserve"> aby nedocházelo k negativním dopadům na úroveň sběru</w:t>
      </w:r>
      <w:r>
        <w:rPr>
          <w:rFonts w:eastAsia="Calibri" w:cs="Arial"/>
          <w:noProof w:val="0"/>
          <w:szCs w:val="22"/>
          <w:lang w:bidi="ar-SA"/>
        </w:rPr>
        <w:t xml:space="preserve"> </w:t>
      </w:r>
      <w:r w:rsidR="00A571AD">
        <w:rPr>
          <w:rFonts w:eastAsia="Calibri" w:cs="Arial"/>
          <w:noProof w:val="0"/>
          <w:szCs w:val="22"/>
          <w:lang w:bidi="ar-SA"/>
        </w:rPr>
        <w:t>VUŽ</w:t>
      </w:r>
      <w:r>
        <w:rPr>
          <w:rFonts w:eastAsia="Calibri" w:cs="Arial"/>
          <w:noProof w:val="0"/>
          <w:szCs w:val="22"/>
          <w:lang w:bidi="ar-SA"/>
        </w:rPr>
        <w:t xml:space="preserve">, zejména </w:t>
      </w:r>
      <w:r w:rsidRPr="00221615">
        <w:rPr>
          <w:rFonts w:eastAsia="Calibri" w:cs="Arial"/>
          <w:noProof w:val="0"/>
          <w:szCs w:val="22"/>
          <w:lang w:bidi="ar-SA"/>
        </w:rPr>
        <w:t xml:space="preserve">OEEZ. Právní předpis by měl obsahovat jednoznačně definované podmínky tak, aby nedocházelo k obcházení zákona a ke vzniku korupčních rizik. Naopak podmínky by měly mít i charakter motivační. Existence jasně definovaného systému pravidel bude mít pozitivní efekt na transparentnost prostředí, v němž se jednotliví aktéři pohybují. </w:t>
      </w:r>
    </w:p>
    <w:p w:rsidR="00667393" w:rsidRPr="00221615" w:rsidP="00667393" w14:paraId="5A270617" w14:textId="66FA489D">
      <w:pPr>
        <w:widowControl w:val="0"/>
        <w:spacing w:after="120"/>
        <w:rPr>
          <w:rFonts w:eastAsia="Calibri" w:cs="Arial"/>
          <w:noProof w:val="0"/>
          <w:szCs w:val="22"/>
          <w:lang w:bidi="ar-SA"/>
        </w:rPr>
      </w:pPr>
      <w:r w:rsidRPr="00221615">
        <w:rPr>
          <w:rFonts w:eastAsia="Calibri" w:cs="Arial"/>
          <w:noProof w:val="0"/>
          <w:szCs w:val="22"/>
          <w:lang w:bidi="ar-SA"/>
        </w:rPr>
        <w:t>Kromě podmínek vycházejících z požadavků pro udělení oprávnění k provozování KS (např. hustota sběrné sítě) by s ohledem na motivační charakter měly být podmínky navázané na</w:t>
      </w:r>
      <w:r w:rsidR="00B760EA">
        <w:rPr>
          <w:rFonts w:eastAsia="Calibri" w:cs="Arial"/>
          <w:noProof w:val="0"/>
          <w:szCs w:val="22"/>
          <w:lang w:bidi="ar-SA"/>
        </w:rPr>
        <w:t> </w:t>
      </w:r>
      <w:r w:rsidRPr="00221615">
        <w:rPr>
          <w:rFonts w:eastAsia="Calibri" w:cs="Arial"/>
          <w:noProof w:val="0"/>
          <w:szCs w:val="22"/>
          <w:lang w:bidi="ar-SA"/>
        </w:rPr>
        <w:t xml:space="preserve">cíle sběru definované Směrnicí OEEZ. Zároveň by dané podmínky měly kromě motivace odrážet i reálnou situaci na trhu a umožnit tak povinným subjektům jejich splnění v případě řádného výkonu povinností vyplývajících z rozšířené odpovědnosti výrobců (střednědobý horizont).  </w:t>
      </w:r>
    </w:p>
    <w:p w:rsidR="00667393" w:rsidRPr="00221615" w:rsidP="00667393" w14:paraId="2621837D" w14:textId="27367A2E">
      <w:pPr>
        <w:widowControl w:val="0"/>
        <w:spacing w:after="120"/>
        <w:rPr>
          <w:rFonts w:eastAsia="Calibri" w:cs="Arial"/>
          <w:noProof w:val="0"/>
          <w:szCs w:val="22"/>
          <w:lang w:bidi="ar-SA"/>
        </w:rPr>
      </w:pPr>
      <w:r w:rsidRPr="00221615">
        <w:rPr>
          <w:rFonts w:eastAsia="Calibri" w:cs="Arial"/>
          <w:noProof w:val="0"/>
          <w:szCs w:val="22"/>
          <w:lang w:bidi="ar-SA"/>
        </w:rPr>
        <w:t xml:space="preserve">Níže uvádíme příklady několika podmínek vycházejících z cíle úrovně </w:t>
      </w:r>
      <w:r w:rsidR="00A571AD">
        <w:rPr>
          <w:rFonts w:eastAsia="Calibri" w:cs="Arial"/>
          <w:noProof w:val="0"/>
          <w:szCs w:val="22"/>
          <w:lang w:bidi="ar-SA"/>
        </w:rPr>
        <w:t>ZO</w:t>
      </w:r>
      <w:r w:rsidRPr="00221615">
        <w:rPr>
          <w:rFonts w:eastAsia="Calibri" w:cs="Arial"/>
          <w:noProof w:val="0"/>
          <w:szCs w:val="22"/>
          <w:lang w:bidi="ar-SA"/>
        </w:rPr>
        <w:t xml:space="preserve"> společně s možnými přínosy a riziky vyplývajícími z dané podmínky.</w:t>
      </w:r>
    </w:p>
    <w:p w:rsidR="00411BD4" w14:paraId="61A80327" w14:textId="77777777">
      <w:pPr>
        <w:rPr>
          <w:rFonts w:eastAsia="Calibri" w:cs="Arial"/>
          <w:b/>
          <w:noProof w:val="0"/>
          <w:sz w:val="20"/>
          <w:szCs w:val="20"/>
          <w:lang w:bidi="ar-SA"/>
        </w:rPr>
      </w:pPr>
      <w:r>
        <w:rPr>
          <w:rFonts w:eastAsia="Calibri" w:cs="Arial"/>
          <w:b/>
          <w:noProof w:val="0"/>
          <w:sz w:val="20"/>
          <w:szCs w:val="20"/>
          <w:lang w:bidi="ar-SA"/>
        </w:rPr>
        <w:br w:type="page"/>
      </w:r>
    </w:p>
    <w:p w:rsidR="00667393" w:rsidRPr="00BA6FEA" w:rsidP="00F37472" w14:paraId="0CBDB294" w14:textId="3A2968D8">
      <w:pPr>
        <w:keepNext/>
        <w:widowControl w:val="0"/>
        <w:spacing w:before="240" w:after="120"/>
        <w:rPr>
          <w:rFonts w:eastAsia="Calibri" w:cs="Arial"/>
          <w:b/>
          <w:noProof w:val="0"/>
          <w:sz w:val="20"/>
          <w:szCs w:val="20"/>
          <w:lang w:bidi="ar-SA"/>
        </w:rPr>
      </w:pPr>
      <w:r w:rsidRPr="00BA6FEA">
        <w:rPr>
          <w:rFonts w:eastAsia="Calibri" w:cs="Arial"/>
          <w:b/>
          <w:noProof w:val="0"/>
          <w:sz w:val="20"/>
          <w:szCs w:val="20"/>
          <w:lang w:bidi="ar-SA"/>
        </w:rPr>
        <w:t xml:space="preserve">Tabulka </w:t>
      </w:r>
      <w:r w:rsidR="00193C68">
        <w:rPr>
          <w:rFonts w:eastAsia="Calibri" w:cs="Arial"/>
          <w:b/>
          <w:noProof w:val="0"/>
          <w:sz w:val="20"/>
          <w:szCs w:val="20"/>
          <w:lang w:bidi="ar-SA"/>
        </w:rPr>
        <w:t>21</w:t>
      </w:r>
      <w:r w:rsidRPr="00BA6FEA">
        <w:rPr>
          <w:rFonts w:eastAsia="Calibri" w:cs="Arial"/>
          <w:b/>
          <w:noProof w:val="0"/>
          <w:sz w:val="20"/>
          <w:szCs w:val="20"/>
          <w:lang w:bidi="ar-SA"/>
        </w:rPr>
        <w:t>: Příklady stanovení cílů sběru</w:t>
      </w:r>
    </w:p>
    <w:tbl>
      <w:tblPr>
        <w:tblStyle w:val="TableGrid"/>
        <w:tblW w:w="0" w:type="auto"/>
        <w:tblInd w:w="108" w:type="dxa"/>
        <w:tblLook w:val="04A0"/>
      </w:tblPr>
      <w:tblGrid>
        <w:gridCol w:w="2910"/>
        <w:gridCol w:w="3022"/>
        <w:gridCol w:w="3022"/>
      </w:tblGrid>
      <w:tr w14:paraId="0DB3FA90" w14:textId="77777777" w:rsidTr="006031E5">
        <w:tblPrEx>
          <w:tblW w:w="0" w:type="auto"/>
          <w:tblInd w:w="108" w:type="dxa"/>
          <w:tblLook w:val="04A0"/>
        </w:tblPrEx>
        <w:tc>
          <w:tcPr>
            <w:tcW w:w="2962" w:type="dxa"/>
            <w:shd w:val="clear" w:color="auto" w:fill="auto"/>
          </w:tcPr>
          <w:p w:rsidR="00667393" w:rsidRPr="00BA6FEA" w:rsidP="00692CF1" w14:paraId="647887CB" w14:textId="77777777">
            <w:pPr>
              <w:spacing w:after="120" w:line="240" w:lineRule="auto"/>
              <w:jc w:val="left"/>
              <w:rPr>
                <w:rFonts w:cs="Arial"/>
                <w:b/>
                <w:noProof w:val="0"/>
                <w:sz w:val="20"/>
                <w:szCs w:val="20"/>
                <w:lang w:bidi="ar-SA"/>
              </w:rPr>
            </w:pPr>
            <w:r w:rsidRPr="00BA6FEA">
              <w:rPr>
                <w:rFonts w:cs="Arial"/>
                <w:b/>
                <w:noProof w:val="0"/>
                <w:sz w:val="20"/>
                <w:szCs w:val="20"/>
                <w:lang w:bidi="ar-SA"/>
              </w:rPr>
              <w:t>Podmínka</w:t>
            </w:r>
          </w:p>
        </w:tc>
        <w:tc>
          <w:tcPr>
            <w:tcW w:w="3071" w:type="dxa"/>
            <w:shd w:val="clear" w:color="auto" w:fill="auto"/>
          </w:tcPr>
          <w:p w:rsidR="00667393" w:rsidRPr="00BA6FEA" w:rsidP="00692CF1" w14:paraId="7EFE6124" w14:textId="77777777">
            <w:pPr>
              <w:spacing w:after="120" w:line="240" w:lineRule="auto"/>
              <w:jc w:val="left"/>
              <w:rPr>
                <w:rFonts w:cs="Arial"/>
                <w:b/>
                <w:noProof w:val="0"/>
                <w:sz w:val="20"/>
                <w:szCs w:val="20"/>
                <w:lang w:bidi="ar-SA"/>
              </w:rPr>
            </w:pPr>
            <w:r w:rsidRPr="00BA6FEA">
              <w:rPr>
                <w:rFonts w:cs="Arial"/>
                <w:b/>
                <w:noProof w:val="0"/>
                <w:sz w:val="20"/>
                <w:szCs w:val="20"/>
                <w:lang w:bidi="ar-SA"/>
              </w:rPr>
              <w:t>Přínosy</w:t>
            </w:r>
          </w:p>
        </w:tc>
        <w:tc>
          <w:tcPr>
            <w:tcW w:w="3071" w:type="dxa"/>
            <w:shd w:val="clear" w:color="auto" w:fill="auto"/>
          </w:tcPr>
          <w:p w:rsidR="00667393" w:rsidRPr="00BA6FEA" w:rsidP="00692CF1" w14:paraId="7FE19F94" w14:textId="77777777">
            <w:pPr>
              <w:spacing w:after="120" w:line="240" w:lineRule="auto"/>
              <w:jc w:val="left"/>
              <w:rPr>
                <w:rFonts w:cs="Arial"/>
                <w:b/>
                <w:noProof w:val="0"/>
                <w:sz w:val="20"/>
                <w:szCs w:val="20"/>
                <w:lang w:bidi="ar-SA"/>
              </w:rPr>
            </w:pPr>
            <w:r w:rsidRPr="00BA6FEA">
              <w:rPr>
                <w:rFonts w:cs="Arial"/>
                <w:b/>
                <w:noProof w:val="0"/>
                <w:sz w:val="20"/>
                <w:szCs w:val="20"/>
                <w:lang w:bidi="ar-SA"/>
              </w:rPr>
              <w:t>Rizika</w:t>
            </w:r>
          </w:p>
        </w:tc>
      </w:tr>
      <w:tr w14:paraId="61F4D5D1" w14:textId="77777777" w:rsidTr="00A571AD">
        <w:tblPrEx>
          <w:tblW w:w="0" w:type="auto"/>
          <w:tblInd w:w="108" w:type="dxa"/>
          <w:tblLook w:val="04A0"/>
        </w:tblPrEx>
        <w:trPr>
          <w:trHeight w:val="850"/>
        </w:trPr>
        <w:tc>
          <w:tcPr>
            <w:tcW w:w="2962" w:type="dxa"/>
          </w:tcPr>
          <w:p w:rsidR="00667393" w:rsidRPr="00BA6FEA" w:rsidP="00692CF1" w14:paraId="4CA01B49" w14:textId="77777777">
            <w:pPr>
              <w:spacing w:after="120" w:line="240" w:lineRule="auto"/>
              <w:jc w:val="left"/>
              <w:rPr>
                <w:rFonts w:cs="Arial"/>
                <w:noProof w:val="0"/>
                <w:sz w:val="20"/>
                <w:szCs w:val="20"/>
                <w:lang w:bidi="ar-SA"/>
              </w:rPr>
            </w:pPr>
            <w:r w:rsidRPr="00BA6FEA">
              <w:rPr>
                <w:rFonts w:cs="Arial"/>
                <w:noProof w:val="0"/>
                <w:sz w:val="20"/>
                <w:szCs w:val="20"/>
                <w:lang w:bidi="ar-SA"/>
              </w:rPr>
              <w:t xml:space="preserve">Cíl absolutní (např. úroveň zpětného odběru OEEZ dle směrnice) </w:t>
            </w:r>
          </w:p>
        </w:tc>
        <w:tc>
          <w:tcPr>
            <w:tcW w:w="3071" w:type="dxa"/>
          </w:tcPr>
          <w:p w:rsidR="00667393" w:rsidRPr="00BA6FEA" w:rsidP="00692CF1" w14:paraId="3543A978" w14:textId="77777777">
            <w:pPr>
              <w:spacing w:after="120" w:line="240" w:lineRule="auto"/>
              <w:jc w:val="left"/>
              <w:rPr>
                <w:rFonts w:cs="Arial"/>
                <w:noProof w:val="0"/>
                <w:sz w:val="20"/>
                <w:szCs w:val="20"/>
                <w:lang w:bidi="ar-SA"/>
              </w:rPr>
            </w:pPr>
            <w:r w:rsidRPr="00BA6FEA">
              <w:rPr>
                <w:rFonts w:cs="Arial"/>
                <w:noProof w:val="0"/>
                <w:sz w:val="20"/>
                <w:szCs w:val="20"/>
                <w:lang w:bidi="ar-SA"/>
              </w:rPr>
              <w:t>Jednoznačně definovaný</w:t>
            </w:r>
          </w:p>
          <w:p w:rsidR="00667393" w:rsidRPr="00BA6FEA" w:rsidP="00692CF1" w14:paraId="7FC93449" w14:textId="77777777">
            <w:pPr>
              <w:spacing w:after="120" w:line="240" w:lineRule="auto"/>
              <w:jc w:val="left"/>
              <w:rPr>
                <w:rFonts w:cs="Arial"/>
                <w:noProof w:val="0"/>
                <w:sz w:val="20"/>
                <w:szCs w:val="20"/>
                <w:lang w:bidi="ar-SA"/>
              </w:rPr>
            </w:pPr>
            <w:r w:rsidRPr="00BA6FEA">
              <w:rPr>
                <w:rFonts w:cs="Arial"/>
                <w:noProof w:val="0"/>
                <w:sz w:val="20"/>
                <w:szCs w:val="20"/>
                <w:lang w:bidi="ar-SA"/>
              </w:rPr>
              <w:t>Motivační</w:t>
            </w:r>
          </w:p>
          <w:p w:rsidR="00667393" w:rsidRPr="00BA6FEA" w:rsidP="00692CF1" w14:paraId="64E7D099" w14:textId="77777777">
            <w:pPr>
              <w:spacing w:after="120" w:line="240" w:lineRule="auto"/>
              <w:jc w:val="left"/>
              <w:rPr>
                <w:rFonts w:cs="Arial"/>
                <w:noProof w:val="0"/>
                <w:sz w:val="20"/>
                <w:szCs w:val="20"/>
                <w:lang w:bidi="ar-SA"/>
              </w:rPr>
            </w:pPr>
            <w:r w:rsidRPr="00BA6FEA">
              <w:rPr>
                <w:rFonts w:cs="Arial"/>
                <w:noProof w:val="0"/>
                <w:sz w:val="20"/>
                <w:szCs w:val="20"/>
                <w:lang w:bidi="ar-SA"/>
              </w:rPr>
              <w:t>Zohledňuje cíl stanovený evropskou legislativou</w:t>
            </w:r>
          </w:p>
          <w:p w:rsidR="00667393" w:rsidRPr="00BA6FEA" w:rsidP="00692CF1" w14:paraId="2C3A75FE" w14:textId="77777777">
            <w:pPr>
              <w:spacing w:after="120" w:line="240" w:lineRule="auto"/>
              <w:jc w:val="left"/>
              <w:rPr>
                <w:rFonts w:cs="Arial"/>
                <w:noProof w:val="0"/>
                <w:sz w:val="20"/>
                <w:szCs w:val="20"/>
                <w:lang w:bidi="ar-SA"/>
              </w:rPr>
            </w:pPr>
            <w:r w:rsidRPr="00BA6FEA">
              <w:rPr>
                <w:rFonts w:cs="Arial"/>
                <w:noProof w:val="0"/>
                <w:sz w:val="20"/>
                <w:szCs w:val="20"/>
                <w:lang w:bidi="ar-SA"/>
              </w:rPr>
              <w:t>V případě sankce ze strany EU nejednoznačná možnost přenesení na povinné subjekty.</w:t>
            </w:r>
          </w:p>
        </w:tc>
        <w:tc>
          <w:tcPr>
            <w:tcW w:w="3071" w:type="dxa"/>
          </w:tcPr>
          <w:p w:rsidR="00667393" w:rsidRPr="00BA6FEA" w:rsidP="00692CF1" w14:paraId="59CD6724" w14:textId="77777777">
            <w:pPr>
              <w:spacing w:after="120" w:line="240" w:lineRule="auto"/>
              <w:jc w:val="left"/>
              <w:rPr>
                <w:rFonts w:cs="Arial"/>
                <w:noProof w:val="0"/>
                <w:sz w:val="20"/>
                <w:szCs w:val="20"/>
                <w:lang w:bidi="ar-SA"/>
              </w:rPr>
            </w:pPr>
            <w:r w:rsidRPr="00BA6FEA">
              <w:rPr>
                <w:rFonts w:cs="Arial"/>
                <w:noProof w:val="0"/>
                <w:sz w:val="20"/>
                <w:szCs w:val="20"/>
                <w:lang w:bidi="ar-SA"/>
              </w:rPr>
              <w:t>V případě nepříznivých podmínek na trhu povinnost zahájit správní řízení o odebrání oprávnění se všemi subjekty</w:t>
            </w:r>
          </w:p>
          <w:p w:rsidR="00667393" w:rsidRPr="00BA6FEA" w:rsidP="00692CF1" w14:paraId="37FAB010" w14:textId="16C87893">
            <w:pPr>
              <w:spacing w:after="120" w:line="240" w:lineRule="auto"/>
              <w:jc w:val="left"/>
              <w:rPr>
                <w:rFonts w:cs="Arial"/>
                <w:noProof w:val="0"/>
                <w:sz w:val="20"/>
                <w:szCs w:val="20"/>
                <w:lang w:bidi="ar-SA"/>
              </w:rPr>
            </w:pPr>
            <w:r w:rsidRPr="00BA6FEA">
              <w:rPr>
                <w:rFonts w:cs="Arial"/>
                <w:noProof w:val="0"/>
                <w:sz w:val="20"/>
                <w:szCs w:val="20"/>
                <w:lang w:bidi="ar-SA"/>
              </w:rPr>
              <w:t xml:space="preserve">Přílišný tlak na </w:t>
            </w:r>
            <w:r w:rsidR="00A571AD">
              <w:rPr>
                <w:rFonts w:cs="Arial"/>
                <w:noProof w:val="0"/>
                <w:sz w:val="20"/>
                <w:szCs w:val="20"/>
                <w:lang w:bidi="ar-SA"/>
              </w:rPr>
              <w:t>ZO</w:t>
            </w:r>
            <w:r w:rsidRPr="00BA6FEA">
              <w:rPr>
                <w:rFonts w:cs="Arial"/>
                <w:noProof w:val="0"/>
                <w:sz w:val="20"/>
                <w:szCs w:val="20"/>
                <w:lang w:bidi="ar-SA"/>
              </w:rPr>
              <w:t xml:space="preserve"> vedoucí k možné „manipulaci“ s</w:t>
            </w:r>
            <w:r w:rsidR="00BA6FEA">
              <w:rPr>
                <w:rFonts w:cs="Arial"/>
                <w:noProof w:val="0"/>
                <w:sz w:val="20"/>
                <w:szCs w:val="20"/>
                <w:lang w:bidi="ar-SA"/>
              </w:rPr>
              <w:t> </w:t>
            </w:r>
            <w:r w:rsidRPr="00BA6FEA">
              <w:rPr>
                <w:rFonts w:cs="Arial"/>
                <w:noProof w:val="0"/>
                <w:sz w:val="20"/>
                <w:szCs w:val="20"/>
                <w:lang w:bidi="ar-SA"/>
              </w:rPr>
              <w:t>údaji ve</w:t>
            </w:r>
            <w:r w:rsidR="00A571AD">
              <w:rPr>
                <w:rFonts w:cs="Arial"/>
                <w:noProof w:val="0"/>
                <w:sz w:val="20"/>
                <w:szCs w:val="20"/>
                <w:lang w:bidi="ar-SA"/>
              </w:rPr>
              <w:t> </w:t>
            </w:r>
            <w:r w:rsidRPr="00BA6FEA">
              <w:rPr>
                <w:rFonts w:cs="Arial"/>
                <w:noProof w:val="0"/>
                <w:sz w:val="20"/>
                <w:szCs w:val="20"/>
                <w:lang w:bidi="ar-SA"/>
              </w:rPr>
              <w:t>snaze splnit</w:t>
            </w:r>
            <w:r w:rsidR="00A571AD">
              <w:rPr>
                <w:rFonts w:cs="Arial"/>
                <w:noProof w:val="0"/>
                <w:sz w:val="20"/>
                <w:szCs w:val="20"/>
                <w:lang w:bidi="ar-SA"/>
              </w:rPr>
              <w:t xml:space="preserve"> cíle</w:t>
            </w:r>
          </w:p>
          <w:p w:rsidR="00667393" w:rsidRPr="00BA6FEA" w:rsidP="00A571AD" w14:paraId="08F9606C" w14:textId="7763A095">
            <w:pPr>
              <w:spacing w:after="120" w:line="240" w:lineRule="auto"/>
              <w:jc w:val="left"/>
              <w:rPr>
                <w:rFonts w:cs="Arial"/>
                <w:noProof w:val="0"/>
                <w:sz w:val="20"/>
                <w:szCs w:val="20"/>
                <w:lang w:bidi="ar-SA"/>
              </w:rPr>
            </w:pPr>
            <w:r w:rsidRPr="00BA6FEA">
              <w:rPr>
                <w:rFonts w:cs="Arial"/>
                <w:noProof w:val="0"/>
                <w:sz w:val="20"/>
                <w:szCs w:val="20"/>
                <w:lang w:bidi="ar-SA"/>
              </w:rPr>
              <w:t>Nezohledňuje možnou cyklicitu ekonomiky a změnu podmínek na</w:t>
            </w:r>
            <w:r w:rsidR="00BA6FEA">
              <w:rPr>
                <w:rFonts w:cs="Arial"/>
                <w:noProof w:val="0"/>
                <w:sz w:val="20"/>
                <w:szCs w:val="20"/>
                <w:lang w:bidi="ar-SA"/>
              </w:rPr>
              <w:t> </w:t>
            </w:r>
            <w:r w:rsidRPr="00BA6FEA">
              <w:rPr>
                <w:rFonts w:cs="Arial"/>
                <w:noProof w:val="0"/>
                <w:sz w:val="20"/>
                <w:szCs w:val="20"/>
                <w:lang w:bidi="ar-SA"/>
              </w:rPr>
              <w:t>trhu</w:t>
            </w:r>
          </w:p>
        </w:tc>
      </w:tr>
      <w:tr w14:paraId="2AFCB9B3" w14:textId="77777777" w:rsidTr="006031E5">
        <w:tblPrEx>
          <w:tblW w:w="0" w:type="auto"/>
          <w:tblInd w:w="108" w:type="dxa"/>
          <w:tblLook w:val="04A0"/>
        </w:tblPrEx>
        <w:tc>
          <w:tcPr>
            <w:tcW w:w="2962" w:type="dxa"/>
          </w:tcPr>
          <w:p w:rsidR="00667393" w:rsidRPr="00BA6FEA" w:rsidP="00692CF1" w14:paraId="08BB90D1" w14:textId="77777777">
            <w:pPr>
              <w:spacing w:after="120" w:line="240" w:lineRule="auto"/>
              <w:jc w:val="left"/>
              <w:rPr>
                <w:rFonts w:cs="Arial"/>
                <w:noProof w:val="0"/>
                <w:sz w:val="20"/>
                <w:szCs w:val="20"/>
                <w:lang w:bidi="ar-SA"/>
              </w:rPr>
            </w:pPr>
            <w:r w:rsidRPr="00BA6FEA">
              <w:rPr>
                <w:rFonts w:cs="Arial"/>
                <w:noProof w:val="0"/>
                <w:sz w:val="20"/>
                <w:szCs w:val="20"/>
                <w:lang w:bidi="ar-SA"/>
              </w:rPr>
              <w:t>Cíl relativní (např. % z cíle stanového evropskou směrnicí, %</w:t>
            </w:r>
            <w:r w:rsidR="00BA6FEA">
              <w:rPr>
                <w:rFonts w:cs="Arial"/>
                <w:noProof w:val="0"/>
                <w:sz w:val="20"/>
                <w:szCs w:val="20"/>
                <w:lang w:bidi="ar-SA"/>
              </w:rPr>
              <w:t> </w:t>
            </w:r>
            <w:r w:rsidRPr="00BA6FEA">
              <w:rPr>
                <w:rFonts w:cs="Arial"/>
                <w:noProof w:val="0"/>
                <w:sz w:val="20"/>
                <w:szCs w:val="20"/>
                <w:lang w:bidi="ar-SA"/>
              </w:rPr>
              <w:t>z průměru dosahované v dané skupině)</w:t>
            </w:r>
          </w:p>
        </w:tc>
        <w:tc>
          <w:tcPr>
            <w:tcW w:w="3071" w:type="dxa"/>
          </w:tcPr>
          <w:p w:rsidR="00667393" w:rsidRPr="00BA6FEA" w:rsidP="00692CF1" w14:paraId="1EAF45E5" w14:textId="77777777">
            <w:pPr>
              <w:spacing w:after="120" w:line="240" w:lineRule="auto"/>
              <w:jc w:val="left"/>
              <w:rPr>
                <w:rFonts w:cs="Arial"/>
                <w:noProof w:val="0"/>
                <w:sz w:val="20"/>
                <w:szCs w:val="20"/>
                <w:lang w:bidi="ar-SA"/>
              </w:rPr>
            </w:pPr>
            <w:r w:rsidRPr="00BA6FEA">
              <w:rPr>
                <w:rFonts w:cs="Arial"/>
                <w:noProof w:val="0"/>
                <w:sz w:val="20"/>
                <w:szCs w:val="20"/>
                <w:lang w:bidi="ar-SA"/>
              </w:rPr>
              <w:t>Jednoznačně definovaný</w:t>
            </w:r>
          </w:p>
          <w:p w:rsidR="00667393" w:rsidRPr="00BA6FEA" w:rsidP="00692CF1" w14:paraId="45191CDC" w14:textId="77777777">
            <w:pPr>
              <w:spacing w:after="120" w:line="240" w:lineRule="auto"/>
              <w:jc w:val="left"/>
              <w:rPr>
                <w:rFonts w:cs="Arial"/>
                <w:noProof w:val="0"/>
                <w:sz w:val="20"/>
                <w:szCs w:val="20"/>
                <w:lang w:bidi="ar-SA"/>
              </w:rPr>
            </w:pPr>
            <w:r w:rsidRPr="00BA6FEA">
              <w:rPr>
                <w:rFonts w:cs="Arial"/>
                <w:noProof w:val="0"/>
                <w:sz w:val="20"/>
                <w:szCs w:val="20"/>
                <w:lang w:bidi="ar-SA"/>
              </w:rPr>
              <w:t>Motivační</w:t>
            </w:r>
          </w:p>
          <w:p w:rsidR="00667393" w:rsidRPr="00BA6FEA" w:rsidP="00692CF1" w14:paraId="6F750660" w14:textId="77777777">
            <w:pPr>
              <w:spacing w:after="120" w:line="240" w:lineRule="auto"/>
              <w:jc w:val="left"/>
              <w:rPr>
                <w:rFonts w:cs="Arial"/>
                <w:noProof w:val="0"/>
                <w:sz w:val="20"/>
                <w:szCs w:val="20"/>
                <w:lang w:bidi="ar-SA"/>
              </w:rPr>
            </w:pPr>
            <w:r w:rsidRPr="00BA6FEA">
              <w:rPr>
                <w:rFonts w:cs="Arial"/>
                <w:noProof w:val="0"/>
                <w:sz w:val="20"/>
                <w:szCs w:val="20"/>
                <w:lang w:bidi="ar-SA"/>
              </w:rPr>
              <w:t>Při správném nastavení umožní vždy existenci alespoň jednoho subjektu, s nímž nebude zahájeno správní řízení</w:t>
            </w:r>
          </w:p>
          <w:p w:rsidR="00667393" w:rsidRPr="00BA6FEA" w:rsidP="00692CF1" w14:paraId="778284A3" w14:textId="77777777">
            <w:pPr>
              <w:spacing w:after="120" w:line="240" w:lineRule="auto"/>
              <w:jc w:val="left"/>
              <w:rPr>
                <w:rFonts w:cs="Arial"/>
                <w:noProof w:val="0"/>
                <w:sz w:val="20"/>
                <w:szCs w:val="20"/>
                <w:lang w:bidi="ar-SA"/>
              </w:rPr>
            </w:pPr>
          </w:p>
        </w:tc>
        <w:tc>
          <w:tcPr>
            <w:tcW w:w="3071" w:type="dxa"/>
          </w:tcPr>
          <w:p w:rsidR="00667393" w:rsidRPr="00BA6FEA" w:rsidP="00692CF1" w14:paraId="6527537B" w14:textId="77777777">
            <w:pPr>
              <w:spacing w:after="120" w:line="240" w:lineRule="auto"/>
              <w:jc w:val="left"/>
              <w:rPr>
                <w:rFonts w:cs="Arial"/>
                <w:noProof w:val="0"/>
                <w:sz w:val="20"/>
                <w:szCs w:val="20"/>
                <w:lang w:bidi="ar-SA"/>
              </w:rPr>
            </w:pPr>
            <w:r w:rsidRPr="00BA6FEA">
              <w:rPr>
                <w:rFonts w:cs="Arial"/>
                <w:noProof w:val="0"/>
                <w:sz w:val="20"/>
                <w:szCs w:val="20"/>
                <w:lang w:bidi="ar-SA"/>
              </w:rPr>
              <w:t>Nedostatečné motivace v případě příliš měkkého limitu.</w:t>
            </w:r>
          </w:p>
          <w:p w:rsidR="00667393" w:rsidRPr="00BA6FEA" w:rsidP="00692CF1" w14:paraId="30BA6FAC" w14:textId="5C0B1D4D">
            <w:pPr>
              <w:spacing w:after="120" w:line="240" w:lineRule="auto"/>
              <w:jc w:val="left"/>
              <w:rPr>
                <w:rFonts w:cs="Arial"/>
                <w:noProof w:val="0"/>
                <w:sz w:val="20"/>
                <w:szCs w:val="20"/>
                <w:lang w:bidi="ar-SA"/>
              </w:rPr>
            </w:pPr>
            <w:r w:rsidRPr="00BA6FEA">
              <w:rPr>
                <w:rFonts w:cs="Arial"/>
                <w:noProof w:val="0"/>
                <w:sz w:val="20"/>
                <w:szCs w:val="20"/>
                <w:lang w:bidi="ar-SA"/>
              </w:rPr>
              <w:t xml:space="preserve">Tlak na </w:t>
            </w:r>
            <w:r w:rsidR="00A571AD">
              <w:rPr>
                <w:rFonts w:cs="Arial"/>
                <w:noProof w:val="0"/>
                <w:sz w:val="20"/>
                <w:szCs w:val="20"/>
                <w:lang w:bidi="ar-SA"/>
              </w:rPr>
              <w:t>ZO</w:t>
            </w:r>
            <w:r w:rsidRPr="00BA6FEA">
              <w:rPr>
                <w:rFonts w:cs="Arial"/>
                <w:noProof w:val="0"/>
                <w:sz w:val="20"/>
                <w:szCs w:val="20"/>
                <w:lang w:bidi="ar-SA"/>
              </w:rPr>
              <w:t xml:space="preserve"> vedoucí k možné „manipulaci“ s údaji </w:t>
            </w:r>
          </w:p>
          <w:p w:rsidR="00667393" w:rsidRPr="00BA6FEA" w:rsidP="00692CF1" w14:paraId="7B5AF917" w14:textId="77777777">
            <w:pPr>
              <w:spacing w:after="120" w:line="240" w:lineRule="auto"/>
              <w:jc w:val="left"/>
              <w:rPr>
                <w:rFonts w:cs="Arial"/>
                <w:noProof w:val="0"/>
                <w:sz w:val="20"/>
                <w:szCs w:val="20"/>
                <w:lang w:bidi="ar-SA"/>
              </w:rPr>
            </w:pPr>
            <w:r w:rsidRPr="00BA6FEA">
              <w:rPr>
                <w:rFonts w:cs="Arial"/>
                <w:noProof w:val="0"/>
                <w:sz w:val="20"/>
                <w:szCs w:val="20"/>
                <w:lang w:bidi="ar-SA"/>
              </w:rPr>
              <w:t>Nezohledňuje možnou cyklicitu ekonomiky a změnu podmínek na</w:t>
            </w:r>
            <w:r w:rsidR="00BA6FEA">
              <w:rPr>
                <w:rFonts w:cs="Arial"/>
                <w:noProof w:val="0"/>
                <w:sz w:val="20"/>
                <w:szCs w:val="20"/>
                <w:lang w:bidi="ar-SA"/>
              </w:rPr>
              <w:t> </w:t>
            </w:r>
            <w:r w:rsidRPr="00BA6FEA">
              <w:rPr>
                <w:rFonts w:cs="Arial"/>
                <w:noProof w:val="0"/>
                <w:sz w:val="20"/>
                <w:szCs w:val="20"/>
                <w:lang w:bidi="ar-SA"/>
              </w:rPr>
              <w:t>trhu</w:t>
            </w:r>
          </w:p>
          <w:p w:rsidR="00667393" w:rsidRPr="00BA6FEA" w:rsidP="00692CF1" w14:paraId="6C12DEDD" w14:textId="77777777">
            <w:pPr>
              <w:spacing w:after="120" w:line="240" w:lineRule="auto"/>
              <w:jc w:val="left"/>
              <w:rPr>
                <w:rFonts w:cs="Arial"/>
                <w:noProof w:val="0"/>
                <w:sz w:val="20"/>
                <w:szCs w:val="20"/>
                <w:lang w:bidi="ar-SA"/>
              </w:rPr>
            </w:pPr>
            <w:r w:rsidRPr="00BA6FEA">
              <w:rPr>
                <w:rFonts w:cs="Arial"/>
                <w:noProof w:val="0"/>
                <w:sz w:val="20"/>
                <w:szCs w:val="20"/>
                <w:lang w:bidi="ar-SA"/>
              </w:rPr>
              <w:t xml:space="preserve">V případě sankce ze strany EU nejednoznačná možnost přenesení na povinné subjekty. </w:t>
            </w:r>
          </w:p>
        </w:tc>
      </w:tr>
      <w:tr w14:paraId="460F3926" w14:textId="77777777" w:rsidTr="006031E5">
        <w:tblPrEx>
          <w:tblW w:w="0" w:type="auto"/>
          <w:tblInd w:w="108" w:type="dxa"/>
          <w:tblLook w:val="04A0"/>
        </w:tblPrEx>
        <w:tc>
          <w:tcPr>
            <w:tcW w:w="2962" w:type="dxa"/>
          </w:tcPr>
          <w:p w:rsidR="00667393" w:rsidRPr="00BA6FEA" w:rsidP="00692CF1" w14:paraId="3C6CD3C8" w14:textId="77777777">
            <w:pPr>
              <w:spacing w:after="120" w:line="240" w:lineRule="auto"/>
              <w:jc w:val="left"/>
              <w:rPr>
                <w:rFonts w:cs="Arial"/>
                <w:noProof w:val="0"/>
                <w:sz w:val="20"/>
                <w:szCs w:val="20"/>
                <w:lang w:bidi="ar-SA"/>
              </w:rPr>
            </w:pPr>
            <w:r w:rsidRPr="00BA6FEA">
              <w:rPr>
                <w:rFonts w:cs="Arial"/>
                <w:noProof w:val="0"/>
                <w:sz w:val="20"/>
                <w:szCs w:val="20"/>
                <w:lang w:bidi="ar-SA"/>
              </w:rPr>
              <w:t xml:space="preserve">Střednědobý časový aspekt (posuzování na základě delšího časového horizontu např. průměr z posledních tří let) </w:t>
            </w:r>
          </w:p>
        </w:tc>
        <w:tc>
          <w:tcPr>
            <w:tcW w:w="3071" w:type="dxa"/>
          </w:tcPr>
          <w:p w:rsidR="00667393" w:rsidRPr="00BA6FEA" w:rsidP="00692CF1" w14:paraId="36056BA2" w14:textId="77777777">
            <w:pPr>
              <w:spacing w:after="120" w:line="240" w:lineRule="auto"/>
              <w:jc w:val="left"/>
              <w:rPr>
                <w:rFonts w:cs="Arial"/>
                <w:noProof w:val="0"/>
                <w:sz w:val="20"/>
                <w:szCs w:val="20"/>
                <w:lang w:bidi="ar-SA"/>
              </w:rPr>
            </w:pPr>
            <w:r w:rsidRPr="00BA6FEA">
              <w:rPr>
                <w:rFonts w:cs="Arial"/>
                <w:noProof w:val="0"/>
                <w:sz w:val="20"/>
                <w:szCs w:val="20"/>
                <w:lang w:bidi="ar-SA"/>
              </w:rPr>
              <w:t>Alespoň částečně zohledňuje možnou cyklicitu ekonomiky a</w:t>
            </w:r>
            <w:r w:rsidR="00BA6FEA">
              <w:rPr>
                <w:rFonts w:cs="Arial"/>
                <w:noProof w:val="0"/>
                <w:sz w:val="20"/>
                <w:szCs w:val="20"/>
                <w:lang w:bidi="ar-SA"/>
              </w:rPr>
              <w:t> </w:t>
            </w:r>
            <w:r w:rsidRPr="00BA6FEA">
              <w:rPr>
                <w:rFonts w:cs="Arial"/>
                <w:noProof w:val="0"/>
                <w:sz w:val="20"/>
                <w:szCs w:val="20"/>
                <w:lang w:bidi="ar-SA"/>
              </w:rPr>
              <w:t xml:space="preserve">změnu podmínek na trhu </w:t>
            </w:r>
          </w:p>
          <w:p w:rsidR="00667393" w:rsidRPr="00BA6FEA" w:rsidP="00692CF1" w14:paraId="08FF06BD" w14:textId="77777777">
            <w:pPr>
              <w:spacing w:after="120" w:line="240" w:lineRule="auto"/>
              <w:jc w:val="left"/>
              <w:rPr>
                <w:rFonts w:cs="Arial"/>
                <w:noProof w:val="0"/>
                <w:sz w:val="20"/>
                <w:szCs w:val="20"/>
                <w:lang w:bidi="ar-SA"/>
              </w:rPr>
            </w:pPr>
            <w:r w:rsidRPr="00BA6FEA">
              <w:rPr>
                <w:rFonts w:cs="Arial"/>
                <w:noProof w:val="0"/>
                <w:sz w:val="20"/>
                <w:szCs w:val="20"/>
                <w:lang w:bidi="ar-SA"/>
              </w:rPr>
              <w:t>Alespoň minimální motivace krátkodobě přeplňovat cíle z důvodu nejistoty spojené s plněním kvót v budoucnosti</w:t>
            </w:r>
          </w:p>
          <w:p w:rsidR="00667393" w:rsidRPr="00BA6FEA" w:rsidP="00692CF1" w14:paraId="3AB22ED1" w14:textId="77777777">
            <w:pPr>
              <w:spacing w:after="120" w:line="240" w:lineRule="auto"/>
              <w:jc w:val="left"/>
              <w:rPr>
                <w:rFonts w:cs="Arial"/>
                <w:noProof w:val="0"/>
                <w:sz w:val="20"/>
                <w:szCs w:val="20"/>
                <w:lang w:bidi="ar-SA"/>
              </w:rPr>
            </w:pPr>
            <w:r w:rsidRPr="00BA6FEA">
              <w:rPr>
                <w:rFonts w:cs="Arial"/>
                <w:noProof w:val="0"/>
                <w:sz w:val="20"/>
                <w:szCs w:val="20"/>
                <w:lang w:bidi="ar-SA"/>
              </w:rPr>
              <w:t>Umožňuje lepší adaptaci ze strany povinných subjektů</w:t>
            </w:r>
          </w:p>
        </w:tc>
        <w:tc>
          <w:tcPr>
            <w:tcW w:w="3071" w:type="dxa"/>
          </w:tcPr>
          <w:p w:rsidR="00667393" w:rsidRPr="00BA6FEA" w:rsidP="00692CF1" w14:paraId="60BADD91" w14:textId="77777777">
            <w:pPr>
              <w:spacing w:after="120" w:line="240" w:lineRule="auto"/>
              <w:jc w:val="left"/>
              <w:rPr>
                <w:rFonts w:cs="Arial"/>
                <w:noProof w:val="0"/>
                <w:sz w:val="20"/>
                <w:szCs w:val="20"/>
                <w:lang w:bidi="ar-SA"/>
              </w:rPr>
            </w:pPr>
            <w:r w:rsidRPr="00BA6FEA">
              <w:rPr>
                <w:rFonts w:cs="Arial"/>
                <w:noProof w:val="0"/>
                <w:sz w:val="20"/>
                <w:szCs w:val="20"/>
                <w:lang w:bidi="ar-SA"/>
              </w:rPr>
              <w:t>Střednědobost může vést ke krátkodobému snížení motivace</w:t>
            </w:r>
          </w:p>
          <w:p w:rsidR="00667393" w:rsidRPr="00BA6FEA" w:rsidP="00692CF1" w14:paraId="7BD2F51D" w14:textId="77777777">
            <w:pPr>
              <w:spacing w:after="120" w:line="240" w:lineRule="auto"/>
              <w:jc w:val="left"/>
              <w:rPr>
                <w:rFonts w:cs="Arial"/>
                <w:noProof w:val="0"/>
                <w:sz w:val="20"/>
                <w:szCs w:val="20"/>
                <w:lang w:bidi="ar-SA"/>
              </w:rPr>
            </w:pPr>
            <w:r w:rsidRPr="00BA6FEA">
              <w:rPr>
                <w:rFonts w:cs="Arial"/>
                <w:noProof w:val="0"/>
                <w:sz w:val="20"/>
                <w:szCs w:val="20"/>
                <w:lang w:bidi="ar-SA"/>
              </w:rPr>
              <w:t>V rámci střednědobosti kritéria mohou KS neplnící svoji roli působit na trhu déle (max. dobu horizontu)</w:t>
            </w:r>
          </w:p>
          <w:p w:rsidR="00667393" w:rsidRPr="00BA6FEA" w:rsidP="00692CF1" w14:paraId="671259E3" w14:textId="77777777">
            <w:pPr>
              <w:spacing w:after="120" w:line="240" w:lineRule="auto"/>
              <w:jc w:val="left"/>
              <w:rPr>
                <w:rFonts w:cs="Arial"/>
                <w:noProof w:val="0"/>
                <w:sz w:val="20"/>
                <w:szCs w:val="20"/>
                <w:lang w:bidi="ar-SA"/>
              </w:rPr>
            </w:pPr>
            <w:r w:rsidRPr="00BA6FEA">
              <w:rPr>
                <w:rFonts w:cs="Arial"/>
                <w:noProof w:val="0"/>
                <w:sz w:val="20"/>
                <w:szCs w:val="20"/>
                <w:lang w:bidi="ar-SA"/>
              </w:rPr>
              <w:t>V případě sankce ze strany EU obtížnější přenesení sankce na</w:t>
            </w:r>
            <w:r w:rsidR="00BA6FEA">
              <w:rPr>
                <w:rFonts w:cs="Arial"/>
                <w:noProof w:val="0"/>
                <w:sz w:val="20"/>
                <w:szCs w:val="20"/>
                <w:lang w:bidi="ar-SA"/>
              </w:rPr>
              <w:t> </w:t>
            </w:r>
            <w:r w:rsidRPr="00BA6FEA">
              <w:rPr>
                <w:rFonts w:cs="Arial"/>
                <w:noProof w:val="0"/>
                <w:sz w:val="20"/>
                <w:szCs w:val="20"/>
                <w:lang w:bidi="ar-SA"/>
              </w:rPr>
              <w:t>povinné subjekty</w:t>
            </w:r>
          </w:p>
        </w:tc>
      </w:tr>
    </w:tbl>
    <w:p w:rsidR="00667393" w:rsidRPr="00BA6FEA" w:rsidP="00692CF1" w14:paraId="51103EEB" w14:textId="77777777">
      <w:pPr>
        <w:jc w:val="right"/>
        <w:rPr>
          <w:rFonts w:cs="Arial"/>
          <w:i/>
          <w:sz w:val="20"/>
          <w:szCs w:val="20"/>
          <w:lang w:eastAsia="cs-CZ"/>
        </w:rPr>
      </w:pPr>
      <w:r w:rsidRPr="00BA6FEA">
        <w:rPr>
          <w:rFonts w:cs="Arial"/>
          <w:i/>
          <w:sz w:val="20"/>
          <w:szCs w:val="20"/>
        </w:rPr>
        <w:t>Zdroj</w:t>
      </w:r>
      <w:r w:rsidRPr="00BA6FEA">
        <w:rPr>
          <w:rFonts w:cs="Arial"/>
          <w:i/>
          <w:sz w:val="20"/>
          <w:szCs w:val="20"/>
          <w:lang w:eastAsia="cs-CZ"/>
        </w:rPr>
        <w:t>: EEIP</w:t>
      </w:r>
    </w:p>
    <w:p w:rsidR="00667393" w:rsidRPr="00221615" w:rsidP="00667393" w14:paraId="07189BF1" w14:textId="4A6FD302">
      <w:pPr>
        <w:widowControl w:val="0"/>
        <w:spacing w:after="120"/>
        <w:rPr>
          <w:rFonts w:eastAsia="Calibri" w:cs="Arial"/>
          <w:noProof w:val="0"/>
          <w:szCs w:val="22"/>
          <w:lang w:bidi="ar-SA"/>
        </w:rPr>
      </w:pPr>
      <w:r w:rsidRPr="00221615">
        <w:rPr>
          <w:rFonts w:eastAsia="Calibri" w:cs="Arial"/>
          <w:noProof w:val="0"/>
          <w:szCs w:val="22"/>
          <w:lang w:bidi="ar-SA"/>
        </w:rPr>
        <w:t xml:space="preserve">Z výše uvedené tabulky a na základě analýzy rizik a přínosů doporučujeme v případě volby Varianty 1 kombinaci absolutního cíle s cílem relativním, obecně sledovanými ve střednědobém horizontu. Zároveň doporučujeme včas komunikovat volbu typu výpočtu cíle úrovně zpětného odběru a odděleného sběru OEEZ ze </w:t>
      </w:r>
      <w:r w:rsidR="006E2211">
        <w:rPr>
          <w:rFonts w:eastAsia="Calibri" w:cs="Arial"/>
          <w:noProof w:val="0"/>
          <w:szCs w:val="22"/>
          <w:lang w:bidi="ar-SA"/>
        </w:rPr>
        <w:t>strany MŽP k povinným subjektům</w:t>
      </w:r>
      <w:r w:rsidRPr="00221615">
        <w:rPr>
          <w:rFonts w:eastAsia="Calibri" w:cs="Arial"/>
          <w:noProof w:val="0"/>
          <w:szCs w:val="22"/>
          <w:lang w:bidi="ar-SA"/>
        </w:rPr>
        <w:t xml:space="preserve"> tak</w:t>
      </w:r>
      <w:r w:rsidR="006E2211">
        <w:rPr>
          <w:rFonts w:eastAsia="Calibri" w:cs="Arial"/>
          <w:noProof w:val="0"/>
          <w:szCs w:val="22"/>
          <w:lang w:bidi="ar-SA"/>
        </w:rPr>
        <w:t>,</w:t>
      </w:r>
      <w:r w:rsidRPr="00221615">
        <w:rPr>
          <w:rFonts w:eastAsia="Calibri" w:cs="Arial"/>
          <w:noProof w:val="0"/>
          <w:szCs w:val="22"/>
          <w:lang w:bidi="ar-SA"/>
        </w:rPr>
        <w:t xml:space="preserve"> aby povinné subjekty měly dostatečně dlouhou dobu na adaptaci. Včasná komunikace zvolené metody výpočtu cíle přispěje k vyšší právní jistotě a zároveň významně sníží riziko případného nenaplnění cíle v důsledku existence nejasnosti ohledně volby výpočtu cíle. </w:t>
      </w:r>
    </w:p>
    <w:p w:rsidR="00667393" w:rsidRPr="00AA24BA" w:rsidP="00667393" w14:paraId="5623324F" w14:textId="77777777">
      <w:pPr>
        <w:widowControl w:val="0"/>
        <w:spacing w:after="120"/>
        <w:rPr>
          <w:rFonts w:eastAsia="Calibri" w:cs="Arial"/>
          <w:noProof w:val="0"/>
          <w:szCs w:val="22"/>
          <w:lang w:bidi="ar-SA"/>
        </w:rPr>
      </w:pPr>
      <w:r w:rsidRPr="00221615">
        <w:rPr>
          <w:rFonts w:eastAsia="Calibri" w:cs="Arial"/>
          <w:noProof w:val="0"/>
          <w:szCs w:val="22"/>
          <w:lang w:bidi="ar-SA"/>
        </w:rPr>
        <w:t>Zároveň v případě volby varianty 1 a stanovení podmínky na základě cíle sběru doporučujeme stanovovat cíle s přihlédnutím ke specifikům jednotlivých skupin, nikoliv jednotně pro</w:t>
      </w:r>
      <w:r>
        <w:rPr>
          <w:rFonts w:eastAsia="Calibri" w:cs="Arial"/>
          <w:noProof w:val="0"/>
          <w:szCs w:val="22"/>
          <w:lang w:bidi="ar-SA"/>
        </w:rPr>
        <w:t> </w:t>
      </w:r>
      <w:r w:rsidRPr="00AA24BA">
        <w:rPr>
          <w:rFonts w:eastAsia="Calibri" w:cs="Arial"/>
          <w:noProof w:val="0"/>
          <w:szCs w:val="22"/>
          <w:lang w:bidi="ar-SA"/>
        </w:rPr>
        <w:t xml:space="preserve">všechny skupiny. </w:t>
      </w:r>
    </w:p>
    <w:p w:rsidR="00667393" w:rsidRPr="00221615" w:rsidP="00667393" w14:paraId="1F4DDEA9" w14:textId="77777777">
      <w:pPr>
        <w:pStyle w:val="Normlntun"/>
        <w:rPr>
          <w:rFonts w:eastAsia="Calibri" w:cs="Arial"/>
          <w:b w:val="0"/>
          <w:bCs w:val="0"/>
          <w:szCs w:val="22"/>
          <w:lang w:eastAsia="en-US"/>
        </w:rPr>
      </w:pPr>
      <w:r w:rsidRPr="00221615">
        <w:rPr>
          <w:rFonts w:eastAsia="Calibri" w:cs="Arial"/>
          <w:b w:val="0"/>
          <w:bCs w:val="0"/>
          <w:szCs w:val="22"/>
          <w:lang w:eastAsia="en-US"/>
        </w:rPr>
        <w:t>Stejně jako pro některé předchozí body je i zde velmi důležitá kvalitní evidence a možnost křížové kontroly, což by mělo významně snižovat riziko manipulace s údaji a uvádění nepravdivých či zkreslených údajů.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14:paraId="749F84A7" w14:textId="77777777" w:rsidTr="00603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9180" w:type="dxa"/>
            <w:shd w:val="clear" w:color="auto" w:fill="auto"/>
            <w:vAlign w:val="center"/>
          </w:tcPr>
          <w:p w:rsidR="00667393" w:rsidRPr="00BA6FEA" w:rsidP="006031E5" w14:paraId="12918B73" w14:textId="77777777">
            <w:pPr>
              <w:keepNext/>
              <w:spacing w:before="20" w:after="20"/>
              <w:jc w:val="left"/>
              <w:rPr>
                <w:rFonts w:eastAsia="MS Mincho" w:cs="Arial"/>
                <w:b/>
                <w:noProof w:val="0"/>
                <w:sz w:val="20"/>
                <w:szCs w:val="20"/>
                <w:lang w:bidi="ar-SA"/>
              </w:rPr>
            </w:pPr>
            <w:bookmarkEnd w:id="159"/>
            <w:r w:rsidRPr="00BA6FEA">
              <w:rPr>
                <w:rFonts w:eastAsia="MS Mincho" w:cs="Arial"/>
                <w:b/>
                <w:noProof w:val="0"/>
                <w:sz w:val="20"/>
                <w:szCs w:val="20"/>
                <w:lang w:eastAsia="cs-CZ" w:bidi="ar-SA"/>
              </w:rPr>
              <w:t>Státní správa</w:t>
            </w:r>
          </w:p>
        </w:tc>
      </w:tr>
      <w:tr w14:paraId="7124B75D" w14:textId="77777777" w:rsidTr="006031E5">
        <w:tblPrEx>
          <w:tblW w:w="0" w:type="auto"/>
          <w:tblInd w:w="108" w:type="dxa"/>
          <w:tblLook w:val="00A0"/>
        </w:tblPrEx>
        <w:trPr>
          <w:trHeight w:val="901"/>
        </w:trPr>
        <w:tc>
          <w:tcPr>
            <w:tcW w:w="9180" w:type="dxa"/>
            <w:shd w:val="clear" w:color="auto" w:fill="auto"/>
            <w:vAlign w:val="center"/>
          </w:tcPr>
          <w:p w:rsidR="00667393" w:rsidRPr="00BA6FEA" w:rsidP="006031E5" w14:paraId="26B0FE9E"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Přínosy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Transparentnost systému, pokles nákladů na případné soudní spory plynoucí z nejednoznačnosti současné právní úpravy, optimalizace sběru, jistá forma sankcí pro KS</w:t>
            </w:r>
          </w:p>
          <w:p w:rsidR="00667393" w:rsidRPr="00BA6FEA" w:rsidP="006031E5" w14:paraId="6F24C84A"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Náklady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Náklady na správní řízení, náklady na monitorování plnění povinností KS</w:t>
            </w:r>
          </w:p>
        </w:tc>
      </w:tr>
      <w:tr w14:paraId="6DD7387B" w14:textId="77777777" w:rsidTr="006031E5">
        <w:tblPrEx>
          <w:tblW w:w="0" w:type="auto"/>
          <w:tblInd w:w="108" w:type="dxa"/>
          <w:tblLook w:val="00A0"/>
        </w:tblPrEx>
        <w:trPr>
          <w:trHeight w:val="397"/>
        </w:trPr>
        <w:tc>
          <w:tcPr>
            <w:tcW w:w="9180" w:type="dxa"/>
            <w:shd w:val="clear" w:color="auto" w:fill="auto"/>
            <w:vAlign w:val="center"/>
          </w:tcPr>
          <w:p w:rsidR="00667393" w:rsidRPr="00BA6FEA" w:rsidP="006031E5" w14:paraId="289B6DFD" w14:textId="77777777">
            <w:pPr>
              <w:keepNext/>
              <w:spacing w:before="20" w:after="20"/>
              <w:jc w:val="left"/>
              <w:rPr>
                <w:rFonts w:eastAsia="MS Mincho" w:cs="Arial"/>
                <w:b/>
                <w:noProof w:val="0"/>
                <w:sz w:val="20"/>
                <w:szCs w:val="20"/>
                <w:lang w:bidi="ar-SA"/>
              </w:rPr>
            </w:pPr>
            <w:r w:rsidRPr="00BA6FEA">
              <w:rPr>
                <w:rFonts w:eastAsia="MS Mincho" w:cs="Arial"/>
                <w:b/>
                <w:noProof w:val="0"/>
                <w:sz w:val="20"/>
                <w:szCs w:val="20"/>
                <w:lang w:eastAsia="cs-CZ" w:bidi="ar-SA"/>
              </w:rPr>
              <w:t>Stávající kolektivní systémy/výrobci</w:t>
            </w:r>
          </w:p>
        </w:tc>
      </w:tr>
      <w:tr w14:paraId="71D62906" w14:textId="77777777" w:rsidTr="006031E5">
        <w:tblPrEx>
          <w:tblW w:w="0" w:type="auto"/>
          <w:tblInd w:w="108" w:type="dxa"/>
          <w:tblLook w:val="00A0"/>
        </w:tblPrEx>
        <w:trPr>
          <w:trHeight w:val="722"/>
        </w:trPr>
        <w:tc>
          <w:tcPr>
            <w:tcW w:w="9180" w:type="dxa"/>
            <w:shd w:val="clear" w:color="auto" w:fill="auto"/>
            <w:vAlign w:val="center"/>
          </w:tcPr>
          <w:p w:rsidR="00667393" w:rsidRPr="00BA6FEA" w:rsidP="006031E5" w14:paraId="749EC203"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Přínosy</w:t>
            </w:r>
            <w:r w:rsidRPr="00BA6FEA">
              <w:rPr>
                <w:rFonts w:eastAsia="MS Mincho" w:cs="Arial"/>
                <w:noProof w:val="0"/>
                <w:sz w:val="20"/>
                <w:szCs w:val="20"/>
                <w:lang w:bidi="ar-SA"/>
              </w:rPr>
              <w:t xml:space="preserve"> – Vyšší právní jistota a transparentnost</w:t>
            </w:r>
          </w:p>
          <w:p w:rsidR="00667393" w:rsidRPr="00BA6FEA" w:rsidP="006031E5" w14:paraId="0985ECB2"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Náklady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Náklady spojené s přípravou podkladů pro správní řízení</w:t>
            </w:r>
          </w:p>
        </w:tc>
      </w:tr>
      <w:tr w14:paraId="13E25E7D" w14:textId="77777777" w:rsidTr="006031E5">
        <w:tblPrEx>
          <w:tblW w:w="0" w:type="auto"/>
          <w:tblInd w:w="108" w:type="dxa"/>
          <w:tblLook w:val="00A0"/>
        </w:tblPrEx>
        <w:trPr>
          <w:trHeight w:val="397"/>
        </w:trPr>
        <w:tc>
          <w:tcPr>
            <w:tcW w:w="9180" w:type="dxa"/>
            <w:shd w:val="clear" w:color="auto" w:fill="auto"/>
            <w:vAlign w:val="center"/>
          </w:tcPr>
          <w:p w:rsidR="00667393" w:rsidRPr="00BA6FEA" w:rsidP="006031E5" w14:paraId="3FF0CC82" w14:textId="77777777">
            <w:pPr>
              <w:keepNext/>
              <w:spacing w:before="20" w:after="20"/>
              <w:jc w:val="left"/>
              <w:rPr>
                <w:rFonts w:eastAsia="MS Mincho" w:cs="Arial"/>
                <w:b/>
                <w:noProof w:val="0"/>
                <w:sz w:val="20"/>
                <w:szCs w:val="20"/>
                <w:lang w:bidi="ar-SA"/>
              </w:rPr>
            </w:pPr>
            <w:r w:rsidRPr="00BA6FEA">
              <w:rPr>
                <w:rFonts w:eastAsia="MS Mincho" w:cs="Arial"/>
                <w:b/>
                <w:noProof w:val="0"/>
                <w:sz w:val="20"/>
                <w:szCs w:val="20"/>
                <w:lang w:eastAsia="cs-CZ" w:bidi="ar-SA"/>
              </w:rPr>
              <w:t>Nové kolektivní systémy/výrobci</w:t>
            </w:r>
          </w:p>
        </w:tc>
      </w:tr>
      <w:tr w14:paraId="6D0406B8" w14:textId="77777777" w:rsidTr="006031E5">
        <w:tblPrEx>
          <w:tblW w:w="0" w:type="auto"/>
          <w:tblInd w:w="108" w:type="dxa"/>
          <w:tblLook w:val="00A0"/>
        </w:tblPrEx>
        <w:trPr>
          <w:trHeight w:val="710"/>
        </w:trPr>
        <w:tc>
          <w:tcPr>
            <w:tcW w:w="9180" w:type="dxa"/>
            <w:shd w:val="clear" w:color="auto" w:fill="auto"/>
            <w:vAlign w:val="center"/>
          </w:tcPr>
          <w:p w:rsidR="00667393" w:rsidRPr="00BA6FEA" w:rsidP="006031E5" w14:paraId="6E4F8AEB"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Přínosy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Vyjasnění právních požadavků pro vstup na trh, vyšší právní jistota, transparentnost</w:t>
            </w:r>
          </w:p>
          <w:p w:rsidR="00667393" w:rsidRPr="00BA6FEA" w:rsidP="006031E5" w14:paraId="7C914B55"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Náklady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Náklady spojené s přípravou podkladů pro správní řízení</w:t>
            </w:r>
          </w:p>
        </w:tc>
      </w:tr>
      <w:tr w14:paraId="06CD96C9" w14:textId="77777777" w:rsidTr="006031E5">
        <w:tblPrEx>
          <w:tblW w:w="0" w:type="auto"/>
          <w:tblInd w:w="108" w:type="dxa"/>
          <w:tblLook w:val="00A0"/>
        </w:tblPrEx>
        <w:trPr>
          <w:trHeight w:val="397"/>
        </w:trPr>
        <w:tc>
          <w:tcPr>
            <w:tcW w:w="9180" w:type="dxa"/>
            <w:shd w:val="clear" w:color="auto" w:fill="auto"/>
            <w:vAlign w:val="center"/>
          </w:tcPr>
          <w:p w:rsidR="00667393" w:rsidRPr="00BA6FEA" w:rsidP="006031E5" w14:paraId="4E82B103" w14:textId="77777777">
            <w:pPr>
              <w:keepNext/>
              <w:spacing w:before="20" w:after="20"/>
              <w:jc w:val="left"/>
              <w:rPr>
                <w:rFonts w:eastAsia="MS Mincho" w:cs="Arial"/>
                <w:b/>
                <w:noProof w:val="0"/>
                <w:sz w:val="20"/>
                <w:szCs w:val="20"/>
                <w:lang w:bidi="ar-SA"/>
              </w:rPr>
            </w:pPr>
            <w:r w:rsidRPr="00BA6FEA">
              <w:rPr>
                <w:rFonts w:eastAsia="MS Mincho" w:cs="Arial"/>
                <w:b/>
                <w:noProof w:val="0"/>
                <w:sz w:val="20"/>
                <w:szCs w:val="20"/>
                <w:lang w:eastAsia="cs-CZ" w:bidi="ar-SA"/>
              </w:rPr>
              <w:t>Veřejnost</w:t>
            </w:r>
          </w:p>
        </w:tc>
      </w:tr>
      <w:tr w14:paraId="5EEBBF55" w14:textId="77777777" w:rsidTr="006031E5">
        <w:tblPrEx>
          <w:tblW w:w="0" w:type="auto"/>
          <w:tblInd w:w="108" w:type="dxa"/>
          <w:tblLook w:val="00A0"/>
        </w:tblPrEx>
        <w:trPr>
          <w:trHeight w:val="584"/>
        </w:trPr>
        <w:tc>
          <w:tcPr>
            <w:tcW w:w="9180" w:type="dxa"/>
            <w:shd w:val="clear" w:color="auto" w:fill="auto"/>
            <w:vAlign w:val="center"/>
          </w:tcPr>
          <w:p w:rsidR="00667393" w:rsidRPr="00BA6FEA" w:rsidP="006031E5" w14:paraId="181E5691" w14:textId="77777777">
            <w:pPr>
              <w:spacing w:before="20" w:after="20"/>
              <w:jc w:val="left"/>
              <w:rPr>
                <w:rFonts w:eastAsia="MS Mincho" w:cs="Arial"/>
                <w:noProof w:val="0"/>
                <w:sz w:val="20"/>
                <w:szCs w:val="20"/>
                <w:lang w:bidi="ar-SA"/>
              </w:rPr>
            </w:pPr>
            <w:r w:rsidRPr="00BA6FEA">
              <w:rPr>
                <w:rFonts w:eastAsia="MS Mincho" w:cs="Arial"/>
                <w:b/>
                <w:i/>
                <w:noProof w:val="0"/>
                <w:sz w:val="20"/>
                <w:szCs w:val="20"/>
                <w:lang w:bidi="ar-SA"/>
              </w:rPr>
              <w:t>Přínosy</w:t>
            </w:r>
            <w:r w:rsidRPr="00BA6FEA">
              <w:rPr>
                <w:rFonts w:eastAsia="MS Mincho" w:cs="Arial"/>
                <w:i/>
                <w:noProof w:val="0"/>
                <w:sz w:val="20"/>
                <w:szCs w:val="20"/>
                <w:lang w:bidi="ar-SA"/>
              </w:rPr>
              <w:t xml:space="preserve"> </w:t>
            </w:r>
            <w:r w:rsidRPr="00BA6FEA">
              <w:rPr>
                <w:rFonts w:eastAsia="MS Mincho" w:cs="Arial"/>
                <w:noProof w:val="0"/>
                <w:sz w:val="20"/>
                <w:szCs w:val="20"/>
                <w:lang w:bidi="ar-SA"/>
              </w:rPr>
              <w:t>– Vyšší právní jistota, transparentnost, motivační prvek k vyšší úrovni zpětného odběru, lepší přístupnost sběrových míst</w:t>
            </w:r>
          </w:p>
        </w:tc>
      </w:tr>
    </w:tbl>
    <w:p w:rsidR="00667393" w:rsidRPr="00ED38E9" w:rsidP="00A571AD" w14:paraId="151804BC" w14:textId="1C9BEB18">
      <w:pPr>
        <w:widowControl w:val="0"/>
        <w:spacing w:before="240" w:after="120"/>
        <w:rPr>
          <w:rFonts w:eastAsia="Calibri" w:cs="Arial"/>
          <w:noProof w:val="0"/>
          <w:szCs w:val="22"/>
          <w:lang w:bidi="ar-SA"/>
        </w:rPr>
      </w:pPr>
      <w:r w:rsidRPr="00ED38E9">
        <w:rPr>
          <w:rFonts w:eastAsia="Calibri" w:cs="Arial"/>
          <w:noProof w:val="0"/>
          <w:szCs w:val="22"/>
          <w:lang w:bidi="ar-SA"/>
        </w:rPr>
        <w:t xml:space="preserve">S ohledem na obtížnou měřitelnost výše uvedených přínosů </w:t>
      </w:r>
      <w:r w:rsidR="00A571AD">
        <w:rPr>
          <w:rFonts w:eastAsia="Calibri" w:cs="Arial"/>
          <w:noProof w:val="0"/>
          <w:szCs w:val="22"/>
          <w:lang w:bidi="ar-SA"/>
        </w:rPr>
        <w:t>byly vyčíslovány</w:t>
      </w:r>
      <w:r w:rsidRPr="00ED38E9">
        <w:rPr>
          <w:rFonts w:eastAsia="Calibri" w:cs="Arial"/>
          <w:noProof w:val="0"/>
          <w:szCs w:val="22"/>
          <w:lang w:bidi="ar-SA"/>
        </w:rPr>
        <w:t xml:space="preserve"> pouze náklady spojené s Variantou 1 – náklady zúčastněných subjektů spojené se správním řízením. Níže uvedené tabulky představují maximální možné </w:t>
      </w:r>
      <w:r>
        <w:rPr>
          <w:rFonts w:eastAsia="Calibri" w:cs="Arial"/>
          <w:noProof w:val="0"/>
          <w:szCs w:val="22"/>
          <w:lang w:bidi="ar-SA"/>
        </w:rPr>
        <w:t xml:space="preserve">roční </w:t>
      </w:r>
      <w:r w:rsidRPr="00ED38E9">
        <w:rPr>
          <w:rFonts w:eastAsia="Calibri" w:cs="Arial"/>
          <w:noProof w:val="0"/>
          <w:szCs w:val="22"/>
          <w:lang w:bidi="ar-SA"/>
        </w:rPr>
        <w:t>náklady pro dotčené subjekty při</w:t>
      </w:r>
      <w:r>
        <w:rPr>
          <w:rFonts w:eastAsia="Calibri" w:cs="Arial"/>
          <w:noProof w:val="0"/>
          <w:szCs w:val="22"/>
          <w:lang w:bidi="ar-SA"/>
        </w:rPr>
        <w:t> </w:t>
      </w:r>
      <w:r w:rsidRPr="00ED38E9">
        <w:rPr>
          <w:rFonts w:eastAsia="Calibri" w:cs="Arial"/>
          <w:noProof w:val="0"/>
          <w:szCs w:val="22"/>
          <w:lang w:bidi="ar-SA"/>
        </w:rPr>
        <w:t>předpokladu zahájení správního řízení se všemi KS.</w:t>
      </w:r>
    </w:p>
    <w:p w:rsidR="00667393" w:rsidP="00667393" w14:paraId="557A6681" w14:textId="77777777">
      <w:pPr>
        <w:widowControl w:val="0"/>
        <w:spacing w:after="120"/>
        <w:rPr>
          <w:rFonts w:eastAsia="Calibri" w:cs="Arial"/>
          <w:noProof w:val="0"/>
          <w:szCs w:val="22"/>
          <w:lang w:bidi="ar-SA"/>
        </w:rPr>
      </w:pPr>
      <w:r w:rsidRPr="00ED38E9">
        <w:rPr>
          <w:rFonts w:eastAsia="Calibri" w:cs="Arial"/>
          <w:noProof w:val="0"/>
          <w:szCs w:val="22"/>
          <w:lang w:bidi="ar-SA"/>
        </w:rPr>
        <w:t>Náklady na přípravu podkladů pro správní řízení k odebrání oprávnění na straně KS nejsme schopni přesně určit s ohledem na různou časovou náročnost dle důvodu zahájení správního řízení. Časová náročnost na vytvoření dokumentace a předání odpovědnému orgánu je odhadována až na 100 hodin (2,5 pracovní týdne) a dále pak cca 15 hodin spojených s projednáním. Jedná se pouze o hrubý odhad, který se může lišit dle velikosti subjektu, potřeby komunikace a dalších parametrů, které ovlivňují časovou náročnost</w:t>
      </w:r>
    </w:p>
    <w:p w:rsidR="00667393" w:rsidRPr="00BA6FEA" w:rsidP="00A571AD" w14:paraId="5236EA00" w14:textId="21FDC697">
      <w:pPr>
        <w:keepNext/>
        <w:spacing w:before="360"/>
        <w:rPr>
          <w:rFonts w:eastAsia="Calibri" w:cs="Arial"/>
          <w:b/>
          <w:sz w:val="20"/>
          <w:szCs w:val="20"/>
          <w:lang w:bidi="ar-SA"/>
        </w:rPr>
      </w:pPr>
      <w:r w:rsidRPr="00BA6FEA">
        <w:rPr>
          <w:rFonts w:eastAsia="Calibri" w:cs="Arial"/>
          <w:b/>
          <w:sz w:val="20"/>
          <w:szCs w:val="20"/>
          <w:lang w:bidi="ar-SA"/>
        </w:rPr>
        <w:t xml:space="preserve">Tabulka </w:t>
      </w:r>
      <w:r w:rsidR="00193C68">
        <w:rPr>
          <w:rFonts w:eastAsia="Calibri" w:cs="Arial"/>
          <w:b/>
          <w:sz w:val="20"/>
          <w:szCs w:val="20"/>
          <w:lang w:bidi="ar-SA"/>
        </w:rPr>
        <w:t>22</w:t>
      </w:r>
      <w:r w:rsidRPr="00BA6FEA">
        <w:rPr>
          <w:rFonts w:eastAsia="Calibri" w:cs="Arial"/>
          <w:b/>
          <w:sz w:val="20"/>
          <w:szCs w:val="20"/>
          <w:lang w:bidi="ar-SA"/>
        </w:rPr>
        <w:t>: Náklady kolektivního systému na správní řízení</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559"/>
      </w:tblGrid>
      <w:tr w14:paraId="3F9241EB" w14:textId="77777777" w:rsidTr="006031E5">
        <w:tblPrEx>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6663" w:type="dxa"/>
            <w:shd w:val="clear" w:color="auto" w:fill="auto"/>
            <w:vAlign w:val="center"/>
          </w:tcPr>
          <w:p w:rsidR="00667393" w:rsidRPr="00BA6FEA" w:rsidP="006031E5" w14:paraId="1FBBE129" w14:textId="77777777">
            <w:pPr>
              <w:keepNext/>
              <w:spacing w:before="20" w:after="20"/>
              <w:jc w:val="left"/>
              <w:rPr>
                <w:rFonts w:eastAsia="MS Mincho" w:cs="Arial"/>
                <w:noProof w:val="0"/>
                <w:sz w:val="20"/>
                <w:szCs w:val="20"/>
                <w:lang w:bidi="ar-SA"/>
              </w:rPr>
            </w:pPr>
            <w:r w:rsidRPr="00BA6FEA">
              <w:rPr>
                <w:rFonts w:eastAsia="MS Mincho" w:cs="Arial"/>
                <w:noProof w:val="0"/>
                <w:sz w:val="20"/>
                <w:szCs w:val="20"/>
                <w:lang w:bidi="ar-SA"/>
              </w:rPr>
              <w:t>Mzdové a režijní náklady (Kč/hod)*</w:t>
            </w:r>
          </w:p>
        </w:tc>
        <w:tc>
          <w:tcPr>
            <w:tcW w:w="1559" w:type="dxa"/>
            <w:shd w:val="clear" w:color="auto" w:fill="auto"/>
            <w:vAlign w:val="center"/>
          </w:tcPr>
          <w:p w:rsidR="00667393" w:rsidRPr="00BA6FEA" w:rsidP="006031E5" w14:paraId="05B9AF99" w14:textId="261A4716">
            <w:pPr>
              <w:keepNext/>
              <w:spacing w:before="20" w:after="20"/>
              <w:jc w:val="right"/>
              <w:rPr>
                <w:rFonts w:eastAsia="MS Mincho" w:cs="Arial"/>
                <w:noProof w:val="0"/>
                <w:sz w:val="20"/>
                <w:szCs w:val="20"/>
                <w:lang w:bidi="ar-SA"/>
              </w:rPr>
            </w:pPr>
            <w:r>
              <w:rPr>
                <w:rFonts w:eastAsia="MS Mincho" w:cs="Arial"/>
                <w:noProof w:val="0"/>
                <w:sz w:val="20"/>
                <w:szCs w:val="20"/>
                <w:lang w:bidi="ar-SA"/>
              </w:rPr>
              <w:t>317</w:t>
            </w:r>
          </w:p>
        </w:tc>
      </w:tr>
      <w:tr w14:paraId="4B36ED68" w14:textId="77777777" w:rsidTr="006031E5">
        <w:tblPrEx>
          <w:tblW w:w="8222" w:type="dxa"/>
          <w:tblInd w:w="108" w:type="dxa"/>
          <w:tblLook w:val="00A0"/>
        </w:tblPrEx>
        <w:trPr>
          <w:trHeight w:val="397"/>
        </w:trPr>
        <w:tc>
          <w:tcPr>
            <w:tcW w:w="6663" w:type="dxa"/>
            <w:shd w:val="clear" w:color="auto" w:fill="auto"/>
            <w:vAlign w:val="center"/>
          </w:tcPr>
          <w:p w:rsidR="00667393" w:rsidRPr="00BA6FEA" w:rsidP="006031E5" w14:paraId="68F7BD32" w14:textId="77777777">
            <w:pPr>
              <w:keepNext/>
              <w:spacing w:before="20" w:after="20"/>
              <w:jc w:val="left"/>
              <w:rPr>
                <w:rFonts w:eastAsia="MS Mincho" w:cs="Arial"/>
                <w:noProof w:val="0"/>
                <w:sz w:val="20"/>
                <w:szCs w:val="20"/>
                <w:lang w:bidi="ar-SA"/>
              </w:rPr>
            </w:pPr>
            <w:r w:rsidRPr="00BA6FEA">
              <w:rPr>
                <w:rFonts w:eastAsia="MS Mincho" w:cs="Arial"/>
                <w:noProof w:val="0"/>
                <w:sz w:val="20"/>
                <w:szCs w:val="20"/>
                <w:lang w:bidi="ar-SA"/>
              </w:rPr>
              <w:t>Časová náročnost na přípravu podkladů pro 1 správní řízení (hod/správní řízení)</w:t>
            </w:r>
          </w:p>
        </w:tc>
        <w:tc>
          <w:tcPr>
            <w:tcW w:w="1559" w:type="dxa"/>
            <w:shd w:val="clear" w:color="auto" w:fill="auto"/>
            <w:vAlign w:val="center"/>
          </w:tcPr>
          <w:p w:rsidR="00667393" w:rsidRPr="00BA6FEA" w:rsidP="006031E5" w14:paraId="0322056E" w14:textId="77777777">
            <w:pPr>
              <w:keepNext/>
              <w:spacing w:before="20" w:after="20"/>
              <w:jc w:val="right"/>
              <w:rPr>
                <w:rFonts w:eastAsia="MS Mincho" w:cs="Arial"/>
                <w:noProof w:val="0"/>
                <w:sz w:val="20"/>
                <w:szCs w:val="20"/>
                <w:lang w:bidi="ar-SA"/>
              </w:rPr>
            </w:pPr>
            <w:r w:rsidRPr="00BA6FEA">
              <w:rPr>
                <w:rFonts w:eastAsia="MS Mincho" w:cs="Arial"/>
                <w:noProof w:val="0"/>
                <w:sz w:val="20"/>
                <w:szCs w:val="20"/>
                <w:lang w:bidi="ar-SA"/>
              </w:rPr>
              <w:t>100</w:t>
            </w:r>
          </w:p>
        </w:tc>
      </w:tr>
      <w:tr w14:paraId="20A2A296" w14:textId="77777777" w:rsidTr="006031E5">
        <w:tblPrEx>
          <w:tblW w:w="8222" w:type="dxa"/>
          <w:tblInd w:w="108" w:type="dxa"/>
          <w:tblLook w:val="00A0"/>
        </w:tblPrEx>
        <w:trPr>
          <w:trHeight w:val="397"/>
        </w:trPr>
        <w:tc>
          <w:tcPr>
            <w:tcW w:w="6663" w:type="dxa"/>
            <w:shd w:val="clear" w:color="auto" w:fill="auto"/>
            <w:vAlign w:val="center"/>
          </w:tcPr>
          <w:p w:rsidR="00667393" w:rsidRPr="00BA6FEA" w:rsidP="006031E5" w14:paraId="153E7B37" w14:textId="77777777">
            <w:pPr>
              <w:keepNext/>
              <w:spacing w:before="20" w:after="20"/>
              <w:jc w:val="left"/>
              <w:rPr>
                <w:rFonts w:eastAsia="MS Mincho" w:cs="Arial"/>
                <w:noProof w:val="0"/>
                <w:sz w:val="20"/>
                <w:szCs w:val="20"/>
                <w:lang w:bidi="ar-SA"/>
              </w:rPr>
            </w:pPr>
            <w:r w:rsidRPr="00BA6FEA">
              <w:rPr>
                <w:rFonts w:eastAsia="MS Mincho" w:cs="Arial"/>
                <w:noProof w:val="0"/>
                <w:sz w:val="20"/>
                <w:szCs w:val="20"/>
                <w:lang w:bidi="ar-SA"/>
              </w:rPr>
              <w:t>Časová náročnost spojená s projednáváním (hod/správní řízení)</w:t>
            </w:r>
          </w:p>
        </w:tc>
        <w:tc>
          <w:tcPr>
            <w:tcW w:w="1559" w:type="dxa"/>
            <w:shd w:val="clear" w:color="auto" w:fill="auto"/>
            <w:vAlign w:val="center"/>
          </w:tcPr>
          <w:p w:rsidR="00667393" w:rsidRPr="00BA6FEA" w:rsidP="006031E5" w14:paraId="19099B97" w14:textId="77777777">
            <w:pPr>
              <w:keepNext/>
              <w:spacing w:before="20" w:after="20"/>
              <w:jc w:val="right"/>
              <w:rPr>
                <w:rFonts w:eastAsia="MS Mincho" w:cs="Arial"/>
                <w:noProof w:val="0"/>
                <w:sz w:val="20"/>
                <w:szCs w:val="20"/>
                <w:lang w:bidi="ar-SA"/>
              </w:rPr>
            </w:pPr>
            <w:r w:rsidRPr="00BA6FEA">
              <w:rPr>
                <w:rFonts w:eastAsia="MS Mincho" w:cs="Arial"/>
                <w:noProof w:val="0"/>
                <w:sz w:val="20"/>
                <w:szCs w:val="20"/>
                <w:lang w:bidi="ar-SA"/>
              </w:rPr>
              <w:t>15</w:t>
            </w:r>
          </w:p>
        </w:tc>
      </w:tr>
      <w:tr w14:paraId="0308B23D" w14:textId="77777777" w:rsidTr="006031E5">
        <w:tblPrEx>
          <w:tblW w:w="8222" w:type="dxa"/>
          <w:tblInd w:w="108" w:type="dxa"/>
          <w:tblLook w:val="00A0"/>
        </w:tblPrEx>
        <w:trPr>
          <w:trHeight w:val="397"/>
        </w:trPr>
        <w:tc>
          <w:tcPr>
            <w:tcW w:w="6663" w:type="dxa"/>
            <w:shd w:val="clear" w:color="auto" w:fill="auto"/>
            <w:vAlign w:val="center"/>
          </w:tcPr>
          <w:p w:rsidR="00667393" w:rsidRPr="00BA6FEA" w:rsidP="006031E5" w14:paraId="1A4406D9" w14:textId="77777777">
            <w:pPr>
              <w:keepNext/>
              <w:spacing w:before="20" w:after="20"/>
              <w:jc w:val="left"/>
              <w:rPr>
                <w:rFonts w:eastAsia="MS Mincho" w:cs="Arial"/>
                <w:b/>
                <w:noProof w:val="0"/>
                <w:sz w:val="20"/>
                <w:szCs w:val="20"/>
                <w:lang w:bidi="ar-SA"/>
              </w:rPr>
            </w:pPr>
            <w:r w:rsidRPr="00BA6FEA">
              <w:rPr>
                <w:rFonts w:eastAsia="MS Mincho" w:cs="Arial"/>
                <w:b/>
                <w:noProof w:val="0"/>
                <w:sz w:val="20"/>
                <w:szCs w:val="20"/>
                <w:lang w:bidi="ar-SA"/>
              </w:rPr>
              <w:t>Mzdové a režijní náklady na správní řízení (Kč/správní řízení)</w:t>
            </w:r>
          </w:p>
        </w:tc>
        <w:tc>
          <w:tcPr>
            <w:tcW w:w="1559" w:type="dxa"/>
            <w:shd w:val="clear" w:color="auto" w:fill="auto"/>
            <w:vAlign w:val="center"/>
          </w:tcPr>
          <w:p w:rsidR="00667393" w:rsidRPr="00BA6FEA" w:rsidP="006031E5" w14:paraId="3EC768B5" w14:textId="1D954413">
            <w:pPr>
              <w:keepNext/>
              <w:spacing w:before="20" w:after="20"/>
              <w:jc w:val="right"/>
              <w:rPr>
                <w:rFonts w:eastAsia="MS Mincho" w:cs="Arial"/>
                <w:b/>
                <w:noProof w:val="0"/>
                <w:sz w:val="20"/>
                <w:szCs w:val="20"/>
                <w:lang w:bidi="ar-SA"/>
              </w:rPr>
            </w:pPr>
            <w:r>
              <w:rPr>
                <w:rFonts w:eastAsia="MS Mincho" w:cs="Arial"/>
                <w:b/>
                <w:noProof w:val="0"/>
                <w:sz w:val="20"/>
                <w:szCs w:val="20"/>
                <w:lang w:bidi="ar-SA"/>
              </w:rPr>
              <w:t>36 455</w:t>
            </w:r>
          </w:p>
        </w:tc>
      </w:tr>
    </w:tbl>
    <w:p w:rsidR="00667393" w:rsidRPr="00221615" w:rsidP="00667393" w14:paraId="7FAA7066" w14:textId="52C58870">
      <w:pPr>
        <w:rPr>
          <w:sz w:val="20"/>
          <w:szCs w:val="20"/>
        </w:rPr>
      </w:pPr>
      <w:r w:rsidRPr="00BA6FEA">
        <w:rPr>
          <w:sz w:val="20"/>
          <w:szCs w:val="20"/>
        </w:rPr>
        <w:t xml:space="preserve"> * </w:t>
      </w:r>
      <w:r w:rsidRPr="00BA6FEA">
        <w:rPr>
          <w:color w:val="000000"/>
          <w:sz w:val="20"/>
          <w:szCs w:val="20"/>
        </w:rPr>
        <w:t>Hodinové sazby pro podnikatelský sektor vyc</w:t>
      </w:r>
      <w:r w:rsidR="00F251E9">
        <w:rPr>
          <w:color w:val="000000"/>
          <w:sz w:val="20"/>
          <w:szCs w:val="20"/>
        </w:rPr>
        <w:t>házejí z průměrné mzdy roku 2018</w:t>
      </w:r>
      <w:r w:rsidRPr="00BA6FEA">
        <w:rPr>
          <w:color w:val="000000"/>
          <w:sz w:val="20"/>
          <w:szCs w:val="20"/>
        </w:rPr>
        <w:t xml:space="preserve"> (ČSÚ) pro sektor E - Zásobování vodou; činnosti související s odpadními vodami, odpady a sanacemi, s připočítáním 35 % odvodů na zdravotní a sociální pojištění a 43 % režijních nákladů.</w:t>
      </w:r>
    </w:p>
    <w:p w:rsidR="00667393" w:rsidRPr="00E97FD5" w:rsidP="00A571AD" w14:paraId="48C3A114" w14:textId="7B3FE3C3">
      <w:pPr>
        <w:keepNext/>
        <w:spacing w:before="360"/>
        <w:rPr>
          <w:rFonts w:cs="Arial"/>
          <w:b/>
          <w:sz w:val="20"/>
          <w:szCs w:val="20"/>
        </w:rPr>
      </w:pPr>
      <w:r>
        <w:rPr>
          <w:rFonts w:cs="Arial"/>
          <w:b/>
          <w:sz w:val="20"/>
          <w:szCs w:val="20"/>
        </w:rPr>
        <w:t>Tabulka 23</w:t>
      </w:r>
      <w:r w:rsidRPr="00E97FD5">
        <w:rPr>
          <w:rFonts w:cs="Arial"/>
          <w:b/>
          <w:sz w:val="20"/>
          <w:szCs w:val="20"/>
        </w:rPr>
        <w:t>: Náklady MŽP na 1 správní řízení</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559"/>
      </w:tblGrid>
      <w:tr w14:paraId="31240EE1" w14:textId="77777777" w:rsidTr="006031E5">
        <w:tblPrEx>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397"/>
        </w:trPr>
        <w:tc>
          <w:tcPr>
            <w:tcW w:w="6663" w:type="dxa"/>
            <w:shd w:val="clear" w:color="auto" w:fill="auto"/>
            <w:vAlign w:val="center"/>
          </w:tcPr>
          <w:p w:rsidR="00667393" w:rsidRPr="00E97FD5" w:rsidP="006031E5" w14:paraId="14076551" w14:textId="77777777">
            <w:pPr>
              <w:keepNext/>
              <w:spacing w:before="20" w:after="20"/>
              <w:jc w:val="left"/>
              <w:rPr>
                <w:rFonts w:eastAsia="MS Mincho" w:cs="Arial"/>
                <w:b/>
                <w:noProof w:val="0"/>
                <w:sz w:val="20"/>
                <w:szCs w:val="20"/>
                <w:lang w:bidi="ar-SA"/>
              </w:rPr>
            </w:pPr>
            <w:r w:rsidRPr="00E97FD5">
              <w:rPr>
                <w:rFonts w:eastAsia="MS Mincho" w:cs="Arial"/>
                <w:b/>
                <w:noProof w:val="0"/>
                <w:sz w:val="20"/>
                <w:szCs w:val="20"/>
                <w:lang w:eastAsia="cs-CZ" w:bidi="ar-SA"/>
              </w:rPr>
              <w:t>Náklady MŽP správní řízení</w:t>
            </w:r>
          </w:p>
        </w:tc>
        <w:tc>
          <w:tcPr>
            <w:tcW w:w="1559" w:type="dxa"/>
            <w:shd w:val="clear" w:color="auto" w:fill="auto"/>
          </w:tcPr>
          <w:p w:rsidR="00667393" w:rsidRPr="00E97FD5" w:rsidP="006031E5" w14:paraId="7AC6A139" w14:textId="77777777">
            <w:pPr>
              <w:keepNext/>
              <w:spacing w:before="20" w:after="20"/>
              <w:jc w:val="left"/>
              <w:rPr>
                <w:rFonts w:eastAsia="MS Mincho" w:cs="Arial"/>
                <w:b/>
                <w:noProof w:val="0"/>
                <w:color w:val="FFFFFF"/>
                <w:sz w:val="20"/>
                <w:szCs w:val="20"/>
                <w:lang w:eastAsia="cs-CZ" w:bidi="ar-SA"/>
              </w:rPr>
            </w:pPr>
          </w:p>
        </w:tc>
      </w:tr>
      <w:tr w14:paraId="15D38E03" w14:textId="77777777" w:rsidTr="006031E5">
        <w:tblPrEx>
          <w:tblW w:w="8222" w:type="dxa"/>
          <w:tblInd w:w="108" w:type="dxa"/>
          <w:tblLook w:val="00A0"/>
        </w:tblPrEx>
        <w:trPr>
          <w:trHeight w:val="397"/>
        </w:trPr>
        <w:tc>
          <w:tcPr>
            <w:tcW w:w="6663" w:type="dxa"/>
            <w:shd w:val="clear" w:color="auto" w:fill="auto"/>
            <w:vAlign w:val="center"/>
          </w:tcPr>
          <w:p w:rsidR="00667393" w:rsidRPr="00E97FD5" w:rsidP="006031E5" w14:paraId="4F5B9B4A" w14:textId="77777777">
            <w:pPr>
              <w:keepNext/>
              <w:spacing w:before="20" w:after="20"/>
              <w:jc w:val="left"/>
              <w:rPr>
                <w:rFonts w:eastAsia="MS Mincho" w:cs="Arial"/>
                <w:noProof w:val="0"/>
                <w:color w:val="000000"/>
                <w:sz w:val="20"/>
                <w:szCs w:val="20"/>
                <w:lang w:bidi="ar-SA"/>
              </w:rPr>
            </w:pPr>
            <w:r w:rsidRPr="00E97FD5">
              <w:rPr>
                <w:rFonts w:eastAsia="MS Mincho" w:cs="Arial"/>
                <w:noProof w:val="0"/>
                <w:color w:val="000000"/>
                <w:sz w:val="20"/>
                <w:szCs w:val="20"/>
                <w:lang w:bidi="ar-SA"/>
              </w:rPr>
              <w:t>Mzdové a režijní náklady (Kč/hod)*</w:t>
            </w:r>
          </w:p>
        </w:tc>
        <w:tc>
          <w:tcPr>
            <w:tcW w:w="1559" w:type="dxa"/>
            <w:shd w:val="clear" w:color="auto" w:fill="auto"/>
            <w:vAlign w:val="center"/>
          </w:tcPr>
          <w:p w:rsidR="00667393" w:rsidRPr="00E97FD5" w:rsidP="006031E5" w14:paraId="08613FA7" w14:textId="1F49402D">
            <w:pPr>
              <w:keepNext/>
              <w:spacing w:before="20" w:after="20"/>
              <w:jc w:val="right"/>
              <w:rPr>
                <w:rFonts w:eastAsia="MS Mincho" w:cs="Arial"/>
                <w:noProof w:val="0"/>
                <w:color w:val="000000"/>
                <w:sz w:val="20"/>
                <w:szCs w:val="20"/>
                <w:lang w:bidi="ar-SA"/>
              </w:rPr>
            </w:pPr>
            <w:r>
              <w:rPr>
                <w:rFonts w:eastAsia="MS Mincho" w:cs="Arial"/>
                <w:noProof w:val="0"/>
                <w:color w:val="000000"/>
                <w:sz w:val="20"/>
                <w:szCs w:val="20"/>
                <w:lang w:bidi="ar-SA"/>
              </w:rPr>
              <w:t>456</w:t>
            </w:r>
          </w:p>
        </w:tc>
      </w:tr>
      <w:tr w14:paraId="3D5BEC70" w14:textId="77777777" w:rsidTr="006031E5">
        <w:tblPrEx>
          <w:tblW w:w="8222" w:type="dxa"/>
          <w:tblInd w:w="108" w:type="dxa"/>
          <w:tblLook w:val="00A0"/>
        </w:tblPrEx>
        <w:trPr>
          <w:trHeight w:val="397"/>
        </w:trPr>
        <w:tc>
          <w:tcPr>
            <w:tcW w:w="6663" w:type="dxa"/>
            <w:shd w:val="clear" w:color="auto" w:fill="auto"/>
            <w:vAlign w:val="center"/>
          </w:tcPr>
          <w:p w:rsidR="00667393" w:rsidRPr="00E97FD5" w:rsidP="006031E5" w14:paraId="6FFBC03C" w14:textId="77777777">
            <w:pPr>
              <w:keepNext/>
              <w:spacing w:before="20" w:after="20"/>
              <w:jc w:val="left"/>
              <w:rPr>
                <w:rFonts w:eastAsia="MS Mincho" w:cs="Arial"/>
                <w:noProof w:val="0"/>
                <w:color w:val="000000"/>
                <w:sz w:val="20"/>
                <w:szCs w:val="20"/>
                <w:lang w:bidi="ar-SA"/>
              </w:rPr>
            </w:pPr>
            <w:r w:rsidRPr="00E97FD5">
              <w:rPr>
                <w:rFonts w:eastAsia="MS Mincho" w:cs="Arial"/>
                <w:noProof w:val="0"/>
                <w:color w:val="000000"/>
                <w:sz w:val="20"/>
                <w:szCs w:val="20"/>
                <w:lang w:bidi="ar-SA"/>
              </w:rPr>
              <w:t>Časová náročnost na přípravu podkladů a projednávání pro 1 správní řízení (hod/správní řízení)</w:t>
            </w:r>
          </w:p>
        </w:tc>
        <w:tc>
          <w:tcPr>
            <w:tcW w:w="1559" w:type="dxa"/>
            <w:shd w:val="clear" w:color="auto" w:fill="auto"/>
            <w:vAlign w:val="center"/>
          </w:tcPr>
          <w:p w:rsidR="00667393" w:rsidRPr="00E97FD5" w:rsidP="006031E5" w14:paraId="280AB203" w14:textId="77777777">
            <w:pPr>
              <w:keepNext/>
              <w:spacing w:before="20" w:after="20"/>
              <w:jc w:val="right"/>
              <w:rPr>
                <w:rFonts w:eastAsia="MS Mincho" w:cs="Arial"/>
                <w:noProof w:val="0"/>
                <w:color w:val="000000"/>
                <w:sz w:val="20"/>
                <w:szCs w:val="20"/>
                <w:lang w:bidi="ar-SA"/>
              </w:rPr>
            </w:pPr>
            <w:r w:rsidRPr="00E97FD5">
              <w:rPr>
                <w:rFonts w:eastAsia="MS Mincho" w:cs="Arial"/>
                <w:noProof w:val="0"/>
                <w:color w:val="000000"/>
                <w:sz w:val="20"/>
                <w:szCs w:val="20"/>
                <w:lang w:bidi="ar-SA"/>
              </w:rPr>
              <w:t>120</w:t>
            </w:r>
          </w:p>
        </w:tc>
      </w:tr>
      <w:tr w14:paraId="425121DD" w14:textId="77777777" w:rsidTr="006031E5">
        <w:tblPrEx>
          <w:tblW w:w="8222" w:type="dxa"/>
          <w:tblInd w:w="108" w:type="dxa"/>
          <w:tblLook w:val="00A0"/>
        </w:tblPrEx>
        <w:trPr>
          <w:trHeight w:val="397"/>
        </w:trPr>
        <w:tc>
          <w:tcPr>
            <w:tcW w:w="6663" w:type="dxa"/>
            <w:shd w:val="clear" w:color="auto" w:fill="auto"/>
            <w:vAlign w:val="center"/>
          </w:tcPr>
          <w:p w:rsidR="00667393" w:rsidRPr="00E97FD5" w:rsidP="006031E5" w14:paraId="0A8A6C3E" w14:textId="77777777">
            <w:pPr>
              <w:spacing w:before="20" w:after="20"/>
              <w:jc w:val="left"/>
              <w:rPr>
                <w:rFonts w:eastAsia="MS Mincho" w:cs="Arial"/>
                <w:b/>
                <w:noProof w:val="0"/>
                <w:color w:val="000000"/>
                <w:sz w:val="20"/>
                <w:szCs w:val="20"/>
                <w:lang w:bidi="ar-SA"/>
              </w:rPr>
            </w:pPr>
            <w:r w:rsidRPr="00E97FD5">
              <w:rPr>
                <w:rFonts w:eastAsia="MS Mincho" w:cs="Arial"/>
                <w:b/>
                <w:noProof w:val="0"/>
                <w:color w:val="000000"/>
                <w:sz w:val="20"/>
                <w:szCs w:val="20"/>
                <w:lang w:bidi="ar-SA"/>
              </w:rPr>
              <w:t xml:space="preserve">Mzdové a režijní </w:t>
            </w:r>
            <w:r w:rsidRPr="00E97FD5">
              <w:rPr>
                <w:rFonts w:eastAsia="MS Mincho" w:cs="Arial"/>
                <w:b/>
                <w:noProof w:val="0"/>
                <w:sz w:val="20"/>
                <w:szCs w:val="20"/>
                <w:lang w:bidi="ar-SA"/>
              </w:rPr>
              <w:t xml:space="preserve">na správní řízení </w:t>
            </w:r>
            <w:r w:rsidRPr="00E97FD5">
              <w:rPr>
                <w:rFonts w:eastAsia="MS Mincho" w:cs="Arial"/>
                <w:b/>
                <w:noProof w:val="0"/>
                <w:color w:val="000000"/>
                <w:sz w:val="20"/>
                <w:szCs w:val="20"/>
                <w:lang w:bidi="ar-SA"/>
              </w:rPr>
              <w:t>(Kč/správní řízení)</w:t>
            </w:r>
          </w:p>
        </w:tc>
        <w:tc>
          <w:tcPr>
            <w:tcW w:w="1559" w:type="dxa"/>
            <w:shd w:val="clear" w:color="auto" w:fill="auto"/>
            <w:vAlign w:val="center"/>
          </w:tcPr>
          <w:p w:rsidR="00667393" w:rsidRPr="00E97FD5" w:rsidP="00F251E9" w14:paraId="7B673B0B" w14:textId="55E6E821">
            <w:pPr>
              <w:spacing w:before="20" w:after="20"/>
              <w:jc w:val="right"/>
              <w:rPr>
                <w:rFonts w:eastAsia="MS Mincho" w:cs="Arial"/>
                <w:b/>
                <w:noProof w:val="0"/>
                <w:color w:val="000000"/>
                <w:sz w:val="20"/>
                <w:szCs w:val="20"/>
                <w:lang w:bidi="ar-SA"/>
              </w:rPr>
            </w:pPr>
            <w:r w:rsidRPr="00E97FD5">
              <w:rPr>
                <w:rFonts w:eastAsia="MS Mincho" w:cs="Arial"/>
                <w:b/>
                <w:noProof w:val="0"/>
                <w:color w:val="000000"/>
                <w:sz w:val="20"/>
                <w:szCs w:val="20"/>
                <w:lang w:bidi="ar-SA"/>
              </w:rPr>
              <w:t>5</w:t>
            </w:r>
            <w:r w:rsidR="00F251E9">
              <w:rPr>
                <w:rFonts w:eastAsia="MS Mincho" w:cs="Arial"/>
                <w:b/>
                <w:noProof w:val="0"/>
                <w:color w:val="000000"/>
                <w:sz w:val="20"/>
                <w:szCs w:val="20"/>
                <w:lang w:bidi="ar-SA"/>
              </w:rPr>
              <w:t>4</w:t>
            </w:r>
            <w:r w:rsidRPr="00E97FD5">
              <w:rPr>
                <w:rFonts w:eastAsia="MS Mincho" w:cs="Arial"/>
                <w:b/>
                <w:noProof w:val="0"/>
                <w:color w:val="000000"/>
                <w:sz w:val="20"/>
                <w:szCs w:val="20"/>
                <w:lang w:bidi="ar-SA"/>
              </w:rPr>
              <w:t xml:space="preserve"> </w:t>
            </w:r>
            <w:r w:rsidR="00F251E9">
              <w:rPr>
                <w:rFonts w:eastAsia="MS Mincho" w:cs="Arial"/>
                <w:b/>
                <w:noProof w:val="0"/>
                <w:color w:val="000000"/>
                <w:sz w:val="20"/>
                <w:szCs w:val="20"/>
                <w:lang w:bidi="ar-SA"/>
              </w:rPr>
              <w:t>72</w:t>
            </w:r>
            <w:r w:rsidRPr="00E97FD5">
              <w:rPr>
                <w:rFonts w:eastAsia="MS Mincho" w:cs="Arial"/>
                <w:b/>
                <w:noProof w:val="0"/>
                <w:color w:val="000000"/>
                <w:sz w:val="20"/>
                <w:szCs w:val="20"/>
                <w:lang w:bidi="ar-SA"/>
              </w:rPr>
              <w:t>0</w:t>
            </w:r>
          </w:p>
        </w:tc>
      </w:tr>
    </w:tbl>
    <w:p w:rsidR="00667393" w:rsidRPr="00E97FD5" w:rsidP="00667393" w14:paraId="3D8CE158" w14:textId="16EBBAA2">
      <w:pPr>
        <w:rPr>
          <w:rFonts w:cs="Arial"/>
          <w:iCs/>
          <w:color w:val="000000"/>
          <w:sz w:val="20"/>
          <w:szCs w:val="20"/>
        </w:rPr>
      </w:pPr>
      <w:r w:rsidRPr="00E97FD5">
        <w:rPr>
          <w:rFonts w:cs="Arial"/>
          <w:iCs/>
          <w:noProof w:val="0"/>
          <w:color w:val="000000"/>
          <w:sz w:val="20"/>
          <w:szCs w:val="20"/>
          <w:lang w:eastAsia="cs-CZ" w:bidi="ar-SA"/>
        </w:rPr>
        <w:t>*</w:t>
      </w:r>
      <w:r w:rsidRPr="00E97FD5">
        <w:rPr>
          <w:rFonts w:cs="Arial"/>
          <w:iCs/>
          <w:color w:val="000000"/>
          <w:sz w:val="20"/>
          <w:szCs w:val="20"/>
        </w:rPr>
        <w:t xml:space="preserve"> Pro výpočet hodinových nákladů státní správy (MŽP) je dle metodiky MV použita 13. třída, 7. stupeň (s</w:t>
      </w:r>
      <w:r w:rsidRPr="00E97FD5">
        <w:rPr>
          <w:rFonts w:cs="Arial"/>
          <w:b/>
          <w:iCs/>
          <w:color w:val="000000"/>
          <w:sz w:val="20"/>
          <w:szCs w:val="20"/>
        </w:rPr>
        <w:t> </w:t>
      </w:r>
      <w:r w:rsidRPr="00E97FD5">
        <w:rPr>
          <w:rFonts w:cs="Arial"/>
          <w:iCs/>
          <w:color w:val="000000"/>
          <w:sz w:val="20"/>
          <w:szCs w:val="20"/>
        </w:rPr>
        <w:t>připočítáním 35 % odvodů na zdravotní a sociální pojištění, 20 % zohlednění osobních příplatků a</w:t>
      </w:r>
      <w:r w:rsidR="00B760EA">
        <w:rPr>
          <w:rFonts w:cs="Arial"/>
          <w:iCs/>
          <w:color w:val="000000"/>
          <w:sz w:val="20"/>
          <w:szCs w:val="20"/>
        </w:rPr>
        <w:t> </w:t>
      </w:r>
      <w:r w:rsidRPr="00E97FD5">
        <w:rPr>
          <w:rFonts w:cs="Arial"/>
          <w:iCs/>
          <w:color w:val="000000"/>
          <w:sz w:val="20"/>
          <w:szCs w:val="20"/>
        </w:rPr>
        <w:t>odměn a</w:t>
      </w:r>
      <w:r w:rsidRPr="00E97FD5">
        <w:rPr>
          <w:rFonts w:cs="Arial"/>
          <w:b/>
          <w:iCs/>
          <w:color w:val="000000"/>
          <w:sz w:val="20"/>
          <w:szCs w:val="20"/>
        </w:rPr>
        <w:t> </w:t>
      </w:r>
      <w:r w:rsidRPr="00E97FD5">
        <w:rPr>
          <w:rFonts w:cs="Arial"/>
          <w:iCs/>
          <w:color w:val="000000"/>
          <w:sz w:val="20"/>
          <w:szCs w:val="20"/>
        </w:rPr>
        <w:t>43</w:t>
      </w:r>
      <w:r w:rsidRPr="00E97FD5">
        <w:rPr>
          <w:rFonts w:cs="Arial"/>
          <w:b/>
          <w:iCs/>
          <w:color w:val="000000"/>
          <w:sz w:val="20"/>
          <w:szCs w:val="20"/>
        </w:rPr>
        <w:t> </w:t>
      </w:r>
      <w:r w:rsidRPr="00E97FD5">
        <w:rPr>
          <w:rFonts w:cs="Arial"/>
          <w:iCs/>
          <w:color w:val="000000"/>
          <w:sz w:val="20"/>
          <w:szCs w:val="20"/>
        </w:rPr>
        <w:t>% režijní náklady</w:t>
      </w:r>
      <w:r w:rsidRPr="00E97FD5">
        <w:rPr>
          <w:rFonts w:cs="Arial"/>
          <w:b/>
          <w:iCs/>
          <w:color w:val="000000"/>
          <w:sz w:val="20"/>
          <w:szCs w:val="20"/>
        </w:rPr>
        <w:t>)</w:t>
      </w:r>
      <w:r w:rsidRPr="00E97FD5">
        <w:rPr>
          <w:rFonts w:cs="Arial"/>
          <w:iCs/>
          <w:color w:val="000000"/>
          <w:sz w:val="20"/>
          <w:szCs w:val="20"/>
        </w:rPr>
        <w:t>.</w:t>
      </w:r>
    </w:p>
    <w:p w:rsidR="00667393" w:rsidRPr="00ED38E9" w:rsidP="00A571AD" w14:paraId="04BC6FDE" w14:textId="77777777">
      <w:pPr>
        <w:widowControl w:val="0"/>
        <w:spacing w:before="360" w:after="120"/>
        <w:rPr>
          <w:rFonts w:eastAsia="Calibri" w:cs="Arial"/>
          <w:noProof w:val="0"/>
          <w:szCs w:val="22"/>
          <w:lang w:bidi="ar-SA"/>
        </w:rPr>
      </w:pPr>
      <w:r w:rsidRPr="00ED38E9">
        <w:rPr>
          <w:rFonts w:eastAsia="Calibri" w:cs="Arial"/>
          <w:noProof w:val="0"/>
          <w:szCs w:val="22"/>
          <w:lang w:bidi="ar-SA"/>
        </w:rPr>
        <w:t xml:space="preserve">Očekáváme, že tento krok bude realizován </w:t>
      </w:r>
      <w:r>
        <w:rPr>
          <w:rFonts w:eastAsia="Calibri" w:cs="Arial"/>
          <w:noProof w:val="0"/>
          <w:szCs w:val="22"/>
          <w:lang w:bidi="ar-SA"/>
        </w:rPr>
        <w:t>výjimečně</w:t>
      </w:r>
      <w:r w:rsidRPr="00ED38E9">
        <w:rPr>
          <w:rFonts w:eastAsia="Calibri" w:cs="Arial"/>
          <w:noProof w:val="0"/>
          <w:szCs w:val="22"/>
          <w:lang w:bidi="ar-SA"/>
        </w:rPr>
        <w:t xml:space="preserve">. Náklady tohoto opatření </w:t>
      </w:r>
      <w:r>
        <w:rPr>
          <w:rFonts w:eastAsia="Calibri" w:cs="Arial"/>
          <w:noProof w:val="0"/>
          <w:szCs w:val="22"/>
          <w:lang w:bidi="ar-SA"/>
        </w:rPr>
        <w:t xml:space="preserve">jsou tedy spíše teoretické. </w:t>
      </w:r>
      <w:r w:rsidRPr="00ED38E9">
        <w:rPr>
          <w:rFonts w:eastAsia="Calibri" w:cs="Arial"/>
          <w:noProof w:val="0"/>
          <w:szCs w:val="22"/>
          <w:lang w:bidi="ar-SA"/>
        </w:rPr>
        <w:t>Nevyčíslitelným nákladem může být pouze určitá právní nejistota v případě, že nebudou striktně a jasně stanoveny podmínky odnětí autorizace.</w:t>
      </w:r>
    </w:p>
    <w:p w:rsidR="00667393" w:rsidP="00667393" w14:paraId="4C1C4FB2" w14:textId="6F800706">
      <w:pPr>
        <w:widowControl w:val="0"/>
        <w:spacing w:after="120"/>
        <w:rPr>
          <w:rFonts w:eastAsia="Calibri" w:cs="Arial"/>
          <w:noProof w:val="0"/>
          <w:szCs w:val="22"/>
          <w:lang w:bidi="ar-SA"/>
        </w:rPr>
      </w:pPr>
      <w:r w:rsidRPr="00ED38E9">
        <w:rPr>
          <w:rFonts w:eastAsia="Calibri" w:cs="Arial"/>
          <w:noProof w:val="0"/>
          <w:szCs w:val="22"/>
          <w:lang w:bidi="ar-SA"/>
        </w:rPr>
        <w:t>Mimo výše uvedené náklady a přínosy Varianty 1 je dále třeba v případě jejího zavedení a současně ustanovení povinnosti, že místo zpětného odběru bude určené výrobcem (bude mít smlouvu s KS), započítat náklady spojené s rizikem obtížnějšího přístupu zpracovatelů ke</w:t>
      </w:r>
      <w:r>
        <w:rPr>
          <w:rFonts w:eastAsia="Calibri" w:cs="Arial"/>
          <w:noProof w:val="0"/>
          <w:szCs w:val="22"/>
          <w:lang w:bidi="ar-SA"/>
        </w:rPr>
        <w:t> </w:t>
      </w:r>
      <w:r w:rsidRPr="00ED38E9">
        <w:rPr>
          <w:rFonts w:eastAsia="Calibri" w:cs="Arial"/>
          <w:noProof w:val="0"/>
          <w:szCs w:val="22"/>
          <w:lang w:bidi="ar-SA"/>
        </w:rPr>
        <w:t xml:space="preserve">komoditě v důsledku nemožnosti zřízení místa </w:t>
      </w:r>
      <w:r w:rsidR="00A571AD">
        <w:rPr>
          <w:rFonts w:eastAsia="Calibri" w:cs="Arial"/>
          <w:noProof w:val="0"/>
          <w:szCs w:val="22"/>
          <w:lang w:bidi="ar-SA"/>
        </w:rPr>
        <w:t>ZO</w:t>
      </w:r>
      <w:r w:rsidRPr="00ED38E9">
        <w:rPr>
          <w:rFonts w:eastAsia="Calibri" w:cs="Arial"/>
          <w:noProof w:val="0"/>
          <w:szCs w:val="22"/>
          <w:lang w:bidi="ar-SA"/>
        </w:rPr>
        <w:t xml:space="preserve"> bez souhlasu výrobce. Platí nicméně, že toto opatření může mít negativní vliv na individuální zpracovatele, na</w:t>
      </w:r>
      <w:r>
        <w:rPr>
          <w:rFonts w:eastAsia="Calibri" w:cs="Arial"/>
          <w:noProof w:val="0"/>
          <w:szCs w:val="22"/>
          <w:lang w:bidi="ar-SA"/>
        </w:rPr>
        <w:t> </w:t>
      </w:r>
      <w:r w:rsidRPr="00ED38E9">
        <w:rPr>
          <w:rFonts w:eastAsia="Calibri" w:cs="Arial"/>
          <w:noProof w:val="0"/>
          <w:szCs w:val="22"/>
          <w:lang w:bidi="ar-SA"/>
        </w:rPr>
        <w:t>druhou stranu je však kompatibilní se systémem požadovaným Směrnicí</w:t>
      </w:r>
      <w:r>
        <w:rPr>
          <w:rFonts w:eastAsia="Calibri" w:cs="Arial"/>
          <w:noProof w:val="0"/>
          <w:szCs w:val="22"/>
          <w:lang w:bidi="ar-SA"/>
        </w:rPr>
        <w:t xml:space="preserve"> OEEZ</w:t>
      </w:r>
      <w:r w:rsidRPr="00ED38E9">
        <w:rPr>
          <w:rFonts w:eastAsia="Calibri" w:cs="Arial"/>
          <w:noProof w:val="0"/>
          <w:szCs w:val="22"/>
          <w:lang w:bidi="ar-SA"/>
        </w:rPr>
        <w:t>, kdy odpovědnost za</w:t>
      </w:r>
      <w:r w:rsidR="00193C68">
        <w:rPr>
          <w:rFonts w:eastAsia="Calibri" w:cs="Arial"/>
          <w:noProof w:val="0"/>
          <w:szCs w:val="22"/>
          <w:lang w:bidi="ar-SA"/>
        </w:rPr>
        <w:t> </w:t>
      </w:r>
      <w:r w:rsidRPr="00ED38E9">
        <w:rPr>
          <w:rFonts w:eastAsia="Calibri" w:cs="Arial"/>
          <w:noProof w:val="0"/>
          <w:szCs w:val="22"/>
          <w:lang w:bidi="ar-SA"/>
        </w:rPr>
        <w:t>nakládání s OEEZ nese výrobce, a s variantou, že KS může být sankcionován odebráním oprávnění v případě neplnění podmínek stanovených zákonem, pokud jedna z těchto podmínek bude navázána na cíle sběru. V případě, že novou právní úpravou bude zaručena dostatečná a</w:t>
      </w:r>
      <w:r w:rsidR="00193C68">
        <w:rPr>
          <w:rFonts w:eastAsia="Calibri" w:cs="Arial"/>
          <w:noProof w:val="0"/>
          <w:szCs w:val="22"/>
          <w:lang w:bidi="ar-SA"/>
        </w:rPr>
        <w:t> </w:t>
      </w:r>
      <w:r w:rsidRPr="00ED38E9">
        <w:rPr>
          <w:rFonts w:eastAsia="Calibri" w:cs="Arial"/>
          <w:noProof w:val="0"/>
          <w:szCs w:val="22"/>
          <w:lang w:bidi="ar-SA"/>
        </w:rPr>
        <w:t>spolehlivá kontrola i kvality zpracování, a správně nastaveny jeho standardy, nemělo by toto opatření vést k nákladům ve formě špatně zpracovaného OEEZ.</w:t>
      </w:r>
    </w:p>
    <w:p w:rsidR="00F37472" w14:paraId="63367AB5" w14:textId="058DE376">
      <w:pPr>
        <w:rPr>
          <w:rFonts w:eastAsia="Calibri" w:cs="Arial"/>
          <w:b/>
          <w:bCs/>
          <w:lang w:bidi="ar-SA"/>
        </w:rPr>
      </w:pPr>
    </w:p>
    <w:p w:rsidR="00667393" w:rsidRPr="00ED38E9" w:rsidP="00BF16B7" w14:paraId="6766A693" w14:textId="190801B7">
      <w:pPr>
        <w:pStyle w:val="Heading3"/>
      </w:pPr>
      <w:r w:rsidRPr="00ED38E9">
        <w:t>Vyhodnocení nákladů a přínosů variant</w:t>
      </w:r>
    </w:p>
    <w:p w:rsidR="00667393" w:rsidRPr="00E97FD5" w:rsidP="00F37472" w14:paraId="68113216" w14:textId="7E8B8645">
      <w:pPr>
        <w:keepNext/>
        <w:rPr>
          <w:b/>
          <w:sz w:val="20"/>
          <w:szCs w:val="20"/>
        </w:rPr>
      </w:pPr>
      <w:r w:rsidRPr="00E97FD5">
        <w:rPr>
          <w:b/>
          <w:sz w:val="20"/>
          <w:szCs w:val="20"/>
        </w:rPr>
        <w:t>T</w:t>
      </w:r>
      <w:r w:rsidRPr="00E97FD5" w:rsidR="00E97FD5">
        <w:rPr>
          <w:b/>
          <w:sz w:val="20"/>
          <w:szCs w:val="20"/>
        </w:rPr>
        <w:t>abu</w:t>
      </w:r>
      <w:r w:rsidR="00193C68">
        <w:rPr>
          <w:b/>
          <w:sz w:val="20"/>
          <w:szCs w:val="20"/>
        </w:rPr>
        <w:t>lka 24</w:t>
      </w:r>
      <w:r w:rsidRPr="00E97FD5">
        <w:rPr>
          <w:b/>
          <w:sz w:val="20"/>
          <w:szCs w:val="20"/>
        </w:rPr>
        <w:t>: Souhrn nákladů a přínosů</w:t>
      </w:r>
    </w:p>
    <w:tbl>
      <w:tblPr>
        <w:tblStyle w:val="Mkatabulky5"/>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3286"/>
        <w:gridCol w:w="3392"/>
      </w:tblGrid>
      <w:tr w14:paraId="5300AA35" w14:textId="77777777" w:rsidTr="00193C68">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trPr>
        <w:tc>
          <w:tcPr>
            <w:tcW w:w="2389" w:type="dxa"/>
            <w:shd w:val="clear" w:color="auto" w:fill="B6B002"/>
            <w:vAlign w:val="center"/>
          </w:tcPr>
          <w:p w:rsidR="00667393" w:rsidRPr="00E97FD5" w:rsidP="006031E5" w14:paraId="76BB6A47" w14:textId="77777777">
            <w:pPr>
              <w:spacing w:line="264" w:lineRule="auto"/>
              <w:jc w:val="center"/>
              <w:rPr>
                <w:rFonts w:cs="Arial"/>
                <w:b/>
                <w:noProof w:val="0"/>
                <w:sz w:val="20"/>
                <w:szCs w:val="20"/>
                <w:lang w:bidi="ar-SA"/>
              </w:rPr>
            </w:pPr>
          </w:p>
        </w:tc>
        <w:tc>
          <w:tcPr>
            <w:tcW w:w="3286" w:type="dxa"/>
            <w:shd w:val="clear" w:color="auto" w:fill="B6B002"/>
            <w:vAlign w:val="center"/>
          </w:tcPr>
          <w:p w:rsidR="00667393" w:rsidRPr="00E97FD5" w:rsidP="006031E5" w14:paraId="0EE92267" w14:textId="77777777">
            <w:pPr>
              <w:spacing w:line="264" w:lineRule="auto"/>
              <w:rPr>
                <w:rFonts w:cs="Arial"/>
                <w:b/>
                <w:noProof w:val="0"/>
                <w:sz w:val="20"/>
                <w:szCs w:val="20"/>
                <w:lang w:bidi="ar-SA"/>
              </w:rPr>
            </w:pPr>
            <w:r w:rsidRPr="00E97FD5">
              <w:rPr>
                <w:rFonts w:cs="Arial"/>
                <w:b/>
                <w:noProof w:val="0"/>
                <w:sz w:val="20"/>
                <w:szCs w:val="20"/>
                <w:lang w:bidi="ar-SA"/>
              </w:rPr>
              <w:t>Náklady</w:t>
            </w:r>
          </w:p>
        </w:tc>
        <w:tc>
          <w:tcPr>
            <w:tcW w:w="3392" w:type="dxa"/>
            <w:shd w:val="clear" w:color="auto" w:fill="B6B002"/>
            <w:vAlign w:val="center"/>
          </w:tcPr>
          <w:p w:rsidR="00667393" w:rsidRPr="00E97FD5" w:rsidP="006031E5" w14:paraId="20D97F98" w14:textId="77777777">
            <w:pPr>
              <w:spacing w:line="264" w:lineRule="auto"/>
              <w:rPr>
                <w:rFonts w:cs="Arial"/>
                <w:b/>
                <w:noProof w:val="0"/>
                <w:sz w:val="20"/>
                <w:szCs w:val="20"/>
                <w:lang w:bidi="ar-SA"/>
              </w:rPr>
            </w:pPr>
            <w:r w:rsidRPr="00E97FD5">
              <w:rPr>
                <w:rFonts w:cs="Arial"/>
                <w:b/>
                <w:noProof w:val="0"/>
                <w:sz w:val="20"/>
                <w:szCs w:val="20"/>
                <w:lang w:bidi="ar-SA"/>
              </w:rPr>
              <w:t>Přínosy</w:t>
            </w:r>
          </w:p>
        </w:tc>
      </w:tr>
    </w:tbl>
    <w:tbl>
      <w:tblPr>
        <w:tblStyle w:val="Mkatabulky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6"/>
        <w:gridCol w:w="3322"/>
        <w:gridCol w:w="3324"/>
      </w:tblGrid>
      <w:tr w14:paraId="0779DB60" w14:textId="77777777" w:rsidTr="006031E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
          <w:jc w:val="center"/>
        </w:trPr>
        <w:tc>
          <w:tcPr>
            <w:tcW w:w="9072" w:type="dxa"/>
            <w:gridSpan w:val="3"/>
            <w:shd w:val="clear" w:color="auto" w:fill="D9D9D9"/>
            <w:vAlign w:val="center"/>
          </w:tcPr>
          <w:p w:rsidR="00667393" w:rsidRPr="00E97FD5" w:rsidP="006031E5" w14:paraId="5B8E91BD" w14:textId="77777777">
            <w:pPr>
              <w:spacing w:after="120"/>
              <w:rPr>
                <w:rFonts w:cs="Arial"/>
                <w:b/>
                <w:noProof w:val="0"/>
                <w:sz w:val="20"/>
                <w:szCs w:val="20"/>
                <w:lang w:bidi="ar-SA"/>
              </w:rPr>
            </w:pPr>
            <w:r w:rsidRPr="00E97FD5">
              <w:rPr>
                <w:rFonts w:cs="Arial"/>
                <w:b/>
                <w:sz w:val="20"/>
                <w:szCs w:val="20"/>
                <w:lang w:bidi="ar-SA"/>
              </w:rPr>
              <w:t>Odebrání oprávnění k provozování KS</w:t>
            </w:r>
          </w:p>
        </w:tc>
      </w:tr>
      <w:tr w14:paraId="5706686C" w14:textId="77777777" w:rsidTr="006031E5">
        <w:tblPrEx>
          <w:tblW w:w="0" w:type="auto"/>
          <w:jc w:val="center"/>
          <w:tblLook w:val="04A0"/>
        </w:tblPrEx>
        <w:trPr>
          <w:trHeight w:val="64"/>
          <w:jc w:val="center"/>
        </w:trPr>
        <w:tc>
          <w:tcPr>
            <w:tcW w:w="2419" w:type="dxa"/>
            <w:shd w:val="clear" w:color="auto" w:fill="F2F2F2"/>
            <w:vAlign w:val="center"/>
          </w:tcPr>
          <w:p w:rsidR="00667393" w:rsidRPr="00E97FD5" w:rsidP="006031E5" w14:paraId="68E1B1F0" w14:textId="77777777">
            <w:pPr>
              <w:spacing w:before="60" w:line="240" w:lineRule="auto"/>
              <w:jc w:val="left"/>
              <w:rPr>
                <w:rFonts w:cs="Arial"/>
                <w:sz w:val="20"/>
                <w:szCs w:val="20"/>
                <w:lang w:bidi="ar-SA"/>
              </w:rPr>
            </w:pPr>
            <w:r w:rsidRPr="00E97FD5">
              <w:rPr>
                <w:rFonts w:cs="Arial"/>
                <w:sz w:val="20"/>
                <w:szCs w:val="20"/>
                <w:lang w:bidi="ar-SA"/>
              </w:rPr>
              <w:t>Varianta 0</w:t>
            </w:r>
          </w:p>
        </w:tc>
        <w:tc>
          <w:tcPr>
            <w:tcW w:w="3326" w:type="dxa"/>
            <w:shd w:val="clear" w:color="auto" w:fill="F2F2F2"/>
            <w:vAlign w:val="center"/>
          </w:tcPr>
          <w:p w:rsidR="00667393" w:rsidRPr="00E97FD5" w:rsidP="006031E5" w14:paraId="357429A4" w14:textId="77777777">
            <w:pPr>
              <w:spacing w:before="60" w:line="240" w:lineRule="auto"/>
              <w:jc w:val="left"/>
              <w:rPr>
                <w:rFonts w:cs="Arial"/>
                <w:noProof w:val="0"/>
                <w:sz w:val="20"/>
                <w:szCs w:val="20"/>
                <w:lang w:bidi="ar-SA"/>
              </w:rPr>
            </w:pPr>
            <w:r w:rsidRPr="00E97FD5">
              <w:rPr>
                <w:rFonts w:cs="Arial"/>
                <w:noProof w:val="0"/>
                <w:sz w:val="20"/>
                <w:szCs w:val="20"/>
                <w:lang w:bidi="ar-SA"/>
              </w:rPr>
              <w:t>nulová varianta</w:t>
            </w:r>
          </w:p>
        </w:tc>
        <w:tc>
          <w:tcPr>
            <w:tcW w:w="3327" w:type="dxa"/>
            <w:shd w:val="clear" w:color="auto" w:fill="F2F2F2"/>
            <w:vAlign w:val="center"/>
          </w:tcPr>
          <w:p w:rsidR="00667393" w:rsidRPr="00E97FD5" w:rsidP="006031E5" w14:paraId="446E502B" w14:textId="77777777">
            <w:pPr>
              <w:spacing w:before="60" w:line="240" w:lineRule="auto"/>
              <w:jc w:val="left"/>
              <w:rPr>
                <w:rFonts w:cs="Arial"/>
                <w:noProof w:val="0"/>
                <w:sz w:val="20"/>
                <w:szCs w:val="20"/>
                <w:lang w:bidi="ar-SA"/>
              </w:rPr>
            </w:pPr>
            <w:r w:rsidRPr="00E97FD5">
              <w:rPr>
                <w:rFonts w:cs="Arial"/>
                <w:noProof w:val="0"/>
                <w:sz w:val="20"/>
                <w:szCs w:val="20"/>
                <w:lang w:bidi="ar-SA"/>
              </w:rPr>
              <w:t>nulová varianta</w:t>
            </w:r>
          </w:p>
        </w:tc>
      </w:tr>
      <w:tr w14:paraId="6FC2FEF1" w14:textId="77777777" w:rsidTr="006031E5">
        <w:tblPrEx>
          <w:tblW w:w="0" w:type="auto"/>
          <w:jc w:val="center"/>
          <w:tblLook w:val="04A0"/>
        </w:tblPrEx>
        <w:trPr>
          <w:trHeight w:val="242"/>
          <w:jc w:val="center"/>
        </w:trPr>
        <w:tc>
          <w:tcPr>
            <w:tcW w:w="2419" w:type="dxa"/>
            <w:shd w:val="clear" w:color="auto" w:fill="D9D9D9"/>
            <w:vAlign w:val="center"/>
          </w:tcPr>
          <w:p w:rsidR="00667393" w:rsidRPr="00E97FD5" w:rsidP="006031E5" w14:paraId="2BE0D92B" w14:textId="77777777">
            <w:pPr>
              <w:spacing w:before="60" w:line="240" w:lineRule="auto"/>
              <w:jc w:val="left"/>
              <w:rPr>
                <w:rFonts w:cs="Arial"/>
                <w:b/>
                <w:sz w:val="20"/>
                <w:szCs w:val="20"/>
                <w:u w:val="single"/>
                <w:lang w:bidi="ar-SA"/>
              </w:rPr>
            </w:pPr>
            <w:r w:rsidRPr="00E97FD5">
              <w:rPr>
                <w:rFonts w:cs="Arial"/>
                <w:b/>
                <w:sz w:val="20"/>
                <w:szCs w:val="20"/>
                <w:u w:val="single"/>
                <w:lang w:bidi="ar-SA"/>
              </w:rPr>
              <w:t>Varianta 1</w:t>
            </w:r>
          </w:p>
        </w:tc>
        <w:tc>
          <w:tcPr>
            <w:tcW w:w="3326" w:type="dxa"/>
            <w:shd w:val="clear" w:color="auto" w:fill="D9D9D9"/>
            <w:vAlign w:val="center"/>
          </w:tcPr>
          <w:p w:rsidR="00667393" w:rsidRPr="00E97FD5" w:rsidP="00D24744" w14:paraId="6BF8099B" w14:textId="0EECC5F6">
            <w:pPr>
              <w:spacing w:before="60" w:line="240" w:lineRule="auto"/>
              <w:jc w:val="left"/>
              <w:rPr>
                <w:rFonts w:cs="Arial"/>
                <w:noProof w:val="0"/>
                <w:sz w:val="20"/>
                <w:szCs w:val="20"/>
                <w:lang w:bidi="ar-SA"/>
              </w:rPr>
            </w:pPr>
            <w:r w:rsidRPr="00E97FD5">
              <w:rPr>
                <w:rFonts w:cs="Arial"/>
                <w:noProof w:val="0"/>
                <w:sz w:val="20"/>
                <w:szCs w:val="20"/>
                <w:lang w:bidi="ar-SA"/>
              </w:rPr>
              <w:t>Náklady na případné správní řízení ze</w:t>
            </w:r>
            <w:r w:rsidR="00A571AD">
              <w:rPr>
                <w:rFonts w:cs="Arial"/>
                <w:noProof w:val="0"/>
                <w:sz w:val="20"/>
                <w:szCs w:val="20"/>
                <w:lang w:bidi="ar-SA"/>
              </w:rPr>
              <w:t> </w:t>
            </w:r>
            <w:r w:rsidRPr="00E97FD5">
              <w:rPr>
                <w:rFonts w:cs="Arial"/>
                <w:noProof w:val="0"/>
                <w:sz w:val="20"/>
                <w:szCs w:val="20"/>
                <w:lang w:bidi="ar-SA"/>
              </w:rPr>
              <w:t>strany MŽP 5</w:t>
            </w:r>
            <w:r w:rsidR="00F251E9">
              <w:rPr>
                <w:rFonts w:cs="Arial"/>
                <w:noProof w:val="0"/>
                <w:sz w:val="20"/>
                <w:szCs w:val="20"/>
                <w:lang w:bidi="ar-SA"/>
              </w:rPr>
              <w:t>5</w:t>
            </w:r>
            <w:r w:rsidRPr="00E97FD5">
              <w:rPr>
                <w:rFonts w:cs="Arial"/>
                <w:noProof w:val="0"/>
                <w:sz w:val="20"/>
                <w:szCs w:val="20"/>
                <w:lang w:bidi="ar-SA"/>
              </w:rPr>
              <w:t> 000 Kč za správní řízení. Náklady KS na správní řízení mohou dosahovat 3</w:t>
            </w:r>
            <w:r w:rsidR="00D24744">
              <w:rPr>
                <w:rFonts w:cs="Arial"/>
                <w:noProof w:val="0"/>
                <w:sz w:val="20"/>
                <w:szCs w:val="20"/>
                <w:lang w:bidi="ar-SA"/>
              </w:rPr>
              <w:t>6</w:t>
            </w:r>
            <w:r w:rsidRPr="00E97FD5">
              <w:rPr>
                <w:rFonts w:cs="Arial"/>
                <w:noProof w:val="0"/>
                <w:sz w:val="20"/>
                <w:szCs w:val="20"/>
                <w:lang w:bidi="ar-SA"/>
              </w:rPr>
              <w:t> </w:t>
            </w:r>
            <w:r w:rsidR="00F251E9">
              <w:rPr>
                <w:rFonts w:cs="Arial"/>
                <w:noProof w:val="0"/>
                <w:sz w:val="20"/>
                <w:szCs w:val="20"/>
                <w:lang w:bidi="ar-SA"/>
              </w:rPr>
              <w:t>0</w:t>
            </w:r>
            <w:r w:rsidRPr="00E97FD5">
              <w:rPr>
                <w:rFonts w:cs="Arial"/>
                <w:noProof w:val="0"/>
                <w:sz w:val="20"/>
                <w:szCs w:val="20"/>
                <w:lang w:bidi="ar-SA"/>
              </w:rPr>
              <w:t>00 Kč.</w:t>
            </w:r>
          </w:p>
        </w:tc>
        <w:tc>
          <w:tcPr>
            <w:tcW w:w="3327" w:type="dxa"/>
            <w:shd w:val="clear" w:color="auto" w:fill="D9D9D9"/>
            <w:vAlign w:val="center"/>
          </w:tcPr>
          <w:p w:rsidR="00667393" w:rsidRPr="00E97FD5" w:rsidP="00480662" w14:paraId="259567FC" w14:textId="318E6FBC">
            <w:pPr>
              <w:spacing w:before="60" w:line="240" w:lineRule="auto"/>
              <w:jc w:val="left"/>
              <w:rPr>
                <w:rFonts w:cs="Arial"/>
                <w:noProof w:val="0"/>
                <w:sz w:val="20"/>
                <w:szCs w:val="20"/>
                <w:lang w:bidi="ar-SA"/>
              </w:rPr>
            </w:pPr>
            <w:r w:rsidRPr="00E97FD5">
              <w:rPr>
                <w:rFonts w:cs="Arial"/>
                <w:noProof w:val="0"/>
                <w:sz w:val="20"/>
                <w:szCs w:val="20"/>
                <w:lang w:bidi="ar-SA"/>
              </w:rPr>
              <w:t xml:space="preserve">Vyšší právní jistota, transparentnost, </w:t>
            </w:r>
            <w:r w:rsidR="00480662">
              <w:rPr>
                <w:rFonts w:cs="Arial"/>
                <w:noProof w:val="0"/>
                <w:sz w:val="20"/>
                <w:szCs w:val="20"/>
                <w:lang w:bidi="ar-SA"/>
              </w:rPr>
              <w:t>postižitelnost (možnost udělení sankcí)</w:t>
            </w:r>
            <w:r w:rsidRPr="00E97FD5">
              <w:rPr>
                <w:rFonts w:cs="Arial"/>
                <w:noProof w:val="0"/>
                <w:sz w:val="20"/>
                <w:szCs w:val="20"/>
                <w:lang w:bidi="ar-SA"/>
              </w:rPr>
              <w:t>.</w:t>
            </w:r>
          </w:p>
        </w:tc>
      </w:tr>
    </w:tbl>
    <w:p w:rsidR="00667393" w:rsidRPr="00ED38E9" w:rsidP="00667393" w14:paraId="26BB5FEF" w14:textId="77777777">
      <w:pPr>
        <w:widowControl w:val="0"/>
        <w:spacing w:after="120"/>
        <w:rPr>
          <w:rFonts w:eastAsia="Calibri" w:cs="Arial"/>
          <w:noProof w:val="0"/>
          <w:szCs w:val="22"/>
          <w:lang w:bidi="ar-SA"/>
        </w:rPr>
      </w:pPr>
    </w:p>
    <w:p w:rsidR="00667393" w:rsidRPr="00221615" w:rsidP="00667393" w14:paraId="7D5C1B61" w14:textId="77777777">
      <w:pPr>
        <w:pStyle w:val="Heading2"/>
        <w:spacing w:before="120" w:after="0"/>
        <w:rPr>
          <w:b w:val="0"/>
        </w:rPr>
      </w:pPr>
      <w:r>
        <w:t>N</w:t>
      </w:r>
      <w:r w:rsidRPr="00221615">
        <w:t>ávrh řešení</w:t>
      </w:r>
    </w:p>
    <w:p w:rsidR="00667393" w:rsidP="00667393" w14:paraId="519343FC" w14:textId="7D83A7D3">
      <w:pPr>
        <w:widowControl w:val="0"/>
        <w:rPr>
          <w:rFonts w:eastAsia="Calibri" w:cs="Arial"/>
          <w:noProof w:val="0"/>
          <w:szCs w:val="22"/>
          <w:lang w:bidi="ar-SA"/>
        </w:rPr>
      </w:pPr>
      <w:r w:rsidRPr="00ED38E9">
        <w:rPr>
          <w:rFonts w:eastAsia="Calibri" w:cs="Arial"/>
          <w:noProof w:val="0"/>
          <w:szCs w:val="22"/>
          <w:lang w:bidi="ar-SA"/>
        </w:rPr>
        <w:t xml:space="preserve">V porovnání se současným stavem přínosy Varianty 1 jednoznačně převažují. Náklady zavedení Varianty 1 mohou být hodnoceny jako zanedbatelné (vzhledem k počtu </w:t>
      </w:r>
      <w:r w:rsidR="00A571AD">
        <w:rPr>
          <w:rFonts w:eastAsia="Calibri" w:cs="Arial"/>
          <w:noProof w:val="0"/>
          <w:szCs w:val="22"/>
          <w:lang w:bidi="ar-SA"/>
        </w:rPr>
        <w:t>KS</w:t>
      </w:r>
      <w:r w:rsidRPr="00ED38E9">
        <w:rPr>
          <w:rFonts w:eastAsia="Calibri" w:cs="Arial"/>
          <w:noProof w:val="0"/>
          <w:szCs w:val="22"/>
          <w:lang w:bidi="ar-SA"/>
        </w:rPr>
        <w:t xml:space="preserve"> působících na českém trhu), proto navrhujeme, aby právě tato varianta byla vybrána jako řešení daného problému. KS budou profitovat z vyšší právní jistoty a budou schopny se lépe přizpůsobit daným podmínkám. Budou-li cíle dané zákonem pro všechny subjekty reálně dosažitelné a jednoznačně definované (ale ne podhodnocené), pak budou subjekty motivovány k navyšování úrovně </w:t>
      </w:r>
      <w:r w:rsidR="00A571AD">
        <w:rPr>
          <w:rFonts w:eastAsia="Calibri" w:cs="Arial"/>
          <w:noProof w:val="0"/>
          <w:szCs w:val="22"/>
          <w:lang w:bidi="ar-SA"/>
        </w:rPr>
        <w:t>ZO</w:t>
      </w:r>
      <w:r w:rsidRPr="00ED38E9">
        <w:rPr>
          <w:rFonts w:eastAsia="Calibri" w:cs="Arial"/>
          <w:noProof w:val="0"/>
          <w:szCs w:val="22"/>
          <w:lang w:bidi="ar-SA"/>
        </w:rPr>
        <w:t xml:space="preserve"> a odděleného sběru, což představuje přínos zejména pro</w:t>
      </w:r>
      <w:r w:rsidR="004114EA">
        <w:rPr>
          <w:rFonts w:eastAsia="Calibri" w:cs="Arial"/>
          <w:noProof w:val="0"/>
          <w:szCs w:val="22"/>
          <w:lang w:bidi="ar-SA"/>
        </w:rPr>
        <w:t> </w:t>
      </w:r>
      <w:r w:rsidRPr="00ED38E9">
        <w:rPr>
          <w:rFonts w:eastAsia="Calibri" w:cs="Arial"/>
          <w:noProof w:val="0"/>
          <w:szCs w:val="22"/>
          <w:lang w:bidi="ar-SA"/>
        </w:rPr>
        <w:t>stát z hlediska snížení rizika sankcí ze strany EU a širokou veřejnost v důsledku zlepšení ochrany životního prostředí. Vzhledem k definici cílů EU doporučujeme tyto cíle nejpozději po</w:t>
      </w:r>
      <w:r w:rsidR="004114EA">
        <w:rPr>
          <w:rFonts w:eastAsia="Calibri" w:cs="Arial"/>
          <w:noProof w:val="0"/>
          <w:szCs w:val="22"/>
          <w:lang w:bidi="ar-SA"/>
        </w:rPr>
        <w:t> </w:t>
      </w:r>
      <w:r w:rsidRPr="00ED38E9">
        <w:rPr>
          <w:rFonts w:eastAsia="Calibri" w:cs="Arial"/>
          <w:noProof w:val="0"/>
          <w:szCs w:val="22"/>
          <w:lang w:bidi="ar-SA"/>
        </w:rPr>
        <w:t>dvou letech účinnosti vyhodnotit a případně přehodnotit výši optimálních cílů.</w:t>
      </w:r>
    </w:p>
    <w:p w:rsidR="00445337" w:rsidRPr="00F004DF" w:rsidP="00445337" w14:paraId="2CC0FE69" w14:textId="77777777"/>
    <w:p w:rsidR="00445337" w:rsidP="00445337" w14:paraId="02ECCF06" w14:textId="7834FD2C">
      <w:pPr>
        <w:pStyle w:val="Heading1"/>
      </w:pPr>
      <w:bookmarkStart w:id="160" w:name="_Toc14942088"/>
      <w:bookmarkStart w:id="161" w:name="_Toc256000014"/>
      <w:r>
        <w:t xml:space="preserve">Převod peněžních prostředků při zániku </w:t>
      </w:r>
      <w:r w:rsidR="00963FAF">
        <w:t xml:space="preserve">oprávnění k provozování KS </w:t>
      </w:r>
      <w:r>
        <w:t>(§</w:t>
      </w:r>
      <w:r w:rsidR="00963FAF">
        <w:t> </w:t>
      </w:r>
      <w:r>
        <w:t>58)</w:t>
      </w:r>
      <w:bookmarkEnd w:id="161"/>
      <w:bookmarkEnd w:id="160"/>
    </w:p>
    <w:p w:rsidR="00445337" w:rsidRPr="00ED38E9" w:rsidP="00445337" w14:paraId="51CEDA97" w14:textId="77777777">
      <w:pPr>
        <w:pStyle w:val="Heading2"/>
      </w:pPr>
      <w:r w:rsidRPr="00ED38E9">
        <w:t>Důvod předložení a cíle</w:t>
      </w:r>
    </w:p>
    <w:p w:rsidR="00445337" w:rsidP="00BF16B7" w14:paraId="07A4C2A8" w14:textId="77777777">
      <w:pPr>
        <w:pStyle w:val="Heading3"/>
      </w:pPr>
      <w:r w:rsidRPr="005A36CE">
        <w:t>Definice prob</w:t>
      </w:r>
      <w:r>
        <w:t>lému</w:t>
      </w:r>
      <w:r w:rsidRPr="005A36CE">
        <w:t xml:space="preserve"> </w:t>
      </w:r>
      <w:r>
        <w:t>a popis současného stavu</w:t>
      </w:r>
    </w:p>
    <w:p w:rsidR="00CB6C4A" w:rsidRPr="00997FAA" w:rsidP="000E6DE5" w14:paraId="2C3EA3AE" w14:textId="68467DB6">
      <w:r w:rsidRPr="00997FAA">
        <w:t>Dosavadní právní úprava neřeší</w:t>
      </w:r>
      <w:r w:rsidRPr="002E4FB5">
        <w:t>, jak má být naloženo s peněžními prostředky získanými z příspěvků výrobců</w:t>
      </w:r>
      <w:r>
        <w:t>, resp.</w:t>
      </w:r>
      <w:r w:rsidRPr="002E4FB5">
        <w:t xml:space="preserve"> v případě ukončení činnosti KS.</w:t>
      </w:r>
      <w:r>
        <w:t xml:space="preserve"> </w:t>
      </w:r>
      <w:r w:rsidRPr="00997FAA">
        <w:t>V</w:t>
      </w:r>
      <w:r>
        <w:t> </w:t>
      </w:r>
      <w:r w:rsidRPr="00997FAA">
        <w:t>případ</w:t>
      </w:r>
      <w:r>
        <w:t xml:space="preserve">ě, že provozovatel KS ukončí svoji činnost, vybrané finanční prostředky se stávají majetkem právniceké osoby, která dříve provozovala kolektivní systém. Zároveň </w:t>
      </w:r>
      <w:r w:rsidRPr="00997FAA">
        <w:t>na</w:t>
      </w:r>
      <w:r>
        <w:t> </w:t>
      </w:r>
      <w:r w:rsidRPr="00997FAA">
        <w:t xml:space="preserve">trhu </w:t>
      </w:r>
      <w:r>
        <w:t xml:space="preserve">zůstávají </w:t>
      </w:r>
      <w:r w:rsidRPr="00997FAA">
        <w:t xml:space="preserve">vybrané výrobky, pro které </w:t>
      </w:r>
      <w:r>
        <w:t>KS</w:t>
      </w:r>
      <w:r w:rsidRPr="00997FAA">
        <w:t xml:space="preserve"> dosud nezajistil za výrobce splnění povinností </w:t>
      </w:r>
      <w:r>
        <w:t>ZO</w:t>
      </w:r>
      <w:r w:rsidRPr="00997FAA">
        <w:t xml:space="preserve"> a</w:t>
      </w:r>
      <w:r>
        <w:t> </w:t>
      </w:r>
      <w:r w:rsidRPr="00997FAA">
        <w:t xml:space="preserve">zpracování. </w:t>
      </w:r>
      <w:r>
        <w:rPr>
          <w:rFonts w:cs="Arial"/>
        </w:rPr>
        <w:t>Následkem toho na </w:t>
      </w:r>
      <w:r w:rsidRPr="003F0645">
        <w:rPr>
          <w:rFonts w:cs="Arial"/>
        </w:rPr>
        <w:t>trhu vzr</w:t>
      </w:r>
      <w:r>
        <w:rPr>
          <w:rFonts w:cs="Arial"/>
        </w:rPr>
        <w:t>ůstá</w:t>
      </w:r>
      <w:r w:rsidRPr="003F0645">
        <w:rPr>
          <w:rFonts w:cs="Arial"/>
        </w:rPr>
        <w:t xml:space="preserve"> objem </w:t>
      </w:r>
      <w:r>
        <w:t>zpětně odebraných výrobků s ukončenou životností</w:t>
      </w:r>
      <w:r w:rsidRPr="003F0645">
        <w:rPr>
          <w:rFonts w:cs="Arial"/>
        </w:rPr>
        <w:t xml:space="preserve">, </w:t>
      </w:r>
      <w:r>
        <w:rPr>
          <w:rFonts w:cs="Arial"/>
        </w:rPr>
        <w:t>jejichž</w:t>
      </w:r>
      <w:r w:rsidRPr="003F0645">
        <w:rPr>
          <w:rFonts w:cs="Arial"/>
        </w:rPr>
        <w:t xml:space="preserve"> sběr a</w:t>
      </w:r>
      <w:r>
        <w:rPr>
          <w:rFonts w:cs="Arial"/>
        </w:rPr>
        <w:t> </w:t>
      </w:r>
      <w:r w:rsidRPr="003F0645">
        <w:rPr>
          <w:rFonts w:cs="Arial"/>
        </w:rPr>
        <w:t xml:space="preserve">recyklaci </w:t>
      </w:r>
      <w:r>
        <w:rPr>
          <w:rFonts w:cs="Arial"/>
        </w:rPr>
        <w:t>musí</w:t>
      </w:r>
      <w:r w:rsidRPr="003F0645">
        <w:rPr>
          <w:rFonts w:cs="Arial"/>
        </w:rPr>
        <w:t xml:space="preserve"> </w:t>
      </w:r>
      <w:r>
        <w:rPr>
          <w:rFonts w:cs="Arial"/>
        </w:rPr>
        <w:t>finančně zajistit ostatní výrobci, resp. KS</w:t>
      </w:r>
      <w:r w:rsidR="005269C1">
        <w:rPr>
          <w:rFonts w:cs="Arial"/>
        </w:rPr>
        <w:t>.</w:t>
      </w:r>
    </w:p>
    <w:p w:rsidR="00445337" w:rsidRPr="00ED38E9" w:rsidP="00BF16B7" w14:paraId="767738E4" w14:textId="77777777">
      <w:pPr>
        <w:pStyle w:val="Heading3"/>
      </w:pPr>
      <w:r w:rsidRPr="00ED38E9">
        <w:t>Identifikace dotčených subjektů</w:t>
      </w:r>
    </w:p>
    <w:p w:rsidR="00445337" w:rsidRPr="0010416C" w:rsidP="000E6DE5" w14:paraId="56CE72EB" w14:textId="77777777">
      <w:pPr>
        <w:pStyle w:val="ListParagraph"/>
        <w:numPr>
          <w:ilvl w:val="0"/>
          <w:numId w:val="100"/>
        </w:numPr>
        <w:ind w:left="714" w:hanging="357"/>
        <w:contextualSpacing w:val="0"/>
        <w:rPr>
          <w:rFonts w:cs="Arial"/>
        </w:rPr>
      </w:pPr>
      <w:r w:rsidRPr="0010416C">
        <w:rPr>
          <w:rFonts w:cs="Arial"/>
        </w:rPr>
        <w:t>Kolektivní systémy</w:t>
      </w:r>
    </w:p>
    <w:p w:rsidR="00445337" w:rsidRPr="0010416C" w:rsidP="000E6DE5" w14:paraId="491B9762" w14:textId="111E243F">
      <w:pPr>
        <w:pStyle w:val="ListParagraph"/>
        <w:numPr>
          <w:ilvl w:val="0"/>
          <w:numId w:val="100"/>
        </w:numPr>
        <w:ind w:left="714" w:hanging="357"/>
        <w:contextualSpacing w:val="0"/>
        <w:rPr>
          <w:rFonts w:cs="Arial"/>
        </w:rPr>
      </w:pPr>
      <w:r>
        <w:rPr>
          <w:rFonts w:cs="Arial"/>
        </w:rPr>
        <w:t>SFŽP</w:t>
      </w:r>
    </w:p>
    <w:p w:rsidR="00445337" w:rsidRPr="00ED38E9" w:rsidP="00BF16B7" w14:paraId="428B67AA" w14:textId="77777777">
      <w:pPr>
        <w:pStyle w:val="Heading3"/>
      </w:pPr>
      <w:r w:rsidRPr="00ED38E9">
        <w:t>Popis cílového stavu</w:t>
      </w:r>
    </w:p>
    <w:p w:rsidR="00445337" w:rsidP="00445337" w14:paraId="7914AF29" w14:textId="32C6ED27">
      <w:pPr>
        <w:rPr>
          <w:rFonts w:eastAsia="Calibri" w:cs="Arial"/>
          <w:noProof w:val="0"/>
          <w:szCs w:val="22"/>
          <w:lang w:bidi="ar-SA"/>
        </w:rPr>
      </w:pPr>
      <w:r w:rsidRPr="00ED38E9">
        <w:rPr>
          <w:rFonts w:eastAsia="Calibri" w:cs="Arial"/>
          <w:noProof w:val="0"/>
          <w:szCs w:val="22"/>
          <w:lang w:bidi="ar-SA"/>
        </w:rPr>
        <w:t xml:space="preserve">Hlavním cílem je </w:t>
      </w:r>
      <w:r>
        <w:rPr>
          <w:rFonts w:eastAsia="Calibri" w:cs="Arial"/>
          <w:noProof w:val="0"/>
          <w:szCs w:val="22"/>
          <w:lang w:bidi="ar-SA"/>
        </w:rPr>
        <w:t>zajistit financování zpětného odběru vybraných výrobků i v případě zániku KS nebo při odebrání jeho oprávnění k činnosti.</w:t>
      </w:r>
    </w:p>
    <w:p w:rsidR="005269C1" w:rsidRPr="00F004DF" w:rsidP="00BF16B7" w14:paraId="3B544EBB" w14:textId="77777777">
      <w:pPr>
        <w:pStyle w:val="Heading3"/>
      </w:pPr>
      <w:r w:rsidRPr="00F004DF">
        <w:t>Zhodnocení rizika</w:t>
      </w:r>
    </w:p>
    <w:p w:rsidR="00445337" w:rsidP="000F533C" w14:paraId="29909FE6" w14:textId="5409967D">
      <w:pPr>
        <w:rPr>
          <w:rFonts w:cs="Arial"/>
        </w:rPr>
      </w:pPr>
      <w:r w:rsidRPr="00997FAA">
        <w:t>V</w:t>
      </w:r>
      <w:r>
        <w:t> </w:t>
      </w:r>
      <w:r w:rsidRPr="00997FAA">
        <w:t>případ</w:t>
      </w:r>
      <w:r>
        <w:t xml:space="preserve">ě, že provozovatel KS ukončí svoji činnost, </w:t>
      </w:r>
      <w:r w:rsidRPr="00997FAA">
        <w:t>zpravidla jsou na</w:t>
      </w:r>
      <w:r>
        <w:t> </w:t>
      </w:r>
      <w:r w:rsidRPr="00997FAA">
        <w:t xml:space="preserve">trhu vybrané výrobky, pro které </w:t>
      </w:r>
      <w:r>
        <w:t>KS</w:t>
      </w:r>
      <w:r w:rsidRPr="00997FAA">
        <w:t xml:space="preserve"> dosud nezajistil za výrobce splnění povinností </w:t>
      </w:r>
      <w:r>
        <w:t>ZO</w:t>
      </w:r>
      <w:r w:rsidRPr="00997FAA">
        <w:t xml:space="preserve"> a</w:t>
      </w:r>
      <w:r>
        <w:t> </w:t>
      </w:r>
      <w:r w:rsidRPr="00997FAA">
        <w:t xml:space="preserve">zpracování. </w:t>
      </w:r>
      <w:r>
        <w:t xml:space="preserve">Pokud nejsou finanční prostředky </w:t>
      </w:r>
      <w:r w:rsidR="006239CF">
        <w:t xml:space="preserve">zaniklého KS </w:t>
      </w:r>
      <w:r>
        <w:t xml:space="preserve">účelově vázány, je tím ohrožen hlavní účel, pro který jsou finanční prostředky určeny, a to je sběr a zpracování zpětně odebraných výrobků s ukončenou životností. </w:t>
      </w:r>
      <w:r>
        <w:rPr>
          <w:rFonts w:cs="Arial"/>
        </w:rPr>
        <w:t xml:space="preserve">Zároveň </w:t>
      </w:r>
      <w:r w:rsidR="006239CF">
        <w:rPr>
          <w:rFonts w:cs="Arial"/>
        </w:rPr>
        <w:t>pokud by nějaký KS ukončil svoji činnost a vybrané peněžní prostředky by nebyly použity na financování ZO, hrozí riziko, že část vybraných výrobků s ukončenou životností nebude zrecyklována a bude představovat v konečném důsledku zátěž pro životní prostředí.</w:t>
      </w:r>
      <w:r w:rsidR="008A02BC">
        <w:rPr>
          <w:rFonts w:cs="Arial"/>
        </w:rPr>
        <w:t xml:space="preserve"> Současně by právnická osoba, která dříve provozovala kolektivní systém, doznala zjevného nepřiměřeného obohacení.</w:t>
      </w:r>
    </w:p>
    <w:p w:rsidR="006239CF" w:rsidRPr="003F0645" w:rsidP="003F755E" w14:paraId="0B84D3D4" w14:textId="77777777">
      <w:pPr>
        <w:rPr>
          <w:lang w:bidi="ar-SA"/>
        </w:rPr>
      </w:pPr>
    </w:p>
    <w:p w:rsidR="00445337" w:rsidRPr="00ED38E9" w:rsidP="00B760EA" w14:paraId="2C52F287" w14:textId="77777777">
      <w:pPr>
        <w:pStyle w:val="Heading2"/>
        <w:spacing w:before="120" w:after="0"/>
      </w:pPr>
      <w:r w:rsidRPr="00ED38E9">
        <w:t>Návrh variant řešení</w:t>
      </w:r>
    </w:p>
    <w:p w:rsidR="00445337" w:rsidRPr="000F533C" w:rsidP="00BF16B7" w14:paraId="052EF2D3" w14:textId="77777777">
      <w:pPr>
        <w:pStyle w:val="Heading3"/>
      </w:pPr>
      <w:r w:rsidRPr="000F533C">
        <w:t>Varianta 0</w:t>
      </w:r>
    </w:p>
    <w:p w:rsidR="00B07E03" w:rsidRPr="003F755E" w:rsidP="00B760EA" w14:paraId="1603F6F1" w14:textId="268AF8BB">
      <w:r w:rsidRPr="002E4FB5">
        <w:t xml:space="preserve">Současná právní úprava </w:t>
      </w:r>
      <w:r>
        <w:t xml:space="preserve">nijak </w:t>
      </w:r>
      <w:r w:rsidRPr="002E4FB5">
        <w:t>neřeší, jak má být naloženo s peněžními prostředky získanými z příspěvků výrobců v případě ukončení činnosti KS</w:t>
      </w:r>
      <w:r>
        <w:t>.</w:t>
      </w:r>
    </w:p>
    <w:p w:rsidR="00445337" w:rsidP="00BF16B7" w14:paraId="543CEDEC" w14:textId="31252822">
      <w:pPr>
        <w:pStyle w:val="Heading3"/>
      </w:pPr>
      <w:r>
        <w:t>Varianta 1</w:t>
      </w:r>
    </w:p>
    <w:p w:rsidR="008A02BC" w:rsidP="008A02BC" w14:paraId="4CA210D7" w14:textId="77777777">
      <w:r>
        <w:t>P</w:t>
      </w:r>
      <w:r w:rsidRPr="00997FAA">
        <w:t xml:space="preserve">ři zániku </w:t>
      </w:r>
      <w:r>
        <w:t xml:space="preserve">KS nebo při odebrání </w:t>
      </w:r>
      <w:r w:rsidRPr="00997FAA">
        <w:t>oprávnění k</w:t>
      </w:r>
      <w:r>
        <w:t xml:space="preserve"> jeho </w:t>
      </w:r>
      <w:r w:rsidRPr="00997FAA">
        <w:t xml:space="preserve">provozování </w:t>
      </w:r>
      <w:r>
        <w:t>KS</w:t>
      </w:r>
      <w:r w:rsidRPr="00997FAA">
        <w:t xml:space="preserve"> musí být s dosud nevyužit</w:t>
      </w:r>
      <w:r>
        <w:t>é</w:t>
      </w:r>
      <w:r w:rsidRPr="00997FAA">
        <w:t xml:space="preserve"> peněžní prostředky získanými z příspěvků výrobců </w:t>
      </w:r>
      <w:r>
        <w:t xml:space="preserve">převedeny do SFŽP, kde budou předmětem účelové vázanosti, a bude s nimi </w:t>
      </w:r>
      <w:r w:rsidRPr="00997FAA">
        <w:t>naloženo tak, aby i nadále sloužily účelu, pro který byly vybrány, tj. k zajištění splnění povinností výrobců ve vztahu k vybraným výrobkům, které uvedli na trh.</w:t>
      </w:r>
    </w:p>
    <w:p w:rsidR="003B4AD2" w:rsidRPr="00600EF4" w:rsidP="00445337" w14:paraId="1CE72A33" w14:textId="77777777">
      <w:pPr>
        <w:rPr>
          <w:lang w:bidi="ar-SA"/>
        </w:rPr>
      </w:pPr>
    </w:p>
    <w:p w:rsidR="00445337" w:rsidP="00445337" w14:paraId="4457D04B" w14:textId="77777777">
      <w:pPr>
        <w:pStyle w:val="Heading2"/>
        <w:spacing w:before="120" w:after="0"/>
      </w:pPr>
      <w:r>
        <w:t>Vyhodnocení nákladů a přínosů</w:t>
      </w:r>
    </w:p>
    <w:p w:rsidR="00445337" w:rsidRPr="003F0645" w:rsidP="00445337" w14:paraId="2D5FFBF4" w14:textId="77777777">
      <w:pPr>
        <w:pStyle w:val="Heading4"/>
        <w:numPr>
          <w:ilvl w:val="0"/>
          <w:numId w:val="0"/>
        </w:numPr>
        <w:spacing w:before="120" w:after="0"/>
        <w:ind w:left="864" w:hanging="864"/>
        <w:rPr>
          <w:b/>
          <w:i/>
          <w:sz w:val="24"/>
          <w:szCs w:val="24"/>
        </w:rPr>
      </w:pPr>
      <w:r w:rsidRPr="003F0645">
        <w:rPr>
          <w:b/>
          <w:i/>
          <w:sz w:val="24"/>
          <w:szCs w:val="24"/>
        </w:rPr>
        <w:t>Identifikace nákladů a přínosů</w:t>
      </w:r>
    </w:p>
    <w:p w:rsidR="00445337" w:rsidRPr="003F0645" w:rsidP="000E6DE5" w14:paraId="56519DE6" w14:textId="77777777">
      <w:pPr>
        <w:pStyle w:val="ListParagraph"/>
        <w:keepNext/>
        <w:numPr>
          <w:ilvl w:val="0"/>
          <w:numId w:val="144"/>
        </w:numPr>
        <w:spacing w:before="240" w:after="120"/>
        <w:contextualSpacing w:val="0"/>
        <w:rPr>
          <w:rFonts w:cs="Arial"/>
          <w:b/>
        </w:rPr>
      </w:pPr>
      <w:r w:rsidRPr="003F0645">
        <w:rPr>
          <w:rFonts w:cs="Arial"/>
          <w:b/>
        </w:rPr>
        <w:t>Varianta 0</w:t>
      </w:r>
    </w:p>
    <w:p w:rsidR="00445337" w:rsidRPr="003F0645" w:rsidP="00B760EA" w14:paraId="14236DBA" w14:textId="77777777">
      <w:pPr>
        <w:pStyle w:val="Normlntun"/>
        <w:spacing w:before="240" w:after="0" w:line="276" w:lineRule="auto"/>
        <w:rPr>
          <w:rFonts w:cs="Arial"/>
        </w:rPr>
      </w:pPr>
      <w:r w:rsidRPr="003F0645">
        <w:rPr>
          <w:rFonts w:cs="Arial"/>
        </w:rPr>
        <w:t>Dopady na státní rozpočet a ostatní veřejné rozpočty</w:t>
      </w:r>
    </w:p>
    <w:p w:rsidR="00445337" w:rsidRPr="003F0645" w:rsidP="00445337" w14:paraId="2E354500" w14:textId="5081DA7A">
      <w:pPr>
        <w:rPr>
          <w:rFonts w:cs="Arial"/>
        </w:rPr>
      </w:pPr>
      <w:r>
        <w:rPr>
          <w:rFonts w:cs="Arial"/>
        </w:rPr>
        <w:t>Současná právní úprava</w:t>
      </w:r>
      <w:r w:rsidRPr="003F0645">
        <w:rPr>
          <w:rFonts w:cs="Arial"/>
        </w:rPr>
        <w:t xml:space="preserve"> </w:t>
      </w:r>
      <w:r>
        <w:rPr>
          <w:rFonts w:cs="Arial"/>
        </w:rPr>
        <w:t xml:space="preserve">nemá </w:t>
      </w:r>
      <w:r w:rsidRPr="003F0645">
        <w:rPr>
          <w:rFonts w:cs="Arial"/>
        </w:rPr>
        <w:t>dopady na státní ani veřejné rozpočty.</w:t>
      </w:r>
    </w:p>
    <w:p w:rsidR="00445337" w:rsidRPr="003F0645" w:rsidP="00445337" w14:paraId="4CA4CEF7" w14:textId="77777777">
      <w:pPr>
        <w:pStyle w:val="Normlntun"/>
        <w:spacing w:before="240" w:after="0" w:line="276" w:lineRule="auto"/>
        <w:rPr>
          <w:rFonts w:cs="Arial"/>
        </w:rPr>
      </w:pPr>
      <w:r w:rsidRPr="003F0645">
        <w:rPr>
          <w:rFonts w:cs="Arial"/>
        </w:rPr>
        <w:t>Dopady na podnikatelské subjekty</w:t>
      </w:r>
    </w:p>
    <w:p w:rsidR="003B4AD2" w:rsidRPr="00997FAA" w:rsidP="003B4AD2" w14:paraId="328B9C4F" w14:textId="2483E6EC">
      <w:r w:rsidRPr="00997FAA">
        <w:t xml:space="preserve">Dosavadní právní úprava neřeší, jak má být naloženo s peněžními prostředky získanými z příspěvků výrobců v případě ukončení činnosti </w:t>
      </w:r>
      <w:r w:rsidR="00CF4949">
        <w:t>KS</w:t>
      </w:r>
      <w:r w:rsidRPr="00997FAA" w:rsidR="00433C7E">
        <w:t>.</w:t>
      </w:r>
      <w:r w:rsidRPr="00CF4949" w:rsidR="00433C7E">
        <w:t xml:space="preserve"> </w:t>
      </w:r>
      <w:r w:rsidRPr="00997FAA">
        <w:t>V</w:t>
      </w:r>
      <w:r w:rsidR="00433C7E">
        <w:t> </w:t>
      </w:r>
      <w:r w:rsidRPr="00997FAA">
        <w:t>případ</w:t>
      </w:r>
      <w:r w:rsidR="00433C7E">
        <w:t xml:space="preserve">ě, že provozovatel KS ukončí svoji činnost, </w:t>
      </w:r>
      <w:r w:rsidRPr="00997FAA">
        <w:t>zpravidla jsou na</w:t>
      </w:r>
      <w:r w:rsidR="00433C7E">
        <w:t> </w:t>
      </w:r>
      <w:r w:rsidRPr="00997FAA">
        <w:t xml:space="preserve">trhu vybrané výrobky, pro které </w:t>
      </w:r>
      <w:r w:rsidR="00CF4949">
        <w:t>KS</w:t>
      </w:r>
      <w:r w:rsidRPr="00997FAA">
        <w:t xml:space="preserve"> dosud nezajistil za výrobce splnění povinností </w:t>
      </w:r>
      <w:r w:rsidR="00CF4949">
        <w:t>ZO</w:t>
      </w:r>
      <w:r w:rsidRPr="00997FAA">
        <w:t xml:space="preserve"> a</w:t>
      </w:r>
      <w:r w:rsidR="00433C7E">
        <w:t> </w:t>
      </w:r>
      <w:r w:rsidRPr="00997FAA">
        <w:t xml:space="preserve">zpracování. </w:t>
      </w:r>
      <w:r w:rsidR="00660AA2">
        <w:t xml:space="preserve">Pokud jsou </w:t>
      </w:r>
      <w:r w:rsidRPr="00997FAA">
        <w:t>v </w:t>
      </w:r>
      <w:r w:rsidR="00660AA2">
        <w:t>KS</w:t>
      </w:r>
      <w:r w:rsidRPr="00997FAA">
        <w:t xml:space="preserve"> v okamžiku ukončení jeho činnosti peněžní prostředky získané z příspěvků výrobců, </w:t>
      </w:r>
      <w:r w:rsidR="00433C7E">
        <w:t>teoreticky mohou</w:t>
      </w:r>
      <w:r w:rsidRPr="00997FAA">
        <w:t xml:space="preserve"> zůstat bývalému provozovateli </w:t>
      </w:r>
      <w:r w:rsidR="00433C7E">
        <w:t>KS</w:t>
      </w:r>
      <w:r w:rsidRPr="00997FAA">
        <w:t xml:space="preserve"> nebo se v případě jeho zániku stát majetkem jeho právního nástupce nebo součástí likvidačního zůstatku, který se rozděluje mezi společníky. </w:t>
      </w:r>
      <w:r w:rsidR="00433C7E">
        <w:t xml:space="preserve">Tím je ovšem ohrožen hlavní účel, pro který jsou finanční prostředky určeny, a to je sběr a zpracování zpětně odebraných výrobků s ukončenou životností. </w:t>
      </w:r>
      <w:r w:rsidR="00433C7E">
        <w:rPr>
          <w:rFonts w:cs="Arial"/>
        </w:rPr>
        <w:t>Následkem toho by na </w:t>
      </w:r>
      <w:r w:rsidRPr="003F0645" w:rsidR="00433C7E">
        <w:rPr>
          <w:rFonts w:cs="Arial"/>
        </w:rPr>
        <w:t>trhu vzr</w:t>
      </w:r>
      <w:r w:rsidR="00433C7E">
        <w:rPr>
          <w:rFonts w:cs="Arial"/>
        </w:rPr>
        <w:t>ostl</w:t>
      </w:r>
      <w:r w:rsidRPr="003F0645" w:rsidR="00433C7E">
        <w:rPr>
          <w:rFonts w:cs="Arial"/>
        </w:rPr>
        <w:t xml:space="preserve"> objem </w:t>
      </w:r>
      <w:r w:rsidR="00433C7E">
        <w:t>zpětně odebraných výrobků s ukončenou životností</w:t>
      </w:r>
      <w:r w:rsidRPr="003F0645" w:rsidR="00433C7E">
        <w:rPr>
          <w:rFonts w:cs="Arial"/>
        </w:rPr>
        <w:t xml:space="preserve">, </w:t>
      </w:r>
      <w:r w:rsidR="00660AA2">
        <w:rPr>
          <w:rFonts w:cs="Arial"/>
        </w:rPr>
        <w:t>jejichž</w:t>
      </w:r>
      <w:r w:rsidRPr="003F0645" w:rsidR="00433C7E">
        <w:rPr>
          <w:rFonts w:cs="Arial"/>
        </w:rPr>
        <w:t xml:space="preserve"> sběr a</w:t>
      </w:r>
      <w:r w:rsidR="00660AA2">
        <w:rPr>
          <w:rFonts w:cs="Arial"/>
        </w:rPr>
        <w:t> </w:t>
      </w:r>
      <w:r w:rsidRPr="003F0645" w:rsidR="00433C7E">
        <w:rPr>
          <w:rFonts w:cs="Arial"/>
        </w:rPr>
        <w:t xml:space="preserve">recyklaci </w:t>
      </w:r>
      <w:r w:rsidR="00660AA2">
        <w:rPr>
          <w:rFonts w:cs="Arial"/>
        </w:rPr>
        <w:t>by museli</w:t>
      </w:r>
      <w:r w:rsidRPr="003F0645" w:rsidR="00433C7E">
        <w:rPr>
          <w:rFonts w:cs="Arial"/>
        </w:rPr>
        <w:t xml:space="preserve"> </w:t>
      </w:r>
      <w:r w:rsidR="00660AA2">
        <w:rPr>
          <w:rFonts w:cs="Arial"/>
        </w:rPr>
        <w:t>zajistit (i</w:t>
      </w:r>
      <w:r w:rsidR="008A02BC">
        <w:rPr>
          <w:rFonts w:cs="Arial"/>
        </w:rPr>
        <w:t> </w:t>
      </w:r>
      <w:r w:rsidR="00660AA2">
        <w:rPr>
          <w:rFonts w:cs="Arial"/>
        </w:rPr>
        <w:t>finančně)</w:t>
      </w:r>
      <w:r w:rsidRPr="003F0645" w:rsidR="00433C7E">
        <w:rPr>
          <w:rFonts w:cs="Arial"/>
        </w:rPr>
        <w:t xml:space="preserve"> </w:t>
      </w:r>
      <w:r w:rsidR="00660AA2">
        <w:rPr>
          <w:rFonts w:cs="Arial"/>
        </w:rPr>
        <w:t xml:space="preserve">ostatní </w:t>
      </w:r>
      <w:r w:rsidR="006239CF">
        <w:rPr>
          <w:rFonts w:cs="Arial"/>
        </w:rPr>
        <w:t xml:space="preserve">výrobci, resp. </w:t>
      </w:r>
      <w:r w:rsidR="00660AA2">
        <w:rPr>
          <w:rFonts w:cs="Arial"/>
        </w:rPr>
        <w:t>KS (pokud v dané oblasti funguje více KS)</w:t>
      </w:r>
      <w:r w:rsidRPr="003F0645" w:rsidR="00433C7E">
        <w:rPr>
          <w:rFonts w:cs="Arial"/>
        </w:rPr>
        <w:t>.</w:t>
      </w:r>
      <w:r w:rsidR="00660AA2">
        <w:rPr>
          <w:rFonts w:cs="Arial"/>
        </w:rPr>
        <w:t xml:space="preserve"> Pokud v dané oblasti (např. pneumatiky) funguje pouze 1 KS, hrozí zároveň riziko zvýšené zátěž pro životní prostředí, v případě, že by KS ukončil svoji činnost a nebyl tak zajištěn ZO a zpracování vybraných výrobků s ukončenou životností žádným jiným KS.</w:t>
      </w:r>
    </w:p>
    <w:p w:rsidR="00445337" w:rsidRPr="003F0645" w:rsidP="00445337" w14:paraId="6FC8CB5A" w14:textId="77777777">
      <w:pPr>
        <w:pStyle w:val="Normlntun"/>
        <w:spacing w:before="240" w:after="0" w:line="276" w:lineRule="auto"/>
        <w:rPr>
          <w:rFonts w:cs="Arial"/>
        </w:rPr>
      </w:pPr>
      <w:r w:rsidRPr="003F0645">
        <w:rPr>
          <w:rFonts w:cs="Arial"/>
        </w:rPr>
        <w:t>Dopady na územní samosprávné celky (obce, kraje)</w:t>
      </w:r>
    </w:p>
    <w:p w:rsidR="00445337" w:rsidRPr="003F0645" w:rsidP="00445337" w14:paraId="052E3E60" w14:textId="5D077660">
      <w:pPr>
        <w:rPr>
          <w:rFonts w:cs="Arial"/>
        </w:rPr>
      </w:pPr>
      <w:r>
        <w:rPr>
          <w:rFonts w:cs="Arial"/>
        </w:rPr>
        <w:t>Současná právní úprava</w:t>
      </w:r>
      <w:r w:rsidRPr="003F0645">
        <w:rPr>
          <w:rFonts w:cs="Arial"/>
        </w:rPr>
        <w:t xml:space="preserve"> </w:t>
      </w:r>
      <w:r>
        <w:rPr>
          <w:rFonts w:cs="Arial"/>
        </w:rPr>
        <w:t xml:space="preserve">nemá </w:t>
      </w:r>
      <w:r w:rsidRPr="003F0645">
        <w:rPr>
          <w:rFonts w:cs="Arial"/>
        </w:rPr>
        <w:t>dopady na obce ani kraje.</w:t>
      </w:r>
    </w:p>
    <w:p w:rsidR="00445337" w:rsidRPr="003F0645" w:rsidP="00445337" w14:paraId="5A1B93F5" w14:textId="77777777">
      <w:pPr>
        <w:pStyle w:val="Normlntun"/>
        <w:spacing w:before="240" w:after="0" w:line="276" w:lineRule="auto"/>
        <w:rPr>
          <w:rFonts w:cs="Arial"/>
        </w:rPr>
      </w:pPr>
      <w:r w:rsidRPr="003F0645">
        <w:rPr>
          <w:rFonts w:cs="Arial"/>
        </w:rPr>
        <w:t>Sociální dopady</w:t>
      </w:r>
    </w:p>
    <w:p w:rsidR="00445337" w:rsidRPr="003F0645" w:rsidP="00445337" w14:paraId="6F0808D9" w14:textId="15AC9321">
      <w:pPr>
        <w:rPr>
          <w:rFonts w:cs="Arial"/>
        </w:rPr>
      </w:pPr>
      <w:r>
        <w:rPr>
          <w:rFonts w:cs="Arial"/>
        </w:rPr>
        <w:t>Současná právní úprava</w:t>
      </w:r>
      <w:r w:rsidRPr="003F0645">
        <w:rPr>
          <w:rFonts w:cs="Arial"/>
        </w:rPr>
        <w:t xml:space="preserve"> </w:t>
      </w:r>
      <w:r>
        <w:rPr>
          <w:rFonts w:cs="Arial"/>
        </w:rPr>
        <w:t xml:space="preserve">nemá </w:t>
      </w:r>
      <w:r w:rsidRPr="003F0645">
        <w:rPr>
          <w:rFonts w:cs="Arial"/>
        </w:rPr>
        <w:t>dopady v sociální oblasti.</w:t>
      </w:r>
    </w:p>
    <w:p w:rsidR="00445337" w:rsidRPr="003F0645" w:rsidP="00445337" w14:paraId="22486DC9" w14:textId="77777777">
      <w:pPr>
        <w:pStyle w:val="Normlntun"/>
        <w:spacing w:before="240" w:after="0" w:line="276" w:lineRule="auto"/>
        <w:rPr>
          <w:rFonts w:cs="Arial"/>
        </w:rPr>
      </w:pPr>
      <w:r w:rsidRPr="003F0645">
        <w:rPr>
          <w:rFonts w:cs="Arial"/>
        </w:rPr>
        <w:t>Dopady na životní prostředí</w:t>
      </w:r>
    </w:p>
    <w:p w:rsidR="00445337" w:rsidRPr="003F0645" w:rsidP="00445337" w14:paraId="4FA882B9" w14:textId="6A9F56C5">
      <w:pPr>
        <w:rPr>
          <w:rFonts w:cs="Arial"/>
        </w:rPr>
      </w:pPr>
      <w:r>
        <w:rPr>
          <w:rFonts w:cs="Arial"/>
        </w:rPr>
        <w:t>Současný stav může mít negativní dopady na životní prostředí. Pokud by nějaký KS ukončil svoji činnost a vybrané peněžní prostředky by nebyly použity na financování ZO, hrozí riziko, že část vybraných výrobků s ukončenou životností nebude zrecyklována a bude představovat v konečném důsledku zátěž pro životní prostředí.</w:t>
      </w:r>
    </w:p>
    <w:p w:rsidR="00445337" w:rsidRPr="003F0645" w:rsidP="000E6DE5" w14:paraId="0EABD0B9" w14:textId="77777777">
      <w:pPr>
        <w:pStyle w:val="ListParagraph"/>
        <w:keepNext/>
        <w:numPr>
          <w:ilvl w:val="0"/>
          <w:numId w:val="144"/>
        </w:numPr>
        <w:spacing w:before="360" w:after="120"/>
        <w:ind w:left="714" w:hanging="357"/>
        <w:contextualSpacing w:val="0"/>
        <w:rPr>
          <w:rFonts w:cs="Arial"/>
          <w:b/>
        </w:rPr>
      </w:pPr>
      <w:r w:rsidRPr="003F0645">
        <w:rPr>
          <w:rFonts w:cs="Arial"/>
          <w:b/>
        </w:rPr>
        <w:t>Varianta 1</w:t>
      </w:r>
    </w:p>
    <w:p w:rsidR="00445337" w:rsidRPr="000F533C" w:rsidP="00B760EA" w14:paraId="7072F0B1" w14:textId="5F2BB392">
      <w:pPr>
        <w:pStyle w:val="Normlntun"/>
        <w:keepNext w:val="0"/>
        <w:widowControl w:val="0"/>
        <w:spacing w:before="120" w:after="0" w:line="276" w:lineRule="auto"/>
        <w:rPr>
          <w:rFonts w:cs="Arial"/>
          <w:b w:val="0"/>
          <w:bCs w:val="0"/>
          <w:noProof/>
          <w:szCs w:val="24"/>
          <w:lang w:eastAsia="en-US" w:bidi="en-US"/>
        </w:rPr>
      </w:pPr>
      <w:r w:rsidRPr="000E6DE5">
        <w:rPr>
          <w:b w:val="0"/>
        </w:rPr>
        <w:t>Při zániku oprávnění k provozování KS musí být s dosud nevyužitými peněžními prostředky získanými z příspěvků výrobců včetně výnosů z nich naloženo tak, aby i nadále sloužily účelu, pro který byly vybrány, tj. k zajištění splnění povinností výrobců ve vztahu k vybraným výrobkům, které uvedli na trh</w:t>
      </w:r>
      <w:r w:rsidRPr="008A02BC" w:rsidR="008A02BC">
        <w:rPr>
          <w:b w:val="0"/>
        </w:rPr>
        <w:t xml:space="preserve">, </w:t>
      </w:r>
      <w:r w:rsidR="008A02BC">
        <w:rPr>
          <w:b w:val="0"/>
        </w:rPr>
        <w:t>a to prostřednictvím dotační podpory realizované na straně SFŽP</w:t>
      </w:r>
      <w:r w:rsidRPr="002E4FB5" w:rsidR="008A02BC">
        <w:rPr>
          <w:b w:val="0"/>
        </w:rPr>
        <w:t>.</w:t>
      </w:r>
    </w:p>
    <w:p w:rsidR="00445337" w:rsidRPr="003F0645" w:rsidP="00445337" w14:paraId="0488ABF1" w14:textId="77777777">
      <w:pPr>
        <w:pStyle w:val="Normlntun"/>
        <w:spacing w:before="240" w:after="0" w:line="276" w:lineRule="auto"/>
        <w:rPr>
          <w:rFonts w:cs="Arial"/>
        </w:rPr>
      </w:pPr>
      <w:r w:rsidRPr="003F0645">
        <w:rPr>
          <w:rFonts w:cs="Arial"/>
        </w:rPr>
        <w:t>Dopady na státní rozpočet a ostatní veřejné rozpočty</w:t>
      </w:r>
    </w:p>
    <w:p w:rsidR="00445337" w:rsidP="00445337" w14:paraId="0A38F6EC" w14:textId="2733C16B">
      <w:r>
        <w:t xml:space="preserve">V případě, že provozovateli KS zanikne oprávnění k provozování KS, budou peněžní prostředky </w:t>
      </w:r>
      <w:r w:rsidRPr="00997FAA">
        <w:t>tvořící finanční rezervu</w:t>
      </w:r>
      <w:r>
        <w:t xml:space="preserve"> </w:t>
      </w:r>
      <w:r w:rsidR="00922064">
        <w:t xml:space="preserve">od výrobců, kteří nepřejdou k jinému KS, </w:t>
      </w:r>
      <w:r>
        <w:t>převedeny do</w:t>
      </w:r>
      <w:r w:rsidR="00922064">
        <w:t> </w:t>
      </w:r>
      <w:r w:rsidRPr="00997FAA">
        <w:t>Státního fondu životního prostředí České republiky</w:t>
      </w:r>
      <w:r>
        <w:t xml:space="preserve"> (SFŽP), kde budou účelově vázané</w:t>
      </w:r>
      <w:r w:rsidRPr="00997FAA">
        <w:t xml:space="preserve">. Dané finanční prostředky </w:t>
      </w:r>
      <w:r>
        <w:t>mohou</w:t>
      </w:r>
      <w:r w:rsidRPr="00997FAA">
        <w:t xml:space="preserve"> být použity jen pro financování projektů, které se týkají nakládání s výrobky s ukončenou životností</w:t>
      </w:r>
      <w:r>
        <w:t xml:space="preserve">, a to </w:t>
      </w:r>
      <w:r w:rsidRPr="00997FAA">
        <w:t>pouze za</w:t>
      </w:r>
      <w:r>
        <w:t> </w:t>
      </w:r>
      <w:r w:rsidRPr="00997FAA">
        <w:t xml:space="preserve">účelem zlepšení systémů </w:t>
      </w:r>
      <w:r>
        <w:t>ZO</w:t>
      </w:r>
      <w:r w:rsidRPr="00997FAA">
        <w:t xml:space="preserve"> a</w:t>
      </w:r>
      <w:r w:rsidR="00922064">
        <w:t> </w:t>
      </w:r>
      <w:r w:rsidRPr="00997FAA">
        <w:t xml:space="preserve">zpracování výrobků s ukončenou životností toho druhu, pro který </w:t>
      </w:r>
      <w:r w:rsidRPr="00922064">
        <w:t>který bylo zaniklé oprávnění k provozování KS vydáno.</w:t>
      </w:r>
      <w:r w:rsidRPr="00997FAA">
        <w:t xml:space="preserve"> Je zde samozřejmě možná i realizace určité provozní podpory </w:t>
      </w:r>
      <w:r>
        <w:t>KS</w:t>
      </w:r>
      <w:r w:rsidRPr="00997FAA">
        <w:t>, případ</w:t>
      </w:r>
      <w:r>
        <w:t>n</w:t>
      </w:r>
      <w:r w:rsidRPr="00997FAA">
        <w:t>ě zpracovatele, obdobně jako dnes funguje na straně SFŽP dotační program pro zpracovatele autovraků.</w:t>
      </w:r>
    </w:p>
    <w:p w:rsidR="00445337" w:rsidRPr="003F0645" w:rsidP="00445337" w14:paraId="46658251" w14:textId="77777777">
      <w:pPr>
        <w:pStyle w:val="Normlntun"/>
        <w:spacing w:before="240" w:after="0" w:line="276" w:lineRule="auto"/>
        <w:rPr>
          <w:rFonts w:cs="Arial"/>
        </w:rPr>
      </w:pPr>
      <w:r w:rsidRPr="003F0645">
        <w:rPr>
          <w:rFonts w:cs="Arial"/>
        </w:rPr>
        <w:t>Dopady na podnikatelské subjekty</w:t>
      </w:r>
    </w:p>
    <w:p w:rsidR="008A02BC" w:rsidRPr="00997FAA" w:rsidP="008A02BC" w14:paraId="70606889" w14:textId="4181F93E">
      <w:r>
        <w:t xml:space="preserve">Provozovatel KS, jemuž zaniklo oprávnění k provozování KS musí </w:t>
      </w:r>
      <w:r w:rsidRPr="00997FAA">
        <w:t xml:space="preserve">peněžní prostředky </w:t>
      </w:r>
      <w:r w:rsidRPr="002E4FB5">
        <w:t>získané z příspěvků výrobců z nich</w:t>
      </w:r>
      <w:r w:rsidRPr="00997FAA">
        <w:t xml:space="preserve"> </w:t>
      </w:r>
      <w:r>
        <w:t xml:space="preserve">a </w:t>
      </w:r>
      <w:r w:rsidRPr="00997FAA">
        <w:t xml:space="preserve">prostředky tvořící finanční rezervu převést provozovateli </w:t>
      </w:r>
      <w:r>
        <w:t>KS</w:t>
      </w:r>
      <w:r w:rsidRPr="00997FAA">
        <w:t>, který plnění povinností výrobců převzal.</w:t>
      </w:r>
      <w:r>
        <w:t xml:space="preserve"> </w:t>
      </w:r>
      <w:r w:rsidRPr="00997FAA">
        <w:t>Jestliže výrobci ze</w:t>
      </w:r>
      <w:r>
        <w:t> </w:t>
      </w:r>
      <w:r w:rsidRPr="00997FAA">
        <w:t xml:space="preserve">zanikajícího </w:t>
      </w:r>
      <w:r>
        <w:t>KS</w:t>
      </w:r>
      <w:r w:rsidRPr="00997FAA">
        <w:t xml:space="preserve"> „přejdou“ k různým </w:t>
      </w:r>
      <w:r>
        <w:t>KS</w:t>
      </w:r>
      <w:r w:rsidRPr="00997FAA">
        <w:t>, rozdělí se převáděné peněžní prostředky mezi jejich provozovatele v poměru podle množství vybraných výrobků uvedený</w:t>
      </w:r>
      <w:r>
        <w:t>ch na trh jednotlivými výrobci. Nelze-li takto peněžní prostředky převést, je provozovatel KS povinen dané peněžní prostředky převést SFŽP.</w:t>
      </w:r>
    </w:p>
    <w:p w:rsidR="008A02BC" w:rsidRPr="00997FAA" w:rsidP="008A02BC" w14:paraId="3D9733CD" w14:textId="03A0A9B8">
      <w:r w:rsidRPr="00997FAA">
        <w:t xml:space="preserve">Uvedeným způsobem nemohou být převedeny peněžní prostředky připadající na výrobce, který s žádným provozovatelem </w:t>
      </w:r>
      <w:r>
        <w:t>KS</w:t>
      </w:r>
      <w:r w:rsidRPr="00997FAA">
        <w:t xml:space="preserve"> neuzavřel novou smlouvu o kolektivním plnění (např. se rozhodne plnit nadále své povinnosti podle tohoto zákona v individuálním systému nebo přestane být výrobcem ve smyslu tohoto zákona). Zákon v takovém případě nepřipouští vyplacení odpovídající částky výrobci, neboť zde neexistuje záruka, že by tyto prostředky byly skutečně využity na zajištění </w:t>
      </w:r>
      <w:r>
        <w:t>ZO</w:t>
      </w:r>
      <w:r w:rsidRPr="00997FAA">
        <w:t xml:space="preserve"> a zpracování výrobků s ukončenou životností</w:t>
      </w:r>
      <w:r>
        <w:t>, nadto by bylo nereálné stanovit výši příspěvku, kterou by měli individuálně plnící výrobci získat</w:t>
      </w:r>
      <w:r w:rsidRPr="00997FAA">
        <w:t xml:space="preserve">. Namísto toho je navrhováno, aby tyto peněžní prostředky byly převedeny do </w:t>
      </w:r>
      <w:r w:rsidR="00922064">
        <w:t>SFŽP</w:t>
      </w:r>
      <w:r>
        <w:t>,</w:t>
      </w:r>
      <w:r w:rsidRPr="00997FAA">
        <w:t xml:space="preserve"> </w:t>
      </w:r>
      <w:r>
        <w:t>kde</w:t>
      </w:r>
      <w:r w:rsidRPr="00997FAA">
        <w:t xml:space="preserve"> </w:t>
      </w:r>
      <w:r w:rsidR="00922064">
        <w:t>budou účelově vázány</w:t>
      </w:r>
      <w:r w:rsidRPr="00997FAA">
        <w:t xml:space="preserve">. Tím budou současně výrobci nepřímo motivováni k tomu, aby v případě zániku jejich </w:t>
      </w:r>
      <w:r>
        <w:t>KS</w:t>
      </w:r>
      <w:r w:rsidRPr="00997FAA">
        <w:t xml:space="preserve"> preferovali pokračování v plnění jejich povinností opět v </w:t>
      </w:r>
      <w:r>
        <w:t>KS</w:t>
      </w:r>
      <w:r w:rsidRPr="00997FAA">
        <w:t xml:space="preserve">, což lze z hlediska záruk řádného plnění zejména povinnosti </w:t>
      </w:r>
      <w:r>
        <w:t>ZO</w:t>
      </w:r>
      <w:r w:rsidRPr="00997FAA">
        <w:t xml:space="preserve"> považovat za žádoucí.</w:t>
      </w:r>
    </w:p>
    <w:p w:rsidR="00445337" w:rsidP="008A02BC" w14:paraId="3F453B50" w14:textId="6866762F">
      <w:pPr>
        <w:autoSpaceDE w:val="0"/>
        <w:autoSpaceDN w:val="0"/>
        <w:adjustRightInd w:val="0"/>
        <w:spacing w:after="0"/>
        <w:rPr>
          <w:rFonts w:cs="Arial"/>
        </w:rPr>
      </w:pPr>
      <w:r w:rsidRPr="00997FAA">
        <w:t xml:space="preserve">V případě přeměny provozovatele </w:t>
      </w:r>
      <w:r>
        <w:t>KS</w:t>
      </w:r>
      <w:r w:rsidRPr="00997FAA">
        <w:t xml:space="preserve"> musí být před zápisem přeměny do</w:t>
      </w:r>
      <w:r>
        <w:t> </w:t>
      </w:r>
      <w:r w:rsidRPr="00997FAA">
        <w:t xml:space="preserve">obchodního rejstříku doloženo ministerstvu, že všechny nevyužité prostředky, výnosy z nich včetně rezervy byly převedeny </w:t>
      </w:r>
      <w:r>
        <w:t>KS</w:t>
      </w:r>
      <w:r w:rsidRPr="00997FAA">
        <w:t>, který převzal závazky výrobců nebo SFŽP</w:t>
      </w:r>
      <w:r>
        <w:t>, kde budou účelově vázané</w:t>
      </w:r>
      <w:r w:rsidR="00830CA2">
        <w:t xml:space="preserve"> na zajištění</w:t>
      </w:r>
      <w:r w:rsidRPr="00997FAA">
        <w:t xml:space="preserve"> nakládání s výrobky s ukončenou životností.</w:t>
      </w:r>
    </w:p>
    <w:p w:rsidR="00445337" w:rsidRPr="003F0645" w:rsidP="00445337" w14:paraId="5E013664" w14:textId="77777777">
      <w:pPr>
        <w:pStyle w:val="Normlntun"/>
        <w:spacing w:before="240" w:after="0" w:line="276" w:lineRule="auto"/>
        <w:rPr>
          <w:rFonts w:cs="Arial"/>
        </w:rPr>
      </w:pPr>
      <w:r w:rsidRPr="003F0645">
        <w:rPr>
          <w:rFonts w:cs="Arial"/>
        </w:rPr>
        <w:t>Dopady na územní samosprávné celky (obce, kraje)</w:t>
      </w:r>
    </w:p>
    <w:p w:rsidR="00445337" w:rsidRPr="003F0645" w:rsidP="00445337" w14:paraId="6F907B5C" w14:textId="77777777">
      <w:pPr>
        <w:rPr>
          <w:rFonts w:cs="Arial"/>
        </w:rPr>
      </w:pPr>
      <w:r w:rsidRPr="003F0645">
        <w:rPr>
          <w:rFonts w:cs="Arial"/>
        </w:rPr>
        <w:t>Nepředpokládáme dopady na obce ani kraje.</w:t>
      </w:r>
    </w:p>
    <w:p w:rsidR="00445337" w:rsidRPr="003F0645" w:rsidP="00445337" w14:paraId="14D95AE1" w14:textId="77777777">
      <w:pPr>
        <w:pStyle w:val="Normlntun"/>
        <w:spacing w:before="240" w:after="0" w:line="276" w:lineRule="auto"/>
        <w:rPr>
          <w:rFonts w:cs="Arial"/>
        </w:rPr>
      </w:pPr>
      <w:r w:rsidRPr="003F0645">
        <w:rPr>
          <w:rFonts w:cs="Arial"/>
        </w:rPr>
        <w:t>Sociální dopady</w:t>
      </w:r>
    </w:p>
    <w:p w:rsidR="00445337" w:rsidRPr="003F0645" w:rsidP="00445337" w14:paraId="71803749" w14:textId="77777777">
      <w:pPr>
        <w:rPr>
          <w:rFonts w:cs="Arial"/>
        </w:rPr>
      </w:pPr>
      <w:r w:rsidRPr="003F0645">
        <w:rPr>
          <w:rFonts w:cs="Arial"/>
        </w:rPr>
        <w:t>Nepředpokládáme sociální dopady.</w:t>
      </w:r>
    </w:p>
    <w:p w:rsidR="00445337" w:rsidRPr="003F0645" w:rsidP="00445337" w14:paraId="5ED5EBA5" w14:textId="77777777">
      <w:pPr>
        <w:pStyle w:val="Normlntun"/>
        <w:spacing w:before="240" w:after="0" w:line="276" w:lineRule="auto"/>
        <w:rPr>
          <w:rFonts w:cs="Arial"/>
        </w:rPr>
      </w:pPr>
      <w:r w:rsidRPr="003F0645">
        <w:rPr>
          <w:rFonts w:cs="Arial"/>
        </w:rPr>
        <w:t>Dopady na životní prostředí</w:t>
      </w:r>
    </w:p>
    <w:p w:rsidR="00893102" w:rsidP="00893102" w14:paraId="244896B2" w14:textId="5625D633">
      <w:pPr>
        <w:rPr>
          <w:color w:val="000000"/>
        </w:rPr>
      </w:pPr>
      <w:r w:rsidRPr="00963FAF">
        <w:rPr>
          <w:rFonts w:cs="Arial"/>
        </w:rPr>
        <w:t xml:space="preserve">Zajištění financování </w:t>
      </w:r>
      <w:r w:rsidR="00F81C0B">
        <w:rPr>
          <w:rFonts w:cs="Arial"/>
        </w:rPr>
        <w:t>ZO</w:t>
      </w:r>
      <w:r w:rsidRPr="00963FAF">
        <w:rPr>
          <w:rFonts w:cs="Arial"/>
        </w:rPr>
        <w:t xml:space="preserve"> </w:t>
      </w:r>
      <w:r w:rsidR="00996ABA">
        <w:rPr>
          <w:rFonts w:eastAsia="Calibri" w:cs="Arial"/>
          <w:noProof w:val="0"/>
          <w:szCs w:val="22"/>
          <w:lang w:bidi="ar-SA"/>
        </w:rPr>
        <w:t xml:space="preserve">vybraných výrobků </w:t>
      </w:r>
      <w:r w:rsidR="00F81C0B">
        <w:rPr>
          <w:rFonts w:eastAsia="Calibri" w:cs="Arial"/>
          <w:noProof w:val="0"/>
          <w:szCs w:val="22"/>
          <w:lang w:bidi="ar-SA"/>
        </w:rPr>
        <w:t xml:space="preserve">s ukončenou životností </w:t>
      </w:r>
      <w:r w:rsidR="00996ABA">
        <w:rPr>
          <w:rFonts w:eastAsia="Calibri" w:cs="Arial"/>
          <w:noProof w:val="0"/>
          <w:szCs w:val="22"/>
          <w:lang w:bidi="ar-SA"/>
        </w:rPr>
        <w:t>i v případě zániku KS nebo přeměně provozovatele KS</w:t>
      </w:r>
      <w:r w:rsidRPr="00963FAF" w:rsidR="00996ABA">
        <w:rPr>
          <w:rFonts w:cs="Arial"/>
        </w:rPr>
        <w:t xml:space="preserve"> </w:t>
      </w:r>
      <w:r w:rsidR="00E53808">
        <w:rPr>
          <w:rFonts w:cs="Arial"/>
        </w:rPr>
        <w:t>bude mít pozitivní dopad</w:t>
      </w:r>
      <w:r w:rsidRPr="00963FAF">
        <w:rPr>
          <w:rFonts w:cs="Arial"/>
        </w:rPr>
        <w:t xml:space="preserve"> na ŽP, neboť se </w:t>
      </w:r>
      <w:r>
        <w:rPr>
          <w:rFonts w:cs="Arial"/>
        </w:rPr>
        <w:t xml:space="preserve">tím </w:t>
      </w:r>
      <w:r w:rsidRPr="00CA6B68">
        <w:rPr>
          <w:color w:val="000000"/>
        </w:rPr>
        <w:t>snižuje riziko</w:t>
      </w:r>
      <w:r w:rsidR="00996ABA">
        <w:rPr>
          <w:rFonts w:cs="Arial"/>
        </w:rPr>
        <w:t xml:space="preserve"> kontaminace životního prostředí </w:t>
      </w:r>
      <w:r w:rsidRPr="00CA6B68">
        <w:rPr>
          <w:color w:val="000000"/>
        </w:rPr>
        <w:t>nebezpečný</w:t>
      </w:r>
      <w:r w:rsidR="00996ABA">
        <w:rPr>
          <w:color w:val="000000"/>
        </w:rPr>
        <w:t>mi</w:t>
      </w:r>
      <w:r w:rsidRPr="00CA6B68">
        <w:rPr>
          <w:color w:val="000000"/>
        </w:rPr>
        <w:t xml:space="preserve"> látk</w:t>
      </w:r>
      <w:r w:rsidR="00996ABA">
        <w:rPr>
          <w:color w:val="000000"/>
        </w:rPr>
        <w:t>ami</w:t>
      </w:r>
      <w:r w:rsidRPr="00CA6B68">
        <w:rPr>
          <w:color w:val="000000"/>
        </w:rPr>
        <w:t xml:space="preserve"> obsažený</w:t>
      </w:r>
      <w:r w:rsidR="00996ABA">
        <w:rPr>
          <w:color w:val="000000"/>
        </w:rPr>
        <w:t xml:space="preserve">mi ve vybraných výrobcích s ukončenou životností </w:t>
      </w:r>
      <w:r w:rsidRPr="00CA6B68">
        <w:rPr>
          <w:color w:val="000000"/>
        </w:rPr>
        <w:t>při ne</w:t>
      </w:r>
      <w:r w:rsidRPr="00963FAF">
        <w:rPr>
          <w:rFonts w:cs="Arial"/>
        </w:rPr>
        <w:t xml:space="preserve">správném nakládání s  </w:t>
      </w:r>
      <w:r>
        <w:rPr>
          <w:rFonts w:cs="Arial"/>
        </w:rPr>
        <w:t>nimi</w:t>
      </w:r>
      <w:r w:rsidRPr="00963FAF">
        <w:rPr>
          <w:rFonts w:cs="Arial"/>
        </w:rPr>
        <w:t>.</w:t>
      </w:r>
      <w:r>
        <w:rPr>
          <w:rFonts w:cs="Arial"/>
        </w:rPr>
        <w:t xml:space="preserve"> Zároveň řádnou recyklací dochází také k </w:t>
      </w:r>
      <w:r>
        <w:rPr>
          <w:color w:val="000000"/>
        </w:rPr>
        <w:t>úspoře</w:t>
      </w:r>
      <w:r w:rsidR="00E53808">
        <w:rPr>
          <w:color w:val="000000"/>
        </w:rPr>
        <w:t xml:space="preserve"> materiálů využívaných ve vybraných výrobcích</w:t>
      </w:r>
      <w:r w:rsidRPr="00325145">
        <w:rPr>
          <w:color w:val="000000"/>
        </w:rPr>
        <w:t xml:space="preserve"> </w:t>
      </w:r>
      <w:r>
        <w:rPr>
          <w:color w:val="000000"/>
        </w:rPr>
        <w:t>díky opětovnému</w:t>
      </w:r>
      <w:r w:rsidRPr="00325145">
        <w:rPr>
          <w:color w:val="000000"/>
        </w:rPr>
        <w:t xml:space="preserve"> vyu</w:t>
      </w:r>
      <w:r>
        <w:rPr>
          <w:color w:val="000000"/>
        </w:rPr>
        <w:t>žití</w:t>
      </w:r>
      <w:r w:rsidRPr="00D35C5B">
        <w:rPr>
          <w:color w:val="000000"/>
        </w:rPr>
        <w:t xml:space="preserve"> </w:t>
      </w:r>
      <w:r w:rsidR="00E53808">
        <w:rPr>
          <w:color w:val="000000"/>
        </w:rPr>
        <w:t>a z</w:t>
      </w:r>
      <w:r w:rsidRPr="00325145">
        <w:rPr>
          <w:color w:val="000000"/>
        </w:rPr>
        <w:t>ajištění materiálu pro budoucí využití</w:t>
      </w:r>
      <w:r w:rsidRPr="00CA6B68">
        <w:rPr>
          <w:color w:val="000000"/>
        </w:rPr>
        <w:t xml:space="preserve"> </w:t>
      </w:r>
      <w:r>
        <w:rPr>
          <w:color w:val="000000"/>
        </w:rPr>
        <w:t xml:space="preserve">a </w:t>
      </w:r>
      <w:r w:rsidR="00F81C0B">
        <w:rPr>
          <w:color w:val="000000"/>
        </w:rPr>
        <w:t>úspoře energií</w:t>
      </w:r>
      <w:r>
        <w:rPr>
          <w:color w:val="000000"/>
        </w:rPr>
        <w:t>.</w:t>
      </w:r>
    </w:p>
    <w:p w:rsidR="00445337" w:rsidRPr="003F0645" w:rsidP="00445337" w14:paraId="48988BFA" w14:textId="77777777">
      <w:pPr>
        <w:rPr>
          <w:rFonts w:cs="Arial"/>
        </w:rPr>
      </w:pPr>
    </w:p>
    <w:p w:rsidR="00445337" w:rsidRPr="003F0645" w:rsidP="00445337" w14:paraId="1F3EE1CB" w14:textId="77777777">
      <w:pPr>
        <w:pStyle w:val="Heading4"/>
        <w:numPr>
          <w:ilvl w:val="0"/>
          <w:numId w:val="0"/>
        </w:numPr>
        <w:spacing w:before="120" w:after="0"/>
        <w:ind w:left="864" w:hanging="864"/>
        <w:rPr>
          <w:szCs w:val="24"/>
        </w:rPr>
      </w:pPr>
      <w:r w:rsidRPr="003F0645">
        <w:rPr>
          <w:b/>
          <w:i/>
          <w:sz w:val="24"/>
          <w:szCs w:val="24"/>
        </w:rPr>
        <w:t>Vyhodnocení nákladů a přínosů variant</w:t>
      </w:r>
    </w:p>
    <w:p w:rsidR="00445337" w:rsidRPr="003F0645" w:rsidP="00445337" w14:paraId="4A68F8C5" w14:textId="08565BEB">
      <w:pPr>
        <w:keepNext/>
        <w:spacing w:after="120"/>
        <w:rPr>
          <w:b/>
          <w:spacing w:val="10"/>
          <w:sz w:val="20"/>
          <w:szCs w:val="20"/>
        </w:rPr>
      </w:pPr>
      <w:r>
        <w:rPr>
          <w:b/>
          <w:spacing w:val="10"/>
          <w:sz w:val="20"/>
          <w:szCs w:val="20"/>
        </w:rPr>
        <w:t xml:space="preserve">Tabulka </w:t>
      </w:r>
      <w:r w:rsidR="00925F10">
        <w:rPr>
          <w:b/>
          <w:spacing w:val="10"/>
          <w:sz w:val="20"/>
          <w:szCs w:val="20"/>
        </w:rPr>
        <w:t>25</w:t>
      </w:r>
      <w:r w:rsidRPr="003F0645">
        <w:rPr>
          <w:b/>
          <w:spacing w:val="10"/>
          <w:sz w:val="20"/>
          <w:szCs w:val="20"/>
        </w:rPr>
        <w:t>: Porovnání přínosů a nákladů</w:t>
      </w:r>
    </w:p>
    <w:tbl>
      <w:tblPr>
        <w:tblStyle w:val="TableGrid"/>
        <w:tblW w:w="0" w:type="auto"/>
        <w:tblLook w:val="04A0"/>
      </w:tblPr>
      <w:tblGrid>
        <w:gridCol w:w="1254"/>
        <w:gridCol w:w="2426"/>
        <w:gridCol w:w="1338"/>
        <w:gridCol w:w="2794"/>
        <w:gridCol w:w="1250"/>
      </w:tblGrid>
      <w:tr w14:paraId="267DD4A9" w14:textId="77777777" w:rsidTr="00412A89">
        <w:tblPrEx>
          <w:tblW w:w="0" w:type="auto"/>
          <w:tblLook w:val="04A0"/>
        </w:tblPrEx>
        <w:trPr>
          <w:trHeight w:val="453"/>
        </w:trPr>
        <w:tc>
          <w:tcPr>
            <w:tcW w:w="1254" w:type="dxa"/>
            <w:noWrap/>
            <w:vAlign w:val="center"/>
            <w:hideMark/>
          </w:tcPr>
          <w:p w:rsidR="00445337" w:rsidRPr="003F0645" w:rsidP="00445337" w14:paraId="381C771B" w14:textId="77777777">
            <w:pPr>
              <w:keepNext/>
              <w:spacing w:before="0" w:after="0"/>
              <w:jc w:val="center"/>
              <w:rPr>
                <w:b/>
                <w:bCs/>
                <w:sz w:val="20"/>
                <w:szCs w:val="20"/>
              </w:rPr>
            </w:pPr>
            <w:r w:rsidRPr="003F0645">
              <w:rPr>
                <w:b/>
                <w:bCs/>
                <w:sz w:val="20"/>
                <w:szCs w:val="20"/>
              </w:rPr>
              <w:t>Varianta</w:t>
            </w:r>
          </w:p>
        </w:tc>
        <w:tc>
          <w:tcPr>
            <w:tcW w:w="2427" w:type="dxa"/>
            <w:noWrap/>
            <w:vAlign w:val="center"/>
            <w:hideMark/>
          </w:tcPr>
          <w:p w:rsidR="00445337" w:rsidRPr="003F0645" w:rsidP="00445337" w14:paraId="371222F9" w14:textId="77777777">
            <w:pPr>
              <w:keepNext/>
              <w:spacing w:before="0" w:after="0"/>
              <w:jc w:val="center"/>
              <w:rPr>
                <w:b/>
                <w:bCs/>
                <w:sz w:val="20"/>
                <w:szCs w:val="20"/>
              </w:rPr>
            </w:pPr>
            <w:r w:rsidRPr="003F0645">
              <w:rPr>
                <w:b/>
                <w:bCs/>
                <w:sz w:val="20"/>
                <w:szCs w:val="20"/>
              </w:rPr>
              <w:t>Přínosy</w:t>
            </w:r>
          </w:p>
        </w:tc>
        <w:tc>
          <w:tcPr>
            <w:tcW w:w="1338" w:type="dxa"/>
            <w:noWrap/>
            <w:vAlign w:val="center"/>
            <w:hideMark/>
          </w:tcPr>
          <w:p w:rsidR="00445337" w:rsidRPr="003F0645" w:rsidP="00445337" w14:paraId="4DD46DF8" w14:textId="77777777">
            <w:pPr>
              <w:keepNext/>
              <w:spacing w:before="0" w:after="0"/>
              <w:jc w:val="center"/>
              <w:rPr>
                <w:b/>
                <w:bCs/>
                <w:sz w:val="20"/>
                <w:szCs w:val="20"/>
              </w:rPr>
            </w:pPr>
            <w:r w:rsidRPr="003F0645">
              <w:rPr>
                <w:b/>
                <w:bCs/>
                <w:sz w:val="20"/>
                <w:szCs w:val="20"/>
              </w:rPr>
              <w:t>Hodnocení</w:t>
            </w:r>
          </w:p>
        </w:tc>
        <w:tc>
          <w:tcPr>
            <w:tcW w:w="2795" w:type="dxa"/>
            <w:noWrap/>
            <w:vAlign w:val="center"/>
            <w:hideMark/>
          </w:tcPr>
          <w:p w:rsidR="00445337" w:rsidRPr="003F0645" w:rsidP="00445337" w14:paraId="698B8FD1" w14:textId="77777777">
            <w:pPr>
              <w:keepNext/>
              <w:spacing w:before="0" w:after="0"/>
              <w:jc w:val="center"/>
              <w:rPr>
                <w:b/>
                <w:bCs/>
                <w:sz w:val="20"/>
                <w:szCs w:val="20"/>
              </w:rPr>
            </w:pPr>
            <w:r w:rsidRPr="003F0645">
              <w:rPr>
                <w:b/>
                <w:bCs/>
                <w:sz w:val="20"/>
                <w:szCs w:val="20"/>
              </w:rPr>
              <w:t>Náklady</w:t>
            </w:r>
          </w:p>
        </w:tc>
        <w:tc>
          <w:tcPr>
            <w:tcW w:w="1248" w:type="dxa"/>
            <w:noWrap/>
            <w:vAlign w:val="center"/>
            <w:hideMark/>
          </w:tcPr>
          <w:p w:rsidR="00445337" w:rsidRPr="003F0645" w:rsidP="00445337" w14:paraId="2A194521" w14:textId="77777777">
            <w:pPr>
              <w:keepNext/>
              <w:spacing w:before="0" w:after="0"/>
              <w:jc w:val="center"/>
              <w:rPr>
                <w:b/>
                <w:bCs/>
                <w:sz w:val="20"/>
                <w:szCs w:val="20"/>
              </w:rPr>
            </w:pPr>
            <w:r w:rsidRPr="003F0645">
              <w:rPr>
                <w:b/>
                <w:bCs/>
                <w:sz w:val="20"/>
                <w:szCs w:val="20"/>
              </w:rPr>
              <w:t>Hodnocení</w:t>
            </w:r>
          </w:p>
        </w:tc>
      </w:tr>
      <w:tr w14:paraId="766605A3" w14:textId="77777777" w:rsidTr="00412A89">
        <w:tblPrEx>
          <w:tblW w:w="0" w:type="auto"/>
          <w:tblLook w:val="04A0"/>
        </w:tblPrEx>
        <w:trPr>
          <w:trHeight w:val="503"/>
        </w:trPr>
        <w:tc>
          <w:tcPr>
            <w:tcW w:w="1254" w:type="dxa"/>
            <w:vMerge w:val="restart"/>
            <w:noWrap/>
            <w:vAlign w:val="center"/>
            <w:hideMark/>
          </w:tcPr>
          <w:p w:rsidR="00445337" w:rsidRPr="003F0645" w:rsidP="000F533C" w14:paraId="445430C9" w14:textId="5973C311">
            <w:pPr>
              <w:keepNext/>
              <w:spacing w:before="0" w:after="0"/>
              <w:jc w:val="center"/>
              <w:rPr>
                <w:b/>
                <w:bCs/>
                <w:sz w:val="20"/>
                <w:szCs w:val="20"/>
              </w:rPr>
            </w:pPr>
            <w:r w:rsidRPr="003F0645">
              <w:rPr>
                <w:b/>
                <w:bCs/>
                <w:sz w:val="20"/>
                <w:szCs w:val="20"/>
              </w:rPr>
              <w:t>Variant</w:t>
            </w:r>
            <w:r w:rsidR="00E53808">
              <w:rPr>
                <w:b/>
                <w:bCs/>
                <w:sz w:val="20"/>
                <w:szCs w:val="20"/>
              </w:rPr>
              <w:t>a</w:t>
            </w:r>
            <w:r w:rsidRPr="003F0645">
              <w:rPr>
                <w:b/>
                <w:bCs/>
                <w:sz w:val="20"/>
                <w:szCs w:val="20"/>
              </w:rPr>
              <w:t xml:space="preserve"> 0</w:t>
            </w:r>
          </w:p>
        </w:tc>
        <w:tc>
          <w:tcPr>
            <w:tcW w:w="7808" w:type="dxa"/>
            <w:gridSpan w:val="4"/>
            <w:vAlign w:val="center"/>
            <w:hideMark/>
          </w:tcPr>
          <w:p w:rsidR="00445337" w:rsidRPr="003F0645" w:rsidP="00445337" w14:paraId="6CE05D3E" w14:textId="77777777">
            <w:pPr>
              <w:keepNext/>
              <w:spacing w:before="0" w:after="0"/>
              <w:jc w:val="center"/>
              <w:rPr>
                <w:b/>
                <w:bCs/>
                <w:sz w:val="20"/>
                <w:szCs w:val="20"/>
              </w:rPr>
            </w:pPr>
            <w:r w:rsidRPr="003F0645">
              <w:rPr>
                <w:b/>
                <w:bCs/>
                <w:sz w:val="20"/>
                <w:szCs w:val="20"/>
              </w:rPr>
              <w:t>Státní rozpočet a ostatní veřejné rozpočty</w:t>
            </w:r>
          </w:p>
        </w:tc>
      </w:tr>
      <w:tr w14:paraId="0F3E12A7" w14:textId="77777777" w:rsidTr="00412A89">
        <w:tblPrEx>
          <w:tblW w:w="0" w:type="auto"/>
          <w:tblLook w:val="04A0"/>
        </w:tblPrEx>
        <w:trPr>
          <w:trHeight w:val="496"/>
        </w:trPr>
        <w:tc>
          <w:tcPr>
            <w:tcW w:w="1254" w:type="dxa"/>
            <w:vMerge/>
            <w:vAlign w:val="center"/>
            <w:hideMark/>
          </w:tcPr>
          <w:p w:rsidR="00445337" w:rsidRPr="003F0645" w:rsidP="00445337" w14:paraId="42F330A1" w14:textId="77777777">
            <w:pPr>
              <w:spacing w:before="0" w:after="0"/>
              <w:jc w:val="center"/>
              <w:rPr>
                <w:b/>
                <w:bCs/>
                <w:sz w:val="20"/>
                <w:szCs w:val="20"/>
              </w:rPr>
            </w:pPr>
          </w:p>
        </w:tc>
        <w:tc>
          <w:tcPr>
            <w:tcW w:w="2427" w:type="dxa"/>
            <w:vAlign w:val="center"/>
            <w:hideMark/>
          </w:tcPr>
          <w:p w:rsidR="00445337" w:rsidRPr="003F0645" w:rsidP="00445337" w14:paraId="069D786B" w14:textId="77777777">
            <w:pPr>
              <w:spacing w:before="0" w:after="0"/>
              <w:jc w:val="center"/>
              <w:rPr>
                <w:sz w:val="20"/>
                <w:szCs w:val="20"/>
              </w:rPr>
            </w:pPr>
            <w:r>
              <w:rPr>
                <w:sz w:val="20"/>
                <w:szCs w:val="20"/>
              </w:rPr>
              <w:t>-</w:t>
            </w:r>
          </w:p>
        </w:tc>
        <w:tc>
          <w:tcPr>
            <w:tcW w:w="1338" w:type="dxa"/>
            <w:vAlign w:val="center"/>
            <w:hideMark/>
          </w:tcPr>
          <w:p w:rsidR="00445337" w:rsidRPr="003F0645" w:rsidP="00445337" w14:paraId="622151DF" w14:textId="77777777">
            <w:pPr>
              <w:spacing w:before="0" w:after="0"/>
              <w:jc w:val="center"/>
              <w:rPr>
                <w:sz w:val="20"/>
                <w:szCs w:val="20"/>
              </w:rPr>
            </w:pPr>
            <w:r>
              <w:rPr>
                <w:sz w:val="20"/>
                <w:szCs w:val="20"/>
              </w:rPr>
              <w:t>-</w:t>
            </w:r>
          </w:p>
        </w:tc>
        <w:tc>
          <w:tcPr>
            <w:tcW w:w="2795" w:type="dxa"/>
            <w:vAlign w:val="center"/>
          </w:tcPr>
          <w:p w:rsidR="00445337" w:rsidRPr="003F0645" w:rsidP="00445337" w14:paraId="334ED046" w14:textId="55A83062">
            <w:pPr>
              <w:spacing w:before="0" w:after="0"/>
              <w:jc w:val="center"/>
              <w:rPr>
                <w:sz w:val="20"/>
                <w:szCs w:val="20"/>
              </w:rPr>
            </w:pPr>
            <w:r>
              <w:rPr>
                <w:sz w:val="20"/>
                <w:szCs w:val="20"/>
              </w:rPr>
              <w:t>-</w:t>
            </w:r>
          </w:p>
        </w:tc>
        <w:tc>
          <w:tcPr>
            <w:tcW w:w="1248" w:type="dxa"/>
            <w:vAlign w:val="center"/>
          </w:tcPr>
          <w:p w:rsidR="00445337" w:rsidRPr="003F0645" w:rsidP="00445337" w14:paraId="7198D55C" w14:textId="305505F4">
            <w:pPr>
              <w:spacing w:before="0" w:after="0"/>
              <w:jc w:val="center"/>
              <w:rPr>
                <w:sz w:val="20"/>
                <w:szCs w:val="20"/>
              </w:rPr>
            </w:pPr>
            <w:r>
              <w:rPr>
                <w:sz w:val="20"/>
                <w:szCs w:val="20"/>
              </w:rPr>
              <w:t>-</w:t>
            </w:r>
          </w:p>
        </w:tc>
      </w:tr>
      <w:tr w14:paraId="247339BC" w14:textId="77777777" w:rsidTr="00412A89">
        <w:tblPrEx>
          <w:tblW w:w="0" w:type="auto"/>
          <w:tblLook w:val="04A0"/>
        </w:tblPrEx>
        <w:trPr>
          <w:trHeight w:val="503"/>
        </w:trPr>
        <w:tc>
          <w:tcPr>
            <w:tcW w:w="1254" w:type="dxa"/>
            <w:vMerge/>
            <w:vAlign w:val="center"/>
            <w:hideMark/>
          </w:tcPr>
          <w:p w:rsidR="00445337" w:rsidRPr="003F0645" w:rsidP="00445337" w14:paraId="5B5E3741" w14:textId="77777777">
            <w:pPr>
              <w:spacing w:before="0" w:after="0"/>
              <w:jc w:val="center"/>
              <w:rPr>
                <w:b/>
                <w:bCs/>
                <w:sz w:val="20"/>
                <w:szCs w:val="20"/>
              </w:rPr>
            </w:pPr>
          </w:p>
        </w:tc>
        <w:tc>
          <w:tcPr>
            <w:tcW w:w="7808" w:type="dxa"/>
            <w:gridSpan w:val="4"/>
            <w:vAlign w:val="center"/>
            <w:hideMark/>
          </w:tcPr>
          <w:p w:rsidR="00445337" w:rsidRPr="003F0645" w:rsidP="00445337" w14:paraId="487AA75B" w14:textId="77777777">
            <w:pPr>
              <w:spacing w:before="0" w:after="0"/>
              <w:jc w:val="center"/>
              <w:rPr>
                <w:b/>
                <w:bCs/>
                <w:sz w:val="20"/>
                <w:szCs w:val="20"/>
              </w:rPr>
            </w:pPr>
            <w:r w:rsidRPr="003F0645">
              <w:rPr>
                <w:b/>
                <w:bCs/>
                <w:sz w:val="20"/>
                <w:szCs w:val="20"/>
              </w:rPr>
              <w:t>Podnikatelské subjekty</w:t>
            </w:r>
          </w:p>
        </w:tc>
      </w:tr>
      <w:tr w14:paraId="63DB2EC7" w14:textId="77777777" w:rsidTr="00412A89">
        <w:tblPrEx>
          <w:tblW w:w="0" w:type="auto"/>
          <w:tblLook w:val="04A0"/>
        </w:tblPrEx>
        <w:trPr>
          <w:trHeight w:val="898"/>
        </w:trPr>
        <w:tc>
          <w:tcPr>
            <w:tcW w:w="1254" w:type="dxa"/>
            <w:vMerge/>
            <w:vAlign w:val="center"/>
          </w:tcPr>
          <w:p w:rsidR="00715640" w:rsidRPr="003F0645" w:rsidP="00715640" w14:paraId="78E60856" w14:textId="77777777">
            <w:pPr>
              <w:spacing w:before="0" w:after="0"/>
              <w:jc w:val="center"/>
              <w:rPr>
                <w:b/>
                <w:bCs/>
                <w:sz w:val="20"/>
                <w:szCs w:val="20"/>
              </w:rPr>
            </w:pPr>
          </w:p>
        </w:tc>
        <w:tc>
          <w:tcPr>
            <w:tcW w:w="2427" w:type="dxa"/>
            <w:vAlign w:val="center"/>
          </w:tcPr>
          <w:p w:rsidR="00715640" w:rsidP="00715640" w14:paraId="2BDAD2DD" w14:textId="77777777">
            <w:pPr>
              <w:spacing w:before="0" w:after="0"/>
              <w:jc w:val="center"/>
              <w:rPr>
                <w:sz w:val="20"/>
                <w:szCs w:val="20"/>
              </w:rPr>
            </w:pPr>
            <w:r>
              <w:rPr>
                <w:sz w:val="20"/>
                <w:szCs w:val="20"/>
              </w:rPr>
              <w:t>-</w:t>
            </w:r>
          </w:p>
        </w:tc>
        <w:tc>
          <w:tcPr>
            <w:tcW w:w="1338" w:type="dxa"/>
            <w:noWrap/>
            <w:vAlign w:val="center"/>
          </w:tcPr>
          <w:p w:rsidR="00715640" w:rsidP="00715640" w14:paraId="04D83970" w14:textId="77777777">
            <w:pPr>
              <w:spacing w:before="0" w:after="0"/>
              <w:jc w:val="center"/>
              <w:rPr>
                <w:sz w:val="20"/>
                <w:szCs w:val="20"/>
              </w:rPr>
            </w:pPr>
            <w:r>
              <w:rPr>
                <w:sz w:val="20"/>
                <w:szCs w:val="20"/>
              </w:rPr>
              <w:t>-</w:t>
            </w:r>
          </w:p>
        </w:tc>
        <w:tc>
          <w:tcPr>
            <w:tcW w:w="2795" w:type="dxa"/>
            <w:vAlign w:val="center"/>
          </w:tcPr>
          <w:p w:rsidR="00715640" w:rsidRPr="003F0645" w:rsidP="000F533C" w14:paraId="7620264C" w14:textId="3D76D75A">
            <w:pPr>
              <w:spacing w:before="0" w:after="0"/>
              <w:jc w:val="center"/>
              <w:rPr>
                <w:rFonts w:cs="Arial"/>
                <w:sz w:val="20"/>
                <w:szCs w:val="20"/>
              </w:rPr>
            </w:pPr>
            <w:r>
              <w:rPr>
                <w:rFonts w:cs="Arial"/>
                <w:sz w:val="20"/>
                <w:szCs w:val="20"/>
              </w:rPr>
              <w:t xml:space="preserve">V případě zániku či přeměně  KS riziko použití finančních prostředků (příspěvků od výrobců VUŽ na ZO) k jiným účelům než ke ZO </w:t>
            </w:r>
          </w:p>
        </w:tc>
        <w:tc>
          <w:tcPr>
            <w:tcW w:w="1248" w:type="dxa"/>
            <w:noWrap/>
            <w:vAlign w:val="center"/>
          </w:tcPr>
          <w:p w:rsidR="00715640" w:rsidRPr="003F0645" w:rsidP="00715640" w14:paraId="4A6A1CAE" w14:textId="7830BBE0">
            <w:pPr>
              <w:spacing w:before="0" w:after="0"/>
              <w:jc w:val="center"/>
              <w:rPr>
                <w:sz w:val="20"/>
                <w:szCs w:val="20"/>
              </w:rPr>
            </w:pPr>
            <w:r>
              <w:rPr>
                <w:sz w:val="20"/>
                <w:szCs w:val="20"/>
              </w:rPr>
              <w:t>****</w:t>
            </w:r>
          </w:p>
        </w:tc>
      </w:tr>
      <w:tr w14:paraId="7330BBA7" w14:textId="77777777" w:rsidTr="00412A89">
        <w:tblPrEx>
          <w:tblW w:w="0" w:type="auto"/>
          <w:tblLook w:val="04A0"/>
        </w:tblPrEx>
        <w:trPr>
          <w:trHeight w:val="423"/>
        </w:trPr>
        <w:tc>
          <w:tcPr>
            <w:tcW w:w="1254" w:type="dxa"/>
            <w:vMerge/>
            <w:vAlign w:val="center"/>
          </w:tcPr>
          <w:p w:rsidR="00715640" w:rsidRPr="003F0645" w:rsidP="00715640" w14:paraId="6A9E73E3" w14:textId="77777777">
            <w:pPr>
              <w:spacing w:before="0" w:after="0"/>
              <w:jc w:val="center"/>
              <w:rPr>
                <w:b/>
                <w:bCs/>
                <w:sz w:val="20"/>
                <w:szCs w:val="20"/>
              </w:rPr>
            </w:pPr>
          </w:p>
        </w:tc>
        <w:tc>
          <w:tcPr>
            <w:tcW w:w="7808" w:type="dxa"/>
            <w:gridSpan w:val="4"/>
            <w:vAlign w:val="center"/>
          </w:tcPr>
          <w:p w:rsidR="00715640" w:rsidRPr="003F0645" w:rsidP="00715640" w14:paraId="5BD0C55F" w14:textId="77777777">
            <w:pPr>
              <w:spacing w:before="0" w:after="0"/>
              <w:jc w:val="center"/>
              <w:rPr>
                <w:sz w:val="20"/>
                <w:szCs w:val="20"/>
              </w:rPr>
            </w:pPr>
            <w:r w:rsidRPr="003F0645">
              <w:rPr>
                <w:b/>
                <w:bCs/>
                <w:sz w:val="20"/>
                <w:szCs w:val="20"/>
              </w:rPr>
              <w:t>Územní samosprávné celky (obce, kraje)</w:t>
            </w:r>
          </w:p>
        </w:tc>
      </w:tr>
      <w:tr w14:paraId="6EE6C142" w14:textId="77777777" w:rsidTr="00412A89">
        <w:tblPrEx>
          <w:tblW w:w="0" w:type="auto"/>
          <w:tblLook w:val="04A0"/>
        </w:tblPrEx>
        <w:trPr>
          <w:trHeight w:val="415"/>
        </w:trPr>
        <w:tc>
          <w:tcPr>
            <w:tcW w:w="1254" w:type="dxa"/>
            <w:vMerge/>
            <w:vAlign w:val="center"/>
          </w:tcPr>
          <w:p w:rsidR="00715640" w:rsidRPr="003F0645" w:rsidP="00715640" w14:paraId="2F9BF652" w14:textId="77777777">
            <w:pPr>
              <w:spacing w:before="0" w:after="0"/>
              <w:jc w:val="center"/>
              <w:rPr>
                <w:b/>
                <w:bCs/>
                <w:sz w:val="20"/>
                <w:szCs w:val="20"/>
              </w:rPr>
            </w:pPr>
          </w:p>
        </w:tc>
        <w:tc>
          <w:tcPr>
            <w:tcW w:w="2427" w:type="dxa"/>
            <w:vAlign w:val="center"/>
          </w:tcPr>
          <w:p w:rsidR="00715640" w:rsidRPr="003F0645" w:rsidP="00715640" w14:paraId="0D457CFC" w14:textId="77777777">
            <w:pPr>
              <w:spacing w:before="0" w:after="0"/>
              <w:jc w:val="center"/>
              <w:rPr>
                <w:sz w:val="20"/>
                <w:szCs w:val="20"/>
              </w:rPr>
            </w:pPr>
            <w:r w:rsidRPr="003F0645">
              <w:rPr>
                <w:sz w:val="20"/>
                <w:szCs w:val="20"/>
              </w:rPr>
              <w:t>-</w:t>
            </w:r>
          </w:p>
        </w:tc>
        <w:tc>
          <w:tcPr>
            <w:tcW w:w="1338" w:type="dxa"/>
            <w:noWrap/>
            <w:vAlign w:val="center"/>
          </w:tcPr>
          <w:p w:rsidR="00715640" w:rsidRPr="003F0645" w:rsidP="00715640" w14:paraId="3DD8972E" w14:textId="77777777">
            <w:pPr>
              <w:spacing w:before="0" w:after="0"/>
              <w:jc w:val="center"/>
              <w:rPr>
                <w:sz w:val="20"/>
                <w:szCs w:val="20"/>
              </w:rPr>
            </w:pPr>
            <w:r w:rsidRPr="003F0645">
              <w:rPr>
                <w:sz w:val="20"/>
                <w:szCs w:val="20"/>
              </w:rPr>
              <w:t>-</w:t>
            </w:r>
          </w:p>
        </w:tc>
        <w:tc>
          <w:tcPr>
            <w:tcW w:w="2795" w:type="dxa"/>
            <w:vAlign w:val="center"/>
          </w:tcPr>
          <w:p w:rsidR="00715640" w:rsidRPr="003F0645" w:rsidP="00715640" w14:paraId="392C8C10" w14:textId="77777777">
            <w:pPr>
              <w:spacing w:before="0" w:after="0"/>
              <w:jc w:val="center"/>
              <w:rPr>
                <w:sz w:val="20"/>
                <w:szCs w:val="20"/>
              </w:rPr>
            </w:pPr>
            <w:r w:rsidRPr="003F0645">
              <w:rPr>
                <w:sz w:val="20"/>
                <w:szCs w:val="20"/>
              </w:rPr>
              <w:t>-</w:t>
            </w:r>
          </w:p>
        </w:tc>
        <w:tc>
          <w:tcPr>
            <w:tcW w:w="1248" w:type="dxa"/>
            <w:noWrap/>
            <w:vAlign w:val="center"/>
          </w:tcPr>
          <w:p w:rsidR="00715640" w:rsidRPr="003F0645" w:rsidP="00715640" w14:paraId="7D061F2B" w14:textId="77777777">
            <w:pPr>
              <w:spacing w:before="0" w:after="0"/>
              <w:jc w:val="center"/>
              <w:rPr>
                <w:sz w:val="20"/>
                <w:szCs w:val="20"/>
              </w:rPr>
            </w:pPr>
            <w:r w:rsidRPr="003F0645">
              <w:rPr>
                <w:sz w:val="20"/>
                <w:szCs w:val="20"/>
              </w:rPr>
              <w:t>-</w:t>
            </w:r>
          </w:p>
        </w:tc>
      </w:tr>
      <w:tr w14:paraId="3DA1E724" w14:textId="77777777" w:rsidTr="00412A89">
        <w:tblPrEx>
          <w:tblW w:w="0" w:type="auto"/>
          <w:tblLook w:val="04A0"/>
        </w:tblPrEx>
        <w:trPr>
          <w:trHeight w:val="421"/>
        </w:trPr>
        <w:tc>
          <w:tcPr>
            <w:tcW w:w="1254" w:type="dxa"/>
            <w:vMerge/>
            <w:vAlign w:val="center"/>
          </w:tcPr>
          <w:p w:rsidR="00715640" w:rsidRPr="003F0645" w:rsidP="00715640" w14:paraId="2590FEEF" w14:textId="77777777">
            <w:pPr>
              <w:spacing w:before="0" w:after="0"/>
              <w:jc w:val="center"/>
              <w:rPr>
                <w:b/>
                <w:bCs/>
                <w:sz w:val="20"/>
                <w:szCs w:val="20"/>
              </w:rPr>
            </w:pPr>
          </w:p>
        </w:tc>
        <w:tc>
          <w:tcPr>
            <w:tcW w:w="7808" w:type="dxa"/>
            <w:gridSpan w:val="4"/>
            <w:vAlign w:val="center"/>
          </w:tcPr>
          <w:p w:rsidR="00715640" w:rsidRPr="003F0645" w:rsidP="00715640" w14:paraId="4690D756" w14:textId="77777777">
            <w:pPr>
              <w:spacing w:before="0" w:after="0"/>
              <w:jc w:val="center"/>
              <w:rPr>
                <w:sz w:val="20"/>
                <w:szCs w:val="20"/>
              </w:rPr>
            </w:pPr>
            <w:r w:rsidRPr="003F0645">
              <w:rPr>
                <w:b/>
                <w:bCs/>
                <w:sz w:val="20"/>
                <w:szCs w:val="20"/>
              </w:rPr>
              <w:t>Sociální dopady</w:t>
            </w:r>
          </w:p>
        </w:tc>
      </w:tr>
      <w:tr w14:paraId="40AC7B3C" w14:textId="77777777" w:rsidTr="00412A89">
        <w:tblPrEx>
          <w:tblW w:w="0" w:type="auto"/>
          <w:tblLook w:val="04A0"/>
        </w:tblPrEx>
        <w:trPr>
          <w:trHeight w:val="412"/>
        </w:trPr>
        <w:tc>
          <w:tcPr>
            <w:tcW w:w="1254" w:type="dxa"/>
            <w:vMerge/>
            <w:vAlign w:val="center"/>
          </w:tcPr>
          <w:p w:rsidR="00715640" w:rsidRPr="003F0645" w:rsidP="00715640" w14:paraId="072D354F" w14:textId="77777777">
            <w:pPr>
              <w:spacing w:before="0" w:after="0"/>
              <w:jc w:val="center"/>
              <w:rPr>
                <w:b/>
                <w:bCs/>
                <w:sz w:val="20"/>
                <w:szCs w:val="20"/>
              </w:rPr>
            </w:pPr>
          </w:p>
        </w:tc>
        <w:tc>
          <w:tcPr>
            <w:tcW w:w="2427" w:type="dxa"/>
            <w:vAlign w:val="center"/>
          </w:tcPr>
          <w:p w:rsidR="00715640" w:rsidRPr="003F0645" w:rsidP="00715640" w14:paraId="6C62DA62" w14:textId="77777777">
            <w:pPr>
              <w:spacing w:before="0" w:after="0"/>
              <w:jc w:val="center"/>
              <w:rPr>
                <w:sz w:val="20"/>
                <w:szCs w:val="20"/>
              </w:rPr>
            </w:pPr>
            <w:r w:rsidRPr="003F0645">
              <w:rPr>
                <w:sz w:val="20"/>
                <w:szCs w:val="20"/>
              </w:rPr>
              <w:t>-</w:t>
            </w:r>
          </w:p>
        </w:tc>
        <w:tc>
          <w:tcPr>
            <w:tcW w:w="1338" w:type="dxa"/>
            <w:noWrap/>
            <w:vAlign w:val="center"/>
          </w:tcPr>
          <w:p w:rsidR="00715640" w:rsidRPr="003F0645" w:rsidP="00715640" w14:paraId="2760D4C5" w14:textId="77777777">
            <w:pPr>
              <w:spacing w:before="0" w:after="0"/>
              <w:jc w:val="center"/>
              <w:rPr>
                <w:sz w:val="20"/>
                <w:szCs w:val="20"/>
              </w:rPr>
            </w:pPr>
            <w:r w:rsidRPr="003F0645">
              <w:rPr>
                <w:sz w:val="20"/>
                <w:szCs w:val="20"/>
              </w:rPr>
              <w:t>-</w:t>
            </w:r>
          </w:p>
        </w:tc>
        <w:tc>
          <w:tcPr>
            <w:tcW w:w="2795" w:type="dxa"/>
            <w:vAlign w:val="center"/>
          </w:tcPr>
          <w:p w:rsidR="00715640" w:rsidRPr="003F0645" w:rsidP="00715640" w14:paraId="48CF4416" w14:textId="77777777">
            <w:pPr>
              <w:spacing w:before="0" w:after="0"/>
              <w:jc w:val="center"/>
              <w:rPr>
                <w:sz w:val="20"/>
                <w:szCs w:val="20"/>
              </w:rPr>
            </w:pPr>
            <w:r w:rsidRPr="003F0645">
              <w:rPr>
                <w:sz w:val="20"/>
                <w:szCs w:val="20"/>
              </w:rPr>
              <w:t>-</w:t>
            </w:r>
          </w:p>
        </w:tc>
        <w:tc>
          <w:tcPr>
            <w:tcW w:w="1248" w:type="dxa"/>
            <w:noWrap/>
            <w:vAlign w:val="center"/>
          </w:tcPr>
          <w:p w:rsidR="00715640" w:rsidRPr="003F0645" w:rsidP="00715640" w14:paraId="5273D483" w14:textId="77777777">
            <w:pPr>
              <w:spacing w:before="0" w:after="0"/>
              <w:jc w:val="center"/>
              <w:rPr>
                <w:sz w:val="20"/>
                <w:szCs w:val="20"/>
              </w:rPr>
            </w:pPr>
            <w:r w:rsidRPr="003F0645">
              <w:rPr>
                <w:sz w:val="20"/>
                <w:szCs w:val="20"/>
              </w:rPr>
              <w:t>-</w:t>
            </w:r>
          </w:p>
        </w:tc>
      </w:tr>
      <w:tr w14:paraId="54121D65" w14:textId="77777777" w:rsidTr="00412A89">
        <w:tblPrEx>
          <w:tblW w:w="0" w:type="auto"/>
          <w:tblLook w:val="04A0"/>
        </w:tblPrEx>
        <w:trPr>
          <w:trHeight w:val="503"/>
        </w:trPr>
        <w:tc>
          <w:tcPr>
            <w:tcW w:w="1254" w:type="dxa"/>
            <w:vMerge/>
            <w:vAlign w:val="center"/>
            <w:hideMark/>
          </w:tcPr>
          <w:p w:rsidR="00715640" w:rsidRPr="003F0645" w:rsidP="00715640" w14:paraId="340077E0" w14:textId="77777777">
            <w:pPr>
              <w:spacing w:before="0" w:after="0"/>
              <w:jc w:val="center"/>
              <w:rPr>
                <w:b/>
                <w:bCs/>
                <w:sz w:val="20"/>
                <w:szCs w:val="20"/>
              </w:rPr>
            </w:pPr>
          </w:p>
        </w:tc>
        <w:tc>
          <w:tcPr>
            <w:tcW w:w="7808" w:type="dxa"/>
            <w:gridSpan w:val="4"/>
            <w:vAlign w:val="center"/>
            <w:hideMark/>
          </w:tcPr>
          <w:p w:rsidR="00715640" w:rsidRPr="003F0645" w:rsidP="00715640" w14:paraId="1103A65E" w14:textId="77777777">
            <w:pPr>
              <w:spacing w:before="0" w:after="0"/>
              <w:jc w:val="center"/>
              <w:rPr>
                <w:b/>
                <w:bCs/>
                <w:sz w:val="20"/>
                <w:szCs w:val="20"/>
              </w:rPr>
            </w:pPr>
            <w:r w:rsidRPr="003F0645">
              <w:rPr>
                <w:b/>
                <w:bCs/>
                <w:sz w:val="20"/>
                <w:szCs w:val="20"/>
              </w:rPr>
              <w:t>Životní prostředí</w:t>
            </w:r>
          </w:p>
        </w:tc>
      </w:tr>
      <w:tr w14:paraId="602722C3" w14:textId="77777777" w:rsidTr="00412A89">
        <w:tblPrEx>
          <w:tblW w:w="0" w:type="auto"/>
          <w:tblLook w:val="04A0"/>
        </w:tblPrEx>
        <w:trPr>
          <w:trHeight w:val="616"/>
        </w:trPr>
        <w:tc>
          <w:tcPr>
            <w:tcW w:w="1254" w:type="dxa"/>
            <w:vMerge/>
            <w:vAlign w:val="center"/>
            <w:hideMark/>
          </w:tcPr>
          <w:p w:rsidR="00715640" w:rsidRPr="003F0645" w:rsidP="00715640" w14:paraId="55FE7CD6" w14:textId="77777777">
            <w:pPr>
              <w:spacing w:before="0" w:after="0"/>
              <w:jc w:val="center"/>
              <w:rPr>
                <w:b/>
                <w:bCs/>
                <w:sz w:val="20"/>
                <w:szCs w:val="20"/>
              </w:rPr>
            </w:pPr>
          </w:p>
        </w:tc>
        <w:tc>
          <w:tcPr>
            <w:tcW w:w="2427" w:type="dxa"/>
            <w:vAlign w:val="center"/>
            <w:hideMark/>
          </w:tcPr>
          <w:p w:rsidR="00715640" w:rsidRPr="003F0645" w:rsidP="00715640" w14:paraId="1F081315" w14:textId="77777777">
            <w:pPr>
              <w:spacing w:before="0" w:after="0"/>
              <w:jc w:val="center"/>
              <w:rPr>
                <w:sz w:val="20"/>
                <w:szCs w:val="20"/>
              </w:rPr>
            </w:pPr>
            <w:r>
              <w:rPr>
                <w:sz w:val="20"/>
                <w:szCs w:val="20"/>
              </w:rPr>
              <w:t>-</w:t>
            </w:r>
          </w:p>
        </w:tc>
        <w:tc>
          <w:tcPr>
            <w:tcW w:w="1338" w:type="dxa"/>
            <w:vAlign w:val="center"/>
            <w:hideMark/>
          </w:tcPr>
          <w:p w:rsidR="00715640" w:rsidRPr="003F0645" w:rsidP="00715640" w14:paraId="13D0D157" w14:textId="77777777">
            <w:pPr>
              <w:spacing w:before="0" w:after="0"/>
              <w:jc w:val="center"/>
              <w:rPr>
                <w:sz w:val="20"/>
                <w:szCs w:val="20"/>
              </w:rPr>
            </w:pPr>
            <w:r>
              <w:rPr>
                <w:sz w:val="20"/>
                <w:szCs w:val="20"/>
              </w:rPr>
              <w:t>-</w:t>
            </w:r>
          </w:p>
        </w:tc>
        <w:tc>
          <w:tcPr>
            <w:tcW w:w="2795" w:type="dxa"/>
            <w:vAlign w:val="center"/>
            <w:hideMark/>
          </w:tcPr>
          <w:p w:rsidR="00715640" w:rsidRPr="003F0645" w:rsidP="000F533C" w14:paraId="4CFBBFBC" w14:textId="1EE6E83B">
            <w:pPr>
              <w:spacing w:before="0" w:after="0"/>
              <w:jc w:val="center"/>
              <w:rPr>
                <w:sz w:val="20"/>
                <w:szCs w:val="20"/>
              </w:rPr>
            </w:pPr>
            <w:r w:rsidRPr="003F0645">
              <w:rPr>
                <w:rFonts w:cs="Arial"/>
                <w:sz w:val="20"/>
                <w:szCs w:val="20"/>
              </w:rPr>
              <w:t>Při nesprávném nakládání s </w:t>
            </w:r>
            <w:r>
              <w:rPr>
                <w:rFonts w:cs="Arial"/>
                <w:sz w:val="20"/>
                <w:szCs w:val="20"/>
              </w:rPr>
              <w:t>VUŽ</w:t>
            </w:r>
            <w:r w:rsidRPr="003F0645">
              <w:rPr>
                <w:rFonts w:cs="Arial"/>
                <w:sz w:val="20"/>
                <w:szCs w:val="20"/>
              </w:rPr>
              <w:t xml:space="preserve"> riziko kontaminace ŽP  ne</w:t>
            </w:r>
            <w:r>
              <w:rPr>
                <w:rFonts w:cs="Arial"/>
                <w:sz w:val="20"/>
                <w:szCs w:val="20"/>
              </w:rPr>
              <w:t>bezpečnými látkami obsaženými ve VUŽ</w:t>
            </w:r>
          </w:p>
        </w:tc>
        <w:tc>
          <w:tcPr>
            <w:tcW w:w="1248" w:type="dxa"/>
            <w:vAlign w:val="center"/>
            <w:hideMark/>
          </w:tcPr>
          <w:p w:rsidR="00715640" w:rsidRPr="003F0645" w:rsidP="00715640" w14:paraId="70F773EC" w14:textId="77777777">
            <w:pPr>
              <w:spacing w:before="0" w:after="0"/>
              <w:jc w:val="center"/>
              <w:rPr>
                <w:sz w:val="20"/>
                <w:szCs w:val="20"/>
              </w:rPr>
            </w:pPr>
            <w:r w:rsidRPr="003F0645">
              <w:rPr>
                <w:sz w:val="20"/>
                <w:szCs w:val="20"/>
              </w:rPr>
              <w:t>**</w:t>
            </w:r>
            <w:r>
              <w:rPr>
                <w:sz w:val="20"/>
                <w:szCs w:val="20"/>
              </w:rPr>
              <w:t>*</w:t>
            </w:r>
          </w:p>
        </w:tc>
      </w:tr>
      <w:tr w14:paraId="7A84322F" w14:textId="77777777" w:rsidTr="00412A89">
        <w:tblPrEx>
          <w:tblW w:w="0" w:type="auto"/>
          <w:tblLook w:val="04A0"/>
        </w:tblPrEx>
        <w:trPr>
          <w:trHeight w:val="568"/>
        </w:trPr>
        <w:tc>
          <w:tcPr>
            <w:tcW w:w="1254" w:type="dxa"/>
            <w:vMerge w:val="restart"/>
            <w:noWrap/>
            <w:vAlign w:val="center"/>
            <w:hideMark/>
          </w:tcPr>
          <w:p w:rsidR="00715640" w:rsidRPr="003F0645" w:rsidP="00715640" w14:paraId="586D80C2" w14:textId="77777777">
            <w:pPr>
              <w:spacing w:before="0" w:after="0"/>
              <w:jc w:val="center"/>
              <w:rPr>
                <w:b/>
                <w:bCs/>
                <w:sz w:val="20"/>
                <w:szCs w:val="20"/>
              </w:rPr>
            </w:pPr>
            <w:r w:rsidRPr="003F0645">
              <w:rPr>
                <w:b/>
                <w:bCs/>
                <w:sz w:val="20"/>
                <w:szCs w:val="20"/>
              </w:rPr>
              <w:t>Varianta 1</w:t>
            </w:r>
          </w:p>
        </w:tc>
        <w:tc>
          <w:tcPr>
            <w:tcW w:w="7808" w:type="dxa"/>
            <w:gridSpan w:val="4"/>
            <w:vAlign w:val="center"/>
            <w:hideMark/>
          </w:tcPr>
          <w:p w:rsidR="00715640" w:rsidRPr="003F0645" w:rsidP="00715640" w14:paraId="7BF17E38" w14:textId="77777777">
            <w:pPr>
              <w:spacing w:before="0" w:after="0"/>
              <w:jc w:val="center"/>
              <w:rPr>
                <w:b/>
                <w:bCs/>
                <w:sz w:val="20"/>
                <w:szCs w:val="20"/>
              </w:rPr>
            </w:pPr>
            <w:r w:rsidRPr="003F0645">
              <w:rPr>
                <w:b/>
                <w:bCs/>
                <w:sz w:val="20"/>
                <w:szCs w:val="20"/>
              </w:rPr>
              <w:t>Státní rozpočet a ostatní veřejné rozpočty</w:t>
            </w:r>
          </w:p>
        </w:tc>
      </w:tr>
      <w:tr w14:paraId="095499F3" w14:textId="77777777" w:rsidTr="00412A89">
        <w:tblPrEx>
          <w:tblW w:w="0" w:type="auto"/>
          <w:tblLook w:val="04A0"/>
        </w:tblPrEx>
        <w:trPr>
          <w:trHeight w:val="419"/>
        </w:trPr>
        <w:tc>
          <w:tcPr>
            <w:tcW w:w="1254" w:type="dxa"/>
            <w:vMerge/>
            <w:vAlign w:val="center"/>
            <w:hideMark/>
          </w:tcPr>
          <w:p w:rsidR="00715640" w:rsidRPr="003F0645" w:rsidP="00715640" w14:paraId="3C86416A" w14:textId="77777777">
            <w:pPr>
              <w:spacing w:before="0" w:after="0"/>
              <w:jc w:val="center"/>
              <w:rPr>
                <w:b/>
                <w:bCs/>
                <w:sz w:val="20"/>
                <w:szCs w:val="20"/>
              </w:rPr>
            </w:pPr>
          </w:p>
        </w:tc>
        <w:tc>
          <w:tcPr>
            <w:tcW w:w="2427" w:type="dxa"/>
            <w:vAlign w:val="center"/>
          </w:tcPr>
          <w:p w:rsidR="00715640" w:rsidRPr="003F0645" w:rsidP="00922064" w14:paraId="05886198" w14:textId="765D2E02">
            <w:pPr>
              <w:spacing w:before="0" w:after="0"/>
              <w:jc w:val="center"/>
              <w:rPr>
                <w:sz w:val="20"/>
                <w:szCs w:val="20"/>
              </w:rPr>
            </w:pPr>
            <w:r>
              <w:rPr>
                <w:sz w:val="20"/>
                <w:szCs w:val="20"/>
              </w:rPr>
              <w:t xml:space="preserve">SFŽP - finanční prostředky z rezervy KS (v případě jeho zániku) na zajištění nakládání s VUŽ </w:t>
            </w:r>
          </w:p>
        </w:tc>
        <w:tc>
          <w:tcPr>
            <w:tcW w:w="1338" w:type="dxa"/>
            <w:vAlign w:val="center"/>
          </w:tcPr>
          <w:p w:rsidR="00715640" w:rsidRPr="003F0645" w:rsidP="00715640" w14:paraId="5C14AEC7" w14:textId="1FCD96C0">
            <w:pPr>
              <w:spacing w:before="0" w:after="0"/>
              <w:jc w:val="center"/>
              <w:rPr>
                <w:sz w:val="20"/>
                <w:szCs w:val="20"/>
              </w:rPr>
            </w:pPr>
            <w:r>
              <w:rPr>
                <w:sz w:val="20"/>
                <w:szCs w:val="20"/>
              </w:rPr>
              <w:t>***</w:t>
            </w:r>
          </w:p>
        </w:tc>
        <w:tc>
          <w:tcPr>
            <w:tcW w:w="2795" w:type="dxa"/>
            <w:vAlign w:val="center"/>
          </w:tcPr>
          <w:p w:rsidR="00715640" w:rsidRPr="003F0645" w:rsidP="00715640" w14:paraId="2081E8BA" w14:textId="1B06EACE">
            <w:pPr>
              <w:spacing w:before="0" w:after="0"/>
              <w:jc w:val="center"/>
              <w:rPr>
                <w:sz w:val="20"/>
                <w:szCs w:val="20"/>
              </w:rPr>
            </w:pPr>
            <w:r>
              <w:rPr>
                <w:sz w:val="20"/>
                <w:szCs w:val="20"/>
              </w:rPr>
              <w:t>-</w:t>
            </w:r>
          </w:p>
        </w:tc>
        <w:tc>
          <w:tcPr>
            <w:tcW w:w="1248" w:type="dxa"/>
            <w:vAlign w:val="center"/>
          </w:tcPr>
          <w:p w:rsidR="00715640" w:rsidRPr="003F0645" w:rsidP="00715640" w14:paraId="32C9F8A5" w14:textId="736A9D4D">
            <w:pPr>
              <w:spacing w:before="0" w:after="0"/>
              <w:jc w:val="center"/>
              <w:rPr>
                <w:sz w:val="20"/>
                <w:szCs w:val="20"/>
              </w:rPr>
            </w:pPr>
            <w:r>
              <w:rPr>
                <w:sz w:val="20"/>
                <w:szCs w:val="20"/>
              </w:rPr>
              <w:t>-</w:t>
            </w:r>
          </w:p>
        </w:tc>
      </w:tr>
      <w:tr w14:paraId="0FEE4640" w14:textId="77777777" w:rsidTr="00412A89">
        <w:tblPrEx>
          <w:tblW w:w="0" w:type="auto"/>
          <w:tblLook w:val="04A0"/>
        </w:tblPrEx>
        <w:trPr>
          <w:trHeight w:val="503"/>
        </w:trPr>
        <w:tc>
          <w:tcPr>
            <w:tcW w:w="1254" w:type="dxa"/>
            <w:vMerge/>
            <w:vAlign w:val="center"/>
            <w:hideMark/>
          </w:tcPr>
          <w:p w:rsidR="00715640" w:rsidRPr="003F0645" w:rsidP="00715640" w14:paraId="0DA2C81C" w14:textId="77777777">
            <w:pPr>
              <w:spacing w:before="0" w:after="0"/>
              <w:jc w:val="center"/>
              <w:rPr>
                <w:b/>
                <w:bCs/>
                <w:sz w:val="20"/>
                <w:szCs w:val="20"/>
              </w:rPr>
            </w:pPr>
          </w:p>
        </w:tc>
        <w:tc>
          <w:tcPr>
            <w:tcW w:w="7808" w:type="dxa"/>
            <w:gridSpan w:val="4"/>
            <w:vAlign w:val="center"/>
            <w:hideMark/>
          </w:tcPr>
          <w:p w:rsidR="00715640" w:rsidRPr="003F0645" w:rsidP="00715640" w14:paraId="38E3A2EE" w14:textId="77777777">
            <w:pPr>
              <w:spacing w:before="0" w:after="0"/>
              <w:jc w:val="center"/>
              <w:rPr>
                <w:b/>
                <w:bCs/>
                <w:sz w:val="20"/>
                <w:szCs w:val="20"/>
              </w:rPr>
            </w:pPr>
            <w:r w:rsidRPr="003F0645">
              <w:rPr>
                <w:b/>
                <w:bCs/>
                <w:sz w:val="20"/>
                <w:szCs w:val="20"/>
              </w:rPr>
              <w:t>Podnikatelské subjekty</w:t>
            </w:r>
          </w:p>
        </w:tc>
      </w:tr>
      <w:tr w14:paraId="1DEE0F99" w14:textId="77777777" w:rsidTr="00412A89">
        <w:tblPrEx>
          <w:tblW w:w="0" w:type="auto"/>
          <w:tblLook w:val="04A0"/>
        </w:tblPrEx>
        <w:trPr>
          <w:trHeight w:val="1133"/>
        </w:trPr>
        <w:tc>
          <w:tcPr>
            <w:tcW w:w="1254" w:type="dxa"/>
            <w:vMerge/>
            <w:vAlign w:val="center"/>
          </w:tcPr>
          <w:p w:rsidR="00715640" w:rsidRPr="003F0645" w:rsidP="00715640" w14:paraId="146FD869" w14:textId="77777777">
            <w:pPr>
              <w:spacing w:before="0" w:after="0"/>
              <w:jc w:val="center"/>
              <w:rPr>
                <w:b/>
                <w:bCs/>
                <w:sz w:val="20"/>
                <w:szCs w:val="20"/>
              </w:rPr>
            </w:pPr>
          </w:p>
        </w:tc>
        <w:tc>
          <w:tcPr>
            <w:tcW w:w="2427" w:type="dxa"/>
            <w:vAlign w:val="center"/>
          </w:tcPr>
          <w:p w:rsidR="00715640" w:rsidRPr="003F0645" w:rsidP="000F533C" w14:paraId="21CDE5D3" w14:textId="2E89AEF6">
            <w:pPr>
              <w:spacing w:before="0" w:after="0"/>
              <w:jc w:val="center"/>
              <w:rPr>
                <w:sz w:val="20"/>
                <w:szCs w:val="20"/>
              </w:rPr>
            </w:pPr>
            <w:r>
              <w:rPr>
                <w:rFonts w:cs="Arial"/>
                <w:sz w:val="20"/>
                <w:szCs w:val="20"/>
              </w:rPr>
              <w:t>O</w:t>
            </w:r>
            <w:r w:rsidRPr="003F0645">
              <w:rPr>
                <w:rFonts w:cs="Arial"/>
                <w:sz w:val="20"/>
                <w:szCs w:val="20"/>
              </w:rPr>
              <w:t>chran</w:t>
            </w:r>
            <w:r>
              <w:rPr>
                <w:rFonts w:cs="Arial"/>
                <w:sz w:val="20"/>
                <w:szCs w:val="20"/>
              </w:rPr>
              <w:t>a výrobců VUŽ</w:t>
            </w:r>
            <w:r w:rsidRPr="003F0645">
              <w:rPr>
                <w:rFonts w:cs="Arial"/>
                <w:sz w:val="20"/>
                <w:szCs w:val="20"/>
              </w:rPr>
              <w:t xml:space="preserve">, kteří řádně </w:t>
            </w:r>
            <w:r>
              <w:rPr>
                <w:rFonts w:cs="Arial"/>
                <w:sz w:val="20"/>
                <w:szCs w:val="20"/>
              </w:rPr>
              <w:t>odvádí do KS příspěvky na ZO VUŽ, aby byly tyto prostřeky účelově využity i v případě zániku KS</w:t>
            </w:r>
          </w:p>
        </w:tc>
        <w:tc>
          <w:tcPr>
            <w:tcW w:w="1338" w:type="dxa"/>
            <w:noWrap/>
            <w:vAlign w:val="center"/>
          </w:tcPr>
          <w:p w:rsidR="00715640" w:rsidRPr="003F0645" w:rsidP="00715640" w14:paraId="72F69389" w14:textId="7BDC6145">
            <w:pPr>
              <w:spacing w:before="0" w:after="0"/>
              <w:jc w:val="center"/>
              <w:rPr>
                <w:sz w:val="20"/>
                <w:szCs w:val="20"/>
              </w:rPr>
            </w:pPr>
            <w:r>
              <w:rPr>
                <w:sz w:val="20"/>
                <w:szCs w:val="20"/>
              </w:rPr>
              <w:t>****</w:t>
            </w:r>
          </w:p>
        </w:tc>
        <w:tc>
          <w:tcPr>
            <w:tcW w:w="2795" w:type="dxa"/>
            <w:vAlign w:val="center"/>
          </w:tcPr>
          <w:p w:rsidR="00715640" w:rsidRPr="003F0645" w:rsidP="00715640" w14:paraId="7886DE56" w14:textId="13307AC1">
            <w:pPr>
              <w:spacing w:before="0" w:after="0"/>
              <w:jc w:val="center"/>
              <w:rPr>
                <w:sz w:val="20"/>
                <w:szCs w:val="20"/>
              </w:rPr>
            </w:pPr>
            <w:r>
              <w:rPr>
                <w:sz w:val="20"/>
                <w:szCs w:val="20"/>
              </w:rPr>
              <w:t>-</w:t>
            </w:r>
          </w:p>
        </w:tc>
        <w:tc>
          <w:tcPr>
            <w:tcW w:w="1248" w:type="dxa"/>
            <w:noWrap/>
            <w:vAlign w:val="center"/>
          </w:tcPr>
          <w:p w:rsidR="00715640" w:rsidRPr="003F0645" w:rsidP="00715640" w14:paraId="690C74E9" w14:textId="45E1F689">
            <w:pPr>
              <w:spacing w:before="0" w:after="0"/>
              <w:jc w:val="center"/>
              <w:rPr>
                <w:sz w:val="20"/>
                <w:szCs w:val="20"/>
              </w:rPr>
            </w:pPr>
            <w:r>
              <w:rPr>
                <w:sz w:val="20"/>
                <w:szCs w:val="20"/>
              </w:rPr>
              <w:t>-</w:t>
            </w:r>
          </w:p>
        </w:tc>
      </w:tr>
      <w:tr w14:paraId="71432FDD" w14:textId="77777777" w:rsidTr="00412A89">
        <w:tblPrEx>
          <w:tblW w:w="0" w:type="auto"/>
          <w:tblLook w:val="04A0"/>
        </w:tblPrEx>
        <w:trPr>
          <w:trHeight w:val="503"/>
        </w:trPr>
        <w:tc>
          <w:tcPr>
            <w:tcW w:w="1254" w:type="dxa"/>
            <w:vMerge/>
            <w:vAlign w:val="center"/>
            <w:hideMark/>
          </w:tcPr>
          <w:p w:rsidR="00715640" w:rsidRPr="003F0645" w:rsidP="00715640" w14:paraId="50D92B36" w14:textId="77777777">
            <w:pPr>
              <w:spacing w:before="0" w:after="0"/>
              <w:jc w:val="center"/>
              <w:rPr>
                <w:b/>
                <w:bCs/>
                <w:sz w:val="20"/>
                <w:szCs w:val="20"/>
              </w:rPr>
            </w:pPr>
          </w:p>
        </w:tc>
        <w:tc>
          <w:tcPr>
            <w:tcW w:w="7808" w:type="dxa"/>
            <w:gridSpan w:val="4"/>
            <w:vAlign w:val="center"/>
            <w:hideMark/>
          </w:tcPr>
          <w:p w:rsidR="00715640" w:rsidRPr="003F0645" w:rsidP="00715640" w14:paraId="365B8D29" w14:textId="77777777">
            <w:pPr>
              <w:spacing w:before="0" w:after="0"/>
              <w:jc w:val="center"/>
              <w:rPr>
                <w:b/>
                <w:bCs/>
                <w:sz w:val="20"/>
                <w:szCs w:val="20"/>
              </w:rPr>
            </w:pPr>
            <w:r w:rsidRPr="003F0645">
              <w:rPr>
                <w:b/>
                <w:bCs/>
                <w:sz w:val="20"/>
                <w:szCs w:val="20"/>
              </w:rPr>
              <w:t>Územní samosprávné celky (obce, kraje)</w:t>
            </w:r>
          </w:p>
        </w:tc>
      </w:tr>
      <w:tr w14:paraId="287920A1" w14:textId="77777777" w:rsidTr="00412A89">
        <w:tblPrEx>
          <w:tblW w:w="0" w:type="auto"/>
          <w:tblLook w:val="04A0"/>
        </w:tblPrEx>
        <w:trPr>
          <w:trHeight w:val="479"/>
        </w:trPr>
        <w:tc>
          <w:tcPr>
            <w:tcW w:w="1254" w:type="dxa"/>
            <w:vMerge/>
            <w:vAlign w:val="center"/>
            <w:hideMark/>
          </w:tcPr>
          <w:p w:rsidR="00715640" w:rsidRPr="003F0645" w:rsidP="00715640" w14:paraId="3990268C" w14:textId="77777777">
            <w:pPr>
              <w:spacing w:before="0" w:after="0"/>
              <w:jc w:val="center"/>
              <w:rPr>
                <w:b/>
                <w:bCs/>
                <w:sz w:val="20"/>
                <w:szCs w:val="20"/>
              </w:rPr>
            </w:pPr>
          </w:p>
        </w:tc>
        <w:tc>
          <w:tcPr>
            <w:tcW w:w="2427" w:type="dxa"/>
            <w:vAlign w:val="center"/>
          </w:tcPr>
          <w:p w:rsidR="00715640" w:rsidRPr="003F0645" w:rsidP="00715640" w14:paraId="6A23AD09" w14:textId="77777777">
            <w:pPr>
              <w:spacing w:before="0" w:after="0"/>
              <w:jc w:val="center"/>
              <w:rPr>
                <w:sz w:val="20"/>
                <w:szCs w:val="20"/>
              </w:rPr>
            </w:pPr>
            <w:r w:rsidRPr="003F0645">
              <w:rPr>
                <w:sz w:val="20"/>
                <w:szCs w:val="20"/>
              </w:rPr>
              <w:t>-</w:t>
            </w:r>
          </w:p>
        </w:tc>
        <w:tc>
          <w:tcPr>
            <w:tcW w:w="1338" w:type="dxa"/>
            <w:noWrap/>
            <w:vAlign w:val="center"/>
          </w:tcPr>
          <w:p w:rsidR="00715640" w:rsidRPr="003F0645" w:rsidP="00715640" w14:paraId="75B22CD9" w14:textId="77777777">
            <w:pPr>
              <w:spacing w:before="0" w:after="0"/>
              <w:jc w:val="center"/>
              <w:rPr>
                <w:sz w:val="20"/>
                <w:szCs w:val="20"/>
              </w:rPr>
            </w:pPr>
            <w:r w:rsidRPr="003F0645">
              <w:rPr>
                <w:sz w:val="20"/>
                <w:szCs w:val="20"/>
              </w:rPr>
              <w:t>-</w:t>
            </w:r>
          </w:p>
        </w:tc>
        <w:tc>
          <w:tcPr>
            <w:tcW w:w="2795" w:type="dxa"/>
            <w:noWrap/>
            <w:vAlign w:val="center"/>
            <w:hideMark/>
          </w:tcPr>
          <w:p w:rsidR="00715640" w:rsidRPr="003F0645" w:rsidP="00715640" w14:paraId="4F6F8754" w14:textId="77777777">
            <w:pPr>
              <w:spacing w:before="0" w:after="0"/>
              <w:jc w:val="center"/>
              <w:rPr>
                <w:sz w:val="20"/>
                <w:szCs w:val="20"/>
              </w:rPr>
            </w:pPr>
            <w:r w:rsidRPr="003F0645">
              <w:rPr>
                <w:sz w:val="20"/>
                <w:szCs w:val="20"/>
              </w:rPr>
              <w:t>-</w:t>
            </w:r>
          </w:p>
        </w:tc>
        <w:tc>
          <w:tcPr>
            <w:tcW w:w="1248" w:type="dxa"/>
            <w:noWrap/>
            <w:vAlign w:val="center"/>
            <w:hideMark/>
          </w:tcPr>
          <w:p w:rsidR="00715640" w:rsidRPr="003F0645" w:rsidP="00715640" w14:paraId="04A77D28" w14:textId="77777777">
            <w:pPr>
              <w:spacing w:before="0" w:after="0"/>
              <w:jc w:val="center"/>
              <w:rPr>
                <w:sz w:val="20"/>
                <w:szCs w:val="20"/>
              </w:rPr>
            </w:pPr>
            <w:r w:rsidRPr="003F0645">
              <w:rPr>
                <w:sz w:val="20"/>
                <w:szCs w:val="20"/>
              </w:rPr>
              <w:t>-</w:t>
            </w:r>
          </w:p>
        </w:tc>
      </w:tr>
      <w:tr w14:paraId="0FA5D1DA" w14:textId="77777777" w:rsidTr="00412A89">
        <w:tblPrEx>
          <w:tblW w:w="0" w:type="auto"/>
          <w:tblLook w:val="04A0"/>
        </w:tblPrEx>
        <w:trPr>
          <w:trHeight w:val="503"/>
        </w:trPr>
        <w:tc>
          <w:tcPr>
            <w:tcW w:w="1254" w:type="dxa"/>
            <w:vMerge/>
            <w:vAlign w:val="center"/>
            <w:hideMark/>
          </w:tcPr>
          <w:p w:rsidR="00715640" w:rsidRPr="003F0645" w:rsidP="00715640" w14:paraId="49E583B3" w14:textId="77777777">
            <w:pPr>
              <w:spacing w:before="0" w:after="0"/>
              <w:jc w:val="center"/>
              <w:rPr>
                <w:b/>
                <w:bCs/>
                <w:sz w:val="20"/>
                <w:szCs w:val="20"/>
              </w:rPr>
            </w:pPr>
          </w:p>
        </w:tc>
        <w:tc>
          <w:tcPr>
            <w:tcW w:w="7808" w:type="dxa"/>
            <w:gridSpan w:val="4"/>
            <w:vAlign w:val="center"/>
            <w:hideMark/>
          </w:tcPr>
          <w:p w:rsidR="00715640" w:rsidRPr="003F0645" w:rsidP="00715640" w14:paraId="04FA413F" w14:textId="77777777">
            <w:pPr>
              <w:spacing w:before="0" w:after="0"/>
              <w:jc w:val="center"/>
              <w:rPr>
                <w:b/>
                <w:bCs/>
                <w:sz w:val="20"/>
                <w:szCs w:val="20"/>
              </w:rPr>
            </w:pPr>
            <w:r w:rsidRPr="003F0645">
              <w:rPr>
                <w:b/>
                <w:bCs/>
                <w:sz w:val="20"/>
                <w:szCs w:val="20"/>
              </w:rPr>
              <w:t>Sociální dopady</w:t>
            </w:r>
          </w:p>
        </w:tc>
      </w:tr>
      <w:tr w14:paraId="37449C4F" w14:textId="77777777" w:rsidTr="00412A89">
        <w:tblPrEx>
          <w:tblW w:w="0" w:type="auto"/>
          <w:tblLook w:val="04A0"/>
        </w:tblPrEx>
        <w:trPr>
          <w:trHeight w:val="478"/>
        </w:trPr>
        <w:tc>
          <w:tcPr>
            <w:tcW w:w="1254" w:type="dxa"/>
            <w:vMerge/>
            <w:vAlign w:val="center"/>
            <w:hideMark/>
          </w:tcPr>
          <w:p w:rsidR="00715640" w:rsidRPr="003F0645" w:rsidP="00715640" w14:paraId="67704201" w14:textId="77777777">
            <w:pPr>
              <w:spacing w:before="0" w:after="0"/>
              <w:jc w:val="center"/>
              <w:rPr>
                <w:b/>
                <w:bCs/>
                <w:sz w:val="20"/>
                <w:szCs w:val="20"/>
              </w:rPr>
            </w:pPr>
          </w:p>
        </w:tc>
        <w:tc>
          <w:tcPr>
            <w:tcW w:w="2427" w:type="dxa"/>
            <w:vAlign w:val="center"/>
          </w:tcPr>
          <w:p w:rsidR="00715640" w:rsidRPr="003F0645" w:rsidP="00715640" w14:paraId="58A107D7" w14:textId="77777777">
            <w:pPr>
              <w:spacing w:before="0" w:after="0"/>
              <w:jc w:val="center"/>
              <w:rPr>
                <w:sz w:val="20"/>
                <w:szCs w:val="20"/>
              </w:rPr>
            </w:pPr>
            <w:r w:rsidRPr="003F0645">
              <w:rPr>
                <w:sz w:val="20"/>
                <w:szCs w:val="20"/>
              </w:rPr>
              <w:t>-</w:t>
            </w:r>
          </w:p>
        </w:tc>
        <w:tc>
          <w:tcPr>
            <w:tcW w:w="1338" w:type="dxa"/>
            <w:vAlign w:val="center"/>
          </w:tcPr>
          <w:p w:rsidR="00715640" w:rsidRPr="003F0645" w:rsidP="00715640" w14:paraId="34B69707" w14:textId="77777777">
            <w:pPr>
              <w:spacing w:before="0" w:after="0"/>
              <w:jc w:val="center"/>
              <w:rPr>
                <w:sz w:val="20"/>
                <w:szCs w:val="20"/>
              </w:rPr>
            </w:pPr>
            <w:r w:rsidRPr="003F0645">
              <w:rPr>
                <w:sz w:val="20"/>
                <w:szCs w:val="20"/>
              </w:rPr>
              <w:t>-</w:t>
            </w:r>
          </w:p>
        </w:tc>
        <w:tc>
          <w:tcPr>
            <w:tcW w:w="2795" w:type="dxa"/>
            <w:vAlign w:val="center"/>
          </w:tcPr>
          <w:p w:rsidR="00715640" w:rsidRPr="003F0645" w:rsidP="00715640" w14:paraId="5BCCABCD" w14:textId="77777777">
            <w:pPr>
              <w:spacing w:before="0" w:after="0"/>
              <w:jc w:val="center"/>
              <w:rPr>
                <w:sz w:val="20"/>
                <w:szCs w:val="20"/>
              </w:rPr>
            </w:pPr>
            <w:r w:rsidRPr="003F0645">
              <w:rPr>
                <w:sz w:val="20"/>
                <w:szCs w:val="20"/>
              </w:rPr>
              <w:t>-</w:t>
            </w:r>
          </w:p>
        </w:tc>
        <w:tc>
          <w:tcPr>
            <w:tcW w:w="1248" w:type="dxa"/>
            <w:vAlign w:val="center"/>
          </w:tcPr>
          <w:p w:rsidR="00715640" w:rsidRPr="003F0645" w:rsidP="00715640" w14:paraId="55E7C385" w14:textId="77777777">
            <w:pPr>
              <w:spacing w:before="0" w:after="0"/>
              <w:jc w:val="center"/>
              <w:rPr>
                <w:sz w:val="20"/>
                <w:szCs w:val="20"/>
              </w:rPr>
            </w:pPr>
            <w:r w:rsidRPr="003F0645">
              <w:rPr>
                <w:sz w:val="20"/>
                <w:szCs w:val="20"/>
              </w:rPr>
              <w:t>-</w:t>
            </w:r>
          </w:p>
        </w:tc>
      </w:tr>
      <w:tr w14:paraId="177FAFAE" w14:textId="77777777" w:rsidTr="00412A89">
        <w:tblPrEx>
          <w:tblW w:w="0" w:type="auto"/>
          <w:tblLook w:val="04A0"/>
        </w:tblPrEx>
        <w:trPr>
          <w:trHeight w:val="503"/>
        </w:trPr>
        <w:tc>
          <w:tcPr>
            <w:tcW w:w="1254" w:type="dxa"/>
            <w:vMerge/>
            <w:vAlign w:val="center"/>
            <w:hideMark/>
          </w:tcPr>
          <w:p w:rsidR="00715640" w:rsidRPr="003F0645" w:rsidP="00715640" w14:paraId="5E2D581E" w14:textId="77777777">
            <w:pPr>
              <w:spacing w:before="0" w:after="0"/>
              <w:jc w:val="center"/>
              <w:rPr>
                <w:b/>
                <w:bCs/>
                <w:sz w:val="20"/>
                <w:szCs w:val="20"/>
              </w:rPr>
            </w:pPr>
          </w:p>
        </w:tc>
        <w:tc>
          <w:tcPr>
            <w:tcW w:w="7808" w:type="dxa"/>
            <w:gridSpan w:val="4"/>
            <w:vAlign w:val="center"/>
            <w:hideMark/>
          </w:tcPr>
          <w:p w:rsidR="00715640" w:rsidRPr="003F0645" w:rsidP="00715640" w14:paraId="0C9A5370" w14:textId="77777777">
            <w:pPr>
              <w:spacing w:before="0" w:after="0"/>
              <w:jc w:val="center"/>
              <w:rPr>
                <w:b/>
                <w:bCs/>
                <w:sz w:val="20"/>
                <w:szCs w:val="20"/>
              </w:rPr>
            </w:pPr>
            <w:r w:rsidRPr="003F0645">
              <w:rPr>
                <w:b/>
                <w:bCs/>
                <w:sz w:val="20"/>
                <w:szCs w:val="20"/>
              </w:rPr>
              <w:t>Životní prostředí</w:t>
            </w:r>
          </w:p>
        </w:tc>
      </w:tr>
      <w:tr w14:paraId="36A9E970" w14:textId="77777777" w:rsidTr="00412A89">
        <w:tblPrEx>
          <w:tblW w:w="0" w:type="auto"/>
          <w:tblLook w:val="04A0"/>
        </w:tblPrEx>
        <w:trPr>
          <w:trHeight w:val="686"/>
        </w:trPr>
        <w:tc>
          <w:tcPr>
            <w:tcW w:w="1254" w:type="dxa"/>
            <w:vMerge/>
            <w:vAlign w:val="center"/>
            <w:hideMark/>
          </w:tcPr>
          <w:p w:rsidR="00715640" w:rsidRPr="003F0645" w:rsidP="00715640" w14:paraId="18835E56" w14:textId="77777777">
            <w:pPr>
              <w:spacing w:before="0" w:after="0"/>
              <w:jc w:val="center"/>
              <w:rPr>
                <w:b/>
                <w:bCs/>
                <w:sz w:val="20"/>
                <w:szCs w:val="20"/>
              </w:rPr>
            </w:pPr>
          </w:p>
        </w:tc>
        <w:tc>
          <w:tcPr>
            <w:tcW w:w="2427" w:type="dxa"/>
            <w:vAlign w:val="center"/>
          </w:tcPr>
          <w:p w:rsidR="00715640" w:rsidRPr="003F0645" w:rsidP="00CB4229" w14:paraId="02C6BE98" w14:textId="05FAEE64">
            <w:pPr>
              <w:spacing w:before="0" w:after="0"/>
              <w:jc w:val="center"/>
              <w:rPr>
                <w:sz w:val="20"/>
                <w:szCs w:val="20"/>
              </w:rPr>
            </w:pPr>
            <w:r w:rsidRPr="003F0645">
              <w:rPr>
                <w:rFonts w:cs="Arial"/>
                <w:sz w:val="20"/>
                <w:szCs w:val="20"/>
              </w:rPr>
              <w:t xml:space="preserve">Recyklací </w:t>
            </w:r>
            <w:r w:rsidR="00CB4229">
              <w:rPr>
                <w:rFonts w:cs="Arial"/>
                <w:sz w:val="20"/>
                <w:szCs w:val="20"/>
              </w:rPr>
              <w:t>VUŽ</w:t>
            </w:r>
            <w:r>
              <w:rPr>
                <w:rFonts w:cs="Arial"/>
                <w:sz w:val="20"/>
                <w:szCs w:val="20"/>
              </w:rPr>
              <w:t xml:space="preserve"> </w:t>
            </w:r>
            <w:r w:rsidRPr="003F0645">
              <w:rPr>
                <w:rFonts w:cs="Arial"/>
                <w:sz w:val="20"/>
                <w:szCs w:val="20"/>
              </w:rPr>
              <w:t>se sniží riziko úniku ne</w:t>
            </w:r>
            <w:r>
              <w:rPr>
                <w:rFonts w:cs="Arial"/>
                <w:sz w:val="20"/>
                <w:szCs w:val="20"/>
              </w:rPr>
              <w:t>bezpečných látek obsažených ve VUŽ</w:t>
            </w:r>
            <w:r w:rsidRPr="003F0645">
              <w:rPr>
                <w:rFonts w:cs="Arial"/>
                <w:sz w:val="20"/>
                <w:szCs w:val="20"/>
              </w:rPr>
              <w:t xml:space="preserve"> a</w:t>
            </w:r>
            <w:r>
              <w:rPr>
                <w:rFonts w:cs="Arial"/>
                <w:sz w:val="20"/>
                <w:szCs w:val="20"/>
              </w:rPr>
              <w:t> </w:t>
            </w:r>
            <w:r w:rsidRPr="003F0645">
              <w:rPr>
                <w:rFonts w:cs="Arial"/>
                <w:sz w:val="20"/>
                <w:szCs w:val="20"/>
              </w:rPr>
              <w:t>kontaminace ŽP</w:t>
            </w:r>
            <w:r>
              <w:rPr>
                <w:rFonts w:cs="Arial"/>
                <w:sz w:val="20"/>
                <w:szCs w:val="20"/>
              </w:rPr>
              <w:t xml:space="preserve"> a dochází k úspoře materiálů i energií</w:t>
            </w:r>
          </w:p>
        </w:tc>
        <w:tc>
          <w:tcPr>
            <w:tcW w:w="1338" w:type="dxa"/>
            <w:vAlign w:val="center"/>
          </w:tcPr>
          <w:p w:rsidR="00715640" w:rsidRPr="003F0645" w:rsidP="00715640" w14:paraId="1D8A8D49" w14:textId="77777777">
            <w:pPr>
              <w:spacing w:before="0" w:after="0"/>
              <w:jc w:val="center"/>
              <w:rPr>
                <w:sz w:val="20"/>
                <w:szCs w:val="20"/>
              </w:rPr>
            </w:pPr>
            <w:r>
              <w:rPr>
                <w:sz w:val="20"/>
                <w:szCs w:val="20"/>
              </w:rPr>
              <w:t>***</w:t>
            </w:r>
          </w:p>
        </w:tc>
        <w:tc>
          <w:tcPr>
            <w:tcW w:w="2795" w:type="dxa"/>
            <w:vAlign w:val="center"/>
            <w:hideMark/>
          </w:tcPr>
          <w:p w:rsidR="00715640" w:rsidRPr="003F0645" w:rsidP="00715640" w14:paraId="675AE89C" w14:textId="77777777">
            <w:pPr>
              <w:spacing w:before="0" w:after="0"/>
              <w:jc w:val="center"/>
              <w:rPr>
                <w:sz w:val="20"/>
                <w:szCs w:val="20"/>
              </w:rPr>
            </w:pPr>
            <w:r>
              <w:rPr>
                <w:sz w:val="20"/>
                <w:szCs w:val="20"/>
              </w:rPr>
              <w:t>-</w:t>
            </w:r>
          </w:p>
        </w:tc>
        <w:tc>
          <w:tcPr>
            <w:tcW w:w="1248" w:type="dxa"/>
            <w:vAlign w:val="center"/>
            <w:hideMark/>
          </w:tcPr>
          <w:p w:rsidR="00715640" w:rsidRPr="003F0645" w:rsidP="00715640" w14:paraId="259A9745" w14:textId="77777777">
            <w:pPr>
              <w:spacing w:before="0" w:after="0"/>
              <w:jc w:val="center"/>
              <w:rPr>
                <w:sz w:val="20"/>
                <w:szCs w:val="20"/>
              </w:rPr>
            </w:pPr>
            <w:r>
              <w:rPr>
                <w:sz w:val="20"/>
                <w:szCs w:val="20"/>
              </w:rPr>
              <w:t>-</w:t>
            </w:r>
          </w:p>
        </w:tc>
      </w:tr>
    </w:tbl>
    <w:p w:rsidR="00445337" w:rsidP="00445337" w14:paraId="2F6D5072" w14:textId="77777777">
      <w:pPr>
        <w:rPr>
          <w:sz w:val="20"/>
          <w:szCs w:val="20"/>
        </w:rPr>
      </w:pPr>
      <w:r w:rsidRPr="003F0645">
        <w:rPr>
          <w:sz w:val="20"/>
          <w:szCs w:val="20"/>
        </w:rPr>
        <w:t>- bez dopadů, * velmi nízké, ** nízké, *** střední, **** vysoké, ***** velmi vysoké</w:t>
      </w:r>
    </w:p>
    <w:p w:rsidR="00412A89" w:rsidRPr="003F0645" w:rsidP="00412A89" w14:paraId="6F8C0DE7" w14:textId="77777777"/>
    <w:p w:rsidR="00445337" w:rsidRPr="003F0645" w:rsidP="00445337" w14:paraId="0FB3E854" w14:textId="77777777">
      <w:pPr>
        <w:pStyle w:val="Heading2"/>
      </w:pPr>
      <w:r w:rsidRPr="003F0645">
        <w:t>Návrh řešení</w:t>
      </w:r>
    </w:p>
    <w:p w:rsidR="00445337" w:rsidRPr="003F0645" w:rsidP="00445337" w14:paraId="03E499DD" w14:textId="77777777">
      <w:pPr>
        <w:pStyle w:val="Heading4"/>
        <w:numPr>
          <w:ilvl w:val="0"/>
          <w:numId w:val="0"/>
        </w:numPr>
        <w:spacing w:before="120" w:after="0"/>
        <w:ind w:left="864" w:hanging="864"/>
        <w:rPr>
          <w:b/>
          <w:i/>
          <w:sz w:val="24"/>
          <w:szCs w:val="24"/>
        </w:rPr>
      </w:pPr>
      <w:r w:rsidRPr="003F0645">
        <w:rPr>
          <w:b/>
          <w:i/>
          <w:sz w:val="24"/>
          <w:szCs w:val="24"/>
        </w:rPr>
        <w:t>Stanovení pořadí variant a výběr nejvhodnějšího řešení</w:t>
      </w:r>
    </w:p>
    <w:p w:rsidR="00445337" w:rsidRPr="003F0645" w:rsidP="000E6DE5" w14:paraId="73EF615D" w14:textId="77777777">
      <w:pPr>
        <w:pStyle w:val="ListParagraph"/>
        <w:numPr>
          <w:ilvl w:val="0"/>
          <w:numId w:val="141"/>
        </w:numPr>
        <w:spacing w:after="0" w:line="240" w:lineRule="auto"/>
        <w:contextualSpacing w:val="0"/>
        <w:rPr>
          <w:rFonts w:cs="Arial"/>
          <w:b/>
          <w:bCs/>
        </w:rPr>
      </w:pPr>
      <w:r w:rsidRPr="003F0645">
        <w:rPr>
          <w:rFonts w:cs="Arial"/>
          <w:b/>
          <w:bCs/>
        </w:rPr>
        <w:t>Varianta 1</w:t>
      </w:r>
    </w:p>
    <w:p w:rsidR="00445337" w:rsidRPr="003F0645" w:rsidP="000E6DE5" w14:paraId="417721D3" w14:textId="77777777">
      <w:pPr>
        <w:pStyle w:val="ListParagraph"/>
        <w:numPr>
          <w:ilvl w:val="0"/>
          <w:numId w:val="141"/>
        </w:numPr>
        <w:spacing w:after="0" w:line="240" w:lineRule="auto"/>
        <w:ind w:left="714" w:hanging="357"/>
        <w:contextualSpacing w:val="0"/>
        <w:rPr>
          <w:rFonts w:cs="Arial"/>
        </w:rPr>
      </w:pPr>
      <w:r w:rsidRPr="003F0645">
        <w:rPr>
          <w:rFonts w:cs="Arial"/>
        </w:rPr>
        <w:t>Varianta 0</w:t>
      </w:r>
    </w:p>
    <w:p w:rsidR="00445337" w:rsidRPr="003F0645" w:rsidP="00325E59" w14:paraId="12596B01" w14:textId="19B3ACA8">
      <w:pPr>
        <w:rPr>
          <w:rFonts w:eastAsia="Calibri"/>
          <w:lang w:bidi="ar-SA"/>
        </w:rPr>
      </w:pPr>
      <w:r w:rsidRPr="003F0645">
        <w:rPr>
          <w:rFonts w:eastAsia="Calibri"/>
          <w:lang w:bidi="ar-SA"/>
        </w:rPr>
        <w:t>Doporučujeme přijmout Variantu 1, která</w:t>
      </w:r>
      <w:r w:rsidR="00715640">
        <w:rPr>
          <w:rFonts w:eastAsia="Calibri"/>
          <w:lang w:bidi="ar-SA"/>
        </w:rPr>
        <w:t xml:space="preserve"> </w:t>
      </w:r>
      <w:r w:rsidR="00865784">
        <w:rPr>
          <w:rFonts w:eastAsia="Calibri"/>
          <w:lang w:bidi="ar-SA"/>
        </w:rPr>
        <w:t>zajistí</w:t>
      </w:r>
      <w:r w:rsidR="00715640">
        <w:rPr>
          <w:rFonts w:eastAsia="Calibri"/>
          <w:lang w:bidi="ar-SA"/>
        </w:rPr>
        <w:t xml:space="preserve"> </w:t>
      </w:r>
      <w:r w:rsidRPr="000E6DE5" w:rsidR="00715640">
        <w:rPr>
          <w:rFonts w:eastAsia="Calibri"/>
          <w:lang w:bidi="ar-SA"/>
        </w:rPr>
        <w:t xml:space="preserve">financování ZO vybraných výrobků s ukončenou životností i v případě zániku </w:t>
      </w:r>
      <w:r w:rsidRPr="000F533C" w:rsidR="00865784">
        <w:rPr>
          <w:rFonts w:eastAsia="Calibri"/>
          <w:lang w:bidi="ar-SA"/>
        </w:rPr>
        <w:t>nebo přeměny</w:t>
      </w:r>
      <w:r w:rsidRPr="000E6DE5" w:rsidR="00715640">
        <w:rPr>
          <w:rFonts w:eastAsia="Calibri"/>
          <w:lang w:bidi="ar-SA"/>
        </w:rPr>
        <w:t xml:space="preserve"> provozovatele KS, neboť</w:t>
      </w:r>
      <w:r w:rsidRPr="00715640" w:rsidR="00715640">
        <w:rPr>
          <w:rFonts w:eastAsia="Calibri"/>
          <w:lang w:bidi="ar-SA"/>
        </w:rPr>
        <w:t xml:space="preserve"> </w:t>
      </w:r>
      <w:r w:rsidR="00715640">
        <w:rPr>
          <w:rFonts w:eastAsia="Calibri"/>
          <w:lang w:bidi="ar-SA"/>
        </w:rPr>
        <w:t xml:space="preserve">stanovuje pravidla pro převod </w:t>
      </w:r>
      <w:r w:rsidR="00865784">
        <w:rPr>
          <w:rFonts w:eastAsia="Calibri"/>
          <w:lang w:bidi="ar-SA"/>
        </w:rPr>
        <w:t xml:space="preserve">a účelové vázání </w:t>
      </w:r>
      <w:r w:rsidR="00715640">
        <w:rPr>
          <w:rFonts w:eastAsia="Calibri"/>
          <w:lang w:bidi="ar-SA"/>
        </w:rPr>
        <w:t xml:space="preserve">peněžních prostředků </w:t>
      </w:r>
      <w:r w:rsidRPr="000E6DE5" w:rsidR="00715640">
        <w:rPr>
          <w:rFonts w:eastAsia="Calibri"/>
          <w:lang w:bidi="ar-SA"/>
        </w:rPr>
        <w:t>získaných z příspěvků výrobců včetně výnosů z nich a prostředků tvořících finanční rezervu.</w:t>
      </w:r>
    </w:p>
    <w:p w:rsidR="00412A89" w:rsidP="00667393" w14:paraId="6AFE473C" w14:textId="77777777">
      <w:pPr>
        <w:widowControl w:val="0"/>
        <w:rPr>
          <w:rFonts w:eastAsia="Calibri" w:cs="Arial"/>
          <w:noProof w:val="0"/>
          <w:szCs w:val="22"/>
          <w:lang w:bidi="ar-SA"/>
        </w:rPr>
      </w:pPr>
    </w:p>
    <w:p w:rsidR="00A571AD" w:rsidP="0046292D" w14:paraId="0CCE01B0" w14:textId="77777777">
      <w:pPr>
        <w:jc w:val="center"/>
        <w:rPr>
          <w:rFonts w:cs="Arial"/>
          <w:b/>
          <w:sz w:val="32"/>
          <w:szCs w:val="32"/>
          <w:u w:val="single"/>
        </w:rPr>
      </w:pPr>
    </w:p>
    <w:p w:rsidR="0046292D" w:rsidRPr="0046292D" w:rsidP="00412A89" w14:paraId="14748A3C" w14:textId="77777777">
      <w:pPr>
        <w:keepNext/>
        <w:jc w:val="center"/>
        <w:rPr>
          <w:rFonts w:cs="Arial"/>
          <w:b/>
          <w:sz w:val="32"/>
          <w:szCs w:val="32"/>
          <w:u w:val="single"/>
        </w:rPr>
      </w:pPr>
      <w:r>
        <w:rPr>
          <w:rFonts w:cs="Arial"/>
          <w:b/>
          <w:sz w:val="32"/>
          <w:szCs w:val="32"/>
          <w:u w:val="single"/>
        </w:rPr>
        <w:t xml:space="preserve">III. </w:t>
      </w:r>
      <w:r w:rsidRPr="0046292D">
        <w:rPr>
          <w:rFonts w:cs="Arial"/>
          <w:b/>
          <w:sz w:val="32"/>
          <w:szCs w:val="32"/>
          <w:u w:val="single"/>
        </w:rPr>
        <w:t>Elektrozařízení</w:t>
      </w:r>
    </w:p>
    <w:p w:rsidR="006415EE" w:rsidP="00F97AF3" w14:paraId="55E7EE9F" w14:textId="08DBA9DB">
      <w:pPr>
        <w:pStyle w:val="Heading1"/>
      </w:pPr>
      <w:bookmarkStart w:id="162" w:name="_Toc438037259"/>
      <w:bookmarkStart w:id="163" w:name="_Toc441759858"/>
      <w:bookmarkStart w:id="164" w:name="_Toc14942089"/>
      <w:bookmarkEnd w:id="162"/>
      <w:bookmarkStart w:id="165" w:name="_Toc256000015"/>
      <w:r w:rsidRPr="00ED38E9">
        <w:t xml:space="preserve">Zpětný odběr </w:t>
      </w:r>
      <w:r w:rsidR="00711A48">
        <w:t xml:space="preserve">odpadních </w:t>
      </w:r>
      <w:bookmarkEnd w:id="163"/>
      <w:r w:rsidR="001C6618">
        <w:t>EEZ</w:t>
      </w:r>
      <w:r w:rsidR="00445AB4">
        <w:t xml:space="preserve"> v ČR a </w:t>
      </w:r>
      <w:r w:rsidR="001C6618">
        <w:t>vybraných evropských státech</w:t>
      </w:r>
      <w:bookmarkEnd w:id="165"/>
      <w:bookmarkEnd w:id="164"/>
    </w:p>
    <w:p w:rsidR="00EA5F1A" w:rsidRPr="00EA5F1A" w:rsidP="00EA5F1A" w14:paraId="3DBA26E6" w14:textId="77777777">
      <w:pPr>
        <w:pStyle w:val="Heading2"/>
        <w:rPr>
          <w:rFonts w:eastAsia="Calibri"/>
        </w:rPr>
      </w:pPr>
      <w:r>
        <w:rPr>
          <w:rFonts w:eastAsia="Calibri"/>
        </w:rPr>
        <w:t>Obecný p</w:t>
      </w:r>
      <w:r>
        <w:rPr>
          <w:rFonts w:eastAsia="Calibri"/>
        </w:rPr>
        <w:t>opis současného</w:t>
      </w:r>
      <w:r>
        <w:rPr>
          <w:rFonts w:eastAsia="Calibri"/>
        </w:rPr>
        <w:t xml:space="preserve"> tuzemského a zahraničního</w:t>
      </w:r>
      <w:r>
        <w:rPr>
          <w:rFonts w:eastAsia="Calibri"/>
        </w:rPr>
        <w:t xml:space="preserve"> právního stavu v dané oblasti</w:t>
      </w:r>
    </w:p>
    <w:p w:rsidR="00ED5B2D" w:rsidRPr="00ED38E9" w:rsidP="00936929" w14:paraId="297316EE" w14:textId="77777777">
      <w:pPr>
        <w:rPr>
          <w:rFonts w:eastAsia="Calibri" w:cs="Arial"/>
          <w:noProof w:val="0"/>
          <w:szCs w:val="22"/>
          <w:lang w:bidi="ar-SA"/>
        </w:rPr>
      </w:pPr>
      <w:r w:rsidRPr="00ED38E9">
        <w:rPr>
          <w:rFonts w:eastAsia="Calibri" w:cs="Arial"/>
          <w:noProof w:val="0"/>
          <w:szCs w:val="22"/>
          <w:lang w:bidi="ar-SA"/>
        </w:rPr>
        <w:t>Systém zpětného odběru elektrozařízení existuje v</w:t>
      </w:r>
      <w:r w:rsidR="009906E5">
        <w:rPr>
          <w:rFonts w:eastAsia="Calibri" w:cs="Arial"/>
          <w:noProof w:val="0"/>
          <w:szCs w:val="22"/>
          <w:lang w:bidi="ar-SA"/>
        </w:rPr>
        <w:t> </w:t>
      </w:r>
      <w:r w:rsidRPr="00ED38E9">
        <w:rPr>
          <w:rFonts w:eastAsia="Calibri" w:cs="Arial"/>
          <w:noProof w:val="0"/>
          <w:szCs w:val="22"/>
          <w:lang w:bidi="ar-SA"/>
        </w:rPr>
        <w:t>Č</w:t>
      </w:r>
      <w:r w:rsidR="009906E5">
        <w:rPr>
          <w:rFonts w:eastAsia="Calibri" w:cs="Arial"/>
          <w:noProof w:val="0"/>
          <w:szCs w:val="22"/>
          <w:lang w:bidi="ar-SA"/>
        </w:rPr>
        <w:t xml:space="preserve">R </w:t>
      </w:r>
      <w:r w:rsidRPr="00ED38E9">
        <w:rPr>
          <w:rFonts w:eastAsia="Calibri" w:cs="Arial"/>
          <w:noProof w:val="0"/>
          <w:szCs w:val="22"/>
          <w:lang w:bidi="ar-SA"/>
        </w:rPr>
        <w:t>s různými úpravami od</w:t>
      </w:r>
      <w:r w:rsidRPr="00ED38E9" w:rsidR="006E0E3D">
        <w:rPr>
          <w:rFonts w:eastAsia="Calibri" w:cs="Arial"/>
          <w:noProof w:val="0"/>
          <w:szCs w:val="22"/>
          <w:lang w:bidi="ar-SA"/>
        </w:rPr>
        <w:t> </w:t>
      </w:r>
      <w:r w:rsidRPr="00ED38E9">
        <w:rPr>
          <w:rFonts w:eastAsia="Calibri" w:cs="Arial"/>
          <w:noProof w:val="0"/>
          <w:szCs w:val="22"/>
          <w:lang w:bidi="ar-SA"/>
        </w:rPr>
        <w:t xml:space="preserve">roku 2005, nicméně řada aspektů jeho fungování je dlouhodobě kritizována - </w:t>
      </w:r>
      <w:r w:rsidR="00B80166">
        <w:rPr>
          <w:rFonts w:eastAsia="Calibri" w:cs="Arial"/>
          <w:noProof w:val="0"/>
          <w:szCs w:val="22"/>
          <w:lang w:bidi="ar-SA"/>
        </w:rPr>
        <w:t xml:space="preserve">například </w:t>
      </w:r>
      <w:r w:rsidRPr="00ED38E9" w:rsidR="00B80166">
        <w:rPr>
          <w:rFonts w:eastAsia="Calibri" w:cs="Arial"/>
          <w:noProof w:val="0"/>
          <w:szCs w:val="22"/>
          <w:lang w:bidi="ar-SA"/>
        </w:rPr>
        <w:t>nedostatečn</w:t>
      </w:r>
      <w:r w:rsidR="00B80166">
        <w:rPr>
          <w:rFonts w:eastAsia="Calibri" w:cs="Arial"/>
          <w:noProof w:val="0"/>
          <w:szCs w:val="22"/>
          <w:lang w:bidi="ar-SA"/>
        </w:rPr>
        <w:t>á</w:t>
      </w:r>
      <w:r w:rsidRPr="00ED38E9" w:rsidR="00B80166">
        <w:rPr>
          <w:rFonts w:eastAsia="Calibri" w:cs="Arial"/>
          <w:noProof w:val="0"/>
          <w:szCs w:val="22"/>
          <w:lang w:bidi="ar-SA"/>
        </w:rPr>
        <w:t xml:space="preserve"> konkurenc</w:t>
      </w:r>
      <w:r w:rsidR="00B80166">
        <w:rPr>
          <w:rFonts w:eastAsia="Calibri" w:cs="Arial"/>
          <w:noProof w:val="0"/>
          <w:szCs w:val="22"/>
          <w:lang w:bidi="ar-SA"/>
        </w:rPr>
        <w:t>e</w:t>
      </w:r>
      <w:r w:rsidRPr="00ED38E9" w:rsidR="00B80166">
        <w:rPr>
          <w:rFonts w:eastAsia="Calibri" w:cs="Arial"/>
          <w:noProof w:val="0"/>
          <w:szCs w:val="22"/>
          <w:lang w:bidi="ar-SA"/>
        </w:rPr>
        <w:t xml:space="preserve"> </w:t>
      </w:r>
      <w:r w:rsidRPr="00ED38E9">
        <w:rPr>
          <w:rFonts w:eastAsia="Calibri" w:cs="Arial"/>
          <w:noProof w:val="0"/>
          <w:szCs w:val="22"/>
          <w:lang w:bidi="ar-SA"/>
        </w:rPr>
        <w:t>mezi kolektivními systémy, nedostatečn</w:t>
      </w:r>
      <w:r w:rsidR="00B80166">
        <w:rPr>
          <w:rFonts w:eastAsia="Calibri" w:cs="Arial"/>
          <w:noProof w:val="0"/>
          <w:szCs w:val="22"/>
          <w:lang w:bidi="ar-SA"/>
        </w:rPr>
        <w:t>á</w:t>
      </w:r>
      <w:r w:rsidRPr="00ED38E9">
        <w:rPr>
          <w:rFonts w:eastAsia="Calibri" w:cs="Arial"/>
          <w:noProof w:val="0"/>
          <w:szCs w:val="22"/>
          <w:lang w:bidi="ar-SA"/>
        </w:rPr>
        <w:t xml:space="preserve"> </w:t>
      </w:r>
      <w:r w:rsidRPr="00ED38E9" w:rsidR="00B80166">
        <w:rPr>
          <w:rFonts w:eastAsia="Calibri" w:cs="Arial"/>
          <w:noProof w:val="0"/>
          <w:szCs w:val="22"/>
          <w:lang w:bidi="ar-SA"/>
        </w:rPr>
        <w:t>kontrol</w:t>
      </w:r>
      <w:r w:rsidR="00B80166">
        <w:rPr>
          <w:rFonts w:eastAsia="Calibri" w:cs="Arial"/>
          <w:noProof w:val="0"/>
          <w:szCs w:val="22"/>
          <w:lang w:bidi="ar-SA"/>
        </w:rPr>
        <w:t>a</w:t>
      </w:r>
      <w:r w:rsidRPr="00ED38E9" w:rsidR="00B80166">
        <w:rPr>
          <w:rFonts w:eastAsia="Calibri" w:cs="Arial"/>
          <w:noProof w:val="0"/>
          <w:szCs w:val="22"/>
          <w:lang w:bidi="ar-SA"/>
        </w:rPr>
        <w:t xml:space="preserve"> </w:t>
      </w:r>
      <w:r w:rsidRPr="00ED38E9">
        <w:rPr>
          <w:rFonts w:eastAsia="Calibri" w:cs="Arial"/>
          <w:noProof w:val="0"/>
          <w:szCs w:val="22"/>
          <w:lang w:bidi="ar-SA"/>
        </w:rPr>
        <w:t>ze</w:t>
      </w:r>
      <w:r w:rsidRPr="00ED38E9" w:rsidR="006E0E3D">
        <w:rPr>
          <w:rFonts w:eastAsia="Calibri" w:cs="Arial"/>
          <w:noProof w:val="0"/>
          <w:szCs w:val="22"/>
          <w:lang w:bidi="ar-SA"/>
        </w:rPr>
        <w:t> </w:t>
      </w:r>
      <w:r w:rsidRPr="00ED38E9">
        <w:rPr>
          <w:rFonts w:eastAsia="Calibri" w:cs="Arial"/>
          <w:noProof w:val="0"/>
          <w:szCs w:val="22"/>
          <w:lang w:bidi="ar-SA"/>
        </w:rPr>
        <w:t xml:space="preserve">strany veřejných institucí např. v oblasti nastavování recyklačních </w:t>
      </w:r>
      <w:r w:rsidR="00F0451A">
        <w:rPr>
          <w:rFonts w:eastAsia="Calibri" w:cs="Arial"/>
          <w:noProof w:val="0"/>
          <w:szCs w:val="22"/>
          <w:lang w:bidi="ar-SA"/>
        </w:rPr>
        <w:t>příspěvků</w:t>
      </w:r>
      <w:r w:rsidRPr="00ED38E9">
        <w:rPr>
          <w:rFonts w:eastAsia="Calibri" w:cs="Arial"/>
          <w:noProof w:val="0"/>
          <w:szCs w:val="22"/>
          <w:lang w:bidi="ar-SA"/>
        </w:rPr>
        <w:t xml:space="preserve">. V rámci aplikace stávajícího zákona se některé zavedené instituty neosvědčily nebo potřebují upravit, jiné instituty naopak zcela chybí. </w:t>
      </w:r>
      <w:r w:rsidRPr="00221615">
        <w:rPr>
          <w:rFonts w:eastAsia="Calibri" w:cs="Arial"/>
          <w:b/>
          <w:noProof w:val="0"/>
          <w:szCs w:val="22"/>
          <w:lang w:bidi="ar-SA"/>
        </w:rPr>
        <w:t xml:space="preserve">Hodnocení dopadů regulace se snaží na tyto problémy reflektovat posouzením jejich oprávněnosti a relevance a návrhem případných opatřením – viz </w:t>
      </w:r>
      <w:r w:rsidRPr="00221615" w:rsidR="00701628">
        <w:rPr>
          <w:rFonts w:eastAsia="Calibri" w:cs="Arial"/>
          <w:b/>
          <w:noProof w:val="0"/>
          <w:szCs w:val="22"/>
          <w:lang w:bidi="ar-SA"/>
        </w:rPr>
        <w:t>pod</w:t>
      </w:r>
      <w:r w:rsidRPr="00221615">
        <w:rPr>
          <w:rFonts w:eastAsia="Calibri" w:cs="Arial"/>
          <w:b/>
          <w:noProof w:val="0"/>
          <w:szCs w:val="22"/>
          <w:lang w:bidi="ar-SA"/>
        </w:rPr>
        <w:t>kapitoly jednotlivých věcných okruhů, kde je  detailněji rozebrán konkrétní problém.</w:t>
      </w:r>
      <w:r w:rsidRPr="00ED38E9">
        <w:rPr>
          <w:rFonts w:eastAsia="Calibri" w:cs="Arial"/>
          <w:noProof w:val="0"/>
          <w:szCs w:val="22"/>
          <w:lang w:bidi="ar-SA"/>
        </w:rPr>
        <w:t xml:space="preserve"> Hlavním cílem jednotlivých opatření</w:t>
      </w:r>
      <w:r w:rsidR="00701628">
        <w:rPr>
          <w:rFonts w:eastAsia="Calibri" w:cs="Arial"/>
          <w:noProof w:val="0"/>
          <w:szCs w:val="22"/>
          <w:lang w:bidi="ar-SA"/>
        </w:rPr>
        <w:t xml:space="preserve"> uvedených níže</w:t>
      </w:r>
      <w:r w:rsidRPr="00ED38E9">
        <w:rPr>
          <w:rFonts w:eastAsia="Calibri" w:cs="Arial"/>
          <w:noProof w:val="0"/>
          <w:szCs w:val="22"/>
          <w:lang w:bidi="ar-SA"/>
        </w:rPr>
        <w:t xml:space="preserve"> je vždy zajištění vysoké úrovně ochrany životního prostředí a lidského zdraví a eliminace negativních dopadů ze vzniku odpadů z vybraných výrobků v souladu s příslušnými předpisy E</w:t>
      </w:r>
      <w:r w:rsidR="00116920">
        <w:rPr>
          <w:rFonts w:eastAsia="Calibri" w:cs="Arial"/>
          <w:noProof w:val="0"/>
          <w:szCs w:val="22"/>
          <w:lang w:bidi="ar-SA"/>
        </w:rPr>
        <w:t>U.</w:t>
      </w:r>
      <w:r w:rsidRPr="00ED38E9">
        <w:rPr>
          <w:rFonts w:eastAsia="Calibri" w:cs="Arial"/>
          <w:noProof w:val="0"/>
          <w:szCs w:val="22"/>
          <w:lang w:bidi="ar-SA"/>
        </w:rPr>
        <w:t xml:space="preserve"> </w:t>
      </w:r>
    </w:p>
    <w:p w:rsidR="00ED5B2D" w:rsidRPr="00ED38E9" w:rsidP="00936929" w14:paraId="3F4365FA" w14:textId="77777777">
      <w:pPr>
        <w:rPr>
          <w:rFonts w:eastAsia="Calibri" w:cs="Arial"/>
          <w:noProof w:val="0"/>
          <w:szCs w:val="22"/>
          <w:lang w:bidi="ar-SA"/>
        </w:rPr>
      </w:pPr>
      <w:r w:rsidRPr="00ED38E9">
        <w:rPr>
          <w:rFonts w:eastAsia="Calibri" w:cs="Arial"/>
          <w:noProof w:val="0"/>
          <w:szCs w:val="22"/>
          <w:lang w:bidi="ar-SA"/>
        </w:rPr>
        <w:t xml:space="preserve">Zpětným odběrem elektrozařízení </w:t>
      </w:r>
      <w:r w:rsidR="00116920">
        <w:rPr>
          <w:rFonts w:eastAsia="Calibri" w:cs="Arial"/>
          <w:noProof w:val="0"/>
          <w:szCs w:val="22"/>
          <w:lang w:bidi="ar-SA"/>
        </w:rPr>
        <w:t xml:space="preserve">(EEZ) </w:t>
      </w:r>
      <w:r w:rsidRPr="00ED38E9">
        <w:rPr>
          <w:rFonts w:eastAsia="Calibri" w:cs="Arial"/>
          <w:noProof w:val="0"/>
          <w:szCs w:val="22"/>
          <w:lang w:bidi="ar-SA"/>
        </w:rPr>
        <w:t xml:space="preserve">se rozumí odebírání použitých </w:t>
      </w:r>
      <w:r w:rsidR="00116920">
        <w:rPr>
          <w:rFonts w:eastAsia="Calibri" w:cs="Arial"/>
          <w:noProof w:val="0"/>
          <w:szCs w:val="22"/>
          <w:lang w:bidi="ar-SA"/>
        </w:rPr>
        <w:t>EEZ</w:t>
      </w:r>
      <w:r w:rsidRPr="00ED38E9" w:rsidR="00116920">
        <w:rPr>
          <w:rFonts w:eastAsia="Calibri" w:cs="Arial"/>
          <w:noProof w:val="0"/>
          <w:szCs w:val="22"/>
          <w:lang w:bidi="ar-SA"/>
        </w:rPr>
        <w:t xml:space="preserve"> </w:t>
      </w:r>
      <w:r w:rsidRPr="00ED38E9">
        <w:rPr>
          <w:rFonts w:eastAsia="Calibri" w:cs="Arial"/>
          <w:noProof w:val="0"/>
          <w:szCs w:val="22"/>
          <w:lang w:bidi="ar-SA"/>
        </w:rPr>
        <w:t xml:space="preserve">pocházejících z domácností od spotřebitelů na místě k tomu určenému. Od tohoto pojmu je potřeba odlišit pojem oddělený sběr elektroodpadu, který je definován podobně jako zpětný odběr s tím rozdílem, že jedná se o </w:t>
      </w:r>
      <w:r w:rsidR="00116920">
        <w:rPr>
          <w:rFonts w:eastAsia="Calibri" w:cs="Arial"/>
          <w:noProof w:val="0"/>
          <w:szCs w:val="22"/>
          <w:lang w:bidi="ar-SA"/>
        </w:rPr>
        <w:t>EEZ</w:t>
      </w:r>
      <w:r w:rsidRPr="00ED38E9" w:rsidR="00116920">
        <w:rPr>
          <w:rFonts w:eastAsia="Calibri" w:cs="Arial"/>
          <w:noProof w:val="0"/>
          <w:szCs w:val="22"/>
          <w:lang w:bidi="ar-SA"/>
        </w:rPr>
        <w:t xml:space="preserve"> </w:t>
      </w:r>
      <w:r w:rsidRPr="00ED38E9">
        <w:rPr>
          <w:rFonts w:eastAsia="Calibri" w:cs="Arial"/>
          <w:noProof w:val="0"/>
          <w:szCs w:val="22"/>
          <w:lang w:bidi="ar-SA"/>
        </w:rPr>
        <w:t>nepocházející z domácností.</w:t>
      </w:r>
    </w:p>
    <w:p w:rsidR="00ED5B2D" w:rsidRPr="00ED38E9" w:rsidP="00936929" w14:paraId="17AC0688" w14:textId="77777777">
      <w:pPr>
        <w:rPr>
          <w:rFonts w:eastAsia="Calibri" w:cs="Arial"/>
          <w:noProof w:val="0"/>
          <w:szCs w:val="22"/>
          <w:lang w:bidi="ar-SA"/>
        </w:rPr>
      </w:pPr>
      <w:r w:rsidRPr="00ED38E9">
        <w:rPr>
          <w:rFonts w:eastAsia="Calibri" w:cs="Arial"/>
          <w:noProof w:val="0"/>
          <w:szCs w:val="22"/>
          <w:lang w:bidi="ar-SA"/>
        </w:rPr>
        <w:t xml:space="preserve">Výrobci </w:t>
      </w:r>
      <w:r w:rsidR="00116920">
        <w:rPr>
          <w:rFonts w:eastAsia="Calibri" w:cs="Arial"/>
          <w:noProof w:val="0"/>
          <w:szCs w:val="22"/>
          <w:lang w:bidi="ar-SA"/>
        </w:rPr>
        <w:t>EEZ</w:t>
      </w:r>
      <w:r w:rsidRPr="00ED38E9" w:rsidR="00116920">
        <w:rPr>
          <w:rFonts w:eastAsia="Calibri" w:cs="Arial"/>
          <w:noProof w:val="0"/>
          <w:szCs w:val="22"/>
          <w:lang w:bidi="ar-SA"/>
        </w:rPr>
        <w:t xml:space="preserve"> </w:t>
      </w:r>
      <w:r w:rsidRPr="00ED38E9">
        <w:rPr>
          <w:rFonts w:eastAsia="Calibri" w:cs="Arial"/>
          <w:noProof w:val="0"/>
          <w:szCs w:val="22"/>
          <w:lang w:bidi="ar-SA"/>
        </w:rPr>
        <w:t xml:space="preserve">mají několik možností, jak plnit svoji povinnost zajištění systému zpětného odběru </w:t>
      </w:r>
      <w:r w:rsidR="00116920">
        <w:rPr>
          <w:rFonts w:eastAsia="Calibri" w:cs="Arial"/>
          <w:noProof w:val="0"/>
          <w:szCs w:val="22"/>
          <w:lang w:bidi="ar-SA"/>
        </w:rPr>
        <w:t>EEZ</w:t>
      </w:r>
      <w:r w:rsidRPr="00ED38E9" w:rsidR="00116920">
        <w:rPr>
          <w:rFonts w:eastAsia="Calibri" w:cs="Arial"/>
          <w:noProof w:val="0"/>
          <w:szCs w:val="22"/>
          <w:lang w:bidi="ar-SA"/>
        </w:rPr>
        <w:t xml:space="preserve"> </w:t>
      </w:r>
      <w:r w:rsidRPr="00ED38E9">
        <w:rPr>
          <w:rFonts w:eastAsia="Calibri" w:cs="Arial"/>
          <w:noProof w:val="0"/>
          <w:szCs w:val="22"/>
          <w:lang w:bidi="ar-SA"/>
        </w:rPr>
        <w:t>a odděleného sběru elektroodpadu – mohou využít jeden z následujících tří systémů plnění povinností výrobce:</w:t>
      </w:r>
    </w:p>
    <w:p w:rsidR="00ED5B2D" w:rsidRPr="00ED38E9" w:rsidP="003C445B" w14:paraId="3D8359A9" w14:textId="77777777">
      <w:pPr>
        <w:pStyle w:val="ListParagraph"/>
        <w:numPr>
          <w:ilvl w:val="0"/>
          <w:numId w:val="91"/>
        </w:numPr>
        <w:spacing w:after="0"/>
        <w:contextualSpacing w:val="0"/>
        <w:rPr>
          <w:rFonts w:eastAsia="Calibri" w:cs="Arial"/>
          <w:noProof w:val="0"/>
          <w:szCs w:val="22"/>
          <w:lang w:bidi="ar-SA"/>
        </w:rPr>
      </w:pPr>
      <w:r w:rsidRPr="00ED38E9">
        <w:rPr>
          <w:rFonts w:eastAsia="Calibri" w:cs="Arial"/>
          <w:noProof w:val="0"/>
          <w:szCs w:val="22"/>
          <w:lang w:bidi="ar-SA"/>
        </w:rPr>
        <w:t>Individuální systém – vytvořený a provozovaný samostatně a na vlastní náklady jedním výrobcem,</w:t>
      </w:r>
    </w:p>
    <w:p w:rsidR="00ED5B2D" w:rsidRPr="00ED38E9" w:rsidP="003C445B" w14:paraId="73138275" w14:textId="77777777">
      <w:pPr>
        <w:pStyle w:val="ListParagraph"/>
        <w:numPr>
          <w:ilvl w:val="0"/>
          <w:numId w:val="91"/>
        </w:numPr>
        <w:spacing w:after="0"/>
        <w:contextualSpacing w:val="0"/>
        <w:rPr>
          <w:rFonts w:eastAsia="Calibri" w:cs="Arial"/>
          <w:noProof w:val="0"/>
          <w:szCs w:val="22"/>
          <w:lang w:bidi="ar-SA"/>
        </w:rPr>
      </w:pPr>
      <w:r w:rsidRPr="00ED38E9">
        <w:rPr>
          <w:rFonts w:eastAsia="Calibri" w:cs="Arial"/>
          <w:noProof w:val="0"/>
          <w:szCs w:val="22"/>
          <w:lang w:bidi="ar-SA"/>
        </w:rPr>
        <w:t>Solidární systém – vytvořený a provozovaný dvěma nebo více výrobci,</w:t>
      </w:r>
    </w:p>
    <w:p w:rsidR="00ED5B2D" w:rsidRPr="00ED38E9" w:rsidP="003C445B" w14:paraId="4E80A915" w14:textId="77777777">
      <w:pPr>
        <w:pStyle w:val="ListParagraph"/>
        <w:numPr>
          <w:ilvl w:val="0"/>
          <w:numId w:val="91"/>
        </w:numPr>
        <w:spacing w:after="0"/>
        <w:contextualSpacing w:val="0"/>
        <w:rPr>
          <w:rFonts w:eastAsia="Calibri" w:cs="Arial"/>
          <w:noProof w:val="0"/>
          <w:szCs w:val="22"/>
          <w:lang w:bidi="ar-SA"/>
        </w:rPr>
      </w:pPr>
      <w:r w:rsidRPr="00ED38E9">
        <w:rPr>
          <w:rFonts w:eastAsia="Calibri" w:cs="Arial"/>
          <w:noProof w:val="0"/>
          <w:szCs w:val="22"/>
          <w:lang w:bidi="ar-SA"/>
        </w:rPr>
        <w:t>Kolektivní systém – vytvořený výrobci nebo výrobci pověřenou právnickou osobou a provozovaný právnickou osobou odlišnou od výrobce nebo výrobcem pověřené právnické osoby.</w:t>
      </w:r>
    </w:p>
    <w:p w:rsidR="00ED5B2D" w:rsidRPr="00ED38E9" w:rsidP="00936929" w14:paraId="38E357BB" w14:textId="0D682185">
      <w:pPr>
        <w:rPr>
          <w:rFonts w:eastAsia="Calibri" w:cs="Arial"/>
          <w:noProof w:val="0"/>
          <w:szCs w:val="22"/>
          <w:lang w:bidi="ar-SA"/>
        </w:rPr>
      </w:pPr>
      <w:r>
        <w:rPr>
          <w:rFonts w:eastAsia="Calibri" w:cs="Arial"/>
          <w:noProof w:val="0"/>
          <w:szCs w:val="22"/>
          <w:lang w:bidi="ar-SA"/>
        </w:rPr>
        <w:t>Z t</w:t>
      </w:r>
      <w:r w:rsidRPr="00ED38E9">
        <w:rPr>
          <w:rFonts w:eastAsia="Calibri" w:cs="Arial"/>
          <w:noProof w:val="0"/>
          <w:szCs w:val="22"/>
          <w:lang w:bidi="ar-SA"/>
        </w:rPr>
        <w:t xml:space="preserve">abulky </w:t>
      </w:r>
      <w:r w:rsidR="00F37472">
        <w:rPr>
          <w:rFonts w:eastAsia="Calibri" w:cs="Arial"/>
          <w:noProof w:val="0"/>
          <w:szCs w:val="22"/>
          <w:lang w:bidi="ar-SA"/>
        </w:rPr>
        <w:t>26</w:t>
      </w:r>
      <w:r w:rsidRPr="00ED38E9">
        <w:rPr>
          <w:rFonts w:eastAsia="Calibri" w:cs="Arial"/>
          <w:noProof w:val="0"/>
          <w:szCs w:val="22"/>
          <w:lang w:bidi="ar-SA"/>
        </w:rPr>
        <w:t xml:space="preserve"> je zřejmé, že </w:t>
      </w:r>
      <w:r w:rsidRPr="00A079B9">
        <w:rPr>
          <w:rFonts w:eastAsia="Calibri" w:cs="Arial"/>
          <w:noProof w:val="0"/>
          <w:szCs w:val="22"/>
          <w:lang w:bidi="ar-SA"/>
        </w:rPr>
        <w:t xml:space="preserve">individuální systém zpětného odběru elektrozařízení </w:t>
      </w:r>
      <w:r w:rsidRPr="00937FFC">
        <w:rPr>
          <w:rFonts w:eastAsia="Calibri" w:cs="Arial"/>
          <w:noProof w:val="0"/>
          <w:szCs w:val="22"/>
          <w:lang w:bidi="ar-SA"/>
        </w:rPr>
        <w:t xml:space="preserve">zvolilo </w:t>
      </w:r>
      <w:r w:rsidR="00D177CF">
        <w:rPr>
          <w:rFonts w:eastAsia="Calibri" w:cs="Arial"/>
          <w:noProof w:val="0"/>
          <w:szCs w:val="22"/>
          <w:lang w:bidi="ar-SA"/>
        </w:rPr>
        <w:t xml:space="preserve">pouze </w:t>
      </w:r>
      <w:r w:rsidR="007705B7">
        <w:rPr>
          <w:rFonts w:eastAsia="Calibri" w:cs="Arial"/>
          <w:noProof w:val="0"/>
          <w:szCs w:val="22"/>
          <w:lang w:bidi="ar-SA"/>
        </w:rPr>
        <w:t>1,1 % výrobců (49</w:t>
      </w:r>
      <w:r w:rsidRPr="00937FFC">
        <w:rPr>
          <w:rFonts w:eastAsia="Calibri" w:cs="Arial"/>
          <w:noProof w:val="0"/>
          <w:szCs w:val="22"/>
          <w:lang w:bidi="ar-SA"/>
        </w:rPr>
        <w:t xml:space="preserve"> subjektů</w:t>
      </w:r>
      <w:r w:rsidR="007705B7">
        <w:rPr>
          <w:rFonts w:eastAsia="Calibri" w:cs="Arial"/>
          <w:noProof w:val="0"/>
          <w:szCs w:val="22"/>
          <w:lang w:bidi="ar-SA"/>
        </w:rPr>
        <w:t>)</w:t>
      </w:r>
      <w:r w:rsidR="00D177CF">
        <w:rPr>
          <w:rFonts w:eastAsia="Calibri" w:cs="Arial"/>
          <w:noProof w:val="0"/>
          <w:szCs w:val="22"/>
          <w:lang w:bidi="ar-SA"/>
        </w:rPr>
        <w:t xml:space="preserve">, zatímco převážná většina výrobců EEZ </w:t>
      </w:r>
      <w:r w:rsidRPr="00ED38E9" w:rsidR="00D177CF">
        <w:rPr>
          <w:rFonts w:eastAsia="Calibri" w:cs="Arial"/>
          <w:noProof w:val="0"/>
          <w:szCs w:val="22"/>
          <w:lang w:bidi="ar-SA"/>
        </w:rPr>
        <w:t>(</w:t>
      </w:r>
      <w:r w:rsidR="007705B7">
        <w:rPr>
          <w:rFonts w:eastAsia="Calibri" w:cs="Arial"/>
          <w:noProof w:val="0"/>
          <w:szCs w:val="22"/>
          <w:lang w:bidi="ar-SA"/>
        </w:rPr>
        <w:t xml:space="preserve">téměř 99 % subjektů) </w:t>
      </w:r>
      <w:r w:rsidRPr="00ED38E9" w:rsidR="00D177CF">
        <w:rPr>
          <w:rFonts w:eastAsia="Calibri" w:cs="Arial"/>
          <w:noProof w:val="0"/>
          <w:szCs w:val="22"/>
          <w:lang w:bidi="ar-SA"/>
        </w:rPr>
        <w:t>pln</w:t>
      </w:r>
      <w:r w:rsidR="00D177CF">
        <w:rPr>
          <w:rFonts w:eastAsia="Calibri" w:cs="Arial"/>
          <w:noProof w:val="0"/>
          <w:szCs w:val="22"/>
          <w:lang w:bidi="ar-SA"/>
        </w:rPr>
        <w:t>ilo</w:t>
      </w:r>
      <w:r w:rsidRPr="00ED38E9" w:rsidR="00D177CF">
        <w:rPr>
          <w:rFonts w:eastAsia="Calibri" w:cs="Arial"/>
          <w:noProof w:val="0"/>
          <w:szCs w:val="22"/>
          <w:lang w:bidi="ar-SA"/>
        </w:rPr>
        <w:t xml:space="preserve"> své povinnosti</w:t>
      </w:r>
      <w:r w:rsidR="00D177CF">
        <w:rPr>
          <w:rFonts w:eastAsia="Calibri" w:cs="Arial"/>
          <w:noProof w:val="0"/>
          <w:szCs w:val="22"/>
          <w:lang w:bidi="ar-SA"/>
        </w:rPr>
        <w:t xml:space="preserve"> prostřednictvím</w:t>
      </w:r>
      <w:r w:rsidRPr="00ED38E9">
        <w:rPr>
          <w:rFonts w:eastAsia="Calibri" w:cs="Arial"/>
          <w:noProof w:val="0"/>
          <w:szCs w:val="22"/>
          <w:lang w:bidi="ar-SA"/>
        </w:rPr>
        <w:t xml:space="preserve"> 1</w:t>
      </w:r>
      <w:r w:rsidR="00D177CF">
        <w:rPr>
          <w:rFonts w:eastAsia="Calibri" w:cs="Arial"/>
          <w:noProof w:val="0"/>
          <w:szCs w:val="22"/>
          <w:lang w:bidi="ar-SA"/>
        </w:rPr>
        <w:t>5</w:t>
      </w:r>
      <w:r w:rsidRPr="00ED38E9">
        <w:rPr>
          <w:rFonts w:eastAsia="Calibri" w:cs="Arial"/>
          <w:noProof w:val="0"/>
          <w:szCs w:val="22"/>
          <w:lang w:bidi="ar-SA"/>
        </w:rPr>
        <w:t xml:space="preserve"> kolektivních systémů, z důvodu nižší nákladovosti. </w:t>
      </w:r>
    </w:p>
    <w:p w:rsidR="00ED5B2D" w:rsidRPr="00221615" w:rsidP="005140E5" w14:paraId="04A97741" w14:textId="4CEBA45D">
      <w:pPr>
        <w:pStyle w:val="Caption"/>
        <w:rPr>
          <w:rFonts w:cs="Arial"/>
          <w:sz w:val="20"/>
          <w:szCs w:val="20"/>
          <w:lang w:eastAsia="cs-CZ" w:bidi="ar-SA"/>
        </w:rPr>
      </w:pPr>
      <w:r w:rsidRPr="00221615">
        <w:rPr>
          <w:rFonts w:cs="Arial"/>
          <w:sz w:val="20"/>
          <w:szCs w:val="20"/>
          <w:lang w:eastAsia="cs-CZ" w:bidi="ar-SA"/>
        </w:rPr>
        <w:t xml:space="preserve">Tabulka </w:t>
      </w:r>
      <w:r w:rsidR="00925F10">
        <w:rPr>
          <w:rFonts w:cs="Arial"/>
          <w:sz w:val="20"/>
          <w:szCs w:val="20"/>
          <w:lang w:eastAsia="cs-CZ" w:bidi="ar-SA"/>
        </w:rPr>
        <w:t>26</w:t>
      </w:r>
      <w:r w:rsidRPr="00221615">
        <w:rPr>
          <w:rFonts w:cs="Arial"/>
          <w:sz w:val="20"/>
          <w:szCs w:val="20"/>
          <w:lang w:eastAsia="cs-CZ" w:bidi="ar-SA"/>
        </w:rPr>
        <w:t xml:space="preserve">: Počet a podíl </w:t>
      </w:r>
      <w:r w:rsidR="00692CF1">
        <w:rPr>
          <w:rFonts w:cs="Arial"/>
          <w:sz w:val="20"/>
          <w:szCs w:val="20"/>
          <w:lang w:eastAsia="cs-CZ" w:bidi="ar-SA"/>
        </w:rPr>
        <w:t>výrobců EEZ</w:t>
      </w:r>
      <w:r w:rsidRPr="00221615">
        <w:rPr>
          <w:rFonts w:cs="Arial"/>
          <w:sz w:val="20"/>
          <w:szCs w:val="20"/>
          <w:lang w:eastAsia="cs-CZ" w:bidi="ar-SA"/>
        </w:rPr>
        <w:t xml:space="preserve"> v jednotlivých systémech </w:t>
      </w:r>
      <w:r w:rsidR="00D177CF">
        <w:rPr>
          <w:rFonts w:cs="Arial"/>
          <w:sz w:val="20"/>
          <w:szCs w:val="20"/>
          <w:lang w:eastAsia="cs-CZ" w:bidi="ar-SA"/>
        </w:rPr>
        <w:t>v roce 2018</w:t>
      </w:r>
    </w:p>
    <w:tbl>
      <w:tblPr>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A0"/>
      </w:tblPr>
      <w:tblGrid>
        <w:gridCol w:w="1858"/>
        <w:gridCol w:w="1843"/>
        <w:gridCol w:w="2977"/>
        <w:gridCol w:w="2467"/>
      </w:tblGrid>
      <w:tr w14:paraId="6EC6917C" w14:textId="77777777" w:rsidTr="00ED38E9">
        <w:tblPrEx>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A0"/>
        </w:tblPrEx>
        <w:trPr>
          <w:trHeight w:val="555"/>
        </w:trPr>
        <w:tc>
          <w:tcPr>
            <w:tcW w:w="1858" w:type="dxa"/>
            <w:shd w:val="clear" w:color="auto" w:fill="auto"/>
            <w:noWrap/>
            <w:vAlign w:val="center"/>
            <w:hideMark/>
          </w:tcPr>
          <w:p w:rsidR="00ED5B2D" w:rsidRPr="00ED38E9" w:rsidP="001820AA" w14:paraId="7450B5AD" w14:textId="77777777">
            <w:pPr>
              <w:keepNext/>
              <w:jc w:val="left"/>
              <w:rPr>
                <w:rFonts w:eastAsia="MS Mincho" w:cs="Arial"/>
                <w:b/>
                <w:noProof w:val="0"/>
                <w:sz w:val="20"/>
                <w:szCs w:val="20"/>
                <w:lang w:eastAsia="cs-CZ" w:bidi="ar-SA"/>
              </w:rPr>
            </w:pPr>
            <w:r w:rsidRPr="00ED38E9">
              <w:rPr>
                <w:rFonts w:eastAsia="MS Mincho" w:cs="Arial"/>
                <w:b/>
                <w:noProof w:val="0"/>
                <w:sz w:val="20"/>
                <w:szCs w:val="20"/>
                <w:lang w:eastAsia="cs-CZ" w:bidi="ar-SA"/>
              </w:rPr>
              <w:t>Typ systému</w:t>
            </w:r>
          </w:p>
        </w:tc>
        <w:tc>
          <w:tcPr>
            <w:tcW w:w="1843" w:type="dxa"/>
            <w:shd w:val="clear" w:color="auto" w:fill="auto"/>
            <w:noWrap/>
            <w:vAlign w:val="center"/>
            <w:hideMark/>
          </w:tcPr>
          <w:p w:rsidR="00ED5B2D" w:rsidRPr="00ED38E9" w:rsidP="006E0E3D" w14:paraId="5756AF79" w14:textId="77777777">
            <w:pPr>
              <w:keepNext/>
              <w:jc w:val="center"/>
              <w:rPr>
                <w:rFonts w:eastAsia="MS Mincho" w:cs="Arial"/>
                <w:b/>
                <w:noProof w:val="0"/>
                <w:sz w:val="20"/>
                <w:szCs w:val="20"/>
                <w:lang w:eastAsia="cs-CZ" w:bidi="ar-SA"/>
              </w:rPr>
            </w:pPr>
            <w:r w:rsidRPr="00ED38E9">
              <w:rPr>
                <w:rFonts w:eastAsia="MS Mincho" w:cs="Arial"/>
                <w:b/>
                <w:noProof w:val="0"/>
                <w:sz w:val="20"/>
                <w:szCs w:val="20"/>
                <w:lang w:eastAsia="cs-CZ" w:bidi="ar-SA"/>
              </w:rPr>
              <w:t>Počet subjektů</w:t>
            </w:r>
          </w:p>
        </w:tc>
        <w:tc>
          <w:tcPr>
            <w:tcW w:w="2977" w:type="dxa"/>
            <w:shd w:val="clear" w:color="auto" w:fill="auto"/>
            <w:noWrap/>
            <w:vAlign w:val="center"/>
            <w:hideMark/>
          </w:tcPr>
          <w:p w:rsidR="00ED5B2D" w:rsidRPr="00ED38E9" w:rsidP="006E0E3D" w14:paraId="33969817" w14:textId="77777777">
            <w:pPr>
              <w:keepNext/>
              <w:jc w:val="center"/>
              <w:rPr>
                <w:rFonts w:eastAsia="MS Mincho" w:cs="Arial"/>
                <w:b/>
                <w:noProof w:val="0"/>
                <w:sz w:val="20"/>
                <w:szCs w:val="20"/>
                <w:lang w:eastAsia="cs-CZ" w:bidi="ar-SA"/>
              </w:rPr>
            </w:pPr>
            <w:r w:rsidRPr="00ED38E9">
              <w:rPr>
                <w:rFonts w:eastAsia="MS Mincho" w:cs="Arial"/>
                <w:b/>
                <w:noProof w:val="0"/>
                <w:sz w:val="20"/>
                <w:szCs w:val="20"/>
                <w:lang w:eastAsia="cs-CZ" w:bidi="ar-SA"/>
              </w:rPr>
              <w:t>Počet výrobců plnící povinnost sběru přes daný systém</w:t>
            </w:r>
          </w:p>
        </w:tc>
        <w:tc>
          <w:tcPr>
            <w:tcW w:w="2467" w:type="dxa"/>
            <w:shd w:val="clear" w:color="auto" w:fill="auto"/>
            <w:noWrap/>
            <w:vAlign w:val="center"/>
            <w:hideMark/>
          </w:tcPr>
          <w:p w:rsidR="00ED5B2D" w:rsidRPr="00ED38E9" w:rsidP="007A0D35" w14:paraId="335569BF" w14:textId="415490D7">
            <w:pPr>
              <w:keepNext/>
              <w:jc w:val="center"/>
              <w:rPr>
                <w:rFonts w:eastAsia="MS Mincho" w:cs="Arial"/>
                <w:b/>
                <w:noProof w:val="0"/>
                <w:sz w:val="20"/>
                <w:szCs w:val="20"/>
                <w:lang w:eastAsia="cs-CZ" w:bidi="ar-SA"/>
              </w:rPr>
            </w:pPr>
            <w:r>
              <w:rPr>
                <w:rFonts w:eastAsia="MS Mincho" w:cs="Arial"/>
                <w:b/>
                <w:noProof w:val="0"/>
                <w:sz w:val="20"/>
                <w:szCs w:val="20"/>
                <w:lang w:eastAsia="cs-CZ" w:bidi="ar-SA"/>
              </w:rPr>
              <w:t>Procentuální</w:t>
            </w:r>
            <w:r w:rsidR="00D177CF">
              <w:rPr>
                <w:rFonts w:eastAsia="MS Mincho" w:cs="Arial"/>
                <w:b/>
                <w:noProof w:val="0"/>
                <w:sz w:val="20"/>
                <w:szCs w:val="20"/>
                <w:lang w:eastAsia="cs-CZ" w:bidi="ar-SA"/>
              </w:rPr>
              <w:t xml:space="preserve"> podíl</w:t>
            </w:r>
            <w:r>
              <w:rPr>
                <w:rFonts w:eastAsia="MS Mincho" w:cs="Arial"/>
                <w:b/>
                <w:noProof w:val="0"/>
                <w:sz w:val="20"/>
                <w:szCs w:val="20"/>
                <w:lang w:eastAsia="cs-CZ" w:bidi="ar-SA"/>
              </w:rPr>
              <w:t xml:space="preserve">         (%)</w:t>
            </w:r>
          </w:p>
        </w:tc>
      </w:tr>
      <w:tr w14:paraId="78F29A9A" w14:textId="77777777" w:rsidTr="007A0D35">
        <w:tblPrEx>
          <w:tblW w:w="9145" w:type="dxa"/>
          <w:tblInd w:w="55" w:type="dxa"/>
          <w:tblCellMar>
            <w:left w:w="70" w:type="dxa"/>
            <w:right w:w="70" w:type="dxa"/>
          </w:tblCellMar>
          <w:tblLook w:val="06A0"/>
        </w:tblPrEx>
        <w:trPr>
          <w:trHeight w:val="340"/>
        </w:trPr>
        <w:tc>
          <w:tcPr>
            <w:tcW w:w="1858" w:type="dxa"/>
            <w:shd w:val="clear" w:color="000000" w:fill="FFFFFF"/>
            <w:vAlign w:val="center"/>
            <w:hideMark/>
          </w:tcPr>
          <w:p w:rsidR="00ED5B2D" w:rsidRPr="00ED38E9" w:rsidP="001820AA" w14:paraId="52C83EBA" w14:textId="77777777">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Individuální</w:t>
            </w:r>
          </w:p>
        </w:tc>
        <w:tc>
          <w:tcPr>
            <w:tcW w:w="1843" w:type="dxa"/>
            <w:shd w:val="clear" w:color="000000" w:fill="FFFFFF"/>
            <w:vAlign w:val="center"/>
            <w:hideMark/>
          </w:tcPr>
          <w:p w:rsidR="00ED5B2D" w:rsidRPr="00D177CF" w:rsidP="000A6B0F" w14:paraId="671B4900" w14:textId="77777777">
            <w:pPr>
              <w:keepNext/>
              <w:jc w:val="center"/>
              <w:rPr>
                <w:rFonts w:eastAsia="MS Mincho" w:cs="Arial"/>
                <w:noProof w:val="0"/>
                <w:color w:val="000000"/>
                <w:sz w:val="20"/>
                <w:szCs w:val="20"/>
                <w:lang w:eastAsia="cs-CZ" w:bidi="ar-SA"/>
              </w:rPr>
            </w:pPr>
            <w:r w:rsidRPr="00D177CF">
              <w:rPr>
                <w:rFonts w:eastAsia="MS Mincho" w:cs="Arial"/>
                <w:noProof w:val="0"/>
                <w:color w:val="000000"/>
                <w:sz w:val="20"/>
                <w:szCs w:val="20"/>
                <w:lang w:eastAsia="cs-CZ" w:bidi="ar-SA"/>
              </w:rPr>
              <w:t>49</w:t>
            </w:r>
          </w:p>
        </w:tc>
        <w:tc>
          <w:tcPr>
            <w:tcW w:w="2977" w:type="dxa"/>
            <w:shd w:val="clear" w:color="000000" w:fill="FFFFFF"/>
            <w:vAlign w:val="center"/>
            <w:hideMark/>
          </w:tcPr>
          <w:p w:rsidR="00ED5B2D" w:rsidRPr="00D177CF" w:rsidP="001820AA" w14:paraId="1CCC6044" w14:textId="77777777">
            <w:pPr>
              <w:keepNext/>
              <w:jc w:val="center"/>
              <w:rPr>
                <w:rFonts w:eastAsia="MS Mincho" w:cs="Arial"/>
                <w:noProof w:val="0"/>
                <w:color w:val="000000"/>
                <w:sz w:val="20"/>
                <w:szCs w:val="20"/>
                <w:lang w:eastAsia="cs-CZ" w:bidi="ar-SA"/>
              </w:rPr>
            </w:pPr>
            <w:r w:rsidRPr="00D177CF">
              <w:rPr>
                <w:rFonts w:eastAsia="MS Mincho" w:cs="Arial"/>
                <w:noProof w:val="0"/>
                <w:color w:val="000000"/>
                <w:sz w:val="20"/>
                <w:szCs w:val="20"/>
                <w:lang w:eastAsia="cs-CZ" w:bidi="ar-SA"/>
              </w:rPr>
              <w:t>49</w:t>
            </w:r>
          </w:p>
        </w:tc>
        <w:tc>
          <w:tcPr>
            <w:tcW w:w="2467" w:type="dxa"/>
            <w:shd w:val="clear" w:color="000000" w:fill="FFFFFF"/>
            <w:vAlign w:val="center"/>
            <w:hideMark/>
          </w:tcPr>
          <w:p w:rsidR="00ED5B2D" w:rsidRPr="00937FFC" w:rsidP="00D177CF" w14:paraId="6795CD51" w14:textId="4309CCCA">
            <w:pPr>
              <w:keepNext/>
              <w:jc w:val="center"/>
              <w:rPr>
                <w:rFonts w:eastAsia="MS Mincho" w:cs="Arial"/>
                <w:noProof w:val="0"/>
                <w:color w:val="000000"/>
                <w:sz w:val="20"/>
                <w:szCs w:val="20"/>
                <w:lang w:eastAsia="cs-CZ" w:bidi="ar-SA"/>
              </w:rPr>
            </w:pPr>
            <w:r w:rsidRPr="00937FFC">
              <w:rPr>
                <w:rFonts w:eastAsia="MS Mincho" w:cs="Arial"/>
                <w:noProof w:val="0"/>
                <w:color w:val="000000"/>
                <w:sz w:val="20"/>
                <w:szCs w:val="20"/>
                <w:lang w:eastAsia="cs-CZ" w:bidi="ar-SA"/>
              </w:rPr>
              <w:t>1,</w:t>
            </w:r>
            <w:r w:rsidR="00D177CF">
              <w:rPr>
                <w:rFonts w:eastAsia="MS Mincho" w:cs="Arial"/>
                <w:noProof w:val="0"/>
                <w:color w:val="000000"/>
                <w:sz w:val="20"/>
                <w:szCs w:val="20"/>
                <w:lang w:eastAsia="cs-CZ" w:bidi="ar-SA"/>
              </w:rPr>
              <w:t>1</w:t>
            </w:r>
          </w:p>
        </w:tc>
      </w:tr>
      <w:tr w14:paraId="37EE73C9" w14:textId="77777777" w:rsidTr="00937FFC">
        <w:tblPrEx>
          <w:tblW w:w="9145" w:type="dxa"/>
          <w:tblInd w:w="55" w:type="dxa"/>
          <w:tblCellMar>
            <w:left w:w="70" w:type="dxa"/>
            <w:right w:w="70" w:type="dxa"/>
          </w:tblCellMar>
          <w:tblLook w:val="06A0"/>
        </w:tblPrEx>
        <w:trPr>
          <w:trHeight w:val="340"/>
        </w:trPr>
        <w:tc>
          <w:tcPr>
            <w:tcW w:w="1858" w:type="dxa"/>
            <w:shd w:val="clear" w:color="000000" w:fill="FFFFFF"/>
            <w:vAlign w:val="center"/>
            <w:hideMark/>
          </w:tcPr>
          <w:p w:rsidR="00ED5B2D" w:rsidRPr="00ED38E9" w:rsidP="001820AA" w14:paraId="0E2201A8" w14:textId="77777777">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Solidární</w:t>
            </w:r>
          </w:p>
        </w:tc>
        <w:tc>
          <w:tcPr>
            <w:tcW w:w="1843" w:type="dxa"/>
            <w:shd w:val="clear" w:color="000000" w:fill="FFFFFF"/>
            <w:vAlign w:val="center"/>
          </w:tcPr>
          <w:p w:rsidR="00ED5B2D" w:rsidRPr="00D177CF" w:rsidP="001820AA" w14:paraId="49A63950" w14:textId="77777777">
            <w:pPr>
              <w:keepNext/>
              <w:jc w:val="center"/>
              <w:rPr>
                <w:rFonts w:eastAsia="MS Mincho" w:cs="Arial"/>
                <w:noProof w:val="0"/>
                <w:color w:val="000000"/>
                <w:sz w:val="20"/>
                <w:szCs w:val="20"/>
                <w:lang w:eastAsia="cs-CZ" w:bidi="ar-SA"/>
              </w:rPr>
            </w:pPr>
            <w:r w:rsidRPr="00D177CF">
              <w:rPr>
                <w:rFonts w:eastAsia="MS Mincho" w:cs="Arial"/>
                <w:noProof w:val="0"/>
                <w:color w:val="000000"/>
                <w:sz w:val="20"/>
                <w:szCs w:val="20"/>
                <w:lang w:eastAsia="cs-CZ" w:bidi="ar-SA"/>
              </w:rPr>
              <w:t>0</w:t>
            </w:r>
          </w:p>
        </w:tc>
        <w:tc>
          <w:tcPr>
            <w:tcW w:w="2977" w:type="dxa"/>
            <w:shd w:val="clear" w:color="000000" w:fill="FFFFFF"/>
            <w:vAlign w:val="center"/>
          </w:tcPr>
          <w:p w:rsidR="00ED5B2D" w:rsidRPr="00937FFC" w:rsidP="001820AA" w14:paraId="08F17D25" w14:textId="77777777">
            <w:pPr>
              <w:keepNext/>
              <w:jc w:val="center"/>
              <w:rPr>
                <w:rFonts w:eastAsia="MS Mincho" w:cs="Arial"/>
                <w:noProof w:val="0"/>
                <w:color w:val="000000"/>
                <w:sz w:val="20"/>
                <w:szCs w:val="20"/>
                <w:lang w:eastAsia="cs-CZ" w:bidi="ar-SA"/>
              </w:rPr>
            </w:pPr>
            <w:r w:rsidRPr="00937FFC">
              <w:rPr>
                <w:rFonts w:eastAsia="MS Mincho" w:cs="Arial"/>
                <w:noProof w:val="0"/>
                <w:color w:val="000000"/>
                <w:sz w:val="20"/>
                <w:szCs w:val="20"/>
                <w:lang w:eastAsia="cs-CZ" w:bidi="ar-SA"/>
              </w:rPr>
              <w:t>0</w:t>
            </w:r>
          </w:p>
        </w:tc>
        <w:tc>
          <w:tcPr>
            <w:tcW w:w="2467" w:type="dxa"/>
            <w:shd w:val="clear" w:color="000000" w:fill="FFFFFF"/>
            <w:vAlign w:val="center"/>
            <w:hideMark/>
          </w:tcPr>
          <w:p w:rsidR="00ED5B2D" w:rsidRPr="00937FFC" w:rsidP="00D177CF" w14:paraId="335AA811" w14:textId="73F9FC1E">
            <w:pPr>
              <w:keepNext/>
              <w:jc w:val="center"/>
              <w:rPr>
                <w:rFonts w:eastAsia="MS Mincho" w:cs="Arial"/>
                <w:noProof w:val="0"/>
                <w:color w:val="000000"/>
                <w:sz w:val="20"/>
                <w:szCs w:val="20"/>
                <w:lang w:eastAsia="cs-CZ" w:bidi="ar-SA"/>
              </w:rPr>
            </w:pPr>
            <w:r w:rsidRPr="00937FFC">
              <w:rPr>
                <w:rFonts w:eastAsia="MS Mincho" w:cs="Arial"/>
                <w:noProof w:val="0"/>
                <w:color w:val="000000"/>
                <w:sz w:val="20"/>
                <w:szCs w:val="20"/>
                <w:lang w:eastAsia="cs-CZ" w:bidi="ar-SA"/>
              </w:rPr>
              <w:t>0</w:t>
            </w:r>
          </w:p>
        </w:tc>
      </w:tr>
      <w:tr w14:paraId="4F5CDE81" w14:textId="77777777" w:rsidTr="007A0D35">
        <w:tblPrEx>
          <w:tblW w:w="9145" w:type="dxa"/>
          <w:tblInd w:w="55" w:type="dxa"/>
          <w:tblCellMar>
            <w:left w:w="70" w:type="dxa"/>
            <w:right w:w="70" w:type="dxa"/>
          </w:tblCellMar>
          <w:tblLook w:val="06A0"/>
        </w:tblPrEx>
        <w:trPr>
          <w:trHeight w:val="340"/>
        </w:trPr>
        <w:tc>
          <w:tcPr>
            <w:tcW w:w="1858" w:type="dxa"/>
            <w:shd w:val="clear" w:color="000000" w:fill="FFFFFF"/>
            <w:vAlign w:val="center"/>
            <w:hideMark/>
          </w:tcPr>
          <w:p w:rsidR="00ED5B2D" w:rsidRPr="00ED38E9" w:rsidP="001820AA" w14:paraId="51DCB72B" w14:textId="77777777">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Kolektivní</w:t>
            </w:r>
          </w:p>
        </w:tc>
        <w:tc>
          <w:tcPr>
            <w:tcW w:w="1843" w:type="dxa"/>
            <w:shd w:val="clear" w:color="000000" w:fill="FFFFFF"/>
            <w:vAlign w:val="center"/>
            <w:hideMark/>
          </w:tcPr>
          <w:p w:rsidR="00ED5B2D" w:rsidRPr="00D177CF" w:rsidP="001820AA" w14:paraId="1B6BBB99" w14:textId="77777777">
            <w:pPr>
              <w:keepNext/>
              <w:jc w:val="center"/>
              <w:rPr>
                <w:rFonts w:eastAsia="MS Mincho" w:cs="Arial"/>
                <w:noProof w:val="0"/>
                <w:color w:val="000000"/>
                <w:sz w:val="20"/>
                <w:szCs w:val="20"/>
                <w:lang w:eastAsia="cs-CZ" w:bidi="ar-SA"/>
              </w:rPr>
            </w:pPr>
            <w:r w:rsidRPr="00D177CF">
              <w:rPr>
                <w:rFonts w:eastAsia="MS Mincho" w:cs="Arial"/>
                <w:noProof w:val="0"/>
                <w:color w:val="000000"/>
                <w:sz w:val="20"/>
                <w:szCs w:val="20"/>
                <w:lang w:eastAsia="cs-CZ" w:bidi="ar-SA"/>
              </w:rPr>
              <w:t>1</w:t>
            </w:r>
            <w:r w:rsidRPr="00D177CF" w:rsidR="00D177CF">
              <w:rPr>
                <w:rFonts w:eastAsia="MS Mincho" w:cs="Arial"/>
                <w:noProof w:val="0"/>
                <w:color w:val="000000"/>
                <w:sz w:val="20"/>
                <w:szCs w:val="20"/>
                <w:lang w:eastAsia="cs-CZ" w:bidi="ar-SA"/>
              </w:rPr>
              <w:t>5</w:t>
            </w:r>
          </w:p>
        </w:tc>
        <w:tc>
          <w:tcPr>
            <w:tcW w:w="2977" w:type="dxa"/>
            <w:shd w:val="clear" w:color="000000" w:fill="FFFFFF"/>
            <w:vAlign w:val="center"/>
            <w:hideMark/>
          </w:tcPr>
          <w:p w:rsidR="00ED5B2D" w:rsidRPr="00937FFC" w:rsidP="00D177CF" w14:paraId="0F08A14B" w14:textId="77777777">
            <w:pPr>
              <w:keepNext/>
              <w:jc w:val="center"/>
              <w:rPr>
                <w:rFonts w:eastAsia="MS Mincho" w:cs="Arial"/>
                <w:noProof w:val="0"/>
                <w:color w:val="000000"/>
                <w:sz w:val="20"/>
                <w:szCs w:val="20"/>
                <w:lang w:eastAsia="cs-CZ" w:bidi="ar-SA"/>
              </w:rPr>
            </w:pPr>
            <w:r w:rsidRPr="00937FFC">
              <w:rPr>
                <w:rFonts w:eastAsia="MS Mincho" w:cs="Arial"/>
                <w:noProof w:val="0"/>
                <w:color w:val="000000"/>
                <w:sz w:val="20"/>
                <w:szCs w:val="20"/>
                <w:lang w:eastAsia="cs-CZ" w:bidi="ar-SA"/>
              </w:rPr>
              <w:t xml:space="preserve">4 </w:t>
            </w:r>
            <w:r w:rsidRPr="00937FFC" w:rsidR="00D177CF">
              <w:rPr>
                <w:rFonts w:eastAsia="MS Mincho" w:cs="Arial"/>
                <w:noProof w:val="0"/>
                <w:color w:val="000000"/>
                <w:sz w:val="20"/>
                <w:szCs w:val="20"/>
                <w:lang w:eastAsia="cs-CZ" w:bidi="ar-SA"/>
              </w:rPr>
              <w:t>438</w:t>
            </w:r>
          </w:p>
        </w:tc>
        <w:tc>
          <w:tcPr>
            <w:tcW w:w="2467" w:type="dxa"/>
            <w:shd w:val="clear" w:color="000000" w:fill="FFFFFF"/>
            <w:vAlign w:val="center"/>
            <w:hideMark/>
          </w:tcPr>
          <w:p w:rsidR="00ED5B2D" w:rsidRPr="00937FFC" w:rsidP="00D177CF" w14:paraId="59208360" w14:textId="27A4E3B7">
            <w:pPr>
              <w:keepNext/>
              <w:jc w:val="center"/>
              <w:rPr>
                <w:rFonts w:eastAsia="MS Mincho" w:cs="Arial"/>
                <w:noProof w:val="0"/>
                <w:color w:val="000000"/>
                <w:sz w:val="20"/>
                <w:szCs w:val="20"/>
                <w:lang w:eastAsia="cs-CZ" w:bidi="ar-SA"/>
              </w:rPr>
            </w:pPr>
            <w:r w:rsidRPr="00937FFC">
              <w:rPr>
                <w:rFonts w:eastAsia="MS Mincho" w:cs="Arial"/>
                <w:noProof w:val="0"/>
                <w:color w:val="000000"/>
                <w:sz w:val="20"/>
                <w:szCs w:val="20"/>
                <w:lang w:eastAsia="cs-CZ" w:bidi="ar-SA"/>
              </w:rPr>
              <w:t>98,</w:t>
            </w:r>
            <w:r w:rsidR="00D177CF">
              <w:rPr>
                <w:rFonts w:eastAsia="MS Mincho" w:cs="Arial"/>
                <w:noProof w:val="0"/>
                <w:color w:val="000000"/>
                <w:sz w:val="20"/>
                <w:szCs w:val="20"/>
                <w:lang w:eastAsia="cs-CZ" w:bidi="ar-SA"/>
              </w:rPr>
              <w:t>9</w:t>
            </w:r>
          </w:p>
        </w:tc>
      </w:tr>
      <w:tr w14:paraId="18ADFBF4" w14:textId="77777777" w:rsidTr="007A0D35">
        <w:tblPrEx>
          <w:tblW w:w="9145" w:type="dxa"/>
          <w:tblInd w:w="55" w:type="dxa"/>
          <w:tblCellMar>
            <w:left w:w="70" w:type="dxa"/>
            <w:right w:w="70" w:type="dxa"/>
          </w:tblCellMar>
          <w:tblLook w:val="06A0"/>
        </w:tblPrEx>
        <w:trPr>
          <w:trHeight w:val="340"/>
        </w:trPr>
        <w:tc>
          <w:tcPr>
            <w:tcW w:w="1858" w:type="dxa"/>
            <w:shd w:val="clear" w:color="000000" w:fill="FFFFFF"/>
            <w:vAlign w:val="center"/>
            <w:hideMark/>
          </w:tcPr>
          <w:p w:rsidR="00ED5B2D" w:rsidRPr="00ED38E9" w:rsidP="001820AA" w14:paraId="38D0D288" w14:textId="77777777">
            <w:pPr>
              <w:keepNext/>
              <w:jc w:val="left"/>
              <w:rPr>
                <w:rFonts w:eastAsia="MS Mincho" w:cs="Arial"/>
                <w:b/>
                <w:noProof w:val="0"/>
                <w:color w:val="000000"/>
                <w:sz w:val="20"/>
                <w:szCs w:val="20"/>
                <w:lang w:eastAsia="cs-CZ" w:bidi="ar-SA"/>
              </w:rPr>
            </w:pPr>
            <w:r w:rsidRPr="00ED38E9">
              <w:rPr>
                <w:rFonts w:eastAsia="MS Mincho" w:cs="Arial"/>
                <w:b/>
                <w:noProof w:val="0"/>
                <w:color w:val="000000"/>
                <w:sz w:val="20"/>
                <w:szCs w:val="20"/>
                <w:lang w:eastAsia="cs-CZ" w:bidi="ar-SA"/>
              </w:rPr>
              <w:t>Celkem</w:t>
            </w:r>
          </w:p>
        </w:tc>
        <w:tc>
          <w:tcPr>
            <w:tcW w:w="1843" w:type="dxa"/>
            <w:shd w:val="clear" w:color="000000" w:fill="FFFFFF"/>
            <w:vAlign w:val="center"/>
            <w:hideMark/>
          </w:tcPr>
          <w:p w:rsidR="00ED5B2D" w:rsidRPr="00D177CF" w:rsidP="001820AA" w14:paraId="3E2972D0" w14:textId="77777777">
            <w:pPr>
              <w:keepNext/>
              <w:jc w:val="center"/>
              <w:rPr>
                <w:rFonts w:eastAsia="MS Mincho" w:cs="Arial"/>
                <w:b/>
                <w:noProof w:val="0"/>
                <w:color w:val="000000"/>
                <w:sz w:val="20"/>
                <w:szCs w:val="20"/>
                <w:lang w:eastAsia="cs-CZ" w:bidi="ar-SA"/>
              </w:rPr>
            </w:pPr>
            <w:r w:rsidRPr="00D177CF">
              <w:rPr>
                <w:rFonts w:eastAsia="MS Mincho" w:cs="Arial"/>
                <w:b/>
                <w:noProof w:val="0"/>
                <w:color w:val="000000"/>
                <w:sz w:val="20"/>
                <w:szCs w:val="20"/>
                <w:lang w:eastAsia="cs-CZ" w:bidi="ar-SA"/>
              </w:rPr>
              <w:t>7</w:t>
            </w:r>
            <w:r w:rsidRPr="00D177CF" w:rsidR="002901B1">
              <w:rPr>
                <w:rFonts w:eastAsia="MS Mincho" w:cs="Arial"/>
                <w:b/>
                <w:noProof w:val="0"/>
                <w:color w:val="000000"/>
                <w:sz w:val="20"/>
                <w:szCs w:val="20"/>
                <w:lang w:eastAsia="cs-CZ" w:bidi="ar-SA"/>
              </w:rPr>
              <w:t>5</w:t>
            </w:r>
          </w:p>
        </w:tc>
        <w:tc>
          <w:tcPr>
            <w:tcW w:w="2977" w:type="dxa"/>
            <w:shd w:val="clear" w:color="000000" w:fill="FFFFFF"/>
            <w:vAlign w:val="center"/>
            <w:hideMark/>
          </w:tcPr>
          <w:p w:rsidR="00ED5B2D" w:rsidRPr="00937FFC" w:rsidP="00D177CF" w14:paraId="5726735F" w14:textId="77777777">
            <w:pPr>
              <w:keepNext/>
              <w:jc w:val="center"/>
              <w:rPr>
                <w:rFonts w:eastAsia="MS Mincho" w:cs="Arial"/>
                <w:b/>
                <w:noProof w:val="0"/>
                <w:color w:val="000000"/>
                <w:sz w:val="20"/>
                <w:szCs w:val="20"/>
                <w:lang w:eastAsia="cs-CZ" w:bidi="ar-SA"/>
              </w:rPr>
            </w:pPr>
            <w:r w:rsidRPr="00937FFC">
              <w:rPr>
                <w:rFonts w:eastAsia="MS Mincho" w:cs="Arial"/>
                <w:b/>
                <w:noProof w:val="0"/>
                <w:color w:val="000000"/>
                <w:sz w:val="20"/>
                <w:szCs w:val="20"/>
                <w:lang w:eastAsia="cs-CZ" w:bidi="ar-SA"/>
              </w:rPr>
              <w:t xml:space="preserve">4 </w:t>
            </w:r>
            <w:r w:rsidR="00D177CF">
              <w:rPr>
                <w:rFonts w:eastAsia="MS Mincho" w:cs="Arial"/>
                <w:b/>
                <w:noProof w:val="0"/>
                <w:color w:val="000000"/>
                <w:sz w:val="20"/>
                <w:szCs w:val="20"/>
                <w:lang w:eastAsia="cs-CZ" w:bidi="ar-SA"/>
              </w:rPr>
              <w:t>487</w:t>
            </w:r>
          </w:p>
        </w:tc>
        <w:tc>
          <w:tcPr>
            <w:tcW w:w="2467" w:type="dxa"/>
            <w:shd w:val="clear" w:color="000000" w:fill="FFFFFF"/>
            <w:vAlign w:val="center"/>
            <w:hideMark/>
          </w:tcPr>
          <w:p w:rsidR="00ED5B2D" w:rsidRPr="00937FFC" w:rsidP="001820AA" w14:paraId="7924ED3B" w14:textId="2C11E5A0">
            <w:pPr>
              <w:keepNext/>
              <w:jc w:val="center"/>
              <w:rPr>
                <w:rFonts w:eastAsia="MS Mincho" w:cs="Arial"/>
                <w:b/>
                <w:noProof w:val="0"/>
                <w:color w:val="000000"/>
                <w:sz w:val="20"/>
                <w:szCs w:val="20"/>
                <w:lang w:eastAsia="cs-CZ" w:bidi="ar-SA"/>
              </w:rPr>
            </w:pPr>
            <w:r w:rsidRPr="00937FFC">
              <w:rPr>
                <w:rFonts w:eastAsia="MS Mincho" w:cs="Arial"/>
                <w:b/>
                <w:noProof w:val="0"/>
                <w:color w:val="000000"/>
                <w:sz w:val="20"/>
                <w:szCs w:val="20"/>
                <w:lang w:eastAsia="cs-CZ" w:bidi="ar-SA"/>
              </w:rPr>
              <w:t>100,0</w:t>
            </w:r>
          </w:p>
        </w:tc>
      </w:tr>
    </w:tbl>
    <w:p w:rsidR="00ED5B2D" w:rsidRPr="00ED38E9" w:rsidP="00221615" w14:paraId="65A77B82" w14:textId="77777777">
      <w:pPr>
        <w:widowControl w:val="0"/>
        <w:spacing w:line="240" w:lineRule="auto"/>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Pr="00ED38E9" w:rsidR="00A56310">
        <w:rPr>
          <w:rFonts w:cs="Arial"/>
          <w:i/>
          <w:iCs/>
          <w:noProof w:val="0"/>
          <w:color w:val="000000"/>
          <w:sz w:val="20"/>
          <w:szCs w:val="20"/>
          <w:lang w:eastAsia="cs-CZ" w:bidi="ar-SA"/>
        </w:rPr>
        <w:t>MŽP</w:t>
      </w:r>
      <w:r w:rsidRPr="00ED38E9">
        <w:rPr>
          <w:rFonts w:cs="Arial"/>
          <w:i/>
          <w:iCs/>
          <w:noProof w:val="0"/>
          <w:color w:val="000000"/>
          <w:sz w:val="20"/>
          <w:szCs w:val="20"/>
          <w:lang w:eastAsia="cs-CZ" w:bidi="ar-SA"/>
        </w:rPr>
        <w:t xml:space="preserve"> </w:t>
      </w:r>
    </w:p>
    <w:p w:rsidR="00ED5B2D" w:rsidRPr="00ED38E9" w:rsidP="00B73FDF" w14:paraId="34A22B63" w14:textId="1E65B3CE">
      <w:pPr>
        <w:spacing w:before="240"/>
        <w:rPr>
          <w:rFonts w:cs="Arial"/>
          <w:b/>
          <w:bCs/>
          <w:noProof w:val="0"/>
          <w:color w:val="000000"/>
          <w:sz w:val="20"/>
          <w:szCs w:val="22"/>
          <w:lang w:eastAsia="cs-CZ" w:bidi="ar-SA"/>
        </w:rPr>
      </w:pPr>
      <w:r w:rsidRPr="00ED38E9">
        <w:rPr>
          <w:rFonts w:eastAsia="Calibri" w:cs="Arial"/>
          <w:noProof w:val="0"/>
          <w:szCs w:val="22"/>
          <w:lang w:bidi="ar-SA"/>
        </w:rPr>
        <w:t xml:space="preserve">Dále, zvláště pro potřeby financování, je potřeba rozlišit mezi </w:t>
      </w:r>
      <w:r w:rsidR="00116920">
        <w:rPr>
          <w:rFonts w:eastAsia="Calibri" w:cs="Arial"/>
          <w:noProof w:val="0"/>
          <w:szCs w:val="22"/>
          <w:lang w:bidi="ar-SA"/>
        </w:rPr>
        <w:t>EEZ</w:t>
      </w:r>
      <w:r w:rsidRPr="00ED38E9" w:rsidR="00116920">
        <w:rPr>
          <w:rFonts w:eastAsia="Calibri" w:cs="Arial"/>
          <w:noProof w:val="0"/>
          <w:szCs w:val="22"/>
          <w:lang w:bidi="ar-SA"/>
        </w:rPr>
        <w:t xml:space="preserve"> </w:t>
      </w:r>
      <w:r w:rsidRPr="00ED38E9">
        <w:rPr>
          <w:rFonts w:eastAsia="Calibri" w:cs="Arial"/>
          <w:noProof w:val="0"/>
          <w:szCs w:val="22"/>
          <w:lang w:bidi="ar-SA"/>
        </w:rPr>
        <w:t>a historickými elektrozařízeními</w:t>
      </w:r>
      <w:r w:rsidR="00116920">
        <w:rPr>
          <w:rFonts w:eastAsia="Calibri" w:cs="Arial"/>
          <w:noProof w:val="0"/>
          <w:szCs w:val="22"/>
          <w:lang w:bidi="ar-SA"/>
        </w:rPr>
        <w:t xml:space="preserve"> (HEEZ)</w:t>
      </w:r>
      <w:r w:rsidR="00580CF0">
        <w:rPr>
          <w:rFonts w:eastAsia="Calibri" w:cs="Arial"/>
          <w:noProof w:val="0"/>
          <w:szCs w:val="22"/>
          <w:lang w:bidi="ar-SA"/>
        </w:rPr>
        <w:t xml:space="preserve">. </w:t>
      </w:r>
      <w:r w:rsidR="00D223CD">
        <w:rPr>
          <w:rFonts w:eastAsia="Calibri" w:cs="Arial"/>
          <w:noProof w:val="0"/>
          <w:szCs w:val="22"/>
          <w:lang w:bidi="ar-SA"/>
        </w:rPr>
        <w:t>HEEZ jsou elektrozařízení určená k použití v</w:t>
      </w:r>
      <w:r w:rsidRPr="00ED38E9">
        <w:rPr>
          <w:rFonts w:eastAsia="Calibri" w:cs="Arial"/>
          <w:noProof w:val="0"/>
          <w:szCs w:val="22"/>
          <w:lang w:bidi="ar-SA"/>
        </w:rPr>
        <w:t> domácnost</w:t>
      </w:r>
      <w:r w:rsidR="001F1EAE">
        <w:rPr>
          <w:rFonts w:eastAsia="Calibri" w:cs="Arial"/>
          <w:noProof w:val="0"/>
          <w:szCs w:val="22"/>
          <w:lang w:bidi="ar-SA"/>
        </w:rPr>
        <w:t>i</w:t>
      </w:r>
      <w:r w:rsidRPr="00ED38E9">
        <w:rPr>
          <w:rFonts w:eastAsia="Calibri" w:cs="Arial"/>
          <w:noProof w:val="0"/>
          <w:szCs w:val="22"/>
          <w:lang w:bidi="ar-SA"/>
        </w:rPr>
        <w:t xml:space="preserve"> uvedená na trh do 13. 8. 2005. Historický elektroo</w:t>
      </w:r>
      <w:r w:rsidR="00D223CD">
        <w:rPr>
          <w:rFonts w:eastAsia="Calibri" w:cs="Arial"/>
          <w:noProof w:val="0"/>
          <w:szCs w:val="22"/>
          <w:lang w:bidi="ar-SA"/>
        </w:rPr>
        <w:t xml:space="preserve">dpad jsou pak </w:t>
      </w:r>
      <w:r w:rsidR="001F1EAE">
        <w:rPr>
          <w:rFonts w:eastAsia="Calibri" w:cs="Arial"/>
          <w:noProof w:val="0"/>
          <w:szCs w:val="22"/>
          <w:lang w:bidi="ar-SA"/>
        </w:rPr>
        <w:t xml:space="preserve">EEZ </w:t>
      </w:r>
      <w:r w:rsidR="00D223CD">
        <w:rPr>
          <w:rFonts w:eastAsia="Calibri" w:cs="Arial"/>
          <w:noProof w:val="0"/>
          <w:szCs w:val="22"/>
          <w:lang w:bidi="ar-SA"/>
        </w:rPr>
        <w:t>pocházející z domácností</w:t>
      </w:r>
      <w:r w:rsidRPr="00ED38E9">
        <w:rPr>
          <w:rFonts w:eastAsia="Calibri" w:cs="Arial"/>
          <w:noProof w:val="0"/>
          <w:szCs w:val="22"/>
          <w:lang w:bidi="ar-SA"/>
        </w:rPr>
        <w:t xml:space="preserve"> uvedená na trh do 13. 8. 2005, která se </w:t>
      </w:r>
      <w:r w:rsidRPr="00ED38E9" w:rsidR="00580CF0">
        <w:rPr>
          <w:rFonts w:eastAsia="Calibri" w:cs="Arial"/>
          <w:noProof w:val="0"/>
          <w:szCs w:val="22"/>
          <w:lang w:bidi="ar-SA"/>
        </w:rPr>
        <w:t>stal</w:t>
      </w:r>
      <w:r w:rsidR="00580CF0">
        <w:rPr>
          <w:rFonts w:eastAsia="Calibri" w:cs="Arial"/>
          <w:noProof w:val="0"/>
          <w:szCs w:val="22"/>
          <w:lang w:bidi="ar-SA"/>
        </w:rPr>
        <w:t>a</w:t>
      </w:r>
      <w:r w:rsidRPr="00ED38E9" w:rsidR="00580CF0">
        <w:rPr>
          <w:rFonts w:eastAsia="Calibri" w:cs="Arial"/>
          <w:noProof w:val="0"/>
          <w:szCs w:val="22"/>
          <w:lang w:bidi="ar-SA"/>
        </w:rPr>
        <w:t xml:space="preserve"> </w:t>
      </w:r>
      <w:r w:rsidRPr="00ED38E9">
        <w:rPr>
          <w:rFonts w:eastAsia="Calibri" w:cs="Arial"/>
          <w:noProof w:val="0"/>
          <w:szCs w:val="22"/>
          <w:lang w:bidi="ar-SA"/>
        </w:rPr>
        <w:t>odpadem. Do 1. 10. 2014 bylo dovoleno vybírat PHE (</w:t>
      </w:r>
      <w:r w:rsidR="00174573">
        <w:rPr>
          <w:rFonts w:eastAsia="Calibri" w:cs="Arial"/>
          <w:noProof w:val="0"/>
          <w:szCs w:val="22"/>
          <w:lang w:bidi="ar-SA"/>
        </w:rPr>
        <w:t>r</w:t>
      </w:r>
      <w:r w:rsidRPr="00ED38E9" w:rsidR="00174573">
        <w:rPr>
          <w:rFonts w:cs="Arial"/>
          <w:lang w:eastAsia="cs-CZ"/>
        </w:rPr>
        <w:t>ecyklační</w:t>
      </w:r>
      <w:r w:rsidRPr="00ED38E9" w:rsidR="00174573">
        <w:rPr>
          <w:rFonts w:cs="Arial"/>
          <w:noProof w:val="0"/>
          <w:color w:val="000000"/>
          <w:lang w:eastAsia="cs-CZ" w:bidi="ar-SA"/>
        </w:rPr>
        <w:t xml:space="preserve"> </w:t>
      </w:r>
      <w:r w:rsidR="00174573">
        <w:rPr>
          <w:rFonts w:cs="Arial"/>
          <w:noProof w:val="0"/>
          <w:color w:val="000000"/>
          <w:lang w:eastAsia="cs-CZ" w:bidi="ar-SA"/>
        </w:rPr>
        <w:t>příspěvek</w:t>
      </w:r>
      <w:r w:rsidRPr="00ED38E9" w:rsidR="00174573">
        <w:rPr>
          <w:rFonts w:cs="Arial"/>
          <w:noProof w:val="0"/>
          <w:color w:val="000000"/>
          <w:lang w:eastAsia="cs-CZ" w:bidi="ar-SA"/>
        </w:rPr>
        <w:t xml:space="preserve"> za historická elektrozařízení</w:t>
      </w:r>
      <w:r w:rsidRPr="00ED38E9">
        <w:rPr>
          <w:rFonts w:eastAsia="Calibri" w:cs="Arial"/>
          <w:noProof w:val="0"/>
          <w:szCs w:val="22"/>
          <w:lang w:bidi="ar-SA"/>
        </w:rPr>
        <w:t xml:space="preserve">) jen některým </w:t>
      </w:r>
      <w:r w:rsidR="00D76796">
        <w:rPr>
          <w:rFonts w:eastAsia="Calibri" w:cs="Arial"/>
          <w:noProof w:val="0"/>
          <w:szCs w:val="22"/>
          <w:lang w:bidi="ar-SA"/>
        </w:rPr>
        <w:t>kolektivním systémům</w:t>
      </w:r>
      <w:r w:rsidRPr="00ED38E9">
        <w:rPr>
          <w:rFonts w:eastAsia="Calibri" w:cs="Arial"/>
          <w:noProof w:val="0"/>
          <w:szCs w:val="22"/>
          <w:lang w:bidi="ar-SA"/>
        </w:rPr>
        <w:t>. Pro</w:t>
      </w:r>
      <w:r w:rsidR="00412A89">
        <w:rPr>
          <w:rFonts w:eastAsia="Calibri" w:cs="Arial"/>
          <w:noProof w:val="0"/>
          <w:szCs w:val="22"/>
          <w:lang w:bidi="ar-SA"/>
        </w:rPr>
        <w:t> </w:t>
      </w:r>
      <w:r w:rsidRPr="00ED38E9">
        <w:rPr>
          <w:rFonts w:eastAsia="Calibri" w:cs="Arial"/>
          <w:noProof w:val="0"/>
          <w:szCs w:val="22"/>
          <w:lang w:bidi="ar-SA"/>
        </w:rPr>
        <w:t xml:space="preserve">každou skupinu </w:t>
      </w:r>
      <w:r w:rsidR="001F1EAE">
        <w:rPr>
          <w:rFonts w:eastAsia="Calibri" w:cs="Arial"/>
          <w:noProof w:val="0"/>
          <w:szCs w:val="22"/>
          <w:lang w:bidi="ar-SA"/>
        </w:rPr>
        <w:t>EEZ</w:t>
      </w:r>
      <w:r w:rsidRPr="00ED38E9" w:rsidR="001F1EAE">
        <w:rPr>
          <w:rFonts w:eastAsia="Calibri" w:cs="Arial"/>
          <w:noProof w:val="0"/>
          <w:szCs w:val="22"/>
          <w:lang w:bidi="ar-SA"/>
        </w:rPr>
        <w:t xml:space="preserve"> </w:t>
      </w:r>
      <w:r w:rsidRPr="00ED38E9">
        <w:rPr>
          <w:rFonts w:eastAsia="Calibri" w:cs="Arial"/>
          <w:noProof w:val="0"/>
          <w:szCs w:val="22"/>
          <w:lang w:bidi="ar-SA"/>
        </w:rPr>
        <w:t>tak měl zajistit financování nakládání s </w:t>
      </w:r>
      <w:r w:rsidR="001F1EAE">
        <w:rPr>
          <w:rFonts w:eastAsia="Calibri" w:cs="Arial"/>
          <w:noProof w:val="0"/>
          <w:szCs w:val="22"/>
          <w:lang w:bidi="ar-SA"/>
        </w:rPr>
        <w:t>HEEZ</w:t>
      </w:r>
      <w:r w:rsidRPr="00ED38E9">
        <w:rPr>
          <w:rFonts w:eastAsia="Calibri" w:cs="Arial"/>
          <w:noProof w:val="0"/>
          <w:szCs w:val="22"/>
          <w:lang w:bidi="ar-SA"/>
        </w:rPr>
        <w:t xml:space="preserve"> pouze jeden kolektivní systém, který byl vybrán na základě </w:t>
      </w:r>
      <w:r w:rsidR="00A977B6">
        <w:rPr>
          <w:rFonts w:eastAsia="Calibri" w:cs="Arial"/>
          <w:noProof w:val="0"/>
          <w:szCs w:val="22"/>
          <w:lang w:bidi="ar-SA"/>
        </w:rPr>
        <w:t>největšího</w:t>
      </w:r>
      <w:r w:rsidRPr="00ED38E9" w:rsidR="00A977B6">
        <w:rPr>
          <w:rFonts w:eastAsia="Calibri" w:cs="Arial"/>
          <w:noProof w:val="0"/>
          <w:szCs w:val="22"/>
          <w:lang w:bidi="ar-SA"/>
        </w:rPr>
        <w:t xml:space="preserve"> </w:t>
      </w:r>
      <w:r w:rsidRPr="00ED38E9">
        <w:rPr>
          <w:rFonts w:eastAsia="Calibri" w:cs="Arial"/>
          <w:noProof w:val="0"/>
          <w:szCs w:val="22"/>
          <w:lang w:bidi="ar-SA"/>
        </w:rPr>
        <w:t>podílu na trhu jeho výrobců. Uvedené neplatí pro</w:t>
      </w:r>
      <w:r w:rsidR="001F1EAE">
        <w:rPr>
          <w:rFonts w:eastAsia="Calibri" w:cs="Arial"/>
          <w:noProof w:val="0"/>
          <w:szCs w:val="22"/>
          <w:lang w:bidi="ar-SA"/>
        </w:rPr>
        <w:t> </w:t>
      </w:r>
      <w:r w:rsidRPr="00ED38E9">
        <w:rPr>
          <w:rFonts w:eastAsia="Calibri" w:cs="Arial"/>
          <w:noProof w:val="0"/>
          <w:szCs w:val="22"/>
          <w:lang w:bidi="ar-SA"/>
        </w:rPr>
        <w:t xml:space="preserve">skupinu 3, kde získaly v roce 2011 rozhodnutím </w:t>
      </w:r>
      <w:r w:rsidRPr="00ED38E9" w:rsidR="00A56310">
        <w:rPr>
          <w:rFonts w:eastAsia="Calibri" w:cs="Arial"/>
          <w:noProof w:val="0"/>
          <w:szCs w:val="22"/>
          <w:lang w:bidi="ar-SA"/>
        </w:rPr>
        <w:t>MŽP</w:t>
      </w:r>
      <w:r w:rsidRPr="00ED38E9">
        <w:rPr>
          <w:rFonts w:eastAsia="Calibri" w:cs="Arial"/>
          <w:noProof w:val="0"/>
          <w:szCs w:val="22"/>
          <w:lang w:bidi="ar-SA"/>
        </w:rPr>
        <w:t xml:space="preserve"> tuto možnost systémy tři (a</w:t>
      </w:r>
      <w:r w:rsidRPr="00ED38E9" w:rsidR="006E0E3D">
        <w:rPr>
          <w:rFonts w:eastAsia="Calibri" w:cs="Arial"/>
          <w:noProof w:val="0"/>
          <w:szCs w:val="22"/>
          <w:lang w:bidi="ar-SA"/>
        </w:rPr>
        <w:t> </w:t>
      </w:r>
      <w:r w:rsidRPr="00ED38E9">
        <w:rPr>
          <w:rFonts w:eastAsia="Calibri" w:cs="Arial"/>
          <w:noProof w:val="0"/>
          <w:szCs w:val="22"/>
          <w:lang w:bidi="ar-SA"/>
        </w:rPr>
        <w:t>to ty, kt</w:t>
      </w:r>
      <w:r w:rsidR="00FF0A24">
        <w:rPr>
          <w:rFonts w:eastAsia="Calibri" w:cs="Arial"/>
          <w:noProof w:val="0"/>
          <w:szCs w:val="22"/>
          <w:lang w:bidi="ar-SA"/>
        </w:rPr>
        <w:t>eré podaly v roce 2005 žádost o </w:t>
      </w:r>
      <w:r w:rsidRPr="00ED38E9">
        <w:rPr>
          <w:rFonts w:eastAsia="Calibri" w:cs="Arial"/>
          <w:noProof w:val="0"/>
          <w:szCs w:val="22"/>
          <w:lang w:bidi="ar-SA"/>
        </w:rPr>
        <w:t xml:space="preserve">zajišťování financování nakládání s HEEZ v této skupině). Od 1. 10. 2014 </w:t>
      </w:r>
      <w:r w:rsidR="00701628">
        <w:rPr>
          <w:rFonts w:eastAsia="Calibri" w:cs="Arial"/>
          <w:noProof w:val="0"/>
          <w:szCs w:val="22"/>
          <w:lang w:bidi="ar-SA"/>
        </w:rPr>
        <w:t>již legislativou není omezen počet kolektivních systémů, které smí</w:t>
      </w:r>
      <w:r w:rsidRPr="00ED38E9">
        <w:rPr>
          <w:rFonts w:eastAsia="Calibri" w:cs="Arial"/>
          <w:noProof w:val="0"/>
          <w:szCs w:val="22"/>
          <w:lang w:bidi="ar-SA"/>
        </w:rPr>
        <w:t xml:space="preserve"> vybírat poplatky za HEEZ .</w:t>
      </w:r>
      <w:r w:rsidRPr="00ED38E9">
        <w:rPr>
          <w:rFonts w:cs="Arial"/>
          <w:b/>
          <w:bCs/>
          <w:noProof w:val="0"/>
          <w:color w:val="000000"/>
          <w:sz w:val="20"/>
          <w:szCs w:val="22"/>
          <w:lang w:eastAsia="cs-CZ" w:bidi="ar-SA"/>
        </w:rPr>
        <w:t xml:space="preserve"> </w:t>
      </w:r>
    </w:p>
    <w:p w:rsidR="00ED5B2D" w:rsidRPr="00ED38E9" w:rsidP="00936929" w14:paraId="4C673CBF" w14:textId="54C27086">
      <w:pPr>
        <w:rPr>
          <w:rFonts w:eastAsia="Calibri" w:cs="Arial"/>
          <w:noProof w:val="0"/>
          <w:szCs w:val="22"/>
          <w:lang w:bidi="ar-SA"/>
        </w:rPr>
      </w:pPr>
      <w:r w:rsidRPr="00ED38E9">
        <w:rPr>
          <w:rFonts w:eastAsia="Calibri" w:cs="Arial"/>
          <w:noProof w:val="0"/>
          <w:szCs w:val="22"/>
          <w:lang w:bidi="ar-SA"/>
        </w:rPr>
        <w:t xml:space="preserve">Financování zpětného odběru a odděleného sběru závisí na tom, kdy bylo dané zboží uvedeno na trh – klíčové datum pro většinu </w:t>
      </w:r>
      <w:r w:rsidR="001F1EAE">
        <w:rPr>
          <w:rFonts w:eastAsia="Calibri" w:cs="Arial"/>
          <w:noProof w:val="0"/>
          <w:szCs w:val="22"/>
          <w:lang w:bidi="ar-SA"/>
        </w:rPr>
        <w:t>EEZ</w:t>
      </w:r>
      <w:r w:rsidRPr="00ED38E9" w:rsidR="001F1EAE">
        <w:rPr>
          <w:rFonts w:eastAsia="Calibri" w:cs="Arial"/>
          <w:noProof w:val="0"/>
          <w:szCs w:val="22"/>
          <w:lang w:bidi="ar-SA"/>
        </w:rPr>
        <w:t xml:space="preserve"> </w:t>
      </w:r>
      <w:r w:rsidRPr="00ED38E9">
        <w:rPr>
          <w:rFonts w:eastAsia="Calibri" w:cs="Arial"/>
          <w:noProof w:val="0"/>
          <w:szCs w:val="22"/>
          <w:lang w:bidi="ar-SA"/>
        </w:rPr>
        <w:t>je 13. 8. 2005, pouze pro solární panely je to 1. 1.</w:t>
      </w:r>
      <w:r w:rsidR="00412A89">
        <w:rPr>
          <w:rFonts w:eastAsia="Calibri" w:cs="Arial"/>
          <w:noProof w:val="0"/>
          <w:szCs w:val="22"/>
          <w:lang w:bidi="ar-SA"/>
        </w:rPr>
        <w:t> </w:t>
      </w:r>
      <w:r w:rsidRPr="00ED38E9">
        <w:rPr>
          <w:rFonts w:eastAsia="Calibri" w:cs="Arial"/>
          <w:noProof w:val="0"/>
          <w:szCs w:val="22"/>
          <w:lang w:bidi="ar-SA"/>
        </w:rPr>
        <w:t xml:space="preserve">2013. Pokud bylo </w:t>
      </w:r>
      <w:r w:rsidR="001F1EAE">
        <w:rPr>
          <w:rFonts w:eastAsia="Calibri" w:cs="Arial"/>
          <w:noProof w:val="0"/>
          <w:szCs w:val="22"/>
          <w:lang w:bidi="ar-SA"/>
        </w:rPr>
        <w:t>EEZ</w:t>
      </w:r>
      <w:r w:rsidRPr="00ED38E9" w:rsidR="001F1EAE">
        <w:rPr>
          <w:rFonts w:eastAsia="Calibri" w:cs="Arial"/>
          <w:noProof w:val="0"/>
          <w:szCs w:val="22"/>
          <w:lang w:bidi="ar-SA"/>
        </w:rPr>
        <w:t xml:space="preserve"> </w:t>
      </w:r>
      <w:r w:rsidRPr="00ED38E9">
        <w:rPr>
          <w:rFonts w:eastAsia="Calibri" w:cs="Arial"/>
          <w:noProof w:val="0"/>
          <w:szCs w:val="22"/>
          <w:lang w:bidi="ar-SA"/>
        </w:rPr>
        <w:t xml:space="preserve">uvedeno na trh po datu 13. 8. 2005, výrobce financuje veškerý zpětný odběr, zpracování, využití a odstranění jeho </w:t>
      </w:r>
      <w:r w:rsidR="001F1EAE">
        <w:rPr>
          <w:rFonts w:eastAsia="Calibri" w:cs="Arial"/>
          <w:noProof w:val="0"/>
          <w:szCs w:val="22"/>
          <w:lang w:bidi="ar-SA"/>
        </w:rPr>
        <w:t>EEZ</w:t>
      </w:r>
      <w:r w:rsidRPr="00ED38E9" w:rsidR="001F1EAE">
        <w:rPr>
          <w:rFonts w:eastAsia="Calibri" w:cs="Arial"/>
          <w:noProof w:val="0"/>
          <w:szCs w:val="22"/>
          <w:lang w:bidi="ar-SA"/>
        </w:rPr>
        <w:t xml:space="preserve"> </w:t>
      </w:r>
      <w:r w:rsidRPr="00ED38E9">
        <w:rPr>
          <w:rFonts w:eastAsia="Calibri" w:cs="Arial"/>
          <w:noProof w:val="0"/>
          <w:szCs w:val="22"/>
          <w:lang w:bidi="ar-SA"/>
        </w:rPr>
        <w:t>pocházející</w:t>
      </w:r>
      <w:r w:rsidRPr="00ED38E9" w:rsidR="00D178C8">
        <w:rPr>
          <w:rFonts w:eastAsia="Calibri" w:cs="Arial"/>
          <w:noProof w:val="0"/>
          <w:szCs w:val="22"/>
          <w:lang w:bidi="ar-SA"/>
        </w:rPr>
        <w:t>ch</w:t>
      </w:r>
      <w:r w:rsidRPr="00ED38E9">
        <w:rPr>
          <w:rFonts w:eastAsia="Calibri" w:cs="Arial"/>
          <w:noProof w:val="0"/>
          <w:szCs w:val="22"/>
          <w:lang w:bidi="ar-SA"/>
        </w:rPr>
        <w:t xml:space="preserve"> z domácností. Při uvedení produktu na trh je nutné tento proces finančně zajistit, a to formou účelově vázaného bankovního účtu nebo speciálním pojištěním</w:t>
      </w:r>
      <w:r w:rsidR="00373739">
        <w:rPr>
          <w:rFonts w:eastAsia="Calibri" w:cs="Arial"/>
          <w:noProof w:val="0"/>
          <w:szCs w:val="22"/>
          <w:lang w:bidi="ar-SA"/>
        </w:rPr>
        <w:t>, ledaže je výrobce zapojen do KS</w:t>
      </w:r>
      <w:r w:rsidRPr="00ED38E9">
        <w:rPr>
          <w:rFonts w:eastAsia="Calibri" w:cs="Arial"/>
          <w:noProof w:val="0"/>
          <w:szCs w:val="22"/>
          <w:lang w:bidi="ar-SA"/>
        </w:rPr>
        <w:t xml:space="preserve">. Byl-li produkt uveden na trh před 13. 8. 2005, musí všichni výrobci </w:t>
      </w:r>
      <w:r w:rsidRPr="009E05C8" w:rsidR="00580CF0">
        <w:rPr>
          <w:rFonts w:eastAsia="Calibri" w:cs="Arial"/>
          <w:noProof w:val="0"/>
          <w:szCs w:val="22"/>
          <w:lang w:bidi="ar-SA"/>
        </w:rPr>
        <w:t>činní</w:t>
      </w:r>
      <w:r w:rsidRPr="000B7CBF" w:rsidR="00580CF0">
        <w:rPr>
          <w:rFonts w:eastAsia="Calibri" w:cs="Arial"/>
          <w:noProof w:val="0"/>
          <w:szCs w:val="22"/>
          <w:lang w:bidi="ar-SA"/>
        </w:rPr>
        <w:t xml:space="preserve"> </w:t>
      </w:r>
      <w:r w:rsidRPr="00ED38E9">
        <w:rPr>
          <w:rFonts w:eastAsia="Calibri" w:cs="Arial"/>
          <w:noProof w:val="0"/>
          <w:szCs w:val="22"/>
          <w:lang w:bidi="ar-SA"/>
        </w:rPr>
        <w:t>na trhu vytvořit systém, do kterého přispívají dle svého podílu na trhu</w:t>
      </w:r>
      <w:r w:rsidR="00580CF0">
        <w:rPr>
          <w:rFonts w:eastAsia="Calibri" w:cs="Arial"/>
          <w:noProof w:val="0"/>
          <w:szCs w:val="22"/>
          <w:lang w:bidi="ar-SA"/>
        </w:rPr>
        <w:t>,</w:t>
      </w:r>
      <w:r w:rsidRPr="00ED38E9">
        <w:rPr>
          <w:rFonts w:eastAsia="Calibri" w:cs="Arial"/>
          <w:noProof w:val="0"/>
          <w:szCs w:val="22"/>
          <w:lang w:bidi="ar-SA"/>
        </w:rPr>
        <w:t xml:space="preserve"> a ze kterého bud</w:t>
      </w:r>
      <w:r w:rsidR="00373739">
        <w:rPr>
          <w:rFonts w:eastAsia="Calibri" w:cs="Arial"/>
          <w:noProof w:val="0"/>
          <w:szCs w:val="22"/>
          <w:lang w:bidi="ar-SA"/>
        </w:rPr>
        <w:t>ou</w:t>
      </w:r>
      <w:r w:rsidRPr="00ED38E9">
        <w:rPr>
          <w:rFonts w:eastAsia="Calibri" w:cs="Arial"/>
          <w:noProof w:val="0"/>
          <w:szCs w:val="22"/>
          <w:lang w:bidi="ar-SA"/>
        </w:rPr>
        <w:t xml:space="preserve"> zpětný odběr, zpracování, využití a odstranění financován</w:t>
      </w:r>
      <w:r w:rsidR="00373739">
        <w:rPr>
          <w:rFonts w:eastAsia="Calibri" w:cs="Arial"/>
          <w:noProof w:val="0"/>
          <w:szCs w:val="22"/>
          <w:lang w:bidi="ar-SA"/>
        </w:rPr>
        <w:t>y</w:t>
      </w:r>
      <w:r w:rsidRPr="00ED38E9">
        <w:rPr>
          <w:rFonts w:eastAsia="Calibri" w:cs="Arial"/>
          <w:noProof w:val="0"/>
          <w:szCs w:val="22"/>
          <w:lang w:bidi="ar-SA"/>
        </w:rPr>
        <w:t xml:space="preserve">. Jedná-li se o oddělený sběr </w:t>
      </w:r>
      <w:r w:rsidR="00373739">
        <w:rPr>
          <w:rFonts w:eastAsia="Calibri" w:cs="Arial"/>
          <w:noProof w:val="0"/>
          <w:szCs w:val="22"/>
          <w:lang w:bidi="ar-SA"/>
        </w:rPr>
        <w:t xml:space="preserve">elektroodpadu (tj. EEZ nepocházející z domácností) </w:t>
      </w:r>
      <w:r w:rsidRPr="00ED38E9">
        <w:rPr>
          <w:rFonts w:eastAsia="Calibri" w:cs="Arial"/>
          <w:noProof w:val="0"/>
          <w:szCs w:val="22"/>
          <w:lang w:bidi="ar-SA"/>
        </w:rPr>
        <w:t xml:space="preserve">pro výrobek uvedený na trh po 13. 8. 2005, výrobce zajišťuje jeho financování sám. </w:t>
      </w:r>
      <w:r w:rsidR="001F1EAE">
        <w:rPr>
          <w:rFonts w:eastAsia="Calibri" w:cs="Arial"/>
          <w:noProof w:val="0"/>
          <w:szCs w:val="22"/>
          <w:lang w:bidi="ar-SA"/>
        </w:rPr>
        <w:t>U</w:t>
      </w:r>
      <w:r w:rsidRPr="00ED38E9" w:rsidR="001F1EAE">
        <w:rPr>
          <w:rFonts w:eastAsia="Calibri" w:cs="Arial"/>
          <w:noProof w:val="0"/>
          <w:szCs w:val="22"/>
          <w:lang w:bidi="ar-SA"/>
        </w:rPr>
        <w:t xml:space="preserve"> </w:t>
      </w:r>
      <w:r w:rsidRPr="00ED38E9">
        <w:rPr>
          <w:rFonts w:eastAsia="Calibri" w:cs="Arial"/>
          <w:noProof w:val="0"/>
          <w:szCs w:val="22"/>
          <w:lang w:bidi="ar-SA"/>
        </w:rPr>
        <w:t>výrobk</w:t>
      </w:r>
      <w:r w:rsidR="001F1EAE">
        <w:rPr>
          <w:rFonts w:eastAsia="Calibri" w:cs="Arial"/>
          <w:noProof w:val="0"/>
          <w:szCs w:val="22"/>
          <w:lang w:bidi="ar-SA"/>
        </w:rPr>
        <w:t>u</w:t>
      </w:r>
      <w:r w:rsidRPr="00ED38E9">
        <w:rPr>
          <w:rFonts w:eastAsia="Calibri" w:cs="Arial"/>
          <w:noProof w:val="0"/>
          <w:szCs w:val="22"/>
          <w:lang w:bidi="ar-SA"/>
        </w:rPr>
        <w:t xml:space="preserve"> uveden</w:t>
      </w:r>
      <w:r w:rsidR="001F1EAE">
        <w:rPr>
          <w:rFonts w:eastAsia="Calibri" w:cs="Arial"/>
          <w:noProof w:val="0"/>
          <w:szCs w:val="22"/>
          <w:lang w:bidi="ar-SA"/>
        </w:rPr>
        <w:t>ého</w:t>
      </w:r>
      <w:r w:rsidRPr="00ED38E9">
        <w:rPr>
          <w:rFonts w:eastAsia="Calibri" w:cs="Arial"/>
          <w:noProof w:val="0"/>
          <w:szCs w:val="22"/>
          <w:lang w:bidi="ar-SA"/>
        </w:rPr>
        <w:t xml:space="preserve"> na trh před tímto datem záleží na tom, zda je </w:t>
      </w:r>
      <w:r w:rsidR="001F1EAE">
        <w:rPr>
          <w:rFonts w:eastAsia="Calibri" w:cs="Arial"/>
          <w:noProof w:val="0"/>
          <w:szCs w:val="22"/>
          <w:lang w:bidi="ar-SA"/>
        </w:rPr>
        <w:t>EEZ</w:t>
      </w:r>
      <w:r w:rsidRPr="00ED38E9" w:rsidR="001F1EAE">
        <w:rPr>
          <w:rFonts w:eastAsia="Calibri" w:cs="Arial"/>
          <w:noProof w:val="0"/>
          <w:szCs w:val="22"/>
          <w:lang w:bidi="ar-SA"/>
        </w:rPr>
        <w:t xml:space="preserve"> </w:t>
      </w:r>
      <w:r w:rsidRPr="00ED38E9">
        <w:rPr>
          <w:rFonts w:eastAsia="Calibri" w:cs="Arial"/>
          <w:noProof w:val="0"/>
          <w:szCs w:val="22"/>
          <w:lang w:bidi="ar-SA"/>
        </w:rPr>
        <w:t>nahrazováno výrobky stejného typu. Pokud ano, financuje proces výrobce nového zařízení</w:t>
      </w:r>
      <w:r w:rsidR="001F1EAE">
        <w:rPr>
          <w:rFonts w:eastAsia="Calibri" w:cs="Arial"/>
          <w:noProof w:val="0"/>
          <w:szCs w:val="22"/>
          <w:lang w:bidi="ar-SA"/>
        </w:rPr>
        <w:t xml:space="preserve">, a to </w:t>
      </w:r>
      <w:r w:rsidRPr="00ED38E9">
        <w:rPr>
          <w:rFonts w:eastAsia="Calibri" w:cs="Arial"/>
          <w:noProof w:val="0"/>
          <w:szCs w:val="22"/>
          <w:lang w:bidi="ar-SA"/>
        </w:rPr>
        <w:t>do</w:t>
      </w:r>
      <w:r w:rsidR="001F1EAE">
        <w:rPr>
          <w:rFonts w:eastAsia="Calibri" w:cs="Arial"/>
          <w:noProof w:val="0"/>
          <w:szCs w:val="22"/>
          <w:lang w:bidi="ar-SA"/>
        </w:rPr>
        <w:t xml:space="preserve"> výše </w:t>
      </w:r>
      <w:r w:rsidRPr="00ED38E9">
        <w:rPr>
          <w:rFonts w:eastAsia="Calibri" w:cs="Arial"/>
          <w:noProof w:val="0"/>
          <w:szCs w:val="22"/>
          <w:lang w:bidi="ar-SA"/>
        </w:rPr>
        <w:t>množství, které dodá). V případě, že nedochází k náhradě, financování je zajišťováno konečnými uživateli. Speciální kategorii tvoří solární panely. P</w:t>
      </w:r>
      <w:r w:rsidR="00373739">
        <w:rPr>
          <w:rFonts w:eastAsia="Calibri" w:cs="Arial"/>
          <w:noProof w:val="0"/>
          <w:szCs w:val="22"/>
          <w:lang w:bidi="ar-SA"/>
        </w:rPr>
        <w:t>r</w:t>
      </w:r>
      <w:r w:rsidRPr="00ED38E9">
        <w:rPr>
          <w:rFonts w:eastAsia="Calibri" w:cs="Arial"/>
          <w:noProof w:val="0"/>
          <w:szCs w:val="22"/>
          <w:lang w:bidi="ar-SA"/>
        </w:rPr>
        <w:t xml:space="preserve">o </w:t>
      </w:r>
      <w:r w:rsidR="00373739">
        <w:rPr>
          <w:rFonts w:eastAsia="Calibri" w:cs="Arial"/>
          <w:noProof w:val="0"/>
          <w:szCs w:val="22"/>
          <w:lang w:bidi="ar-SA"/>
        </w:rPr>
        <w:t>panely uvedené na trh po</w:t>
      </w:r>
      <w:r w:rsidR="001F1EAE">
        <w:rPr>
          <w:rFonts w:eastAsia="Calibri" w:cs="Arial"/>
          <w:noProof w:val="0"/>
          <w:szCs w:val="22"/>
          <w:lang w:bidi="ar-SA"/>
        </w:rPr>
        <w:t> </w:t>
      </w:r>
      <w:r w:rsidRPr="00ED38E9">
        <w:rPr>
          <w:rFonts w:eastAsia="Calibri" w:cs="Arial"/>
          <w:noProof w:val="0"/>
          <w:szCs w:val="22"/>
          <w:lang w:bidi="ar-SA"/>
        </w:rPr>
        <w:t>1.</w:t>
      </w:r>
      <w:r w:rsidR="001F1EAE">
        <w:rPr>
          <w:rFonts w:eastAsia="Calibri" w:cs="Arial"/>
          <w:noProof w:val="0"/>
          <w:szCs w:val="22"/>
          <w:lang w:bidi="ar-SA"/>
        </w:rPr>
        <w:t> </w:t>
      </w:r>
      <w:r w:rsidRPr="00ED38E9">
        <w:rPr>
          <w:rFonts w:eastAsia="Calibri" w:cs="Arial"/>
          <w:noProof w:val="0"/>
          <w:szCs w:val="22"/>
          <w:lang w:bidi="ar-SA"/>
        </w:rPr>
        <w:t>1. 2013 individuálně plnící výrobce ukládá obnos potřebný pro finanční zajištění na</w:t>
      </w:r>
      <w:r w:rsidR="001F1EAE">
        <w:rPr>
          <w:rFonts w:eastAsia="Calibri" w:cs="Arial"/>
          <w:noProof w:val="0"/>
          <w:szCs w:val="22"/>
          <w:lang w:bidi="ar-SA"/>
        </w:rPr>
        <w:t> </w:t>
      </w:r>
      <w:r w:rsidRPr="00ED38E9">
        <w:rPr>
          <w:rFonts w:eastAsia="Calibri" w:cs="Arial"/>
          <w:noProof w:val="0"/>
          <w:szCs w:val="22"/>
          <w:lang w:bidi="ar-SA"/>
        </w:rPr>
        <w:t>účelově vázaný bankovní účet ještě před uvedením solárního panelu na trh, aby nedošlo k podfinancování procesu. Za</w:t>
      </w:r>
      <w:r w:rsidR="00412A89">
        <w:rPr>
          <w:rFonts w:eastAsia="Calibri" w:cs="Arial"/>
          <w:noProof w:val="0"/>
          <w:szCs w:val="22"/>
          <w:lang w:bidi="ar-SA"/>
        </w:rPr>
        <w:t> </w:t>
      </w:r>
      <w:r w:rsidRPr="00ED38E9">
        <w:rPr>
          <w:rFonts w:eastAsia="Calibri" w:cs="Arial"/>
          <w:noProof w:val="0"/>
          <w:szCs w:val="22"/>
          <w:lang w:bidi="ar-SA"/>
        </w:rPr>
        <w:t>finanční zajištění solárních panelů uvedených na trh před</w:t>
      </w:r>
      <w:r w:rsidR="001F1EAE">
        <w:rPr>
          <w:rFonts w:eastAsia="Calibri" w:cs="Arial"/>
          <w:noProof w:val="0"/>
          <w:szCs w:val="22"/>
          <w:lang w:bidi="ar-SA"/>
        </w:rPr>
        <w:t> </w:t>
      </w:r>
      <w:r w:rsidRPr="00ED38E9">
        <w:rPr>
          <w:rFonts w:eastAsia="Calibri" w:cs="Arial"/>
          <w:noProof w:val="0"/>
          <w:szCs w:val="22"/>
          <w:lang w:bidi="ar-SA"/>
        </w:rPr>
        <w:t>1.</w:t>
      </w:r>
      <w:r w:rsidR="001F1EAE">
        <w:rPr>
          <w:rFonts w:eastAsia="Calibri" w:cs="Arial"/>
          <w:noProof w:val="0"/>
          <w:szCs w:val="22"/>
          <w:lang w:bidi="ar-SA"/>
        </w:rPr>
        <w:t> </w:t>
      </w:r>
      <w:r w:rsidRPr="00ED38E9">
        <w:rPr>
          <w:rFonts w:eastAsia="Calibri" w:cs="Arial"/>
          <w:noProof w:val="0"/>
          <w:szCs w:val="22"/>
          <w:lang w:bidi="ar-SA"/>
        </w:rPr>
        <w:t>1.</w:t>
      </w:r>
      <w:r w:rsidR="001F1EAE">
        <w:rPr>
          <w:rFonts w:eastAsia="Calibri" w:cs="Arial"/>
          <w:noProof w:val="0"/>
          <w:szCs w:val="22"/>
          <w:lang w:bidi="ar-SA"/>
        </w:rPr>
        <w:t> </w:t>
      </w:r>
      <w:r w:rsidRPr="00ED38E9">
        <w:rPr>
          <w:rFonts w:eastAsia="Calibri" w:cs="Arial"/>
          <w:noProof w:val="0"/>
          <w:szCs w:val="22"/>
          <w:lang w:bidi="ar-SA"/>
        </w:rPr>
        <w:t>2013 jsou odpovědní jejich provozovatelé, resp. provozovatelé solárních elektráren.</w:t>
      </w:r>
    </w:p>
    <w:p w:rsidR="00ED5B2D" w:rsidP="00936929" w14:paraId="2F9245AD" w14:textId="77777777">
      <w:pPr>
        <w:rPr>
          <w:rFonts w:eastAsia="Calibri" w:cs="Arial"/>
          <w:noProof w:val="0"/>
          <w:szCs w:val="22"/>
          <w:lang w:bidi="ar-SA"/>
        </w:rPr>
      </w:pPr>
      <w:r w:rsidRPr="00ED38E9">
        <w:rPr>
          <w:rFonts w:eastAsia="Calibri" w:cs="Arial"/>
          <w:noProof w:val="0"/>
          <w:szCs w:val="22"/>
          <w:lang w:bidi="ar-SA"/>
        </w:rPr>
        <w:t xml:space="preserve">Systém zpětného odběru </w:t>
      </w:r>
      <w:r w:rsidR="001F1EAE">
        <w:rPr>
          <w:rFonts w:eastAsia="Calibri" w:cs="Arial"/>
          <w:noProof w:val="0"/>
          <w:szCs w:val="22"/>
          <w:lang w:bidi="ar-SA"/>
        </w:rPr>
        <w:t xml:space="preserve">EEZ </w:t>
      </w:r>
      <w:r w:rsidRPr="00ED38E9">
        <w:rPr>
          <w:rFonts w:eastAsia="Calibri" w:cs="Arial"/>
          <w:noProof w:val="0"/>
          <w:szCs w:val="22"/>
          <w:lang w:bidi="ar-SA"/>
        </w:rPr>
        <w:t xml:space="preserve">je tedy financován prostřednictvím recyklačních </w:t>
      </w:r>
      <w:r w:rsidR="00373739">
        <w:rPr>
          <w:rFonts w:eastAsia="Calibri" w:cs="Arial"/>
          <w:noProof w:val="0"/>
          <w:szCs w:val="22"/>
          <w:lang w:bidi="ar-SA"/>
        </w:rPr>
        <w:t>příspěvků</w:t>
      </w:r>
      <w:r w:rsidRPr="00ED38E9">
        <w:rPr>
          <w:rFonts w:eastAsia="Calibri" w:cs="Arial"/>
          <w:noProof w:val="0"/>
          <w:szCs w:val="22"/>
          <w:lang w:bidi="ar-SA"/>
        </w:rPr>
        <w:t>. Současná právní úprava neumožnuje dostatečnou kontrolu nakládání s vybranými prostředky. Jedním z vedlejších cílů navrhované právní úpravy, který se odráží i v rámci samotného Hodnocení dopadů regulace, je zajištění dostatečných finančních zdrojů pro nakládání s</w:t>
      </w:r>
      <w:r w:rsidR="001F1EAE">
        <w:rPr>
          <w:rFonts w:eastAsia="Calibri" w:cs="Arial"/>
          <w:noProof w:val="0"/>
          <w:szCs w:val="22"/>
          <w:lang w:bidi="ar-SA"/>
        </w:rPr>
        <w:t xml:space="preserve"> odpadními elektrozařízeními) </w:t>
      </w:r>
      <w:r w:rsidR="00373739">
        <w:rPr>
          <w:rFonts w:eastAsia="Calibri" w:cs="Arial"/>
          <w:noProof w:val="0"/>
          <w:szCs w:val="22"/>
          <w:lang w:bidi="ar-SA"/>
        </w:rPr>
        <w:t>OEEZ</w:t>
      </w:r>
      <w:r w:rsidRPr="00ED38E9">
        <w:rPr>
          <w:rFonts w:eastAsia="Calibri" w:cs="Arial"/>
          <w:noProof w:val="0"/>
          <w:szCs w:val="22"/>
          <w:lang w:bidi="ar-SA"/>
        </w:rPr>
        <w:t xml:space="preserve"> v souladu se zákonem stanovenými požadavky při</w:t>
      </w:r>
      <w:r w:rsidR="001F1EAE">
        <w:rPr>
          <w:rFonts w:eastAsia="Calibri" w:cs="Arial"/>
          <w:noProof w:val="0"/>
          <w:szCs w:val="22"/>
          <w:lang w:bidi="ar-SA"/>
        </w:rPr>
        <w:t> </w:t>
      </w:r>
      <w:r w:rsidRPr="00ED38E9">
        <w:rPr>
          <w:rFonts w:eastAsia="Calibri" w:cs="Arial"/>
          <w:noProof w:val="0"/>
          <w:szCs w:val="22"/>
          <w:lang w:bidi="ar-SA"/>
        </w:rPr>
        <w:t>efektivním využívání vybraných prostředků. K naplnění tohoto cíle by mělo pomoci zefektivnění kontrolní činnosti veřejné správy.</w:t>
      </w:r>
      <w:r w:rsidRPr="005F4EFC" w:rsidR="005F4EFC">
        <w:rPr>
          <w:rFonts w:eastAsia="Calibri" w:cs="Arial"/>
          <w:noProof w:val="0"/>
          <w:szCs w:val="22"/>
          <w:lang w:bidi="ar-SA"/>
        </w:rPr>
        <w:t xml:space="preserve"> </w:t>
      </w:r>
      <w:r w:rsidRPr="00FD1FC9" w:rsidR="005F4EFC">
        <w:rPr>
          <w:rFonts w:eastAsia="Calibri" w:cs="Arial"/>
          <w:noProof w:val="0"/>
          <w:szCs w:val="22"/>
          <w:lang w:bidi="ar-SA"/>
        </w:rPr>
        <w:t>Z dat MŽP vyplývá</w:t>
      </w:r>
      <w:r w:rsidRPr="00FD1FC9" w:rsidR="00C957E8">
        <w:rPr>
          <w:rFonts w:eastAsia="Calibri" w:cs="Arial"/>
          <w:noProof w:val="0"/>
          <w:szCs w:val="22"/>
          <w:lang w:bidi="ar-SA"/>
        </w:rPr>
        <w:t>,</w:t>
      </w:r>
      <w:r w:rsidRPr="00FD1FC9" w:rsidR="005F4EFC">
        <w:rPr>
          <w:rFonts w:eastAsia="Calibri" w:cs="Arial"/>
          <w:noProof w:val="0"/>
          <w:szCs w:val="22"/>
          <w:lang w:bidi="ar-SA"/>
        </w:rPr>
        <w:t xml:space="preserve"> že podíl vybraného elektroodpadu na zboží uvedeném na trh se obecně zvyšuje. Od roku 2006 se tento podíl zvýšil </w:t>
      </w:r>
      <w:r w:rsidR="002B2B11">
        <w:rPr>
          <w:rFonts w:eastAsia="Calibri" w:cs="Arial"/>
          <w:noProof w:val="0"/>
          <w:szCs w:val="22"/>
          <w:lang w:bidi="ar-SA"/>
        </w:rPr>
        <w:t>skoro</w:t>
      </w:r>
      <w:r w:rsidRPr="00FD1FC9" w:rsidR="002B2B11">
        <w:rPr>
          <w:rFonts w:eastAsia="Calibri" w:cs="Arial"/>
          <w:noProof w:val="0"/>
          <w:szCs w:val="22"/>
          <w:lang w:bidi="ar-SA"/>
        </w:rPr>
        <w:t xml:space="preserve"> </w:t>
      </w:r>
      <w:r w:rsidR="00FD1FC9">
        <w:rPr>
          <w:rFonts w:eastAsia="Calibri" w:cs="Arial"/>
          <w:noProof w:val="0"/>
          <w:szCs w:val="22"/>
          <w:lang w:bidi="ar-SA"/>
        </w:rPr>
        <w:t>pětkrát</w:t>
      </w:r>
      <w:r w:rsidRPr="00FD1FC9" w:rsidR="005F4EFC">
        <w:rPr>
          <w:rFonts w:eastAsia="Calibri" w:cs="Arial"/>
          <w:noProof w:val="0"/>
          <w:szCs w:val="22"/>
          <w:lang w:bidi="ar-SA"/>
        </w:rPr>
        <w:t>. Tento pozitivní trend lze sledovat i po vyjádření míry zpětného odběru a</w:t>
      </w:r>
      <w:r w:rsidR="00FD1FC9">
        <w:rPr>
          <w:rFonts w:eastAsia="Calibri" w:cs="Arial"/>
          <w:noProof w:val="0"/>
          <w:szCs w:val="22"/>
          <w:lang w:bidi="ar-SA"/>
        </w:rPr>
        <w:t> </w:t>
      </w:r>
      <w:r w:rsidRPr="00FD1FC9" w:rsidR="005F4EFC">
        <w:rPr>
          <w:rFonts w:eastAsia="Calibri" w:cs="Arial"/>
          <w:noProof w:val="0"/>
          <w:szCs w:val="22"/>
          <w:lang w:bidi="ar-SA"/>
        </w:rPr>
        <w:t>odděleného sběru elektroodpadu v kilogramech na obyvatele za jeden rok, kde se ukazatel zvýšil od roku 2006 do roku 201</w:t>
      </w:r>
      <w:r w:rsidR="00FD1FC9">
        <w:rPr>
          <w:rFonts w:eastAsia="Calibri" w:cs="Arial"/>
          <w:noProof w:val="0"/>
          <w:szCs w:val="22"/>
          <w:lang w:bidi="ar-SA"/>
        </w:rPr>
        <w:t>6</w:t>
      </w:r>
      <w:r w:rsidRPr="00FD1FC9" w:rsidR="005F4EFC">
        <w:rPr>
          <w:rFonts w:eastAsia="Calibri" w:cs="Arial"/>
          <w:noProof w:val="0"/>
          <w:szCs w:val="22"/>
          <w:lang w:bidi="ar-SA"/>
        </w:rPr>
        <w:t xml:space="preserve"> z 2,2 na </w:t>
      </w:r>
      <w:r w:rsidR="00FD1FC9">
        <w:rPr>
          <w:rFonts w:eastAsia="Calibri" w:cs="Arial"/>
          <w:noProof w:val="0"/>
          <w:szCs w:val="22"/>
          <w:lang w:bidi="ar-SA"/>
        </w:rPr>
        <w:t>8,7</w:t>
      </w:r>
      <w:r w:rsidRPr="00FD1FC9" w:rsidR="005F4EFC">
        <w:rPr>
          <w:rFonts w:eastAsia="Calibri" w:cs="Arial"/>
          <w:noProof w:val="0"/>
          <w:szCs w:val="22"/>
          <w:lang w:bidi="ar-SA"/>
        </w:rPr>
        <w:t xml:space="preserve"> kg na obyvatele za rok. </w:t>
      </w:r>
      <w:r w:rsidR="00FD1FC9">
        <w:rPr>
          <w:rFonts w:eastAsia="Calibri" w:cs="Arial"/>
          <w:noProof w:val="0"/>
          <w:szCs w:val="22"/>
          <w:lang w:bidi="ar-SA"/>
        </w:rPr>
        <w:t xml:space="preserve">V roce 2016 splňovala ČR požadavek EU na míru úrovně sběru EEZ, které činí </w:t>
      </w:r>
      <w:r w:rsidRPr="00FD1FC9" w:rsidR="00FD1FC9">
        <w:rPr>
          <w:rFonts w:eastAsia="Calibri" w:cs="Arial"/>
          <w:noProof w:val="0"/>
          <w:szCs w:val="22"/>
          <w:lang w:bidi="ar-SA"/>
        </w:rPr>
        <w:t>45</w:t>
      </w:r>
      <w:r w:rsidR="00FD1FC9">
        <w:rPr>
          <w:rFonts w:eastAsia="Calibri" w:cs="Arial"/>
          <w:noProof w:val="0"/>
          <w:szCs w:val="22"/>
          <w:lang w:bidi="ar-SA"/>
        </w:rPr>
        <w:t xml:space="preserve"> </w:t>
      </w:r>
      <w:r w:rsidRPr="00FD1FC9" w:rsidR="00FD1FC9">
        <w:rPr>
          <w:rFonts w:eastAsia="Calibri" w:cs="Arial"/>
          <w:noProof w:val="0"/>
          <w:szCs w:val="22"/>
          <w:lang w:bidi="ar-SA"/>
        </w:rPr>
        <w:t>%</w:t>
      </w:r>
      <w:r w:rsidR="00FD1FC9">
        <w:rPr>
          <w:rFonts w:eastAsia="Calibri" w:cs="Arial"/>
          <w:noProof w:val="0"/>
          <w:szCs w:val="22"/>
          <w:lang w:bidi="ar-SA"/>
        </w:rPr>
        <w:t>.</w:t>
      </w:r>
      <w:r w:rsidRPr="00FD1FC9" w:rsidR="00FD1FC9">
        <w:rPr>
          <w:rFonts w:eastAsia="Calibri" w:cs="Arial"/>
          <w:noProof w:val="0"/>
          <w:szCs w:val="22"/>
          <w:lang w:bidi="ar-SA"/>
        </w:rPr>
        <w:t xml:space="preserve"> </w:t>
      </w:r>
      <w:r w:rsidR="00FD1FC9">
        <w:rPr>
          <w:rFonts w:eastAsia="Calibri" w:cs="Arial"/>
          <w:noProof w:val="0"/>
          <w:szCs w:val="22"/>
          <w:lang w:bidi="ar-SA"/>
        </w:rPr>
        <w:t>(</w:t>
      </w:r>
      <w:r w:rsidRPr="00FD1FC9" w:rsidR="005F4EFC">
        <w:rPr>
          <w:rFonts w:eastAsia="Calibri" w:cs="Arial"/>
          <w:noProof w:val="0"/>
          <w:szCs w:val="22"/>
          <w:lang w:bidi="ar-SA"/>
        </w:rPr>
        <w:t xml:space="preserve">ČR má </w:t>
      </w:r>
      <w:r w:rsidR="00FD1FC9">
        <w:rPr>
          <w:rFonts w:eastAsia="Calibri" w:cs="Arial"/>
          <w:noProof w:val="0"/>
          <w:szCs w:val="22"/>
          <w:lang w:bidi="ar-SA"/>
        </w:rPr>
        <w:t xml:space="preserve">zároveň </w:t>
      </w:r>
      <w:r w:rsidRPr="00FD1FC9" w:rsidR="005F4EFC">
        <w:rPr>
          <w:rFonts w:eastAsia="Calibri" w:cs="Arial"/>
          <w:noProof w:val="0"/>
          <w:szCs w:val="22"/>
          <w:lang w:bidi="ar-SA"/>
        </w:rPr>
        <w:t>spolu s dalšími státy udělenou dočasnou výjimku</w:t>
      </w:r>
      <w:r w:rsidR="00FD1FC9">
        <w:rPr>
          <w:rFonts w:eastAsia="Calibri" w:cs="Arial"/>
          <w:noProof w:val="0"/>
          <w:szCs w:val="22"/>
          <w:lang w:bidi="ar-SA"/>
        </w:rPr>
        <w:t xml:space="preserve">, kdy </w:t>
      </w:r>
      <w:r w:rsidRPr="00FD1FC9" w:rsidR="005F4EFC">
        <w:rPr>
          <w:rFonts w:eastAsia="Calibri" w:cs="Arial"/>
          <w:noProof w:val="0"/>
          <w:szCs w:val="22"/>
          <w:lang w:bidi="ar-SA"/>
        </w:rPr>
        <w:t>může dosáhnout úrovně sběru nižší než</w:t>
      </w:r>
      <w:r w:rsidR="00FD1FC9">
        <w:rPr>
          <w:rFonts w:eastAsia="Calibri" w:cs="Arial"/>
          <w:noProof w:val="0"/>
          <w:szCs w:val="22"/>
          <w:lang w:bidi="ar-SA"/>
        </w:rPr>
        <w:t> </w:t>
      </w:r>
      <w:r w:rsidRPr="00FD1FC9" w:rsidR="005F4EFC">
        <w:rPr>
          <w:rFonts w:eastAsia="Calibri" w:cs="Arial"/>
          <w:noProof w:val="0"/>
          <w:szCs w:val="22"/>
          <w:lang w:bidi="ar-SA"/>
        </w:rPr>
        <w:t>45</w:t>
      </w:r>
      <w:r w:rsidR="00FD1FC9">
        <w:rPr>
          <w:rFonts w:eastAsia="Calibri" w:cs="Arial"/>
          <w:noProof w:val="0"/>
          <w:szCs w:val="22"/>
          <w:lang w:bidi="ar-SA"/>
        </w:rPr>
        <w:t> </w:t>
      </w:r>
      <w:r w:rsidRPr="00FD1FC9" w:rsidR="005F4EFC">
        <w:rPr>
          <w:rFonts w:eastAsia="Calibri" w:cs="Arial"/>
          <w:noProof w:val="0"/>
          <w:szCs w:val="22"/>
          <w:lang w:bidi="ar-SA"/>
        </w:rPr>
        <w:t>%, ale vyšší než 40 % průměrné hmotnosti EEZ uvedených na trh v předchozích třech letech.</w:t>
      </w:r>
      <w:r w:rsidR="00FD1FC9">
        <w:rPr>
          <w:rFonts w:eastAsia="Calibri" w:cs="Arial"/>
          <w:noProof w:val="0"/>
          <w:szCs w:val="22"/>
          <w:lang w:bidi="ar-SA"/>
        </w:rPr>
        <w:t>)</w:t>
      </w:r>
    </w:p>
    <w:p w:rsidR="005F4EFC" w:rsidRPr="00E97FD5" w:rsidP="00710603" w14:paraId="1987D2F8" w14:textId="28B07F12">
      <w:pPr>
        <w:pStyle w:val="Caption"/>
        <w:spacing w:before="360"/>
        <w:rPr>
          <w:sz w:val="20"/>
          <w:szCs w:val="20"/>
        </w:rPr>
      </w:pPr>
      <w:r w:rsidRPr="00E97FD5">
        <w:rPr>
          <w:sz w:val="20"/>
          <w:szCs w:val="20"/>
        </w:rPr>
        <w:t>Tabulka</w:t>
      </w:r>
      <w:r w:rsidR="00193C68">
        <w:rPr>
          <w:sz w:val="20"/>
          <w:szCs w:val="20"/>
        </w:rPr>
        <w:t xml:space="preserve"> 2</w:t>
      </w:r>
      <w:r w:rsidR="00925F10">
        <w:rPr>
          <w:sz w:val="20"/>
          <w:szCs w:val="20"/>
        </w:rPr>
        <w:t>7</w:t>
      </w:r>
      <w:r w:rsidRPr="00E97FD5">
        <w:rPr>
          <w:sz w:val="20"/>
          <w:szCs w:val="20"/>
        </w:rPr>
        <w:t>: Vývoj zpětného odběru a odděle</w:t>
      </w:r>
      <w:r w:rsidRPr="00E97FD5" w:rsidR="00E97FD5">
        <w:rPr>
          <w:sz w:val="20"/>
          <w:szCs w:val="20"/>
        </w:rPr>
        <w:t>ného sběru v letech 2006 až 2016</w:t>
      </w:r>
      <w:r w:rsidRPr="00E97FD5">
        <w:rPr>
          <w:sz w:val="20"/>
          <w:szCs w:val="20"/>
        </w:rPr>
        <w:t xml:space="preserve"> v ČR</w:t>
      </w:r>
    </w:p>
    <w:tbl>
      <w:tblPr>
        <w:tblStyle w:val="TableGrid"/>
        <w:tblW w:w="9113" w:type="dxa"/>
        <w:tblLayout w:type="fixed"/>
        <w:tblLook w:val="04A0"/>
      </w:tblPr>
      <w:tblGrid>
        <w:gridCol w:w="1358"/>
        <w:gridCol w:w="1112"/>
        <w:gridCol w:w="974"/>
        <w:gridCol w:w="1112"/>
        <w:gridCol w:w="1123"/>
        <w:gridCol w:w="1790"/>
        <w:gridCol w:w="1644"/>
      </w:tblGrid>
      <w:tr w14:paraId="67C95CD9" w14:textId="77777777" w:rsidTr="00480662">
        <w:tblPrEx>
          <w:tblW w:w="9113" w:type="dxa"/>
          <w:tblLayout w:type="fixed"/>
          <w:tblLook w:val="04A0"/>
        </w:tblPrEx>
        <w:trPr>
          <w:trHeight w:val="1537"/>
        </w:trPr>
        <w:tc>
          <w:tcPr>
            <w:tcW w:w="1358" w:type="dxa"/>
            <w:tcBorders>
              <w:top w:val="single" w:sz="12" w:space="0" w:color="auto"/>
              <w:left w:val="single" w:sz="12" w:space="0" w:color="auto"/>
              <w:bottom w:val="single" w:sz="12" w:space="0" w:color="auto"/>
            </w:tcBorders>
            <w:shd w:val="clear" w:color="auto" w:fill="BFBFBF" w:themeFill="background1" w:themeFillShade="BF"/>
            <w:vAlign w:val="center"/>
            <w:hideMark/>
          </w:tcPr>
          <w:p w:rsidR="003A614D" w:rsidRPr="00E97FD5" w:rsidP="00B73FDF" w14:paraId="0AB534C3" w14:textId="77777777">
            <w:pPr>
              <w:keepNext/>
              <w:jc w:val="center"/>
              <w:rPr>
                <w:b/>
                <w:bCs/>
                <w:sz w:val="20"/>
                <w:szCs w:val="20"/>
              </w:rPr>
            </w:pPr>
            <w:r w:rsidRPr="00E97FD5">
              <w:rPr>
                <w:b/>
                <w:bCs/>
                <w:sz w:val="20"/>
                <w:szCs w:val="20"/>
              </w:rPr>
              <w:t>Ohlašovací období</w:t>
            </w:r>
          </w:p>
        </w:tc>
        <w:tc>
          <w:tcPr>
            <w:tcW w:w="1112" w:type="dxa"/>
            <w:tcBorders>
              <w:top w:val="single" w:sz="12" w:space="0" w:color="auto"/>
              <w:bottom w:val="single" w:sz="12" w:space="0" w:color="auto"/>
            </w:tcBorders>
            <w:shd w:val="clear" w:color="auto" w:fill="BFBFBF" w:themeFill="background1" w:themeFillShade="BF"/>
            <w:vAlign w:val="center"/>
            <w:hideMark/>
          </w:tcPr>
          <w:p w:rsidR="003A614D" w:rsidRPr="00E97FD5" w:rsidP="00B73FDF" w14:paraId="64B5C6F3" w14:textId="77777777">
            <w:pPr>
              <w:keepNext/>
              <w:jc w:val="center"/>
              <w:rPr>
                <w:b/>
                <w:bCs/>
                <w:sz w:val="20"/>
                <w:szCs w:val="20"/>
              </w:rPr>
            </w:pPr>
            <w:r w:rsidRPr="00E97FD5">
              <w:rPr>
                <w:b/>
                <w:bCs/>
                <w:sz w:val="20"/>
                <w:szCs w:val="20"/>
              </w:rPr>
              <w:t>EEZ uvedené na trh [t]</w:t>
            </w:r>
          </w:p>
        </w:tc>
        <w:tc>
          <w:tcPr>
            <w:tcW w:w="974" w:type="dxa"/>
            <w:tcBorders>
              <w:top w:val="single" w:sz="12" w:space="0" w:color="auto"/>
              <w:bottom w:val="single" w:sz="12" w:space="0" w:color="auto"/>
            </w:tcBorders>
            <w:shd w:val="clear" w:color="auto" w:fill="BFBFBF" w:themeFill="background1" w:themeFillShade="BF"/>
            <w:vAlign w:val="center"/>
            <w:hideMark/>
          </w:tcPr>
          <w:p w:rsidR="003A614D" w:rsidRPr="00E97FD5" w:rsidP="00B73FDF" w14:paraId="2C9E3544" w14:textId="77777777">
            <w:pPr>
              <w:keepNext/>
              <w:jc w:val="center"/>
              <w:rPr>
                <w:b/>
                <w:bCs/>
                <w:sz w:val="20"/>
                <w:szCs w:val="20"/>
              </w:rPr>
            </w:pPr>
            <w:r w:rsidRPr="00E97FD5">
              <w:rPr>
                <w:b/>
                <w:bCs/>
                <w:sz w:val="20"/>
                <w:szCs w:val="20"/>
              </w:rPr>
              <w:t>Zpětný odběr EEZ [t]</w:t>
            </w:r>
          </w:p>
        </w:tc>
        <w:tc>
          <w:tcPr>
            <w:tcW w:w="1112" w:type="dxa"/>
            <w:tcBorders>
              <w:top w:val="single" w:sz="12" w:space="0" w:color="auto"/>
              <w:bottom w:val="single" w:sz="12" w:space="0" w:color="auto"/>
            </w:tcBorders>
            <w:shd w:val="clear" w:color="auto" w:fill="BFBFBF" w:themeFill="background1" w:themeFillShade="BF"/>
            <w:vAlign w:val="center"/>
            <w:hideMark/>
          </w:tcPr>
          <w:p w:rsidR="003A614D" w:rsidRPr="00E97FD5" w:rsidP="00B73FDF" w14:paraId="4C6E3523" w14:textId="77777777">
            <w:pPr>
              <w:keepNext/>
              <w:jc w:val="center"/>
              <w:rPr>
                <w:b/>
                <w:bCs/>
                <w:sz w:val="20"/>
                <w:szCs w:val="20"/>
              </w:rPr>
            </w:pPr>
            <w:r w:rsidRPr="00E97FD5">
              <w:rPr>
                <w:b/>
                <w:bCs/>
                <w:sz w:val="20"/>
                <w:szCs w:val="20"/>
              </w:rPr>
              <w:t>Oddělený sběr [t]</w:t>
            </w:r>
          </w:p>
        </w:tc>
        <w:tc>
          <w:tcPr>
            <w:tcW w:w="1123" w:type="dxa"/>
            <w:tcBorders>
              <w:top w:val="single" w:sz="12" w:space="0" w:color="auto"/>
              <w:bottom w:val="single" w:sz="12" w:space="0" w:color="auto"/>
            </w:tcBorders>
            <w:shd w:val="clear" w:color="auto" w:fill="BFBFBF" w:themeFill="background1" w:themeFillShade="BF"/>
            <w:vAlign w:val="center"/>
            <w:hideMark/>
          </w:tcPr>
          <w:p w:rsidR="003A614D" w:rsidRPr="00E97FD5" w:rsidP="00B73FDF" w14:paraId="3AF96BD6" w14:textId="77777777">
            <w:pPr>
              <w:keepNext/>
              <w:jc w:val="center"/>
              <w:rPr>
                <w:b/>
                <w:bCs/>
                <w:sz w:val="20"/>
                <w:szCs w:val="20"/>
              </w:rPr>
            </w:pPr>
            <w:r w:rsidRPr="00E97FD5">
              <w:rPr>
                <w:b/>
                <w:bCs/>
                <w:sz w:val="20"/>
                <w:szCs w:val="20"/>
              </w:rPr>
              <w:t>Celkem (zpětný odběr + oddělený sběr) [t]</w:t>
            </w:r>
          </w:p>
        </w:tc>
        <w:tc>
          <w:tcPr>
            <w:tcW w:w="1790" w:type="dxa"/>
            <w:tcBorders>
              <w:top w:val="single" w:sz="12" w:space="0" w:color="auto"/>
              <w:bottom w:val="single" w:sz="12" w:space="0" w:color="auto"/>
            </w:tcBorders>
            <w:shd w:val="clear" w:color="auto" w:fill="BFBFBF" w:themeFill="background1" w:themeFillShade="BF"/>
            <w:vAlign w:val="center"/>
            <w:hideMark/>
          </w:tcPr>
          <w:p w:rsidR="003A614D" w:rsidRPr="00E97FD5" w:rsidP="00B73FDF" w14:paraId="0DAACEB5" w14:textId="77777777">
            <w:pPr>
              <w:keepNext/>
              <w:jc w:val="center"/>
              <w:rPr>
                <w:b/>
                <w:bCs/>
                <w:sz w:val="20"/>
                <w:szCs w:val="20"/>
              </w:rPr>
            </w:pPr>
            <w:r w:rsidRPr="00E97FD5">
              <w:rPr>
                <w:b/>
                <w:bCs/>
                <w:sz w:val="20"/>
                <w:szCs w:val="20"/>
              </w:rPr>
              <w:t>Úroveň zpětného odběru a odděleného sběru elektroodpadů [%]</w:t>
            </w:r>
          </w:p>
        </w:tc>
        <w:tc>
          <w:tcPr>
            <w:tcW w:w="1644" w:type="dxa"/>
            <w:tcBorders>
              <w:top w:val="single" w:sz="12" w:space="0" w:color="auto"/>
              <w:bottom w:val="single" w:sz="12" w:space="0" w:color="auto"/>
              <w:right w:val="single" w:sz="12" w:space="0" w:color="auto"/>
            </w:tcBorders>
            <w:shd w:val="clear" w:color="auto" w:fill="BFBFBF" w:themeFill="background1" w:themeFillShade="BF"/>
            <w:vAlign w:val="center"/>
            <w:hideMark/>
          </w:tcPr>
          <w:p w:rsidR="003A614D" w:rsidRPr="00E97FD5" w:rsidP="00B73FDF" w14:paraId="6CC8A0AF" w14:textId="77777777">
            <w:pPr>
              <w:keepNext/>
              <w:jc w:val="center"/>
              <w:rPr>
                <w:b/>
                <w:bCs/>
                <w:sz w:val="20"/>
                <w:szCs w:val="20"/>
              </w:rPr>
            </w:pPr>
            <w:r w:rsidRPr="00E97FD5">
              <w:rPr>
                <w:b/>
                <w:bCs/>
                <w:sz w:val="20"/>
                <w:szCs w:val="20"/>
              </w:rPr>
              <w:t>Úroveň zpětného odběru a odděleného sběru elektroodpadů [kg/obyv./rok]</w:t>
            </w:r>
          </w:p>
        </w:tc>
      </w:tr>
      <w:tr w14:paraId="7F60D1AE" w14:textId="77777777" w:rsidTr="00480662">
        <w:tblPrEx>
          <w:tblW w:w="9113" w:type="dxa"/>
          <w:tblLayout w:type="fixed"/>
          <w:tblLook w:val="04A0"/>
        </w:tblPrEx>
        <w:trPr>
          <w:trHeight w:val="307"/>
        </w:trPr>
        <w:tc>
          <w:tcPr>
            <w:tcW w:w="1358" w:type="dxa"/>
            <w:tcBorders>
              <w:top w:val="single" w:sz="12" w:space="0" w:color="auto"/>
              <w:left w:val="single" w:sz="12" w:space="0" w:color="auto"/>
            </w:tcBorders>
            <w:noWrap/>
            <w:vAlign w:val="center"/>
            <w:hideMark/>
          </w:tcPr>
          <w:p w:rsidR="003A614D" w:rsidRPr="00E97FD5" w:rsidP="00D223CD" w14:paraId="32FBD3AA" w14:textId="77777777">
            <w:pPr>
              <w:jc w:val="center"/>
              <w:rPr>
                <w:bCs/>
                <w:sz w:val="20"/>
                <w:szCs w:val="20"/>
              </w:rPr>
            </w:pPr>
            <w:r w:rsidRPr="00E97FD5">
              <w:rPr>
                <w:bCs/>
                <w:sz w:val="20"/>
                <w:szCs w:val="20"/>
              </w:rPr>
              <w:t>2006</w:t>
            </w:r>
          </w:p>
        </w:tc>
        <w:tc>
          <w:tcPr>
            <w:tcW w:w="1112" w:type="dxa"/>
            <w:tcBorders>
              <w:top w:val="single" w:sz="12" w:space="0" w:color="auto"/>
            </w:tcBorders>
            <w:noWrap/>
            <w:vAlign w:val="center"/>
            <w:hideMark/>
          </w:tcPr>
          <w:p w:rsidR="003A614D" w:rsidRPr="00E97FD5" w:rsidP="00D223CD" w14:paraId="01F3EAA4" w14:textId="77777777">
            <w:pPr>
              <w:jc w:val="center"/>
              <w:rPr>
                <w:sz w:val="20"/>
                <w:szCs w:val="20"/>
              </w:rPr>
            </w:pPr>
            <w:r w:rsidRPr="00E97FD5">
              <w:rPr>
                <w:sz w:val="20"/>
                <w:szCs w:val="20"/>
              </w:rPr>
              <w:t>196 967</w:t>
            </w:r>
          </w:p>
        </w:tc>
        <w:tc>
          <w:tcPr>
            <w:tcW w:w="974" w:type="dxa"/>
            <w:tcBorders>
              <w:top w:val="single" w:sz="12" w:space="0" w:color="auto"/>
            </w:tcBorders>
            <w:noWrap/>
            <w:vAlign w:val="center"/>
            <w:hideMark/>
          </w:tcPr>
          <w:p w:rsidR="003A614D" w:rsidRPr="00E97FD5" w:rsidP="00D223CD" w14:paraId="057D4CCE" w14:textId="77777777">
            <w:pPr>
              <w:jc w:val="center"/>
              <w:rPr>
                <w:sz w:val="20"/>
                <w:szCs w:val="20"/>
              </w:rPr>
            </w:pPr>
            <w:r w:rsidRPr="00E97FD5">
              <w:rPr>
                <w:sz w:val="20"/>
                <w:szCs w:val="20"/>
              </w:rPr>
              <w:t>21 138</w:t>
            </w:r>
          </w:p>
        </w:tc>
        <w:tc>
          <w:tcPr>
            <w:tcW w:w="1112" w:type="dxa"/>
            <w:tcBorders>
              <w:top w:val="single" w:sz="12" w:space="0" w:color="auto"/>
            </w:tcBorders>
            <w:noWrap/>
            <w:vAlign w:val="center"/>
            <w:hideMark/>
          </w:tcPr>
          <w:p w:rsidR="003A614D" w:rsidRPr="00E97FD5" w:rsidP="00D223CD" w14:paraId="32F8294C" w14:textId="77777777">
            <w:pPr>
              <w:jc w:val="center"/>
              <w:rPr>
                <w:sz w:val="20"/>
                <w:szCs w:val="20"/>
              </w:rPr>
            </w:pPr>
            <w:r w:rsidRPr="00E97FD5">
              <w:rPr>
                <w:sz w:val="20"/>
                <w:szCs w:val="20"/>
              </w:rPr>
              <w:t>1 032</w:t>
            </w:r>
          </w:p>
        </w:tc>
        <w:tc>
          <w:tcPr>
            <w:tcW w:w="1123" w:type="dxa"/>
            <w:tcBorders>
              <w:top w:val="single" w:sz="12" w:space="0" w:color="auto"/>
            </w:tcBorders>
            <w:noWrap/>
            <w:vAlign w:val="center"/>
            <w:hideMark/>
          </w:tcPr>
          <w:p w:rsidR="003A614D" w:rsidRPr="00E97FD5" w:rsidP="00D223CD" w14:paraId="75550464" w14:textId="77777777">
            <w:pPr>
              <w:jc w:val="center"/>
              <w:rPr>
                <w:sz w:val="20"/>
                <w:szCs w:val="20"/>
              </w:rPr>
            </w:pPr>
            <w:r w:rsidRPr="00E97FD5">
              <w:rPr>
                <w:sz w:val="20"/>
                <w:szCs w:val="20"/>
              </w:rPr>
              <w:t>22 170</w:t>
            </w:r>
          </w:p>
        </w:tc>
        <w:tc>
          <w:tcPr>
            <w:tcW w:w="1790" w:type="dxa"/>
            <w:tcBorders>
              <w:top w:val="single" w:sz="12" w:space="0" w:color="auto"/>
            </w:tcBorders>
            <w:noWrap/>
            <w:vAlign w:val="center"/>
            <w:hideMark/>
          </w:tcPr>
          <w:p w:rsidR="003A614D" w:rsidRPr="00E97FD5" w:rsidP="00D223CD" w14:paraId="59965F55" w14:textId="77777777">
            <w:pPr>
              <w:jc w:val="center"/>
              <w:rPr>
                <w:sz w:val="20"/>
                <w:szCs w:val="20"/>
              </w:rPr>
            </w:pPr>
            <w:r w:rsidRPr="00E97FD5">
              <w:rPr>
                <w:sz w:val="20"/>
                <w:szCs w:val="20"/>
              </w:rPr>
              <w:t>11,3</w:t>
            </w:r>
          </w:p>
        </w:tc>
        <w:tc>
          <w:tcPr>
            <w:tcW w:w="1644" w:type="dxa"/>
            <w:tcBorders>
              <w:top w:val="single" w:sz="12" w:space="0" w:color="auto"/>
              <w:right w:val="single" w:sz="12" w:space="0" w:color="auto"/>
            </w:tcBorders>
            <w:noWrap/>
            <w:vAlign w:val="center"/>
            <w:hideMark/>
          </w:tcPr>
          <w:p w:rsidR="003A614D" w:rsidRPr="00E97FD5" w:rsidP="00D223CD" w14:paraId="78D430CB" w14:textId="77777777">
            <w:pPr>
              <w:jc w:val="center"/>
              <w:rPr>
                <w:sz w:val="20"/>
                <w:szCs w:val="20"/>
              </w:rPr>
            </w:pPr>
            <w:r w:rsidRPr="00E97FD5">
              <w:rPr>
                <w:sz w:val="20"/>
                <w:szCs w:val="20"/>
              </w:rPr>
              <w:t>2,2</w:t>
            </w:r>
          </w:p>
        </w:tc>
      </w:tr>
      <w:tr w14:paraId="2F851FE5"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4058FCD1" w14:textId="77777777">
            <w:pPr>
              <w:jc w:val="center"/>
              <w:rPr>
                <w:bCs/>
                <w:sz w:val="20"/>
                <w:szCs w:val="20"/>
              </w:rPr>
            </w:pPr>
            <w:r w:rsidRPr="00E97FD5">
              <w:rPr>
                <w:bCs/>
                <w:sz w:val="20"/>
                <w:szCs w:val="20"/>
              </w:rPr>
              <w:t>2007</w:t>
            </w:r>
          </w:p>
        </w:tc>
        <w:tc>
          <w:tcPr>
            <w:tcW w:w="1112" w:type="dxa"/>
            <w:noWrap/>
            <w:vAlign w:val="center"/>
            <w:hideMark/>
          </w:tcPr>
          <w:p w:rsidR="003A614D" w:rsidRPr="00E97FD5" w:rsidP="00D223CD" w14:paraId="30E7BA77" w14:textId="77777777">
            <w:pPr>
              <w:jc w:val="center"/>
              <w:rPr>
                <w:sz w:val="20"/>
                <w:szCs w:val="20"/>
              </w:rPr>
            </w:pPr>
            <w:r w:rsidRPr="00E97FD5">
              <w:rPr>
                <w:sz w:val="20"/>
                <w:szCs w:val="20"/>
              </w:rPr>
              <w:t>199 857</w:t>
            </w:r>
          </w:p>
        </w:tc>
        <w:tc>
          <w:tcPr>
            <w:tcW w:w="974" w:type="dxa"/>
            <w:noWrap/>
            <w:vAlign w:val="center"/>
            <w:hideMark/>
          </w:tcPr>
          <w:p w:rsidR="003A614D" w:rsidRPr="00E97FD5" w:rsidP="00D223CD" w14:paraId="44E92738" w14:textId="77777777">
            <w:pPr>
              <w:jc w:val="center"/>
              <w:rPr>
                <w:sz w:val="20"/>
                <w:szCs w:val="20"/>
              </w:rPr>
            </w:pPr>
            <w:r w:rsidRPr="00E97FD5">
              <w:rPr>
                <w:sz w:val="20"/>
                <w:szCs w:val="20"/>
              </w:rPr>
              <w:t>31 581</w:t>
            </w:r>
          </w:p>
        </w:tc>
        <w:tc>
          <w:tcPr>
            <w:tcW w:w="1112" w:type="dxa"/>
            <w:noWrap/>
            <w:vAlign w:val="center"/>
            <w:hideMark/>
          </w:tcPr>
          <w:p w:rsidR="003A614D" w:rsidRPr="00E97FD5" w:rsidP="00D223CD" w14:paraId="3F926DD4" w14:textId="77777777">
            <w:pPr>
              <w:jc w:val="center"/>
              <w:rPr>
                <w:sz w:val="20"/>
                <w:szCs w:val="20"/>
              </w:rPr>
            </w:pPr>
            <w:r w:rsidRPr="00E97FD5">
              <w:rPr>
                <w:sz w:val="20"/>
                <w:szCs w:val="20"/>
              </w:rPr>
              <w:t>1 348</w:t>
            </w:r>
          </w:p>
        </w:tc>
        <w:tc>
          <w:tcPr>
            <w:tcW w:w="1123" w:type="dxa"/>
            <w:noWrap/>
            <w:vAlign w:val="center"/>
            <w:hideMark/>
          </w:tcPr>
          <w:p w:rsidR="003A614D" w:rsidRPr="00E97FD5" w:rsidP="00D223CD" w14:paraId="6F8C39BA" w14:textId="77777777">
            <w:pPr>
              <w:jc w:val="center"/>
              <w:rPr>
                <w:sz w:val="20"/>
                <w:szCs w:val="20"/>
              </w:rPr>
            </w:pPr>
            <w:r w:rsidRPr="00E97FD5">
              <w:rPr>
                <w:sz w:val="20"/>
                <w:szCs w:val="20"/>
              </w:rPr>
              <w:t>32 929</w:t>
            </w:r>
          </w:p>
        </w:tc>
        <w:tc>
          <w:tcPr>
            <w:tcW w:w="1790" w:type="dxa"/>
            <w:noWrap/>
            <w:vAlign w:val="center"/>
            <w:hideMark/>
          </w:tcPr>
          <w:p w:rsidR="003A614D" w:rsidRPr="00E97FD5" w:rsidP="00D223CD" w14:paraId="718F7AFF" w14:textId="77777777">
            <w:pPr>
              <w:jc w:val="center"/>
              <w:rPr>
                <w:sz w:val="20"/>
                <w:szCs w:val="20"/>
              </w:rPr>
            </w:pPr>
            <w:r w:rsidRPr="00E97FD5">
              <w:rPr>
                <w:sz w:val="20"/>
                <w:szCs w:val="20"/>
              </w:rPr>
              <w:t>16,5</w:t>
            </w:r>
          </w:p>
        </w:tc>
        <w:tc>
          <w:tcPr>
            <w:tcW w:w="1644" w:type="dxa"/>
            <w:tcBorders>
              <w:right w:val="single" w:sz="12" w:space="0" w:color="auto"/>
            </w:tcBorders>
            <w:noWrap/>
            <w:vAlign w:val="center"/>
            <w:hideMark/>
          </w:tcPr>
          <w:p w:rsidR="003A614D" w:rsidRPr="00E97FD5" w:rsidP="00D223CD" w14:paraId="286E6E2B" w14:textId="77777777">
            <w:pPr>
              <w:jc w:val="center"/>
              <w:rPr>
                <w:sz w:val="20"/>
                <w:szCs w:val="20"/>
              </w:rPr>
            </w:pPr>
            <w:r w:rsidRPr="00E97FD5">
              <w:rPr>
                <w:sz w:val="20"/>
                <w:szCs w:val="20"/>
              </w:rPr>
              <w:t>3,2</w:t>
            </w:r>
          </w:p>
        </w:tc>
      </w:tr>
      <w:tr w14:paraId="298B3A15"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2125577B" w14:textId="77777777">
            <w:pPr>
              <w:jc w:val="center"/>
              <w:rPr>
                <w:bCs/>
                <w:sz w:val="20"/>
                <w:szCs w:val="20"/>
              </w:rPr>
            </w:pPr>
            <w:r w:rsidRPr="00E97FD5">
              <w:rPr>
                <w:bCs/>
                <w:sz w:val="20"/>
                <w:szCs w:val="20"/>
              </w:rPr>
              <w:t>2008</w:t>
            </w:r>
          </w:p>
        </w:tc>
        <w:tc>
          <w:tcPr>
            <w:tcW w:w="1112" w:type="dxa"/>
            <w:noWrap/>
            <w:vAlign w:val="center"/>
            <w:hideMark/>
          </w:tcPr>
          <w:p w:rsidR="003A614D" w:rsidRPr="00E97FD5" w:rsidP="00D223CD" w14:paraId="3099C182" w14:textId="77777777">
            <w:pPr>
              <w:jc w:val="center"/>
              <w:rPr>
                <w:sz w:val="20"/>
                <w:szCs w:val="20"/>
              </w:rPr>
            </w:pPr>
            <w:r w:rsidRPr="00E97FD5">
              <w:rPr>
                <w:sz w:val="20"/>
                <w:szCs w:val="20"/>
              </w:rPr>
              <w:t>207 207</w:t>
            </w:r>
          </w:p>
        </w:tc>
        <w:tc>
          <w:tcPr>
            <w:tcW w:w="974" w:type="dxa"/>
            <w:noWrap/>
            <w:vAlign w:val="center"/>
            <w:hideMark/>
          </w:tcPr>
          <w:p w:rsidR="003A614D" w:rsidRPr="00E97FD5" w:rsidP="00D223CD" w14:paraId="15A15812" w14:textId="77777777">
            <w:pPr>
              <w:jc w:val="center"/>
              <w:rPr>
                <w:sz w:val="20"/>
                <w:szCs w:val="20"/>
              </w:rPr>
            </w:pPr>
            <w:r w:rsidRPr="00E97FD5">
              <w:rPr>
                <w:sz w:val="20"/>
                <w:szCs w:val="20"/>
              </w:rPr>
              <w:t>43 858</w:t>
            </w:r>
          </w:p>
        </w:tc>
        <w:tc>
          <w:tcPr>
            <w:tcW w:w="1112" w:type="dxa"/>
            <w:noWrap/>
            <w:vAlign w:val="center"/>
            <w:hideMark/>
          </w:tcPr>
          <w:p w:rsidR="003A614D" w:rsidRPr="00E97FD5" w:rsidP="00D223CD" w14:paraId="69BC54B9" w14:textId="77777777">
            <w:pPr>
              <w:jc w:val="center"/>
              <w:rPr>
                <w:sz w:val="20"/>
                <w:szCs w:val="20"/>
              </w:rPr>
            </w:pPr>
            <w:r w:rsidRPr="00E97FD5">
              <w:rPr>
                <w:sz w:val="20"/>
                <w:szCs w:val="20"/>
              </w:rPr>
              <w:t>676</w:t>
            </w:r>
          </w:p>
        </w:tc>
        <w:tc>
          <w:tcPr>
            <w:tcW w:w="1123" w:type="dxa"/>
            <w:noWrap/>
            <w:vAlign w:val="center"/>
            <w:hideMark/>
          </w:tcPr>
          <w:p w:rsidR="003A614D" w:rsidRPr="00E97FD5" w:rsidP="00D223CD" w14:paraId="790B2129" w14:textId="77777777">
            <w:pPr>
              <w:jc w:val="center"/>
              <w:rPr>
                <w:sz w:val="20"/>
                <w:szCs w:val="20"/>
              </w:rPr>
            </w:pPr>
            <w:r w:rsidRPr="00E97FD5">
              <w:rPr>
                <w:sz w:val="20"/>
                <w:szCs w:val="20"/>
              </w:rPr>
              <w:t>44 534</w:t>
            </w:r>
          </w:p>
        </w:tc>
        <w:tc>
          <w:tcPr>
            <w:tcW w:w="1790" w:type="dxa"/>
            <w:noWrap/>
            <w:vAlign w:val="center"/>
            <w:hideMark/>
          </w:tcPr>
          <w:p w:rsidR="003A614D" w:rsidRPr="00E97FD5" w:rsidP="00D223CD" w14:paraId="3B040793" w14:textId="77777777">
            <w:pPr>
              <w:jc w:val="center"/>
              <w:rPr>
                <w:sz w:val="20"/>
                <w:szCs w:val="20"/>
              </w:rPr>
            </w:pPr>
            <w:r w:rsidRPr="00E97FD5">
              <w:rPr>
                <w:sz w:val="20"/>
                <w:szCs w:val="20"/>
              </w:rPr>
              <w:t>21,5</w:t>
            </w:r>
          </w:p>
        </w:tc>
        <w:tc>
          <w:tcPr>
            <w:tcW w:w="1644" w:type="dxa"/>
            <w:tcBorders>
              <w:right w:val="single" w:sz="12" w:space="0" w:color="auto"/>
            </w:tcBorders>
            <w:noWrap/>
            <w:vAlign w:val="center"/>
            <w:hideMark/>
          </w:tcPr>
          <w:p w:rsidR="003A614D" w:rsidRPr="00E97FD5" w:rsidP="00D223CD" w14:paraId="24A3589D" w14:textId="77777777">
            <w:pPr>
              <w:jc w:val="center"/>
              <w:rPr>
                <w:sz w:val="20"/>
                <w:szCs w:val="20"/>
              </w:rPr>
            </w:pPr>
            <w:r w:rsidRPr="00E97FD5">
              <w:rPr>
                <w:sz w:val="20"/>
                <w:szCs w:val="20"/>
              </w:rPr>
              <w:t>4,3</w:t>
            </w:r>
          </w:p>
        </w:tc>
      </w:tr>
      <w:tr w14:paraId="1452E20B"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5D3FF033" w14:textId="77777777">
            <w:pPr>
              <w:jc w:val="center"/>
              <w:rPr>
                <w:bCs/>
                <w:sz w:val="20"/>
                <w:szCs w:val="20"/>
              </w:rPr>
            </w:pPr>
            <w:r w:rsidRPr="00E97FD5">
              <w:rPr>
                <w:bCs/>
                <w:sz w:val="20"/>
                <w:szCs w:val="20"/>
              </w:rPr>
              <w:t>2009</w:t>
            </w:r>
          </w:p>
        </w:tc>
        <w:tc>
          <w:tcPr>
            <w:tcW w:w="1112" w:type="dxa"/>
            <w:noWrap/>
            <w:vAlign w:val="center"/>
            <w:hideMark/>
          </w:tcPr>
          <w:p w:rsidR="003A614D" w:rsidRPr="00E97FD5" w:rsidP="00D223CD" w14:paraId="78EEB3AF" w14:textId="77777777">
            <w:pPr>
              <w:jc w:val="center"/>
              <w:rPr>
                <w:sz w:val="20"/>
                <w:szCs w:val="20"/>
              </w:rPr>
            </w:pPr>
            <w:r w:rsidRPr="00E97FD5">
              <w:rPr>
                <w:sz w:val="20"/>
                <w:szCs w:val="20"/>
              </w:rPr>
              <w:t>181 844</w:t>
            </w:r>
          </w:p>
        </w:tc>
        <w:tc>
          <w:tcPr>
            <w:tcW w:w="974" w:type="dxa"/>
            <w:noWrap/>
            <w:vAlign w:val="center"/>
            <w:hideMark/>
          </w:tcPr>
          <w:p w:rsidR="003A614D" w:rsidRPr="00E97FD5" w:rsidP="00D223CD" w14:paraId="787034A3" w14:textId="77777777">
            <w:pPr>
              <w:jc w:val="center"/>
              <w:rPr>
                <w:sz w:val="20"/>
                <w:szCs w:val="20"/>
              </w:rPr>
            </w:pPr>
            <w:r w:rsidRPr="00E97FD5">
              <w:rPr>
                <w:sz w:val="20"/>
                <w:szCs w:val="20"/>
              </w:rPr>
              <w:t>56 643</w:t>
            </w:r>
          </w:p>
        </w:tc>
        <w:tc>
          <w:tcPr>
            <w:tcW w:w="1112" w:type="dxa"/>
            <w:noWrap/>
            <w:vAlign w:val="center"/>
            <w:hideMark/>
          </w:tcPr>
          <w:p w:rsidR="003A614D" w:rsidRPr="00E97FD5" w:rsidP="00D223CD" w14:paraId="03A038FF" w14:textId="77777777">
            <w:pPr>
              <w:jc w:val="center"/>
              <w:rPr>
                <w:sz w:val="20"/>
                <w:szCs w:val="20"/>
              </w:rPr>
            </w:pPr>
            <w:r w:rsidRPr="00E97FD5">
              <w:rPr>
                <w:sz w:val="20"/>
                <w:szCs w:val="20"/>
              </w:rPr>
              <w:t>1 563</w:t>
            </w:r>
          </w:p>
        </w:tc>
        <w:tc>
          <w:tcPr>
            <w:tcW w:w="1123" w:type="dxa"/>
            <w:noWrap/>
            <w:vAlign w:val="center"/>
            <w:hideMark/>
          </w:tcPr>
          <w:p w:rsidR="003A614D" w:rsidRPr="00E97FD5" w:rsidP="00D223CD" w14:paraId="34B731C7" w14:textId="77777777">
            <w:pPr>
              <w:jc w:val="center"/>
              <w:rPr>
                <w:sz w:val="20"/>
                <w:szCs w:val="20"/>
              </w:rPr>
            </w:pPr>
            <w:r w:rsidRPr="00E97FD5">
              <w:rPr>
                <w:sz w:val="20"/>
                <w:szCs w:val="20"/>
              </w:rPr>
              <w:t>58 206</w:t>
            </w:r>
          </w:p>
        </w:tc>
        <w:tc>
          <w:tcPr>
            <w:tcW w:w="1790" w:type="dxa"/>
            <w:noWrap/>
            <w:vAlign w:val="center"/>
            <w:hideMark/>
          </w:tcPr>
          <w:p w:rsidR="003A614D" w:rsidRPr="00E97FD5" w:rsidP="00D223CD" w14:paraId="72FD8066" w14:textId="77777777">
            <w:pPr>
              <w:jc w:val="center"/>
              <w:rPr>
                <w:sz w:val="20"/>
                <w:szCs w:val="20"/>
              </w:rPr>
            </w:pPr>
            <w:r w:rsidRPr="00E97FD5">
              <w:rPr>
                <w:sz w:val="20"/>
                <w:szCs w:val="20"/>
              </w:rPr>
              <w:t>32,0</w:t>
            </w:r>
          </w:p>
        </w:tc>
        <w:tc>
          <w:tcPr>
            <w:tcW w:w="1644" w:type="dxa"/>
            <w:tcBorders>
              <w:right w:val="single" w:sz="12" w:space="0" w:color="auto"/>
            </w:tcBorders>
            <w:noWrap/>
            <w:vAlign w:val="center"/>
            <w:hideMark/>
          </w:tcPr>
          <w:p w:rsidR="003A614D" w:rsidRPr="00E97FD5" w:rsidP="00D223CD" w14:paraId="0233B27C" w14:textId="77777777">
            <w:pPr>
              <w:jc w:val="center"/>
              <w:rPr>
                <w:sz w:val="20"/>
                <w:szCs w:val="20"/>
              </w:rPr>
            </w:pPr>
            <w:r w:rsidRPr="00E97FD5">
              <w:rPr>
                <w:sz w:val="20"/>
                <w:szCs w:val="20"/>
              </w:rPr>
              <w:t>5,5</w:t>
            </w:r>
          </w:p>
        </w:tc>
      </w:tr>
      <w:tr w14:paraId="67794E98"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4AB66CCE" w14:textId="77777777">
            <w:pPr>
              <w:jc w:val="center"/>
              <w:rPr>
                <w:bCs/>
                <w:sz w:val="20"/>
                <w:szCs w:val="20"/>
              </w:rPr>
            </w:pPr>
            <w:r w:rsidRPr="00E97FD5">
              <w:rPr>
                <w:bCs/>
                <w:sz w:val="20"/>
                <w:szCs w:val="20"/>
              </w:rPr>
              <w:t>2010</w:t>
            </w:r>
          </w:p>
        </w:tc>
        <w:tc>
          <w:tcPr>
            <w:tcW w:w="1112" w:type="dxa"/>
            <w:noWrap/>
            <w:vAlign w:val="center"/>
            <w:hideMark/>
          </w:tcPr>
          <w:p w:rsidR="003A614D" w:rsidRPr="00E97FD5" w:rsidP="00D223CD" w14:paraId="5378FD24" w14:textId="77777777">
            <w:pPr>
              <w:jc w:val="center"/>
              <w:rPr>
                <w:sz w:val="20"/>
                <w:szCs w:val="20"/>
              </w:rPr>
            </w:pPr>
            <w:r w:rsidRPr="00E97FD5">
              <w:rPr>
                <w:sz w:val="20"/>
                <w:szCs w:val="20"/>
              </w:rPr>
              <w:t>166 063</w:t>
            </w:r>
          </w:p>
        </w:tc>
        <w:tc>
          <w:tcPr>
            <w:tcW w:w="974" w:type="dxa"/>
            <w:noWrap/>
            <w:vAlign w:val="center"/>
            <w:hideMark/>
          </w:tcPr>
          <w:p w:rsidR="003A614D" w:rsidRPr="00E97FD5" w:rsidP="00D223CD" w14:paraId="639433E7" w14:textId="77777777">
            <w:pPr>
              <w:jc w:val="center"/>
              <w:rPr>
                <w:sz w:val="20"/>
                <w:szCs w:val="20"/>
              </w:rPr>
            </w:pPr>
            <w:r w:rsidRPr="00E97FD5">
              <w:rPr>
                <w:sz w:val="20"/>
                <w:szCs w:val="20"/>
              </w:rPr>
              <w:t>52 119</w:t>
            </w:r>
          </w:p>
        </w:tc>
        <w:tc>
          <w:tcPr>
            <w:tcW w:w="1112" w:type="dxa"/>
            <w:noWrap/>
            <w:vAlign w:val="center"/>
            <w:hideMark/>
          </w:tcPr>
          <w:p w:rsidR="003A614D" w:rsidRPr="00E97FD5" w:rsidP="00D223CD" w14:paraId="47981F5A" w14:textId="77777777">
            <w:pPr>
              <w:jc w:val="center"/>
              <w:rPr>
                <w:sz w:val="20"/>
                <w:szCs w:val="20"/>
              </w:rPr>
            </w:pPr>
            <w:r w:rsidRPr="00E97FD5">
              <w:rPr>
                <w:sz w:val="20"/>
                <w:szCs w:val="20"/>
              </w:rPr>
              <w:t>870</w:t>
            </w:r>
          </w:p>
        </w:tc>
        <w:tc>
          <w:tcPr>
            <w:tcW w:w="1123" w:type="dxa"/>
            <w:noWrap/>
            <w:vAlign w:val="center"/>
            <w:hideMark/>
          </w:tcPr>
          <w:p w:rsidR="003A614D" w:rsidRPr="00E97FD5" w:rsidP="00D223CD" w14:paraId="31F791E5" w14:textId="77777777">
            <w:pPr>
              <w:jc w:val="center"/>
              <w:rPr>
                <w:sz w:val="20"/>
                <w:szCs w:val="20"/>
              </w:rPr>
            </w:pPr>
            <w:r w:rsidRPr="00E97FD5">
              <w:rPr>
                <w:sz w:val="20"/>
                <w:szCs w:val="20"/>
              </w:rPr>
              <w:t>52 989</w:t>
            </w:r>
          </w:p>
        </w:tc>
        <w:tc>
          <w:tcPr>
            <w:tcW w:w="1790" w:type="dxa"/>
            <w:noWrap/>
            <w:vAlign w:val="center"/>
            <w:hideMark/>
          </w:tcPr>
          <w:p w:rsidR="003A614D" w:rsidRPr="00E97FD5" w:rsidP="00D223CD" w14:paraId="01A4BBA3" w14:textId="77777777">
            <w:pPr>
              <w:jc w:val="center"/>
              <w:rPr>
                <w:sz w:val="20"/>
                <w:szCs w:val="20"/>
              </w:rPr>
            </w:pPr>
            <w:r w:rsidRPr="00E97FD5">
              <w:rPr>
                <w:sz w:val="20"/>
                <w:szCs w:val="20"/>
              </w:rPr>
              <w:t>31,9</w:t>
            </w:r>
          </w:p>
        </w:tc>
        <w:tc>
          <w:tcPr>
            <w:tcW w:w="1644" w:type="dxa"/>
            <w:tcBorders>
              <w:right w:val="single" w:sz="12" w:space="0" w:color="auto"/>
            </w:tcBorders>
            <w:noWrap/>
            <w:vAlign w:val="center"/>
            <w:hideMark/>
          </w:tcPr>
          <w:p w:rsidR="003A614D" w:rsidRPr="00E97FD5" w:rsidP="00D223CD" w14:paraId="27BF0D98" w14:textId="77777777">
            <w:pPr>
              <w:jc w:val="center"/>
              <w:rPr>
                <w:sz w:val="20"/>
                <w:szCs w:val="20"/>
              </w:rPr>
            </w:pPr>
            <w:r w:rsidRPr="00E97FD5">
              <w:rPr>
                <w:sz w:val="20"/>
                <w:szCs w:val="20"/>
              </w:rPr>
              <w:t>5,0</w:t>
            </w:r>
          </w:p>
        </w:tc>
      </w:tr>
      <w:tr w14:paraId="757B48A3"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33C90269" w14:textId="77777777">
            <w:pPr>
              <w:jc w:val="center"/>
              <w:rPr>
                <w:bCs/>
                <w:sz w:val="20"/>
                <w:szCs w:val="20"/>
              </w:rPr>
            </w:pPr>
            <w:r w:rsidRPr="00E97FD5">
              <w:rPr>
                <w:bCs/>
                <w:sz w:val="20"/>
                <w:szCs w:val="20"/>
              </w:rPr>
              <w:t>2011</w:t>
            </w:r>
          </w:p>
        </w:tc>
        <w:tc>
          <w:tcPr>
            <w:tcW w:w="1112" w:type="dxa"/>
            <w:noWrap/>
            <w:vAlign w:val="center"/>
            <w:hideMark/>
          </w:tcPr>
          <w:p w:rsidR="003A614D" w:rsidRPr="00E97FD5" w:rsidP="00D223CD" w14:paraId="416E4891" w14:textId="77777777">
            <w:pPr>
              <w:jc w:val="center"/>
              <w:rPr>
                <w:sz w:val="20"/>
                <w:szCs w:val="20"/>
              </w:rPr>
            </w:pPr>
            <w:r w:rsidRPr="00E97FD5">
              <w:rPr>
                <w:sz w:val="20"/>
                <w:szCs w:val="20"/>
              </w:rPr>
              <w:t>182 324</w:t>
            </w:r>
          </w:p>
        </w:tc>
        <w:tc>
          <w:tcPr>
            <w:tcW w:w="974" w:type="dxa"/>
            <w:noWrap/>
            <w:vAlign w:val="center"/>
            <w:hideMark/>
          </w:tcPr>
          <w:p w:rsidR="003A614D" w:rsidRPr="00E97FD5" w:rsidP="00D223CD" w14:paraId="3EE2B506" w14:textId="77777777">
            <w:pPr>
              <w:jc w:val="center"/>
              <w:rPr>
                <w:sz w:val="20"/>
                <w:szCs w:val="20"/>
              </w:rPr>
            </w:pPr>
            <w:r w:rsidRPr="00E97FD5">
              <w:rPr>
                <w:sz w:val="20"/>
                <w:szCs w:val="20"/>
              </w:rPr>
              <w:t>54 818</w:t>
            </w:r>
          </w:p>
        </w:tc>
        <w:tc>
          <w:tcPr>
            <w:tcW w:w="1112" w:type="dxa"/>
            <w:noWrap/>
            <w:vAlign w:val="center"/>
            <w:hideMark/>
          </w:tcPr>
          <w:p w:rsidR="003A614D" w:rsidRPr="00E97FD5" w:rsidP="00D223CD" w14:paraId="1A47728F" w14:textId="77777777">
            <w:pPr>
              <w:jc w:val="center"/>
              <w:rPr>
                <w:sz w:val="20"/>
                <w:szCs w:val="20"/>
              </w:rPr>
            </w:pPr>
            <w:r w:rsidRPr="00E97FD5">
              <w:rPr>
                <w:sz w:val="20"/>
                <w:szCs w:val="20"/>
              </w:rPr>
              <w:t>620</w:t>
            </w:r>
          </w:p>
        </w:tc>
        <w:tc>
          <w:tcPr>
            <w:tcW w:w="1123" w:type="dxa"/>
            <w:noWrap/>
            <w:vAlign w:val="center"/>
            <w:hideMark/>
          </w:tcPr>
          <w:p w:rsidR="003A614D" w:rsidRPr="00E97FD5" w:rsidP="00D223CD" w14:paraId="4202A773" w14:textId="77777777">
            <w:pPr>
              <w:jc w:val="center"/>
              <w:rPr>
                <w:sz w:val="20"/>
                <w:szCs w:val="20"/>
              </w:rPr>
            </w:pPr>
            <w:r w:rsidRPr="00E97FD5">
              <w:rPr>
                <w:sz w:val="20"/>
                <w:szCs w:val="20"/>
              </w:rPr>
              <w:t>55 438</w:t>
            </w:r>
          </w:p>
        </w:tc>
        <w:tc>
          <w:tcPr>
            <w:tcW w:w="1790" w:type="dxa"/>
            <w:noWrap/>
            <w:vAlign w:val="center"/>
            <w:hideMark/>
          </w:tcPr>
          <w:p w:rsidR="003A614D" w:rsidRPr="00E97FD5" w:rsidP="00D223CD" w14:paraId="7ADEB5E6" w14:textId="77777777">
            <w:pPr>
              <w:jc w:val="center"/>
              <w:rPr>
                <w:sz w:val="20"/>
                <w:szCs w:val="20"/>
              </w:rPr>
            </w:pPr>
            <w:r w:rsidRPr="00E97FD5">
              <w:rPr>
                <w:sz w:val="20"/>
                <w:szCs w:val="20"/>
              </w:rPr>
              <w:t>30,4</w:t>
            </w:r>
          </w:p>
        </w:tc>
        <w:tc>
          <w:tcPr>
            <w:tcW w:w="1644" w:type="dxa"/>
            <w:tcBorders>
              <w:right w:val="single" w:sz="12" w:space="0" w:color="auto"/>
            </w:tcBorders>
            <w:noWrap/>
            <w:vAlign w:val="center"/>
            <w:hideMark/>
          </w:tcPr>
          <w:p w:rsidR="003A614D" w:rsidRPr="00E97FD5" w:rsidP="00D223CD" w14:paraId="4CF53190" w14:textId="77777777">
            <w:pPr>
              <w:jc w:val="center"/>
              <w:rPr>
                <w:sz w:val="20"/>
                <w:szCs w:val="20"/>
              </w:rPr>
            </w:pPr>
            <w:r w:rsidRPr="00E97FD5">
              <w:rPr>
                <w:sz w:val="20"/>
                <w:szCs w:val="20"/>
              </w:rPr>
              <w:t>5,3</w:t>
            </w:r>
          </w:p>
        </w:tc>
      </w:tr>
      <w:tr w14:paraId="38BFA29C"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159E8190" w14:textId="77777777">
            <w:pPr>
              <w:jc w:val="center"/>
              <w:rPr>
                <w:bCs/>
                <w:sz w:val="20"/>
                <w:szCs w:val="20"/>
              </w:rPr>
            </w:pPr>
            <w:r w:rsidRPr="00E97FD5">
              <w:rPr>
                <w:bCs/>
                <w:sz w:val="20"/>
                <w:szCs w:val="20"/>
              </w:rPr>
              <w:t>2012</w:t>
            </w:r>
          </w:p>
        </w:tc>
        <w:tc>
          <w:tcPr>
            <w:tcW w:w="1112" w:type="dxa"/>
            <w:noWrap/>
            <w:vAlign w:val="center"/>
            <w:hideMark/>
          </w:tcPr>
          <w:p w:rsidR="003A614D" w:rsidRPr="00E97FD5" w:rsidP="00D223CD" w14:paraId="7CDD3DF6" w14:textId="77777777">
            <w:pPr>
              <w:jc w:val="center"/>
              <w:rPr>
                <w:sz w:val="20"/>
                <w:szCs w:val="20"/>
              </w:rPr>
            </w:pPr>
            <w:r w:rsidRPr="00E97FD5">
              <w:rPr>
                <w:sz w:val="20"/>
                <w:szCs w:val="20"/>
              </w:rPr>
              <w:t>168 840</w:t>
            </w:r>
          </w:p>
        </w:tc>
        <w:tc>
          <w:tcPr>
            <w:tcW w:w="974" w:type="dxa"/>
            <w:noWrap/>
            <w:vAlign w:val="center"/>
            <w:hideMark/>
          </w:tcPr>
          <w:p w:rsidR="003A614D" w:rsidRPr="00E97FD5" w:rsidP="00D223CD" w14:paraId="4E9EFF9A" w14:textId="77777777">
            <w:pPr>
              <w:jc w:val="center"/>
              <w:rPr>
                <w:sz w:val="20"/>
                <w:szCs w:val="20"/>
              </w:rPr>
            </w:pPr>
            <w:r w:rsidRPr="00E97FD5">
              <w:rPr>
                <w:sz w:val="20"/>
                <w:szCs w:val="20"/>
              </w:rPr>
              <w:t>51 972</w:t>
            </w:r>
          </w:p>
        </w:tc>
        <w:tc>
          <w:tcPr>
            <w:tcW w:w="1112" w:type="dxa"/>
            <w:noWrap/>
            <w:vAlign w:val="center"/>
            <w:hideMark/>
          </w:tcPr>
          <w:p w:rsidR="003A614D" w:rsidRPr="00E97FD5" w:rsidP="00D223CD" w14:paraId="44C08CE3" w14:textId="77777777">
            <w:pPr>
              <w:jc w:val="center"/>
              <w:rPr>
                <w:sz w:val="20"/>
                <w:szCs w:val="20"/>
              </w:rPr>
            </w:pPr>
            <w:r w:rsidRPr="00E97FD5">
              <w:rPr>
                <w:sz w:val="20"/>
                <w:szCs w:val="20"/>
              </w:rPr>
              <w:t>1 704</w:t>
            </w:r>
          </w:p>
        </w:tc>
        <w:tc>
          <w:tcPr>
            <w:tcW w:w="1123" w:type="dxa"/>
            <w:noWrap/>
            <w:vAlign w:val="center"/>
            <w:hideMark/>
          </w:tcPr>
          <w:p w:rsidR="003A614D" w:rsidRPr="00E97FD5" w:rsidP="00D223CD" w14:paraId="29E9C76B" w14:textId="77777777">
            <w:pPr>
              <w:jc w:val="center"/>
              <w:rPr>
                <w:sz w:val="20"/>
                <w:szCs w:val="20"/>
              </w:rPr>
            </w:pPr>
            <w:r w:rsidRPr="00E97FD5">
              <w:rPr>
                <w:sz w:val="20"/>
                <w:szCs w:val="20"/>
              </w:rPr>
              <w:t>53 676</w:t>
            </w:r>
          </w:p>
        </w:tc>
        <w:tc>
          <w:tcPr>
            <w:tcW w:w="1790" w:type="dxa"/>
            <w:noWrap/>
            <w:vAlign w:val="center"/>
            <w:hideMark/>
          </w:tcPr>
          <w:p w:rsidR="003A614D" w:rsidRPr="00E97FD5" w:rsidP="00D223CD" w14:paraId="08941D61" w14:textId="77777777">
            <w:pPr>
              <w:jc w:val="center"/>
              <w:rPr>
                <w:sz w:val="20"/>
                <w:szCs w:val="20"/>
              </w:rPr>
            </w:pPr>
            <w:r w:rsidRPr="00E97FD5">
              <w:rPr>
                <w:sz w:val="20"/>
                <w:szCs w:val="20"/>
              </w:rPr>
              <w:t>29,3</w:t>
            </w:r>
          </w:p>
        </w:tc>
        <w:tc>
          <w:tcPr>
            <w:tcW w:w="1644" w:type="dxa"/>
            <w:tcBorders>
              <w:right w:val="single" w:sz="12" w:space="0" w:color="auto"/>
            </w:tcBorders>
            <w:noWrap/>
            <w:vAlign w:val="center"/>
            <w:hideMark/>
          </w:tcPr>
          <w:p w:rsidR="003A614D" w:rsidRPr="00E97FD5" w:rsidP="00D223CD" w14:paraId="3537CCFC" w14:textId="77777777">
            <w:pPr>
              <w:jc w:val="center"/>
              <w:rPr>
                <w:sz w:val="20"/>
                <w:szCs w:val="20"/>
              </w:rPr>
            </w:pPr>
            <w:r w:rsidRPr="00E97FD5">
              <w:rPr>
                <w:sz w:val="20"/>
                <w:szCs w:val="20"/>
              </w:rPr>
              <w:t>5,1</w:t>
            </w:r>
          </w:p>
        </w:tc>
      </w:tr>
      <w:tr w14:paraId="65240125"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2ACE03F4" w14:textId="77777777">
            <w:pPr>
              <w:jc w:val="center"/>
              <w:rPr>
                <w:bCs/>
                <w:sz w:val="20"/>
                <w:szCs w:val="20"/>
              </w:rPr>
            </w:pPr>
            <w:r w:rsidRPr="00E97FD5">
              <w:rPr>
                <w:bCs/>
                <w:sz w:val="20"/>
                <w:szCs w:val="20"/>
              </w:rPr>
              <w:t>2013</w:t>
            </w:r>
          </w:p>
        </w:tc>
        <w:tc>
          <w:tcPr>
            <w:tcW w:w="1112" w:type="dxa"/>
            <w:noWrap/>
            <w:vAlign w:val="center"/>
            <w:hideMark/>
          </w:tcPr>
          <w:p w:rsidR="003A614D" w:rsidRPr="00E97FD5" w:rsidP="00D223CD" w14:paraId="3C7A73D8" w14:textId="77777777">
            <w:pPr>
              <w:jc w:val="center"/>
              <w:rPr>
                <w:sz w:val="20"/>
                <w:szCs w:val="20"/>
              </w:rPr>
            </w:pPr>
            <w:r w:rsidRPr="00E97FD5">
              <w:rPr>
                <w:sz w:val="20"/>
                <w:szCs w:val="20"/>
              </w:rPr>
              <w:t>181 886</w:t>
            </w:r>
          </w:p>
        </w:tc>
        <w:tc>
          <w:tcPr>
            <w:tcW w:w="974" w:type="dxa"/>
            <w:noWrap/>
            <w:vAlign w:val="center"/>
            <w:hideMark/>
          </w:tcPr>
          <w:p w:rsidR="003A614D" w:rsidRPr="00E97FD5" w:rsidP="00D223CD" w14:paraId="40BAF4E5" w14:textId="77777777">
            <w:pPr>
              <w:jc w:val="center"/>
              <w:rPr>
                <w:sz w:val="20"/>
                <w:szCs w:val="20"/>
              </w:rPr>
            </w:pPr>
            <w:r w:rsidRPr="00E97FD5">
              <w:rPr>
                <w:sz w:val="20"/>
                <w:szCs w:val="20"/>
              </w:rPr>
              <w:t>50 257</w:t>
            </w:r>
          </w:p>
        </w:tc>
        <w:tc>
          <w:tcPr>
            <w:tcW w:w="1112" w:type="dxa"/>
            <w:noWrap/>
            <w:vAlign w:val="center"/>
            <w:hideMark/>
          </w:tcPr>
          <w:p w:rsidR="003A614D" w:rsidRPr="00E97FD5" w:rsidP="00D223CD" w14:paraId="5F51BD59" w14:textId="77777777">
            <w:pPr>
              <w:jc w:val="center"/>
              <w:rPr>
                <w:sz w:val="20"/>
                <w:szCs w:val="20"/>
              </w:rPr>
            </w:pPr>
            <w:r w:rsidRPr="00E97FD5">
              <w:rPr>
                <w:sz w:val="20"/>
                <w:szCs w:val="20"/>
              </w:rPr>
              <w:t>3 959</w:t>
            </w:r>
          </w:p>
        </w:tc>
        <w:tc>
          <w:tcPr>
            <w:tcW w:w="1123" w:type="dxa"/>
            <w:noWrap/>
            <w:vAlign w:val="center"/>
            <w:hideMark/>
          </w:tcPr>
          <w:p w:rsidR="003A614D" w:rsidRPr="00E97FD5" w:rsidP="00D223CD" w14:paraId="5DD9D619" w14:textId="77777777">
            <w:pPr>
              <w:jc w:val="center"/>
              <w:rPr>
                <w:sz w:val="20"/>
                <w:szCs w:val="20"/>
              </w:rPr>
            </w:pPr>
            <w:r w:rsidRPr="00E97FD5">
              <w:rPr>
                <w:sz w:val="20"/>
                <w:szCs w:val="20"/>
              </w:rPr>
              <w:t>54 215</w:t>
            </w:r>
          </w:p>
        </w:tc>
        <w:tc>
          <w:tcPr>
            <w:tcW w:w="1790" w:type="dxa"/>
            <w:noWrap/>
            <w:vAlign w:val="center"/>
            <w:hideMark/>
          </w:tcPr>
          <w:p w:rsidR="003A614D" w:rsidRPr="00E97FD5" w:rsidP="00D223CD" w14:paraId="08F763F6" w14:textId="77777777">
            <w:pPr>
              <w:jc w:val="center"/>
              <w:rPr>
                <w:sz w:val="20"/>
                <w:szCs w:val="20"/>
              </w:rPr>
            </w:pPr>
            <w:r w:rsidRPr="00E97FD5">
              <w:rPr>
                <w:sz w:val="20"/>
                <w:szCs w:val="20"/>
              </w:rPr>
              <w:t>29,8</w:t>
            </w:r>
          </w:p>
        </w:tc>
        <w:tc>
          <w:tcPr>
            <w:tcW w:w="1644" w:type="dxa"/>
            <w:tcBorders>
              <w:right w:val="single" w:sz="12" w:space="0" w:color="auto"/>
            </w:tcBorders>
            <w:noWrap/>
            <w:vAlign w:val="center"/>
            <w:hideMark/>
          </w:tcPr>
          <w:p w:rsidR="003A614D" w:rsidRPr="00E97FD5" w:rsidP="00D223CD" w14:paraId="15C296E8" w14:textId="77777777">
            <w:pPr>
              <w:jc w:val="center"/>
              <w:rPr>
                <w:sz w:val="20"/>
                <w:szCs w:val="20"/>
              </w:rPr>
            </w:pPr>
            <w:r w:rsidRPr="00E97FD5">
              <w:rPr>
                <w:sz w:val="20"/>
                <w:szCs w:val="20"/>
              </w:rPr>
              <w:t>5,2</w:t>
            </w:r>
          </w:p>
        </w:tc>
      </w:tr>
      <w:tr w14:paraId="469E74B4" w14:textId="77777777" w:rsidTr="00480662">
        <w:tblPrEx>
          <w:tblW w:w="9113" w:type="dxa"/>
          <w:tblLayout w:type="fixed"/>
          <w:tblLook w:val="04A0"/>
        </w:tblPrEx>
        <w:trPr>
          <w:trHeight w:val="307"/>
        </w:trPr>
        <w:tc>
          <w:tcPr>
            <w:tcW w:w="1358" w:type="dxa"/>
            <w:tcBorders>
              <w:left w:val="single" w:sz="12" w:space="0" w:color="auto"/>
            </w:tcBorders>
            <w:noWrap/>
            <w:vAlign w:val="center"/>
            <w:hideMark/>
          </w:tcPr>
          <w:p w:rsidR="003A614D" w:rsidRPr="00E97FD5" w:rsidP="00D223CD" w14:paraId="314CD17E" w14:textId="77777777">
            <w:pPr>
              <w:jc w:val="center"/>
              <w:rPr>
                <w:bCs/>
                <w:sz w:val="20"/>
                <w:szCs w:val="20"/>
              </w:rPr>
            </w:pPr>
            <w:r w:rsidRPr="00E97FD5">
              <w:rPr>
                <w:bCs/>
                <w:sz w:val="20"/>
                <w:szCs w:val="20"/>
              </w:rPr>
              <w:t>2014</w:t>
            </w:r>
          </w:p>
        </w:tc>
        <w:tc>
          <w:tcPr>
            <w:tcW w:w="1112" w:type="dxa"/>
            <w:noWrap/>
            <w:vAlign w:val="center"/>
            <w:hideMark/>
          </w:tcPr>
          <w:p w:rsidR="003A614D" w:rsidRPr="00E97FD5" w:rsidP="00D223CD" w14:paraId="6B0D9B93" w14:textId="77777777">
            <w:pPr>
              <w:jc w:val="center"/>
              <w:rPr>
                <w:sz w:val="20"/>
                <w:szCs w:val="20"/>
              </w:rPr>
            </w:pPr>
            <w:r w:rsidRPr="00E97FD5">
              <w:rPr>
                <w:sz w:val="20"/>
                <w:szCs w:val="20"/>
              </w:rPr>
              <w:t>179 328</w:t>
            </w:r>
          </w:p>
        </w:tc>
        <w:tc>
          <w:tcPr>
            <w:tcW w:w="974" w:type="dxa"/>
            <w:noWrap/>
            <w:vAlign w:val="center"/>
            <w:hideMark/>
          </w:tcPr>
          <w:p w:rsidR="003A614D" w:rsidRPr="00E97FD5" w:rsidP="00D223CD" w14:paraId="04163737" w14:textId="77777777">
            <w:pPr>
              <w:jc w:val="center"/>
              <w:rPr>
                <w:sz w:val="20"/>
                <w:szCs w:val="20"/>
              </w:rPr>
            </w:pPr>
            <w:r w:rsidRPr="00E97FD5">
              <w:rPr>
                <w:sz w:val="20"/>
                <w:szCs w:val="20"/>
              </w:rPr>
              <w:t>55 062</w:t>
            </w:r>
          </w:p>
        </w:tc>
        <w:tc>
          <w:tcPr>
            <w:tcW w:w="1112" w:type="dxa"/>
            <w:noWrap/>
            <w:vAlign w:val="center"/>
            <w:hideMark/>
          </w:tcPr>
          <w:p w:rsidR="003A614D" w:rsidRPr="00E97FD5" w:rsidP="00D223CD" w14:paraId="6350E02B" w14:textId="77777777">
            <w:pPr>
              <w:jc w:val="center"/>
              <w:rPr>
                <w:sz w:val="20"/>
                <w:szCs w:val="20"/>
              </w:rPr>
            </w:pPr>
            <w:r w:rsidRPr="00E97FD5">
              <w:rPr>
                <w:sz w:val="20"/>
                <w:szCs w:val="20"/>
              </w:rPr>
              <w:t>3 523</w:t>
            </w:r>
          </w:p>
        </w:tc>
        <w:tc>
          <w:tcPr>
            <w:tcW w:w="1123" w:type="dxa"/>
            <w:noWrap/>
            <w:vAlign w:val="center"/>
            <w:hideMark/>
          </w:tcPr>
          <w:p w:rsidR="003A614D" w:rsidRPr="00E97FD5" w:rsidP="00D223CD" w14:paraId="30B4AB63" w14:textId="77777777">
            <w:pPr>
              <w:jc w:val="center"/>
              <w:rPr>
                <w:sz w:val="20"/>
                <w:szCs w:val="20"/>
              </w:rPr>
            </w:pPr>
            <w:r w:rsidRPr="00E97FD5">
              <w:rPr>
                <w:sz w:val="20"/>
                <w:szCs w:val="20"/>
              </w:rPr>
              <w:t>58 585</w:t>
            </w:r>
          </w:p>
        </w:tc>
        <w:tc>
          <w:tcPr>
            <w:tcW w:w="1790" w:type="dxa"/>
            <w:noWrap/>
            <w:vAlign w:val="center"/>
            <w:hideMark/>
          </w:tcPr>
          <w:p w:rsidR="003A614D" w:rsidRPr="00E97FD5" w:rsidP="00D223CD" w14:paraId="1E1FBFAC" w14:textId="77777777">
            <w:pPr>
              <w:jc w:val="center"/>
              <w:rPr>
                <w:sz w:val="20"/>
                <w:szCs w:val="20"/>
              </w:rPr>
            </w:pPr>
            <w:r w:rsidRPr="00E97FD5">
              <w:rPr>
                <w:sz w:val="20"/>
                <w:szCs w:val="20"/>
              </w:rPr>
              <w:t>32,7</w:t>
            </w:r>
          </w:p>
        </w:tc>
        <w:tc>
          <w:tcPr>
            <w:tcW w:w="1644" w:type="dxa"/>
            <w:tcBorders>
              <w:right w:val="single" w:sz="12" w:space="0" w:color="auto"/>
            </w:tcBorders>
            <w:noWrap/>
            <w:vAlign w:val="center"/>
            <w:hideMark/>
          </w:tcPr>
          <w:p w:rsidR="003A614D" w:rsidRPr="00E97FD5" w:rsidP="00D223CD" w14:paraId="4308E0A2" w14:textId="77777777">
            <w:pPr>
              <w:jc w:val="center"/>
              <w:rPr>
                <w:sz w:val="20"/>
                <w:szCs w:val="20"/>
              </w:rPr>
            </w:pPr>
            <w:r w:rsidRPr="00E97FD5">
              <w:rPr>
                <w:sz w:val="20"/>
                <w:szCs w:val="20"/>
              </w:rPr>
              <w:t>5,6</w:t>
            </w:r>
          </w:p>
        </w:tc>
      </w:tr>
      <w:tr w14:paraId="63553FDE" w14:textId="77777777" w:rsidTr="00480662">
        <w:tblPrEx>
          <w:tblW w:w="9113" w:type="dxa"/>
          <w:tblLayout w:type="fixed"/>
          <w:tblLook w:val="04A0"/>
        </w:tblPrEx>
        <w:trPr>
          <w:trHeight w:val="307"/>
        </w:trPr>
        <w:tc>
          <w:tcPr>
            <w:tcW w:w="1358" w:type="dxa"/>
            <w:tcBorders>
              <w:left w:val="single" w:sz="12" w:space="0" w:color="auto"/>
            </w:tcBorders>
            <w:noWrap/>
            <w:vAlign w:val="center"/>
          </w:tcPr>
          <w:p w:rsidR="008C1B07" w:rsidRPr="00E97FD5" w:rsidP="00D223CD" w14:paraId="47EFECAA" w14:textId="77777777">
            <w:pPr>
              <w:jc w:val="center"/>
              <w:rPr>
                <w:bCs/>
                <w:sz w:val="20"/>
                <w:szCs w:val="20"/>
              </w:rPr>
            </w:pPr>
            <w:r w:rsidRPr="00E97FD5">
              <w:rPr>
                <w:bCs/>
                <w:sz w:val="20"/>
                <w:szCs w:val="20"/>
              </w:rPr>
              <w:t>2015</w:t>
            </w:r>
          </w:p>
        </w:tc>
        <w:tc>
          <w:tcPr>
            <w:tcW w:w="1112" w:type="dxa"/>
            <w:noWrap/>
            <w:vAlign w:val="center"/>
          </w:tcPr>
          <w:p w:rsidR="008C1B07" w:rsidRPr="00E97FD5" w:rsidP="00D223CD" w14:paraId="5A571657" w14:textId="77777777">
            <w:pPr>
              <w:jc w:val="center"/>
              <w:rPr>
                <w:sz w:val="20"/>
                <w:szCs w:val="20"/>
              </w:rPr>
            </w:pPr>
            <w:r w:rsidRPr="00E97FD5">
              <w:rPr>
                <w:sz w:val="20"/>
                <w:szCs w:val="20"/>
              </w:rPr>
              <w:t>182 025</w:t>
            </w:r>
          </w:p>
        </w:tc>
        <w:tc>
          <w:tcPr>
            <w:tcW w:w="974" w:type="dxa"/>
            <w:noWrap/>
            <w:vAlign w:val="center"/>
          </w:tcPr>
          <w:p w:rsidR="008C1B07" w:rsidRPr="00E97FD5" w:rsidP="00D223CD" w14:paraId="5A00E69D" w14:textId="77777777">
            <w:pPr>
              <w:jc w:val="center"/>
              <w:rPr>
                <w:sz w:val="20"/>
                <w:szCs w:val="20"/>
              </w:rPr>
            </w:pPr>
            <w:r w:rsidRPr="00E97FD5">
              <w:rPr>
                <w:sz w:val="20"/>
                <w:szCs w:val="20"/>
              </w:rPr>
              <w:t>71 395</w:t>
            </w:r>
          </w:p>
        </w:tc>
        <w:tc>
          <w:tcPr>
            <w:tcW w:w="1112" w:type="dxa"/>
            <w:noWrap/>
            <w:vAlign w:val="center"/>
          </w:tcPr>
          <w:p w:rsidR="008C1B07" w:rsidRPr="00E97FD5" w:rsidP="00D223CD" w14:paraId="6F9BFB29" w14:textId="77777777">
            <w:pPr>
              <w:jc w:val="center"/>
              <w:rPr>
                <w:sz w:val="20"/>
                <w:szCs w:val="20"/>
              </w:rPr>
            </w:pPr>
            <w:r w:rsidRPr="00E97FD5">
              <w:rPr>
                <w:sz w:val="20"/>
                <w:szCs w:val="20"/>
              </w:rPr>
              <w:t>2 893</w:t>
            </w:r>
          </w:p>
        </w:tc>
        <w:tc>
          <w:tcPr>
            <w:tcW w:w="1123" w:type="dxa"/>
            <w:noWrap/>
            <w:vAlign w:val="center"/>
          </w:tcPr>
          <w:p w:rsidR="008C1B07" w:rsidRPr="00E97FD5" w:rsidP="00D223CD" w14:paraId="4DFF43D6" w14:textId="77777777">
            <w:pPr>
              <w:jc w:val="center"/>
              <w:rPr>
                <w:sz w:val="20"/>
                <w:szCs w:val="20"/>
              </w:rPr>
            </w:pPr>
            <w:r w:rsidRPr="00E97FD5">
              <w:rPr>
                <w:sz w:val="20"/>
                <w:szCs w:val="20"/>
              </w:rPr>
              <w:t>74 288</w:t>
            </w:r>
          </w:p>
        </w:tc>
        <w:tc>
          <w:tcPr>
            <w:tcW w:w="1790" w:type="dxa"/>
            <w:noWrap/>
            <w:vAlign w:val="center"/>
          </w:tcPr>
          <w:p w:rsidR="008C1B07" w:rsidRPr="00E97FD5" w:rsidP="00D223CD" w14:paraId="54DA50F7" w14:textId="77777777">
            <w:pPr>
              <w:jc w:val="center"/>
              <w:rPr>
                <w:sz w:val="20"/>
                <w:szCs w:val="20"/>
              </w:rPr>
            </w:pPr>
            <w:r w:rsidRPr="00E97FD5">
              <w:rPr>
                <w:sz w:val="20"/>
                <w:szCs w:val="20"/>
              </w:rPr>
              <w:t>40,8</w:t>
            </w:r>
          </w:p>
        </w:tc>
        <w:tc>
          <w:tcPr>
            <w:tcW w:w="1644" w:type="dxa"/>
            <w:tcBorders>
              <w:right w:val="single" w:sz="12" w:space="0" w:color="auto"/>
            </w:tcBorders>
            <w:noWrap/>
            <w:vAlign w:val="center"/>
          </w:tcPr>
          <w:p w:rsidR="008C1B07" w:rsidRPr="00E97FD5" w:rsidP="00D223CD" w14:paraId="566106F8" w14:textId="77777777">
            <w:pPr>
              <w:jc w:val="center"/>
              <w:rPr>
                <w:sz w:val="20"/>
                <w:szCs w:val="20"/>
              </w:rPr>
            </w:pPr>
            <w:r w:rsidRPr="00E97FD5">
              <w:rPr>
                <w:sz w:val="20"/>
                <w:szCs w:val="20"/>
              </w:rPr>
              <w:t>7,0</w:t>
            </w:r>
          </w:p>
        </w:tc>
      </w:tr>
      <w:tr w14:paraId="4956CA21" w14:textId="77777777" w:rsidTr="00480662">
        <w:tblPrEx>
          <w:tblW w:w="9113" w:type="dxa"/>
          <w:tblLayout w:type="fixed"/>
          <w:tblLook w:val="04A0"/>
        </w:tblPrEx>
        <w:trPr>
          <w:trHeight w:val="307"/>
        </w:trPr>
        <w:tc>
          <w:tcPr>
            <w:tcW w:w="1358" w:type="dxa"/>
            <w:tcBorders>
              <w:left w:val="single" w:sz="12" w:space="0" w:color="auto"/>
              <w:bottom w:val="single" w:sz="12" w:space="0" w:color="auto"/>
            </w:tcBorders>
            <w:noWrap/>
            <w:vAlign w:val="center"/>
          </w:tcPr>
          <w:p w:rsidR="008C1B07" w:rsidRPr="00E97FD5" w:rsidP="00D223CD" w14:paraId="58801771" w14:textId="77777777">
            <w:pPr>
              <w:jc w:val="center"/>
              <w:rPr>
                <w:bCs/>
                <w:sz w:val="20"/>
                <w:szCs w:val="20"/>
              </w:rPr>
            </w:pPr>
            <w:r w:rsidRPr="00E97FD5">
              <w:rPr>
                <w:bCs/>
                <w:sz w:val="20"/>
                <w:szCs w:val="20"/>
              </w:rPr>
              <w:t>2016</w:t>
            </w:r>
          </w:p>
        </w:tc>
        <w:tc>
          <w:tcPr>
            <w:tcW w:w="1112" w:type="dxa"/>
            <w:tcBorders>
              <w:bottom w:val="single" w:sz="12" w:space="0" w:color="auto"/>
            </w:tcBorders>
            <w:noWrap/>
            <w:vAlign w:val="center"/>
          </w:tcPr>
          <w:p w:rsidR="008C1B07" w:rsidRPr="00E97FD5" w:rsidP="00D223CD" w14:paraId="45102431" w14:textId="77777777">
            <w:pPr>
              <w:jc w:val="center"/>
              <w:rPr>
                <w:sz w:val="20"/>
                <w:szCs w:val="20"/>
              </w:rPr>
            </w:pPr>
            <w:r w:rsidRPr="00E97FD5">
              <w:rPr>
                <w:sz w:val="20"/>
                <w:szCs w:val="20"/>
              </w:rPr>
              <w:t>174 147</w:t>
            </w:r>
          </w:p>
        </w:tc>
        <w:tc>
          <w:tcPr>
            <w:tcW w:w="974" w:type="dxa"/>
            <w:tcBorders>
              <w:bottom w:val="single" w:sz="12" w:space="0" w:color="auto"/>
            </w:tcBorders>
            <w:noWrap/>
            <w:vAlign w:val="center"/>
          </w:tcPr>
          <w:p w:rsidR="008C1B07" w:rsidRPr="00E97FD5" w:rsidP="00D223CD" w14:paraId="174932FC" w14:textId="77777777">
            <w:pPr>
              <w:jc w:val="center"/>
              <w:rPr>
                <w:sz w:val="20"/>
                <w:szCs w:val="20"/>
              </w:rPr>
            </w:pPr>
            <w:r w:rsidRPr="00E97FD5">
              <w:rPr>
                <w:sz w:val="20"/>
                <w:szCs w:val="20"/>
              </w:rPr>
              <w:t>85 355</w:t>
            </w:r>
          </w:p>
        </w:tc>
        <w:tc>
          <w:tcPr>
            <w:tcW w:w="1112" w:type="dxa"/>
            <w:tcBorders>
              <w:bottom w:val="single" w:sz="12" w:space="0" w:color="auto"/>
            </w:tcBorders>
            <w:noWrap/>
            <w:vAlign w:val="center"/>
          </w:tcPr>
          <w:p w:rsidR="008C1B07" w:rsidRPr="00E97FD5" w:rsidP="00D223CD" w14:paraId="6E35B673" w14:textId="77777777">
            <w:pPr>
              <w:jc w:val="center"/>
              <w:rPr>
                <w:sz w:val="20"/>
                <w:szCs w:val="20"/>
              </w:rPr>
            </w:pPr>
            <w:r w:rsidRPr="00E97FD5">
              <w:rPr>
                <w:sz w:val="20"/>
                <w:szCs w:val="20"/>
              </w:rPr>
              <w:t>6 158</w:t>
            </w:r>
          </w:p>
        </w:tc>
        <w:tc>
          <w:tcPr>
            <w:tcW w:w="1123" w:type="dxa"/>
            <w:tcBorders>
              <w:bottom w:val="single" w:sz="12" w:space="0" w:color="auto"/>
            </w:tcBorders>
            <w:noWrap/>
            <w:vAlign w:val="center"/>
          </w:tcPr>
          <w:p w:rsidR="008C1B07" w:rsidRPr="00E97FD5" w:rsidP="00D223CD" w14:paraId="1DA54FDE" w14:textId="77777777">
            <w:pPr>
              <w:jc w:val="center"/>
              <w:rPr>
                <w:sz w:val="20"/>
                <w:szCs w:val="20"/>
              </w:rPr>
            </w:pPr>
            <w:r w:rsidRPr="00E97FD5">
              <w:rPr>
                <w:sz w:val="20"/>
                <w:szCs w:val="20"/>
              </w:rPr>
              <w:t>91 513</w:t>
            </w:r>
          </w:p>
        </w:tc>
        <w:tc>
          <w:tcPr>
            <w:tcW w:w="1790" w:type="dxa"/>
            <w:tcBorders>
              <w:bottom w:val="single" w:sz="12" w:space="0" w:color="auto"/>
            </w:tcBorders>
            <w:noWrap/>
            <w:vAlign w:val="center"/>
          </w:tcPr>
          <w:p w:rsidR="008C1B07" w:rsidRPr="00E97FD5" w:rsidP="00D223CD" w14:paraId="69F5B550" w14:textId="77777777">
            <w:pPr>
              <w:jc w:val="center"/>
              <w:rPr>
                <w:sz w:val="20"/>
                <w:szCs w:val="20"/>
              </w:rPr>
            </w:pPr>
            <w:r w:rsidRPr="00E97FD5">
              <w:rPr>
                <w:sz w:val="20"/>
                <w:szCs w:val="20"/>
              </w:rPr>
              <w:t>50,5</w:t>
            </w:r>
          </w:p>
        </w:tc>
        <w:tc>
          <w:tcPr>
            <w:tcW w:w="1644" w:type="dxa"/>
            <w:tcBorders>
              <w:bottom w:val="single" w:sz="12" w:space="0" w:color="auto"/>
              <w:right w:val="single" w:sz="12" w:space="0" w:color="auto"/>
            </w:tcBorders>
            <w:noWrap/>
            <w:vAlign w:val="center"/>
          </w:tcPr>
          <w:p w:rsidR="008C1B07" w:rsidRPr="00E97FD5" w:rsidP="00D223CD" w14:paraId="1239AAB6" w14:textId="77777777">
            <w:pPr>
              <w:jc w:val="center"/>
              <w:rPr>
                <w:sz w:val="20"/>
                <w:szCs w:val="20"/>
              </w:rPr>
            </w:pPr>
            <w:r w:rsidRPr="00E97FD5">
              <w:rPr>
                <w:sz w:val="20"/>
                <w:szCs w:val="20"/>
              </w:rPr>
              <w:t>8,7</w:t>
            </w:r>
          </w:p>
        </w:tc>
      </w:tr>
    </w:tbl>
    <w:p w:rsidR="00ED5B2D" w:rsidRPr="00E97FD5" w:rsidP="00221615" w14:paraId="21952ECE" w14:textId="102988B4">
      <w:pPr>
        <w:widowControl w:val="0"/>
        <w:spacing w:after="240" w:line="240" w:lineRule="auto"/>
        <w:jc w:val="right"/>
        <w:rPr>
          <w:i/>
          <w:iCs/>
          <w:noProof w:val="0"/>
          <w:color w:val="000000"/>
          <w:sz w:val="20"/>
          <w:szCs w:val="20"/>
          <w:lang w:eastAsia="cs-CZ" w:bidi="ar-SA"/>
        </w:rPr>
      </w:pPr>
      <w:r w:rsidRPr="00E97FD5">
        <w:rPr>
          <w:i/>
          <w:iCs/>
          <w:noProof w:val="0"/>
          <w:color w:val="000000"/>
          <w:sz w:val="20"/>
          <w:szCs w:val="20"/>
          <w:lang w:eastAsia="cs-CZ" w:bidi="ar-SA"/>
        </w:rPr>
        <w:t xml:space="preserve">Zdroj: </w:t>
      </w:r>
      <w:r w:rsidR="004952D5">
        <w:rPr>
          <w:i/>
          <w:iCs/>
          <w:noProof w:val="0"/>
          <w:color w:val="000000"/>
          <w:sz w:val="20"/>
          <w:szCs w:val="20"/>
          <w:lang w:eastAsia="cs-CZ" w:bidi="ar-SA"/>
        </w:rPr>
        <w:t xml:space="preserve">CENIA, </w:t>
      </w:r>
      <w:r w:rsidRPr="00E97FD5" w:rsidR="00A56310">
        <w:rPr>
          <w:i/>
          <w:iCs/>
          <w:noProof w:val="0"/>
          <w:color w:val="000000"/>
          <w:sz w:val="20"/>
          <w:szCs w:val="20"/>
          <w:lang w:eastAsia="cs-CZ" w:bidi="ar-SA"/>
        </w:rPr>
        <w:t>MŽP</w:t>
      </w:r>
    </w:p>
    <w:p w:rsidR="001F03DC" w:rsidP="001E1F3C" w14:paraId="6A4D46AD" w14:textId="77777777">
      <w:pPr>
        <w:rPr>
          <w:rFonts w:eastAsia="Calibri" w:cs="Arial"/>
          <w:noProof w:val="0"/>
          <w:szCs w:val="22"/>
          <w:lang w:bidi="ar-SA"/>
        </w:rPr>
      </w:pPr>
    </w:p>
    <w:p w:rsidR="000341D6" w:rsidP="00412A89" w14:paraId="601A8ACC" w14:textId="56D1BA5A">
      <w:pPr>
        <w:keepNext/>
        <w:rPr>
          <w:rFonts w:eastAsia="Calibri" w:cs="Arial"/>
          <w:noProof w:val="0"/>
          <w:szCs w:val="22"/>
          <w:lang w:eastAsia="cs-CZ" w:bidi="ar-SA"/>
        </w:rPr>
      </w:pPr>
      <w:r w:rsidRPr="00373C15">
        <w:rPr>
          <w:rFonts w:eastAsia="Calibri" w:cs="Arial"/>
          <w:noProof w:val="0"/>
          <w:szCs w:val="22"/>
          <w:lang w:eastAsia="cs-CZ" w:bidi="ar-SA"/>
        </w:rPr>
        <w:t xml:space="preserve">Pro potřeby evidence byla </w:t>
      </w:r>
      <w:r w:rsidRPr="00373C15">
        <w:rPr>
          <w:rFonts w:cs="Arial"/>
        </w:rPr>
        <w:t>dle Směrnice OEEZ v rámci přechodného období v platnosti do</w:t>
      </w:r>
      <w:r w:rsidR="00710603">
        <w:rPr>
          <w:rFonts w:cs="Arial"/>
        </w:rPr>
        <w:t> </w:t>
      </w:r>
      <w:r w:rsidRPr="00373C15">
        <w:rPr>
          <w:rFonts w:cs="Arial"/>
        </w:rPr>
        <w:t>14.</w:t>
      </w:r>
      <w:r w:rsidR="00710603">
        <w:rPr>
          <w:rFonts w:cs="Arial"/>
        </w:rPr>
        <w:t> </w:t>
      </w:r>
      <w:r w:rsidRPr="00373C15">
        <w:rPr>
          <w:rFonts w:cs="Arial"/>
        </w:rPr>
        <w:t xml:space="preserve">srpna 2018 </w:t>
      </w:r>
      <w:r w:rsidRPr="00373C15">
        <w:rPr>
          <w:rFonts w:eastAsia="Calibri" w:cs="Arial"/>
          <w:noProof w:val="0"/>
          <w:szCs w:val="22"/>
          <w:lang w:eastAsia="cs-CZ" w:bidi="ar-SA"/>
        </w:rPr>
        <w:t xml:space="preserve">EEZ rozdělena do 10 skupin. </w:t>
      </w:r>
    </w:p>
    <w:tbl>
      <w:tblPr>
        <w:tblW w:w="9072" w:type="dxa"/>
        <w:tblCellMar>
          <w:left w:w="70" w:type="dxa"/>
          <w:right w:w="70" w:type="dxa"/>
        </w:tblCellMar>
        <w:tblLook w:val="04A0"/>
      </w:tblPr>
      <w:tblGrid>
        <w:gridCol w:w="9072"/>
      </w:tblGrid>
      <w:tr w14:paraId="56C60A53" w14:textId="77777777" w:rsidTr="00710603">
        <w:tblPrEx>
          <w:tblW w:w="9072" w:type="dxa"/>
          <w:tblCellMar>
            <w:left w:w="70" w:type="dxa"/>
            <w:right w:w="70" w:type="dxa"/>
          </w:tblCellMar>
          <w:tblLook w:val="04A0"/>
        </w:tblPrEx>
        <w:trPr>
          <w:trHeight w:val="6672"/>
        </w:trPr>
        <w:tc>
          <w:tcPr>
            <w:tcW w:w="9072" w:type="dxa"/>
            <w:tcBorders>
              <w:top w:val="nil"/>
              <w:left w:val="nil"/>
              <w:bottom w:val="nil"/>
              <w:right w:val="nil"/>
            </w:tcBorders>
            <w:shd w:val="clear" w:color="auto" w:fill="auto"/>
            <w:vAlign w:val="center"/>
            <w:hideMark/>
          </w:tcPr>
          <w:p w:rsidR="000341D6" w:rsidRPr="00E97FD5" w:rsidP="007D44CB" w14:paraId="705A8062" w14:textId="3F89B1CA">
            <w:pPr>
              <w:pStyle w:val="Caption"/>
              <w:rPr>
                <w:rFonts w:cs="Arial"/>
                <w:sz w:val="20"/>
                <w:szCs w:val="20"/>
                <w:lang w:eastAsia="cs-CZ" w:bidi="ar-SA"/>
              </w:rPr>
            </w:pPr>
            <w:r>
              <w:rPr>
                <w:rFonts w:cs="Arial"/>
                <w:sz w:val="20"/>
                <w:szCs w:val="20"/>
                <w:lang w:eastAsia="cs-CZ" w:bidi="ar-SA"/>
              </w:rPr>
              <w:t>Tabulka 2</w:t>
            </w:r>
            <w:r w:rsidR="00925F10">
              <w:rPr>
                <w:rFonts w:cs="Arial"/>
                <w:sz w:val="20"/>
                <w:szCs w:val="20"/>
                <w:lang w:eastAsia="cs-CZ" w:bidi="ar-SA"/>
              </w:rPr>
              <w:t>8</w:t>
            </w:r>
            <w:r w:rsidRPr="00E97FD5">
              <w:rPr>
                <w:rFonts w:cs="Arial"/>
                <w:sz w:val="20"/>
                <w:szCs w:val="20"/>
                <w:lang w:eastAsia="cs-CZ" w:bidi="ar-SA"/>
              </w:rPr>
              <w:t>: Skupiny elektrozařízení</w:t>
            </w:r>
            <w:r w:rsidRPr="00E97FD5">
              <w:rPr>
                <w:rFonts w:eastAsia="MS Mincho" w:cs="Arial"/>
                <w:noProof w:val="0"/>
                <w:sz w:val="20"/>
                <w:szCs w:val="20"/>
                <w:lang w:eastAsia="cs-CZ" w:bidi="ar-SA"/>
              </w:rPr>
              <w:t xml:space="preserve"> platné do 15. 8. 2018</w:t>
            </w:r>
          </w:p>
          <w:tbl>
            <w:tblPr>
              <w:tblW w:w="8922" w:type="dxa"/>
              <w:tblCellMar>
                <w:left w:w="70" w:type="dxa"/>
                <w:right w:w="70" w:type="dxa"/>
              </w:tblCellMar>
              <w:tblLook w:val="04A0"/>
            </w:tblPr>
            <w:tblGrid>
              <w:gridCol w:w="1201"/>
              <w:gridCol w:w="7721"/>
            </w:tblGrid>
            <w:tr w14:paraId="552F0484"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1D6" w:rsidRPr="00E97FD5" w:rsidP="007D44CB" w14:paraId="5AFC2C5B" w14:textId="77777777">
                  <w:pPr>
                    <w:keepNext/>
                    <w:jc w:val="center"/>
                    <w:rPr>
                      <w:rFonts w:eastAsia="MS Mincho" w:cs="Arial"/>
                      <w:b/>
                      <w:noProof w:val="0"/>
                      <w:sz w:val="20"/>
                      <w:szCs w:val="20"/>
                      <w:lang w:eastAsia="cs-CZ" w:bidi="ar-SA"/>
                    </w:rPr>
                  </w:pPr>
                  <w:r w:rsidRPr="00E97FD5">
                    <w:rPr>
                      <w:rFonts w:eastAsia="MS Mincho" w:cs="Arial"/>
                      <w:b/>
                      <w:noProof w:val="0"/>
                      <w:sz w:val="20"/>
                      <w:szCs w:val="20"/>
                      <w:lang w:eastAsia="cs-CZ" w:bidi="ar-SA"/>
                    </w:rPr>
                    <w:t>Skupina</w:t>
                  </w:r>
                </w:p>
              </w:tc>
              <w:tc>
                <w:tcPr>
                  <w:tcW w:w="7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1D6" w:rsidRPr="00E97FD5" w:rsidP="00710603" w14:paraId="173E8989" w14:textId="77777777">
                  <w:pPr>
                    <w:keepNext/>
                    <w:jc w:val="center"/>
                    <w:rPr>
                      <w:rFonts w:eastAsia="MS Mincho" w:cs="Arial"/>
                      <w:b/>
                      <w:noProof w:val="0"/>
                      <w:sz w:val="20"/>
                      <w:szCs w:val="20"/>
                      <w:lang w:eastAsia="cs-CZ" w:bidi="ar-SA"/>
                    </w:rPr>
                  </w:pPr>
                  <w:r w:rsidRPr="00E97FD5">
                    <w:rPr>
                      <w:rFonts w:eastAsia="MS Mincho" w:cs="Arial"/>
                      <w:b/>
                      <w:noProof w:val="0"/>
                      <w:sz w:val="20"/>
                      <w:szCs w:val="20"/>
                      <w:lang w:eastAsia="cs-CZ" w:bidi="ar-SA"/>
                    </w:rPr>
                    <w:t>Elektrozařízení</w:t>
                  </w:r>
                </w:p>
              </w:tc>
            </w:tr>
            <w:tr w14:paraId="1C345064"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7CD1B31"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1.</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6298D51B"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Velké domácí spotřebiče (pračky, mikrovlnné trouby, klimatizační zařízení,…)</w:t>
                  </w:r>
                </w:p>
              </w:tc>
            </w:tr>
            <w:tr w14:paraId="69F70733"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1DFCCF2B"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2.</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6A45900"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Malé domácí spotřebiče (vysavače, fritézy, elektrické kartáčky na zuby,…)</w:t>
                  </w:r>
                </w:p>
              </w:tc>
            </w:tr>
            <w:tr w14:paraId="631C6289"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44DC2431"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3.</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4C653E85"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Zařízení informačních technologií a telekomunikační zařízení (tiskárny, telefonní přístroje, notebooky,…)</w:t>
                  </w:r>
                </w:p>
              </w:tc>
            </w:tr>
            <w:tr w14:paraId="2ED73989"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52FD0307"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4.</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4F69F48A"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Spotřebitelské zařízení a solární panely (rozhlasové přijímače, hudební nástroje, fotovoltaické panely,…)</w:t>
                  </w:r>
                </w:p>
              </w:tc>
            </w:tr>
            <w:tr w14:paraId="19EB542B"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11C709B9"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5.</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1BCCC697"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Osvětlovací zařízení (kompaktní zářivky, nízkotlaké sodíkové výbojky, přímé (trubicové) zářivky,…)</w:t>
                  </w:r>
                </w:p>
              </w:tc>
            </w:tr>
            <w:tr w14:paraId="5C997F98"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7408A9C5"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6.</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B65D498"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Elektrické a elektronické nástroje s výjimkou velkých stacionárních průmyslových nástrojů (vrtačky, šicí stroje, pily,…)</w:t>
                  </w:r>
                </w:p>
              </w:tc>
            </w:tr>
            <w:tr w14:paraId="7C718782"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7C0C2CA"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7.</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8FD6753"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Hračky, vybavení pro volný čas a sporty (videohry, elektrické vláčky, výherní mincovní automaty,…)</w:t>
                  </w:r>
                </w:p>
              </w:tc>
            </w:tr>
            <w:tr w14:paraId="5D36E95A"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2A687473"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8.</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4481AC0"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Lékařské přístroje s výjimkou všech implantovaných a infikovaných výrobků (kardiologická zařízení, přístroje nukleární medicíny, mrazící zařízení,…)</w:t>
                  </w:r>
                </w:p>
              </w:tc>
            </w:tr>
            <w:tr w14:paraId="565F4EAA"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1EA304FA"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9.</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6F02B825"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Přístroje pro monitorování a kontrolu (termostaty, detektory kouře, regulační ventily topení,…)</w:t>
                  </w:r>
                </w:p>
              </w:tc>
            </w:tr>
            <w:tr w14:paraId="3BB0C6F0" w14:textId="77777777" w:rsidTr="00710603">
              <w:tblPrEx>
                <w:tblW w:w="8922" w:type="dxa"/>
                <w:tblCellMar>
                  <w:left w:w="70" w:type="dxa"/>
                  <w:right w:w="70" w:type="dxa"/>
                </w:tblCellMar>
                <w:tblLook w:val="04A0"/>
              </w:tblPrEx>
              <w:trPr>
                <w:trHeight w:val="510"/>
              </w:trPr>
              <w:tc>
                <w:tcPr>
                  <w:tcW w:w="12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2159A6E7" w14:textId="77777777">
                  <w:pPr>
                    <w:keepNext/>
                    <w:jc w:val="center"/>
                    <w:rPr>
                      <w:rFonts w:eastAsia="MS Mincho" w:cs="Arial"/>
                      <w:noProof w:val="0"/>
                      <w:sz w:val="20"/>
                      <w:szCs w:val="20"/>
                      <w:lang w:eastAsia="cs-CZ" w:bidi="ar-SA"/>
                    </w:rPr>
                  </w:pPr>
                  <w:r w:rsidRPr="00E97FD5">
                    <w:rPr>
                      <w:rFonts w:eastAsia="MS Mincho" w:cs="Arial"/>
                      <w:noProof w:val="0"/>
                      <w:sz w:val="20"/>
                      <w:szCs w:val="20"/>
                      <w:lang w:eastAsia="cs-CZ" w:bidi="ar-SA"/>
                    </w:rPr>
                    <w:t>10.</w:t>
                  </w:r>
                </w:p>
              </w:tc>
              <w:tc>
                <w:tcPr>
                  <w:tcW w:w="77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1D6" w:rsidRPr="00E97FD5" w:rsidP="007D44CB" w14:paraId="0764A8EA" w14:textId="77777777">
                  <w:pPr>
                    <w:keepNext/>
                    <w:jc w:val="left"/>
                    <w:rPr>
                      <w:rFonts w:eastAsia="MS Mincho" w:cs="Arial"/>
                      <w:noProof w:val="0"/>
                      <w:sz w:val="20"/>
                      <w:szCs w:val="20"/>
                      <w:lang w:eastAsia="cs-CZ" w:bidi="ar-SA"/>
                    </w:rPr>
                  </w:pPr>
                  <w:r w:rsidRPr="00E97FD5">
                    <w:rPr>
                      <w:rFonts w:eastAsia="MS Mincho" w:cs="Arial"/>
                      <w:noProof w:val="0"/>
                      <w:sz w:val="20"/>
                      <w:szCs w:val="20"/>
                      <w:lang w:eastAsia="cs-CZ" w:bidi="ar-SA"/>
                    </w:rPr>
                    <w:t>Výdejní automaty (automaty na horké nápoje, automaty na pevné výrobky, automaty na peníze,…)</w:t>
                  </w:r>
                </w:p>
              </w:tc>
            </w:tr>
          </w:tbl>
          <w:p w:rsidR="000341D6" w:rsidRPr="00E97FD5" w:rsidP="007D44CB" w14:paraId="07CCCC4B" w14:textId="77777777">
            <w:pPr>
              <w:keepNext/>
              <w:widowControl w:val="0"/>
              <w:spacing w:line="240" w:lineRule="auto"/>
              <w:jc w:val="left"/>
              <w:rPr>
                <w:rFonts w:cs="Arial"/>
                <w:i/>
                <w:iCs/>
                <w:noProof w:val="0"/>
                <w:color w:val="000000"/>
                <w:sz w:val="20"/>
                <w:szCs w:val="20"/>
                <w:lang w:eastAsia="cs-CZ" w:bidi="ar-SA"/>
              </w:rPr>
            </w:pPr>
          </w:p>
        </w:tc>
      </w:tr>
    </w:tbl>
    <w:p w:rsidR="00710603" w:rsidP="001E1F3C" w14:paraId="02B13655" w14:textId="77777777">
      <w:pPr>
        <w:rPr>
          <w:rFonts w:eastAsia="Calibri" w:cs="Arial"/>
          <w:noProof w:val="0"/>
          <w:szCs w:val="22"/>
          <w:lang w:eastAsia="cs-CZ" w:bidi="ar-SA"/>
        </w:rPr>
      </w:pPr>
    </w:p>
    <w:p w:rsidR="001F03DC" w:rsidP="001E1F3C" w14:paraId="319D5AFA" w14:textId="46E6E3D0">
      <w:pPr>
        <w:rPr>
          <w:rFonts w:eastAsia="Calibri" w:cs="Arial"/>
          <w:noProof w:val="0"/>
          <w:szCs w:val="22"/>
          <w:lang w:bidi="ar-SA"/>
        </w:rPr>
      </w:pPr>
      <w:r w:rsidRPr="00373C15">
        <w:rPr>
          <w:rFonts w:eastAsia="Calibri" w:cs="Arial"/>
          <w:noProof w:val="0"/>
          <w:szCs w:val="22"/>
          <w:lang w:eastAsia="cs-CZ" w:bidi="ar-SA"/>
        </w:rPr>
        <w:t>Od 15. 8. 2018</w:t>
      </w:r>
      <w:r w:rsidRPr="00373C15">
        <w:rPr>
          <w:rFonts w:cs="Arial"/>
        </w:rPr>
        <w:t xml:space="preserve"> se systém evidence mění</w:t>
      </w:r>
      <w:r w:rsidRPr="00373C15">
        <w:rPr>
          <w:rFonts w:eastAsia="Calibri" w:cs="Arial"/>
          <w:noProof w:val="0"/>
          <w:szCs w:val="22"/>
          <w:lang w:eastAsia="cs-CZ" w:bidi="ar-SA"/>
        </w:rPr>
        <w:t xml:space="preserve"> (dle Směrnice Evropského parlamentu a Rady 2012/19/EU)</w:t>
      </w:r>
      <w:r>
        <w:rPr>
          <w:rFonts w:eastAsia="Calibri" w:cs="Arial"/>
          <w:noProof w:val="0"/>
          <w:szCs w:val="22"/>
          <w:lang w:eastAsia="cs-CZ" w:bidi="ar-SA"/>
        </w:rPr>
        <w:t>. T</w:t>
      </w:r>
      <w:r w:rsidRPr="00373C15">
        <w:rPr>
          <w:rFonts w:eastAsia="Calibri" w:cs="Arial"/>
          <w:noProof w:val="0"/>
          <w:szCs w:val="22"/>
          <w:lang w:eastAsia="cs-CZ" w:bidi="ar-SA"/>
        </w:rPr>
        <w:t xml:space="preserve">yto skupiny EEZ </w:t>
      </w:r>
      <w:r>
        <w:rPr>
          <w:rFonts w:eastAsia="Calibri" w:cs="Arial"/>
          <w:noProof w:val="0"/>
          <w:szCs w:val="22"/>
          <w:lang w:eastAsia="cs-CZ" w:bidi="ar-SA"/>
        </w:rPr>
        <w:t xml:space="preserve">se </w:t>
      </w:r>
      <w:r w:rsidRPr="00373C15">
        <w:rPr>
          <w:rFonts w:eastAsia="Calibri" w:cs="Arial"/>
          <w:noProof w:val="0"/>
          <w:szCs w:val="22"/>
          <w:lang w:eastAsia="cs-CZ" w:bidi="ar-SA"/>
        </w:rPr>
        <w:t xml:space="preserve">ruší a EEZ se rozdělují pouze do </w:t>
      </w:r>
      <w:r w:rsidRPr="00373C15">
        <w:rPr>
          <w:rFonts w:cs="Arial"/>
        </w:rPr>
        <w:t>6 skupin dle Přílohy III Směrnice OEEZ</w:t>
      </w:r>
      <w:r w:rsidRPr="00373C15">
        <w:rPr>
          <w:rFonts w:eastAsia="Calibri" w:cs="Arial"/>
          <w:noProof w:val="0"/>
          <w:szCs w:val="22"/>
          <w:lang w:eastAsia="cs-CZ" w:bidi="ar-SA"/>
        </w:rPr>
        <w:t>.</w:t>
      </w:r>
    </w:p>
    <w:p w:rsidR="0076683C" w:rsidRPr="00710603" w:rsidP="0076683C" w14:paraId="7811FBC2" w14:textId="22BE8997">
      <w:pPr>
        <w:spacing w:after="0"/>
        <w:rPr>
          <w:rFonts w:cs="Arial"/>
        </w:rPr>
      </w:pPr>
    </w:p>
    <w:p w:rsidR="008853F0" w14:paraId="2D13E966" w14:textId="77777777">
      <w:pPr>
        <w:rPr>
          <w:rFonts w:cs="Arial"/>
          <w:b/>
          <w:spacing w:val="10"/>
          <w:sz w:val="20"/>
          <w:szCs w:val="20"/>
        </w:rPr>
      </w:pPr>
      <w:r>
        <w:rPr>
          <w:rFonts w:cs="Arial"/>
          <w:sz w:val="20"/>
          <w:szCs w:val="20"/>
        </w:rPr>
        <w:br w:type="page"/>
      </w:r>
    </w:p>
    <w:p w:rsidR="0076683C" w:rsidRPr="00710603" w:rsidP="0076683C" w14:paraId="64F4475F" w14:textId="56203812">
      <w:pPr>
        <w:pStyle w:val="Caption"/>
        <w:keepNext w:val="0"/>
        <w:spacing w:before="0"/>
        <w:rPr>
          <w:rFonts w:cs="Arial"/>
          <w:sz w:val="20"/>
          <w:szCs w:val="20"/>
        </w:rPr>
      </w:pPr>
      <w:r>
        <w:rPr>
          <w:rFonts w:cs="Arial"/>
          <w:sz w:val="20"/>
          <w:szCs w:val="20"/>
        </w:rPr>
        <w:t>Tabulka 2</w:t>
      </w:r>
      <w:r w:rsidR="00925F10">
        <w:rPr>
          <w:rFonts w:cs="Arial"/>
          <w:sz w:val="20"/>
          <w:szCs w:val="20"/>
        </w:rPr>
        <w:t>9</w:t>
      </w:r>
      <w:r w:rsidRPr="00710603">
        <w:rPr>
          <w:rFonts w:cs="Arial"/>
          <w:sz w:val="20"/>
          <w:szCs w:val="20"/>
        </w:rPr>
        <w:t>: Skupiny elektrozařízení platné od 15. 8. 2018</w:t>
      </w:r>
    </w:p>
    <w:tbl>
      <w:tblPr>
        <w:tblW w:w="8789" w:type="dxa"/>
        <w:tblInd w:w="137" w:type="dxa"/>
        <w:tblCellMar>
          <w:left w:w="70" w:type="dxa"/>
          <w:right w:w="70" w:type="dxa"/>
        </w:tblCellMar>
        <w:tblLook w:val="04A0"/>
      </w:tblPr>
      <w:tblGrid>
        <w:gridCol w:w="1134"/>
        <w:gridCol w:w="7655"/>
      </w:tblGrid>
      <w:tr w14:paraId="559AAD4C"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83C" w:rsidRPr="00710603" w:rsidP="0012681B" w14:paraId="0A62F822" w14:textId="77777777">
            <w:pPr>
              <w:jc w:val="center"/>
              <w:rPr>
                <w:rFonts w:eastAsia="MS Mincho" w:cs="Arial"/>
                <w:b/>
                <w:noProof w:val="0"/>
                <w:sz w:val="20"/>
                <w:szCs w:val="20"/>
                <w:lang w:eastAsia="cs-CZ" w:bidi="ar-SA"/>
              </w:rPr>
            </w:pPr>
            <w:r w:rsidRPr="00710603">
              <w:rPr>
                <w:rFonts w:eastAsia="MS Mincho" w:cs="Arial"/>
                <w:b/>
                <w:noProof w:val="0"/>
                <w:sz w:val="20"/>
                <w:szCs w:val="20"/>
                <w:lang w:eastAsia="cs-CZ" w:bidi="ar-SA"/>
              </w:rPr>
              <w:t>Skupina</w:t>
            </w:r>
          </w:p>
        </w:tc>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83C" w:rsidRPr="00710603" w:rsidP="0012681B" w14:paraId="11D5E40E" w14:textId="77777777">
            <w:pPr>
              <w:jc w:val="left"/>
              <w:rPr>
                <w:rFonts w:eastAsia="MS Mincho" w:cs="Arial"/>
                <w:b/>
                <w:noProof w:val="0"/>
                <w:sz w:val="20"/>
                <w:szCs w:val="20"/>
                <w:lang w:eastAsia="cs-CZ" w:bidi="ar-SA"/>
              </w:rPr>
            </w:pPr>
            <w:r w:rsidRPr="00710603">
              <w:rPr>
                <w:rFonts w:eastAsia="MS Mincho" w:cs="Arial"/>
                <w:b/>
                <w:noProof w:val="0"/>
                <w:sz w:val="20"/>
                <w:szCs w:val="20"/>
                <w:lang w:eastAsia="cs-CZ" w:bidi="ar-SA"/>
              </w:rPr>
              <w:t>Elektrozařízení</w:t>
            </w:r>
          </w:p>
        </w:tc>
      </w:tr>
      <w:tr w14:paraId="170020E3"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29F73000"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1.</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0AF93F5A"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Zařízení pro tepelnou výměnu</w:t>
            </w:r>
          </w:p>
        </w:tc>
      </w:tr>
      <w:tr w14:paraId="10F95092"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7AFA58FC"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2.</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7134C869"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Obrazovky, monitory a zařízení obsahující obrazovky o ploše větší než 100 cm</w:t>
            </w:r>
            <w:r w:rsidRPr="00710603">
              <w:rPr>
                <w:rFonts w:eastAsia="MS Mincho" w:cs="Arial"/>
                <w:noProof w:val="0"/>
                <w:sz w:val="20"/>
                <w:szCs w:val="20"/>
                <w:vertAlign w:val="superscript"/>
                <w:lang w:eastAsia="cs-CZ" w:bidi="ar-SA"/>
              </w:rPr>
              <w:t>2</w:t>
            </w:r>
          </w:p>
        </w:tc>
      </w:tr>
      <w:tr w14:paraId="6A606DB2"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47949E38"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3.</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2B86B87D"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Světelné zdroje</w:t>
            </w:r>
          </w:p>
        </w:tc>
      </w:tr>
      <w:tr w14:paraId="5EF33F11"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105D4126"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4.</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64990F77"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Velká zařízení (kterýkoliv vnější rozměr větší než 50 cm) zahrnující mimo jiné: domácí spotřebiče; zařízení informačních technologií a telekomunikační zařízení; spotřební elektroniku; světelné zdroje; zařízení reprodukující zvuk či obraz, hudební zařízení; elektrické a elektronické nástroje; hračky, vybavení pro volný čas a sporty; zdravotnické prostředky; přístroje pro monitorování a kontrolu; výdejní automaty; zařízení pro výrobu elektrického proudu. Do této kategorie nepatří zařízení kategorií 1, 2, a 3.</w:t>
            </w:r>
          </w:p>
        </w:tc>
      </w:tr>
      <w:tr w14:paraId="0CBE346D"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34C74C2A"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5.</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5CC1AAB1"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Malá zařízení (žádný vnější rozměr není větší než 50 cm) zahrnující mimo jiné: domácí spotřebiče; spotřební elektroniku; svítidla; zařízení reprodukující zvuk či obraz, hudební zařízení; elektrické a elektronické nástroje; hračky, vybavení pro volný čas a sporty; zdravotnické prostředky; přístroje pro monitorování a kontrolu; výdejní automaty; zařízení pro výrobou elektrického proudu. Do této kategorie nepatří zařízení kategorií 1 až 3 a 6.</w:t>
            </w:r>
          </w:p>
        </w:tc>
      </w:tr>
      <w:tr w14:paraId="18F877DB" w14:textId="77777777" w:rsidTr="0002268A">
        <w:tblPrEx>
          <w:tblW w:w="8789" w:type="dxa"/>
          <w:tblInd w:w="137" w:type="dxa"/>
          <w:tblCellMar>
            <w:left w:w="70" w:type="dxa"/>
            <w:right w:w="70" w:type="dxa"/>
          </w:tblCellMar>
          <w:tblLook w:val="04A0"/>
        </w:tblPrEx>
        <w:trPr>
          <w:trHeight w:val="51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77EDF131" w14:textId="77777777">
            <w:pPr>
              <w:spacing w:before="60" w:line="240" w:lineRule="auto"/>
              <w:jc w:val="center"/>
              <w:rPr>
                <w:rFonts w:eastAsia="MS Mincho" w:cs="Arial"/>
                <w:noProof w:val="0"/>
                <w:sz w:val="20"/>
                <w:szCs w:val="20"/>
                <w:lang w:eastAsia="cs-CZ" w:bidi="ar-SA"/>
              </w:rPr>
            </w:pPr>
            <w:r w:rsidRPr="00710603">
              <w:rPr>
                <w:rFonts w:eastAsia="MS Mincho" w:cs="Arial"/>
                <w:noProof w:val="0"/>
                <w:sz w:val="20"/>
                <w:szCs w:val="20"/>
                <w:lang w:eastAsia="cs-CZ" w:bidi="ar-SA"/>
              </w:rPr>
              <w:t>6.</w:t>
            </w:r>
          </w:p>
        </w:tc>
        <w:tc>
          <w:tcPr>
            <w:tcW w:w="7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683C" w:rsidRPr="00710603" w:rsidP="0012681B" w14:paraId="7E4ADC75" w14:textId="77777777">
            <w:pPr>
              <w:spacing w:before="60" w:line="240" w:lineRule="auto"/>
              <w:jc w:val="left"/>
              <w:rPr>
                <w:rFonts w:eastAsia="MS Mincho" w:cs="Arial"/>
                <w:noProof w:val="0"/>
                <w:sz w:val="20"/>
                <w:szCs w:val="20"/>
                <w:lang w:eastAsia="cs-CZ" w:bidi="ar-SA"/>
              </w:rPr>
            </w:pPr>
            <w:r w:rsidRPr="00710603">
              <w:rPr>
                <w:rFonts w:eastAsia="MS Mincho" w:cs="Arial"/>
                <w:noProof w:val="0"/>
                <w:sz w:val="20"/>
                <w:szCs w:val="20"/>
                <w:lang w:eastAsia="cs-CZ" w:bidi="ar-SA"/>
              </w:rPr>
              <w:t>Malá zařízení informačních technologií a telekomunikační zařízení (žádný vnější rozměr není větší než 50 cm)</w:t>
            </w:r>
          </w:p>
        </w:tc>
      </w:tr>
    </w:tbl>
    <w:p w:rsidR="0076683C" w:rsidP="001E1F3C" w14:paraId="2B482E4F" w14:textId="77777777">
      <w:pPr>
        <w:rPr>
          <w:rFonts w:eastAsia="Calibri" w:cs="Arial"/>
          <w:noProof w:val="0"/>
          <w:szCs w:val="22"/>
          <w:lang w:bidi="ar-SA"/>
        </w:rPr>
      </w:pPr>
    </w:p>
    <w:p w:rsidR="00ED5B2D" w:rsidRPr="008D49F8" w:rsidP="001E1F3C" w14:paraId="73314E01" w14:textId="0EEB31FB">
      <w:pPr>
        <w:rPr>
          <w:rFonts w:cs="Arial"/>
        </w:rPr>
      </w:pPr>
      <w:r w:rsidRPr="008D49F8">
        <w:rPr>
          <w:rFonts w:cs="Arial"/>
        </w:rPr>
        <w:t xml:space="preserve">Graf 1 ukazuje podíl jednotlivých skupin EEZ (dle členění platného do 15.8. 2018) na množství zpětně odebraných a oddělené sebraných výrobků (dle údajů za rok 2016). </w:t>
      </w:r>
      <w:r w:rsidRPr="008D49F8">
        <w:rPr>
          <w:rFonts w:eastAsia="Calibri" w:cs="Arial"/>
          <w:noProof w:val="0"/>
          <w:szCs w:val="22"/>
          <w:lang w:bidi="ar-SA"/>
        </w:rPr>
        <w:t>Hmotnostně n</w:t>
      </w:r>
      <w:r w:rsidRPr="008D49F8">
        <w:rPr>
          <w:rFonts w:eastAsia="Calibri" w:cs="Arial"/>
          <w:noProof w:val="0"/>
          <w:szCs w:val="22"/>
          <w:lang w:bidi="ar-SA"/>
        </w:rPr>
        <w:t xml:space="preserve">ejvýznamnější podíl na zpětně vybraných </w:t>
      </w:r>
      <w:r w:rsidRPr="008D49F8" w:rsidR="00FD1FC9">
        <w:rPr>
          <w:rFonts w:eastAsia="Calibri" w:cs="Arial"/>
          <w:noProof w:val="0"/>
          <w:szCs w:val="22"/>
          <w:lang w:bidi="ar-SA"/>
        </w:rPr>
        <w:t xml:space="preserve">EEZ </w:t>
      </w:r>
      <w:r w:rsidRPr="008D49F8">
        <w:rPr>
          <w:rFonts w:cs="Arial"/>
        </w:rPr>
        <w:t xml:space="preserve">(přes 50 %) </w:t>
      </w:r>
      <w:r w:rsidRPr="008D49F8">
        <w:rPr>
          <w:rFonts w:eastAsia="Calibri" w:cs="Arial"/>
          <w:noProof w:val="0"/>
          <w:szCs w:val="22"/>
          <w:lang w:bidi="ar-SA"/>
        </w:rPr>
        <w:t>měly v roce 201</w:t>
      </w:r>
      <w:r w:rsidRPr="008D49F8" w:rsidR="00FD1FC9">
        <w:rPr>
          <w:rFonts w:eastAsia="Calibri" w:cs="Arial"/>
          <w:noProof w:val="0"/>
          <w:szCs w:val="22"/>
          <w:lang w:bidi="ar-SA"/>
        </w:rPr>
        <w:t>6</w:t>
      </w:r>
      <w:r w:rsidRPr="008D49F8">
        <w:rPr>
          <w:rFonts w:eastAsia="Calibri" w:cs="Arial"/>
          <w:noProof w:val="0"/>
          <w:szCs w:val="22"/>
          <w:lang w:bidi="ar-SA"/>
        </w:rPr>
        <w:t xml:space="preserve"> </w:t>
      </w:r>
      <w:r w:rsidRPr="008D49F8">
        <w:rPr>
          <w:rFonts w:eastAsia="Calibri" w:cs="Arial"/>
          <w:noProof w:val="0"/>
          <w:szCs w:val="22"/>
          <w:lang w:bidi="ar-SA"/>
        </w:rPr>
        <w:t xml:space="preserve">EEZ </w:t>
      </w:r>
      <w:r w:rsidRPr="008D49F8">
        <w:rPr>
          <w:rFonts w:eastAsia="Calibri" w:cs="Arial"/>
          <w:noProof w:val="0"/>
          <w:szCs w:val="22"/>
          <w:lang w:bidi="ar-SA"/>
        </w:rPr>
        <w:t>skupiny 1 (Velké domácí spotřebiče)</w:t>
      </w:r>
      <w:r w:rsidRPr="008D49F8">
        <w:rPr>
          <w:rFonts w:eastAsia="Calibri" w:cs="Arial"/>
          <w:noProof w:val="0"/>
          <w:szCs w:val="22"/>
          <w:lang w:bidi="ar-SA"/>
        </w:rPr>
        <w:t>,</w:t>
      </w:r>
      <w:r w:rsidRPr="008D49F8">
        <w:rPr>
          <w:rFonts w:eastAsia="Calibri" w:cs="Arial"/>
          <w:noProof w:val="0"/>
          <w:szCs w:val="22"/>
          <w:lang w:bidi="ar-SA"/>
        </w:rPr>
        <w:t xml:space="preserve"> </w:t>
      </w:r>
      <w:r w:rsidRPr="008D49F8">
        <w:rPr>
          <w:rFonts w:cs="Arial"/>
        </w:rPr>
        <w:t>a to z důvodu vyšší hmotnosti těchto zařízení (patří sem např. ledničky, pračky a myčky) a dále skupiny č. 4 (Spotřebitelská zařízení a solární panely) a č. 3 (Zařízení informačních technologií a telekomunikační zařízení) následované skupinou 2 (Malé domácí spotřebiče).</w:t>
      </w:r>
      <w:r w:rsidRPr="008D49F8">
        <w:rPr>
          <w:rFonts w:eastAsia="Calibri" w:cs="Arial"/>
          <w:noProof w:val="0"/>
          <w:szCs w:val="22"/>
          <w:lang w:bidi="ar-SA"/>
        </w:rPr>
        <w:t xml:space="preserve"> Podíl ostatních skupin byl marginální. </w:t>
      </w:r>
    </w:p>
    <w:p w:rsidR="00ED5B2D" w:rsidRPr="00221615" w:rsidP="00332FCA" w14:paraId="458A6CE8" w14:textId="77777777">
      <w:pPr>
        <w:pStyle w:val="Caption"/>
        <w:rPr>
          <w:rFonts w:cs="Arial"/>
          <w:sz w:val="20"/>
          <w:szCs w:val="20"/>
          <w:lang w:eastAsia="cs-CZ" w:bidi="ar-SA"/>
        </w:rPr>
      </w:pPr>
      <w:bookmarkStart w:id="166" w:name="_Ref402956943"/>
      <w:r w:rsidRPr="00221615">
        <w:rPr>
          <w:rFonts w:cs="Arial"/>
          <w:noProof w:val="0"/>
          <w:sz w:val="20"/>
          <w:szCs w:val="20"/>
          <w:lang w:eastAsia="cs-CZ" w:bidi="ar-SA"/>
        </w:rPr>
        <w:t xml:space="preserve">Graf </w:t>
      </w:r>
      <w:r w:rsidRPr="00221615" w:rsidR="00773064">
        <w:rPr>
          <w:rFonts w:cs="Arial"/>
          <w:noProof w:val="0"/>
          <w:sz w:val="20"/>
          <w:szCs w:val="20"/>
          <w:lang w:eastAsia="cs-CZ" w:bidi="ar-SA"/>
        </w:rPr>
        <w:fldChar w:fldCharType="begin"/>
      </w:r>
      <w:r w:rsidRPr="00221615" w:rsidR="000645EF">
        <w:rPr>
          <w:rFonts w:cs="Arial"/>
          <w:noProof w:val="0"/>
          <w:sz w:val="20"/>
          <w:szCs w:val="20"/>
          <w:lang w:eastAsia="cs-CZ" w:bidi="ar-SA"/>
        </w:rPr>
        <w:instrText xml:space="preserve"> SEQ Graf \* ARABIC </w:instrText>
      </w:r>
      <w:r w:rsidRPr="00221615" w:rsidR="00773064">
        <w:rPr>
          <w:rFonts w:cs="Arial"/>
          <w:noProof w:val="0"/>
          <w:sz w:val="20"/>
          <w:szCs w:val="20"/>
          <w:lang w:eastAsia="cs-CZ" w:bidi="ar-SA"/>
        </w:rPr>
        <w:fldChar w:fldCharType="separate"/>
      </w:r>
      <w:r w:rsidRPr="00221615" w:rsidR="000645EF">
        <w:rPr>
          <w:rFonts w:cs="Arial"/>
          <w:noProof w:val="0"/>
          <w:sz w:val="20"/>
          <w:szCs w:val="20"/>
          <w:lang w:eastAsia="cs-CZ" w:bidi="ar-SA"/>
        </w:rPr>
        <w:t>1</w:t>
      </w:r>
      <w:r w:rsidRPr="00221615" w:rsidR="00773064">
        <w:rPr>
          <w:rFonts w:cs="Arial"/>
          <w:noProof w:val="0"/>
          <w:sz w:val="20"/>
          <w:szCs w:val="20"/>
          <w:lang w:eastAsia="cs-CZ" w:bidi="ar-SA"/>
        </w:rPr>
        <w:fldChar w:fldCharType="end"/>
      </w:r>
      <w:bookmarkEnd w:id="166"/>
      <w:r w:rsidRPr="00221615">
        <w:rPr>
          <w:rFonts w:cs="Arial"/>
          <w:noProof w:val="0"/>
          <w:sz w:val="20"/>
          <w:szCs w:val="20"/>
          <w:lang w:eastAsia="cs-CZ" w:bidi="ar-SA"/>
        </w:rPr>
        <w:t>:</w:t>
      </w:r>
      <w:r w:rsidRPr="00221615">
        <w:rPr>
          <w:rFonts w:cs="Arial"/>
          <w:sz w:val="20"/>
          <w:szCs w:val="20"/>
          <w:lang w:eastAsia="cs-CZ" w:bidi="ar-SA"/>
        </w:rPr>
        <w:t xml:space="preserve"> Podíl jednotlivých skupin elektrospotřebičů na zpětně odebraných a odděleně sebraných výrobků v roce 201</w:t>
      </w:r>
      <w:r w:rsidRPr="00221615" w:rsidR="00BB2FCE">
        <w:rPr>
          <w:rFonts w:cs="Arial"/>
          <w:sz w:val="20"/>
          <w:szCs w:val="20"/>
          <w:lang w:eastAsia="cs-CZ" w:bidi="ar-SA"/>
        </w:rPr>
        <w:t>6</w:t>
      </w:r>
      <w:r w:rsidRPr="00221615">
        <w:rPr>
          <w:rFonts w:cs="Arial"/>
          <w:sz w:val="20"/>
          <w:szCs w:val="20"/>
          <w:lang w:eastAsia="cs-CZ" w:bidi="ar-SA"/>
        </w:rPr>
        <w:t xml:space="preserve"> dle jejich hmotnosti</w:t>
      </w:r>
    </w:p>
    <w:p w:rsidR="003F744E" w:rsidP="00C1498C" w14:paraId="6A80D386" w14:textId="77777777">
      <w:pPr>
        <w:rPr>
          <w:rFonts w:eastAsia="Calibri"/>
          <w:lang w:eastAsia="cs-CZ" w:bidi="ar-SA"/>
        </w:rPr>
      </w:pPr>
      <w:r>
        <w:rPr>
          <w:rFonts w:eastAsia="Calibri"/>
          <w:lang w:eastAsia="cs-CZ" w:bidi="ar-SA"/>
        </w:rPr>
        <w:drawing>
          <wp:inline distT="0" distB="0" distL="0" distR="0">
            <wp:extent cx="5708769" cy="3028950"/>
            <wp:effectExtent l="0" t="0" r="6350" b="0"/>
            <wp:docPr id="1349" name="Obráze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53601" name="Picture 3"/>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1598" cy="3030451"/>
                    </a:xfrm>
                    <a:prstGeom prst="rect">
                      <a:avLst/>
                    </a:prstGeom>
                    <a:noFill/>
                    <a:ln>
                      <a:noFill/>
                    </a:ln>
                  </pic:spPr>
                </pic:pic>
              </a:graphicData>
            </a:graphic>
          </wp:inline>
        </w:drawing>
      </w:r>
    </w:p>
    <w:p w:rsidR="003F744E" w:rsidP="00C1498C" w14:paraId="6B3FB450" w14:textId="77777777">
      <w:pPr>
        <w:jc w:val="right"/>
        <w:rPr>
          <w:rFonts w:eastAsia="Calibri"/>
          <w:lang w:eastAsia="cs-CZ" w:bidi="ar-SA"/>
        </w:rPr>
      </w:pPr>
      <w:r w:rsidRPr="00ED38E9">
        <w:rPr>
          <w:rFonts w:cs="Arial"/>
          <w:i/>
          <w:iCs/>
          <w:noProof w:val="0"/>
          <w:color w:val="000000"/>
          <w:sz w:val="20"/>
          <w:szCs w:val="20"/>
          <w:lang w:eastAsia="cs-CZ" w:bidi="ar-SA"/>
        </w:rPr>
        <w:t>Zdroj: MŽP</w:t>
      </w:r>
      <w:r w:rsidR="006C5A70">
        <w:rPr>
          <w:rFonts w:cs="Arial"/>
          <w:i/>
          <w:iCs/>
          <w:noProof w:val="0"/>
          <w:color w:val="000000"/>
          <w:sz w:val="20"/>
          <w:szCs w:val="20"/>
          <w:lang w:eastAsia="cs-CZ" w:bidi="ar-SA"/>
        </w:rPr>
        <w:t>,</w:t>
      </w:r>
      <w:r w:rsidRPr="00ED38E9">
        <w:rPr>
          <w:rFonts w:cs="Arial"/>
          <w:i/>
          <w:iCs/>
          <w:noProof w:val="0"/>
          <w:color w:val="000000"/>
          <w:sz w:val="20"/>
          <w:szCs w:val="20"/>
          <w:lang w:eastAsia="cs-CZ" w:bidi="ar-SA"/>
        </w:rPr>
        <w:t xml:space="preserve"> 201</w:t>
      </w:r>
      <w:r>
        <w:rPr>
          <w:rFonts w:cs="Arial"/>
          <w:i/>
          <w:iCs/>
          <w:noProof w:val="0"/>
          <w:color w:val="000000"/>
          <w:sz w:val="20"/>
          <w:szCs w:val="20"/>
          <w:lang w:eastAsia="cs-CZ" w:bidi="ar-SA"/>
        </w:rPr>
        <w:t>8</w:t>
      </w:r>
    </w:p>
    <w:p w:rsidR="00BB2FCE" w:rsidP="00C1498C" w14:paraId="05F54BD7" w14:textId="77777777">
      <w:pPr>
        <w:rPr>
          <w:i/>
          <w:iCs/>
        </w:rPr>
      </w:pPr>
    </w:p>
    <w:p w:rsidR="00BB2FCE" w:rsidRPr="00221615" w:rsidP="00C1498C" w14:paraId="2E6B2470" w14:textId="77777777">
      <w:pPr>
        <w:rPr>
          <w:rFonts w:eastAsia="Calibri"/>
          <w:sz w:val="20"/>
          <w:szCs w:val="20"/>
          <w:lang w:eastAsia="cs-CZ" w:bidi="ar-SA"/>
        </w:rPr>
      </w:pPr>
      <w:r w:rsidRPr="00221615">
        <w:rPr>
          <w:i/>
          <w:iCs/>
          <w:sz w:val="20"/>
          <w:szCs w:val="20"/>
        </w:rPr>
        <w:t>Skupiny dle přílohy č. 7 zákona o odpadech a vyhlášky: 1. Velké domácí spotřebiče, 2. Malé domácí spotřebiče, 3. Zařízení informačních technologií a telekomunikační zařízení, 4. spotřebitelská zařízení a solární panely, 4b Solární panely, 5. Osvětlovací zařízení, 5a. Výbojky a zářivky, 6. Elektrické a elektronické nástroje (s výjimkou velkých stacionárních průmyslových nástrojů), 7. Hračky, vybavení pro volný čas a sporty, 8. Lékařské přístroje s výjimkou všech implantovaných a infikovaných výrobků, 9. Přístroje pro monitorování a kontrolu, 10. Výdejní automaty.</w:t>
      </w:r>
    </w:p>
    <w:p w:rsidR="00E93420" w:rsidP="00112FE8" w14:paraId="65AD80CF" w14:textId="77777777">
      <w:pPr>
        <w:rPr>
          <w:rFonts w:eastAsia="Calibri" w:cs="Arial"/>
          <w:noProof w:val="0"/>
          <w:szCs w:val="22"/>
          <w:lang w:bidi="ar-SA"/>
        </w:rPr>
      </w:pPr>
    </w:p>
    <w:p w:rsidR="00ED5B2D" w:rsidRPr="00ED38E9" w:rsidP="00112FE8" w14:paraId="420611D4" w14:textId="77777777">
      <w:pPr>
        <w:rPr>
          <w:rFonts w:eastAsia="Calibri" w:cs="Arial"/>
          <w:noProof w:val="0"/>
          <w:szCs w:val="22"/>
          <w:lang w:bidi="ar-SA"/>
        </w:rPr>
      </w:pPr>
      <w:r>
        <w:rPr>
          <w:rFonts w:eastAsia="Calibri" w:cs="Arial"/>
          <w:noProof w:val="0"/>
          <w:szCs w:val="22"/>
          <w:lang w:bidi="ar-SA"/>
        </w:rPr>
        <w:t xml:space="preserve">Graf č. </w:t>
      </w:r>
      <w:r w:rsidR="00BB2FCE">
        <w:rPr>
          <w:rFonts w:eastAsia="Calibri" w:cs="Arial"/>
          <w:noProof w:val="0"/>
          <w:szCs w:val="22"/>
          <w:lang w:bidi="ar-SA"/>
        </w:rPr>
        <w:t>2</w:t>
      </w:r>
      <w:r>
        <w:rPr>
          <w:rFonts w:eastAsia="Calibri" w:cs="Arial"/>
          <w:noProof w:val="0"/>
          <w:szCs w:val="22"/>
          <w:lang w:bidi="ar-SA"/>
        </w:rPr>
        <w:t xml:space="preserve"> </w:t>
      </w:r>
      <w:r w:rsidRPr="00ED38E9">
        <w:rPr>
          <w:rFonts w:eastAsia="Calibri" w:cs="Arial"/>
          <w:noProof w:val="0"/>
          <w:szCs w:val="22"/>
          <w:lang w:bidi="ar-SA"/>
        </w:rPr>
        <w:t xml:space="preserve">ukazuje, jak velký podíl na zpětně </w:t>
      </w:r>
      <w:r w:rsidR="00A8771C">
        <w:rPr>
          <w:rFonts w:eastAsia="Calibri" w:cs="Arial"/>
          <w:noProof w:val="0"/>
          <w:szCs w:val="22"/>
          <w:lang w:bidi="ar-SA"/>
        </w:rPr>
        <w:t>ode</w:t>
      </w:r>
      <w:r w:rsidRPr="00ED38E9">
        <w:rPr>
          <w:rFonts w:eastAsia="Calibri" w:cs="Arial"/>
          <w:noProof w:val="0"/>
          <w:szCs w:val="22"/>
          <w:lang w:bidi="ar-SA"/>
        </w:rPr>
        <w:t>braných a odděleně sebraných výrobcích měly v roce 201</w:t>
      </w:r>
      <w:r w:rsidR="00BB2FCE">
        <w:rPr>
          <w:rFonts w:eastAsia="Calibri" w:cs="Arial"/>
          <w:noProof w:val="0"/>
          <w:szCs w:val="22"/>
          <w:lang w:bidi="ar-SA"/>
        </w:rPr>
        <w:t>6</w:t>
      </w:r>
      <w:r w:rsidRPr="00ED38E9">
        <w:rPr>
          <w:rFonts w:eastAsia="Calibri" w:cs="Arial"/>
          <w:noProof w:val="0"/>
          <w:szCs w:val="22"/>
          <w:lang w:bidi="ar-SA"/>
        </w:rPr>
        <w:t xml:space="preserve"> jednotlivé systémy sběru. Individuální a solidární systémy měly na celkově odebraných výrobcích hmotnostní podíl velmi malý, téměř všechen </w:t>
      </w:r>
      <w:r w:rsidR="00A8771C">
        <w:rPr>
          <w:rFonts w:eastAsia="Calibri" w:cs="Arial"/>
          <w:noProof w:val="0"/>
          <w:szCs w:val="22"/>
          <w:lang w:bidi="ar-SA"/>
        </w:rPr>
        <w:t xml:space="preserve">zpětný </w:t>
      </w:r>
      <w:r w:rsidRPr="00ED38E9">
        <w:rPr>
          <w:rFonts w:eastAsia="Calibri" w:cs="Arial"/>
          <w:noProof w:val="0"/>
          <w:szCs w:val="22"/>
          <w:lang w:bidi="ar-SA"/>
        </w:rPr>
        <w:t xml:space="preserve">odběr a </w:t>
      </w:r>
      <w:r w:rsidR="00A8771C">
        <w:rPr>
          <w:rFonts w:eastAsia="Calibri" w:cs="Arial"/>
          <w:noProof w:val="0"/>
          <w:szCs w:val="22"/>
          <w:lang w:bidi="ar-SA"/>
        </w:rPr>
        <w:t xml:space="preserve">oddělený </w:t>
      </w:r>
      <w:r w:rsidRPr="00ED38E9">
        <w:rPr>
          <w:rFonts w:eastAsia="Calibri" w:cs="Arial"/>
          <w:noProof w:val="0"/>
          <w:szCs w:val="22"/>
          <w:lang w:bidi="ar-SA"/>
        </w:rPr>
        <w:t xml:space="preserve">sběr je připisován kolektivním systémům. Nejvyšší podíl zde má společnost Elektrowin a.s. (provozující především kolektivní sběr malých a velkých spotřebičů) následovaná společností ASEKOL s.r.o. Podíly těchto dvou kolektivních systémů dohromady tvoří téměř </w:t>
      </w:r>
      <w:r w:rsidR="006C5A70">
        <w:rPr>
          <w:rFonts w:eastAsia="Calibri" w:cs="Arial"/>
          <w:noProof w:val="0"/>
          <w:szCs w:val="22"/>
          <w:lang w:bidi="ar-SA"/>
        </w:rPr>
        <w:t>7</w:t>
      </w:r>
      <w:r w:rsidRPr="00ED38E9">
        <w:rPr>
          <w:rFonts w:eastAsia="Calibri" w:cs="Arial"/>
          <w:noProof w:val="0"/>
          <w:szCs w:val="22"/>
          <w:lang w:bidi="ar-SA"/>
        </w:rPr>
        <w:t>0 % veškerého zpětného odběru a odděleného sběru.</w:t>
      </w:r>
    </w:p>
    <w:p w:rsidR="00ED5B2D" w:rsidRPr="00221615" w:rsidP="005140E5" w14:paraId="7DE6C7E1" w14:textId="77777777">
      <w:pPr>
        <w:pStyle w:val="Caption"/>
        <w:rPr>
          <w:rFonts w:cs="Arial"/>
          <w:sz w:val="20"/>
          <w:szCs w:val="20"/>
          <w:lang w:eastAsia="cs-CZ" w:bidi="ar-SA"/>
        </w:rPr>
      </w:pPr>
      <w:bookmarkStart w:id="167" w:name="_Ref402957082"/>
      <w:r w:rsidRPr="00221615">
        <w:rPr>
          <w:rFonts w:cs="Arial"/>
          <w:sz w:val="20"/>
          <w:szCs w:val="20"/>
          <w:lang w:eastAsia="cs-CZ" w:bidi="ar-SA"/>
        </w:rPr>
        <w:t xml:space="preserve">Graf </w:t>
      </w:r>
      <w:r w:rsidRPr="00221615" w:rsidR="00773064">
        <w:rPr>
          <w:rFonts w:cs="Arial"/>
          <w:sz w:val="20"/>
          <w:szCs w:val="20"/>
          <w:lang w:eastAsia="cs-CZ" w:bidi="ar-SA"/>
        </w:rPr>
        <w:fldChar w:fldCharType="begin"/>
      </w:r>
      <w:r w:rsidRPr="00221615" w:rsidR="000645EF">
        <w:rPr>
          <w:rFonts w:cs="Arial"/>
          <w:sz w:val="20"/>
          <w:szCs w:val="20"/>
          <w:lang w:eastAsia="cs-CZ" w:bidi="ar-SA"/>
        </w:rPr>
        <w:instrText xml:space="preserve"> SEQ Graf \* ARABIC </w:instrText>
      </w:r>
      <w:r w:rsidRPr="00221615" w:rsidR="00773064">
        <w:rPr>
          <w:rFonts w:cs="Arial"/>
          <w:sz w:val="20"/>
          <w:szCs w:val="20"/>
          <w:lang w:eastAsia="cs-CZ" w:bidi="ar-SA"/>
        </w:rPr>
        <w:fldChar w:fldCharType="separate"/>
      </w:r>
      <w:r w:rsidRPr="00221615" w:rsidR="000645EF">
        <w:rPr>
          <w:rFonts w:cs="Arial"/>
          <w:sz w:val="20"/>
          <w:szCs w:val="20"/>
          <w:lang w:eastAsia="cs-CZ" w:bidi="ar-SA"/>
        </w:rPr>
        <w:t>2</w:t>
      </w:r>
      <w:r w:rsidRPr="00221615" w:rsidR="00773064">
        <w:rPr>
          <w:rFonts w:cs="Arial"/>
          <w:sz w:val="20"/>
          <w:szCs w:val="20"/>
          <w:lang w:eastAsia="cs-CZ" w:bidi="ar-SA"/>
        </w:rPr>
        <w:fldChar w:fldCharType="end"/>
      </w:r>
      <w:bookmarkEnd w:id="167"/>
      <w:r w:rsidRPr="00221615">
        <w:rPr>
          <w:rFonts w:cs="Arial"/>
          <w:sz w:val="20"/>
          <w:szCs w:val="20"/>
          <w:lang w:eastAsia="cs-CZ" w:bidi="ar-SA"/>
        </w:rPr>
        <w:t>: Podíl jednotlivých systémů na zpětně odebraných a odděleně sebraných výrobcích v roce 20</w:t>
      </w:r>
      <w:r w:rsidRPr="00221615" w:rsidR="00114514">
        <w:rPr>
          <w:rFonts w:cs="Arial"/>
          <w:sz w:val="20"/>
          <w:szCs w:val="20"/>
          <w:lang w:eastAsia="cs-CZ" w:bidi="ar-SA"/>
        </w:rPr>
        <w:t>1</w:t>
      </w:r>
      <w:r w:rsidRPr="00221615" w:rsidR="00BB2FCE">
        <w:rPr>
          <w:rFonts w:cs="Arial"/>
          <w:sz w:val="20"/>
          <w:szCs w:val="20"/>
          <w:lang w:eastAsia="cs-CZ" w:bidi="ar-SA"/>
        </w:rPr>
        <w:t>6</w:t>
      </w:r>
      <w:r w:rsidRPr="00221615">
        <w:rPr>
          <w:rFonts w:cs="Arial"/>
          <w:sz w:val="20"/>
          <w:szCs w:val="20"/>
          <w:lang w:eastAsia="cs-CZ" w:bidi="ar-SA"/>
        </w:rPr>
        <w:t xml:space="preserve"> dle jejich hmotnosti</w:t>
      </w:r>
    </w:p>
    <w:p w:rsidR="00BB2FCE" w:rsidP="00C1498C" w14:paraId="198F0916" w14:textId="77777777">
      <w:pPr>
        <w:rPr>
          <w:lang w:eastAsia="cs-CZ" w:bidi="ar-SA"/>
        </w:rPr>
      </w:pPr>
      <w:r>
        <w:rPr>
          <w:lang w:eastAsia="cs-CZ" w:bidi="ar-SA"/>
        </w:rPr>
        <w:drawing>
          <wp:inline distT="0" distB="0" distL="0" distR="0">
            <wp:extent cx="5400675" cy="4007246"/>
            <wp:effectExtent l="0" t="0" r="0" b="0"/>
            <wp:docPr id="1350" name="Obrázek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7468" name="Picture 4"/>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6608" cy="4011648"/>
                    </a:xfrm>
                    <a:prstGeom prst="rect">
                      <a:avLst/>
                    </a:prstGeom>
                    <a:noFill/>
                    <a:ln>
                      <a:noFill/>
                    </a:ln>
                  </pic:spPr>
                </pic:pic>
              </a:graphicData>
            </a:graphic>
          </wp:inline>
        </w:drawing>
      </w:r>
    </w:p>
    <w:p w:rsidR="00BB2FCE" w:rsidRPr="00C1498C" w:rsidP="00C1498C" w14:paraId="1F5C5EB2" w14:textId="77777777">
      <w:pPr>
        <w:jc w:val="right"/>
        <w:rPr>
          <w:i/>
          <w:sz w:val="20"/>
          <w:szCs w:val="20"/>
          <w:lang w:eastAsia="cs-CZ" w:bidi="ar-SA"/>
        </w:rPr>
      </w:pPr>
      <w:r w:rsidRPr="00C1498C">
        <w:rPr>
          <w:i/>
          <w:sz w:val="20"/>
          <w:szCs w:val="20"/>
          <w:lang w:eastAsia="cs-CZ" w:bidi="ar-SA"/>
        </w:rPr>
        <w:t>Zdroj: MŽP, 2018</w:t>
      </w:r>
    </w:p>
    <w:p w:rsidR="006C5A70" w:rsidP="005140E5" w14:paraId="459FACD3" w14:textId="77777777">
      <w:pPr>
        <w:pStyle w:val="Caption"/>
        <w:rPr>
          <w:rFonts w:cs="Arial"/>
          <w:lang w:eastAsia="cs-CZ" w:bidi="ar-SA"/>
        </w:rPr>
      </w:pPr>
      <w:bookmarkStart w:id="168" w:name="_Ref403032761"/>
    </w:p>
    <w:p w:rsidR="00F637CE" w:rsidRPr="00221615" w:rsidP="00221615" w14:paraId="19B5F8EA" w14:textId="77777777">
      <w:pPr>
        <w:pStyle w:val="Caption"/>
        <w:rPr>
          <w:sz w:val="20"/>
          <w:szCs w:val="20"/>
          <w:lang w:eastAsia="cs-CZ" w:bidi="ar-SA"/>
        </w:rPr>
      </w:pPr>
      <w:r w:rsidRPr="00221615">
        <w:rPr>
          <w:rFonts w:cs="Arial"/>
          <w:sz w:val="20"/>
          <w:szCs w:val="20"/>
          <w:lang w:eastAsia="cs-CZ" w:bidi="ar-SA"/>
        </w:rPr>
        <w:t xml:space="preserve">Graf </w:t>
      </w:r>
      <w:r w:rsidRPr="00221615" w:rsidR="00773064">
        <w:rPr>
          <w:rFonts w:cs="Arial"/>
          <w:sz w:val="20"/>
          <w:szCs w:val="20"/>
          <w:lang w:eastAsia="cs-CZ" w:bidi="ar-SA"/>
        </w:rPr>
        <w:fldChar w:fldCharType="begin"/>
      </w:r>
      <w:r w:rsidRPr="00221615" w:rsidR="000645EF">
        <w:rPr>
          <w:rFonts w:cs="Arial"/>
          <w:sz w:val="20"/>
          <w:szCs w:val="20"/>
          <w:lang w:eastAsia="cs-CZ" w:bidi="ar-SA"/>
        </w:rPr>
        <w:instrText xml:space="preserve"> SEQ Graf \* ARABIC </w:instrText>
      </w:r>
      <w:r w:rsidRPr="00221615" w:rsidR="00773064">
        <w:rPr>
          <w:rFonts w:cs="Arial"/>
          <w:sz w:val="20"/>
          <w:szCs w:val="20"/>
          <w:lang w:eastAsia="cs-CZ" w:bidi="ar-SA"/>
        </w:rPr>
        <w:fldChar w:fldCharType="separate"/>
      </w:r>
      <w:r w:rsidRPr="00221615" w:rsidR="000645EF">
        <w:rPr>
          <w:rFonts w:cs="Arial"/>
          <w:sz w:val="20"/>
          <w:szCs w:val="20"/>
          <w:lang w:eastAsia="cs-CZ" w:bidi="ar-SA"/>
        </w:rPr>
        <w:t>3</w:t>
      </w:r>
      <w:r w:rsidRPr="00221615" w:rsidR="00773064">
        <w:rPr>
          <w:rFonts w:cs="Arial"/>
          <w:sz w:val="20"/>
          <w:szCs w:val="20"/>
          <w:lang w:eastAsia="cs-CZ" w:bidi="ar-SA"/>
        </w:rPr>
        <w:fldChar w:fldCharType="end"/>
      </w:r>
      <w:bookmarkEnd w:id="168"/>
      <w:r w:rsidRPr="00221615">
        <w:rPr>
          <w:rFonts w:cs="Arial"/>
          <w:sz w:val="20"/>
          <w:szCs w:val="20"/>
          <w:lang w:eastAsia="cs-CZ" w:bidi="ar-SA"/>
        </w:rPr>
        <w:t>: Úroveň zpětného odběru a odděleného sběru pro jednotlivé KS za rok 201</w:t>
      </w:r>
      <w:r w:rsidRPr="00221615" w:rsidR="00963152">
        <w:rPr>
          <w:rFonts w:cs="Arial"/>
          <w:sz w:val="20"/>
          <w:szCs w:val="20"/>
          <w:lang w:eastAsia="cs-CZ" w:bidi="ar-SA"/>
        </w:rPr>
        <w:t>6</w:t>
      </w:r>
    </w:p>
    <w:p w:rsidR="00F637CE" w:rsidP="00F637CE" w14:paraId="751AEFD0" w14:textId="77777777">
      <w:pPr>
        <w:jc w:val="left"/>
        <w:rPr>
          <w:rFonts w:cs="Arial"/>
          <w:lang w:eastAsia="cs-CZ" w:bidi="ar-SA"/>
        </w:rPr>
      </w:pPr>
      <w:r>
        <w:rPr>
          <w:lang w:eastAsia="cs-CZ" w:bidi="ar-SA"/>
        </w:rPr>
        <w:drawing>
          <wp:inline distT="0" distB="0" distL="0" distR="0">
            <wp:extent cx="5610225" cy="320992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37CE" w:rsidP="00F637CE" w14:paraId="256EF15B" w14:textId="77777777">
      <w:pPr>
        <w:jc w:val="right"/>
        <w:rPr>
          <w:i/>
          <w:sz w:val="20"/>
          <w:szCs w:val="20"/>
          <w:lang w:eastAsia="cs-CZ" w:bidi="ar-SA"/>
        </w:rPr>
      </w:pPr>
      <w:r w:rsidRPr="00120DC8">
        <w:rPr>
          <w:i/>
          <w:sz w:val="20"/>
          <w:szCs w:val="20"/>
          <w:lang w:eastAsia="cs-CZ" w:bidi="ar-SA"/>
        </w:rPr>
        <w:t>Zdroj: MŽP, 2018</w:t>
      </w:r>
    </w:p>
    <w:p w:rsidR="00DC6D94" w:rsidRPr="00C22698" w:rsidP="00C22698" w14:paraId="79113E55" w14:textId="51669E39">
      <w:pPr>
        <w:rPr>
          <w:rFonts w:eastAsia="Calibri" w:cs="Arial"/>
          <w:noProof w:val="0"/>
          <w:szCs w:val="22"/>
          <w:lang w:bidi="ar-SA"/>
        </w:rPr>
      </w:pPr>
      <w:r>
        <w:fldChar w:fldCharType="begin"/>
      </w:r>
      <w:r>
        <w:instrText xml:space="preserve"> REF _Ref403032761 \h  \* MERGEFORMAT </w:instrText>
      </w:r>
      <w:r>
        <w:fldChar w:fldCharType="separate"/>
      </w:r>
    </w:p>
    <w:p w:rsidR="00ED5B2D" w:rsidP="00112FE8">
      <w:pPr>
        <w:rPr>
          <w:rFonts w:eastAsia="Calibri" w:cs="Arial"/>
          <w:noProof w:val="0"/>
          <w:szCs w:val="22"/>
          <w:lang w:bidi="ar-SA"/>
        </w:rPr>
      </w:pPr>
      <w:r w:rsidRPr="00C22698">
        <w:rPr>
          <w:rFonts w:eastAsia="Calibri" w:cs="Arial"/>
          <w:noProof w:val="0"/>
          <w:szCs w:val="22"/>
          <w:lang w:bidi="ar-SA"/>
        </w:rPr>
        <w:t>Graf 3</w:t>
      </w:r>
      <w:r w:rsidR="00892679">
        <w:fldChar w:fldCharType="end"/>
      </w:r>
      <w:r w:rsidRPr="00ED38E9">
        <w:rPr>
          <w:rFonts w:eastAsia="Calibri" w:cs="Arial"/>
          <w:noProof w:val="0"/>
          <w:szCs w:val="22"/>
          <w:lang w:bidi="ar-SA"/>
        </w:rPr>
        <w:t xml:space="preserve"> ukazuje úrovně sběru </w:t>
      </w:r>
      <w:r w:rsidR="002B2B11">
        <w:rPr>
          <w:rFonts w:eastAsia="Calibri" w:cs="Arial"/>
          <w:noProof w:val="0"/>
          <w:szCs w:val="22"/>
          <w:lang w:bidi="ar-SA"/>
        </w:rPr>
        <w:t xml:space="preserve">EEZ </w:t>
      </w:r>
      <w:r w:rsidRPr="00ED38E9">
        <w:rPr>
          <w:rFonts w:eastAsia="Calibri" w:cs="Arial"/>
          <w:noProof w:val="0"/>
          <w:szCs w:val="22"/>
          <w:lang w:bidi="ar-SA"/>
        </w:rPr>
        <w:t>jednotlivých kolektivních systémů působících na českém trhu v roce 201</w:t>
      </w:r>
      <w:r w:rsidR="00963152">
        <w:rPr>
          <w:rFonts w:eastAsia="Calibri" w:cs="Arial"/>
          <w:noProof w:val="0"/>
          <w:szCs w:val="22"/>
          <w:lang w:bidi="ar-SA"/>
        </w:rPr>
        <w:t>6</w:t>
      </w:r>
      <w:r w:rsidR="006C5A70">
        <w:rPr>
          <w:rFonts w:eastAsia="Calibri" w:cs="Arial"/>
          <w:noProof w:val="0"/>
          <w:szCs w:val="22"/>
          <w:lang w:bidi="ar-SA"/>
        </w:rPr>
        <w:t>.</w:t>
      </w:r>
      <w:r w:rsidRPr="00ED38E9">
        <w:rPr>
          <w:rFonts w:eastAsia="Calibri" w:cs="Arial"/>
          <w:noProof w:val="0"/>
          <w:szCs w:val="22"/>
          <w:lang w:bidi="ar-SA"/>
        </w:rPr>
        <w:t xml:space="preserve"> </w:t>
      </w:r>
      <w:r w:rsidR="000C73AE">
        <w:rPr>
          <w:rFonts w:eastAsia="Calibri" w:cs="Arial"/>
          <w:noProof w:val="0"/>
          <w:szCs w:val="22"/>
          <w:lang w:bidi="ar-SA"/>
        </w:rPr>
        <w:t>Jak již bylo ře</w:t>
      </w:r>
      <w:r w:rsidR="002B2B11">
        <w:rPr>
          <w:rFonts w:eastAsia="Calibri" w:cs="Arial"/>
          <w:noProof w:val="0"/>
          <w:szCs w:val="22"/>
          <w:lang w:bidi="ar-SA"/>
        </w:rPr>
        <w:t>čeno výše</w:t>
      </w:r>
      <w:r w:rsidR="003B74C0">
        <w:rPr>
          <w:rFonts w:eastAsia="Calibri" w:cs="Arial"/>
          <w:noProof w:val="0"/>
          <w:szCs w:val="22"/>
          <w:lang w:bidi="ar-SA"/>
        </w:rPr>
        <w:t>,</w:t>
      </w:r>
      <w:r w:rsidR="002B2B11">
        <w:rPr>
          <w:rFonts w:eastAsia="Calibri" w:cs="Arial"/>
          <w:noProof w:val="0"/>
          <w:szCs w:val="22"/>
          <w:lang w:bidi="ar-SA"/>
        </w:rPr>
        <w:t xml:space="preserve"> </w:t>
      </w:r>
      <w:r w:rsidRPr="00ED38E9">
        <w:rPr>
          <w:rFonts w:eastAsia="Calibri" w:cs="Arial"/>
          <w:noProof w:val="0"/>
          <w:szCs w:val="22"/>
          <w:lang w:bidi="ar-SA"/>
        </w:rPr>
        <w:t>Česká republika dos</w:t>
      </w:r>
      <w:r w:rsidR="002B2B11">
        <w:rPr>
          <w:rFonts w:eastAsia="Calibri" w:cs="Arial"/>
          <w:noProof w:val="0"/>
          <w:szCs w:val="22"/>
          <w:lang w:bidi="ar-SA"/>
        </w:rPr>
        <w:t>á</w:t>
      </w:r>
      <w:r w:rsidRPr="00ED38E9">
        <w:rPr>
          <w:rFonts w:eastAsia="Calibri" w:cs="Arial"/>
          <w:noProof w:val="0"/>
          <w:szCs w:val="22"/>
          <w:lang w:bidi="ar-SA"/>
        </w:rPr>
        <w:t xml:space="preserve">hla </w:t>
      </w:r>
      <w:r w:rsidR="002B2B11">
        <w:rPr>
          <w:rFonts w:eastAsia="Calibri" w:cs="Arial"/>
          <w:noProof w:val="0"/>
          <w:szCs w:val="22"/>
          <w:lang w:bidi="ar-SA"/>
        </w:rPr>
        <w:t>v</w:t>
      </w:r>
      <w:r w:rsidRPr="00ED38E9" w:rsidR="002B2B11">
        <w:rPr>
          <w:rFonts w:eastAsia="Calibri" w:cs="Arial"/>
          <w:noProof w:val="0"/>
          <w:szCs w:val="22"/>
          <w:lang w:bidi="ar-SA"/>
        </w:rPr>
        <w:t> roce 201</w:t>
      </w:r>
      <w:r w:rsidR="002B2B11">
        <w:rPr>
          <w:rFonts w:eastAsia="Calibri" w:cs="Arial"/>
          <w:noProof w:val="0"/>
          <w:szCs w:val="22"/>
          <w:lang w:bidi="ar-SA"/>
        </w:rPr>
        <w:t>6</w:t>
      </w:r>
      <w:r w:rsidRPr="00ED38E9" w:rsidR="002B2B11">
        <w:rPr>
          <w:rFonts w:eastAsia="Calibri" w:cs="Arial"/>
          <w:noProof w:val="0"/>
          <w:szCs w:val="22"/>
          <w:lang w:bidi="ar-SA"/>
        </w:rPr>
        <w:t xml:space="preserve"> </w:t>
      </w:r>
      <w:r w:rsidR="002B2B11">
        <w:rPr>
          <w:rFonts w:eastAsia="Calibri" w:cs="Arial"/>
          <w:noProof w:val="0"/>
          <w:szCs w:val="22"/>
          <w:lang w:bidi="ar-SA"/>
        </w:rPr>
        <w:t xml:space="preserve">u EEZ </w:t>
      </w:r>
      <w:r w:rsidRPr="00ED38E9">
        <w:rPr>
          <w:rFonts w:eastAsia="Calibri" w:cs="Arial"/>
          <w:noProof w:val="0"/>
          <w:szCs w:val="22"/>
          <w:lang w:bidi="ar-SA"/>
        </w:rPr>
        <w:t>úrovně zpětného odběru a</w:t>
      </w:r>
      <w:r w:rsidR="002B2B11">
        <w:rPr>
          <w:rFonts w:eastAsia="Calibri" w:cs="Arial"/>
          <w:noProof w:val="0"/>
          <w:szCs w:val="22"/>
          <w:lang w:bidi="ar-SA"/>
        </w:rPr>
        <w:t> </w:t>
      </w:r>
      <w:r w:rsidRPr="00ED38E9">
        <w:rPr>
          <w:rFonts w:eastAsia="Calibri" w:cs="Arial"/>
          <w:noProof w:val="0"/>
          <w:szCs w:val="22"/>
          <w:lang w:bidi="ar-SA"/>
        </w:rPr>
        <w:t>odděleného sběru</w:t>
      </w:r>
      <w:r w:rsidR="002B2B11">
        <w:rPr>
          <w:rFonts w:eastAsia="Calibri" w:cs="Arial"/>
          <w:noProof w:val="0"/>
          <w:szCs w:val="22"/>
          <w:lang w:bidi="ar-SA"/>
        </w:rPr>
        <w:t xml:space="preserve"> 50,5</w:t>
      </w:r>
      <w:r w:rsidRPr="00ED38E9" w:rsidR="002B2B11">
        <w:rPr>
          <w:rFonts w:eastAsia="Calibri" w:cs="Arial"/>
          <w:noProof w:val="0"/>
          <w:szCs w:val="22"/>
          <w:lang w:bidi="ar-SA"/>
        </w:rPr>
        <w:t xml:space="preserve"> %</w:t>
      </w:r>
      <w:r w:rsidRPr="00ED38E9">
        <w:rPr>
          <w:rFonts w:eastAsia="Calibri" w:cs="Arial"/>
          <w:noProof w:val="0"/>
          <w:szCs w:val="22"/>
          <w:lang w:bidi="ar-SA"/>
        </w:rPr>
        <w:t xml:space="preserve">. </w:t>
      </w:r>
      <w:r w:rsidRPr="00221615" w:rsidR="002B2B11">
        <w:rPr>
          <w:rFonts w:eastAsia="Calibri" w:cs="Arial"/>
          <w:noProof w:val="0"/>
          <w:szCs w:val="22"/>
          <w:lang w:bidi="ar-SA"/>
        </w:rPr>
        <w:t>Ú</w:t>
      </w:r>
      <w:r w:rsidRPr="00221615">
        <w:rPr>
          <w:rFonts w:eastAsia="Calibri" w:cs="Arial"/>
          <w:noProof w:val="0"/>
          <w:szCs w:val="22"/>
          <w:lang w:bidi="ar-SA"/>
        </w:rPr>
        <w:t>rov</w:t>
      </w:r>
      <w:r w:rsidRPr="00221615" w:rsidR="002B2B11">
        <w:rPr>
          <w:rFonts w:eastAsia="Calibri" w:cs="Arial"/>
          <w:noProof w:val="0"/>
          <w:szCs w:val="22"/>
          <w:lang w:bidi="ar-SA"/>
        </w:rPr>
        <w:t>eň</w:t>
      </w:r>
      <w:r w:rsidRPr="00221615">
        <w:rPr>
          <w:rFonts w:eastAsia="Calibri" w:cs="Arial"/>
          <w:noProof w:val="0"/>
          <w:szCs w:val="22"/>
          <w:lang w:bidi="ar-SA"/>
        </w:rPr>
        <w:t xml:space="preserve"> zpětného odběru a odděleného sběru převyšující požadovanou </w:t>
      </w:r>
      <w:r w:rsidRPr="00221615" w:rsidR="002B2B11">
        <w:rPr>
          <w:rFonts w:eastAsia="Calibri" w:cs="Arial"/>
          <w:noProof w:val="0"/>
          <w:szCs w:val="22"/>
          <w:lang w:bidi="ar-SA"/>
        </w:rPr>
        <w:t xml:space="preserve">míru (45 %) stanovenou </w:t>
      </w:r>
      <w:r w:rsidRPr="00221615">
        <w:rPr>
          <w:rFonts w:eastAsia="Calibri" w:cs="Arial"/>
          <w:noProof w:val="0"/>
          <w:szCs w:val="22"/>
          <w:lang w:bidi="ar-SA"/>
        </w:rPr>
        <w:t>EU pro rok 2016</w:t>
      </w:r>
      <w:r w:rsidRPr="00221615" w:rsidR="002B2B11">
        <w:rPr>
          <w:rFonts w:eastAsia="Calibri" w:cs="Arial"/>
          <w:noProof w:val="0"/>
          <w:szCs w:val="22"/>
          <w:lang w:bidi="ar-SA"/>
        </w:rPr>
        <w:t xml:space="preserve"> dosáhl kolektivní systém</w:t>
      </w:r>
      <w:r w:rsidRPr="002B2B11">
        <w:rPr>
          <w:rFonts w:eastAsia="Calibri" w:cs="Arial"/>
          <w:noProof w:val="0"/>
          <w:szCs w:val="22"/>
          <w:lang w:bidi="ar-SA"/>
        </w:rPr>
        <w:t xml:space="preserve"> </w:t>
      </w:r>
      <w:r w:rsidRPr="002B2B11" w:rsidR="002B2B11">
        <w:rPr>
          <w:rFonts w:eastAsia="Calibri" w:cs="Arial"/>
          <w:noProof w:val="0"/>
          <w:szCs w:val="22"/>
          <w:lang w:bidi="ar-SA"/>
        </w:rPr>
        <w:t>ASEKOL, Elektrowin a REMA Systém.</w:t>
      </w:r>
    </w:p>
    <w:p w:rsidR="00437CB3" w:rsidP="00112FE8" w14:paraId="25914123" w14:textId="77777777">
      <w:pPr>
        <w:rPr>
          <w:rFonts w:eastAsia="Calibri" w:cs="Arial"/>
          <w:noProof w:val="0"/>
          <w:szCs w:val="22"/>
          <w:lang w:bidi="ar-SA"/>
        </w:rPr>
      </w:pPr>
    </w:p>
    <w:p w:rsidR="00437CB3" w:rsidRPr="00ED38E9" w:rsidP="00112FE8" w14:paraId="507C91BD" w14:textId="68D0C094">
      <w:pPr>
        <w:rPr>
          <w:rFonts w:eastAsia="Calibri" w:cs="Arial"/>
          <w:noProof w:val="0"/>
          <w:szCs w:val="22"/>
          <w:lang w:bidi="ar-SA"/>
        </w:rPr>
      </w:pPr>
      <w:r w:rsidRPr="009B7ED6">
        <w:rPr>
          <w:rFonts w:eastAsia="Calibri" w:cs="Arial"/>
          <w:noProof w:val="0"/>
          <w:szCs w:val="22"/>
          <w:lang w:bidi="ar-SA"/>
        </w:rPr>
        <w:t xml:space="preserve">Pro analýzu tržního postavení jednotlivých kolektivních systémů v rámci skupin </w:t>
      </w:r>
      <w:r>
        <w:rPr>
          <w:rFonts w:eastAsia="Calibri" w:cs="Arial"/>
          <w:noProof w:val="0"/>
          <w:szCs w:val="22"/>
          <w:lang w:bidi="ar-SA"/>
        </w:rPr>
        <w:t>EEZ</w:t>
      </w:r>
      <w:r w:rsidRPr="009B7ED6">
        <w:rPr>
          <w:rFonts w:eastAsia="Calibri" w:cs="Arial"/>
          <w:noProof w:val="0"/>
          <w:szCs w:val="22"/>
          <w:lang w:bidi="ar-SA"/>
        </w:rPr>
        <w:t xml:space="preserve"> byl zvolen přístup odhadu tržního podílu dle podílu výrobků uvedených na trh výrobci z daného kolektivního systému v roce 201</w:t>
      </w:r>
      <w:r w:rsidRPr="00221615">
        <w:rPr>
          <w:rFonts w:eastAsia="Calibri" w:cs="Arial"/>
          <w:noProof w:val="0"/>
          <w:szCs w:val="22"/>
          <w:lang w:bidi="ar-SA"/>
        </w:rPr>
        <w:t>6</w:t>
      </w:r>
      <w:r w:rsidRPr="00A471BC">
        <w:rPr>
          <w:rFonts w:eastAsia="Calibri" w:cs="Arial"/>
          <w:noProof w:val="0"/>
          <w:szCs w:val="22"/>
          <w:lang w:bidi="ar-SA"/>
        </w:rPr>
        <w:t xml:space="preserve"> (</w:t>
      </w:r>
      <w:r w:rsidR="00892679">
        <w:fldChar w:fldCharType="begin"/>
      </w:r>
      <w:r w:rsidR="00892679">
        <w:instrText xml:space="preserve"> REF _Ref403033696 \h  \* MERGEFORMAT </w:instrText>
      </w:r>
      <w:r w:rsidR="00892679">
        <w:fldChar w:fldCharType="separate"/>
      </w:r>
      <w:r w:rsidRPr="00C22698" w:rsidR="00DC6D94">
        <w:rPr>
          <w:rFonts w:eastAsia="Calibri" w:cs="Arial"/>
          <w:noProof w:val="0"/>
          <w:szCs w:val="22"/>
          <w:lang w:bidi="ar-SA"/>
        </w:rPr>
        <w:t>Graf 4</w:t>
      </w:r>
      <w:r w:rsidR="00892679">
        <w:fldChar w:fldCharType="end"/>
      </w:r>
      <w:r w:rsidRPr="00E00026">
        <w:rPr>
          <w:rFonts w:eastAsia="Calibri" w:cs="Arial"/>
          <w:noProof w:val="0"/>
          <w:szCs w:val="22"/>
          <w:lang w:bidi="ar-SA"/>
        </w:rPr>
        <w:t>).</w:t>
      </w:r>
    </w:p>
    <w:p w:rsidR="000377A3" w:rsidRPr="00221615" w:rsidP="00F637CE" w14:paraId="55EFD813" w14:textId="77777777">
      <w:pPr>
        <w:pStyle w:val="Caption"/>
        <w:rPr>
          <w:rFonts w:cs="Arial"/>
          <w:sz w:val="20"/>
          <w:szCs w:val="20"/>
          <w:lang w:eastAsia="cs-CZ" w:bidi="ar-SA"/>
        </w:rPr>
      </w:pPr>
      <w:bookmarkStart w:id="169" w:name="_Ref403033696"/>
      <w:r w:rsidRPr="00221615">
        <w:rPr>
          <w:rFonts w:cs="Arial"/>
          <w:sz w:val="20"/>
          <w:szCs w:val="20"/>
          <w:lang w:eastAsia="cs-CZ" w:bidi="ar-SA"/>
        </w:rPr>
        <w:t xml:space="preserve">Graf </w:t>
      </w:r>
      <w:r w:rsidRPr="00221615" w:rsidR="00773064">
        <w:rPr>
          <w:rFonts w:cs="Arial"/>
          <w:sz w:val="20"/>
          <w:szCs w:val="20"/>
          <w:lang w:eastAsia="cs-CZ" w:bidi="ar-SA"/>
        </w:rPr>
        <w:fldChar w:fldCharType="begin"/>
      </w:r>
      <w:r w:rsidRPr="00221615" w:rsidR="000645EF">
        <w:rPr>
          <w:rFonts w:cs="Arial"/>
          <w:sz w:val="20"/>
          <w:szCs w:val="20"/>
          <w:lang w:eastAsia="cs-CZ" w:bidi="ar-SA"/>
        </w:rPr>
        <w:instrText xml:space="preserve"> SEQ Graf \* ARABIC </w:instrText>
      </w:r>
      <w:r w:rsidRPr="00221615" w:rsidR="00773064">
        <w:rPr>
          <w:rFonts w:cs="Arial"/>
          <w:sz w:val="20"/>
          <w:szCs w:val="20"/>
          <w:lang w:eastAsia="cs-CZ" w:bidi="ar-SA"/>
        </w:rPr>
        <w:fldChar w:fldCharType="separate"/>
      </w:r>
      <w:r w:rsidRPr="00221615" w:rsidR="000645EF">
        <w:rPr>
          <w:rFonts w:cs="Arial"/>
          <w:sz w:val="20"/>
          <w:szCs w:val="20"/>
          <w:lang w:eastAsia="cs-CZ" w:bidi="ar-SA"/>
        </w:rPr>
        <w:t>4</w:t>
      </w:r>
      <w:r w:rsidRPr="00221615" w:rsidR="00773064">
        <w:rPr>
          <w:rFonts w:cs="Arial"/>
          <w:sz w:val="20"/>
          <w:szCs w:val="20"/>
          <w:lang w:eastAsia="cs-CZ" w:bidi="ar-SA"/>
        </w:rPr>
        <w:fldChar w:fldCharType="end"/>
      </w:r>
      <w:bookmarkEnd w:id="169"/>
      <w:r w:rsidRPr="00221615">
        <w:rPr>
          <w:rFonts w:cs="Arial"/>
          <w:sz w:val="20"/>
          <w:szCs w:val="20"/>
          <w:lang w:eastAsia="cs-CZ" w:bidi="ar-SA"/>
        </w:rPr>
        <w:t>: Podíl jednotlivých subjektů dle množství výrobků uváděných na trh v roce 201</w:t>
      </w:r>
      <w:r w:rsidRPr="00221615" w:rsidR="00F86584">
        <w:rPr>
          <w:rFonts w:cs="Arial"/>
          <w:sz w:val="20"/>
          <w:szCs w:val="20"/>
          <w:lang w:eastAsia="cs-CZ" w:bidi="ar-SA"/>
        </w:rPr>
        <w:t>6</w:t>
      </w:r>
    </w:p>
    <w:p w:rsidR="00F637CE" w:rsidRPr="00F637CE" w:rsidP="00221615" w14:paraId="6D4137A0" w14:textId="77777777">
      <w:pPr>
        <w:rPr>
          <w:lang w:eastAsia="cs-CZ" w:bidi="ar-SA"/>
        </w:rPr>
      </w:pPr>
      <w:r>
        <w:rPr>
          <w:lang w:eastAsia="cs-CZ" w:bidi="ar-SA"/>
        </w:rPr>
        <w:drawing>
          <wp:inline distT="0" distB="0" distL="0" distR="0">
            <wp:extent cx="5734050" cy="336232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6584" w:rsidRPr="00221615" w:rsidP="00221615" w14:paraId="79FFF673" w14:textId="77777777">
      <w:pPr>
        <w:jc w:val="right"/>
        <w:rPr>
          <w:i/>
          <w:sz w:val="20"/>
          <w:szCs w:val="20"/>
          <w:lang w:eastAsia="cs-CZ" w:bidi="ar-SA"/>
        </w:rPr>
      </w:pPr>
      <w:r w:rsidRPr="00221615">
        <w:rPr>
          <w:i/>
          <w:sz w:val="20"/>
          <w:szCs w:val="20"/>
          <w:lang w:eastAsia="cs-CZ" w:bidi="ar-SA"/>
        </w:rPr>
        <w:t>Zdroj: MŽP, 2018, vlastní zpracování</w:t>
      </w:r>
    </w:p>
    <w:p w:rsidR="00ED5B2D" w:rsidRPr="00A471BC" w:rsidP="00936929" w14:paraId="6B9E8765" w14:textId="7ABAC72E">
      <w:pPr>
        <w:rPr>
          <w:rFonts w:eastAsia="Calibri" w:cs="Arial"/>
          <w:noProof w:val="0"/>
          <w:szCs w:val="22"/>
          <w:lang w:bidi="ar-SA"/>
        </w:rPr>
      </w:pPr>
      <w:r w:rsidRPr="00E00026">
        <w:rPr>
          <w:rFonts w:eastAsia="Calibri" w:cs="Arial"/>
          <w:noProof w:val="0"/>
          <w:szCs w:val="22"/>
          <w:lang w:bidi="ar-SA"/>
        </w:rPr>
        <w:t xml:space="preserve">Z Grafu </w:t>
      </w:r>
      <w:r w:rsidR="003F1017">
        <w:rPr>
          <w:rFonts w:eastAsia="Calibri" w:cs="Arial"/>
          <w:noProof w:val="0"/>
          <w:szCs w:val="22"/>
          <w:lang w:bidi="ar-SA"/>
        </w:rPr>
        <w:t xml:space="preserve">4 </w:t>
      </w:r>
      <w:r w:rsidRPr="00E00026">
        <w:rPr>
          <w:rFonts w:eastAsia="Calibri" w:cs="Arial"/>
          <w:noProof w:val="0"/>
          <w:szCs w:val="22"/>
          <w:lang w:bidi="ar-SA"/>
        </w:rPr>
        <w:t>je patrné, že kolektivní systém Elektrowin měl dominantní podíl dle výrobků uvedených na trh ve skupině 1 (velké domácí spotřebiče)</w:t>
      </w:r>
      <w:r w:rsidRPr="00221615" w:rsidR="00A471BC">
        <w:rPr>
          <w:rFonts w:eastAsia="Calibri" w:cs="Arial"/>
          <w:noProof w:val="0"/>
          <w:szCs w:val="22"/>
          <w:lang w:bidi="ar-SA"/>
        </w:rPr>
        <w:t>, a to 81 %</w:t>
      </w:r>
      <w:r w:rsidRPr="00A471BC">
        <w:rPr>
          <w:rFonts w:eastAsia="Calibri" w:cs="Arial"/>
          <w:noProof w:val="0"/>
          <w:szCs w:val="22"/>
          <w:lang w:bidi="ar-SA"/>
        </w:rPr>
        <w:t xml:space="preserve"> a </w:t>
      </w:r>
      <w:r w:rsidRPr="00221615" w:rsidR="00A471BC">
        <w:rPr>
          <w:rFonts w:eastAsia="Calibri" w:cs="Arial"/>
          <w:noProof w:val="0"/>
          <w:szCs w:val="22"/>
          <w:lang w:bidi="ar-SA"/>
        </w:rPr>
        <w:t xml:space="preserve">ve </w:t>
      </w:r>
      <w:r w:rsidRPr="00A471BC">
        <w:rPr>
          <w:rFonts w:eastAsia="Calibri" w:cs="Arial"/>
          <w:noProof w:val="0"/>
          <w:szCs w:val="22"/>
          <w:lang w:bidi="ar-SA"/>
        </w:rPr>
        <w:t>skupině 2 (malé domácí spotřebiče)</w:t>
      </w:r>
      <w:r w:rsidRPr="00221615" w:rsidR="00A471BC">
        <w:rPr>
          <w:rFonts w:eastAsia="Calibri" w:cs="Arial"/>
          <w:noProof w:val="0"/>
          <w:szCs w:val="22"/>
          <w:lang w:bidi="ar-SA"/>
        </w:rPr>
        <w:t>, a to 72 %</w:t>
      </w:r>
      <w:r w:rsidRPr="00A471BC">
        <w:rPr>
          <w:rFonts w:eastAsia="Calibri" w:cs="Arial"/>
          <w:noProof w:val="0"/>
          <w:szCs w:val="22"/>
          <w:lang w:bidi="ar-SA"/>
        </w:rPr>
        <w:t xml:space="preserve">. Ve skupině 3 (IT a telekomunikačních zařízení) </w:t>
      </w:r>
      <w:r w:rsidRPr="00221615" w:rsidR="00A471BC">
        <w:rPr>
          <w:rFonts w:eastAsia="Calibri" w:cs="Arial"/>
          <w:noProof w:val="0"/>
          <w:szCs w:val="22"/>
          <w:lang w:bidi="ar-SA"/>
        </w:rPr>
        <w:t xml:space="preserve">měla dominantní podíl REMA systém (61 %), významný podíl měl i </w:t>
      </w:r>
      <w:r w:rsidRPr="00A471BC">
        <w:rPr>
          <w:rFonts w:eastAsia="Calibri" w:cs="Arial"/>
          <w:noProof w:val="0"/>
          <w:szCs w:val="22"/>
          <w:lang w:bidi="ar-SA"/>
        </w:rPr>
        <w:t>ASEKOL (</w:t>
      </w:r>
      <w:r w:rsidRPr="00221615" w:rsidR="00A471BC">
        <w:rPr>
          <w:rFonts w:eastAsia="Calibri" w:cs="Arial"/>
          <w:noProof w:val="0"/>
          <w:szCs w:val="22"/>
          <w:lang w:bidi="ar-SA"/>
        </w:rPr>
        <w:t>33</w:t>
      </w:r>
      <w:r w:rsidRPr="00A471BC" w:rsidR="00A471BC">
        <w:rPr>
          <w:rFonts w:eastAsia="Calibri" w:cs="Arial"/>
          <w:noProof w:val="0"/>
          <w:szCs w:val="22"/>
          <w:lang w:bidi="ar-SA"/>
        </w:rPr>
        <w:t xml:space="preserve"> </w:t>
      </w:r>
      <w:r w:rsidRPr="00A471BC">
        <w:rPr>
          <w:rFonts w:eastAsia="Calibri" w:cs="Arial"/>
          <w:noProof w:val="0"/>
          <w:szCs w:val="22"/>
          <w:lang w:bidi="ar-SA"/>
        </w:rPr>
        <w:t xml:space="preserve">%). Dominantní postavení </w:t>
      </w:r>
      <w:r w:rsidRPr="00221615" w:rsidR="00A471BC">
        <w:rPr>
          <w:rFonts w:eastAsia="Calibri" w:cs="Arial"/>
          <w:noProof w:val="0"/>
          <w:szCs w:val="22"/>
          <w:lang w:bidi="ar-SA"/>
        </w:rPr>
        <w:t>měl</w:t>
      </w:r>
      <w:r w:rsidRPr="00A471BC" w:rsidR="00A471BC">
        <w:rPr>
          <w:rFonts w:eastAsia="Calibri" w:cs="Arial"/>
          <w:noProof w:val="0"/>
          <w:szCs w:val="22"/>
          <w:lang w:bidi="ar-SA"/>
        </w:rPr>
        <w:t xml:space="preserve"> </w:t>
      </w:r>
      <w:r w:rsidRPr="00A471BC">
        <w:rPr>
          <w:rFonts w:eastAsia="Calibri" w:cs="Arial"/>
          <w:noProof w:val="0"/>
          <w:szCs w:val="22"/>
          <w:lang w:bidi="ar-SA"/>
        </w:rPr>
        <w:t>kolektivní systém ASEKOL ve skupině 4 (spotřebitelská zařízení a solární panely)</w:t>
      </w:r>
      <w:r w:rsidRPr="00221615" w:rsidR="00A471BC">
        <w:rPr>
          <w:rFonts w:eastAsia="Calibri" w:cs="Arial"/>
          <w:noProof w:val="0"/>
          <w:szCs w:val="22"/>
          <w:lang w:bidi="ar-SA"/>
        </w:rPr>
        <w:t>, a to 65 %</w:t>
      </w:r>
      <w:r w:rsidRPr="00A471BC">
        <w:rPr>
          <w:rFonts w:eastAsia="Calibri" w:cs="Arial"/>
          <w:noProof w:val="0"/>
          <w:szCs w:val="22"/>
          <w:lang w:bidi="ar-SA"/>
        </w:rPr>
        <w:t>. Kolektivní systém EKOLAMP vykazoval dominantní postavení v rámci skupiny 5 (osvětlovací zařízení)</w:t>
      </w:r>
      <w:r w:rsidRPr="00221615" w:rsidR="00A471BC">
        <w:rPr>
          <w:rFonts w:eastAsia="Calibri" w:cs="Arial"/>
          <w:noProof w:val="0"/>
          <w:szCs w:val="22"/>
          <w:lang w:bidi="ar-SA"/>
        </w:rPr>
        <w:t>, a to 66 % a ve skupině 5a (72 %)</w:t>
      </w:r>
      <w:r w:rsidRPr="00A471BC">
        <w:rPr>
          <w:rFonts w:eastAsia="Calibri" w:cs="Arial"/>
          <w:noProof w:val="0"/>
          <w:szCs w:val="22"/>
          <w:lang w:bidi="ar-SA"/>
        </w:rPr>
        <w:t>. V rámci elektrických a</w:t>
      </w:r>
      <w:r w:rsidR="00412A89">
        <w:rPr>
          <w:rFonts w:eastAsia="Calibri" w:cs="Arial"/>
          <w:noProof w:val="0"/>
          <w:szCs w:val="22"/>
          <w:lang w:bidi="ar-SA"/>
        </w:rPr>
        <w:t> </w:t>
      </w:r>
      <w:r w:rsidRPr="00A471BC">
        <w:rPr>
          <w:rFonts w:eastAsia="Calibri" w:cs="Arial"/>
          <w:noProof w:val="0"/>
          <w:szCs w:val="22"/>
          <w:lang w:bidi="ar-SA"/>
        </w:rPr>
        <w:t>elektronických nástrojů (skupina 6) patřily mezi nejvýznamnější hráče kolektivní systém RETELA (54 %) a kolektivní systém Elektrowin (</w:t>
      </w:r>
      <w:r w:rsidRPr="00221615" w:rsidR="00A471BC">
        <w:rPr>
          <w:rFonts w:eastAsia="Calibri" w:cs="Arial"/>
          <w:noProof w:val="0"/>
          <w:szCs w:val="22"/>
          <w:lang w:bidi="ar-SA"/>
        </w:rPr>
        <w:t>2</w:t>
      </w:r>
      <w:r w:rsidRPr="00A471BC">
        <w:rPr>
          <w:rFonts w:eastAsia="Calibri" w:cs="Arial"/>
          <w:noProof w:val="0"/>
          <w:szCs w:val="22"/>
          <w:lang w:bidi="ar-SA"/>
        </w:rPr>
        <w:t>4</w:t>
      </w:r>
      <w:r w:rsidRPr="00221615" w:rsidR="00A471BC">
        <w:rPr>
          <w:rFonts w:eastAsia="Calibri" w:cs="Arial"/>
          <w:noProof w:val="0"/>
          <w:szCs w:val="22"/>
          <w:lang w:bidi="ar-SA"/>
        </w:rPr>
        <w:t> </w:t>
      </w:r>
      <w:r w:rsidRPr="00A471BC">
        <w:rPr>
          <w:rFonts w:eastAsia="Calibri" w:cs="Arial"/>
          <w:noProof w:val="0"/>
          <w:szCs w:val="22"/>
          <w:lang w:bidi="ar-SA"/>
        </w:rPr>
        <w:t>%). Ve skupině 7 (vybavení pro volný čas a sporty) sdružoval výrobce s největším podílem na uvedených výrobcích v dané skupině kolektivní systém ASEKOL (5</w:t>
      </w:r>
      <w:r w:rsidR="00A471BC">
        <w:rPr>
          <w:rFonts w:eastAsia="Calibri" w:cs="Arial"/>
          <w:noProof w:val="0"/>
          <w:szCs w:val="22"/>
          <w:lang w:bidi="ar-SA"/>
        </w:rPr>
        <w:t>9</w:t>
      </w:r>
      <w:r w:rsidR="002408DF">
        <w:rPr>
          <w:rFonts w:eastAsia="Calibri" w:cs="Arial"/>
          <w:noProof w:val="0"/>
          <w:szCs w:val="22"/>
          <w:lang w:bidi="ar-SA"/>
        </w:rPr>
        <w:t> </w:t>
      </w:r>
      <w:r w:rsidRPr="00A471BC">
        <w:rPr>
          <w:rFonts w:eastAsia="Calibri" w:cs="Arial"/>
          <w:noProof w:val="0"/>
          <w:szCs w:val="22"/>
          <w:lang w:bidi="ar-SA"/>
        </w:rPr>
        <w:t>%) následovaný kolektivním systémem RETELA (2</w:t>
      </w:r>
      <w:r w:rsidR="00A471BC">
        <w:rPr>
          <w:rFonts w:eastAsia="Calibri" w:cs="Arial"/>
          <w:noProof w:val="0"/>
          <w:szCs w:val="22"/>
          <w:lang w:bidi="ar-SA"/>
        </w:rPr>
        <w:t>4</w:t>
      </w:r>
      <w:r w:rsidRPr="00A471BC">
        <w:rPr>
          <w:rFonts w:eastAsia="Calibri" w:cs="Arial"/>
          <w:noProof w:val="0"/>
          <w:szCs w:val="22"/>
          <w:lang w:bidi="ar-SA"/>
        </w:rPr>
        <w:t xml:space="preserve"> %). Ve</w:t>
      </w:r>
      <w:r w:rsidR="00412A89">
        <w:rPr>
          <w:rFonts w:eastAsia="Calibri" w:cs="Arial"/>
          <w:noProof w:val="0"/>
          <w:szCs w:val="22"/>
          <w:lang w:bidi="ar-SA"/>
        </w:rPr>
        <w:t> </w:t>
      </w:r>
      <w:r w:rsidRPr="00A471BC">
        <w:rPr>
          <w:rFonts w:eastAsia="Calibri" w:cs="Arial"/>
          <w:noProof w:val="0"/>
          <w:szCs w:val="22"/>
          <w:lang w:bidi="ar-SA"/>
        </w:rPr>
        <w:t xml:space="preserve">skupině 8 </w:t>
      </w:r>
      <w:r w:rsidR="00EE42A8">
        <w:rPr>
          <w:rFonts w:eastAsia="Calibri" w:cs="Arial"/>
          <w:noProof w:val="0"/>
          <w:szCs w:val="22"/>
          <w:lang w:bidi="ar-SA"/>
        </w:rPr>
        <w:t xml:space="preserve">(lékařské přístroje) </w:t>
      </w:r>
      <w:r w:rsidRPr="00A471BC">
        <w:rPr>
          <w:rFonts w:eastAsia="Calibri" w:cs="Arial"/>
          <w:noProof w:val="0"/>
          <w:szCs w:val="22"/>
          <w:lang w:bidi="ar-SA"/>
        </w:rPr>
        <w:t>uvedli na trh nejvíce výrobci z kolektivních systémů REMA Systém</w:t>
      </w:r>
      <w:r w:rsidRPr="00A471BC" w:rsidR="00A471BC">
        <w:rPr>
          <w:rFonts w:eastAsia="Calibri" w:cs="Arial"/>
          <w:noProof w:val="0"/>
          <w:szCs w:val="22"/>
          <w:lang w:bidi="ar-SA"/>
        </w:rPr>
        <w:t xml:space="preserve"> </w:t>
      </w:r>
      <w:r w:rsidR="00A471BC">
        <w:rPr>
          <w:rFonts w:eastAsia="Calibri" w:cs="Arial"/>
          <w:noProof w:val="0"/>
          <w:szCs w:val="22"/>
          <w:lang w:bidi="ar-SA"/>
        </w:rPr>
        <w:t>(43 %) a RETELA (40 %)</w:t>
      </w:r>
      <w:r w:rsidRPr="00A471BC">
        <w:rPr>
          <w:rFonts w:eastAsia="Calibri" w:cs="Arial"/>
          <w:noProof w:val="0"/>
          <w:szCs w:val="22"/>
          <w:lang w:bidi="ar-SA"/>
        </w:rPr>
        <w:t xml:space="preserve">. </w:t>
      </w:r>
      <w:r w:rsidR="00A471BC">
        <w:rPr>
          <w:rFonts w:eastAsia="Calibri" w:cs="Arial"/>
          <w:noProof w:val="0"/>
          <w:szCs w:val="22"/>
          <w:lang w:bidi="ar-SA"/>
        </w:rPr>
        <w:t>Ve</w:t>
      </w:r>
      <w:r w:rsidR="00EE42A8">
        <w:rPr>
          <w:rFonts w:eastAsia="Calibri" w:cs="Arial"/>
          <w:noProof w:val="0"/>
          <w:szCs w:val="22"/>
          <w:lang w:bidi="ar-SA"/>
        </w:rPr>
        <w:t> </w:t>
      </w:r>
      <w:r w:rsidR="00A471BC">
        <w:rPr>
          <w:rFonts w:eastAsia="Calibri" w:cs="Arial"/>
          <w:noProof w:val="0"/>
          <w:szCs w:val="22"/>
          <w:lang w:bidi="ar-SA"/>
        </w:rPr>
        <w:t xml:space="preserve">skupině 9 </w:t>
      </w:r>
      <w:r w:rsidR="00EE42A8">
        <w:rPr>
          <w:rFonts w:eastAsia="Calibri" w:cs="Arial"/>
          <w:noProof w:val="0"/>
          <w:szCs w:val="22"/>
          <w:lang w:bidi="ar-SA"/>
        </w:rPr>
        <w:t>(přístroje pro</w:t>
      </w:r>
      <w:r w:rsidR="003F1017">
        <w:rPr>
          <w:rFonts w:eastAsia="Calibri" w:cs="Arial"/>
          <w:noProof w:val="0"/>
          <w:szCs w:val="22"/>
          <w:lang w:bidi="ar-SA"/>
        </w:rPr>
        <w:t> </w:t>
      </w:r>
      <w:r w:rsidR="00EE42A8">
        <w:rPr>
          <w:rFonts w:eastAsia="Calibri" w:cs="Arial"/>
          <w:noProof w:val="0"/>
          <w:szCs w:val="22"/>
          <w:lang w:bidi="ar-SA"/>
        </w:rPr>
        <w:t xml:space="preserve">monitorování a kontrolu) </w:t>
      </w:r>
      <w:r w:rsidR="00A471BC">
        <w:rPr>
          <w:rFonts w:eastAsia="Calibri" w:cs="Arial"/>
          <w:noProof w:val="0"/>
          <w:szCs w:val="22"/>
          <w:lang w:bidi="ar-SA"/>
        </w:rPr>
        <w:t>m</w:t>
      </w:r>
      <w:r w:rsidR="00EE42A8">
        <w:rPr>
          <w:rFonts w:eastAsia="Calibri" w:cs="Arial"/>
          <w:noProof w:val="0"/>
          <w:szCs w:val="22"/>
          <w:lang w:bidi="ar-SA"/>
        </w:rPr>
        <w:t xml:space="preserve">ěla dominantní podíl RETELA (57 %) následovaná REMA Systémem (35 %). </w:t>
      </w:r>
      <w:r w:rsidRPr="00A471BC">
        <w:rPr>
          <w:rFonts w:eastAsia="Calibri" w:cs="Arial"/>
          <w:noProof w:val="0"/>
          <w:szCs w:val="22"/>
          <w:lang w:bidi="ar-SA"/>
        </w:rPr>
        <w:t>Kolektivní systém RETELA měl dominantní postavení ve skupině 10 (Výdejní automaty)</w:t>
      </w:r>
      <w:r w:rsidR="00A471BC">
        <w:rPr>
          <w:rFonts w:eastAsia="Calibri" w:cs="Arial"/>
          <w:noProof w:val="0"/>
          <w:szCs w:val="22"/>
          <w:lang w:bidi="ar-SA"/>
        </w:rPr>
        <w:t>, a to 53 %, dále následoval REMA Systém (40%)</w:t>
      </w:r>
      <w:r w:rsidRPr="00A471BC">
        <w:rPr>
          <w:rFonts w:eastAsia="Calibri" w:cs="Arial"/>
          <w:noProof w:val="0"/>
          <w:szCs w:val="22"/>
          <w:lang w:bidi="ar-SA"/>
        </w:rPr>
        <w:t>.</w:t>
      </w:r>
    </w:p>
    <w:p w:rsidR="00ED5B2D" w:rsidRPr="00EE42A8" w:rsidP="00936929" w14:paraId="3BBD2401" w14:textId="77777777">
      <w:pPr>
        <w:rPr>
          <w:rFonts w:eastAsia="Calibri" w:cs="Arial"/>
          <w:noProof w:val="0"/>
          <w:szCs w:val="22"/>
          <w:lang w:bidi="ar-SA"/>
        </w:rPr>
      </w:pPr>
      <w:r w:rsidRPr="00EE42A8">
        <w:rPr>
          <w:rFonts w:eastAsia="Calibri" w:cs="Arial"/>
          <w:noProof w:val="0"/>
          <w:szCs w:val="22"/>
          <w:lang w:bidi="ar-SA"/>
        </w:rPr>
        <w:t>Na problematiku stávající legislativy spojenou s možnými negativními dopady na</w:t>
      </w:r>
      <w:r w:rsidR="00EE42A8">
        <w:rPr>
          <w:rFonts w:eastAsia="Calibri" w:cs="Arial"/>
          <w:noProof w:val="0"/>
          <w:szCs w:val="22"/>
          <w:lang w:bidi="ar-SA"/>
        </w:rPr>
        <w:t> </w:t>
      </w:r>
      <w:r w:rsidRPr="00EE42A8">
        <w:rPr>
          <w:rFonts w:eastAsia="Calibri" w:cs="Arial"/>
          <w:noProof w:val="0"/>
          <w:szCs w:val="22"/>
          <w:lang w:bidi="ar-SA"/>
        </w:rPr>
        <w:t>hospodářskou soutěž již v minulosti upozorňoval Úřad pro ochranu hospodářské soutěže. V rámci příslušných věcných okruhů se této problematice věnujeme podrobněji.</w:t>
      </w:r>
    </w:p>
    <w:p w:rsidR="00E32267" w:rsidP="00E32267" w14:paraId="40917F9A" w14:textId="7DF91991">
      <w:pPr>
        <w:rPr>
          <w:rFonts w:eastAsia="Calibri" w:cs="Arial"/>
          <w:noProof w:val="0"/>
          <w:szCs w:val="22"/>
          <w:lang w:bidi="ar-SA"/>
        </w:rPr>
      </w:pPr>
      <w:r w:rsidRPr="009B7ED6">
        <w:rPr>
          <w:rFonts w:eastAsia="Calibri" w:cs="Arial"/>
          <w:noProof w:val="0"/>
          <w:szCs w:val="22"/>
          <w:lang w:bidi="ar-SA"/>
        </w:rPr>
        <w:t>Přehled podílu jednotlivých kolektivních systémů dle úrovně zpětného odběru a odděleného sběru v rámci dané skupiny za rok 201</w:t>
      </w:r>
      <w:r w:rsidR="00EE42A8">
        <w:rPr>
          <w:rFonts w:eastAsia="Calibri" w:cs="Arial"/>
          <w:noProof w:val="0"/>
          <w:szCs w:val="22"/>
          <w:lang w:bidi="ar-SA"/>
        </w:rPr>
        <w:t>6</w:t>
      </w:r>
      <w:r w:rsidRPr="00EE42A8">
        <w:rPr>
          <w:rFonts w:eastAsia="Calibri" w:cs="Arial"/>
          <w:noProof w:val="0"/>
          <w:szCs w:val="22"/>
          <w:lang w:bidi="ar-SA"/>
        </w:rPr>
        <w:t xml:space="preserve"> představuje</w:t>
      </w:r>
      <w:r>
        <w:rPr>
          <w:rFonts w:eastAsia="Calibri" w:cs="Arial"/>
          <w:noProof w:val="0"/>
          <w:szCs w:val="22"/>
          <w:lang w:bidi="ar-SA"/>
        </w:rPr>
        <w:t xml:space="preserve"> Graf 5. </w:t>
      </w:r>
    </w:p>
    <w:p w:rsidR="00FD56BA" w:rsidP="00936929" w14:paraId="40756582" w14:textId="16C6E231">
      <w:pPr>
        <w:rPr>
          <w:rFonts w:eastAsia="Calibri" w:cs="Arial"/>
          <w:noProof w:val="0"/>
          <w:szCs w:val="22"/>
          <w:lang w:bidi="ar-SA"/>
        </w:rPr>
      </w:pPr>
    </w:p>
    <w:p w:rsidR="00ED5B2D" w:rsidRPr="00ED38E9" w:rsidP="00936929" w14:paraId="621B0D02" w14:textId="72C40803">
      <w:pPr>
        <w:rPr>
          <w:rFonts w:eastAsia="Calibri" w:cs="Arial"/>
          <w:noProof w:val="0"/>
          <w:szCs w:val="22"/>
          <w:lang w:bidi="ar-SA"/>
        </w:rPr>
      </w:pPr>
      <w:r w:rsidRPr="00EE42A8">
        <w:rPr>
          <w:rFonts w:eastAsia="Calibri" w:cs="Arial"/>
          <w:noProof w:val="0"/>
          <w:szCs w:val="22"/>
          <w:lang w:bidi="ar-SA"/>
        </w:rPr>
        <w:t>Z Grafů 4 a 5 je patrné, že v rámci některých skupin je postavení kolektivního systému za rok 201</w:t>
      </w:r>
      <w:r w:rsidR="00EE42A8">
        <w:rPr>
          <w:rFonts w:eastAsia="Calibri" w:cs="Arial"/>
          <w:noProof w:val="0"/>
          <w:szCs w:val="22"/>
          <w:lang w:bidi="ar-SA"/>
        </w:rPr>
        <w:t>6</w:t>
      </w:r>
      <w:r w:rsidRPr="00EE42A8">
        <w:rPr>
          <w:rFonts w:eastAsia="Calibri" w:cs="Arial"/>
          <w:noProof w:val="0"/>
          <w:szCs w:val="22"/>
          <w:lang w:bidi="ar-SA"/>
        </w:rPr>
        <w:t xml:space="preserve"> rozdílné v závislosti na</w:t>
      </w:r>
      <w:r w:rsidR="002408DF">
        <w:rPr>
          <w:rFonts w:eastAsia="Calibri" w:cs="Arial"/>
          <w:noProof w:val="0"/>
          <w:szCs w:val="22"/>
          <w:lang w:bidi="ar-SA"/>
        </w:rPr>
        <w:t> </w:t>
      </w:r>
      <w:r w:rsidRPr="00EE42A8">
        <w:rPr>
          <w:rFonts w:eastAsia="Calibri" w:cs="Arial"/>
          <w:noProof w:val="0"/>
          <w:szCs w:val="22"/>
          <w:lang w:bidi="ar-SA"/>
        </w:rPr>
        <w:t>zvoleném přístupu (dle podílů výrobků uvedených na trh výrobci z daného KS vs. úroveň zpětného odběru a odděleného sběru daného KS).</w:t>
      </w:r>
    </w:p>
    <w:p w:rsidR="000377A3" w:rsidP="005140E5" w14:paraId="42CEECFA" w14:textId="77777777">
      <w:pPr>
        <w:pStyle w:val="Caption"/>
        <w:rPr>
          <w:rFonts w:cs="Arial"/>
          <w:lang w:eastAsia="cs-CZ" w:bidi="ar-SA"/>
        </w:rPr>
      </w:pPr>
      <w:bookmarkStart w:id="170" w:name="_Ref403052520"/>
    </w:p>
    <w:p w:rsidR="000377A3" w:rsidRPr="00221615" w:rsidP="005140E5" w14:paraId="17661833" w14:textId="77777777">
      <w:pPr>
        <w:pStyle w:val="Caption"/>
        <w:rPr>
          <w:rFonts w:cs="Arial"/>
          <w:sz w:val="20"/>
          <w:szCs w:val="20"/>
          <w:lang w:eastAsia="cs-CZ" w:bidi="ar-SA"/>
        </w:rPr>
      </w:pPr>
      <w:r w:rsidRPr="00221615">
        <w:rPr>
          <w:rFonts w:cs="Arial"/>
          <w:sz w:val="20"/>
          <w:szCs w:val="20"/>
          <w:lang w:eastAsia="cs-CZ" w:bidi="ar-SA"/>
        </w:rPr>
        <w:t xml:space="preserve">Graf </w:t>
      </w:r>
      <w:r w:rsidRPr="00221615" w:rsidR="00773064">
        <w:rPr>
          <w:rFonts w:cs="Arial"/>
          <w:sz w:val="20"/>
          <w:szCs w:val="20"/>
          <w:lang w:eastAsia="cs-CZ" w:bidi="ar-SA"/>
        </w:rPr>
        <w:fldChar w:fldCharType="begin"/>
      </w:r>
      <w:r w:rsidRPr="00221615" w:rsidR="000645EF">
        <w:rPr>
          <w:rFonts w:cs="Arial"/>
          <w:sz w:val="20"/>
          <w:szCs w:val="20"/>
          <w:lang w:eastAsia="cs-CZ" w:bidi="ar-SA"/>
        </w:rPr>
        <w:instrText xml:space="preserve"> SEQ Graf \* ARABIC </w:instrText>
      </w:r>
      <w:r w:rsidRPr="00221615" w:rsidR="00773064">
        <w:rPr>
          <w:rFonts w:cs="Arial"/>
          <w:sz w:val="20"/>
          <w:szCs w:val="20"/>
          <w:lang w:eastAsia="cs-CZ" w:bidi="ar-SA"/>
        </w:rPr>
        <w:fldChar w:fldCharType="separate"/>
      </w:r>
      <w:r w:rsidRPr="00221615" w:rsidR="000645EF">
        <w:rPr>
          <w:rFonts w:cs="Arial"/>
          <w:sz w:val="20"/>
          <w:szCs w:val="20"/>
          <w:lang w:eastAsia="cs-CZ" w:bidi="ar-SA"/>
        </w:rPr>
        <w:t>5</w:t>
      </w:r>
      <w:r w:rsidRPr="00221615" w:rsidR="00773064">
        <w:rPr>
          <w:rFonts w:cs="Arial"/>
          <w:sz w:val="20"/>
          <w:szCs w:val="20"/>
          <w:lang w:eastAsia="cs-CZ" w:bidi="ar-SA"/>
        </w:rPr>
        <w:fldChar w:fldCharType="end"/>
      </w:r>
      <w:bookmarkEnd w:id="170"/>
      <w:r w:rsidRPr="00221615">
        <w:rPr>
          <w:rFonts w:cs="Arial"/>
          <w:sz w:val="20"/>
          <w:szCs w:val="20"/>
          <w:lang w:eastAsia="cs-CZ" w:bidi="ar-SA"/>
        </w:rPr>
        <w:t>: Podíl jednotlivých KS na úrovni zpětného odběru a odděleného sběru v dané skupině v</w:t>
      </w:r>
      <w:r w:rsidRPr="00221615">
        <w:rPr>
          <w:rFonts w:cs="Arial"/>
          <w:sz w:val="20"/>
          <w:szCs w:val="20"/>
          <w:lang w:eastAsia="cs-CZ" w:bidi="ar-SA"/>
        </w:rPr>
        <w:t> </w:t>
      </w:r>
      <w:r w:rsidRPr="00221615">
        <w:rPr>
          <w:rFonts w:cs="Arial"/>
          <w:sz w:val="20"/>
          <w:szCs w:val="20"/>
          <w:lang w:eastAsia="cs-CZ" w:bidi="ar-SA"/>
        </w:rPr>
        <w:t>roce</w:t>
      </w:r>
      <w:r w:rsidRPr="00221615">
        <w:rPr>
          <w:rFonts w:cs="Arial"/>
          <w:sz w:val="20"/>
          <w:szCs w:val="20"/>
          <w:lang w:eastAsia="cs-CZ" w:bidi="ar-SA"/>
        </w:rPr>
        <w:t xml:space="preserve"> 2016</w:t>
      </w:r>
    </w:p>
    <w:p w:rsidR="000377A3" w:rsidP="000377A3" w14:paraId="42BB2D26" w14:textId="77777777">
      <w:pPr>
        <w:rPr>
          <w:lang w:eastAsia="cs-CZ" w:bidi="ar-SA"/>
        </w:rPr>
      </w:pPr>
      <w:r>
        <w:rPr>
          <w:lang w:eastAsia="cs-CZ" w:bidi="ar-SA"/>
        </w:rPr>
        <w:drawing>
          <wp:inline distT="0" distB="0" distL="0" distR="0">
            <wp:extent cx="5734050" cy="3623945"/>
            <wp:effectExtent l="0" t="0" r="0" b="1460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77A3" w:rsidRPr="00221615" w:rsidP="000377A3" w14:paraId="21BFF5BB" w14:textId="77777777">
      <w:pPr>
        <w:jc w:val="right"/>
        <w:rPr>
          <w:sz w:val="20"/>
          <w:szCs w:val="20"/>
          <w:lang w:eastAsia="cs-CZ" w:bidi="ar-SA"/>
        </w:rPr>
      </w:pPr>
      <w:r w:rsidRPr="00221615">
        <w:rPr>
          <w:sz w:val="20"/>
          <w:szCs w:val="20"/>
          <w:lang w:eastAsia="cs-CZ" w:bidi="ar-SA"/>
        </w:rPr>
        <w:t>Zdroj: MŽP, 2018, vlastní zpracování</w:t>
      </w:r>
    </w:p>
    <w:p w:rsidR="000377A3" w:rsidRPr="000377A3" w:rsidP="00221615" w14:paraId="5C42C220" w14:textId="77777777">
      <w:pPr>
        <w:rPr>
          <w:lang w:eastAsia="cs-CZ" w:bidi="ar-SA"/>
        </w:rPr>
      </w:pPr>
    </w:p>
    <w:p w:rsidR="00ED5B2D" w:rsidRPr="00ED38E9" w:rsidP="00112FE8" w14:paraId="081E3280" w14:textId="6BFE29D3">
      <w:pPr>
        <w:rPr>
          <w:rFonts w:eastAsia="Calibri" w:cs="Arial"/>
          <w:noProof w:val="0"/>
          <w:szCs w:val="22"/>
          <w:lang w:bidi="ar-SA"/>
        </w:rPr>
      </w:pPr>
      <w:r w:rsidRPr="00ED38E9">
        <w:rPr>
          <w:rFonts w:eastAsia="Calibri" w:cs="Arial"/>
          <w:noProof w:val="0"/>
          <w:szCs w:val="22"/>
          <w:lang w:bidi="ar-SA"/>
        </w:rPr>
        <w:t>Po zpracování zpětně odebraného a odděleně sebraného elektroodpadu dochází částečně k jeho druhotnému využití. Pro využívání elektroodpadu jsou zákonem zavedeny limity vycházející z</w:t>
      </w:r>
      <w:r w:rsidR="002408DF">
        <w:rPr>
          <w:rFonts w:eastAsia="Calibri" w:cs="Arial"/>
          <w:noProof w:val="0"/>
          <w:szCs w:val="22"/>
          <w:lang w:bidi="ar-SA"/>
        </w:rPr>
        <w:t> </w:t>
      </w:r>
      <w:r w:rsidRPr="00ED38E9">
        <w:rPr>
          <w:rFonts w:eastAsia="Calibri" w:cs="Arial"/>
          <w:noProof w:val="0"/>
          <w:szCs w:val="22"/>
          <w:lang w:bidi="ar-SA"/>
        </w:rPr>
        <w:t>požadavků E</w:t>
      </w:r>
      <w:r w:rsidR="003F1017">
        <w:rPr>
          <w:rFonts w:eastAsia="Calibri" w:cs="Arial"/>
          <w:noProof w:val="0"/>
          <w:szCs w:val="22"/>
          <w:lang w:bidi="ar-SA"/>
        </w:rPr>
        <w:t>U</w:t>
      </w:r>
      <w:r w:rsidRPr="00ED38E9">
        <w:rPr>
          <w:rFonts w:eastAsia="Calibri" w:cs="Arial"/>
          <w:noProof w:val="0"/>
          <w:szCs w:val="22"/>
          <w:lang w:bidi="ar-SA"/>
        </w:rPr>
        <w:t>. Využívání elektroodpadů i zákonné a skut</w:t>
      </w:r>
      <w:r w:rsidR="002A47AF">
        <w:rPr>
          <w:rFonts w:eastAsia="Calibri" w:cs="Arial"/>
          <w:noProof w:val="0"/>
          <w:szCs w:val="22"/>
          <w:lang w:bidi="ar-SA"/>
        </w:rPr>
        <w:t xml:space="preserve">ečné míry jsou uvedeny </w:t>
      </w:r>
      <w:r w:rsidRPr="0002268A" w:rsidR="002A47AF">
        <w:rPr>
          <w:rFonts w:eastAsia="Calibri" w:cs="Arial"/>
          <w:noProof w:val="0"/>
          <w:szCs w:val="22"/>
          <w:lang w:bidi="ar-SA"/>
        </w:rPr>
        <w:t>v</w:t>
      </w:r>
      <w:r w:rsidRPr="0002268A" w:rsidR="00816981">
        <w:rPr>
          <w:rFonts w:eastAsia="Calibri" w:cs="Arial"/>
          <w:noProof w:val="0"/>
          <w:szCs w:val="22"/>
          <w:lang w:bidi="ar-SA"/>
        </w:rPr>
        <w:t xml:space="preserve"> tabulce </w:t>
      </w:r>
      <w:r w:rsidRPr="0002268A" w:rsidR="0002268A">
        <w:rPr>
          <w:rFonts w:eastAsia="Calibri" w:cs="Arial"/>
          <w:noProof w:val="0"/>
          <w:szCs w:val="22"/>
          <w:lang w:bidi="ar-SA"/>
        </w:rPr>
        <w:t>níže</w:t>
      </w:r>
      <w:r w:rsidRPr="0002268A">
        <w:rPr>
          <w:rFonts w:eastAsia="Calibri" w:cs="Arial"/>
          <w:noProof w:val="0"/>
          <w:szCs w:val="22"/>
          <w:lang w:bidi="ar-SA"/>
        </w:rPr>
        <w:t>.</w:t>
      </w:r>
      <w:r w:rsidRPr="00ED38E9">
        <w:rPr>
          <w:rFonts w:eastAsia="Calibri" w:cs="Arial"/>
          <w:noProof w:val="0"/>
          <w:szCs w:val="22"/>
          <w:lang w:bidi="ar-SA"/>
        </w:rPr>
        <w:t xml:space="preserve"> Tabulka indikuje, že v roce 201</w:t>
      </w:r>
      <w:r w:rsidR="00EE42A8">
        <w:rPr>
          <w:rFonts w:eastAsia="Calibri" w:cs="Arial"/>
          <w:noProof w:val="0"/>
          <w:szCs w:val="22"/>
          <w:lang w:bidi="ar-SA"/>
        </w:rPr>
        <w:t>6</w:t>
      </w:r>
      <w:r w:rsidRPr="00ED38E9">
        <w:rPr>
          <w:rFonts w:eastAsia="Calibri" w:cs="Arial"/>
          <w:noProof w:val="0"/>
          <w:szCs w:val="22"/>
          <w:lang w:bidi="ar-SA"/>
        </w:rPr>
        <w:t xml:space="preserve"> byly v rámci každé skupiny </w:t>
      </w:r>
      <w:r w:rsidR="003F1017">
        <w:rPr>
          <w:rFonts w:eastAsia="Calibri" w:cs="Arial"/>
          <w:noProof w:val="0"/>
          <w:szCs w:val="22"/>
          <w:lang w:bidi="ar-SA"/>
        </w:rPr>
        <w:t>EEZ</w:t>
      </w:r>
      <w:r w:rsidRPr="00ED38E9" w:rsidR="003F1017">
        <w:rPr>
          <w:rFonts w:eastAsia="Calibri" w:cs="Arial"/>
          <w:noProof w:val="0"/>
          <w:szCs w:val="22"/>
          <w:lang w:bidi="ar-SA"/>
        </w:rPr>
        <w:t xml:space="preserve"> </w:t>
      </w:r>
      <w:r w:rsidRPr="00ED38E9">
        <w:rPr>
          <w:rFonts w:eastAsia="Calibri" w:cs="Arial"/>
          <w:noProof w:val="0"/>
          <w:szCs w:val="22"/>
          <w:lang w:bidi="ar-SA"/>
        </w:rPr>
        <w:t>splněny zákonné limity jak pro míru využití elektroodpadu, tak pro míru jeho opětovného a</w:t>
      </w:r>
      <w:r w:rsidR="003F1017">
        <w:rPr>
          <w:rFonts w:eastAsia="Calibri" w:cs="Arial"/>
          <w:noProof w:val="0"/>
          <w:szCs w:val="22"/>
          <w:lang w:bidi="ar-SA"/>
        </w:rPr>
        <w:t> </w:t>
      </w:r>
      <w:r w:rsidRPr="00ED38E9">
        <w:rPr>
          <w:rFonts w:eastAsia="Calibri" w:cs="Arial"/>
          <w:noProof w:val="0"/>
          <w:szCs w:val="22"/>
          <w:lang w:bidi="ar-SA"/>
        </w:rPr>
        <w:t xml:space="preserve">materiálového využití. Míra, s jakou byla tato povinnost splňována, je navíc více než dostatečně vysoká. Míra využití a míra opětovného a materiálového využití </w:t>
      </w:r>
      <w:r w:rsidRPr="00ED38E9" w:rsidR="00C22D1C">
        <w:rPr>
          <w:rFonts w:eastAsia="Calibri" w:cs="Arial"/>
          <w:noProof w:val="0"/>
          <w:szCs w:val="22"/>
          <w:lang w:bidi="ar-SA"/>
        </w:rPr>
        <w:t>dosa</w:t>
      </w:r>
      <w:r w:rsidR="00C22D1C">
        <w:rPr>
          <w:rFonts w:eastAsia="Calibri" w:cs="Arial"/>
          <w:noProof w:val="0"/>
          <w:szCs w:val="22"/>
          <w:lang w:bidi="ar-SA"/>
        </w:rPr>
        <w:t>žená</w:t>
      </w:r>
      <w:r w:rsidRPr="00ED38E9" w:rsidR="00C22D1C">
        <w:rPr>
          <w:rFonts w:eastAsia="Calibri" w:cs="Arial"/>
          <w:noProof w:val="0"/>
          <w:szCs w:val="22"/>
          <w:lang w:bidi="ar-SA"/>
        </w:rPr>
        <w:t xml:space="preserve"> </w:t>
      </w:r>
      <w:r w:rsidRPr="00ED38E9">
        <w:rPr>
          <w:rFonts w:eastAsia="Calibri" w:cs="Arial"/>
          <w:noProof w:val="0"/>
          <w:szCs w:val="22"/>
          <w:lang w:bidi="ar-SA"/>
        </w:rPr>
        <w:t>v roce 201</w:t>
      </w:r>
      <w:r w:rsidR="00EE42A8">
        <w:rPr>
          <w:rFonts w:eastAsia="Calibri" w:cs="Arial"/>
          <w:noProof w:val="0"/>
          <w:szCs w:val="22"/>
          <w:lang w:bidi="ar-SA"/>
        </w:rPr>
        <w:t>6</w:t>
      </w:r>
      <w:r w:rsidRPr="00ED38E9">
        <w:rPr>
          <w:rFonts w:eastAsia="Calibri" w:cs="Arial"/>
          <w:noProof w:val="0"/>
          <w:szCs w:val="22"/>
          <w:lang w:bidi="ar-SA"/>
        </w:rPr>
        <w:t xml:space="preserve"> splňovala cíle stanovené evropskou směrnicí i pro období 15.</w:t>
      </w:r>
      <w:r w:rsidRPr="00ED38E9" w:rsidR="00112FE8">
        <w:rPr>
          <w:rFonts w:eastAsia="Calibri" w:cs="Arial"/>
          <w:noProof w:val="0"/>
          <w:szCs w:val="22"/>
          <w:lang w:bidi="ar-SA"/>
        </w:rPr>
        <w:t xml:space="preserve"> </w:t>
      </w:r>
      <w:r w:rsidRPr="00ED38E9">
        <w:rPr>
          <w:rFonts w:eastAsia="Calibri" w:cs="Arial"/>
          <w:noProof w:val="0"/>
          <w:szCs w:val="22"/>
          <w:lang w:bidi="ar-SA"/>
        </w:rPr>
        <w:t>8.</w:t>
      </w:r>
      <w:r w:rsidRPr="00ED38E9" w:rsidR="00112FE8">
        <w:rPr>
          <w:rFonts w:eastAsia="Calibri" w:cs="Arial"/>
          <w:noProof w:val="0"/>
          <w:szCs w:val="22"/>
          <w:lang w:bidi="ar-SA"/>
        </w:rPr>
        <w:t xml:space="preserve"> </w:t>
      </w:r>
      <w:r w:rsidRPr="00ED38E9">
        <w:rPr>
          <w:rFonts w:eastAsia="Calibri" w:cs="Arial"/>
          <w:noProof w:val="0"/>
          <w:szCs w:val="22"/>
          <w:lang w:bidi="ar-SA"/>
        </w:rPr>
        <w:t xml:space="preserve">2015 – 14. 8. 2018. </w:t>
      </w:r>
    </w:p>
    <w:p w:rsidR="00443DDB" w:rsidRPr="00E97FD5" w:rsidP="0002268A" w14:paraId="7916D6C8" w14:textId="4036B6B0">
      <w:pPr>
        <w:keepNext/>
        <w:rPr>
          <w:b/>
          <w:sz w:val="20"/>
          <w:szCs w:val="20"/>
        </w:rPr>
      </w:pPr>
      <w:r w:rsidRPr="00E97FD5">
        <w:rPr>
          <w:b/>
          <w:sz w:val="20"/>
          <w:szCs w:val="20"/>
        </w:rPr>
        <w:t xml:space="preserve">Tabulka </w:t>
      </w:r>
      <w:r w:rsidR="00925F10">
        <w:rPr>
          <w:b/>
          <w:sz w:val="20"/>
          <w:szCs w:val="20"/>
        </w:rPr>
        <w:t>30</w:t>
      </w:r>
      <w:r w:rsidRPr="00E97FD5">
        <w:rPr>
          <w:b/>
          <w:sz w:val="20"/>
          <w:szCs w:val="20"/>
        </w:rPr>
        <w:t xml:space="preserve">: </w:t>
      </w:r>
      <w:r w:rsidRPr="00E97FD5">
        <w:rPr>
          <w:b/>
          <w:sz w:val="20"/>
          <w:szCs w:val="20"/>
        </w:rPr>
        <w:t xml:space="preserve">Přehled využití elektroodpadů a porovnání se zákonnými požadavky v roce 2016 </w:t>
      </w:r>
    </w:p>
    <w:tbl>
      <w:tblPr>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91"/>
        <w:gridCol w:w="1188"/>
        <w:gridCol w:w="1196"/>
        <w:gridCol w:w="967"/>
        <w:gridCol w:w="1135"/>
        <w:gridCol w:w="1172"/>
        <w:gridCol w:w="1240"/>
        <w:gridCol w:w="1196"/>
      </w:tblGrid>
      <w:tr w14:paraId="7EF06A12" w14:textId="77777777" w:rsidTr="00443DDB">
        <w:tblPrEx>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2836"/>
          <w:jc w:val="center"/>
        </w:trPr>
        <w:tc>
          <w:tcPr>
            <w:tcW w:w="295" w:type="pct"/>
            <w:vMerge w:val="restart"/>
            <w:shd w:val="clear" w:color="auto" w:fill="A6A6A6" w:themeFill="background1" w:themeFillShade="A6"/>
            <w:textDirection w:val="btLr"/>
            <w:vAlign w:val="center"/>
            <w:hideMark/>
          </w:tcPr>
          <w:p w:rsidR="00443DDB" w:rsidRPr="00E119B1" w:rsidP="0002268A" w14:paraId="7C3AA46C" w14:textId="77777777">
            <w:pPr>
              <w:keepNext/>
              <w:ind w:left="113" w:right="113"/>
              <w:jc w:val="center"/>
              <w:rPr>
                <w:b/>
                <w:color w:val="000000"/>
                <w:sz w:val="20"/>
                <w:lang w:eastAsia="cs-CZ"/>
              </w:rPr>
            </w:pPr>
            <w:r w:rsidRPr="00E119B1">
              <w:rPr>
                <w:b/>
                <w:color w:val="000000"/>
                <w:sz w:val="20"/>
                <w:lang w:eastAsia="cs-CZ"/>
              </w:rPr>
              <w:t>Skupina EEZ</w:t>
            </w:r>
          </w:p>
        </w:tc>
        <w:tc>
          <w:tcPr>
            <w:tcW w:w="691" w:type="pct"/>
            <w:shd w:val="clear" w:color="auto" w:fill="A6A6A6" w:themeFill="background1" w:themeFillShade="A6"/>
            <w:textDirection w:val="btLr"/>
            <w:vAlign w:val="center"/>
            <w:hideMark/>
          </w:tcPr>
          <w:p w:rsidR="00443DDB" w:rsidRPr="00E119B1" w:rsidP="0002268A" w14:paraId="70C2C77B" w14:textId="77777777">
            <w:pPr>
              <w:keepNext/>
              <w:ind w:left="113" w:right="113"/>
              <w:jc w:val="center"/>
              <w:rPr>
                <w:b/>
                <w:sz w:val="20"/>
                <w:lang w:eastAsia="cs-CZ"/>
              </w:rPr>
            </w:pPr>
            <w:r w:rsidRPr="00E119B1">
              <w:rPr>
                <w:b/>
                <w:sz w:val="20"/>
                <w:lang w:eastAsia="cs-CZ"/>
              </w:rPr>
              <w:t>Nakládání se zpětně odebranými a odděleně sebranými elektroodpady</w:t>
            </w:r>
          </w:p>
        </w:tc>
        <w:tc>
          <w:tcPr>
            <w:tcW w:w="695" w:type="pct"/>
            <w:shd w:val="clear" w:color="auto" w:fill="A6A6A6" w:themeFill="background1" w:themeFillShade="A6"/>
            <w:textDirection w:val="btLr"/>
            <w:vAlign w:val="center"/>
            <w:hideMark/>
          </w:tcPr>
          <w:p w:rsidR="00443DDB" w:rsidRPr="00E119B1" w:rsidP="0002268A" w14:paraId="7B6BAA73" w14:textId="77777777">
            <w:pPr>
              <w:keepNext/>
              <w:ind w:left="113" w:right="113"/>
              <w:jc w:val="center"/>
              <w:rPr>
                <w:b/>
                <w:sz w:val="20"/>
                <w:lang w:eastAsia="cs-CZ"/>
              </w:rPr>
            </w:pPr>
            <w:r w:rsidRPr="00E119B1">
              <w:rPr>
                <w:b/>
                <w:sz w:val="20"/>
                <w:lang w:eastAsia="cs-CZ"/>
              </w:rPr>
              <w:t>Využití</w:t>
            </w:r>
          </w:p>
        </w:tc>
        <w:tc>
          <w:tcPr>
            <w:tcW w:w="563" w:type="pct"/>
            <w:shd w:val="clear" w:color="auto" w:fill="A6A6A6" w:themeFill="background1" w:themeFillShade="A6"/>
            <w:textDirection w:val="btLr"/>
            <w:vAlign w:val="center"/>
            <w:hideMark/>
          </w:tcPr>
          <w:p w:rsidR="00443DDB" w:rsidRPr="00E119B1" w:rsidP="0002268A" w14:paraId="6C76E5DA" w14:textId="77777777">
            <w:pPr>
              <w:keepNext/>
              <w:ind w:left="113" w:right="113"/>
              <w:jc w:val="center"/>
              <w:rPr>
                <w:b/>
                <w:sz w:val="20"/>
                <w:lang w:eastAsia="cs-CZ"/>
              </w:rPr>
            </w:pPr>
            <w:r w:rsidRPr="00E119B1">
              <w:rPr>
                <w:b/>
                <w:sz w:val="20"/>
                <w:lang w:eastAsia="cs-CZ"/>
              </w:rPr>
              <w:t>Míra využití</w:t>
            </w:r>
          </w:p>
        </w:tc>
        <w:tc>
          <w:tcPr>
            <w:tcW w:w="660" w:type="pct"/>
            <w:shd w:val="clear" w:color="auto" w:fill="FFFF00"/>
            <w:textDirection w:val="btLr"/>
            <w:vAlign w:val="center"/>
          </w:tcPr>
          <w:p w:rsidR="00443DDB" w:rsidRPr="00E119B1" w:rsidP="0002268A" w14:paraId="285CC193" w14:textId="77777777">
            <w:pPr>
              <w:keepNext/>
              <w:ind w:left="113" w:right="113"/>
              <w:jc w:val="center"/>
              <w:rPr>
                <w:b/>
                <w:color w:val="000000"/>
                <w:sz w:val="20"/>
                <w:lang w:eastAsia="cs-CZ"/>
              </w:rPr>
            </w:pPr>
            <w:r w:rsidRPr="00E119B1">
              <w:rPr>
                <w:b/>
                <w:color w:val="000000"/>
                <w:sz w:val="20"/>
                <w:lang w:eastAsia="cs-CZ"/>
              </w:rPr>
              <w:t>Míra využití dle směrnice</w:t>
            </w:r>
          </w:p>
        </w:tc>
        <w:tc>
          <w:tcPr>
            <w:tcW w:w="681" w:type="pct"/>
            <w:shd w:val="clear" w:color="auto" w:fill="A6A6A6" w:themeFill="background1" w:themeFillShade="A6"/>
            <w:textDirection w:val="btLr"/>
            <w:vAlign w:val="center"/>
            <w:hideMark/>
          </w:tcPr>
          <w:p w:rsidR="00443DDB" w:rsidRPr="00E119B1" w:rsidP="0002268A" w14:paraId="097AF51B" w14:textId="77777777">
            <w:pPr>
              <w:keepNext/>
              <w:ind w:left="113" w:right="113"/>
              <w:jc w:val="center"/>
              <w:rPr>
                <w:b/>
                <w:color w:val="000000"/>
                <w:sz w:val="20"/>
                <w:lang w:eastAsia="cs-CZ"/>
              </w:rPr>
            </w:pPr>
            <w:r w:rsidRPr="00E119B1">
              <w:rPr>
                <w:b/>
                <w:color w:val="000000"/>
                <w:sz w:val="20"/>
                <w:lang w:eastAsia="cs-CZ"/>
              </w:rPr>
              <w:t>Recyklace a opětovné použití</w:t>
            </w:r>
          </w:p>
        </w:tc>
        <w:tc>
          <w:tcPr>
            <w:tcW w:w="720" w:type="pct"/>
            <w:shd w:val="clear" w:color="auto" w:fill="A6A6A6" w:themeFill="background1" w:themeFillShade="A6"/>
            <w:textDirection w:val="btLr"/>
            <w:vAlign w:val="center"/>
            <w:hideMark/>
          </w:tcPr>
          <w:p w:rsidR="00443DDB" w:rsidRPr="00E119B1" w:rsidP="0002268A" w14:paraId="4D19B1F9" w14:textId="77777777">
            <w:pPr>
              <w:keepNext/>
              <w:ind w:left="113" w:right="113"/>
              <w:jc w:val="center"/>
              <w:rPr>
                <w:b/>
                <w:sz w:val="20"/>
                <w:lang w:eastAsia="cs-CZ"/>
              </w:rPr>
            </w:pPr>
            <w:r w:rsidRPr="00E119B1">
              <w:rPr>
                <w:b/>
                <w:sz w:val="20"/>
                <w:lang w:eastAsia="cs-CZ"/>
              </w:rPr>
              <w:t>Míra recyklace a opětovného použití</w:t>
            </w:r>
          </w:p>
        </w:tc>
        <w:tc>
          <w:tcPr>
            <w:tcW w:w="695" w:type="pct"/>
            <w:shd w:val="clear" w:color="auto" w:fill="FFFF00"/>
            <w:textDirection w:val="btLr"/>
            <w:vAlign w:val="center"/>
          </w:tcPr>
          <w:p w:rsidR="00443DDB" w:rsidRPr="00E119B1" w:rsidP="0002268A" w14:paraId="6DCD7AE4" w14:textId="77777777">
            <w:pPr>
              <w:keepNext/>
              <w:ind w:left="113" w:right="113"/>
              <w:jc w:val="center"/>
              <w:rPr>
                <w:b/>
                <w:sz w:val="20"/>
                <w:lang w:eastAsia="cs-CZ"/>
              </w:rPr>
            </w:pPr>
            <w:r w:rsidRPr="00E119B1">
              <w:rPr>
                <w:b/>
                <w:sz w:val="20"/>
                <w:lang w:eastAsia="cs-CZ"/>
              </w:rPr>
              <w:t>Míra recyklace a opětovného použití dle směrnice</w:t>
            </w:r>
          </w:p>
        </w:tc>
      </w:tr>
      <w:tr w14:paraId="5F92CC1A" w14:textId="77777777" w:rsidTr="00443DDB">
        <w:tblPrEx>
          <w:tblW w:w="4792" w:type="pct"/>
          <w:jc w:val="center"/>
          <w:tblCellMar>
            <w:left w:w="70" w:type="dxa"/>
            <w:right w:w="70" w:type="dxa"/>
          </w:tblCellMar>
          <w:tblLook w:val="04A0"/>
        </w:tblPrEx>
        <w:trPr>
          <w:trHeight w:val="303"/>
          <w:jc w:val="center"/>
        </w:trPr>
        <w:tc>
          <w:tcPr>
            <w:tcW w:w="295" w:type="pct"/>
            <w:vMerge/>
            <w:shd w:val="clear" w:color="auto" w:fill="A6A6A6" w:themeFill="background1" w:themeFillShade="A6"/>
            <w:vAlign w:val="center"/>
            <w:hideMark/>
          </w:tcPr>
          <w:p w:rsidR="00443DDB" w:rsidRPr="00E119B1" w:rsidP="000A6B0F" w14:paraId="68222E72" w14:textId="77777777">
            <w:pPr>
              <w:jc w:val="center"/>
              <w:rPr>
                <w:rFonts w:eastAsia="Calibri"/>
                <w:sz w:val="20"/>
                <w:lang w:eastAsia="cs-CZ"/>
              </w:rPr>
            </w:pPr>
          </w:p>
        </w:tc>
        <w:tc>
          <w:tcPr>
            <w:tcW w:w="691" w:type="pct"/>
            <w:shd w:val="clear" w:color="auto" w:fill="A6A6A6" w:themeFill="background1" w:themeFillShade="A6"/>
            <w:noWrap/>
            <w:vAlign w:val="bottom"/>
            <w:hideMark/>
          </w:tcPr>
          <w:p w:rsidR="00443DDB" w:rsidRPr="00E119B1" w:rsidP="000A6B0F" w14:paraId="025CB9A3" w14:textId="77777777">
            <w:pPr>
              <w:jc w:val="center"/>
              <w:rPr>
                <w:rFonts w:eastAsia="Calibri"/>
                <w:b/>
                <w:sz w:val="20"/>
                <w:lang w:eastAsia="cs-CZ"/>
              </w:rPr>
            </w:pPr>
            <w:r w:rsidRPr="00E119B1">
              <w:rPr>
                <w:rFonts w:eastAsia="Calibri"/>
                <w:b/>
                <w:sz w:val="20"/>
                <w:lang w:eastAsia="cs-CZ"/>
              </w:rPr>
              <w:t>t</w:t>
            </w:r>
          </w:p>
        </w:tc>
        <w:tc>
          <w:tcPr>
            <w:tcW w:w="695" w:type="pct"/>
            <w:shd w:val="clear" w:color="auto" w:fill="A6A6A6" w:themeFill="background1" w:themeFillShade="A6"/>
            <w:noWrap/>
            <w:vAlign w:val="bottom"/>
            <w:hideMark/>
          </w:tcPr>
          <w:p w:rsidR="00443DDB" w:rsidRPr="00E119B1" w:rsidP="000A6B0F" w14:paraId="3A4A5D1C" w14:textId="77777777">
            <w:pPr>
              <w:jc w:val="center"/>
              <w:rPr>
                <w:rFonts w:eastAsia="Calibri"/>
                <w:b/>
                <w:sz w:val="20"/>
                <w:lang w:eastAsia="cs-CZ"/>
              </w:rPr>
            </w:pPr>
            <w:r w:rsidRPr="00E119B1">
              <w:rPr>
                <w:rFonts w:eastAsia="Calibri"/>
                <w:b/>
                <w:sz w:val="20"/>
                <w:lang w:eastAsia="cs-CZ"/>
              </w:rPr>
              <w:t>t</w:t>
            </w:r>
          </w:p>
        </w:tc>
        <w:tc>
          <w:tcPr>
            <w:tcW w:w="563" w:type="pct"/>
            <w:shd w:val="clear" w:color="auto" w:fill="A6A6A6" w:themeFill="background1" w:themeFillShade="A6"/>
            <w:noWrap/>
            <w:vAlign w:val="bottom"/>
            <w:hideMark/>
          </w:tcPr>
          <w:p w:rsidR="00443DDB" w:rsidRPr="00E119B1" w:rsidP="000A6B0F" w14:paraId="51E2CC2C" w14:textId="77777777">
            <w:pPr>
              <w:jc w:val="center"/>
              <w:rPr>
                <w:rFonts w:eastAsia="Calibri"/>
                <w:b/>
                <w:sz w:val="20"/>
                <w:lang w:eastAsia="cs-CZ"/>
              </w:rPr>
            </w:pPr>
            <w:r w:rsidRPr="00E119B1">
              <w:rPr>
                <w:rFonts w:eastAsia="Calibri"/>
                <w:b/>
                <w:sz w:val="20"/>
                <w:lang w:eastAsia="cs-CZ"/>
              </w:rPr>
              <w:t>%</w:t>
            </w:r>
          </w:p>
        </w:tc>
        <w:tc>
          <w:tcPr>
            <w:tcW w:w="660" w:type="pct"/>
            <w:shd w:val="clear" w:color="auto" w:fill="FFFF00"/>
          </w:tcPr>
          <w:p w:rsidR="00443DDB" w:rsidRPr="00E119B1" w:rsidP="000A6B0F" w14:paraId="04BF8C07" w14:textId="77777777">
            <w:pPr>
              <w:jc w:val="center"/>
              <w:rPr>
                <w:rFonts w:eastAsia="Calibri"/>
                <w:b/>
                <w:sz w:val="20"/>
                <w:lang w:eastAsia="cs-CZ"/>
              </w:rPr>
            </w:pPr>
            <w:r w:rsidRPr="00E119B1">
              <w:rPr>
                <w:rFonts w:eastAsia="Calibri"/>
                <w:b/>
                <w:sz w:val="20"/>
                <w:lang w:eastAsia="cs-CZ"/>
              </w:rPr>
              <w:t>%</w:t>
            </w:r>
          </w:p>
        </w:tc>
        <w:tc>
          <w:tcPr>
            <w:tcW w:w="681" w:type="pct"/>
            <w:shd w:val="clear" w:color="auto" w:fill="A6A6A6" w:themeFill="background1" w:themeFillShade="A6"/>
            <w:noWrap/>
            <w:vAlign w:val="bottom"/>
            <w:hideMark/>
          </w:tcPr>
          <w:p w:rsidR="00443DDB" w:rsidRPr="00E119B1" w:rsidP="000A6B0F" w14:paraId="436BAC6E" w14:textId="77777777">
            <w:pPr>
              <w:jc w:val="center"/>
              <w:rPr>
                <w:rFonts w:eastAsia="Calibri"/>
                <w:b/>
                <w:sz w:val="20"/>
                <w:lang w:eastAsia="cs-CZ"/>
              </w:rPr>
            </w:pPr>
            <w:r w:rsidRPr="00E119B1">
              <w:rPr>
                <w:rFonts w:eastAsia="Calibri"/>
                <w:b/>
                <w:sz w:val="20"/>
                <w:lang w:eastAsia="cs-CZ"/>
              </w:rPr>
              <w:t>t</w:t>
            </w:r>
          </w:p>
        </w:tc>
        <w:tc>
          <w:tcPr>
            <w:tcW w:w="720" w:type="pct"/>
            <w:shd w:val="clear" w:color="auto" w:fill="A6A6A6" w:themeFill="background1" w:themeFillShade="A6"/>
            <w:noWrap/>
            <w:vAlign w:val="bottom"/>
            <w:hideMark/>
          </w:tcPr>
          <w:p w:rsidR="00443DDB" w:rsidRPr="00E119B1" w:rsidP="000A6B0F" w14:paraId="14C2C12B" w14:textId="77777777">
            <w:pPr>
              <w:jc w:val="center"/>
              <w:rPr>
                <w:rFonts w:eastAsia="Calibri"/>
                <w:b/>
                <w:sz w:val="20"/>
                <w:lang w:eastAsia="cs-CZ"/>
              </w:rPr>
            </w:pPr>
            <w:r w:rsidRPr="00E119B1">
              <w:rPr>
                <w:rFonts w:eastAsia="Calibri"/>
                <w:b/>
                <w:sz w:val="20"/>
                <w:lang w:eastAsia="cs-CZ"/>
              </w:rPr>
              <w:t>%</w:t>
            </w:r>
          </w:p>
        </w:tc>
        <w:tc>
          <w:tcPr>
            <w:tcW w:w="695" w:type="pct"/>
            <w:shd w:val="clear" w:color="auto" w:fill="FFFF00"/>
          </w:tcPr>
          <w:p w:rsidR="00443DDB" w:rsidRPr="00E119B1" w:rsidP="000A6B0F" w14:paraId="0E7953DC" w14:textId="77777777">
            <w:pPr>
              <w:jc w:val="center"/>
              <w:rPr>
                <w:rFonts w:eastAsia="Calibri"/>
                <w:b/>
                <w:sz w:val="20"/>
                <w:lang w:eastAsia="cs-CZ"/>
              </w:rPr>
            </w:pPr>
            <w:r w:rsidRPr="00E119B1">
              <w:rPr>
                <w:rFonts w:eastAsia="Calibri"/>
                <w:b/>
                <w:sz w:val="20"/>
                <w:lang w:eastAsia="cs-CZ"/>
              </w:rPr>
              <w:t>%</w:t>
            </w:r>
          </w:p>
        </w:tc>
      </w:tr>
      <w:tr w14:paraId="4E7E96EF" w14:textId="77777777" w:rsidTr="00443DDB">
        <w:tblPrEx>
          <w:tblW w:w="4792" w:type="pct"/>
          <w:jc w:val="center"/>
          <w:tblCellMar>
            <w:left w:w="70" w:type="dxa"/>
            <w:right w:w="70" w:type="dxa"/>
          </w:tblCellMar>
          <w:tblLook w:val="04A0"/>
        </w:tblPrEx>
        <w:trPr>
          <w:trHeight w:val="321"/>
          <w:jc w:val="center"/>
        </w:trPr>
        <w:tc>
          <w:tcPr>
            <w:tcW w:w="295" w:type="pct"/>
            <w:shd w:val="clear" w:color="auto" w:fill="auto"/>
            <w:noWrap/>
            <w:vAlign w:val="center"/>
            <w:hideMark/>
          </w:tcPr>
          <w:p w:rsidR="00443DDB" w:rsidRPr="00E119B1" w:rsidP="000A6B0F" w14:paraId="1DACEF98" w14:textId="77777777">
            <w:pPr>
              <w:jc w:val="center"/>
              <w:rPr>
                <w:rFonts w:eastAsia="Calibri"/>
                <w:sz w:val="20"/>
                <w:szCs w:val="20"/>
                <w:lang w:eastAsia="cs-CZ"/>
              </w:rPr>
            </w:pPr>
            <w:r w:rsidRPr="00E119B1">
              <w:rPr>
                <w:rFonts w:eastAsia="Calibri"/>
                <w:sz w:val="20"/>
                <w:szCs w:val="20"/>
                <w:lang w:eastAsia="cs-CZ"/>
              </w:rPr>
              <w:t>1.</w:t>
            </w:r>
          </w:p>
        </w:tc>
        <w:tc>
          <w:tcPr>
            <w:tcW w:w="691" w:type="pct"/>
            <w:shd w:val="clear" w:color="auto" w:fill="auto"/>
            <w:noWrap/>
            <w:vAlign w:val="center"/>
          </w:tcPr>
          <w:p w:rsidR="00443DDB" w:rsidRPr="00E119B1" w:rsidP="000A6B0F" w14:paraId="0E704E26" w14:textId="77777777">
            <w:pPr>
              <w:spacing w:line="240" w:lineRule="auto"/>
              <w:jc w:val="center"/>
              <w:rPr>
                <w:color w:val="000000"/>
                <w:sz w:val="20"/>
                <w:szCs w:val="20"/>
              </w:rPr>
            </w:pPr>
            <w:r w:rsidRPr="00E119B1">
              <w:rPr>
                <w:color w:val="000000"/>
                <w:sz w:val="20"/>
                <w:szCs w:val="20"/>
                <w:lang w:eastAsia="cs-CZ"/>
              </w:rPr>
              <w:t>47 637, 29</w:t>
            </w:r>
          </w:p>
        </w:tc>
        <w:tc>
          <w:tcPr>
            <w:tcW w:w="695" w:type="pct"/>
            <w:shd w:val="clear" w:color="auto" w:fill="auto"/>
            <w:noWrap/>
            <w:vAlign w:val="center"/>
          </w:tcPr>
          <w:p w:rsidR="00443DDB" w:rsidRPr="00E119B1" w:rsidP="000A6B0F" w14:paraId="0572B690" w14:textId="77777777">
            <w:pPr>
              <w:spacing w:line="240" w:lineRule="auto"/>
              <w:jc w:val="center"/>
              <w:rPr>
                <w:color w:val="000000"/>
                <w:sz w:val="20"/>
                <w:szCs w:val="20"/>
              </w:rPr>
            </w:pPr>
            <w:r w:rsidRPr="00E119B1">
              <w:rPr>
                <w:color w:val="000000"/>
                <w:sz w:val="20"/>
                <w:szCs w:val="20"/>
                <w:lang w:eastAsia="cs-CZ"/>
              </w:rPr>
              <w:t>44 414,73</w:t>
            </w:r>
          </w:p>
        </w:tc>
        <w:tc>
          <w:tcPr>
            <w:tcW w:w="563" w:type="pct"/>
            <w:shd w:val="clear" w:color="auto" w:fill="auto"/>
            <w:noWrap/>
            <w:vAlign w:val="center"/>
          </w:tcPr>
          <w:p w:rsidR="00443DDB" w:rsidRPr="00E119B1" w:rsidP="000A6B0F" w14:paraId="1CD272FA" w14:textId="77777777">
            <w:pPr>
              <w:spacing w:line="240" w:lineRule="auto"/>
              <w:jc w:val="center"/>
              <w:rPr>
                <w:color w:val="000000"/>
                <w:sz w:val="20"/>
                <w:szCs w:val="20"/>
              </w:rPr>
            </w:pPr>
            <w:r w:rsidRPr="00E119B1">
              <w:rPr>
                <w:color w:val="000000"/>
                <w:sz w:val="20"/>
                <w:szCs w:val="20"/>
                <w:lang w:eastAsia="cs-CZ"/>
              </w:rPr>
              <w:t>93,24</w:t>
            </w:r>
          </w:p>
        </w:tc>
        <w:tc>
          <w:tcPr>
            <w:tcW w:w="660" w:type="pct"/>
            <w:shd w:val="clear" w:color="auto" w:fill="FFFF00"/>
            <w:vAlign w:val="center"/>
          </w:tcPr>
          <w:p w:rsidR="00443DDB" w:rsidRPr="00E119B1" w:rsidP="000A6B0F" w14:paraId="5091B14B" w14:textId="77777777">
            <w:pPr>
              <w:spacing w:line="240" w:lineRule="auto"/>
              <w:jc w:val="center"/>
              <w:rPr>
                <w:color w:val="000000"/>
                <w:sz w:val="20"/>
                <w:szCs w:val="20"/>
                <w:lang w:eastAsia="cs-CZ"/>
              </w:rPr>
            </w:pPr>
            <w:r w:rsidRPr="00E119B1">
              <w:rPr>
                <w:color w:val="000000"/>
                <w:sz w:val="20"/>
                <w:szCs w:val="20"/>
                <w:lang w:eastAsia="cs-CZ"/>
              </w:rPr>
              <w:t>85,00</w:t>
            </w:r>
          </w:p>
        </w:tc>
        <w:tc>
          <w:tcPr>
            <w:tcW w:w="681" w:type="pct"/>
            <w:shd w:val="clear" w:color="auto" w:fill="auto"/>
            <w:noWrap/>
            <w:vAlign w:val="center"/>
          </w:tcPr>
          <w:p w:rsidR="00443DDB" w:rsidRPr="00E119B1" w:rsidP="000A6B0F" w14:paraId="004B673C" w14:textId="77777777">
            <w:pPr>
              <w:spacing w:line="240" w:lineRule="auto"/>
              <w:jc w:val="center"/>
              <w:rPr>
                <w:color w:val="000000"/>
                <w:sz w:val="20"/>
                <w:szCs w:val="20"/>
              </w:rPr>
            </w:pPr>
            <w:r w:rsidRPr="00E119B1">
              <w:rPr>
                <w:color w:val="000000"/>
                <w:sz w:val="20"/>
                <w:szCs w:val="20"/>
                <w:lang w:eastAsia="cs-CZ"/>
              </w:rPr>
              <w:t>43 851,05</w:t>
            </w:r>
          </w:p>
        </w:tc>
        <w:tc>
          <w:tcPr>
            <w:tcW w:w="720" w:type="pct"/>
            <w:shd w:val="clear" w:color="auto" w:fill="auto"/>
            <w:noWrap/>
            <w:vAlign w:val="center"/>
          </w:tcPr>
          <w:p w:rsidR="00443DDB" w:rsidRPr="00E119B1" w:rsidP="000A6B0F" w14:paraId="67C42C3B" w14:textId="77777777">
            <w:pPr>
              <w:spacing w:line="240" w:lineRule="auto"/>
              <w:jc w:val="center"/>
              <w:rPr>
                <w:color w:val="000000"/>
                <w:sz w:val="20"/>
                <w:szCs w:val="20"/>
                <w:lang w:eastAsia="cs-CZ"/>
              </w:rPr>
            </w:pPr>
            <w:r w:rsidRPr="00E119B1">
              <w:rPr>
                <w:color w:val="000000"/>
                <w:sz w:val="20"/>
                <w:szCs w:val="20"/>
                <w:lang w:eastAsia="cs-CZ"/>
              </w:rPr>
              <w:t>91,50</w:t>
            </w:r>
          </w:p>
        </w:tc>
        <w:tc>
          <w:tcPr>
            <w:tcW w:w="695" w:type="pct"/>
            <w:shd w:val="clear" w:color="auto" w:fill="FFFF00"/>
            <w:vAlign w:val="center"/>
          </w:tcPr>
          <w:p w:rsidR="00443DDB" w:rsidRPr="00E119B1" w:rsidP="000A6B0F" w14:paraId="6BE1BF8E" w14:textId="77777777">
            <w:pPr>
              <w:spacing w:line="240" w:lineRule="auto"/>
              <w:jc w:val="center"/>
              <w:rPr>
                <w:color w:val="000000"/>
                <w:sz w:val="20"/>
                <w:szCs w:val="20"/>
                <w:lang w:eastAsia="cs-CZ"/>
              </w:rPr>
            </w:pPr>
            <w:r w:rsidRPr="00E119B1">
              <w:rPr>
                <w:color w:val="000000"/>
                <w:sz w:val="20"/>
                <w:szCs w:val="20"/>
                <w:lang w:eastAsia="cs-CZ"/>
              </w:rPr>
              <w:t>80</w:t>
            </w:r>
          </w:p>
        </w:tc>
      </w:tr>
      <w:tr w14:paraId="55DBCB21"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69711B79" w14:textId="77777777">
            <w:pPr>
              <w:jc w:val="center"/>
              <w:rPr>
                <w:rFonts w:eastAsia="Calibri"/>
                <w:sz w:val="20"/>
                <w:szCs w:val="20"/>
                <w:lang w:eastAsia="cs-CZ"/>
              </w:rPr>
            </w:pPr>
            <w:r w:rsidRPr="00E119B1">
              <w:rPr>
                <w:rFonts w:eastAsia="Calibri"/>
                <w:sz w:val="20"/>
                <w:szCs w:val="20"/>
                <w:lang w:eastAsia="cs-CZ"/>
              </w:rPr>
              <w:t>2.</w:t>
            </w:r>
          </w:p>
        </w:tc>
        <w:tc>
          <w:tcPr>
            <w:tcW w:w="691" w:type="pct"/>
            <w:shd w:val="clear" w:color="auto" w:fill="auto"/>
            <w:noWrap/>
            <w:vAlign w:val="center"/>
          </w:tcPr>
          <w:p w:rsidR="00443DDB" w:rsidRPr="00E119B1" w:rsidP="000A6B0F" w14:paraId="3337EA31" w14:textId="77777777">
            <w:pPr>
              <w:spacing w:line="240" w:lineRule="auto"/>
              <w:jc w:val="center"/>
              <w:rPr>
                <w:color w:val="000000"/>
                <w:sz w:val="20"/>
                <w:szCs w:val="20"/>
                <w:lang w:eastAsia="cs-CZ"/>
              </w:rPr>
            </w:pPr>
            <w:r w:rsidRPr="00E119B1">
              <w:rPr>
                <w:color w:val="000000"/>
                <w:sz w:val="20"/>
                <w:szCs w:val="20"/>
                <w:lang w:eastAsia="cs-CZ"/>
              </w:rPr>
              <w:t>9 202,75</w:t>
            </w:r>
          </w:p>
        </w:tc>
        <w:tc>
          <w:tcPr>
            <w:tcW w:w="695" w:type="pct"/>
            <w:shd w:val="clear" w:color="auto" w:fill="auto"/>
            <w:noWrap/>
            <w:vAlign w:val="center"/>
          </w:tcPr>
          <w:p w:rsidR="00443DDB" w:rsidRPr="00E119B1" w:rsidP="000A6B0F" w14:paraId="03202F99" w14:textId="77777777">
            <w:pPr>
              <w:spacing w:line="240" w:lineRule="auto"/>
              <w:jc w:val="center"/>
              <w:rPr>
                <w:color w:val="000000"/>
                <w:sz w:val="20"/>
                <w:szCs w:val="20"/>
                <w:lang w:eastAsia="cs-CZ"/>
              </w:rPr>
            </w:pPr>
            <w:r w:rsidRPr="00E119B1">
              <w:rPr>
                <w:color w:val="000000"/>
                <w:sz w:val="20"/>
                <w:szCs w:val="20"/>
                <w:lang w:eastAsia="cs-CZ"/>
              </w:rPr>
              <w:t>8 215,76</w:t>
            </w:r>
          </w:p>
        </w:tc>
        <w:tc>
          <w:tcPr>
            <w:tcW w:w="563" w:type="pct"/>
            <w:shd w:val="clear" w:color="auto" w:fill="auto"/>
            <w:noWrap/>
            <w:vAlign w:val="center"/>
          </w:tcPr>
          <w:p w:rsidR="00443DDB" w:rsidRPr="00E119B1" w:rsidP="000A6B0F" w14:paraId="04CEB33D" w14:textId="77777777">
            <w:pPr>
              <w:spacing w:line="240" w:lineRule="auto"/>
              <w:jc w:val="center"/>
              <w:rPr>
                <w:color w:val="000000"/>
                <w:sz w:val="20"/>
                <w:szCs w:val="20"/>
                <w:lang w:eastAsia="cs-CZ"/>
              </w:rPr>
            </w:pPr>
            <w:r w:rsidRPr="00E119B1">
              <w:rPr>
                <w:color w:val="000000"/>
                <w:sz w:val="20"/>
                <w:szCs w:val="20"/>
                <w:lang w:eastAsia="cs-CZ"/>
              </w:rPr>
              <w:t>89,28</w:t>
            </w:r>
          </w:p>
        </w:tc>
        <w:tc>
          <w:tcPr>
            <w:tcW w:w="660" w:type="pct"/>
            <w:shd w:val="clear" w:color="auto" w:fill="FFFF00"/>
            <w:vAlign w:val="center"/>
          </w:tcPr>
          <w:p w:rsidR="00443DDB" w:rsidRPr="00E119B1" w:rsidP="000A6B0F" w14:paraId="08BED68D" w14:textId="77777777">
            <w:pPr>
              <w:spacing w:line="240" w:lineRule="auto"/>
              <w:jc w:val="center"/>
              <w:rPr>
                <w:color w:val="000000"/>
                <w:sz w:val="20"/>
                <w:szCs w:val="20"/>
                <w:lang w:eastAsia="cs-CZ"/>
              </w:rPr>
            </w:pPr>
            <w:r w:rsidRPr="00E119B1">
              <w:rPr>
                <w:color w:val="000000"/>
                <w:sz w:val="20"/>
                <w:szCs w:val="20"/>
                <w:lang w:eastAsia="cs-CZ"/>
              </w:rPr>
              <w:t>75,00</w:t>
            </w:r>
          </w:p>
        </w:tc>
        <w:tc>
          <w:tcPr>
            <w:tcW w:w="681" w:type="pct"/>
            <w:shd w:val="clear" w:color="auto" w:fill="auto"/>
            <w:noWrap/>
            <w:vAlign w:val="center"/>
          </w:tcPr>
          <w:p w:rsidR="00443DDB" w:rsidRPr="00E119B1" w:rsidP="000A6B0F" w14:paraId="1C3989DA" w14:textId="77777777">
            <w:pPr>
              <w:spacing w:line="240" w:lineRule="auto"/>
              <w:jc w:val="center"/>
              <w:rPr>
                <w:color w:val="000000"/>
                <w:sz w:val="20"/>
                <w:szCs w:val="20"/>
              </w:rPr>
            </w:pPr>
            <w:r w:rsidRPr="00E119B1">
              <w:rPr>
                <w:color w:val="000000"/>
                <w:sz w:val="20"/>
                <w:szCs w:val="20"/>
                <w:lang w:eastAsia="cs-CZ"/>
              </w:rPr>
              <w:t>8 039,14</w:t>
            </w:r>
          </w:p>
        </w:tc>
        <w:tc>
          <w:tcPr>
            <w:tcW w:w="720" w:type="pct"/>
            <w:shd w:val="clear" w:color="auto" w:fill="auto"/>
            <w:noWrap/>
            <w:vAlign w:val="center"/>
          </w:tcPr>
          <w:p w:rsidR="00443DDB" w:rsidRPr="00E119B1" w:rsidP="000A6B0F" w14:paraId="666A21F9" w14:textId="77777777">
            <w:pPr>
              <w:spacing w:line="240" w:lineRule="auto"/>
              <w:jc w:val="center"/>
              <w:rPr>
                <w:color w:val="000000"/>
                <w:sz w:val="20"/>
                <w:szCs w:val="20"/>
                <w:lang w:eastAsia="cs-CZ"/>
              </w:rPr>
            </w:pPr>
            <w:r w:rsidRPr="00E119B1">
              <w:rPr>
                <w:color w:val="000000"/>
                <w:sz w:val="20"/>
                <w:szCs w:val="20"/>
                <w:lang w:eastAsia="cs-CZ"/>
              </w:rPr>
              <w:t>86,91</w:t>
            </w:r>
          </w:p>
        </w:tc>
        <w:tc>
          <w:tcPr>
            <w:tcW w:w="695" w:type="pct"/>
            <w:shd w:val="clear" w:color="auto" w:fill="FFFF00"/>
            <w:vAlign w:val="center"/>
          </w:tcPr>
          <w:p w:rsidR="00443DDB" w:rsidRPr="00E119B1" w:rsidP="000A6B0F" w14:paraId="10A64618" w14:textId="77777777">
            <w:pPr>
              <w:spacing w:line="240" w:lineRule="auto"/>
              <w:jc w:val="center"/>
              <w:rPr>
                <w:color w:val="000000"/>
                <w:sz w:val="20"/>
                <w:szCs w:val="20"/>
                <w:lang w:eastAsia="cs-CZ"/>
              </w:rPr>
            </w:pPr>
            <w:r w:rsidRPr="00E119B1">
              <w:rPr>
                <w:color w:val="000000"/>
                <w:sz w:val="20"/>
                <w:szCs w:val="20"/>
                <w:lang w:eastAsia="cs-CZ"/>
              </w:rPr>
              <w:t>55</w:t>
            </w:r>
          </w:p>
        </w:tc>
      </w:tr>
      <w:tr w14:paraId="7BBB32AF"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6C0C849B" w14:textId="77777777">
            <w:pPr>
              <w:jc w:val="center"/>
              <w:rPr>
                <w:rFonts w:eastAsia="Calibri"/>
                <w:sz w:val="20"/>
                <w:szCs w:val="20"/>
                <w:lang w:eastAsia="cs-CZ"/>
              </w:rPr>
            </w:pPr>
            <w:r w:rsidRPr="00E119B1">
              <w:rPr>
                <w:rFonts w:eastAsia="Calibri"/>
                <w:sz w:val="20"/>
                <w:szCs w:val="20"/>
                <w:lang w:eastAsia="cs-CZ"/>
              </w:rPr>
              <w:t>3.</w:t>
            </w:r>
          </w:p>
        </w:tc>
        <w:tc>
          <w:tcPr>
            <w:tcW w:w="691" w:type="pct"/>
            <w:shd w:val="clear" w:color="auto" w:fill="auto"/>
            <w:noWrap/>
            <w:vAlign w:val="center"/>
          </w:tcPr>
          <w:p w:rsidR="00443DDB" w:rsidRPr="00E119B1" w:rsidP="000A6B0F" w14:paraId="3748236C" w14:textId="77777777">
            <w:pPr>
              <w:spacing w:line="240" w:lineRule="auto"/>
              <w:jc w:val="center"/>
              <w:rPr>
                <w:color w:val="000000"/>
                <w:sz w:val="20"/>
                <w:szCs w:val="20"/>
              </w:rPr>
            </w:pPr>
            <w:r w:rsidRPr="00E119B1">
              <w:rPr>
                <w:color w:val="000000"/>
                <w:sz w:val="20"/>
                <w:szCs w:val="20"/>
                <w:lang w:eastAsia="cs-CZ"/>
              </w:rPr>
              <w:t>12 329,50</w:t>
            </w:r>
          </w:p>
        </w:tc>
        <w:tc>
          <w:tcPr>
            <w:tcW w:w="695" w:type="pct"/>
            <w:shd w:val="clear" w:color="auto" w:fill="auto"/>
            <w:noWrap/>
            <w:vAlign w:val="center"/>
          </w:tcPr>
          <w:p w:rsidR="00443DDB" w:rsidRPr="00E119B1" w:rsidP="000A6B0F" w14:paraId="6583BC7A" w14:textId="77777777">
            <w:pPr>
              <w:spacing w:line="240" w:lineRule="auto"/>
              <w:jc w:val="center"/>
              <w:rPr>
                <w:color w:val="000000"/>
                <w:sz w:val="20"/>
                <w:szCs w:val="20"/>
              </w:rPr>
            </w:pPr>
            <w:r w:rsidRPr="00E119B1">
              <w:rPr>
                <w:color w:val="000000"/>
                <w:sz w:val="20"/>
                <w:szCs w:val="20"/>
                <w:lang w:eastAsia="cs-CZ"/>
              </w:rPr>
              <w:t>11 172,01</w:t>
            </w:r>
          </w:p>
        </w:tc>
        <w:tc>
          <w:tcPr>
            <w:tcW w:w="563" w:type="pct"/>
            <w:shd w:val="clear" w:color="auto" w:fill="auto"/>
            <w:noWrap/>
            <w:vAlign w:val="center"/>
          </w:tcPr>
          <w:p w:rsidR="00443DDB" w:rsidRPr="00E119B1" w:rsidP="000A6B0F" w14:paraId="09E270C9" w14:textId="77777777">
            <w:pPr>
              <w:spacing w:line="240" w:lineRule="auto"/>
              <w:jc w:val="center"/>
              <w:rPr>
                <w:color w:val="000000"/>
                <w:sz w:val="20"/>
                <w:szCs w:val="20"/>
                <w:lang w:eastAsia="cs-CZ"/>
              </w:rPr>
            </w:pPr>
            <w:r w:rsidRPr="00E119B1">
              <w:rPr>
                <w:color w:val="000000"/>
                <w:sz w:val="20"/>
                <w:szCs w:val="20"/>
                <w:lang w:eastAsia="cs-CZ"/>
              </w:rPr>
              <w:t>90,62</w:t>
            </w:r>
          </w:p>
        </w:tc>
        <w:tc>
          <w:tcPr>
            <w:tcW w:w="660" w:type="pct"/>
            <w:shd w:val="clear" w:color="auto" w:fill="FFFF00"/>
            <w:vAlign w:val="center"/>
          </w:tcPr>
          <w:p w:rsidR="00443DDB" w:rsidRPr="00E119B1" w:rsidP="000A6B0F" w14:paraId="4F0D880A" w14:textId="77777777">
            <w:pPr>
              <w:spacing w:line="240" w:lineRule="auto"/>
              <w:jc w:val="center"/>
              <w:rPr>
                <w:color w:val="000000"/>
                <w:sz w:val="20"/>
                <w:szCs w:val="20"/>
                <w:lang w:eastAsia="cs-CZ"/>
              </w:rPr>
            </w:pPr>
            <w:r w:rsidRPr="00E119B1">
              <w:rPr>
                <w:color w:val="000000"/>
                <w:sz w:val="20"/>
                <w:szCs w:val="20"/>
                <w:lang w:eastAsia="cs-CZ"/>
              </w:rPr>
              <w:t>80,00</w:t>
            </w:r>
          </w:p>
        </w:tc>
        <w:tc>
          <w:tcPr>
            <w:tcW w:w="681" w:type="pct"/>
            <w:shd w:val="clear" w:color="auto" w:fill="auto"/>
            <w:noWrap/>
            <w:vAlign w:val="center"/>
          </w:tcPr>
          <w:p w:rsidR="00443DDB" w:rsidRPr="00E119B1" w:rsidP="000A6B0F" w14:paraId="5528CA3D" w14:textId="77777777">
            <w:pPr>
              <w:spacing w:line="240" w:lineRule="auto"/>
              <w:jc w:val="center"/>
              <w:rPr>
                <w:color w:val="000000"/>
                <w:sz w:val="20"/>
                <w:szCs w:val="20"/>
              </w:rPr>
            </w:pPr>
            <w:r w:rsidRPr="00E119B1">
              <w:rPr>
                <w:color w:val="000000"/>
                <w:sz w:val="20"/>
                <w:szCs w:val="20"/>
                <w:lang w:eastAsia="cs-CZ"/>
              </w:rPr>
              <w:t>10 962,01</w:t>
            </w:r>
          </w:p>
        </w:tc>
        <w:tc>
          <w:tcPr>
            <w:tcW w:w="720" w:type="pct"/>
            <w:shd w:val="clear" w:color="auto" w:fill="auto"/>
            <w:noWrap/>
            <w:vAlign w:val="center"/>
          </w:tcPr>
          <w:p w:rsidR="00443DDB" w:rsidRPr="00E119B1" w:rsidP="000A6B0F" w14:paraId="18E36180" w14:textId="77777777">
            <w:pPr>
              <w:spacing w:line="240" w:lineRule="auto"/>
              <w:jc w:val="center"/>
              <w:rPr>
                <w:color w:val="000000"/>
                <w:sz w:val="20"/>
                <w:szCs w:val="20"/>
                <w:lang w:eastAsia="cs-CZ"/>
              </w:rPr>
            </w:pPr>
            <w:r w:rsidRPr="00E119B1">
              <w:rPr>
                <w:color w:val="000000"/>
                <w:sz w:val="20"/>
                <w:szCs w:val="20"/>
                <w:lang w:eastAsia="cs-CZ"/>
              </w:rPr>
              <w:t>86,76</w:t>
            </w:r>
          </w:p>
        </w:tc>
        <w:tc>
          <w:tcPr>
            <w:tcW w:w="695" w:type="pct"/>
            <w:shd w:val="clear" w:color="auto" w:fill="FFFF00"/>
            <w:vAlign w:val="center"/>
          </w:tcPr>
          <w:p w:rsidR="00443DDB" w:rsidRPr="00E119B1" w:rsidP="000A6B0F" w14:paraId="66202F15" w14:textId="77777777">
            <w:pPr>
              <w:spacing w:line="240" w:lineRule="auto"/>
              <w:jc w:val="center"/>
              <w:rPr>
                <w:color w:val="000000"/>
                <w:sz w:val="20"/>
                <w:szCs w:val="20"/>
                <w:lang w:eastAsia="cs-CZ"/>
              </w:rPr>
            </w:pPr>
            <w:r w:rsidRPr="00E119B1">
              <w:rPr>
                <w:color w:val="000000"/>
                <w:sz w:val="20"/>
                <w:szCs w:val="20"/>
                <w:lang w:eastAsia="cs-CZ"/>
              </w:rPr>
              <w:t>70</w:t>
            </w:r>
          </w:p>
        </w:tc>
      </w:tr>
      <w:tr w14:paraId="42D9FD66"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57945FA8" w14:textId="77777777">
            <w:pPr>
              <w:jc w:val="center"/>
              <w:rPr>
                <w:rFonts w:eastAsia="Calibri"/>
                <w:sz w:val="20"/>
                <w:szCs w:val="20"/>
                <w:highlight w:val="yellow"/>
                <w:lang w:eastAsia="cs-CZ"/>
              </w:rPr>
            </w:pPr>
            <w:r w:rsidRPr="00E119B1">
              <w:rPr>
                <w:rFonts w:eastAsia="Calibri"/>
                <w:sz w:val="20"/>
                <w:szCs w:val="20"/>
                <w:lang w:eastAsia="cs-CZ"/>
              </w:rPr>
              <w:t>4.</w:t>
            </w:r>
          </w:p>
        </w:tc>
        <w:tc>
          <w:tcPr>
            <w:tcW w:w="691" w:type="pct"/>
            <w:shd w:val="clear" w:color="auto" w:fill="auto"/>
            <w:noWrap/>
            <w:vAlign w:val="center"/>
          </w:tcPr>
          <w:p w:rsidR="00443DDB" w:rsidRPr="00E119B1" w:rsidP="000A6B0F" w14:paraId="72268213" w14:textId="77777777">
            <w:pPr>
              <w:spacing w:line="240" w:lineRule="auto"/>
              <w:jc w:val="center"/>
              <w:rPr>
                <w:color w:val="000000"/>
                <w:sz w:val="20"/>
                <w:szCs w:val="20"/>
              </w:rPr>
            </w:pPr>
            <w:r w:rsidRPr="00E119B1">
              <w:rPr>
                <w:color w:val="000000"/>
                <w:sz w:val="20"/>
                <w:szCs w:val="20"/>
                <w:lang w:eastAsia="cs-CZ"/>
              </w:rPr>
              <w:t>15 358,35</w:t>
            </w:r>
          </w:p>
        </w:tc>
        <w:tc>
          <w:tcPr>
            <w:tcW w:w="695" w:type="pct"/>
            <w:shd w:val="clear" w:color="auto" w:fill="auto"/>
            <w:noWrap/>
            <w:vAlign w:val="center"/>
          </w:tcPr>
          <w:p w:rsidR="00443DDB" w:rsidRPr="00E119B1" w:rsidP="000A6B0F" w14:paraId="4A590F22" w14:textId="77777777">
            <w:pPr>
              <w:spacing w:line="240" w:lineRule="auto"/>
              <w:jc w:val="center"/>
              <w:rPr>
                <w:color w:val="000000"/>
                <w:sz w:val="20"/>
                <w:szCs w:val="20"/>
              </w:rPr>
            </w:pPr>
            <w:r w:rsidRPr="00E119B1">
              <w:rPr>
                <w:color w:val="000000"/>
                <w:sz w:val="20"/>
                <w:szCs w:val="20"/>
                <w:lang w:eastAsia="cs-CZ"/>
              </w:rPr>
              <w:t>14439,16</w:t>
            </w:r>
          </w:p>
        </w:tc>
        <w:tc>
          <w:tcPr>
            <w:tcW w:w="563" w:type="pct"/>
            <w:shd w:val="clear" w:color="auto" w:fill="auto"/>
            <w:noWrap/>
            <w:vAlign w:val="center"/>
          </w:tcPr>
          <w:p w:rsidR="00443DDB" w:rsidRPr="00E119B1" w:rsidP="000A6B0F" w14:paraId="55A66B7C" w14:textId="77777777">
            <w:pPr>
              <w:spacing w:line="240" w:lineRule="auto"/>
              <w:jc w:val="center"/>
              <w:rPr>
                <w:color w:val="000000"/>
                <w:sz w:val="20"/>
                <w:szCs w:val="20"/>
                <w:lang w:eastAsia="cs-CZ"/>
              </w:rPr>
            </w:pPr>
            <w:r w:rsidRPr="00E119B1">
              <w:rPr>
                <w:color w:val="000000"/>
                <w:sz w:val="20"/>
                <w:szCs w:val="20"/>
                <w:lang w:eastAsia="cs-CZ"/>
              </w:rPr>
              <w:t>94,02</w:t>
            </w:r>
          </w:p>
        </w:tc>
        <w:tc>
          <w:tcPr>
            <w:tcW w:w="660" w:type="pct"/>
            <w:shd w:val="clear" w:color="auto" w:fill="FFFF00"/>
            <w:vAlign w:val="center"/>
          </w:tcPr>
          <w:p w:rsidR="00443DDB" w:rsidRPr="00E119B1" w:rsidP="000A6B0F" w14:paraId="6C764F9B" w14:textId="77777777">
            <w:pPr>
              <w:spacing w:line="240" w:lineRule="auto"/>
              <w:jc w:val="center"/>
              <w:rPr>
                <w:sz w:val="20"/>
                <w:szCs w:val="20"/>
                <w:lang w:eastAsia="cs-CZ"/>
              </w:rPr>
            </w:pPr>
            <w:r w:rsidRPr="00E119B1">
              <w:rPr>
                <w:sz w:val="20"/>
                <w:szCs w:val="20"/>
                <w:lang w:eastAsia="cs-CZ"/>
              </w:rPr>
              <w:t>80,00</w:t>
            </w:r>
          </w:p>
        </w:tc>
        <w:tc>
          <w:tcPr>
            <w:tcW w:w="681" w:type="pct"/>
            <w:shd w:val="clear" w:color="auto" w:fill="auto"/>
            <w:noWrap/>
            <w:vAlign w:val="center"/>
          </w:tcPr>
          <w:p w:rsidR="00443DDB" w:rsidRPr="00E119B1" w:rsidP="000A6B0F" w14:paraId="11D8EC2A" w14:textId="77777777">
            <w:pPr>
              <w:spacing w:line="240" w:lineRule="auto"/>
              <w:jc w:val="center"/>
              <w:rPr>
                <w:color w:val="000000"/>
                <w:sz w:val="20"/>
                <w:szCs w:val="20"/>
              </w:rPr>
            </w:pPr>
            <w:r w:rsidRPr="00E119B1">
              <w:rPr>
                <w:color w:val="000000"/>
                <w:sz w:val="20"/>
                <w:szCs w:val="20"/>
                <w:lang w:eastAsia="cs-CZ"/>
              </w:rPr>
              <w:t>14 155,37</w:t>
            </w:r>
          </w:p>
        </w:tc>
        <w:tc>
          <w:tcPr>
            <w:tcW w:w="720" w:type="pct"/>
            <w:shd w:val="clear" w:color="auto" w:fill="auto"/>
            <w:noWrap/>
            <w:vAlign w:val="center"/>
          </w:tcPr>
          <w:p w:rsidR="00443DDB" w:rsidRPr="00E119B1" w:rsidP="000A6B0F" w14:paraId="49E8CEAA" w14:textId="77777777">
            <w:pPr>
              <w:spacing w:line="240" w:lineRule="auto"/>
              <w:jc w:val="center"/>
              <w:rPr>
                <w:color w:val="000000"/>
                <w:sz w:val="20"/>
                <w:szCs w:val="20"/>
                <w:lang w:eastAsia="cs-CZ"/>
              </w:rPr>
            </w:pPr>
            <w:r w:rsidRPr="00E119B1">
              <w:rPr>
                <w:color w:val="000000"/>
                <w:sz w:val="20"/>
                <w:szCs w:val="20"/>
                <w:lang w:eastAsia="cs-CZ"/>
              </w:rPr>
              <w:t>91,48</w:t>
            </w:r>
          </w:p>
        </w:tc>
        <w:tc>
          <w:tcPr>
            <w:tcW w:w="695" w:type="pct"/>
            <w:shd w:val="clear" w:color="auto" w:fill="FFFF00"/>
            <w:vAlign w:val="center"/>
          </w:tcPr>
          <w:p w:rsidR="00443DDB" w:rsidRPr="00E119B1" w:rsidP="000A6B0F" w14:paraId="034D2D92" w14:textId="77777777">
            <w:pPr>
              <w:spacing w:line="240" w:lineRule="auto"/>
              <w:jc w:val="center"/>
              <w:rPr>
                <w:color w:val="000000"/>
                <w:sz w:val="20"/>
                <w:szCs w:val="20"/>
                <w:lang w:eastAsia="cs-CZ"/>
              </w:rPr>
            </w:pPr>
            <w:r w:rsidRPr="00E119B1">
              <w:rPr>
                <w:color w:val="000000"/>
                <w:sz w:val="20"/>
                <w:szCs w:val="20"/>
                <w:lang w:eastAsia="cs-CZ"/>
              </w:rPr>
              <w:t>70</w:t>
            </w:r>
          </w:p>
        </w:tc>
      </w:tr>
      <w:tr w14:paraId="2C57B297"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tcPr>
          <w:p w:rsidR="00443DDB" w:rsidRPr="00E119B1" w:rsidP="000A6B0F" w14:paraId="3FDB1736" w14:textId="77777777">
            <w:pPr>
              <w:jc w:val="center"/>
              <w:rPr>
                <w:rFonts w:eastAsia="Calibri"/>
                <w:sz w:val="20"/>
                <w:szCs w:val="20"/>
                <w:lang w:eastAsia="cs-CZ"/>
              </w:rPr>
            </w:pPr>
            <w:r w:rsidRPr="00E119B1">
              <w:rPr>
                <w:rFonts w:eastAsia="Calibri"/>
                <w:sz w:val="20"/>
                <w:szCs w:val="20"/>
                <w:lang w:eastAsia="cs-CZ"/>
              </w:rPr>
              <w:t>4b.</w:t>
            </w:r>
          </w:p>
        </w:tc>
        <w:tc>
          <w:tcPr>
            <w:tcW w:w="691" w:type="pct"/>
            <w:shd w:val="clear" w:color="auto" w:fill="auto"/>
            <w:noWrap/>
            <w:vAlign w:val="center"/>
          </w:tcPr>
          <w:p w:rsidR="00443DDB" w:rsidRPr="00E119B1" w:rsidP="000A6B0F" w14:paraId="53164556" w14:textId="77777777">
            <w:pPr>
              <w:spacing w:line="240" w:lineRule="auto"/>
              <w:jc w:val="center"/>
              <w:rPr>
                <w:color w:val="000000"/>
                <w:sz w:val="20"/>
                <w:szCs w:val="20"/>
                <w:lang w:eastAsia="cs-CZ"/>
              </w:rPr>
            </w:pPr>
            <w:r w:rsidRPr="00E119B1">
              <w:rPr>
                <w:color w:val="000000"/>
                <w:sz w:val="20"/>
                <w:szCs w:val="20"/>
                <w:lang w:eastAsia="cs-CZ"/>
              </w:rPr>
              <w:t>44,46</w:t>
            </w:r>
          </w:p>
        </w:tc>
        <w:tc>
          <w:tcPr>
            <w:tcW w:w="695" w:type="pct"/>
            <w:shd w:val="clear" w:color="auto" w:fill="auto"/>
            <w:noWrap/>
            <w:vAlign w:val="center"/>
          </w:tcPr>
          <w:p w:rsidR="00443DDB" w:rsidRPr="00E119B1" w:rsidP="000A6B0F" w14:paraId="186EE277" w14:textId="77777777">
            <w:pPr>
              <w:spacing w:line="240" w:lineRule="auto"/>
              <w:jc w:val="center"/>
              <w:rPr>
                <w:color w:val="000000"/>
                <w:sz w:val="20"/>
                <w:szCs w:val="20"/>
                <w:lang w:eastAsia="cs-CZ"/>
              </w:rPr>
            </w:pPr>
            <w:r w:rsidRPr="00E119B1">
              <w:rPr>
                <w:color w:val="000000"/>
                <w:sz w:val="20"/>
                <w:szCs w:val="20"/>
                <w:lang w:eastAsia="cs-CZ"/>
              </w:rPr>
              <w:t>44,32</w:t>
            </w:r>
          </w:p>
        </w:tc>
        <w:tc>
          <w:tcPr>
            <w:tcW w:w="563" w:type="pct"/>
            <w:shd w:val="clear" w:color="auto" w:fill="auto"/>
            <w:noWrap/>
            <w:vAlign w:val="center"/>
          </w:tcPr>
          <w:p w:rsidR="00443DDB" w:rsidRPr="00E119B1" w:rsidP="000A6B0F" w14:paraId="70F2AA1F" w14:textId="77777777">
            <w:pPr>
              <w:spacing w:line="240" w:lineRule="auto"/>
              <w:jc w:val="center"/>
              <w:rPr>
                <w:color w:val="000000"/>
                <w:sz w:val="20"/>
                <w:szCs w:val="20"/>
                <w:lang w:eastAsia="cs-CZ"/>
              </w:rPr>
            </w:pPr>
            <w:r w:rsidRPr="00E119B1">
              <w:rPr>
                <w:color w:val="000000"/>
                <w:sz w:val="20"/>
                <w:szCs w:val="20"/>
                <w:lang w:eastAsia="cs-CZ"/>
              </w:rPr>
              <w:t>99,69</w:t>
            </w:r>
          </w:p>
        </w:tc>
        <w:tc>
          <w:tcPr>
            <w:tcW w:w="660" w:type="pct"/>
            <w:shd w:val="clear" w:color="auto" w:fill="FFFF00"/>
            <w:vAlign w:val="center"/>
          </w:tcPr>
          <w:p w:rsidR="00443DDB" w:rsidRPr="00E119B1" w:rsidP="000A6B0F" w14:paraId="28755EA0" w14:textId="77777777">
            <w:pPr>
              <w:spacing w:line="240" w:lineRule="auto"/>
              <w:jc w:val="center"/>
              <w:rPr>
                <w:sz w:val="20"/>
                <w:szCs w:val="20"/>
                <w:lang w:eastAsia="cs-CZ"/>
              </w:rPr>
            </w:pPr>
            <w:r w:rsidRPr="00E119B1">
              <w:rPr>
                <w:sz w:val="20"/>
                <w:szCs w:val="20"/>
                <w:lang w:eastAsia="cs-CZ"/>
              </w:rPr>
              <w:t>80,00</w:t>
            </w:r>
          </w:p>
        </w:tc>
        <w:tc>
          <w:tcPr>
            <w:tcW w:w="681" w:type="pct"/>
            <w:shd w:val="clear" w:color="auto" w:fill="auto"/>
            <w:noWrap/>
            <w:vAlign w:val="center"/>
          </w:tcPr>
          <w:p w:rsidR="00443DDB" w:rsidRPr="00E119B1" w:rsidP="000A6B0F" w14:paraId="39BBE13D" w14:textId="77777777">
            <w:pPr>
              <w:spacing w:line="240" w:lineRule="auto"/>
              <w:jc w:val="center"/>
              <w:rPr>
                <w:color w:val="000000"/>
                <w:sz w:val="20"/>
                <w:szCs w:val="20"/>
              </w:rPr>
            </w:pPr>
            <w:r w:rsidRPr="00E119B1">
              <w:rPr>
                <w:color w:val="000000"/>
                <w:sz w:val="20"/>
                <w:szCs w:val="20"/>
                <w:lang w:eastAsia="cs-CZ"/>
              </w:rPr>
              <w:t>44,32</w:t>
            </w:r>
          </w:p>
        </w:tc>
        <w:tc>
          <w:tcPr>
            <w:tcW w:w="720" w:type="pct"/>
            <w:shd w:val="clear" w:color="auto" w:fill="auto"/>
            <w:noWrap/>
            <w:vAlign w:val="center"/>
          </w:tcPr>
          <w:p w:rsidR="00443DDB" w:rsidRPr="00E119B1" w:rsidP="000A6B0F" w14:paraId="77BCB514" w14:textId="77777777">
            <w:pPr>
              <w:spacing w:line="240" w:lineRule="auto"/>
              <w:jc w:val="center"/>
              <w:rPr>
                <w:color w:val="000000"/>
                <w:sz w:val="20"/>
                <w:szCs w:val="20"/>
              </w:rPr>
            </w:pPr>
            <w:r w:rsidRPr="00E119B1">
              <w:rPr>
                <w:sz w:val="20"/>
                <w:szCs w:val="20"/>
                <w:lang w:eastAsia="cs-CZ"/>
              </w:rPr>
              <w:t>99,69</w:t>
            </w:r>
          </w:p>
        </w:tc>
        <w:tc>
          <w:tcPr>
            <w:tcW w:w="695" w:type="pct"/>
            <w:shd w:val="clear" w:color="auto" w:fill="FFFF00"/>
            <w:vAlign w:val="center"/>
          </w:tcPr>
          <w:p w:rsidR="00443DDB" w:rsidRPr="00E119B1" w:rsidP="000A6B0F" w14:paraId="1D7BAAE4" w14:textId="77777777">
            <w:pPr>
              <w:spacing w:line="240" w:lineRule="auto"/>
              <w:jc w:val="center"/>
              <w:rPr>
                <w:sz w:val="20"/>
                <w:szCs w:val="20"/>
                <w:lang w:eastAsia="cs-CZ"/>
              </w:rPr>
            </w:pPr>
            <w:r w:rsidRPr="00E119B1">
              <w:rPr>
                <w:sz w:val="20"/>
                <w:szCs w:val="20"/>
                <w:lang w:eastAsia="cs-CZ"/>
              </w:rPr>
              <w:t>70</w:t>
            </w:r>
          </w:p>
        </w:tc>
      </w:tr>
      <w:tr w14:paraId="056ECEC4"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3B6B0274" w14:textId="77777777">
            <w:pPr>
              <w:jc w:val="center"/>
              <w:rPr>
                <w:rFonts w:eastAsia="Calibri"/>
                <w:sz w:val="20"/>
                <w:szCs w:val="20"/>
                <w:lang w:eastAsia="cs-CZ"/>
              </w:rPr>
            </w:pPr>
            <w:r w:rsidRPr="00E119B1">
              <w:rPr>
                <w:rFonts w:eastAsia="Calibri"/>
                <w:sz w:val="20"/>
                <w:szCs w:val="20"/>
                <w:lang w:eastAsia="cs-CZ"/>
              </w:rPr>
              <w:t>5.</w:t>
            </w:r>
          </w:p>
        </w:tc>
        <w:tc>
          <w:tcPr>
            <w:tcW w:w="691" w:type="pct"/>
            <w:shd w:val="clear" w:color="auto" w:fill="auto"/>
            <w:noWrap/>
            <w:vAlign w:val="center"/>
          </w:tcPr>
          <w:p w:rsidR="00443DDB" w:rsidRPr="00E119B1" w:rsidP="000A6B0F" w14:paraId="1349ED71" w14:textId="77777777">
            <w:pPr>
              <w:spacing w:line="240" w:lineRule="auto"/>
              <w:jc w:val="center"/>
              <w:rPr>
                <w:color w:val="000000"/>
                <w:sz w:val="20"/>
                <w:szCs w:val="20"/>
              </w:rPr>
            </w:pPr>
            <w:r w:rsidRPr="00E119B1">
              <w:rPr>
                <w:color w:val="000000"/>
                <w:sz w:val="20"/>
                <w:szCs w:val="20"/>
                <w:lang w:eastAsia="cs-CZ"/>
              </w:rPr>
              <w:t>1 138,62</w:t>
            </w:r>
          </w:p>
        </w:tc>
        <w:tc>
          <w:tcPr>
            <w:tcW w:w="695" w:type="pct"/>
            <w:shd w:val="clear" w:color="auto" w:fill="auto"/>
            <w:noWrap/>
            <w:vAlign w:val="center"/>
          </w:tcPr>
          <w:p w:rsidR="00443DDB" w:rsidRPr="00E119B1" w:rsidP="000A6B0F" w14:paraId="1626BE9A" w14:textId="77777777">
            <w:pPr>
              <w:spacing w:line="240" w:lineRule="auto"/>
              <w:jc w:val="center"/>
              <w:rPr>
                <w:color w:val="000000"/>
                <w:sz w:val="20"/>
                <w:szCs w:val="20"/>
              </w:rPr>
            </w:pPr>
            <w:r w:rsidRPr="00E119B1">
              <w:rPr>
                <w:color w:val="000000"/>
                <w:sz w:val="20"/>
                <w:szCs w:val="20"/>
                <w:lang w:eastAsia="cs-CZ"/>
              </w:rPr>
              <w:t>1 088,27</w:t>
            </w:r>
          </w:p>
        </w:tc>
        <w:tc>
          <w:tcPr>
            <w:tcW w:w="563" w:type="pct"/>
            <w:shd w:val="clear" w:color="auto" w:fill="auto"/>
            <w:noWrap/>
            <w:vAlign w:val="center"/>
          </w:tcPr>
          <w:p w:rsidR="00443DDB" w:rsidRPr="00E119B1" w:rsidP="000A6B0F" w14:paraId="676AD669" w14:textId="77777777">
            <w:pPr>
              <w:spacing w:line="240" w:lineRule="auto"/>
              <w:jc w:val="center"/>
              <w:rPr>
                <w:color w:val="000000"/>
                <w:sz w:val="20"/>
                <w:szCs w:val="20"/>
              </w:rPr>
            </w:pPr>
            <w:r w:rsidRPr="00E119B1">
              <w:rPr>
                <w:color w:val="000000"/>
                <w:sz w:val="20"/>
                <w:szCs w:val="20"/>
                <w:lang w:eastAsia="cs-CZ"/>
              </w:rPr>
              <w:t>95,59</w:t>
            </w:r>
          </w:p>
        </w:tc>
        <w:tc>
          <w:tcPr>
            <w:tcW w:w="660" w:type="pct"/>
            <w:shd w:val="clear" w:color="auto" w:fill="FFFF00"/>
            <w:vAlign w:val="center"/>
          </w:tcPr>
          <w:p w:rsidR="00443DDB" w:rsidRPr="00E119B1" w:rsidP="000A6B0F" w14:paraId="08B06A64" w14:textId="77777777">
            <w:pPr>
              <w:spacing w:line="240" w:lineRule="auto"/>
              <w:jc w:val="center"/>
              <w:rPr>
                <w:sz w:val="20"/>
                <w:szCs w:val="20"/>
                <w:lang w:eastAsia="cs-CZ"/>
              </w:rPr>
            </w:pPr>
            <w:r w:rsidRPr="00E119B1">
              <w:rPr>
                <w:sz w:val="20"/>
                <w:szCs w:val="20"/>
                <w:lang w:eastAsia="cs-CZ"/>
              </w:rPr>
              <w:t>75,00</w:t>
            </w:r>
          </w:p>
        </w:tc>
        <w:tc>
          <w:tcPr>
            <w:tcW w:w="681" w:type="pct"/>
            <w:shd w:val="clear" w:color="auto" w:fill="auto"/>
            <w:noWrap/>
            <w:vAlign w:val="center"/>
          </w:tcPr>
          <w:p w:rsidR="00443DDB" w:rsidRPr="00E119B1" w:rsidP="000A6B0F" w14:paraId="72EE358C" w14:textId="77777777">
            <w:pPr>
              <w:spacing w:line="240" w:lineRule="auto"/>
              <w:jc w:val="center"/>
              <w:rPr>
                <w:color w:val="000000"/>
                <w:sz w:val="20"/>
                <w:szCs w:val="20"/>
              </w:rPr>
            </w:pPr>
            <w:r w:rsidRPr="00E119B1">
              <w:rPr>
                <w:color w:val="000000"/>
                <w:sz w:val="20"/>
                <w:szCs w:val="20"/>
                <w:lang w:eastAsia="cs-CZ"/>
              </w:rPr>
              <w:t>1 075,93</w:t>
            </w:r>
          </w:p>
        </w:tc>
        <w:tc>
          <w:tcPr>
            <w:tcW w:w="720" w:type="pct"/>
            <w:shd w:val="clear" w:color="auto" w:fill="auto"/>
            <w:noWrap/>
            <w:vAlign w:val="center"/>
          </w:tcPr>
          <w:p w:rsidR="00443DDB" w:rsidRPr="00E119B1" w:rsidP="000A6B0F" w14:paraId="3789370B" w14:textId="77777777">
            <w:pPr>
              <w:spacing w:line="240" w:lineRule="auto"/>
              <w:jc w:val="center"/>
              <w:rPr>
                <w:color w:val="000000"/>
                <w:sz w:val="20"/>
                <w:szCs w:val="20"/>
              </w:rPr>
            </w:pPr>
            <w:r w:rsidRPr="00E119B1">
              <w:rPr>
                <w:color w:val="000000"/>
                <w:sz w:val="20"/>
                <w:szCs w:val="20"/>
                <w:lang w:eastAsia="cs-CZ"/>
              </w:rPr>
              <w:t>93,82</w:t>
            </w:r>
          </w:p>
        </w:tc>
        <w:tc>
          <w:tcPr>
            <w:tcW w:w="695" w:type="pct"/>
            <w:shd w:val="clear" w:color="auto" w:fill="FFFF00"/>
            <w:vAlign w:val="center"/>
          </w:tcPr>
          <w:p w:rsidR="00443DDB" w:rsidRPr="00E119B1" w:rsidP="000A6B0F" w14:paraId="26116C27" w14:textId="77777777">
            <w:pPr>
              <w:spacing w:line="240" w:lineRule="auto"/>
              <w:jc w:val="center"/>
              <w:rPr>
                <w:color w:val="000000"/>
                <w:sz w:val="20"/>
                <w:szCs w:val="20"/>
                <w:lang w:eastAsia="cs-CZ"/>
              </w:rPr>
            </w:pPr>
            <w:r w:rsidRPr="00E119B1">
              <w:rPr>
                <w:color w:val="000000"/>
                <w:sz w:val="20"/>
                <w:szCs w:val="20"/>
                <w:lang w:eastAsia="cs-CZ"/>
              </w:rPr>
              <w:t>55</w:t>
            </w:r>
          </w:p>
        </w:tc>
      </w:tr>
      <w:tr w14:paraId="462EC3AE"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06FEEA55" w14:textId="77777777">
            <w:pPr>
              <w:jc w:val="center"/>
              <w:rPr>
                <w:rFonts w:eastAsia="Calibri"/>
                <w:sz w:val="20"/>
                <w:szCs w:val="20"/>
                <w:highlight w:val="yellow"/>
                <w:lang w:eastAsia="cs-CZ"/>
              </w:rPr>
            </w:pPr>
            <w:r w:rsidRPr="00E119B1">
              <w:rPr>
                <w:rFonts w:eastAsia="Calibri"/>
                <w:sz w:val="20"/>
                <w:szCs w:val="20"/>
                <w:lang w:eastAsia="cs-CZ"/>
              </w:rPr>
              <w:t>5a.</w:t>
            </w:r>
          </w:p>
        </w:tc>
        <w:tc>
          <w:tcPr>
            <w:tcW w:w="691" w:type="pct"/>
            <w:shd w:val="clear" w:color="auto" w:fill="auto"/>
            <w:noWrap/>
            <w:vAlign w:val="center"/>
          </w:tcPr>
          <w:p w:rsidR="00443DDB" w:rsidRPr="00E119B1" w:rsidP="000A6B0F" w14:paraId="7C706A09" w14:textId="77777777">
            <w:pPr>
              <w:spacing w:line="240" w:lineRule="auto"/>
              <w:jc w:val="center"/>
              <w:rPr>
                <w:color w:val="000000"/>
                <w:sz w:val="20"/>
                <w:szCs w:val="20"/>
                <w:lang w:eastAsia="cs-CZ"/>
              </w:rPr>
            </w:pPr>
            <w:r w:rsidRPr="00E119B1">
              <w:rPr>
                <w:color w:val="000000"/>
                <w:sz w:val="20"/>
                <w:szCs w:val="20"/>
                <w:lang w:eastAsia="cs-CZ"/>
              </w:rPr>
              <w:t>832,00</w:t>
            </w:r>
          </w:p>
        </w:tc>
        <w:tc>
          <w:tcPr>
            <w:tcW w:w="695" w:type="pct"/>
            <w:shd w:val="clear" w:color="auto" w:fill="auto"/>
            <w:noWrap/>
            <w:vAlign w:val="center"/>
          </w:tcPr>
          <w:p w:rsidR="00443DDB" w:rsidRPr="00E119B1" w:rsidP="000A6B0F" w14:paraId="7FA0CD15" w14:textId="77777777">
            <w:pPr>
              <w:spacing w:line="240" w:lineRule="auto"/>
              <w:jc w:val="center"/>
              <w:rPr>
                <w:color w:val="000000"/>
                <w:sz w:val="20"/>
                <w:szCs w:val="20"/>
                <w:lang w:eastAsia="cs-CZ"/>
              </w:rPr>
            </w:pPr>
            <w:r w:rsidRPr="00E119B1">
              <w:rPr>
                <w:color w:val="000000"/>
                <w:sz w:val="20"/>
                <w:szCs w:val="20"/>
                <w:lang w:eastAsia="cs-CZ"/>
              </w:rPr>
              <w:t>788,45</w:t>
            </w:r>
          </w:p>
        </w:tc>
        <w:tc>
          <w:tcPr>
            <w:tcW w:w="563" w:type="pct"/>
            <w:shd w:val="clear" w:color="auto" w:fill="auto"/>
            <w:noWrap/>
            <w:vAlign w:val="center"/>
          </w:tcPr>
          <w:p w:rsidR="00443DDB" w:rsidRPr="00E119B1" w:rsidP="000A6B0F" w14:paraId="56E89B89" w14:textId="77777777">
            <w:pPr>
              <w:spacing w:line="240" w:lineRule="auto"/>
              <w:jc w:val="center"/>
              <w:rPr>
                <w:color w:val="000000"/>
                <w:sz w:val="20"/>
                <w:szCs w:val="20"/>
                <w:lang w:eastAsia="cs-CZ"/>
              </w:rPr>
            </w:pPr>
            <w:r w:rsidRPr="00E119B1">
              <w:rPr>
                <w:color w:val="000000"/>
                <w:sz w:val="20"/>
                <w:szCs w:val="20"/>
                <w:lang w:eastAsia="cs-CZ"/>
              </w:rPr>
              <w:t>94,77</w:t>
            </w:r>
          </w:p>
        </w:tc>
        <w:tc>
          <w:tcPr>
            <w:tcW w:w="660" w:type="pct"/>
            <w:shd w:val="clear" w:color="auto" w:fill="FFFF00"/>
            <w:vAlign w:val="center"/>
          </w:tcPr>
          <w:p w:rsidR="00443DDB" w:rsidRPr="00E119B1" w:rsidP="000A6B0F" w14:paraId="34A3A8D1" w14:textId="77777777">
            <w:pPr>
              <w:spacing w:line="240" w:lineRule="auto"/>
              <w:jc w:val="center"/>
              <w:rPr>
                <w:color w:val="000000"/>
                <w:sz w:val="20"/>
                <w:szCs w:val="20"/>
                <w:lang w:eastAsia="cs-CZ"/>
              </w:rPr>
            </w:pPr>
            <w:r w:rsidRPr="00E119B1">
              <w:rPr>
                <w:sz w:val="20"/>
                <w:szCs w:val="20"/>
                <w:lang w:eastAsia="cs-CZ"/>
              </w:rPr>
              <w:t>-</w:t>
            </w:r>
          </w:p>
        </w:tc>
        <w:tc>
          <w:tcPr>
            <w:tcW w:w="681" w:type="pct"/>
            <w:shd w:val="clear" w:color="auto" w:fill="auto"/>
            <w:noWrap/>
            <w:vAlign w:val="center"/>
          </w:tcPr>
          <w:p w:rsidR="00443DDB" w:rsidRPr="00E119B1" w:rsidP="000A6B0F" w14:paraId="05902FCC" w14:textId="77777777">
            <w:pPr>
              <w:spacing w:line="240" w:lineRule="auto"/>
              <w:jc w:val="center"/>
              <w:rPr>
                <w:color w:val="000000"/>
                <w:sz w:val="20"/>
                <w:szCs w:val="20"/>
              </w:rPr>
            </w:pPr>
            <w:r w:rsidRPr="00E119B1">
              <w:rPr>
                <w:color w:val="000000"/>
                <w:sz w:val="20"/>
                <w:szCs w:val="20"/>
                <w:lang w:eastAsia="cs-CZ"/>
              </w:rPr>
              <w:t>788,45</w:t>
            </w:r>
          </w:p>
        </w:tc>
        <w:tc>
          <w:tcPr>
            <w:tcW w:w="720" w:type="pct"/>
            <w:shd w:val="clear" w:color="auto" w:fill="auto"/>
            <w:noWrap/>
            <w:vAlign w:val="center"/>
          </w:tcPr>
          <w:p w:rsidR="00443DDB" w:rsidRPr="00E119B1" w:rsidP="000A6B0F" w14:paraId="07865EBC" w14:textId="77777777">
            <w:pPr>
              <w:spacing w:line="240" w:lineRule="auto"/>
              <w:jc w:val="center"/>
              <w:rPr>
                <w:color w:val="000000"/>
                <w:sz w:val="20"/>
                <w:szCs w:val="20"/>
                <w:lang w:eastAsia="cs-CZ"/>
              </w:rPr>
            </w:pPr>
            <w:r w:rsidRPr="00E119B1">
              <w:rPr>
                <w:color w:val="000000"/>
                <w:sz w:val="20"/>
                <w:szCs w:val="20"/>
                <w:lang w:eastAsia="cs-CZ"/>
              </w:rPr>
              <w:t>94,77</w:t>
            </w:r>
          </w:p>
        </w:tc>
        <w:tc>
          <w:tcPr>
            <w:tcW w:w="695" w:type="pct"/>
            <w:shd w:val="clear" w:color="auto" w:fill="FFFF00"/>
            <w:vAlign w:val="center"/>
          </w:tcPr>
          <w:p w:rsidR="00443DDB" w:rsidRPr="00E119B1" w:rsidP="000A6B0F" w14:paraId="48ECF98F" w14:textId="77777777">
            <w:pPr>
              <w:spacing w:line="240" w:lineRule="auto"/>
              <w:jc w:val="center"/>
              <w:rPr>
                <w:color w:val="000000"/>
                <w:sz w:val="20"/>
                <w:szCs w:val="20"/>
                <w:lang w:eastAsia="cs-CZ"/>
              </w:rPr>
            </w:pPr>
            <w:r w:rsidRPr="00E119B1">
              <w:rPr>
                <w:color w:val="000000"/>
                <w:sz w:val="20"/>
                <w:szCs w:val="20"/>
                <w:lang w:eastAsia="cs-CZ"/>
              </w:rPr>
              <w:t>80</w:t>
            </w:r>
          </w:p>
        </w:tc>
      </w:tr>
      <w:tr w14:paraId="4AD4C66A"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0B15D729" w14:textId="77777777">
            <w:pPr>
              <w:jc w:val="center"/>
              <w:rPr>
                <w:rFonts w:eastAsia="Calibri"/>
                <w:sz w:val="20"/>
                <w:szCs w:val="20"/>
                <w:highlight w:val="yellow"/>
                <w:lang w:eastAsia="cs-CZ"/>
              </w:rPr>
            </w:pPr>
            <w:r w:rsidRPr="00E119B1">
              <w:rPr>
                <w:rFonts w:eastAsia="Calibri"/>
                <w:sz w:val="20"/>
                <w:szCs w:val="20"/>
                <w:lang w:eastAsia="cs-CZ"/>
              </w:rPr>
              <w:t>6.</w:t>
            </w:r>
          </w:p>
        </w:tc>
        <w:tc>
          <w:tcPr>
            <w:tcW w:w="691" w:type="pct"/>
            <w:shd w:val="clear" w:color="auto" w:fill="auto"/>
            <w:noWrap/>
            <w:vAlign w:val="center"/>
          </w:tcPr>
          <w:p w:rsidR="00443DDB" w:rsidRPr="00E119B1" w:rsidP="000A6B0F" w14:paraId="5FEBF76A" w14:textId="77777777">
            <w:pPr>
              <w:spacing w:line="240" w:lineRule="auto"/>
              <w:jc w:val="center"/>
              <w:rPr>
                <w:color w:val="000000"/>
                <w:sz w:val="20"/>
                <w:szCs w:val="20"/>
              </w:rPr>
            </w:pPr>
            <w:r w:rsidRPr="00E119B1">
              <w:rPr>
                <w:color w:val="000000"/>
                <w:sz w:val="20"/>
                <w:szCs w:val="20"/>
                <w:lang w:eastAsia="cs-CZ"/>
              </w:rPr>
              <w:t>2 325,60</w:t>
            </w:r>
          </w:p>
        </w:tc>
        <w:tc>
          <w:tcPr>
            <w:tcW w:w="695" w:type="pct"/>
            <w:shd w:val="clear" w:color="auto" w:fill="auto"/>
            <w:noWrap/>
            <w:vAlign w:val="center"/>
          </w:tcPr>
          <w:p w:rsidR="00443DDB" w:rsidRPr="00E119B1" w:rsidP="000A6B0F" w14:paraId="7A7F8E32" w14:textId="77777777">
            <w:pPr>
              <w:spacing w:line="240" w:lineRule="auto"/>
              <w:jc w:val="center"/>
              <w:rPr>
                <w:color w:val="000000"/>
                <w:sz w:val="20"/>
                <w:szCs w:val="20"/>
              </w:rPr>
            </w:pPr>
            <w:r w:rsidRPr="00E119B1">
              <w:rPr>
                <w:color w:val="000000"/>
                <w:sz w:val="20"/>
                <w:szCs w:val="20"/>
                <w:lang w:eastAsia="cs-CZ"/>
              </w:rPr>
              <w:t>2 165,66</w:t>
            </w:r>
          </w:p>
        </w:tc>
        <w:tc>
          <w:tcPr>
            <w:tcW w:w="563" w:type="pct"/>
            <w:shd w:val="clear" w:color="auto" w:fill="auto"/>
            <w:noWrap/>
            <w:vAlign w:val="center"/>
          </w:tcPr>
          <w:p w:rsidR="00443DDB" w:rsidRPr="00E119B1" w:rsidP="000A6B0F" w14:paraId="0A7F1B90" w14:textId="77777777">
            <w:pPr>
              <w:spacing w:line="240" w:lineRule="auto"/>
              <w:jc w:val="center"/>
              <w:rPr>
                <w:color w:val="000000"/>
                <w:sz w:val="20"/>
                <w:szCs w:val="20"/>
              </w:rPr>
            </w:pPr>
            <w:r w:rsidRPr="00E119B1">
              <w:rPr>
                <w:color w:val="000000"/>
                <w:sz w:val="20"/>
                <w:szCs w:val="20"/>
                <w:lang w:eastAsia="cs-CZ"/>
              </w:rPr>
              <w:t>93,12</w:t>
            </w:r>
          </w:p>
        </w:tc>
        <w:tc>
          <w:tcPr>
            <w:tcW w:w="660" w:type="pct"/>
            <w:shd w:val="clear" w:color="auto" w:fill="FFFF00"/>
            <w:vAlign w:val="center"/>
          </w:tcPr>
          <w:p w:rsidR="00443DDB" w:rsidRPr="00E119B1" w:rsidP="000A6B0F" w14:paraId="49511F7B" w14:textId="77777777">
            <w:pPr>
              <w:spacing w:line="240" w:lineRule="auto"/>
              <w:jc w:val="center"/>
              <w:rPr>
                <w:color w:val="000000"/>
                <w:sz w:val="20"/>
                <w:szCs w:val="20"/>
                <w:lang w:eastAsia="cs-CZ"/>
              </w:rPr>
            </w:pPr>
            <w:r w:rsidRPr="00E119B1">
              <w:rPr>
                <w:color w:val="000000"/>
                <w:sz w:val="20"/>
                <w:szCs w:val="20"/>
                <w:lang w:eastAsia="cs-CZ"/>
              </w:rPr>
              <w:t>75,00</w:t>
            </w:r>
          </w:p>
        </w:tc>
        <w:tc>
          <w:tcPr>
            <w:tcW w:w="681" w:type="pct"/>
            <w:shd w:val="clear" w:color="auto" w:fill="auto"/>
            <w:noWrap/>
            <w:vAlign w:val="center"/>
          </w:tcPr>
          <w:p w:rsidR="00443DDB" w:rsidRPr="00E119B1" w:rsidP="000A6B0F" w14:paraId="4831860D" w14:textId="77777777">
            <w:pPr>
              <w:spacing w:line="240" w:lineRule="auto"/>
              <w:jc w:val="center"/>
              <w:rPr>
                <w:color w:val="000000"/>
                <w:sz w:val="20"/>
                <w:szCs w:val="20"/>
              </w:rPr>
            </w:pPr>
            <w:r w:rsidRPr="00E119B1">
              <w:rPr>
                <w:color w:val="000000"/>
                <w:sz w:val="20"/>
                <w:szCs w:val="20"/>
                <w:lang w:eastAsia="cs-CZ"/>
              </w:rPr>
              <w:t>2 122,19</w:t>
            </w:r>
          </w:p>
        </w:tc>
        <w:tc>
          <w:tcPr>
            <w:tcW w:w="720" w:type="pct"/>
            <w:shd w:val="clear" w:color="auto" w:fill="auto"/>
            <w:noWrap/>
            <w:vAlign w:val="center"/>
          </w:tcPr>
          <w:p w:rsidR="00443DDB" w:rsidRPr="00E119B1" w:rsidP="000A6B0F" w14:paraId="2EF08ECB" w14:textId="77777777">
            <w:pPr>
              <w:spacing w:line="240" w:lineRule="auto"/>
              <w:jc w:val="center"/>
              <w:rPr>
                <w:color w:val="000000"/>
                <w:sz w:val="20"/>
                <w:szCs w:val="20"/>
                <w:lang w:eastAsia="cs-CZ"/>
              </w:rPr>
            </w:pPr>
            <w:r w:rsidRPr="00E119B1">
              <w:rPr>
                <w:color w:val="000000"/>
                <w:sz w:val="20"/>
                <w:szCs w:val="20"/>
                <w:lang w:eastAsia="cs-CZ"/>
              </w:rPr>
              <w:t>90,55</w:t>
            </w:r>
          </w:p>
        </w:tc>
        <w:tc>
          <w:tcPr>
            <w:tcW w:w="695" w:type="pct"/>
            <w:shd w:val="clear" w:color="auto" w:fill="FFFF00"/>
            <w:vAlign w:val="center"/>
          </w:tcPr>
          <w:p w:rsidR="00443DDB" w:rsidRPr="00E119B1" w:rsidP="000A6B0F" w14:paraId="5DA2D511" w14:textId="77777777">
            <w:pPr>
              <w:spacing w:line="240" w:lineRule="auto"/>
              <w:jc w:val="center"/>
              <w:rPr>
                <w:color w:val="000000"/>
                <w:sz w:val="20"/>
                <w:szCs w:val="20"/>
                <w:lang w:eastAsia="cs-CZ"/>
              </w:rPr>
            </w:pPr>
            <w:r w:rsidRPr="00E119B1">
              <w:rPr>
                <w:color w:val="000000"/>
                <w:sz w:val="20"/>
                <w:szCs w:val="20"/>
                <w:lang w:eastAsia="cs-CZ"/>
              </w:rPr>
              <w:t>55</w:t>
            </w:r>
          </w:p>
        </w:tc>
      </w:tr>
      <w:tr w14:paraId="11C1E7B8"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5FCCB728" w14:textId="77777777">
            <w:pPr>
              <w:jc w:val="center"/>
              <w:rPr>
                <w:rFonts w:eastAsia="Calibri"/>
                <w:sz w:val="20"/>
                <w:szCs w:val="20"/>
                <w:lang w:eastAsia="cs-CZ"/>
              </w:rPr>
            </w:pPr>
            <w:r w:rsidRPr="00E119B1">
              <w:rPr>
                <w:rFonts w:eastAsia="Calibri"/>
                <w:sz w:val="20"/>
                <w:szCs w:val="20"/>
                <w:lang w:eastAsia="cs-CZ"/>
              </w:rPr>
              <w:t>7.</w:t>
            </w:r>
          </w:p>
        </w:tc>
        <w:tc>
          <w:tcPr>
            <w:tcW w:w="691" w:type="pct"/>
            <w:shd w:val="clear" w:color="auto" w:fill="auto"/>
            <w:noWrap/>
            <w:vAlign w:val="center"/>
          </w:tcPr>
          <w:p w:rsidR="00443DDB" w:rsidRPr="00E119B1" w:rsidP="000A6B0F" w14:paraId="4B9B73E4" w14:textId="77777777">
            <w:pPr>
              <w:spacing w:line="240" w:lineRule="auto"/>
              <w:jc w:val="center"/>
              <w:rPr>
                <w:color w:val="000000"/>
                <w:sz w:val="20"/>
                <w:szCs w:val="20"/>
                <w:lang w:eastAsia="cs-CZ"/>
              </w:rPr>
            </w:pPr>
            <w:r w:rsidRPr="00E119B1">
              <w:rPr>
                <w:color w:val="000000"/>
                <w:sz w:val="20"/>
                <w:szCs w:val="20"/>
                <w:lang w:eastAsia="cs-CZ"/>
              </w:rPr>
              <w:t>609,23</w:t>
            </w:r>
          </w:p>
        </w:tc>
        <w:tc>
          <w:tcPr>
            <w:tcW w:w="695" w:type="pct"/>
            <w:shd w:val="clear" w:color="auto" w:fill="auto"/>
            <w:noWrap/>
            <w:vAlign w:val="center"/>
          </w:tcPr>
          <w:p w:rsidR="00443DDB" w:rsidRPr="00E119B1" w:rsidP="000A6B0F" w14:paraId="25B9BD0F" w14:textId="77777777">
            <w:pPr>
              <w:spacing w:line="240" w:lineRule="auto"/>
              <w:jc w:val="center"/>
              <w:rPr>
                <w:color w:val="000000"/>
                <w:sz w:val="20"/>
                <w:szCs w:val="20"/>
                <w:lang w:eastAsia="cs-CZ"/>
              </w:rPr>
            </w:pPr>
            <w:r w:rsidRPr="00E119B1">
              <w:rPr>
                <w:color w:val="000000"/>
                <w:sz w:val="20"/>
                <w:szCs w:val="20"/>
                <w:lang w:eastAsia="cs-CZ"/>
              </w:rPr>
              <w:t>566,286</w:t>
            </w:r>
          </w:p>
        </w:tc>
        <w:tc>
          <w:tcPr>
            <w:tcW w:w="563" w:type="pct"/>
            <w:shd w:val="clear" w:color="auto" w:fill="auto"/>
            <w:noWrap/>
            <w:vAlign w:val="center"/>
          </w:tcPr>
          <w:p w:rsidR="00443DDB" w:rsidRPr="00E119B1" w:rsidP="000A6B0F" w14:paraId="6196AA02" w14:textId="77777777">
            <w:pPr>
              <w:spacing w:line="240" w:lineRule="auto"/>
              <w:jc w:val="center"/>
              <w:rPr>
                <w:color w:val="000000"/>
                <w:sz w:val="20"/>
                <w:szCs w:val="20"/>
                <w:lang w:eastAsia="cs-CZ"/>
              </w:rPr>
            </w:pPr>
            <w:r w:rsidRPr="00E119B1">
              <w:rPr>
                <w:color w:val="000000"/>
                <w:sz w:val="20"/>
                <w:szCs w:val="20"/>
                <w:lang w:eastAsia="cs-CZ"/>
              </w:rPr>
              <w:t>92,95</w:t>
            </w:r>
          </w:p>
        </w:tc>
        <w:tc>
          <w:tcPr>
            <w:tcW w:w="660" w:type="pct"/>
            <w:shd w:val="clear" w:color="auto" w:fill="FFFF00"/>
            <w:vAlign w:val="center"/>
          </w:tcPr>
          <w:p w:rsidR="00443DDB" w:rsidRPr="00E119B1" w:rsidP="000A6B0F" w14:paraId="6C050C74" w14:textId="77777777">
            <w:pPr>
              <w:spacing w:line="240" w:lineRule="auto"/>
              <w:jc w:val="center"/>
              <w:rPr>
                <w:color w:val="000000"/>
                <w:sz w:val="20"/>
                <w:szCs w:val="20"/>
                <w:lang w:eastAsia="cs-CZ"/>
              </w:rPr>
            </w:pPr>
            <w:r w:rsidRPr="00E119B1">
              <w:rPr>
                <w:color w:val="000000"/>
                <w:sz w:val="20"/>
                <w:szCs w:val="20"/>
                <w:lang w:eastAsia="cs-CZ"/>
              </w:rPr>
              <w:t>75,00</w:t>
            </w:r>
          </w:p>
        </w:tc>
        <w:tc>
          <w:tcPr>
            <w:tcW w:w="681" w:type="pct"/>
            <w:shd w:val="clear" w:color="auto" w:fill="auto"/>
            <w:noWrap/>
            <w:vAlign w:val="center"/>
          </w:tcPr>
          <w:p w:rsidR="00443DDB" w:rsidRPr="00E119B1" w:rsidP="000A6B0F" w14:paraId="18BBB667" w14:textId="77777777">
            <w:pPr>
              <w:spacing w:line="240" w:lineRule="auto"/>
              <w:jc w:val="center"/>
              <w:rPr>
                <w:color w:val="000000"/>
                <w:sz w:val="20"/>
                <w:szCs w:val="20"/>
              </w:rPr>
            </w:pPr>
            <w:r w:rsidRPr="00E119B1">
              <w:rPr>
                <w:color w:val="000000"/>
                <w:sz w:val="20"/>
                <w:szCs w:val="20"/>
                <w:lang w:eastAsia="cs-CZ"/>
              </w:rPr>
              <w:t>557,60</w:t>
            </w:r>
          </w:p>
        </w:tc>
        <w:tc>
          <w:tcPr>
            <w:tcW w:w="720" w:type="pct"/>
            <w:shd w:val="clear" w:color="auto" w:fill="auto"/>
            <w:noWrap/>
            <w:vAlign w:val="center"/>
          </w:tcPr>
          <w:p w:rsidR="00443DDB" w:rsidRPr="00E119B1" w:rsidP="000A6B0F" w14:paraId="7451556C" w14:textId="77777777">
            <w:pPr>
              <w:spacing w:line="240" w:lineRule="auto"/>
              <w:jc w:val="center"/>
              <w:rPr>
                <w:color w:val="000000"/>
                <w:sz w:val="20"/>
                <w:szCs w:val="20"/>
                <w:lang w:eastAsia="cs-CZ"/>
              </w:rPr>
            </w:pPr>
            <w:r w:rsidRPr="00E119B1">
              <w:rPr>
                <w:color w:val="000000"/>
                <w:sz w:val="20"/>
                <w:szCs w:val="20"/>
                <w:lang w:eastAsia="cs-CZ"/>
              </w:rPr>
              <w:t>90,55</w:t>
            </w:r>
          </w:p>
        </w:tc>
        <w:tc>
          <w:tcPr>
            <w:tcW w:w="695" w:type="pct"/>
            <w:shd w:val="clear" w:color="auto" w:fill="FFFF00"/>
            <w:vAlign w:val="center"/>
          </w:tcPr>
          <w:p w:rsidR="00443DDB" w:rsidRPr="00E119B1" w:rsidP="000A6B0F" w14:paraId="6F46FF6D" w14:textId="77777777">
            <w:pPr>
              <w:spacing w:line="240" w:lineRule="auto"/>
              <w:jc w:val="center"/>
              <w:rPr>
                <w:color w:val="000000"/>
                <w:sz w:val="20"/>
                <w:szCs w:val="20"/>
                <w:lang w:eastAsia="cs-CZ"/>
              </w:rPr>
            </w:pPr>
            <w:r w:rsidRPr="00E119B1">
              <w:rPr>
                <w:color w:val="000000"/>
                <w:sz w:val="20"/>
                <w:szCs w:val="20"/>
                <w:lang w:eastAsia="cs-CZ"/>
              </w:rPr>
              <w:t>55</w:t>
            </w:r>
          </w:p>
        </w:tc>
      </w:tr>
      <w:tr w14:paraId="0F4B0C46"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56E33FB4" w14:textId="77777777">
            <w:pPr>
              <w:jc w:val="center"/>
              <w:rPr>
                <w:rFonts w:eastAsia="Calibri"/>
                <w:sz w:val="20"/>
                <w:szCs w:val="20"/>
                <w:lang w:eastAsia="cs-CZ"/>
              </w:rPr>
            </w:pPr>
            <w:r w:rsidRPr="00E119B1">
              <w:rPr>
                <w:rFonts w:eastAsia="Calibri"/>
                <w:sz w:val="20"/>
                <w:szCs w:val="20"/>
                <w:lang w:eastAsia="cs-CZ"/>
              </w:rPr>
              <w:t>8.</w:t>
            </w:r>
          </w:p>
        </w:tc>
        <w:tc>
          <w:tcPr>
            <w:tcW w:w="691" w:type="pct"/>
            <w:shd w:val="clear" w:color="auto" w:fill="auto"/>
            <w:noWrap/>
            <w:vAlign w:val="center"/>
          </w:tcPr>
          <w:p w:rsidR="00443DDB" w:rsidRPr="00E119B1" w:rsidP="000A6B0F" w14:paraId="670FCFA1" w14:textId="77777777">
            <w:pPr>
              <w:spacing w:line="240" w:lineRule="auto"/>
              <w:jc w:val="center"/>
              <w:rPr>
                <w:color w:val="000000"/>
                <w:sz w:val="20"/>
                <w:szCs w:val="20"/>
                <w:lang w:eastAsia="cs-CZ"/>
              </w:rPr>
            </w:pPr>
            <w:r w:rsidRPr="00E119B1">
              <w:rPr>
                <w:color w:val="000000"/>
                <w:sz w:val="20"/>
                <w:szCs w:val="20"/>
                <w:lang w:eastAsia="cs-CZ"/>
              </w:rPr>
              <w:t>129,06</w:t>
            </w:r>
          </w:p>
        </w:tc>
        <w:tc>
          <w:tcPr>
            <w:tcW w:w="695" w:type="pct"/>
            <w:shd w:val="clear" w:color="auto" w:fill="auto"/>
            <w:noWrap/>
            <w:vAlign w:val="center"/>
          </w:tcPr>
          <w:p w:rsidR="00443DDB" w:rsidRPr="00E119B1" w:rsidP="000A6B0F" w14:paraId="649D3B43" w14:textId="77777777">
            <w:pPr>
              <w:spacing w:line="240" w:lineRule="auto"/>
              <w:jc w:val="center"/>
              <w:rPr>
                <w:color w:val="000000"/>
                <w:sz w:val="20"/>
                <w:szCs w:val="20"/>
                <w:lang w:eastAsia="cs-CZ"/>
              </w:rPr>
            </w:pPr>
            <w:r w:rsidRPr="00E119B1">
              <w:rPr>
                <w:color w:val="000000"/>
                <w:sz w:val="20"/>
                <w:szCs w:val="20"/>
                <w:lang w:eastAsia="cs-CZ"/>
              </w:rPr>
              <w:t>112,33</w:t>
            </w:r>
          </w:p>
        </w:tc>
        <w:tc>
          <w:tcPr>
            <w:tcW w:w="563" w:type="pct"/>
            <w:shd w:val="clear" w:color="auto" w:fill="auto"/>
            <w:noWrap/>
            <w:vAlign w:val="center"/>
          </w:tcPr>
          <w:p w:rsidR="00443DDB" w:rsidRPr="00E119B1" w:rsidP="000A6B0F" w14:paraId="7EF76921" w14:textId="77777777">
            <w:pPr>
              <w:spacing w:line="240" w:lineRule="auto"/>
              <w:jc w:val="center"/>
              <w:rPr>
                <w:color w:val="000000"/>
                <w:sz w:val="20"/>
                <w:szCs w:val="20"/>
                <w:lang w:eastAsia="cs-CZ"/>
              </w:rPr>
            </w:pPr>
            <w:r w:rsidRPr="00E119B1">
              <w:rPr>
                <w:color w:val="000000"/>
                <w:sz w:val="20"/>
                <w:szCs w:val="20"/>
                <w:lang w:eastAsia="cs-CZ"/>
              </w:rPr>
              <w:t>87,04</w:t>
            </w:r>
          </w:p>
        </w:tc>
        <w:tc>
          <w:tcPr>
            <w:tcW w:w="660" w:type="pct"/>
            <w:shd w:val="clear" w:color="auto" w:fill="FFFF00"/>
            <w:vAlign w:val="center"/>
          </w:tcPr>
          <w:p w:rsidR="00443DDB" w:rsidRPr="00E119B1" w:rsidP="000A6B0F" w14:paraId="7489177D" w14:textId="77777777">
            <w:pPr>
              <w:spacing w:line="240" w:lineRule="auto"/>
              <w:jc w:val="center"/>
              <w:rPr>
                <w:color w:val="000000"/>
                <w:sz w:val="20"/>
                <w:szCs w:val="20"/>
                <w:lang w:eastAsia="cs-CZ"/>
              </w:rPr>
            </w:pPr>
            <w:r w:rsidRPr="00E119B1">
              <w:rPr>
                <w:color w:val="000000"/>
                <w:sz w:val="20"/>
                <w:szCs w:val="20"/>
                <w:lang w:eastAsia="cs-CZ"/>
              </w:rPr>
              <w:t>75,00</w:t>
            </w:r>
          </w:p>
        </w:tc>
        <w:tc>
          <w:tcPr>
            <w:tcW w:w="681" w:type="pct"/>
            <w:shd w:val="clear" w:color="auto" w:fill="auto"/>
            <w:noWrap/>
            <w:vAlign w:val="center"/>
          </w:tcPr>
          <w:p w:rsidR="00443DDB" w:rsidRPr="00E119B1" w:rsidP="000A6B0F" w14:paraId="4A570408" w14:textId="77777777">
            <w:pPr>
              <w:spacing w:line="240" w:lineRule="auto"/>
              <w:jc w:val="center"/>
              <w:rPr>
                <w:color w:val="000000"/>
                <w:sz w:val="20"/>
                <w:szCs w:val="20"/>
                <w:lang w:eastAsia="cs-CZ"/>
              </w:rPr>
            </w:pPr>
            <w:r w:rsidRPr="00E119B1">
              <w:rPr>
                <w:color w:val="000000"/>
                <w:sz w:val="20"/>
                <w:szCs w:val="20"/>
                <w:lang w:eastAsia="cs-CZ"/>
              </w:rPr>
              <w:t>104,94</w:t>
            </w:r>
          </w:p>
        </w:tc>
        <w:tc>
          <w:tcPr>
            <w:tcW w:w="720" w:type="pct"/>
            <w:shd w:val="clear" w:color="auto" w:fill="auto"/>
            <w:noWrap/>
            <w:vAlign w:val="center"/>
          </w:tcPr>
          <w:p w:rsidR="00443DDB" w:rsidRPr="00E119B1" w:rsidP="000A6B0F" w14:paraId="074276DC" w14:textId="77777777">
            <w:pPr>
              <w:spacing w:line="240" w:lineRule="auto"/>
              <w:jc w:val="center"/>
              <w:rPr>
                <w:color w:val="000000"/>
                <w:sz w:val="20"/>
                <w:szCs w:val="20"/>
                <w:lang w:eastAsia="cs-CZ"/>
              </w:rPr>
            </w:pPr>
            <w:r w:rsidRPr="00E119B1">
              <w:rPr>
                <w:color w:val="000000"/>
                <w:sz w:val="20"/>
                <w:szCs w:val="20"/>
                <w:lang w:eastAsia="cs-CZ"/>
              </w:rPr>
              <w:t>79,34</w:t>
            </w:r>
          </w:p>
        </w:tc>
        <w:tc>
          <w:tcPr>
            <w:tcW w:w="695" w:type="pct"/>
            <w:shd w:val="clear" w:color="auto" w:fill="FFFF00"/>
            <w:vAlign w:val="center"/>
          </w:tcPr>
          <w:p w:rsidR="00443DDB" w:rsidRPr="00E119B1" w:rsidP="000A6B0F" w14:paraId="1BD68222" w14:textId="77777777">
            <w:pPr>
              <w:spacing w:line="240" w:lineRule="auto"/>
              <w:jc w:val="center"/>
              <w:rPr>
                <w:color w:val="000000"/>
                <w:sz w:val="20"/>
                <w:szCs w:val="20"/>
                <w:lang w:eastAsia="cs-CZ"/>
              </w:rPr>
            </w:pPr>
            <w:r w:rsidRPr="00E119B1">
              <w:rPr>
                <w:color w:val="000000"/>
                <w:sz w:val="20"/>
                <w:szCs w:val="20"/>
                <w:lang w:eastAsia="cs-CZ"/>
              </w:rPr>
              <w:t>55</w:t>
            </w:r>
          </w:p>
        </w:tc>
      </w:tr>
      <w:tr w14:paraId="102E7DD2"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4D229C91" w14:textId="77777777">
            <w:pPr>
              <w:jc w:val="center"/>
              <w:rPr>
                <w:rFonts w:eastAsia="Calibri"/>
                <w:sz w:val="20"/>
                <w:szCs w:val="20"/>
                <w:lang w:eastAsia="cs-CZ"/>
              </w:rPr>
            </w:pPr>
            <w:r w:rsidRPr="00E119B1">
              <w:rPr>
                <w:rFonts w:eastAsia="Calibri"/>
                <w:sz w:val="20"/>
                <w:szCs w:val="20"/>
                <w:lang w:eastAsia="cs-CZ"/>
              </w:rPr>
              <w:t>9.</w:t>
            </w:r>
          </w:p>
        </w:tc>
        <w:tc>
          <w:tcPr>
            <w:tcW w:w="691" w:type="pct"/>
            <w:shd w:val="clear" w:color="auto" w:fill="auto"/>
            <w:noWrap/>
            <w:vAlign w:val="center"/>
          </w:tcPr>
          <w:p w:rsidR="00443DDB" w:rsidRPr="00E119B1" w:rsidP="000A6B0F" w14:paraId="43DD36ED" w14:textId="77777777">
            <w:pPr>
              <w:spacing w:line="240" w:lineRule="auto"/>
              <w:jc w:val="center"/>
              <w:rPr>
                <w:color w:val="000000"/>
                <w:sz w:val="20"/>
                <w:szCs w:val="20"/>
                <w:lang w:eastAsia="cs-CZ"/>
              </w:rPr>
            </w:pPr>
            <w:r w:rsidRPr="00E119B1">
              <w:rPr>
                <w:color w:val="000000"/>
                <w:sz w:val="20"/>
                <w:szCs w:val="20"/>
                <w:lang w:eastAsia="cs-CZ"/>
              </w:rPr>
              <w:t>279,55</w:t>
            </w:r>
          </w:p>
        </w:tc>
        <w:tc>
          <w:tcPr>
            <w:tcW w:w="695" w:type="pct"/>
            <w:shd w:val="clear" w:color="auto" w:fill="auto"/>
            <w:noWrap/>
            <w:vAlign w:val="center"/>
          </w:tcPr>
          <w:p w:rsidR="00443DDB" w:rsidRPr="00E119B1" w:rsidP="000A6B0F" w14:paraId="1890EA2E" w14:textId="77777777">
            <w:pPr>
              <w:spacing w:line="240" w:lineRule="auto"/>
              <w:jc w:val="center"/>
              <w:rPr>
                <w:color w:val="000000"/>
                <w:sz w:val="20"/>
                <w:szCs w:val="20"/>
                <w:lang w:eastAsia="cs-CZ"/>
              </w:rPr>
            </w:pPr>
            <w:r w:rsidRPr="00E119B1">
              <w:rPr>
                <w:color w:val="000000"/>
                <w:sz w:val="20"/>
                <w:szCs w:val="20"/>
                <w:lang w:eastAsia="cs-CZ"/>
              </w:rPr>
              <w:t>250,77</w:t>
            </w:r>
          </w:p>
        </w:tc>
        <w:tc>
          <w:tcPr>
            <w:tcW w:w="563" w:type="pct"/>
            <w:shd w:val="clear" w:color="auto" w:fill="auto"/>
            <w:noWrap/>
            <w:vAlign w:val="center"/>
          </w:tcPr>
          <w:p w:rsidR="00443DDB" w:rsidRPr="00E119B1" w:rsidP="000A6B0F" w14:paraId="0A74B683" w14:textId="77777777">
            <w:pPr>
              <w:spacing w:line="240" w:lineRule="auto"/>
              <w:jc w:val="center"/>
              <w:rPr>
                <w:color w:val="000000"/>
                <w:sz w:val="20"/>
                <w:szCs w:val="20"/>
                <w:lang w:eastAsia="cs-CZ"/>
              </w:rPr>
            </w:pPr>
            <w:r w:rsidRPr="00E119B1">
              <w:rPr>
                <w:color w:val="000000"/>
                <w:sz w:val="20"/>
                <w:szCs w:val="20"/>
                <w:lang w:eastAsia="cs-CZ"/>
              </w:rPr>
              <w:t>89,71</w:t>
            </w:r>
          </w:p>
        </w:tc>
        <w:tc>
          <w:tcPr>
            <w:tcW w:w="660" w:type="pct"/>
            <w:shd w:val="clear" w:color="auto" w:fill="FFFF00"/>
            <w:vAlign w:val="center"/>
          </w:tcPr>
          <w:p w:rsidR="00443DDB" w:rsidRPr="00E119B1" w:rsidP="000A6B0F" w14:paraId="3A8A843A" w14:textId="77777777">
            <w:pPr>
              <w:spacing w:line="240" w:lineRule="auto"/>
              <w:jc w:val="center"/>
              <w:rPr>
                <w:color w:val="000000"/>
                <w:sz w:val="20"/>
                <w:szCs w:val="20"/>
                <w:lang w:eastAsia="cs-CZ"/>
              </w:rPr>
            </w:pPr>
            <w:r w:rsidRPr="00E119B1">
              <w:rPr>
                <w:color w:val="000000"/>
                <w:sz w:val="20"/>
                <w:szCs w:val="20"/>
                <w:lang w:eastAsia="cs-CZ"/>
              </w:rPr>
              <w:t>75,00</w:t>
            </w:r>
          </w:p>
        </w:tc>
        <w:tc>
          <w:tcPr>
            <w:tcW w:w="681" w:type="pct"/>
            <w:shd w:val="clear" w:color="auto" w:fill="auto"/>
            <w:noWrap/>
            <w:vAlign w:val="center"/>
          </w:tcPr>
          <w:p w:rsidR="00443DDB" w:rsidRPr="00E119B1" w:rsidP="000A6B0F" w14:paraId="6EFF673B" w14:textId="77777777">
            <w:pPr>
              <w:spacing w:line="240" w:lineRule="auto"/>
              <w:jc w:val="center"/>
              <w:rPr>
                <w:color w:val="000000"/>
                <w:sz w:val="20"/>
                <w:szCs w:val="20"/>
              </w:rPr>
            </w:pPr>
            <w:r w:rsidRPr="00E119B1">
              <w:rPr>
                <w:color w:val="000000"/>
                <w:sz w:val="20"/>
                <w:szCs w:val="20"/>
                <w:lang w:eastAsia="cs-CZ"/>
              </w:rPr>
              <w:t>236,70</w:t>
            </w:r>
          </w:p>
        </w:tc>
        <w:tc>
          <w:tcPr>
            <w:tcW w:w="720" w:type="pct"/>
            <w:shd w:val="clear" w:color="auto" w:fill="auto"/>
            <w:noWrap/>
            <w:vAlign w:val="center"/>
          </w:tcPr>
          <w:p w:rsidR="00443DDB" w:rsidRPr="00E119B1" w:rsidP="000A6B0F" w14:paraId="57282B2F" w14:textId="77777777">
            <w:pPr>
              <w:spacing w:line="240" w:lineRule="auto"/>
              <w:jc w:val="center"/>
              <w:rPr>
                <w:color w:val="000000"/>
                <w:sz w:val="20"/>
                <w:szCs w:val="20"/>
              </w:rPr>
            </w:pPr>
            <w:r w:rsidRPr="00E119B1">
              <w:rPr>
                <w:color w:val="000000"/>
                <w:sz w:val="20"/>
                <w:szCs w:val="20"/>
                <w:lang w:eastAsia="cs-CZ"/>
              </w:rPr>
              <w:t>81,48</w:t>
            </w:r>
          </w:p>
        </w:tc>
        <w:tc>
          <w:tcPr>
            <w:tcW w:w="695" w:type="pct"/>
            <w:shd w:val="clear" w:color="auto" w:fill="FFFF00"/>
            <w:vAlign w:val="center"/>
          </w:tcPr>
          <w:p w:rsidR="00443DDB" w:rsidRPr="00E119B1" w:rsidP="000A6B0F" w14:paraId="3B0D8184" w14:textId="77777777">
            <w:pPr>
              <w:spacing w:line="240" w:lineRule="auto"/>
              <w:jc w:val="center"/>
              <w:rPr>
                <w:color w:val="000000"/>
                <w:sz w:val="20"/>
                <w:szCs w:val="20"/>
                <w:lang w:eastAsia="cs-CZ"/>
              </w:rPr>
            </w:pPr>
            <w:r w:rsidRPr="00E119B1">
              <w:rPr>
                <w:color w:val="000000"/>
                <w:sz w:val="20"/>
                <w:szCs w:val="20"/>
                <w:lang w:eastAsia="cs-CZ"/>
              </w:rPr>
              <w:t>55</w:t>
            </w:r>
          </w:p>
        </w:tc>
      </w:tr>
      <w:tr w14:paraId="1F36B3D2" w14:textId="77777777" w:rsidTr="00443DDB">
        <w:tblPrEx>
          <w:tblW w:w="4792" w:type="pct"/>
          <w:jc w:val="center"/>
          <w:tblCellMar>
            <w:left w:w="70" w:type="dxa"/>
            <w:right w:w="70" w:type="dxa"/>
          </w:tblCellMar>
          <w:tblLook w:val="04A0"/>
        </w:tblPrEx>
        <w:trPr>
          <w:trHeight w:val="303"/>
          <w:jc w:val="center"/>
        </w:trPr>
        <w:tc>
          <w:tcPr>
            <w:tcW w:w="295" w:type="pct"/>
            <w:shd w:val="clear" w:color="auto" w:fill="auto"/>
            <w:noWrap/>
            <w:vAlign w:val="center"/>
            <w:hideMark/>
          </w:tcPr>
          <w:p w:rsidR="00443DDB" w:rsidRPr="00E119B1" w:rsidP="000A6B0F" w14:paraId="629DA519" w14:textId="77777777">
            <w:pPr>
              <w:jc w:val="center"/>
              <w:rPr>
                <w:rFonts w:eastAsia="Calibri"/>
                <w:sz w:val="20"/>
                <w:szCs w:val="20"/>
                <w:lang w:eastAsia="cs-CZ"/>
              </w:rPr>
            </w:pPr>
            <w:r w:rsidRPr="00E119B1">
              <w:rPr>
                <w:rFonts w:eastAsia="Calibri"/>
                <w:sz w:val="20"/>
                <w:szCs w:val="20"/>
                <w:lang w:eastAsia="cs-CZ"/>
              </w:rPr>
              <w:t>10.</w:t>
            </w:r>
          </w:p>
        </w:tc>
        <w:tc>
          <w:tcPr>
            <w:tcW w:w="691" w:type="pct"/>
            <w:shd w:val="clear" w:color="auto" w:fill="auto"/>
            <w:noWrap/>
            <w:vAlign w:val="center"/>
          </w:tcPr>
          <w:p w:rsidR="00443DDB" w:rsidRPr="00E119B1" w:rsidP="000A6B0F" w14:paraId="54D398AE" w14:textId="77777777">
            <w:pPr>
              <w:spacing w:line="240" w:lineRule="auto"/>
              <w:jc w:val="center"/>
              <w:rPr>
                <w:color w:val="000000"/>
                <w:sz w:val="20"/>
                <w:szCs w:val="20"/>
                <w:lang w:eastAsia="cs-CZ"/>
              </w:rPr>
            </w:pPr>
            <w:r w:rsidRPr="00E119B1">
              <w:rPr>
                <w:color w:val="000000"/>
                <w:sz w:val="20"/>
                <w:szCs w:val="20"/>
                <w:lang w:eastAsia="cs-CZ"/>
              </w:rPr>
              <w:t>247,38</w:t>
            </w:r>
          </w:p>
        </w:tc>
        <w:tc>
          <w:tcPr>
            <w:tcW w:w="695" w:type="pct"/>
            <w:shd w:val="clear" w:color="auto" w:fill="auto"/>
            <w:noWrap/>
            <w:vAlign w:val="center"/>
          </w:tcPr>
          <w:p w:rsidR="00443DDB" w:rsidRPr="00E119B1" w:rsidP="000A6B0F" w14:paraId="54953AEE" w14:textId="77777777">
            <w:pPr>
              <w:spacing w:line="240" w:lineRule="auto"/>
              <w:jc w:val="center"/>
              <w:rPr>
                <w:color w:val="000000"/>
                <w:sz w:val="20"/>
                <w:szCs w:val="20"/>
                <w:lang w:eastAsia="cs-CZ"/>
              </w:rPr>
            </w:pPr>
            <w:r w:rsidRPr="00E119B1">
              <w:rPr>
                <w:color w:val="000000"/>
                <w:sz w:val="20"/>
                <w:szCs w:val="20"/>
                <w:lang w:eastAsia="cs-CZ"/>
              </w:rPr>
              <w:t>219,66</w:t>
            </w:r>
          </w:p>
        </w:tc>
        <w:tc>
          <w:tcPr>
            <w:tcW w:w="563" w:type="pct"/>
            <w:shd w:val="clear" w:color="auto" w:fill="auto"/>
            <w:noWrap/>
            <w:vAlign w:val="center"/>
          </w:tcPr>
          <w:p w:rsidR="00443DDB" w:rsidRPr="00E119B1" w:rsidP="000A6B0F" w14:paraId="7C028FA1" w14:textId="77777777">
            <w:pPr>
              <w:spacing w:line="240" w:lineRule="auto"/>
              <w:jc w:val="center"/>
              <w:rPr>
                <w:color w:val="000000"/>
                <w:sz w:val="20"/>
                <w:szCs w:val="20"/>
              </w:rPr>
            </w:pPr>
            <w:r w:rsidRPr="00E119B1">
              <w:rPr>
                <w:color w:val="000000"/>
                <w:sz w:val="20"/>
                <w:szCs w:val="20"/>
                <w:lang w:eastAsia="cs-CZ"/>
              </w:rPr>
              <w:t>88,79</w:t>
            </w:r>
          </w:p>
        </w:tc>
        <w:tc>
          <w:tcPr>
            <w:tcW w:w="660" w:type="pct"/>
            <w:shd w:val="clear" w:color="auto" w:fill="FFFF00"/>
            <w:vAlign w:val="center"/>
          </w:tcPr>
          <w:p w:rsidR="00443DDB" w:rsidRPr="00E119B1" w:rsidP="000A6B0F" w14:paraId="094D0528" w14:textId="77777777">
            <w:pPr>
              <w:spacing w:line="240" w:lineRule="auto"/>
              <w:jc w:val="center"/>
              <w:rPr>
                <w:rFonts w:eastAsia="Calibri"/>
                <w:sz w:val="20"/>
                <w:szCs w:val="20"/>
                <w:lang w:eastAsia="cs-CZ"/>
              </w:rPr>
            </w:pPr>
            <w:r w:rsidRPr="00E119B1">
              <w:rPr>
                <w:color w:val="000000"/>
                <w:sz w:val="20"/>
                <w:szCs w:val="20"/>
                <w:lang w:eastAsia="cs-CZ"/>
              </w:rPr>
              <w:t>85,00</w:t>
            </w:r>
          </w:p>
        </w:tc>
        <w:tc>
          <w:tcPr>
            <w:tcW w:w="681" w:type="pct"/>
            <w:shd w:val="clear" w:color="auto" w:fill="auto"/>
            <w:noWrap/>
            <w:vAlign w:val="center"/>
          </w:tcPr>
          <w:p w:rsidR="00443DDB" w:rsidRPr="00E119B1" w:rsidP="000A6B0F" w14:paraId="6ACB9822" w14:textId="77777777">
            <w:pPr>
              <w:spacing w:line="240" w:lineRule="auto"/>
              <w:jc w:val="center"/>
              <w:rPr>
                <w:color w:val="000000"/>
                <w:sz w:val="20"/>
                <w:szCs w:val="20"/>
              </w:rPr>
            </w:pPr>
            <w:r w:rsidRPr="00E119B1">
              <w:rPr>
                <w:color w:val="000000"/>
                <w:sz w:val="20"/>
                <w:szCs w:val="20"/>
                <w:lang w:eastAsia="cs-CZ"/>
              </w:rPr>
              <w:t>217,81</w:t>
            </w:r>
          </w:p>
        </w:tc>
        <w:tc>
          <w:tcPr>
            <w:tcW w:w="720" w:type="pct"/>
            <w:shd w:val="clear" w:color="auto" w:fill="auto"/>
            <w:noWrap/>
            <w:vAlign w:val="center"/>
          </w:tcPr>
          <w:p w:rsidR="00443DDB" w:rsidRPr="00E119B1" w:rsidP="000A6B0F" w14:paraId="1F9850EE" w14:textId="77777777">
            <w:pPr>
              <w:spacing w:line="240" w:lineRule="auto"/>
              <w:jc w:val="center"/>
              <w:rPr>
                <w:color w:val="000000"/>
                <w:sz w:val="20"/>
                <w:szCs w:val="20"/>
              </w:rPr>
            </w:pPr>
            <w:r w:rsidRPr="00E119B1">
              <w:rPr>
                <w:color w:val="000000"/>
                <w:sz w:val="20"/>
                <w:szCs w:val="20"/>
                <w:lang w:eastAsia="cs-CZ"/>
              </w:rPr>
              <w:t>86,30</w:t>
            </w:r>
          </w:p>
        </w:tc>
        <w:tc>
          <w:tcPr>
            <w:tcW w:w="695" w:type="pct"/>
            <w:shd w:val="clear" w:color="auto" w:fill="FFFF00"/>
            <w:vAlign w:val="center"/>
          </w:tcPr>
          <w:p w:rsidR="00443DDB" w:rsidRPr="00E119B1" w:rsidP="000A6B0F" w14:paraId="3165889D" w14:textId="77777777">
            <w:pPr>
              <w:spacing w:line="240" w:lineRule="auto"/>
              <w:jc w:val="center"/>
              <w:rPr>
                <w:color w:val="000000"/>
                <w:sz w:val="20"/>
                <w:szCs w:val="20"/>
                <w:lang w:eastAsia="cs-CZ"/>
              </w:rPr>
            </w:pPr>
            <w:r w:rsidRPr="00E119B1">
              <w:rPr>
                <w:color w:val="000000"/>
                <w:sz w:val="20"/>
                <w:szCs w:val="20"/>
                <w:lang w:eastAsia="cs-CZ"/>
              </w:rPr>
              <w:t>80</w:t>
            </w:r>
          </w:p>
        </w:tc>
      </w:tr>
    </w:tbl>
    <w:p w:rsidR="00443DDB" w:rsidRPr="00E97FD5" w:rsidP="00221615" w14:paraId="109D4F64" w14:textId="77777777">
      <w:pPr>
        <w:ind w:left="5664" w:firstLine="708"/>
        <w:jc w:val="right"/>
        <w:rPr>
          <w:sz w:val="20"/>
          <w:szCs w:val="20"/>
        </w:rPr>
      </w:pPr>
      <w:r w:rsidRPr="00E97FD5">
        <w:rPr>
          <w:sz w:val="20"/>
          <w:szCs w:val="20"/>
        </w:rPr>
        <w:t xml:space="preserve">                  Zdroj: ISOH_EL</w:t>
      </w:r>
    </w:p>
    <w:p w:rsidR="00443DDB" w:rsidRPr="00E97FD5" w:rsidP="00443DDB" w14:paraId="7DFB6978" w14:textId="77777777">
      <w:pPr>
        <w:rPr>
          <w:i/>
          <w:sz w:val="20"/>
          <w:szCs w:val="20"/>
          <w:lang w:eastAsia="cs-CZ"/>
        </w:rPr>
      </w:pPr>
      <w:r w:rsidRPr="00E97FD5">
        <w:rPr>
          <w:i/>
          <w:sz w:val="20"/>
          <w:szCs w:val="20"/>
          <w:lang w:eastAsia="cs-CZ"/>
        </w:rPr>
        <w:t>Poznámky k výpočtu:</w:t>
      </w:r>
    </w:p>
    <w:p w:rsidR="00443DDB" w:rsidRPr="00E97FD5" w:rsidP="00443DDB" w14:paraId="310A1F00" w14:textId="77777777">
      <w:pPr>
        <w:rPr>
          <w:i/>
          <w:sz w:val="20"/>
          <w:szCs w:val="20"/>
          <w:lang w:eastAsia="cs-CZ"/>
        </w:rPr>
      </w:pPr>
      <w:r w:rsidRPr="00E97FD5">
        <w:rPr>
          <w:i/>
          <w:sz w:val="20"/>
          <w:szCs w:val="20"/>
          <w:lang w:eastAsia="cs-CZ"/>
        </w:rPr>
        <w:t>- Ve skupině č. 5 jsou uvedena elektrozařízení spadající do této skupiny vyjma zářivek a výbojek, tyto jsou obsaženy ve skupině 5a. Součet těchto skupin není v tabulce uveden.</w:t>
      </w:r>
    </w:p>
    <w:p w:rsidR="00443DDB" w:rsidP="00936929" w14:paraId="6C5406F5" w14:textId="77777777">
      <w:pPr>
        <w:widowControl w:val="0"/>
        <w:rPr>
          <w:rFonts w:cs="Arial"/>
          <w:i/>
          <w:iCs/>
          <w:noProof w:val="0"/>
          <w:color w:val="000000"/>
          <w:sz w:val="20"/>
          <w:szCs w:val="20"/>
          <w:lang w:eastAsia="cs-CZ" w:bidi="ar-SA"/>
        </w:rPr>
      </w:pPr>
    </w:p>
    <w:p w:rsidR="00E93420" w14:paraId="6B7E2108" w14:textId="77777777">
      <w:pPr>
        <w:rPr>
          <w:rStyle w:val="Strong"/>
          <w:rFonts w:cs="Arial"/>
          <w:bCs w:val="0"/>
          <w:i/>
          <w:sz w:val="28"/>
          <w:szCs w:val="28"/>
        </w:rPr>
      </w:pPr>
      <w:bookmarkStart w:id="171" w:name="_Toc406598314"/>
      <w:r>
        <w:rPr>
          <w:rStyle w:val="Strong"/>
          <w:rFonts w:cs="Arial"/>
          <w:b w:val="0"/>
          <w:bCs w:val="0"/>
          <w:i/>
          <w:sz w:val="28"/>
          <w:szCs w:val="28"/>
        </w:rPr>
        <w:br w:type="page"/>
      </w:r>
    </w:p>
    <w:p w:rsidR="00ED5B2D" w:rsidRPr="00B73FDF" w:rsidP="00AF0E01" w14:paraId="7070EF27" w14:textId="4C336A34">
      <w:pPr>
        <w:pStyle w:val="Normln-tun"/>
        <w:rPr>
          <w:rFonts w:cs="Arial"/>
          <w:i/>
          <w:sz w:val="28"/>
          <w:szCs w:val="28"/>
        </w:rPr>
      </w:pPr>
      <w:r w:rsidRPr="00B73FDF">
        <w:rPr>
          <w:rStyle w:val="Strong"/>
          <w:rFonts w:cs="Arial"/>
          <w:b/>
          <w:bCs w:val="0"/>
          <w:i/>
          <w:sz w:val="28"/>
          <w:szCs w:val="28"/>
        </w:rPr>
        <w:t>Srovnání</w:t>
      </w:r>
      <w:r w:rsidRPr="00B73FDF">
        <w:rPr>
          <w:rFonts w:cs="Arial"/>
          <w:i/>
          <w:sz w:val="28"/>
          <w:szCs w:val="28"/>
        </w:rPr>
        <w:t xml:space="preserve"> s vybranými </w:t>
      </w:r>
      <w:r w:rsidR="00B73FDF">
        <w:rPr>
          <w:rFonts w:cs="Arial"/>
          <w:i/>
          <w:sz w:val="28"/>
          <w:szCs w:val="28"/>
        </w:rPr>
        <w:t xml:space="preserve">evropskými </w:t>
      </w:r>
      <w:r w:rsidRPr="00B73FDF">
        <w:rPr>
          <w:rFonts w:cs="Arial"/>
          <w:i/>
          <w:sz w:val="28"/>
          <w:szCs w:val="28"/>
        </w:rPr>
        <w:t>státy</w:t>
      </w:r>
      <w:bookmarkEnd w:id="171"/>
    </w:p>
    <w:p w:rsidR="00ED5B2D" w:rsidP="003F1017" w14:paraId="3793A8AC" w14:textId="77777777">
      <w:pPr>
        <w:rPr>
          <w:rFonts w:eastAsia="Calibri" w:cs="Arial"/>
          <w:noProof w:val="0"/>
          <w:szCs w:val="22"/>
          <w:lang w:bidi="ar-SA"/>
        </w:rPr>
      </w:pPr>
      <w:r w:rsidRPr="00ED38E9">
        <w:rPr>
          <w:rFonts w:eastAsia="Calibri" w:cs="Arial"/>
          <w:noProof w:val="0"/>
          <w:szCs w:val="22"/>
          <w:lang w:bidi="ar-SA"/>
        </w:rPr>
        <w:t>Jednotlivé evropské státy vykazují rozdílnou úspěšnost ve zpětném odběru OEEZ, jak ukazuje následující obrázek; mezi nejúspěšnější země patří Norsko, Švédsko</w:t>
      </w:r>
      <w:r w:rsidR="00222095">
        <w:rPr>
          <w:rFonts w:eastAsia="Calibri" w:cs="Arial"/>
          <w:noProof w:val="0"/>
          <w:szCs w:val="22"/>
          <w:lang w:bidi="ar-SA"/>
        </w:rPr>
        <w:t>,</w:t>
      </w:r>
      <w:r w:rsidRPr="00ED38E9">
        <w:rPr>
          <w:rFonts w:eastAsia="Calibri" w:cs="Arial"/>
          <w:noProof w:val="0"/>
          <w:szCs w:val="22"/>
          <w:lang w:bidi="ar-SA"/>
        </w:rPr>
        <w:t xml:space="preserve"> Dánsko</w:t>
      </w:r>
      <w:r w:rsidR="00222095">
        <w:rPr>
          <w:rFonts w:eastAsia="Calibri" w:cs="Arial"/>
          <w:noProof w:val="0"/>
          <w:szCs w:val="22"/>
          <w:lang w:bidi="ar-SA"/>
        </w:rPr>
        <w:t xml:space="preserve"> a Finsko</w:t>
      </w:r>
      <w:r w:rsidRPr="00ED38E9">
        <w:rPr>
          <w:rFonts w:eastAsia="Calibri" w:cs="Arial"/>
          <w:noProof w:val="0"/>
          <w:szCs w:val="22"/>
          <w:lang w:bidi="ar-SA"/>
        </w:rPr>
        <w:t xml:space="preserve"> na</w:t>
      </w:r>
      <w:r w:rsidR="00222095">
        <w:rPr>
          <w:rFonts w:eastAsia="Calibri" w:cs="Arial"/>
          <w:noProof w:val="0"/>
          <w:szCs w:val="22"/>
          <w:lang w:bidi="ar-SA"/>
        </w:rPr>
        <w:t> </w:t>
      </w:r>
      <w:r w:rsidRPr="00ED38E9">
        <w:rPr>
          <w:rFonts w:eastAsia="Calibri" w:cs="Arial"/>
          <w:noProof w:val="0"/>
          <w:szCs w:val="22"/>
          <w:lang w:bidi="ar-SA"/>
        </w:rPr>
        <w:t>druhé straně se nacházejí Rumunsko</w:t>
      </w:r>
      <w:r w:rsidR="00222095">
        <w:rPr>
          <w:rFonts w:eastAsia="Calibri" w:cs="Arial"/>
          <w:noProof w:val="0"/>
          <w:szCs w:val="22"/>
          <w:lang w:bidi="ar-SA"/>
        </w:rPr>
        <w:t xml:space="preserve"> a</w:t>
      </w:r>
      <w:r w:rsidRPr="00ED38E9">
        <w:rPr>
          <w:rFonts w:eastAsia="Calibri" w:cs="Arial"/>
          <w:noProof w:val="0"/>
          <w:szCs w:val="22"/>
          <w:lang w:bidi="ar-SA"/>
        </w:rPr>
        <w:t xml:space="preserve"> Lotyšsko.</w:t>
      </w:r>
    </w:p>
    <w:p w:rsidR="000F21EA" w:rsidRPr="00E97FD5" w:rsidP="00193C68" w14:paraId="33483946" w14:textId="61A6A63E">
      <w:pPr>
        <w:keepNext/>
        <w:rPr>
          <w:rFonts w:cs="Arial"/>
          <w:b/>
          <w:sz w:val="20"/>
          <w:szCs w:val="20"/>
          <w:lang w:eastAsia="cs-CZ" w:bidi="ar-SA"/>
        </w:rPr>
      </w:pPr>
      <w:r w:rsidRPr="00E97FD5">
        <w:rPr>
          <w:rFonts w:cs="Arial"/>
          <w:b/>
          <w:sz w:val="20"/>
          <w:szCs w:val="20"/>
          <w:lang w:eastAsia="cs-CZ" w:bidi="ar-SA"/>
        </w:rPr>
        <w:t xml:space="preserve">Obrázek </w:t>
      </w:r>
      <w:r w:rsidR="008231E9">
        <w:rPr>
          <w:rFonts w:cs="Arial"/>
          <w:b/>
          <w:sz w:val="20"/>
          <w:szCs w:val="20"/>
          <w:lang w:eastAsia="cs-CZ" w:bidi="ar-SA"/>
        </w:rPr>
        <w:t>1</w:t>
      </w:r>
      <w:r w:rsidRPr="00E97FD5">
        <w:rPr>
          <w:rFonts w:cs="Arial"/>
          <w:b/>
          <w:sz w:val="20"/>
          <w:szCs w:val="20"/>
          <w:lang w:eastAsia="cs-CZ" w:bidi="ar-SA"/>
        </w:rPr>
        <w:t xml:space="preserve">: Zpětný odběr OEEZ </w:t>
      </w:r>
      <w:r w:rsidRPr="00E97FD5" w:rsidR="00222095">
        <w:rPr>
          <w:rFonts w:cs="Arial"/>
          <w:b/>
          <w:sz w:val="20"/>
          <w:szCs w:val="20"/>
          <w:lang w:eastAsia="cs-CZ" w:bidi="ar-SA"/>
        </w:rPr>
        <w:t xml:space="preserve">v jednotlivých státech Evropy </w:t>
      </w:r>
      <w:r w:rsidRPr="00E97FD5">
        <w:rPr>
          <w:rFonts w:cs="Arial"/>
          <w:b/>
          <w:sz w:val="20"/>
          <w:szCs w:val="20"/>
          <w:lang w:eastAsia="cs-CZ" w:bidi="ar-SA"/>
        </w:rPr>
        <w:t>v roce 201</w:t>
      </w:r>
      <w:r w:rsidRPr="00E97FD5" w:rsidR="00222095">
        <w:rPr>
          <w:rFonts w:cs="Arial"/>
          <w:b/>
          <w:sz w:val="20"/>
          <w:szCs w:val="20"/>
          <w:lang w:eastAsia="cs-CZ" w:bidi="ar-SA"/>
        </w:rPr>
        <w:t>5 (kg/os)</w:t>
      </w:r>
    </w:p>
    <w:p w:rsidR="00222095" w:rsidP="00735D9F" w14:paraId="74C9EF0B" w14:textId="77777777">
      <w:pPr>
        <w:rPr>
          <w:rFonts w:cs="Arial"/>
          <w:lang w:eastAsia="cs-CZ" w:bidi="ar-SA"/>
        </w:rPr>
      </w:pPr>
      <w:r>
        <w:rPr>
          <w:rFonts w:cs="Arial"/>
          <w:lang w:eastAsia="cs-CZ" w:bidi="ar-SA"/>
        </w:rPr>
        <w:drawing>
          <wp:inline distT="0" distB="0" distL="0" distR="0">
            <wp:extent cx="5400675" cy="4800600"/>
            <wp:effectExtent l="0" t="0" r="9525" b="0"/>
            <wp:docPr id="1355" name="Obráze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52381" name="Picture 7"/>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0675" cy="4800600"/>
                    </a:xfrm>
                    <a:prstGeom prst="rect">
                      <a:avLst/>
                    </a:prstGeom>
                    <a:noFill/>
                    <a:ln>
                      <a:noFill/>
                    </a:ln>
                  </pic:spPr>
                </pic:pic>
              </a:graphicData>
            </a:graphic>
          </wp:inline>
        </w:drawing>
      </w:r>
    </w:p>
    <w:p w:rsidR="00222095" w:rsidRPr="00221615" w:rsidP="00C1498C" w14:paraId="01E4772E" w14:textId="77777777">
      <w:pPr>
        <w:jc w:val="right"/>
        <w:rPr>
          <w:rFonts w:cs="Arial"/>
          <w:sz w:val="20"/>
          <w:szCs w:val="20"/>
          <w:lang w:eastAsia="cs-CZ" w:bidi="ar-SA"/>
        </w:rPr>
      </w:pPr>
      <w:r w:rsidRPr="00221615">
        <w:rPr>
          <w:rFonts w:cs="Arial"/>
          <w:sz w:val="20"/>
          <w:szCs w:val="20"/>
          <w:lang w:eastAsia="cs-CZ" w:bidi="ar-SA"/>
        </w:rPr>
        <w:t>Zdroj: Eurostat, 2018</w:t>
      </w:r>
    </w:p>
    <w:p w:rsidR="00222095" w:rsidP="00735D9F" w14:paraId="34BCCEB1" w14:textId="77777777">
      <w:pPr>
        <w:rPr>
          <w:rFonts w:cs="Arial"/>
          <w:lang w:eastAsia="cs-CZ" w:bidi="ar-SA"/>
        </w:rPr>
      </w:pPr>
    </w:p>
    <w:p w:rsidR="00222095" w:rsidP="00735D9F" w14:paraId="4A5231DF" w14:textId="77777777">
      <w:pPr>
        <w:rPr>
          <w:rFonts w:cs="Arial"/>
          <w:lang w:eastAsia="cs-CZ" w:bidi="ar-SA"/>
        </w:rPr>
      </w:pPr>
    </w:p>
    <w:p w:rsidR="00222095" w:rsidP="00735D9F" w14:paraId="4E501320" w14:textId="77777777">
      <w:pPr>
        <w:rPr>
          <w:rFonts w:cs="Arial"/>
          <w:lang w:eastAsia="cs-CZ" w:bidi="ar-SA"/>
        </w:rPr>
      </w:pPr>
    </w:p>
    <w:p w:rsidR="00222095" w:rsidP="00735D9F" w14:paraId="70FA87AA" w14:textId="77777777">
      <w:pPr>
        <w:rPr>
          <w:rFonts w:cs="Arial"/>
          <w:lang w:eastAsia="cs-CZ" w:bidi="ar-SA"/>
        </w:rPr>
      </w:pPr>
    </w:p>
    <w:p w:rsidR="00222095" w:rsidP="00735D9F" w14:paraId="56338B2E" w14:textId="77777777">
      <w:pPr>
        <w:rPr>
          <w:rFonts w:cs="Arial"/>
          <w:lang w:eastAsia="cs-CZ" w:bidi="ar-SA"/>
        </w:rPr>
      </w:pPr>
    </w:p>
    <w:p w:rsidR="00222095" w:rsidP="00735D9F" w14:paraId="126F3875" w14:textId="77777777">
      <w:pPr>
        <w:rPr>
          <w:rFonts w:cs="Arial"/>
          <w:lang w:eastAsia="cs-CZ" w:bidi="ar-SA"/>
        </w:rPr>
      </w:pPr>
    </w:p>
    <w:p w:rsidR="00222095" w:rsidP="00735D9F" w14:paraId="4FD5A4B0" w14:textId="77777777">
      <w:pPr>
        <w:rPr>
          <w:rFonts w:cs="Arial"/>
          <w:lang w:eastAsia="cs-CZ" w:bidi="ar-SA"/>
        </w:rPr>
      </w:pPr>
    </w:p>
    <w:p w:rsidR="00222095" w:rsidRPr="00E97FD5" w:rsidP="001C6618" w14:paraId="521BD904" w14:textId="4C6AEE5C">
      <w:pPr>
        <w:keepNext/>
        <w:rPr>
          <w:rFonts w:eastAsia="Calibri" w:cs="Arial"/>
          <w:b/>
          <w:noProof w:val="0"/>
          <w:sz w:val="20"/>
          <w:szCs w:val="20"/>
          <w:lang w:bidi="ar-SA"/>
        </w:rPr>
      </w:pPr>
      <w:r w:rsidRPr="00E97FD5">
        <w:rPr>
          <w:rFonts w:cs="Arial"/>
          <w:b/>
          <w:sz w:val="20"/>
          <w:szCs w:val="20"/>
          <w:lang w:eastAsia="cs-CZ" w:bidi="ar-SA"/>
        </w:rPr>
        <w:t xml:space="preserve">Obrázek </w:t>
      </w:r>
      <w:r w:rsidR="008231E9">
        <w:rPr>
          <w:rFonts w:cs="Arial"/>
          <w:b/>
          <w:sz w:val="20"/>
          <w:szCs w:val="20"/>
          <w:lang w:eastAsia="cs-CZ" w:bidi="ar-SA"/>
        </w:rPr>
        <w:t>2</w:t>
      </w:r>
      <w:r w:rsidRPr="00E97FD5">
        <w:rPr>
          <w:rFonts w:cs="Arial"/>
          <w:b/>
          <w:sz w:val="20"/>
          <w:szCs w:val="20"/>
          <w:lang w:eastAsia="cs-CZ" w:bidi="ar-SA"/>
        </w:rPr>
        <w:t>: Zpětný odběr OEEZ</w:t>
      </w:r>
      <w:r w:rsidRPr="00E97FD5" w:rsidR="003F1017">
        <w:rPr>
          <w:rFonts w:cs="Arial"/>
          <w:b/>
          <w:sz w:val="20"/>
          <w:szCs w:val="20"/>
          <w:lang w:eastAsia="cs-CZ" w:bidi="ar-SA"/>
        </w:rPr>
        <w:t xml:space="preserve"> v jednotlivých státech Evropy</w:t>
      </w:r>
      <w:r w:rsidRPr="00E97FD5">
        <w:rPr>
          <w:rFonts w:cs="Arial"/>
          <w:b/>
          <w:sz w:val="20"/>
          <w:szCs w:val="20"/>
          <w:lang w:eastAsia="cs-CZ" w:bidi="ar-SA"/>
        </w:rPr>
        <w:t xml:space="preserve"> v roce 2016 (%)</w:t>
      </w:r>
    </w:p>
    <w:p w:rsidR="000F21EA" w:rsidP="00735D9F" w14:paraId="11614992" w14:textId="77777777">
      <w:pPr>
        <w:rPr>
          <w:rFonts w:eastAsia="Calibri" w:cs="Arial"/>
          <w:noProof w:val="0"/>
          <w:szCs w:val="22"/>
          <w:lang w:bidi="ar-SA"/>
        </w:rPr>
      </w:pPr>
      <w:r>
        <w:rPr>
          <w:rFonts w:eastAsia="Calibri" w:cs="Arial"/>
          <w:szCs w:val="22"/>
          <w:lang w:eastAsia="cs-CZ" w:bidi="ar-SA"/>
        </w:rPr>
        <w:drawing>
          <wp:inline distT="0" distB="0" distL="0" distR="0">
            <wp:extent cx="5543550" cy="4810125"/>
            <wp:effectExtent l="0" t="0" r="0" b="9525"/>
            <wp:docPr id="1353" name="Obráze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4586" name="Picture 6"/>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43550" cy="4810125"/>
                    </a:xfrm>
                    <a:prstGeom prst="rect">
                      <a:avLst/>
                    </a:prstGeom>
                    <a:noFill/>
                    <a:ln>
                      <a:noFill/>
                    </a:ln>
                  </pic:spPr>
                </pic:pic>
              </a:graphicData>
            </a:graphic>
          </wp:inline>
        </w:drawing>
      </w:r>
    </w:p>
    <w:p w:rsidR="000F21EA" w:rsidRPr="00221615" w:rsidP="00C1498C" w14:paraId="5C5014B8" w14:textId="77777777">
      <w:pPr>
        <w:jc w:val="right"/>
        <w:rPr>
          <w:rFonts w:eastAsia="Calibri" w:cs="Arial"/>
          <w:i/>
          <w:noProof w:val="0"/>
          <w:sz w:val="20"/>
          <w:szCs w:val="20"/>
          <w:lang w:bidi="ar-SA"/>
        </w:rPr>
      </w:pPr>
      <w:r w:rsidRPr="00221615">
        <w:rPr>
          <w:rFonts w:eastAsia="Calibri" w:cs="Arial"/>
          <w:i/>
          <w:noProof w:val="0"/>
          <w:sz w:val="20"/>
          <w:szCs w:val="20"/>
          <w:lang w:bidi="ar-SA"/>
        </w:rPr>
        <w:t>Zdroj: Eurostat</w:t>
      </w:r>
      <w:r w:rsidRPr="00221615" w:rsidR="00222095">
        <w:rPr>
          <w:rFonts w:eastAsia="Calibri" w:cs="Arial"/>
          <w:i/>
          <w:noProof w:val="0"/>
          <w:sz w:val="20"/>
          <w:szCs w:val="20"/>
          <w:lang w:bidi="ar-SA"/>
        </w:rPr>
        <w:t>, 2018</w:t>
      </w:r>
    </w:p>
    <w:p w:rsidR="0032528B" w:rsidP="00735D9F" w14:paraId="0737B6E8" w14:textId="77777777">
      <w:pPr>
        <w:rPr>
          <w:rFonts w:eastAsia="Calibri" w:cs="Arial"/>
          <w:noProof w:val="0"/>
          <w:szCs w:val="22"/>
          <w:lang w:bidi="ar-SA"/>
        </w:rPr>
      </w:pPr>
    </w:p>
    <w:p w:rsidR="00ED5B2D" w:rsidRPr="00ED38E9" w:rsidP="00735D9F" w14:paraId="7F709082" w14:textId="77777777">
      <w:pPr>
        <w:rPr>
          <w:rFonts w:eastAsia="Calibri" w:cs="Arial"/>
          <w:noProof w:val="0"/>
          <w:szCs w:val="22"/>
          <w:lang w:bidi="ar-SA"/>
        </w:rPr>
      </w:pPr>
      <w:r w:rsidRPr="00ED38E9">
        <w:rPr>
          <w:rFonts w:eastAsia="Calibri" w:cs="Arial"/>
          <w:noProof w:val="0"/>
          <w:szCs w:val="22"/>
          <w:lang w:bidi="ar-SA"/>
        </w:rPr>
        <w:t>Evropské systémy nakládání s OEEZ vycházejí z evropské legislativy, přesto se v některých aspektech výrazně liší. V následující tabulce jsou shrnuty některé základní odlišnosti (</w:t>
      </w:r>
      <w:r w:rsidRPr="00ED38E9">
        <w:rPr>
          <w:rFonts w:eastAsia="Calibri" w:cs="Arial"/>
          <w:i/>
          <w:iCs/>
          <w:noProof w:val="0"/>
          <w:color w:val="000000"/>
          <w:szCs w:val="22"/>
          <w:lang w:eastAsia="cs-CZ" w:bidi="ar-SA"/>
        </w:rPr>
        <w:t>zdroj: UNEP</w:t>
      </w:r>
      <w:r w:rsidRPr="00ED38E9">
        <w:rPr>
          <w:rFonts w:eastAsia="Calibri" w:cs="Arial"/>
          <w:noProof w:val="0"/>
          <w:szCs w:val="22"/>
          <w:lang w:bidi="ar-SA"/>
        </w:rPr>
        <w:t>).</w:t>
      </w:r>
    </w:p>
    <w:p w:rsidR="00ED5B2D" w:rsidRPr="00E97FD5" w:rsidP="0017046F" w14:paraId="1C64CE34" w14:textId="63A0A58F">
      <w:pPr>
        <w:pStyle w:val="Caption"/>
        <w:rPr>
          <w:rFonts w:cs="Arial"/>
          <w:sz w:val="20"/>
          <w:szCs w:val="20"/>
          <w:lang w:eastAsia="cs-CZ" w:bidi="ar-SA"/>
        </w:rPr>
      </w:pPr>
      <w:r w:rsidRPr="00E97FD5">
        <w:rPr>
          <w:rFonts w:cs="Arial"/>
          <w:sz w:val="20"/>
          <w:szCs w:val="20"/>
          <w:lang w:eastAsia="cs-CZ" w:bidi="ar-SA"/>
        </w:rPr>
        <w:t xml:space="preserve">Tabulka </w:t>
      </w:r>
      <w:r w:rsidR="00925F10">
        <w:rPr>
          <w:rFonts w:cs="Arial"/>
          <w:sz w:val="20"/>
          <w:szCs w:val="20"/>
          <w:lang w:eastAsia="cs-CZ" w:bidi="ar-SA"/>
        </w:rPr>
        <w:t>31</w:t>
      </w:r>
      <w:r w:rsidRPr="00E97FD5">
        <w:rPr>
          <w:rFonts w:cs="Arial"/>
          <w:sz w:val="20"/>
          <w:szCs w:val="20"/>
          <w:lang w:eastAsia="cs-CZ" w:bidi="ar-SA"/>
        </w:rPr>
        <w:t>: Základní charakteristiky systémů nakládání s OEEZ ve vybraných evropských státech</w:t>
      </w:r>
    </w:p>
    <w:p w:rsidR="00ED5B2D" w:rsidRPr="00E97FD5" w:rsidP="00ED5B2D" w14:paraId="624767D9" w14:textId="77777777">
      <w:pPr>
        <w:widowControl w:val="0"/>
        <w:spacing w:after="120" w:line="240" w:lineRule="auto"/>
        <w:rPr>
          <w:rFonts w:eastAsia="Calibri" w:cs="Arial"/>
          <w:noProof w:val="0"/>
          <w:sz w:val="20"/>
          <w:szCs w:val="20"/>
          <w:lang w:bidi="ar-SA"/>
        </w:rPr>
      </w:pPr>
      <w:r w:rsidRPr="00E97FD5">
        <w:rPr>
          <w:rFonts w:eastAsia="Calibri" w:cs="Arial"/>
          <w:sz w:val="20"/>
          <w:szCs w:val="20"/>
          <w:lang w:eastAsia="cs-CZ" w:bidi="ar-SA"/>
        </w:rPr>
        <w:drawing>
          <wp:inline distT="0" distB="0" distL="0" distR="0">
            <wp:extent cx="5721968" cy="7298266"/>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70298" name="Picture 44"/>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r="51652" b="1699"/>
                    <a:stretch>
                      <a:fillRect/>
                    </a:stretch>
                  </pic:blipFill>
                  <pic:spPr bwMode="auto">
                    <a:xfrm>
                      <a:off x="0" y="0"/>
                      <a:ext cx="5728767" cy="730693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D5B2D" w:rsidRPr="00E97FD5" w:rsidP="00ED5B2D" w14:paraId="6867CA32" w14:textId="77777777">
      <w:pPr>
        <w:widowControl w:val="0"/>
        <w:spacing w:after="120" w:line="240" w:lineRule="auto"/>
        <w:rPr>
          <w:rFonts w:eastAsia="Calibri" w:cs="Arial"/>
          <w:noProof w:val="0"/>
          <w:sz w:val="20"/>
          <w:szCs w:val="20"/>
          <w:lang w:bidi="ar-SA"/>
        </w:rPr>
      </w:pPr>
      <w:r w:rsidRPr="00E97FD5">
        <w:rPr>
          <w:rFonts w:eastAsia="Calibri" w:cs="Arial"/>
          <w:sz w:val="20"/>
          <w:szCs w:val="20"/>
          <w:lang w:eastAsia="cs-CZ" w:bidi="ar-SA"/>
        </w:rPr>
        <w:drawing>
          <wp:inline distT="0" distB="0" distL="0" distR="0">
            <wp:extent cx="5774266" cy="5994400"/>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22" name="Picture 44"/>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48215" r="3037" b="19330"/>
                    <a:stretch>
                      <a:fillRect/>
                    </a:stretch>
                  </pic:blipFill>
                  <pic:spPr bwMode="auto">
                    <a:xfrm>
                      <a:off x="0" y="0"/>
                      <a:ext cx="5774204" cy="59943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D5B2D" w:rsidRPr="00ED38E9" w:rsidP="00221615" w14:paraId="70C4BC40" w14:textId="77777777">
      <w:pPr>
        <w:widowControl w:val="0"/>
        <w:jc w:val="right"/>
        <w:rPr>
          <w:rFonts w:cs="Arial"/>
          <w:i/>
          <w:iCs/>
          <w:noProof w:val="0"/>
          <w:color w:val="000000"/>
          <w:sz w:val="20"/>
          <w:szCs w:val="20"/>
          <w:lang w:eastAsia="cs-CZ" w:bidi="ar-SA"/>
        </w:rPr>
      </w:pPr>
      <w:r w:rsidRPr="00E97FD5">
        <w:rPr>
          <w:rFonts w:cs="Arial"/>
          <w:i/>
          <w:iCs/>
          <w:noProof w:val="0"/>
          <w:color w:val="000000"/>
          <w:sz w:val="20"/>
          <w:szCs w:val="20"/>
          <w:lang w:eastAsia="cs-CZ" w:bidi="ar-SA"/>
        </w:rPr>
        <w:t xml:space="preserve">Zdroj: </w:t>
      </w:r>
      <w:hyperlink r:id="rId16" w:history="1">
        <w:r w:rsidRPr="00E97FD5">
          <w:rPr>
            <w:rFonts w:cs="Arial"/>
            <w:i/>
            <w:iCs/>
            <w:noProof w:val="0"/>
            <w:color w:val="000000"/>
            <w:sz w:val="20"/>
            <w:szCs w:val="20"/>
            <w:lang w:eastAsia="cs-CZ" w:bidi="ar-SA"/>
          </w:rPr>
          <w:t>www.unep.org</w:t>
        </w:r>
      </w:hyperlink>
      <w:r w:rsidRPr="00E97FD5">
        <w:rPr>
          <w:rFonts w:cs="Arial"/>
          <w:i/>
          <w:iCs/>
          <w:noProof w:val="0"/>
          <w:color w:val="000000"/>
          <w:sz w:val="20"/>
          <w:szCs w:val="20"/>
          <w:lang w:eastAsia="cs-CZ" w:bidi="ar-SA"/>
        </w:rPr>
        <w:t xml:space="preserve">, </w:t>
      </w:r>
      <w:hyperlink r:id="rId17" w:history="1">
        <w:r w:rsidRPr="00E97FD5">
          <w:rPr>
            <w:rFonts w:cs="Arial"/>
            <w:i/>
            <w:iCs/>
            <w:noProof w:val="0"/>
            <w:color w:val="000000"/>
            <w:sz w:val="20"/>
            <w:szCs w:val="20"/>
            <w:lang w:eastAsia="cs-CZ" w:bidi="ar-SA"/>
          </w:rPr>
          <w:t>http://ec.europa.eu/environment/waste/weee</w:t>
        </w:r>
      </w:hyperlink>
    </w:p>
    <w:p w:rsidR="00ED5B2D" w:rsidRPr="00ED38E9" w:rsidP="00152383" w14:paraId="4676C628" w14:textId="77777777">
      <w:pPr>
        <w:pStyle w:val="Normln-tun"/>
        <w:rPr>
          <w:rFonts w:cs="Arial"/>
        </w:rPr>
      </w:pPr>
      <w:r w:rsidRPr="00ED38E9">
        <w:rPr>
          <w:rFonts w:cs="Arial"/>
        </w:rPr>
        <w:t>Německo</w:t>
      </w:r>
    </w:p>
    <w:p w:rsidR="00ED5B2D" w:rsidRPr="00ED38E9" w:rsidP="00936929" w14:paraId="559CBD61" w14:textId="77777777">
      <w:pPr>
        <w:rPr>
          <w:rFonts w:eastAsia="Calibri" w:cs="Arial"/>
          <w:noProof w:val="0"/>
          <w:szCs w:val="22"/>
          <w:lang w:bidi="ar-SA"/>
        </w:rPr>
      </w:pPr>
      <w:r w:rsidRPr="00ED38E9">
        <w:rPr>
          <w:rFonts w:eastAsia="Calibri" w:cs="Arial"/>
          <w:noProof w:val="0"/>
          <w:szCs w:val="22"/>
          <w:lang w:bidi="ar-SA"/>
        </w:rPr>
        <w:t>Zpětný odběr OEEZ v Německu je legislativně zakotven v tzv. ElektroG</w:t>
      </w:r>
      <w:r>
        <w:rPr>
          <w:rFonts w:eastAsia="Calibri" w:cs="Arial"/>
          <w:noProof w:val="0"/>
          <w:szCs w:val="22"/>
          <w:vertAlign w:val="superscript"/>
          <w:lang w:bidi="ar-SA"/>
        </w:rPr>
        <w:footnoteReference w:id="4"/>
      </w:r>
      <w:r w:rsidRPr="00ED38E9">
        <w:rPr>
          <w:rFonts w:eastAsia="Calibri" w:cs="Arial"/>
          <w:noProof w:val="0"/>
          <w:szCs w:val="22"/>
          <w:lang w:bidi="ar-SA"/>
        </w:rPr>
        <w:t xml:space="preserve"> (zákon o elektrických a elektronických zařízeních), který vedle povinností výrobce EEZ řeší také problematiku operátora</w:t>
      </w:r>
      <w:r w:rsidR="007F6B6C">
        <w:rPr>
          <w:rFonts w:eastAsia="Calibri" w:cs="Arial"/>
          <w:noProof w:val="0"/>
          <w:szCs w:val="22"/>
          <w:lang w:bidi="ar-SA"/>
        </w:rPr>
        <w:t xml:space="preserve"> (v návrhu zákona je použit název Kompetenční centrum)</w:t>
      </w:r>
      <w:r w:rsidRPr="00ED38E9">
        <w:rPr>
          <w:rFonts w:eastAsia="Calibri" w:cs="Arial"/>
          <w:noProof w:val="0"/>
          <w:szCs w:val="22"/>
          <w:lang w:bidi="ar-SA"/>
        </w:rPr>
        <w:t xml:space="preserve"> na trhu OEEZ, kolektivní systémy, tedy oblasti řešené dále v této RIA.</w:t>
      </w:r>
    </w:p>
    <w:p w:rsidR="00ED5B2D" w:rsidRPr="00ED38E9" w:rsidP="00936929" w14:paraId="791A0BB3" w14:textId="77777777">
      <w:pPr>
        <w:rPr>
          <w:rFonts w:eastAsia="Calibri" w:cs="Arial"/>
          <w:noProof w:val="0"/>
          <w:szCs w:val="22"/>
          <w:lang w:bidi="ar-SA"/>
        </w:rPr>
      </w:pPr>
      <w:r w:rsidRPr="00ED38E9">
        <w:rPr>
          <w:rFonts w:eastAsia="Calibri" w:cs="Arial"/>
          <w:noProof w:val="0"/>
          <w:szCs w:val="22"/>
          <w:lang w:bidi="ar-SA"/>
        </w:rPr>
        <w:t>Za zpětný odběr a zpracování OEEZ je v Německu odpovědný výrobce (pro zjednodušení je v rámci tohoto textu uveden pojem výrobce, znamená to subjekt, který uvede EEZ na trh, tedy např. i importér), který musí být registrován u EAR (německý operátor trhu EEZ) a UBA (německé Ministerstvo Životního prostředí).</w:t>
      </w:r>
    </w:p>
    <w:p w:rsidR="00ED5B2D" w:rsidRPr="00221615" w:rsidP="0017046F" w14:paraId="773FCD95" w14:textId="57CCEF0D">
      <w:pPr>
        <w:pStyle w:val="Caption"/>
        <w:rPr>
          <w:rFonts w:cs="Arial"/>
          <w:sz w:val="20"/>
          <w:szCs w:val="20"/>
          <w:lang w:eastAsia="cs-CZ" w:bidi="ar-SA"/>
        </w:rPr>
      </w:pPr>
      <w:r w:rsidRPr="00221615">
        <w:rPr>
          <w:rFonts w:cs="Arial"/>
          <w:sz w:val="20"/>
          <w:szCs w:val="20"/>
          <w:lang w:eastAsia="cs-CZ" w:bidi="ar-SA"/>
        </w:rPr>
        <w:t xml:space="preserve">Obrázek </w:t>
      </w:r>
      <w:r w:rsidR="008231E9">
        <w:rPr>
          <w:rFonts w:cs="Arial"/>
          <w:sz w:val="20"/>
          <w:szCs w:val="20"/>
          <w:lang w:eastAsia="cs-CZ" w:bidi="ar-SA"/>
        </w:rPr>
        <w:t>3</w:t>
      </w:r>
      <w:r w:rsidRPr="00221615">
        <w:rPr>
          <w:rFonts w:cs="Arial"/>
          <w:sz w:val="20"/>
          <w:szCs w:val="20"/>
          <w:lang w:eastAsia="cs-CZ" w:bidi="ar-SA"/>
        </w:rPr>
        <w:t>: Přehled fungování systému v Německu</w:t>
      </w:r>
    </w:p>
    <w:p w:rsidR="00ED5B2D" w:rsidRPr="00ED38E9" w:rsidP="00ED5B2D" w14:paraId="65BEBB32" w14:textId="77777777">
      <w:pPr>
        <w:keepNext/>
        <w:widowControl w:val="0"/>
        <w:spacing w:after="120" w:line="240" w:lineRule="auto"/>
        <w:rPr>
          <w:rFonts w:eastAsia="Calibri" w:cs="Arial"/>
          <w:noProof w:val="0"/>
          <w:szCs w:val="22"/>
          <w:lang w:bidi="ar-SA"/>
        </w:rPr>
      </w:pPr>
      <w:r w:rsidRPr="00ED38E9">
        <w:rPr>
          <w:rFonts w:eastAsia="Calibri" w:cs="Arial"/>
          <w:szCs w:val="22"/>
          <w:lang w:eastAsia="cs-CZ" w:bidi="ar-SA"/>
        </w:rPr>
        <w:drawing>
          <wp:inline distT="0" distB="0" distL="0" distR="0">
            <wp:extent cx="5448422" cy="5048250"/>
            <wp:effectExtent l="0" t="0" r="0" b="0"/>
            <wp:docPr id="26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5537" name="Picture 16"/>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8554" cy="5048372"/>
                    </a:xfrm>
                    <a:prstGeom prst="rect">
                      <a:avLst/>
                    </a:prstGeom>
                    <a:noFill/>
                  </pic:spPr>
                </pic:pic>
              </a:graphicData>
            </a:graphic>
          </wp:inline>
        </w:drawing>
      </w:r>
    </w:p>
    <w:p w:rsidR="00ED5B2D" w:rsidRPr="00ED38E9" w:rsidP="00221615" w14:paraId="612066EC" w14:textId="77777777">
      <w:pPr>
        <w:widowControl w:val="0"/>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Zdroj:EEIP</w:t>
      </w:r>
    </w:p>
    <w:p w:rsidR="00ED5B2D" w:rsidRPr="00212AB8" w:rsidP="003F1017" w14:paraId="33194BF2" w14:textId="77777777">
      <w:pPr>
        <w:rPr>
          <w:rFonts w:eastAsia="Calibri"/>
          <w:noProof w:val="0"/>
          <w:szCs w:val="22"/>
          <w:lang w:bidi="ar-SA"/>
        </w:rPr>
      </w:pPr>
      <w:r w:rsidRPr="00CA69D0">
        <w:rPr>
          <w:rFonts w:eastAsia="Calibri"/>
          <w:noProof w:val="0"/>
          <w:szCs w:val="22"/>
          <w:lang w:bidi="ar-SA"/>
        </w:rPr>
        <w:t>Životní cyklus EEZ začíná jeho uvedením na trh, kde je zakoupen spotřebitelem. Po skončení jeho životnosti ho spotřebitel o</w:t>
      </w:r>
      <w:r w:rsidRPr="00097EE6">
        <w:rPr>
          <w:rFonts w:eastAsia="Calibri"/>
          <w:noProof w:val="0"/>
          <w:szCs w:val="22"/>
          <w:lang w:bidi="ar-SA"/>
        </w:rPr>
        <w:t>devzdá na odběrovém místě, které v Německu provozuje örE</w:t>
      </w:r>
      <w:r>
        <w:rPr>
          <w:rFonts w:eastAsia="Calibri"/>
          <w:noProof w:val="0"/>
          <w:szCs w:val="22"/>
          <w:vertAlign w:val="superscript"/>
          <w:lang w:bidi="ar-SA"/>
        </w:rPr>
        <w:footnoteReference w:id="5"/>
      </w:r>
      <w:r w:rsidRPr="008F41B6">
        <w:rPr>
          <w:rFonts w:eastAsia="Calibri"/>
          <w:noProof w:val="0"/>
          <w:szCs w:val="22"/>
          <w:lang w:bidi="ar-SA"/>
        </w:rPr>
        <w:t xml:space="preserve"> (za což je finančně kompenzován výrobcem). Odpovědnost za transport</w:t>
      </w:r>
      <w:r>
        <w:rPr>
          <w:rFonts w:eastAsia="Calibri"/>
          <w:noProof w:val="0"/>
          <w:szCs w:val="22"/>
          <w:vertAlign w:val="superscript"/>
          <w:lang w:bidi="ar-SA"/>
        </w:rPr>
        <w:footnoteReference w:id="6"/>
      </w:r>
      <w:r w:rsidRPr="00212AB8">
        <w:rPr>
          <w:rFonts w:eastAsia="Calibri"/>
          <w:noProof w:val="0"/>
          <w:szCs w:val="22"/>
          <w:lang w:bidi="ar-SA"/>
        </w:rPr>
        <w:t xml:space="preserve"> z odběrných míst a další zpracování OEEZ již přebírá výrobce. Existují tři možnosti: </w:t>
      </w:r>
    </w:p>
    <w:p w:rsidR="00ED5B2D" w:rsidRPr="00242695" w:rsidP="003C445B" w14:paraId="6C833F14" w14:textId="77777777">
      <w:pPr>
        <w:widowControl w:val="0"/>
        <w:numPr>
          <w:ilvl w:val="0"/>
          <w:numId w:val="35"/>
        </w:numPr>
        <w:spacing w:after="0"/>
        <w:ind w:left="357" w:hanging="357"/>
        <w:rPr>
          <w:rFonts w:eastAsia="Calibri"/>
          <w:noProof w:val="0"/>
          <w:szCs w:val="22"/>
          <w:lang w:bidi="ar-SA"/>
        </w:rPr>
      </w:pPr>
      <w:r w:rsidRPr="00E37D0B">
        <w:rPr>
          <w:rFonts w:eastAsia="Calibri"/>
          <w:noProof w:val="0"/>
          <w:szCs w:val="22"/>
          <w:lang w:bidi="ar-SA"/>
        </w:rPr>
        <w:t>Výrobce je členem kolektivního systému (KS)</w:t>
      </w:r>
      <w:r w:rsidRPr="00242695">
        <w:rPr>
          <w:rFonts w:eastAsia="Calibri"/>
          <w:noProof w:val="0"/>
          <w:szCs w:val="22"/>
          <w:lang w:bidi="ar-SA"/>
        </w:rPr>
        <w:t xml:space="preserve">, který zajišťuje (sám nebo pomocí subdodavatelů) výše uvedené činnosti. </w:t>
      </w:r>
    </w:p>
    <w:p w:rsidR="00ED5B2D" w:rsidRPr="002E1F28" w:rsidP="003C445B" w14:paraId="0217DD01" w14:textId="1904059F">
      <w:pPr>
        <w:widowControl w:val="0"/>
        <w:numPr>
          <w:ilvl w:val="0"/>
          <w:numId w:val="35"/>
        </w:numPr>
        <w:spacing w:after="0"/>
        <w:ind w:left="357" w:hanging="357"/>
        <w:rPr>
          <w:rFonts w:eastAsia="Calibri"/>
          <w:noProof w:val="0"/>
          <w:szCs w:val="22"/>
          <w:lang w:bidi="ar-SA"/>
        </w:rPr>
      </w:pPr>
      <w:r w:rsidRPr="002E1F28">
        <w:rPr>
          <w:rFonts w:eastAsia="Calibri"/>
          <w:noProof w:val="0"/>
          <w:szCs w:val="22"/>
          <w:lang w:bidi="ar-SA"/>
        </w:rPr>
        <w:t>Výrobce sám uzavře smlouvu se společností zajišťující transport respektive zpracování</w:t>
      </w:r>
      <w:r w:rsidR="00412A89">
        <w:rPr>
          <w:rFonts w:eastAsia="Calibri"/>
          <w:noProof w:val="0"/>
          <w:szCs w:val="22"/>
          <w:lang w:bidi="ar-SA"/>
        </w:rPr>
        <w:t> </w:t>
      </w:r>
      <w:r w:rsidRPr="002E1F28">
        <w:rPr>
          <w:rFonts w:eastAsia="Calibri"/>
          <w:noProof w:val="0"/>
          <w:szCs w:val="22"/>
          <w:lang w:bidi="ar-SA"/>
        </w:rPr>
        <w:t>OEEZ.</w:t>
      </w:r>
    </w:p>
    <w:p w:rsidR="00ED5B2D" w:rsidRPr="00530496" w:rsidP="003C445B" w14:paraId="688610DB" w14:textId="77777777">
      <w:pPr>
        <w:widowControl w:val="0"/>
        <w:numPr>
          <w:ilvl w:val="0"/>
          <w:numId w:val="35"/>
        </w:numPr>
        <w:spacing w:after="0"/>
        <w:ind w:left="357" w:hanging="357"/>
        <w:rPr>
          <w:rFonts w:eastAsia="Calibri"/>
          <w:noProof w:val="0"/>
          <w:szCs w:val="22"/>
          <w:lang w:bidi="ar-SA"/>
        </w:rPr>
      </w:pPr>
      <w:r w:rsidRPr="002E1F28">
        <w:rPr>
          <w:rFonts w:eastAsia="Calibri"/>
          <w:noProof w:val="0"/>
          <w:szCs w:val="22"/>
          <w:lang w:bidi="ar-SA"/>
        </w:rPr>
        <w:t>Výrobce sám uzavře smlouvu se společností zajišťující transport respektive zpracování OEEZ</w:t>
      </w:r>
      <w:r w:rsidRPr="00530496">
        <w:rPr>
          <w:rFonts w:eastAsia="Calibri"/>
          <w:noProof w:val="0"/>
          <w:szCs w:val="22"/>
          <w:lang w:bidi="ar-SA"/>
        </w:rPr>
        <w:t xml:space="preserve">. Navíc výrobce uzavře smlouvu s örE na odběr zařízení pouze jeho značky (tato možnost je velmi nákladná, v praxi není příliš často využívaná). </w:t>
      </w:r>
    </w:p>
    <w:p w:rsidR="00F04392" w:rsidRPr="003748C7" w:rsidP="003C445B" w14:paraId="7A4182D1" w14:textId="77777777">
      <w:pPr>
        <w:widowControl w:val="0"/>
        <w:numPr>
          <w:ilvl w:val="0"/>
          <w:numId w:val="35"/>
        </w:numPr>
        <w:spacing w:after="0"/>
        <w:ind w:left="0" w:firstLine="0"/>
        <w:rPr>
          <w:rFonts w:eastAsia="Calibri"/>
          <w:noProof w:val="0"/>
          <w:szCs w:val="22"/>
          <w:lang w:bidi="ar-SA"/>
        </w:rPr>
      </w:pPr>
      <w:r w:rsidRPr="003748C7">
        <w:rPr>
          <w:rFonts w:eastAsia="Calibri"/>
          <w:noProof w:val="0"/>
          <w:szCs w:val="22"/>
          <w:lang w:bidi="ar-SA"/>
        </w:rPr>
        <w:t xml:space="preserve">EAR podle podílu výrobce na trh uvedených výrobků EEZ určuje, za jaké množství OEEZ výrobce odpovídá (např. výrobce A uvede na trh 5 % EEZ z celkového počtu EEZ uvedených na německý trh, musí se tedy postarat o 5 % zpětně odebraných EEZ v Německu). </w:t>
      </w:r>
    </w:p>
    <w:p w:rsidR="00CF04A4" w:rsidP="00936929" w14:paraId="3E4473ED" w14:textId="77777777">
      <w:pPr>
        <w:rPr>
          <w:rFonts w:eastAsia="Calibri"/>
          <w:noProof w:val="0"/>
          <w:szCs w:val="22"/>
          <w:lang w:bidi="ar-SA"/>
        </w:rPr>
      </w:pPr>
      <w:r w:rsidRPr="0029509F">
        <w:rPr>
          <w:rFonts w:eastAsia="Calibri"/>
          <w:noProof w:val="0"/>
          <w:szCs w:val="22"/>
          <w:lang w:bidi="ar-SA"/>
        </w:rPr>
        <w:t>Po zpracování OEEZ dojde k recyklaci části výrobku a jejich opětovnému použití, čímž je uzavřen životní cyklus výrobk</w:t>
      </w:r>
      <w:r w:rsidRPr="000C7590">
        <w:rPr>
          <w:rFonts w:eastAsia="Calibri"/>
          <w:noProof w:val="0"/>
          <w:szCs w:val="22"/>
          <w:lang w:bidi="ar-SA"/>
        </w:rPr>
        <w:t>u.</w:t>
      </w:r>
    </w:p>
    <w:p w:rsidR="00ED5B2D" w:rsidRPr="000C7590" w:rsidP="00936929" w14:paraId="6320296E" w14:textId="77777777">
      <w:pPr>
        <w:rPr>
          <w:rFonts w:eastAsia="Calibri"/>
          <w:noProof w:val="0"/>
          <w:szCs w:val="22"/>
          <w:lang w:bidi="ar-SA"/>
        </w:rPr>
      </w:pPr>
      <w:r w:rsidRPr="000C7590">
        <w:rPr>
          <w:rFonts w:eastAsia="Calibri"/>
          <w:noProof w:val="0"/>
          <w:szCs w:val="22"/>
          <w:lang w:bidi="ar-SA"/>
        </w:rPr>
        <w:t xml:space="preserve"> </w:t>
      </w:r>
    </w:p>
    <w:p w:rsidR="00ED5B2D" w:rsidRPr="00CA69D0" w:rsidP="00221615" w14:paraId="63E25519" w14:textId="77777777">
      <w:pPr>
        <w:keepNext/>
        <w:rPr>
          <w:rStyle w:val="Strong"/>
          <w:rFonts w:eastAsia="Calibri"/>
          <w:i/>
        </w:rPr>
      </w:pPr>
      <w:r w:rsidRPr="00CA69D0">
        <w:rPr>
          <w:rStyle w:val="Strong"/>
          <w:rFonts w:eastAsia="Calibri"/>
          <w:i/>
        </w:rPr>
        <w:t xml:space="preserve">Operátor  </w:t>
      </w:r>
      <w:r w:rsidRPr="00E32267">
        <w:rPr>
          <w:rStyle w:val="Emphasis"/>
          <w:rFonts w:eastAsia="Calibri" w:cs="Arial"/>
        </w:rPr>
        <w:t>EAR</w:t>
      </w:r>
    </w:p>
    <w:p w:rsidR="00ED5B2D" w:rsidRPr="00212AB8" w:rsidP="00936929" w14:paraId="7CE78EBF" w14:textId="77777777">
      <w:pPr>
        <w:widowControl w:val="0"/>
      </w:pPr>
      <w:r w:rsidRPr="00097EE6">
        <w:t>ElektroG určuje německým výrobcům EEZ povinnost vytvoření tzv. „Gemeinsame Stelle“ (v překladu společné místo), které plní funk</w:t>
      </w:r>
      <w:r w:rsidRPr="00D12FE4">
        <w:t>ce jako v této RIA uvažovaný operátor. Tímto operátorem je v Německu EAR (Stiftung EAR – Elektro-Altgeräte Regi</w:t>
      </w:r>
      <w:r w:rsidRPr="0092438A">
        <w:t>ster). V Německu je tedy operátor EEZ povinný. Německá legislativa uložila výrobcům povinnost založit operátora, ti tuto povinnost splnili založe</w:t>
      </w:r>
      <w:r w:rsidRPr="00212AB8">
        <w:t>ním EAR; nyní tedy všichni výrobci musí jako operátora využívat EAR.</w:t>
      </w:r>
    </w:p>
    <w:p w:rsidR="00ED5B2D" w:rsidRPr="002E1F28" w:rsidP="00936929" w14:paraId="5A5C4074" w14:textId="77777777">
      <w:pPr>
        <w:widowControl w:val="0"/>
        <w:rPr>
          <w:rFonts w:eastAsia="Calibri"/>
          <w:noProof w:val="0"/>
          <w:szCs w:val="22"/>
          <w:lang w:bidi="ar-SA"/>
        </w:rPr>
      </w:pPr>
      <w:r w:rsidRPr="00E37D0B">
        <w:t xml:space="preserve">EAR byla založena výrobci EEZ v roce 2005 </w:t>
      </w:r>
      <w:r w:rsidRPr="00242695">
        <w:t>a má formu veřejné nadace (tj. neziskové organizace). Od výrobců vybírá poplatky na plnění úkolů uvedených v ElektroG, mezi které patří především:</w:t>
      </w:r>
    </w:p>
    <w:p w:rsidR="00ED5B2D" w:rsidRPr="00412A89" w:rsidP="003C445B" w14:paraId="202180C7" w14:textId="77777777">
      <w:pPr>
        <w:pStyle w:val="ListParagraph"/>
        <w:numPr>
          <w:ilvl w:val="0"/>
          <w:numId w:val="43"/>
        </w:numPr>
        <w:spacing w:after="0"/>
        <w:contextualSpacing w:val="0"/>
        <w:rPr>
          <w:rFonts w:eastAsia="Calibri"/>
          <w:noProof w:val="0"/>
          <w:szCs w:val="22"/>
          <w:lang w:bidi="ar-SA"/>
        </w:rPr>
      </w:pPr>
      <w:r w:rsidRPr="00412A89">
        <w:rPr>
          <w:rFonts w:eastAsia="Calibri"/>
          <w:noProof w:val="0"/>
          <w:szCs w:val="22"/>
          <w:lang w:bidi="ar-SA"/>
        </w:rPr>
        <w:t>Registrace výrobců</w:t>
      </w:r>
    </w:p>
    <w:p w:rsidR="00ED5B2D" w:rsidRPr="00412A89" w:rsidP="003C445B" w14:paraId="40561594" w14:textId="77777777">
      <w:pPr>
        <w:pStyle w:val="ListParagraph"/>
        <w:numPr>
          <w:ilvl w:val="0"/>
          <w:numId w:val="43"/>
        </w:numPr>
        <w:spacing w:after="0"/>
        <w:contextualSpacing w:val="0"/>
        <w:rPr>
          <w:rFonts w:eastAsia="Calibri"/>
          <w:noProof w:val="0"/>
          <w:szCs w:val="22"/>
          <w:lang w:bidi="ar-SA"/>
        </w:rPr>
      </w:pPr>
      <w:r w:rsidRPr="00412A89">
        <w:rPr>
          <w:rFonts w:eastAsia="Calibri"/>
          <w:noProof w:val="0"/>
          <w:szCs w:val="22"/>
          <w:lang w:bidi="ar-SA"/>
        </w:rPr>
        <w:t>Výpočet EEZ uvedených na trh (a na základě toho výpočet, za kolik zpětně odebraných OEEZ který výrobce zodpovídá)</w:t>
      </w:r>
    </w:p>
    <w:p w:rsidR="00ED5B2D" w:rsidRPr="00412A89" w:rsidP="003C445B" w14:paraId="4186ACF3" w14:textId="77777777">
      <w:pPr>
        <w:pStyle w:val="ListParagraph"/>
        <w:numPr>
          <w:ilvl w:val="0"/>
          <w:numId w:val="43"/>
        </w:numPr>
        <w:spacing w:after="0"/>
        <w:contextualSpacing w:val="0"/>
        <w:rPr>
          <w:rFonts w:eastAsia="Calibri"/>
          <w:noProof w:val="0"/>
          <w:szCs w:val="22"/>
          <w:lang w:bidi="ar-SA"/>
        </w:rPr>
      </w:pPr>
      <w:r w:rsidRPr="00412A89">
        <w:rPr>
          <w:rFonts w:eastAsia="Calibri"/>
          <w:noProof w:val="0"/>
          <w:szCs w:val="22"/>
          <w:lang w:bidi="ar-SA"/>
        </w:rPr>
        <w:t>Koordinace svozu OEEZ ze sběrných míst örE výrobci či kolektivními systémy</w:t>
      </w:r>
    </w:p>
    <w:p w:rsidR="00ED5B2D" w:rsidRPr="0029509F" w:rsidP="003C445B" w14:paraId="66A5CC7A" w14:textId="77777777">
      <w:pPr>
        <w:pStyle w:val="ListParagraph"/>
        <w:numPr>
          <w:ilvl w:val="0"/>
          <w:numId w:val="43"/>
        </w:numPr>
        <w:spacing w:after="0"/>
        <w:contextualSpacing w:val="0"/>
        <w:rPr>
          <w:rFonts w:eastAsia="Calibri"/>
          <w:noProof w:val="0"/>
          <w:szCs w:val="22"/>
          <w:lang w:bidi="ar-SA"/>
        </w:rPr>
      </w:pPr>
      <w:r w:rsidRPr="0029509F">
        <w:rPr>
          <w:rFonts w:eastAsia="Calibri"/>
          <w:noProof w:val="0"/>
          <w:szCs w:val="22"/>
          <w:lang w:bidi="ar-SA"/>
        </w:rPr>
        <w:t>Podávání hlášení o OEEZ na UBA</w:t>
      </w:r>
    </w:p>
    <w:p w:rsidR="00ED5B2D" w:rsidRPr="000C7590" w:rsidP="00936929" w14:paraId="01A25B3C" w14:textId="77777777">
      <w:pPr>
        <w:widowControl w:val="0"/>
      </w:pPr>
      <w:r w:rsidRPr="000C7590">
        <w:t>EAR nemůže zasahovat do toho, jakým způsobem výrobci plní své povinnosti (např. nesmí mít vazby na zpracovatele OEEZ apod.)</w:t>
      </w:r>
    </w:p>
    <w:p w:rsidR="00ED5B2D" w:rsidRPr="000C7590" w:rsidP="00936929" w14:paraId="4C92CA63" w14:textId="77777777">
      <w:pPr>
        <w:widowControl w:val="0"/>
        <w:rPr>
          <w:b/>
        </w:rPr>
      </w:pPr>
      <w:r w:rsidRPr="000C7590">
        <w:rPr>
          <w:b/>
        </w:rPr>
        <w:t>Jak vyplývá z výše uvedených činností EAR, plní operátor v Německu jak funkci evidenčního centra, tak funkci zúčtovací.</w:t>
      </w:r>
    </w:p>
    <w:p w:rsidR="00ED5B2D" w:rsidRPr="005F42B3" w:rsidP="00936929" w14:paraId="366B1DA5" w14:textId="77777777">
      <w:pPr>
        <w:widowControl w:val="0"/>
        <w:rPr>
          <w:rFonts w:eastAsia="Calibri"/>
          <w:noProof w:val="0"/>
          <w:szCs w:val="22"/>
          <w:lang w:bidi="ar-SA"/>
        </w:rPr>
      </w:pPr>
      <w:r w:rsidRPr="000C7590">
        <w:rPr>
          <w:b/>
        </w:rPr>
        <w:t>Aby se výrobce mohl u EAR a UBA registrovat, musí poskytnout garanci</w:t>
      </w:r>
      <w:r w:rsidRPr="001F7AC0">
        <w:t xml:space="preserve"> (na následující rok na množství EEZ které plánuje uvést na trh), že i v případě jeho insolvence bude profinancován zpětný odběr a zpracování jeho alikvotní části OEEZ, většinou ve formě pojištění, prostředků složených na účtu určeném k tomuto účelu, nebo ve formě účasti v organizaci vytvořené za tímto účelem.</w:t>
      </w:r>
    </w:p>
    <w:p w:rsidR="00ED5B2D" w:rsidRPr="00C0118D" w:rsidP="00412A89" w14:paraId="465D148A" w14:textId="77777777">
      <w:pPr>
        <w:spacing w:before="240"/>
        <w:rPr>
          <w:rStyle w:val="Strong"/>
          <w:rFonts w:eastAsia="Calibri"/>
          <w:i/>
        </w:rPr>
      </w:pPr>
      <w:r w:rsidRPr="00E32267">
        <w:rPr>
          <w:rStyle w:val="Emphasis"/>
          <w:rFonts w:cs="Arial"/>
        </w:rPr>
        <w:t>Kolektivní</w:t>
      </w:r>
      <w:r w:rsidRPr="00E32267">
        <w:rPr>
          <w:rStyle w:val="Strong"/>
          <w:rFonts w:eastAsia="Calibri" w:cs="Arial"/>
          <w:i/>
          <w:sz w:val="20"/>
        </w:rPr>
        <w:t xml:space="preserve"> </w:t>
      </w:r>
      <w:r w:rsidRPr="00B24116">
        <w:rPr>
          <w:rStyle w:val="Strong"/>
          <w:rFonts w:eastAsia="Calibri"/>
          <w:i/>
        </w:rPr>
        <w:t>sys</w:t>
      </w:r>
      <w:r w:rsidRPr="0006792F">
        <w:rPr>
          <w:rStyle w:val="Strong"/>
          <w:rFonts w:eastAsia="Calibri"/>
          <w:i/>
        </w:rPr>
        <w:t>témy</w:t>
      </w:r>
    </w:p>
    <w:p w:rsidR="00ED5B2D" w:rsidRPr="00CA69D0" w:rsidP="00936929" w14:paraId="7BE9C48D" w14:textId="68404BF6">
      <w:pPr>
        <w:widowControl w:val="0"/>
      </w:pPr>
      <w:r w:rsidRPr="00474DE8">
        <w:t>Jak již bylo uvedeno, výrobci EEZ v Německu mohou plnit svoji povinnost odběru a</w:t>
      </w:r>
      <w:r w:rsidRPr="00474DE8" w:rsidR="00F635E4">
        <w:t> </w:t>
      </w:r>
      <w:r w:rsidRPr="00042A18">
        <w:t xml:space="preserve">recyklace OEEZ pomocí </w:t>
      </w:r>
      <w:r w:rsidR="00CF04A4">
        <w:t>KS</w:t>
      </w:r>
      <w:r w:rsidRPr="00042A18">
        <w:t xml:space="preserve"> (ale nemusí, mohou uzavírat individuální smlouvy se</w:t>
      </w:r>
      <w:r w:rsidR="00CF04A4">
        <w:t> </w:t>
      </w:r>
      <w:r w:rsidRPr="00042A18">
        <w:t>zpracovateli a</w:t>
      </w:r>
      <w:r w:rsidR="002408DF">
        <w:t> </w:t>
      </w:r>
      <w:r w:rsidRPr="00042A18">
        <w:t>svozovými společnostmi OEEZ), zodpovědnost však vždy zůstává</w:t>
      </w:r>
      <w:r w:rsidRPr="00331677" w:rsidR="00331677">
        <w:t xml:space="preserve"> na</w:t>
      </w:r>
      <w:r w:rsidR="00CF04A4">
        <w:t> </w:t>
      </w:r>
      <w:r w:rsidRPr="00331677" w:rsidR="00331677">
        <w:t xml:space="preserve">výrobcích. </w:t>
      </w:r>
    </w:p>
    <w:p w:rsidR="00ED5B2D" w:rsidRPr="00CA69D0" w:rsidP="00936929" w14:paraId="52264DEE" w14:textId="26DA01E4">
      <w:pPr>
        <w:widowControl w:val="0"/>
      </w:pPr>
      <w:r w:rsidRPr="00331677">
        <w:t xml:space="preserve">Právě v oblasti </w:t>
      </w:r>
      <w:r w:rsidR="00CF04A4">
        <w:t>KS</w:t>
      </w:r>
      <w:r w:rsidRPr="00331677">
        <w:t xml:space="preserve"> tkví hlavní specifikum německého systému nakládání s OEEZ; to spočívá v podpoře konkurence v oblasti působení </w:t>
      </w:r>
      <w:r w:rsidR="00CF04A4">
        <w:t>KS</w:t>
      </w:r>
      <w:r w:rsidRPr="00331677">
        <w:t xml:space="preserve">. Jejich množství není nijak omezeno, výrobce může uzavřít smlouvu s kterýmkoliv z nich. Prozatím není stanovena žádná pevná hranice, jaký podíl trhu může konkrétní </w:t>
      </w:r>
      <w:r w:rsidR="00CF04A4">
        <w:t>KS</w:t>
      </w:r>
      <w:r w:rsidRPr="00331677">
        <w:t xml:space="preserve"> ovládat, nicméně u bílého zboží byla tato hranice stanovena na</w:t>
      </w:r>
      <w:r w:rsidR="002408DF">
        <w:t> </w:t>
      </w:r>
      <w:r w:rsidRPr="00331677">
        <w:t xml:space="preserve">25% (stanovil Bundeskartellamt – Úřad pro ochranu hospodářské soutěže), proto se dá předpokládat podobný postup i u ostatních typů EEZ (každý případ je posuzován zvlášť výše uvedeným Úřadem pro ochranu hospodářské soutěže). </w:t>
      </w:r>
    </w:p>
    <w:p w:rsidR="00ED5B2D" w:rsidRPr="00CA69D0" w:rsidP="00710603" w14:paraId="118C41AD" w14:textId="4D99AD2B">
      <w:pPr>
        <w:widowControl w:val="0"/>
        <w:rPr>
          <w:rFonts w:eastAsia="Calibri"/>
          <w:noProof w:val="0"/>
          <w:szCs w:val="22"/>
          <w:lang w:bidi="ar-SA"/>
        </w:rPr>
      </w:pPr>
      <w:r w:rsidRPr="00331677">
        <w:t xml:space="preserve">Díky výše uvedené skutečnosti působí na německém trhu mnoho </w:t>
      </w:r>
      <w:r w:rsidR="00CF04A4">
        <w:t>KS</w:t>
      </w:r>
      <w:r w:rsidRPr="00331677">
        <w:t>, např.</w:t>
      </w:r>
      <w:r w:rsidR="00710603">
        <w:t xml:space="preserve"> </w:t>
      </w:r>
      <w:r w:rsidRPr="00381FB7" w:rsidR="00381FB7">
        <w:rPr>
          <w:rFonts w:eastAsia="Calibri"/>
          <w:noProof w:val="0"/>
          <w:szCs w:val="22"/>
          <w:lang w:bidi="ar-SA"/>
        </w:rPr>
        <w:t>ERP</w:t>
      </w:r>
      <w:r w:rsidR="00710603">
        <w:rPr>
          <w:rFonts w:eastAsia="Calibri"/>
          <w:noProof w:val="0"/>
          <w:szCs w:val="22"/>
          <w:lang w:bidi="ar-SA"/>
        </w:rPr>
        <w:t xml:space="preserve">, </w:t>
      </w:r>
      <w:r w:rsidRPr="00381FB7" w:rsidR="00381FB7">
        <w:rPr>
          <w:rFonts w:eastAsia="Calibri"/>
          <w:noProof w:val="0"/>
          <w:szCs w:val="22"/>
          <w:lang w:bidi="ar-SA"/>
        </w:rPr>
        <w:t>ProReturn</w:t>
      </w:r>
      <w:r w:rsidR="00710603">
        <w:rPr>
          <w:rFonts w:eastAsia="Calibri"/>
          <w:noProof w:val="0"/>
          <w:szCs w:val="22"/>
          <w:lang w:bidi="ar-SA"/>
        </w:rPr>
        <w:t xml:space="preserve">, </w:t>
      </w:r>
      <w:r w:rsidRPr="00381FB7" w:rsidR="00381FB7">
        <w:rPr>
          <w:rFonts w:eastAsia="Calibri"/>
          <w:noProof w:val="0"/>
          <w:szCs w:val="22"/>
          <w:lang w:bidi="ar-SA"/>
        </w:rPr>
        <w:t>ENE</w:t>
      </w:r>
      <w:r w:rsidR="00710603">
        <w:rPr>
          <w:rFonts w:eastAsia="Calibri"/>
          <w:noProof w:val="0"/>
          <w:szCs w:val="22"/>
          <w:lang w:bidi="ar-SA"/>
        </w:rPr>
        <w:t xml:space="preserve">, </w:t>
      </w:r>
      <w:r w:rsidRPr="00381FB7" w:rsidR="00381FB7">
        <w:rPr>
          <w:rFonts w:eastAsia="Calibri"/>
          <w:noProof w:val="0"/>
          <w:szCs w:val="22"/>
          <w:lang w:bidi="ar-SA"/>
        </w:rPr>
        <w:t>LARS</w:t>
      </w:r>
      <w:r w:rsidR="00710603">
        <w:rPr>
          <w:rFonts w:eastAsia="Calibri"/>
          <w:noProof w:val="0"/>
          <w:szCs w:val="22"/>
          <w:lang w:bidi="ar-SA"/>
        </w:rPr>
        <w:t xml:space="preserve">, </w:t>
      </w:r>
      <w:r w:rsidRPr="00381FB7" w:rsidR="00381FB7">
        <w:rPr>
          <w:rFonts w:eastAsia="Calibri"/>
          <w:noProof w:val="0"/>
          <w:szCs w:val="22"/>
          <w:lang w:bidi="ar-SA"/>
        </w:rPr>
        <w:t>Olav</w:t>
      </w:r>
      <w:r w:rsidR="00710603">
        <w:rPr>
          <w:rFonts w:eastAsia="Calibri"/>
          <w:noProof w:val="0"/>
          <w:szCs w:val="22"/>
          <w:lang w:bidi="ar-SA"/>
        </w:rPr>
        <w:t xml:space="preserve">, </w:t>
      </w:r>
      <w:r w:rsidRPr="00381FB7" w:rsidR="00381FB7">
        <w:rPr>
          <w:rFonts w:eastAsia="Calibri"/>
          <w:noProof w:val="0"/>
          <w:szCs w:val="22"/>
          <w:lang w:bidi="ar-SA"/>
        </w:rPr>
        <w:t>BSH – Miele – Philips</w:t>
      </w:r>
      <w:r w:rsidR="00710603">
        <w:rPr>
          <w:rFonts w:eastAsia="Calibri"/>
          <w:noProof w:val="0"/>
          <w:szCs w:val="22"/>
          <w:lang w:bidi="ar-SA"/>
        </w:rPr>
        <w:t xml:space="preserve">, </w:t>
      </w:r>
      <w:r w:rsidRPr="00381FB7" w:rsidR="00381FB7">
        <w:rPr>
          <w:rFonts w:eastAsia="Calibri"/>
          <w:noProof w:val="0"/>
          <w:szCs w:val="22"/>
          <w:lang w:bidi="ar-SA"/>
        </w:rPr>
        <w:t>ALBA</w:t>
      </w:r>
      <w:r w:rsidR="00710603">
        <w:rPr>
          <w:rFonts w:eastAsia="Calibri"/>
          <w:noProof w:val="0"/>
          <w:szCs w:val="22"/>
          <w:lang w:bidi="ar-SA"/>
        </w:rPr>
        <w:t xml:space="preserve">, </w:t>
      </w:r>
      <w:r w:rsidRPr="00381FB7" w:rsidR="00381FB7">
        <w:rPr>
          <w:rFonts w:eastAsia="Calibri"/>
          <w:noProof w:val="0"/>
          <w:szCs w:val="22"/>
          <w:lang w:bidi="ar-SA"/>
        </w:rPr>
        <w:t>DSD</w:t>
      </w:r>
      <w:r w:rsidR="00710603">
        <w:rPr>
          <w:rFonts w:eastAsia="Calibri"/>
          <w:noProof w:val="0"/>
          <w:szCs w:val="22"/>
          <w:lang w:bidi="ar-SA"/>
        </w:rPr>
        <w:t xml:space="preserve">, </w:t>
      </w:r>
      <w:r w:rsidRPr="00381FB7" w:rsidR="00381FB7">
        <w:rPr>
          <w:rFonts w:eastAsia="Calibri"/>
          <w:noProof w:val="0"/>
          <w:szCs w:val="22"/>
          <w:lang w:bidi="ar-SA"/>
        </w:rPr>
        <w:t>DHL</w:t>
      </w:r>
      <w:r w:rsidR="00710603">
        <w:rPr>
          <w:rFonts w:eastAsia="Calibri"/>
          <w:noProof w:val="0"/>
          <w:szCs w:val="22"/>
          <w:lang w:bidi="ar-SA"/>
        </w:rPr>
        <w:t xml:space="preserve">, </w:t>
      </w:r>
      <w:r w:rsidRPr="00381FB7" w:rsidR="00381FB7">
        <w:rPr>
          <w:rFonts w:eastAsia="Calibri"/>
          <w:noProof w:val="0"/>
          <w:szCs w:val="22"/>
          <w:lang w:bidi="ar-SA"/>
        </w:rPr>
        <w:t>RENE</w:t>
      </w:r>
      <w:r w:rsidR="00CF04A4">
        <w:rPr>
          <w:rFonts w:eastAsia="Calibri"/>
          <w:noProof w:val="0"/>
          <w:szCs w:val="22"/>
          <w:lang w:bidi="ar-SA"/>
        </w:rPr>
        <w:t xml:space="preserve"> aj.</w:t>
      </w:r>
      <w:r w:rsidR="00710603">
        <w:rPr>
          <w:rFonts w:eastAsia="Calibri"/>
          <w:noProof w:val="0"/>
          <w:szCs w:val="22"/>
          <w:lang w:bidi="ar-SA"/>
        </w:rPr>
        <w:t xml:space="preserve"> </w:t>
      </w:r>
      <w:r w:rsidRPr="00381FB7" w:rsidR="00381FB7">
        <w:rPr>
          <w:rFonts w:eastAsia="Calibri"/>
          <w:noProof w:val="0"/>
          <w:szCs w:val="22"/>
          <w:lang w:bidi="ar-SA"/>
        </w:rPr>
        <w:t xml:space="preserve">Klíčovou charakteristikou tohoto systému je tedy </w:t>
      </w:r>
      <w:r w:rsidRPr="00381FB7" w:rsidR="00381FB7">
        <w:rPr>
          <w:rFonts w:eastAsia="Calibri"/>
          <w:b/>
          <w:noProof w:val="0"/>
          <w:szCs w:val="22"/>
          <w:lang w:bidi="ar-SA"/>
        </w:rPr>
        <w:t>velká konkurence</w:t>
      </w:r>
      <w:r w:rsidRPr="00381FB7" w:rsidR="00381FB7">
        <w:rPr>
          <w:rFonts w:eastAsia="Calibri"/>
          <w:noProof w:val="0"/>
          <w:szCs w:val="22"/>
          <w:lang w:bidi="ar-SA"/>
        </w:rPr>
        <w:t xml:space="preserve"> mezi </w:t>
      </w:r>
      <w:r w:rsidR="00CF04A4">
        <w:rPr>
          <w:rFonts w:eastAsia="Calibri"/>
          <w:noProof w:val="0"/>
          <w:szCs w:val="22"/>
          <w:lang w:bidi="ar-SA"/>
        </w:rPr>
        <w:t>KS</w:t>
      </w:r>
      <w:r w:rsidRPr="00381FB7" w:rsidR="00381FB7">
        <w:rPr>
          <w:rFonts w:eastAsia="Calibri"/>
          <w:noProof w:val="0"/>
          <w:szCs w:val="22"/>
          <w:lang w:bidi="ar-SA"/>
        </w:rPr>
        <w:t xml:space="preserve"> (a také mezi firmami, které nabízejí transport a zpracování OEEZ výrobcům zvlášť), která má za následek nižší náklady pro výrobce na transport a zpracování OEEZ (na druhé straně vyšší administrativní náklady na</w:t>
      </w:r>
      <w:r w:rsidR="00710603">
        <w:rPr>
          <w:rFonts w:eastAsia="Calibri"/>
          <w:noProof w:val="0"/>
          <w:szCs w:val="22"/>
          <w:lang w:bidi="ar-SA"/>
        </w:rPr>
        <w:t> </w:t>
      </w:r>
      <w:r w:rsidRPr="00381FB7" w:rsidR="00381FB7">
        <w:rPr>
          <w:rFonts w:eastAsia="Calibri"/>
          <w:noProof w:val="0"/>
          <w:szCs w:val="22"/>
          <w:lang w:bidi="ar-SA"/>
        </w:rPr>
        <w:t>chod celého systému)</w:t>
      </w:r>
      <w:r w:rsidRPr="00381FB7" w:rsidR="00381FB7">
        <w:rPr>
          <w:rFonts w:eastAsia="Calibri"/>
          <w:noProof w:val="0"/>
          <w:sz w:val="18"/>
          <w:szCs w:val="18"/>
          <w:lang w:bidi="ar-SA"/>
        </w:rPr>
        <w:t xml:space="preserve"> </w:t>
      </w:r>
      <w:r>
        <w:rPr>
          <w:rFonts w:eastAsia="Calibri"/>
          <w:noProof w:val="0"/>
          <w:szCs w:val="22"/>
          <w:vertAlign w:val="superscript"/>
          <w:lang w:bidi="ar-SA"/>
        </w:rPr>
        <w:footnoteReference w:id="7"/>
      </w:r>
      <w:r w:rsidRPr="00381FB7" w:rsidR="00381FB7">
        <w:rPr>
          <w:rFonts w:eastAsia="Calibri"/>
          <w:noProof w:val="0"/>
          <w:szCs w:val="22"/>
          <w:lang w:bidi="ar-SA"/>
        </w:rPr>
        <w:t xml:space="preserve">. Tato výhoda může nicméně vyústit také v hlavní nedostatek systému; pokud jsou náklady </w:t>
      </w:r>
      <w:r w:rsidR="00CF04A4">
        <w:rPr>
          <w:rFonts w:eastAsia="Calibri"/>
          <w:noProof w:val="0"/>
          <w:szCs w:val="22"/>
          <w:lang w:bidi="ar-SA"/>
        </w:rPr>
        <w:t>KS</w:t>
      </w:r>
      <w:r w:rsidRPr="00381FB7" w:rsidR="00381FB7">
        <w:rPr>
          <w:rFonts w:eastAsia="Calibri"/>
          <w:noProof w:val="0"/>
          <w:szCs w:val="22"/>
          <w:lang w:bidi="ar-SA"/>
        </w:rPr>
        <w:t xml:space="preserve"> sráženy na minimum, může docházet k tomu, že i náklady na</w:t>
      </w:r>
      <w:r w:rsidR="00710603">
        <w:rPr>
          <w:rFonts w:eastAsia="Calibri"/>
          <w:noProof w:val="0"/>
          <w:szCs w:val="22"/>
          <w:lang w:bidi="ar-SA"/>
        </w:rPr>
        <w:t> </w:t>
      </w:r>
      <w:r w:rsidRPr="00381FB7" w:rsidR="00381FB7">
        <w:rPr>
          <w:rFonts w:eastAsia="Calibri"/>
          <w:noProof w:val="0"/>
          <w:szCs w:val="22"/>
          <w:lang w:bidi="ar-SA"/>
        </w:rPr>
        <w:t>recyklaci OEEZ jsou sráženy na minimum, a není dosaženo „nejlepšího nakládání s OEEZ“, ale „nejlevnějšího nakládání s OEEZ“. Německému systému nakládání s obalovými odpady, který má obdobné charakteristiky jako nakládání s OEEZ, bývá díky otevřenosti systému často vyčítána také velká nepřehlednost a obtížný monitoring, z čehož plyne možnost vyhýbání se povinnosti nahlášení výrobků (tedy obalů) operátorovi</w:t>
      </w:r>
      <w:r w:rsidRPr="00381FB7" w:rsidR="00381FB7">
        <w:rPr>
          <w:rFonts w:eastAsia="Calibri"/>
          <w:noProof w:val="0"/>
          <w:sz w:val="18"/>
          <w:szCs w:val="18"/>
          <w:lang w:bidi="ar-SA"/>
        </w:rPr>
        <w:t xml:space="preserve"> </w:t>
      </w:r>
      <w:r>
        <w:rPr>
          <w:rFonts w:eastAsia="Calibri"/>
          <w:noProof w:val="0"/>
          <w:szCs w:val="22"/>
          <w:vertAlign w:val="superscript"/>
          <w:lang w:bidi="ar-SA"/>
        </w:rPr>
        <w:footnoteReference w:id="8"/>
      </w:r>
      <w:r w:rsidRPr="00381FB7" w:rsidR="00381FB7">
        <w:rPr>
          <w:rFonts w:eastAsia="Calibri"/>
          <w:noProof w:val="0"/>
          <w:szCs w:val="22"/>
          <w:lang w:bidi="ar-SA"/>
        </w:rPr>
        <w:t xml:space="preserve">. Podle zpracovatele této RIA v oblasti EEZ funguje monitoring trhu daleko lépe. Navíc některé zdroje (např. Der Grüne Punkt) uvádějí, že vyhýbání se povinnosti nahlášení obalů operátorovi v Německu je v současné době způsobeno spíše nedostatečnou legislativou. </w:t>
      </w:r>
      <w:r w:rsidR="00CF04A4">
        <w:rPr>
          <w:rFonts w:eastAsia="Calibri"/>
          <w:noProof w:val="0"/>
          <w:szCs w:val="22"/>
          <w:lang w:bidi="ar-SA"/>
        </w:rPr>
        <w:t>KS</w:t>
      </w:r>
      <w:r w:rsidRPr="00381FB7" w:rsidR="00381FB7">
        <w:rPr>
          <w:rFonts w:eastAsia="Calibri"/>
          <w:noProof w:val="0"/>
          <w:szCs w:val="22"/>
          <w:lang w:bidi="ar-SA"/>
        </w:rPr>
        <w:t xml:space="preserve"> v</w:t>
      </w:r>
      <w:r w:rsidR="00CF04A4">
        <w:rPr>
          <w:rFonts w:eastAsia="Calibri"/>
          <w:noProof w:val="0"/>
          <w:szCs w:val="22"/>
          <w:lang w:bidi="ar-SA"/>
        </w:rPr>
        <w:t> </w:t>
      </w:r>
      <w:r w:rsidRPr="00381FB7" w:rsidR="00381FB7">
        <w:rPr>
          <w:rFonts w:eastAsia="Calibri"/>
          <w:noProof w:val="0"/>
          <w:szCs w:val="22"/>
          <w:lang w:bidi="ar-SA"/>
        </w:rPr>
        <w:t>Německu se mohou současně starat o více skupin OEEZ, většinou tomu tak i je.</w:t>
      </w:r>
    </w:p>
    <w:p w:rsidR="00ED5B2D" w:rsidRPr="00CA69D0" w:rsidP="00936929" w14:paraId="4CC051DA" w14:textId="77777777">
      <w:pPr>
        <w:rPr>
          <w:rFonts w:eastAsia="Calibri"/>
          <w:noProof w:val="0"/>
          <w:szCs w:val="22"/>
          <w:lang w:bidi="ar-SA"/>
        </w:rPr>
      </w:pPr>
      <w:r w:rsidRPr="00381FB7">
        <w:rPr>
          <w:rFonts w:eastAsia="Calibri"/>
          <w:noProof w:val="0"/>
          <w:szCs w:val="22"/>
          <w:lang w:bidi="ar-SA"/>
        </w:rPr>
        <w:t>ElektroG blíže nespecifikuje, jak má takový kolektivní systém vypadat, ani nijak neupravuje jeho pole působnosti. K</w:t>
      </w:r>
      <w:r w:rsidR="00CF04A4">
        <w:rPr>
          <w:rFonts w:eastAsia="Calibri"/>
          <w:noProof w:val="0"/>
          <w:szCs w:val="22"/>
          <w:lang w:bidi="ar-SA"/>
        </w:rPr>
        <w:t xml:space="preserve">S </w:t>
      </w:r>
      <w:r w:rsidRPr="00381FB7">
        <w:rPr>
          <w:rFonts w:eastAsia="Calibri"/>
          <w:noProof w:val="0"/>
          <w:szCs w:val="22"/>
          <w:lang w:bidi="ar-SA"/>
        </w:rPr>
        <w:t>tak vedle koordinace svozů a dalšího zpracování OEEZ může pro</w:t>
      </w:r>
      <w:r w:rsidR="00CF04A4">
        <w:rPr>
          <w:rFonts w:eastAsia="Calibri"/>
          <w:noProof w:val="0"/>
          <w:szCs w:val="22"/>
          <w:lang w:bidi="ar-SA"/>
        </w:rPr>
        <w:t> </w:t>
      </w:r>
      <w:r w:rsidRPr="00381FB7">
        <w:rPr>
          <w:rFonts w:eastAsia="Calibri"/>
          <w:noProof w:val="0"/>
          <w:szCs w:val="22"/>
          <w:lang w:bidi="ar-SA"/>
        </w:rPr>
        <w:t xml:space="preserve">své členy tyto činnosti i zajišťovat (oblast zpracování OEEZ v ElektroG samozřejmě upravena je – zpracovatel musí získat certifikát opravňující k této činnosti, který musí být každých 18 měsíců obnoven; nicméně toto ustanovení nijak nebrání </w:t>
      </w:r>
      <w:r w:rsidR="00CF04A4">
        <w:rPr>
          <w:rFonts w:eastAsia="Calibri"/>
          <w:noProof w:val="0"/>
          <w:szCs w:val="22"/>
          <w:lang w:bidi="ar-SA"/>
        </w:rPr>
        <w:t>KS</w:t>
      </w:r>
      <w:r w:rsidRPr="00381FB7">
        <w:rPr>
          <w:rFonts w:eastAsia="Calibri"/>
          <w:noProof w:val="0"/>
          <w:szCs w:val="22"/>
          <w:lang w:bidi="ar-SA"/>
        </w:rPr>
        <w:t>, aby tuto činnost vykonával, pokud daný certifikát získá).</w:t>
      </w:r>
    </w:p>
    <w:p w:rsidR="00ED5B2D" w:rsidRPr="00221615" w:rsidP="00221615" w14:paraId="09110764" w14:textId="77777777">
      <w:pPr>
        <w:rPr>
          <w:rFonts w:eastAsia="Calibri"/>
          <w:noProof w:val="0"/>
          <w:szCs w:val="22"/>
          <w:lang w:bidi="ar-SA"/>
        </w:rPr>
      </w:pPr>
      <w:r w:rsidRPr="00221615">
        <w:rPr>
          <w:rFonts w:eastAsia="Calibri"/>
          <w:b/>
          <w:noProof w:val="0"/>
          <w:szCs w:val="22"/>
          <w:lang w:bidi="ar-SA"/>
        </w:rPr>
        <w:t xml:space="preserve">V praxi je toto provázání činností, tedy že </w:t>
      </w:r>
      <w:r w:rsidRPr="00221615" w:rsidR="00CF04A4">
        <w:rPr>
          <w:rFonts w:eastAsia="Calibri"/>
          <w:b/>
          <w:noProof w:val="0"/>
          <w:szCs w:val="22"/>
          <w:lang w:bidi="ar-SA"/>
        </w:rPr>
        <w:t>KS</w:t>
      </w:r>
      <w:r w:rsidRPr="00221615">
        <w:rPr>
          <w:rFonts w:eastAsia="Calibri"/>
          <w:b/>
          <w:noProof w:val="0"/>
          <w:szCs w:val="22"/>
          <w:lang w:bidi="ar-SA"/>
        </w:rPr>
        <w:t xml:space="preserve"> zároveň zajišťuje zpracování OEEZ, běžné.</w:t>
      </w:r>
      <w:r w:rsidRPr="00221615">
        <w:rPr>
          <w:rFonts w:eastAsia="Calibri"/>
          <w:noProof w:val="0"/>
          <w:szCs w:val="22"/>
          <w:lang w:bidi="ar-SA"/>
        </w:rPr>
        <w:t xml:space="preserve"> Příkladem může být ERP, která nabízí německým výrobcům služby pokrývající všechny povinnosti výrobce:</w:t>
      </w:r>
    </w:p>
    <w:p w:rsidR="00ED5B2D" w:rsidRPr="00221615" w:rsidP="003C445B" w14:paraId="6D555015"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Registrace výrobce u EAR</w:t>
      </w:r>
    </w:p>
    <w:p w:rsidR="00ED5B2D" w:rsidRPr="00221615" w:rsidP="003C445B" w14:paraId="7CEE1DC7"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Registrace výrobce u UBA</w:t>
      </w:r>
    </w:p>
    <w:p w:rsidR="00ED5B2D" w:rsidRPr="00221615" w:rsidP="003C445B" w14:paraId="55F947B7"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Pomoc s výběrem a uzavřením insolvenční garance za výrobky uvedené na trh (viz povinnosti výše)</w:t>
      </w:r>
    </w:p>
    <w:p w:rsidR="00ED5B2D" w:rsidRPr="00221615" w:rsidP="003C445B" w14:paraId="57410B06"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 xml:space="preserve">Zajištění povinného předávání informací EAR </w:t>
      </w:r>
    </w:p>
    <w:p w:rsidR="00ED5B2D" w:rsidRPr="00221615" w:rsidP="003C445B" w14:paraId="7550D352"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Zpětný odběr</w:t>
      </w:r>
    </w:p>
    <w:p w:rsidR="00ED5B2D" w:rsidRPr="00221615" w:rsidP="003C445B" w14:paraId="38C7F171" w14:textId="77777777">
      <w:pPr>
        <w:pStyle w:val="ListParagraph"/>
        <w:numPr>
          <w:ilvl w:val="0"/>
          <w:numId w:val="86"/>
        </w:numPr>
        <w:spacing w:after="0"/>
        <w:ind w:left="1077" w:hanging="357"/>
        <w:contextualSpacing w:val="0"/>
        <w:rPr>
          <w:rFonts w:eastAsia="Calibri"/>
          <w:noProof w:val="0"/>
          <w:szCs w:val="22"/>
          <w:lang w:bidi="ar-SA"/>
        </w:rPr>
      </w:pPr>
      <w:r w:rsidRPr="00221615">
        <w:rPr>
          <w:rFonts w:eastAsia="Calibri"/>
          <w:noProof w:val="0"/>
          <w:szCs w:val="22"/>
          <w:lang w:bidi="ar-SA"/>
        </w:rPr>
        <w:t>Zajištění zpracování, případně likvidace OEEZ v zařízeních auditovaných ERP</w:t>
      </w:r>
    </w:p>
    <w:p w:rsidR="00B45E02" w:rsidP="00936929" w14:paraId="6986513E" w14:textId="77777777">
      <w:pPr>
        <w:rPr>
          <w:rFonts w:eastAsia="Calibri"/>
          <w:noProof w:val="0"/>
          <w:szCs w:val="22"/>
          <w:lang w:bidi="ar-SA"/>
        </w:rPr>
      </w:pPr>
      <w:r w:rsidRPr="00381FB7">
        <w:rPr>
          <w:rFonts w:eastAsia="Calibri"/>
          <w:noProof w:val="0"/>
          <w:szCs w:val="22"/>
          <w:lang w:bidi="ar-SA"/>
        </w:rPr>
        <w:t>ERP nepůsobí pouze v Německu, ale i v jiných evropských zemích.</w:t>
      </w:r>
    </w:p>
    <w:p w:rsidR="00ED5B2D" w:rsidRPr="00CA69D0" w:rsidP="00221615" w14:paraId="31C5ABAB" w14:textId="77777777">
      <w:pPr>
        <w:pStyle w:val="Normln-tun"/>
        <w:spacing w:before="120" w:after="0"/>
      </w:pPr>
      <w:r w:rsidRPr="00381FB7">
        <w:t>Rakousko</w:t>
      </w:r>
    </w:p>
    <w:p w:rsidR="00ED5B2D" w:rsidRPr="00CA69D0" w:rsidP="00936929" w14:paraId="07579C7C" w14:textId="77777777">
      <w:pPr>
        <w:widowControl w:val="0"/>
      </w:pPr>
      <w:r w:rsidRPr="00381FB7">
        <w:t>Zpětný odběr OEEZ v Rakousku je legislativně zakotven v tzv. EAG-VO</w:t>
      </w:r>
      <w:r>
        <w:footnoteReference w:id="9"/>
      </w:r>
      <w:r w:rsidRPr="00381FB7">
        <w:t xml:space="preserve"> (zákon o odpadních elektrických a elektronických zařízeních), který řeší i problematiku OEEZ (včetně problematiky operátora na trhu OEEZ, fungování </w:t>
      </w:r>
      <w:r w:rsidR="00CF04A4">
        <w:t>KS</w:t>
      </w:r>
      <w:r w:rsidRPr="00381FB7">
        <w:t xml:space="preserve"> a osvětové činnosti v oblasti OEEZ, které jsou důležité z hlediska této RIA) a tzv. Abfallwirtschaftsgesetz (zákon o</w:t>
      </w:r>
      <w:r w:rsidR="00CF04A4">
        <w:t> </w:t>
      </w:r>
      <w:r w:rsidRPr="00381FB7">
        <w:t>odpadech), který řeší problematiku odpadů obecně.</w:t>
      </w:r>
    </w:p>
    <w:p w:rsidR="00925F10" w:rsidRPr="00CA69D0" w:rsidP="00936929" w14:paraId="7DCA7024" w14:textId="5A3D2158">
      <w:pPr>
        <w:widowControl w:val="0"/>
        <w:rPr>
          <w:rFonts w:eastAsia="Calibri"/>
          <w:noProof w:val="0"/>
          <w:szCs w:val="22"/>
          <w:lang w:bidi="ar-SA"/>
        </w:rPr>
      </w:pPr>
      <w:r w:rsidRPr="00381FB7">
        <w:t>Životní cyklus EEZ vypadá v Rakousku podobně jako v Německu; začíná jeho uvedením na</w:t>
      </w:r>
      <w:r w:rsidR="00CF04A4">
        <w:t> </w:t>
      </w:r>
      <w:r w:rsidRPr="00381FB7">
        <w:t>trh (před kterým se musí výrobce registrovat u Ministerstva životního prostředí), kde je zakoupen spotřebitelem. Po skončení jeho životnosti ho spotřebitel odevzdá na místě zpětného odběru, která v Rakousku provozují obce nebo jejich sdružení</w:t>
      </w:r>
      <w:r>
        <w:rPr>
          <w:vertAlign w:val="superscript"/>
        </w:rPr>
        <w:footnoteReference w:id="10"/>
      </w:r>
      <w:r w:rsidRPr="00381FB7">
        <w:t xml:space="preserve">. V další fázi pak zodpovídá za OEEZ výrobce; ten tak může učinit skrze </w:t>
      </w:r>
      <w:r w:rsidR="00CF04A4">
        <w:t>KS</w:t>
      </w:r>
      <w:r w:rsidRPr="00381FB7">
        <w:t xml:space="preserve"> nebo individuálně. V této fázi je důležitý operátor trhu EAK (Elektroaltgeräte Koordinierungsstelle Austria GmbH), který v Rakousku řídí zpětný odběr OEEZ. EAK zodpovídá za organizaci svozů OEEZ z odběrových míst, k čemuž využívá </w:t>
      </w:r>
      <w:r w:rsidR="00CF04A4">
        <w:t>KS</w:t>
      </w:r>
      <w:r w:rsidRPr="00381FB7">
        <w:t xml:space="preserve"> působící v Rakousku (nebo samostatné výrobce). Ty dále zajistí zpracování OEEZ; po</w:t>
      </w:r>
      <w:r w:rsidR="002408DF">
        <w:t> </w:t>
      </w:r>
      <w:r w:rsidRPr="00381FB7">
        <w:t>zpracování OEEZ dojde k recyklaci části výrobku a jejich opětovnému použití, čímž je uzavřen životní cyklus výrobku.</w:t>
      </w:r>
      <w:r w:rsidRPr="00381FB7">
        <w:rPr>
          <w:rFonts w:eastAsia="Calibri"/>
          <w:noProof w:val="0"/>
          <w:szCs w:val="22"/>
          <w:lang w:bidi="ar-SA"/>
        </w:rPr>
        <w:t xml:space="preserve"> </w:t>
      </w:r>
    </w:p>
    <w:p w:rsidR="00ED5B2D" w:rsidRPr="00221615" w:rsidP="0017046F" w14:paraId="7200B4E1" w14:textId="301F3DBC">
      <w:pPr>
        <w:pStyle w:val="Caption"/>
        <w:rPr>
          <w:rFonts w:cs="Arial"/>
          <w:sz w:val="20"/>
          <w:szCs w:val="20"/>
          <w:lang w:eastAsia="cs-CZ" w:bidi="ar-SA"/>
        </w:rPr>
      </w:pPr>
      <w:r w:rsidRPr="00221615">
        <w:rPr>
          <w:rFonts w:cs="Arial"/>
          <w:sz w:val="20"/>
          <w:szCs w:val="20"/>
          <w:lang w:eastAsia="cs-CZ" w:bidi="ar-SA"/>
        </w:rPr>
        <w:t xml:space="preserve">Obrázek </w:t>
      </w:r>
      <w:r w:rsidR="008231E9">
        <w:rPr>
          <w:rFonts w:cs="Arial"/>
          <w:sz w:val="20"/>
          <w:szCs w:val="20"/>
          <w:lang w:eastAsia="cs-CZ" w:bidi="ar-SA"/>
        </w:rPr>
        <w:t>4</w:t>
      </w:r>
      <w:r w:rsidRPr="00221615">
        <w:rPr>
          <w:rFonts w:cs="Arial"/>
          <w:sz w:val="20"/>
          <w:szCs w:val="20"/>
          <w:lang w:eastAsia="cs-CZ" w:bidi="ar-SA"/>
        </w:rPr>
        <w:t>: Přehled fungování systému v Rakousku</w:t>
      </w:r>
    </w:p>
    <w:p w:rsidR="00ED5B2D" w:rsidRPr="00ED38E9" w:rsidP="00ED5B2D" w14:paraId="202821F0" w14:textId="77777777">
      <w:pPr>
        <w:keepNext/>
        <w:widowControl w:val="0"/>
        <w:spacing w:after="120"/>
        <w:rPr>
          <w:rFonts w:eastAsia="Calibri" w:cs="Arial"/>
          <w:b/>
          <w:i/>
          <w:noProof w:val="0"/>
          <w:szCs w:val="22"/>
          <w:lang w:bidi="ar-SA"/>
        </w:rPr>
      </w:pPr>
      <w:r w:rsidRPr="00ED38E9">
        <w:rPr>
          <w:rFonts w:eastAsia="Calibri" w:cs="Arial"/>
          <w:szCs w:val="22"/>
          <w:lang w:eastAsia="cs-CZ" w:bidi="ar-SA"/>
        </w:rPr>
        <w:drawing>
          <wp:inline distT="0" distB="0" distL="0" distR="0">
            <wp:extent cx="4772025" cy="4421533"/>
            <wp:effectExtent l="0" t="0" r="0" b="0"/>
            <wp:docPr id="2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19688" name="Picture 15"/>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4132" cy="4423485"/>
                    </a:xfrm>
                    <a:prstGeom prst="rect">
                      <a:avLst/>
                    </a:prstGeom>
                    <a:noFill/>
                  </pic:spPr>
                </pic:pic>
              </a:graphicData>
            </a:graphic>
          </wp:inline>
        </w:drawing>
      </w:r>
    </w:p>
    <w:p w:rsidR="00ED5B2D" w:rsidRPr="00ED38E9" w:rsidP="00221615" w14:paraId="3EAAB3F4" w14:textId="77777777">
      <w:pPr>
        <w:widowControl w:val="0"/>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CF04A4" w:rsidP="00221615" w14:paraId="35C66139" w14:textId="77777777">
      <w:pPr>
        <w:keepNext/>
        <w:rPr>
          <w:rStyle w:val="Emphasis"/>
          <w:rFonts w:ascii="Times New Roman" w:hAnsi="Times New Roman"/>
          <w:sz w:val="24"/>
        </w:rPr>
      </w:pPr>
    </w:p>
    <w:p w:rsidR="00ED5B2D" w:rsidRPr="006A54F0" w:rsidP="00221615" w14:paraId="168C896C" w14:textId="77777777">
      <w:pPr>
        <w:keepNext/>
        <w:rPr>
          <w:b/>
          <w:i/>
        </w:rPr>
      </w:pPr>
      <w:r w:rsidRPr="00E32267">
        <w:rPr>
          <w:rStyle w:val="Emphasis"/>
        </w:rPr>
        <w:t>Operátor</w:t>
      </w:r>
      <w:r w:rsidRPr="006A54F0">
        <w:rPr>
          <w:b/>
          <w:i/>
        </w:rPr>
        <w:t xml:space="preserve"> EAK</w:t>
      </w:r>
    </w:p>
    <w:p w:rsidR="00ED5B2D" w:rsidRPr="00D12FE4" w:rsidP="00936929" w14:paraId="2880B32D" w14:textId="77777777">
      <w:pPr>
        <w:widowControl w:val="0"/>
      </w:pPr>
      <w:r w:rsidRPr="00097EE6">
        <w:t xml:space="preserve">Jako operátor trhu s OEEZ v Rakousku funguje EAK - Elektroaltgeräte Koordinierungsstelle Austria GmbH. Jedná se o společnost s ručením omezeným, která byla založena v roce 2005 jako </w:t>
      </w:r>
      <w:r w:rsidRPr="00D12FE4">
        <w:t>nezisková organizace, přičemž jejími vlastníky jsou Rakouská hospodářská komora a zástupci oborů souvisejících s OEEZ.</w:t>
      </w:r>
    </w:p>
    <w:p w:rsidR="00ED5B2D" w:rsidRPr="00212AB8" w:rsidP="00936929" w14:paraId="6C668F00" w14:textId="77777777">
      <w:pPr>
        <w:widowControl w:val="0"/>
      </w:pPr>
      <w:r w:rsidRPr="0092438A">
        <w:t>Hlavními úkoly EAK jsou:</w:t>
      </w:r>
    </w:p>
    <w:p w:rsidR="00ED5B2D" w:rsidRPr="002E1F28" w:rsidP="003C445B" w14:paraId="3588E20B" w14:textId="77777777">
      <w:pPr>
        <w:pStyle w:val="ListParagraph"/>
        <w:numPr>
          <w:ilvl w:val="0"/>
          <w:numId w:val="87"/>
        </w:numPr>
        <w:spacing w:after="0"/>
        <w:contextualSpacing w:val="0"/>
        <w:rPr>
          <w:rFonts w:eastAsia="Calibri"/>
          <w:noProof w:val="0"/>
          <w:lang w:bidi="ar-SA"/>
        </w:rPr>
      </w:pPr>
      <w:r w:rsidRPr="00E37D0B">
        <w:rPr>
          <w:rFonts w:eastAsia="Calibri"/>
          <w:b/>
          <w:noProof w:val="0"/>
          <w:lang w:bidi="ar-SA"/>
        </w:rPr>
        <w:t>Koordin</w:t>
      </w:r>
      <w:r w:rsidRPr="00242695">
        <w:rPr>
          <w:rFonts w:eastAsia="Calibri"/>
          <w:b/>
          <w:noProof w:val="0"/>
          <w:lang w:bidi="ar-SA"/>
        </w:rPr>
        <w:t>ace svozu OEEZ z míst zpětného odběru</w:t>
      </w:r>
      <w:r w:rsidRPr="002E1F28">
        <w:rPr>
          <w:rFonts w:eastAsia="Calibri"/>
          <w:noProof w:val="0"/>
          <w:lang w:bidi="ar-SA"/>
        </w:rPr>
        <w:t xml:space="preserve"> (místo zpětného odběru nahlásí EAK potřebu odvozu OEEZ, to pak určí kolektivní systém, který tuto činnost provede; náklady míst zpětného odběru pak EAK rozpočítá na </w:t>
      </w:r>
      <w:r w:rsidR="00CF04A4">
        <w:rPr>
          <w:rFonts w:eastAsia="Calibri"/>
          <w:noProof w:val="0"/>
          <w:lang w:bidi="ar-SA"/>
        </w:rPr>
        <w:t>KS</w:t>
      </w:r>
      <w:r w:rsidRPr="002E1F28">
        <w:rPr>
          <w:rFonts w:eastAsia="Calibri"/>
          <w:noProof w:val="0"/>
          <w:lang w:bidi="ar-SA"/>
        </w:rPr>
        <w:t>)</w:t>
      </w:r>
    </w:p>
    <w:p w:rsidR="00ED5B2D" w:rsidRPr="003748C7" w:rsidP="003C445B" w14:paraId="5F54A154" w14:textId="77777777">
      <w:pPr>
        <w:pStyle w:val="ListParagraph"/>
        <w:numPr>
          <w:ilvl w:val="0"/>
          <w:numId w:val="87"/>
        </w:numPr>
        <w:spacing w:after="0"/>
        <w:contextualSpacing w:val="0"/>
        <w:rPr>
          <w:rFonts w:eastAsia="Calibri"/>
          <w:b/>
          <w:noProof w:val="0"/>
          <w:lang w:bidi="ar-SA"/>
        </w:rPr>
      </w:pPr>
      <w:r w:rsidRPr="002E1F28">
        <w:rPr>
          <w:rFonts w:eastAsia="Calibri"/>
          <w:b/>
          <w:noProof w:val="0"/>
          <w:lang w:bidi="ar-SA"/>
        </w:rPr>
        <w:t>Informování a osvěta spotřebitelů</w:t>
      </w:r>
      <w:r w:rsidRPr="00530496">
        <w:rPr>
          <w:rFonts w:eastAsia="Calibri"/>
          <w:b/>
          <w:noProof w:val="0"/>
          <w:lang w:bidi="ar-SA"/>
        </w:rPr>
        <w:t xml:space="preserve"> o správném zacházení s OEEZ</w:t>
      </w:r>
      <w:r w:rsidRPr="003748C7">
        <w:rPr>
          <w:rFonts w:eastAsia="Calibri"/>
          <w:noProof w:val="0"/>
          <w:lang w:bidi="ar-SA"/>
        </w:rPr>
        <w:t xml:space="preserve"> (tato činnost je zakotvena přímo v EAG – VO) – informační kampaň</w:t>
      </w:r>
    </w:p>
    <w:p w:rsidR="00ED5B2D" w:rsidRPr="003D48A2" w:rsidP="003C445B" w14:paraId="4CBDEB7B" w14:textId="77777777">
      <w:pPr>
        <w:pStyle w:val="ListParagraph"/>
        <w:numPr>
          <w:ilvl w:val="0"/>
          <w:numId w:val="87"/>
        </w:numPr>
        <w:spacing w:after="0"/>
        <w:contextualSpacing w:val="0"/>
        <w:rPr>
          <w:rFonts w:eastAsia="Calibri"/>
          <w:b/>
          <w:noProof w:val="0"/>
          <w:lang w:bidi="ar-SA"/>
        </w:rPr>
      </w:pPr>
      <w:r w:rsidRPr="003D48A2">
        <w:rPr>
          <w:rFonts w:eastAsia="Calibri"/>
          <w:b/>
          <w:noProof w:val="0"/>
          <w:lang w:bidi="ar-SA"/>
        </w:rPr>
        <w:t>Podávání hlášení MŽP</w:t>
      </w:r>
    </w:p>
    <w:p w:rsidR="00ED5B2D" w:rsidP="00936929" w14:paraId="2CFFB0F7" w14:textId="77777777">
      <w:pPr>
        <w:rPr>
          <w:rFonts w:eastAsia="Calibri"/>
          <w:lang w:bidi="ar-SA"/>
        </w:rPr>
      </w:pPr>
      <w:r w:rsidRPr="000C7590">
        <w:rPr>
          <w:rFonts w:eastAsia="Calibri"/>
          <w:lang w:bidi="ar-SA"/>
        </w:rPr>
        <w:t>Z uvedeného vyplývá, že rakouský operátor trhu plní mimo jiné funkci zúčtovací a</w:t>
      </w:r>
      <w:r w:rsidRPr="000C7590" w:rsidR="00F635E4">
        <w:rPr>
          <w:rFonts w:eastAsia="Calibri"/>
          <w:lang w:bidi="ar-SA"/>
        </w:rPr>
        <w:t> </w:t>
      </w:r>
      <w:r w:rsidRPr="000C7590">
        <w:rPr>
          <w:rFonts w:eastAsia="Calibri"/>
          <w:lang w:bidi="ar-SA"/>
        </w:rPr>
        <w:t>zodpovídá za osvětovou činnost.</w:t>
      </w:r>
    </w:p>
    <w:p w:rsidR="00ED5B2D" w:rsidRPr="003D48A2" w:rsidP="00221615" w14:paraId="6834C10E" w14:textId="77777777">
      <w:pPr>
        <w:keepNext/>
        <w:rPr>
          <w:rStyle w:val="Emphasis"/>
        </w:rPr>
      </w:pPr>
      <w:r w:rsidRPr="003D48A2">
        <w:rPr>
          <w:rStyle w:val="Emphasis"/>
        </w:rPr>
        <w:t>Kolektivní systémy</w:t>
      </w:r>
    </w:p>
    <w:p w:rsidR="00ED5B2D" w:rsidRPr="0006792F" w:rsidP="00936929" w14:paraId="4ADF214F" w14:textId="77777777">
      <w:pPr>
        <w:widowControl w:val="0"/>
      </w:pPr>
      <w:r w:rsidRPr="001F7AC0">
        <w:t xml:space="preserve">Sběrné a </w:t>
      </w:r>
      <w:r w:rsidRPr="005F42B3">
        <w:t xml:space="preserve">recyklační kolektivní systémy v Rakousku schvaluje Ministerstvo životního prostředí. V současné době jich je pět (v závorce </w:t>
      </w:r>
      <w:r w:rsidRPr="00B24116" w:rsidR="00663FE3">
        <w:t xml:space="preserve">je </w:t>
      </w:r>
      <w:r w:rsidRPr="00B24116">
        <w:t>u</w:t>
      </w:r>
      <w:r w:rsidRPr="00004A96" w:rsidR="00663FE3">
        <w:t>veden</w:t>
      </w:r>
      <w:r w:rsidRPr="0006792F">
        <w:t xml:space="preserve"> počet výrobců, kteří tvoří zákazníky těchto </w:t>
      </w:r>
      <w:r w:rsidR="00CF04A4">
        <w:t>KS</w:t>
      </w:r>
      <w:r w:rsidRPr="0006792F">
        <w:t xml:space="preserve"> v oblasti OEEZ):</w:t>
      </w:r>
    </w:p>
    <w:p w:rsidR="00ED5B2D" w:rsidRPr="00042A18" w:rsidP="003C445B" w14:paraId="6D0DAAC3" w14:textId="77777777">
      <w:pPr>
        <w:pStyle w:val="ListParagraph"/>
        <w:numPr>
          <w:ilvl w:val="0"/>
          <w:numId w:val="88"/>
        </w:numPr>
        <w:spacing w:after="0"/>
        <w:contextualSpacing w:val="0"/>
        <w:rPr>
          <w:rFonts w:eastAsia="Calibri"/>
          <w:noProof w:val="0"/>
          <w:lang w:bidi="ar-SA"/>
        </w:rPr>
      </w:pPr>
      <w:r w:rsidRPr="00C0118D">
        <w:rPr>
          <w:rFonts w:eastAsia="Calibri"/>
          <w:noProof w:val="0"/>
          <w:lang w:bidi="ar-SA"/>
        </w:rPr>
        <w:t>ERA Elektro Recycling Austria GmbH</w:t>
      </w:r>
      <w:r w:rsidRPr="00474DE8" w:rsidR="00663FE3">
        <w:rPr>
          <w:rFonts w:eastAsia="Calibri"/>
          <w:noProof w:val="0"/>
          <w:lang w:bidi="ar-SA"/>
        </w:rPr>
        <w:t xml:space="preserve"> </w:t>
      </w:r>
      <w:r w:rsidRPr="00474DE8">
        <w:rPr>
          <w:rFonts w:eastAsia="Calibri"/>
          <w:noProof w:val="0"/>
          <w:lang w:bidi="ar-SA"/>
        </w:rPr>
        <w:t>(1</w:t>
      </w:r>
      <w:r w:rsidR="00CF04A4">
        <w:rPr>
          <w:rFonts w:eastAsia="Calibri"/>
          <w:noProof w:val="0"/>
          <w:lang w:bidi="ar-SA"/>
        </w:rPr>
        <w:t xml:space="preserve"> </w:t>
      </w:r>
      <w:r w:rsidRPr="00474DE8">
        <w:rPr>
          <w:rFonts w:eastAsia="Calibri"/>
          <w:noProof w:val="0"/>
          <w:lang w:bidi="ar-SA"/>
        </w:rPr>
        <w:t>128</w:t>
      </w:r>
      <w:r w:rsidRPr="00042A18">
        <w:rPr>
          <w:rFonts w:eastAsia="Calibri"/>
          <w:noProof w:val="0"/>
          <w:lang w:bidi="ar-SA"/>
        </w:rPr>
        <w:t xml:space="preserve"> výrobců)</w:t>
      </w:r>
    </w:p>
    <w:p w:rsidR="00ED5B2D" w:rsidRPr="00CA69D0" w:rsidP="003C445B" w14:paraId="405CFD97" w14:textId="77777777">
      <w:pPr>
        <w:pStyle w:val="ListParagraph"/>
        <w:numPr>
          <w:ilvl w:val="0"/>
          <w:numId w:val="88"/>
        </w:numPr>
        <w:spacing w:after="0"/>
        <w:contextualSpacing w:val="0"/>
        <w:rPr>
          <w:rFonts w:eastAsia="Calibri"/>
          <w:noProof w:val="0"/>
          <w:lang w:bidi="ar-SA"/>
        </w:rPr>
      </w:pPr>
      <w:r w:rsidRPr="00331677">
        <w:rPr>
          <w:rFonts w:eastAsia="Calibri"/>
          <w:noProof w:val="0"/>
          <w:lang w:bidi="ar-SA"/>
        </w:rPr>
        <w:t>European Recycling Platform (ERP) Österreich GmbH ( 36 výrobců)</w:t>
      </w:r>
    </w:p>
    <w:p w:rsidR="00ED5B2D" w:rsidRPr="00CA69D0" w:rsidP="003C445B" w14:paraId="4A796258" w14:textId="77777777">
      <w:pPr>
        <w:pStyle w:val="ListParagraph"/>
        <w:numPr>
          <w:ilvl w:val="0"/>
          <w:numId w:val="88"/>
        </w:numPr>
        <w:spacing w:after="0"/>
        <w:ind w:left="714" w:hanging="357"/>
        <w:contextualSpacing w:val="0"/>
        <w:rPr>
          <w:rFonts w:eastAsia="Calibri"/>
          <w:noProof w:val="0"/>
          <w:lang w:bidi="ar-SA"/>
        </w:rPr>
      </w:pPr>
      <w:r w:rsidRPr="00331677">
        <w:rPr>
          <w:rFonts w:eastAsia="Calibri"/>
          <w:noProof w:val="0"/>
          <w:lang w:bidi="ar-SA"/>
        </w:rPr>
        <w:t>INTERSEROH Austria GmbH (267 výrobců)</w:t>
      </w:r>
    </w:p>
    <w:p w:rsidR="00B45E02" w:rsidRPr="00221615" w:rsidP="003C445B" w14:paraId="2DBEB7AA" w14:textId="77777777">
      <w:pPr>
        <w:pStyle w:val="ListParagraph"/>
        <w:numPr>
          <w:ilvl w:val="0"/>
          <w:numId w:val="88"/>
        </w:numPr>
        <w:spacing w:after="0"/>
        <w:ind w:left="714" w:hanging="357"/>
        <w:contextualSpacing w:val="0"/>
        <w:rPr>
          <w:rFonts w:eastAsia="Calibri"/>
          <w:noProof w:val="0"/>
          <w:lang w:bidi="ar-SA"/>
        </w:rPr>
      </w:pPr>
      <w:r w:rsidRPr="00221615">
        <w:rPr>
          <w:rFonts w:eastAsia="Calibri"/>
          <w:noProof w:val="0"/>
          <w:lang w:bidi="ar-SA"/>
        </w:rPr>
        <w:t>UFH (548 výrobců)</w:t>
      </w:r>
    </w:p>
    <w:p w:rsidR="00B45E02" w:rsidRPr="00CA69D0" w:rsidP="003C445B" w14:paraId="0898CB9A" w14:textId="77777777">
      <w:pPr>
        <w:pStyle w:val="ListParagraph"/>
        <w:numPr>
          <w:ilvl w:val="1"/>
          <w:numId w:val="44"/>
        </w:numPr>
        <w:spacing w:after="0"/>
        <w:contextualSpacing w:val="0"/>
        <w:rPr>
          <w:rFonts w:eastAsia="Calibri"/>
          <w:noProof w:val="0"/>
          <w:lang w:bidi="ar-SA"/>
        </w:rPr>
      </w:pPr>
      <w:r w:rsidRPr="00331677">
        <w:rPr>
          <w:rFonts w:eastAsia="Calibri"/>
          <w:noProof w:val="0"/>
          <w:lang w:bidi="ar-SA"/>
        </w:rPr>
        <w:t>UFH Altlampen Systembetreiber GmbH</w:t>
      </w:r>
    </w:p>
    <w:p w:rsidR="00ED5B2D" w:rsidRPr="00CA69D0" w:rsidP="003C445B" w14:paraId="68C79A6D" w14:textId="77777777">
      <w:pPr>
        <w:pStyle w:val="ListParagraph"/>
        <w:numPr>
          <w:ilvl w:val="1"/>
          <w:numId w:val="44"/>
        </w:numPr>
        <w:spacing w:after="0"/>
        <w:contextualSpacing w:val="0"/>
        <w:rPr>
          <w:rFonts w:eastAsia="Calibri"/>
          <w:noProof w:val="0"/>
          <w:lang w:bidi="ar-SA"/>
        </w:rPr>
      </w:pPr>
      <w:r w:rsidRPr="00381FB7">
        <w:rPr>
          <w:rFonts w:eastAsia="Calibri"/>
          <w:noProof w:val="0"/>
          <w:lang w:bidi="ar-SA"/>
        </w:rPr>
        <w:t>UFH Elektroaltgeräte System Betreiber GmbH</w:t>
      </w:r>
    </w:p>
    <w:p w:rsidR="00ED5B2D" w:rsidRPr="00CA69D0" w:rsidP="00936929" w14:paraId="4C7C2C60" w14:textId="77777777">
      <w:pPr>
        <w:rPr>
          <w:rFonts w:eastAsia="Calibri"/>
          <w:noProof w:val="0"/>
          <w:lang w:bidi="ar-SA"/>
        </w:rPr>
      </w:pPr>
      <w:r w:rsidRPr="00381FB7">
        <w:rPr>
          <w:rFonts w:eastAsia="Calibri"/>
          <w:noProof w:val="0"/>
          <w:lang w:bidi="ar-SA"/>
        </w:rPr>
        <w:t xml:space="preserve">Kromě UFH Altlampen Systembetreiber GmbH, který se specializuje na osvětlovací zařízení, působí </w:t>
      </w:r>
      <w:r w:rsidR="000E6B47">
        <w:rPr>
          <w:rFonts w:eastAsia="Calibri"/>
          <w:noProof w:val="0"/>
          <w:lang w:bidi="ar-SA"/>
        </w:rPr>
        <w:t>KS</w:t>
      </w:r>
      <w:r w:rsidRPr="00381FB7">
        <w:rPr>
          <w:rFonts w:eastAsia="Calibri"/>
          <w:noProof w:val="0"/>
          <w:lang w:bidi="ar-SA"/>
        </w:rPr>
        <w:t xml:space="preserve"> ve všech kategoriích OEEZ.</w:t>
      </w:r>
    </w:p>
    <w:p w:rsidR="00ED5B2D" w:rsidRPr="00CA69D0" w:rsidP="00936929" w14:paraId="52BF447A" w14:textId="77777777">
      <w:pPr>
        <w:rPr>
          <w:rFonts w:eastAsia="Calibri"/>
          <w:noProof w:val="0"/>
          <w:lang w:bidi="ar-SA"/>
        </w:rPr>
      </w:pPr>
      <w:r w:rsidRPr="00381FB7">
        <w:rPr>
          <w:rFonts w:eastAsia="Calibri"/>
          <w:noProof w:val="0"/>
          <w:lang w:bidi="ar-SA"/>
        </w:rPr>
        <w:t xml:space="preserve">Počet </w:t>
      </w:r>
      <w:r w:rsidR="000E6B47">
        <w:rPr>
          <w:rFonts w:eastAsia="Calibri"/>
          <w:noProof w:val="0"/>
          <w:lang w:bidi="ar-SA"/>
        </w:rPr>
        <w:t>KS</w:t>
      </w:r>
      <w:r w:rsidRPr="00381FB7">
        <w:rPr>
          <w:rFonts w:eastAsia="Calibri"/>
          <w:noProof w:val="0"/>
          <w:lang w:bidi="ar-SA"/>
        </w:rPr>
        <w:t xml:space="preserve"> není omezen ze zákona, nicméně každý </w:t>
      </w:r>
      <w:r w:rsidR="000E6B47">
        <w:rPr>
          <w:rFonts w:eastAsia="Calibri"/>
          <w:noProof w:val="0"/>
          <w:lang w:bidi="ar-SA"/>
        </w:rPr>
        <w:t>KS</w:t>
      </w:r>
      <w:r w:rsidRPr="00381FB7">
        <w:rPr>
          <w:rFonts w:eastAsia="Calibri"/>
          <w:noProof w:val="0"/>
          <w:lang w:bidi="ar-SA"/>
        </w:rPr>
        <w:t xml:space="preserve"> musí být zaregistrovaný u </w:t>
      </w:r>
      <w:r w:rsidR="000E6B47">
        <w:rPr>
          <w:rFonts w:eastAsia="Calibri"/>
          <w:noProof w:val="0"/>
          <w:lang w:bidi="ar-SA"/>
        </w:rPr>
        <w:t>Ministerstva</w:t>
      </w:r>
      <w:r w:rsidRPr="00381FB7" w:rsidR="000E6B47">
        <w:rPr>
          <w:rFonts w:eastAsia="Calibri"/>
          <w:noProof w:val="0"/>
          <w:lang w:bidi="ar-SA"/>
        </w:rPr>
        <w:t xml:space="preserve"> životního prostředí</w:t>
      </w:r>
      <w:r w:rsidRPr="00381FB7">
        <w:rPr>
          <w:rFonts w:eastAsia="Calibri"/>
          <w:noProof w:val="0"/>
          <w:lang w:bidi="ar-SA"/>
        </w:rPr>
        <w:t>, s jinými výrobci nemohou spolupracovat; Rakousko spoléhá na</w:t>
      </w:r>
      <w:r w:rsidR="000E6B47">
        <w:rPr>
          <w:rFonts w:eastAsia="Calibri"/>
          <w:noProof w:val="0"/>
          <w:lang w:bidi="ar-SA"/>
        </w:rPr>
        <w:t> </w:t>
      </w:r>
      <w:r w:rsidRPr="00381FB7">
        <w:rPr>
          <w:rFonts w:eastAsia="Calibri"/>
          <w:noProof w:val="0"/>
          <w:lang w:bidi="ar-SA"/>
        </w:rPr>
        <w:t>dostatečné vytvoření konkurence a konkurenčního prostředí díky tomu, že EAK má se všemi kolektivními systémy uzavřenou totožnou smlouvu, a ze zákona k nim musí přistupovat stejně.</w:t>
      </w:r>
    </w:p>
    <w:p w:rsidR="00ED5B2D" w:rsidP="00936929" w14:paraId="0EB2E1DA" w14:textId="77777777">
      <w:pPr>
        <w:rPr>
          <w:rFonts w:eastAsia="Calibri"/>
          <w:noProof w:val="0"/>
          <w:lang w:bidi="ar-SA"/>
        </w:rPr>
      </w:pPr>
      <w:r w:rsidRPr="00381FB7">
        <w:rPr>
          <w:rFonts w:eastAsia="Calibri"/>
          <w:b/>
          <w:noProof w:val="0"/>
          <w:lang w:bidi="ar-SA"/>
        </w:rPr>
        <w:t>Kolektivní systémy v Rakousku zajišťují funkci transportní i zpracovatelskou</w:t>
      </w:r>
      <w:r w:rsidRPr="00381FB7">
        <w:rPr>
          <w:rFonts w:eastAsia="Calibri"/>
          <w:noProof w:val="0"/>
          <w:lang w:bidi="ar-SA"/>
        </w:rPr>
        <w:t>. Příkladem opět může být ERP, který působí i v Rakousku pod názvem European Recycling Platform (ERP) Österreich GmbH a který nabízí svým členům obě tyto činnosti.</w:t>
      </w:r>
    </w:p>
    <w:p w:rsidR="000E6B47" w:rsidRPr="00CA69D0" w:rsidP="00936929" w14:paraId="7F8F2063" w14:textId="77777777">
      <w:pPr>
        <w:rPr>
          <w:rFonts w:eastAsia="Calibri"/>
          <w:noProof w:val="0"/>
          <w:lang w:bidi="ar-SA"/>
        </w:rPr>
      </w:pPr>
    </w:p>
    <w:p w:rsidR="00ED5B2D" w:rsidRPr="00CA69D0" w:rsidP="00152383" w14:paraId="30DA7F03" w14:textId="77777777">
      <w:pPr>
        <w:pStyle w:val="Normln-tun"/>
        <w:rPr>
          <w:rFonts w:eastAsia="Calibri"/>
          <w:szCs w:val="24"/>
        </w:rPr>
      </w:pPr>
      <w:r w:rsidRPr="00381FB7">
        <w:rPr>
          <w:rFonts w:eastAsia="Calibri"/>
          <w:szCs w:val="24"/>
        </w:rPr>
        <w:t>Dánsko</w:t>
      </w:r>
    </w:p>
    <w:p w:rsidR="00ED5B2D" w:rsidRPr="00CA69D0" w:rsidP="00936929" w14:paraId="4947521B" w14:textId="77777777">
      <w:pPr>
        <w:rPr>
          <w:rFonts w:eastAsia="Calibri"/>
          <w:noProof w:val="0"/>
          <w:lang w:bidi="ar-SA"/>
        </w:rPr>
      </w:pPr>
      <w:r w:rsidRPr="00381FB7">
        <w:rPr>
          <w:rFonts w:eastAsia="Calibri"/>
          <w:noProof w:val="0"/>
          <w:lang w:bidi="ar-SA"/>
        </w:rPr>
        <w:t>Zpětný odběr OEEZ v Dánsku je legislativně zakotven v Zákoně o ochraně životního prostředí</w:t>
      </w:r>
      <w:r>
        <w:rPr>
          <w:rFonts w:eastAsia="Calibri"/>
          <w:noProof w:val="0"/>
          <w:vertAlign w:val="superscript"/>
          <w:lang w:bidi="ar-SA"/>
        </w:rPr>
        <w:footnoteReference w:id="11"/>
      </w:r>
      <w:r w:rsidRPr="00381FB7">
        <w:rPr>
          <w:rFonts w:eastAsia="Calibri"/>
          <w:noProof w:val="0"/>
          <w:lang w:bidi="ar-SA"/>
        </w:rPr>
        <w:t xml:space="preserve"> a zákonným opatřením o bateriích a akumulátorech a odpadních bateriích a odpadních akumulátorech</w:t>
      </w:r>
      <w:r>
        <w:rPr>
          <w:rFonts w:eastAsia="Calibri"/>
          <w:noProof w:val="0"/>
          <w:vertAlign w:val="superscript"/>
          <w:lang w:bidi="ar-SA"/>
        </w:rPr>
        <w:footnoteReference w:id="12"/>
      </w:r>
      <w:r w:rsidRPr="00381FB7">
        <w:rPr>
          <w:rFonts w:eastAsia="Calibri"/>
          <w:noProof w:val="0"/>
          <w:lang w:bidi="ar-SA"/>
        </w:rPr>
        <w:t>.</w:t>
      </w:r>
    </w:p>
    <w:p w:rsidR="00ED5B2D" w:rsidRPr="00CA69D0" w:rsidP="00936929" w14:paraId="5025C29B" w14:textId="17B60734">
      <w:pPr>
        <w:rPr>
          <w:rFonts w:eastAsia="Calibri"/>
          <w:noProof w:val="0"/>
          <w:lang w:bidi="ar-SA"/>
        </w:rPr>
      </w:pPr>
      <w:r w:rsidRPr="00381FB7">
        <w:rPr>
          <w:rFonts w:eastAsia="Calibri"/>
          <w:noProof w:val="0"/>
          <w:lang w:bidi="ar-SA"/>
        </w:rPr>
        <w:t xml:space="preserve">Životní cyklus EEZ vypadá v Dánsku podobně jako v Německu; začíná jeho uvedením na trh (před kterým se musí výrobce registrovat u dánského operátora DPA), kde je zakoupen spotřebitelem. Po skončení jeho životnosti ho spotřebitel odevzdá na odběrovém místě, které v Dánsku provozují společnosti zajišťující odpadový management pro místní správy. V další fázi pak zodpovídá za OEEZ výrobce; ten tak může učinit skrze </w:t>
      </w:r>
      <w:r w:rsidR="000E6B47">
        <w:rPr>
          <w:rFonts w:eastAsia="Calibri"/>
          <w:noProof w:val="0"/>
          <w:lang w:bidi="ar-SA"/>
        </w:rPr>
        <w:t>KS</w:t>
      </w:r>
      <w:r w:rsidRPr="00381FB7">
        <w:rPr>
          <w:rFonts w:eastAsia="Calibri"/>
          <w:noProof w:val="0"/>
          <w:lang w:bidi="ar-SA"/>
        </w:rPr>
        <w:t>, nebo individuálně. V této fázi je důležitý operátor trhu DPA, který v Dánsku řídí zpětný odběr OEEZ. DPA zodpovídá za</w:t>
      </w:r>
      <w:r w:rsidR="002408DF">
        <w:rPr>
          <w:rFonts w:eastAsia="Calibri"/>
          <w:noProof w:val="0"/>
          <w:lang w:bidi="ar-SA"/>
        </w:rPr>
        <w:t> </w:t>
      </w:r>
      <w:r w:rsidRPr="00381FB7">
        <w:rPr>
          <w:rFonts w:eastAsia="Calibri"/>
          <w:noProof w:val="0"/>
          <w:lang w:bidi="ar-SA"/>
        </w:rPr>
        <w:t xml:space="preserve">organizaci vyzvednutí OEEZ z odběrových míst (DPA každý rok spočítá, za jakou část OEEZ v Dánsku je konkrétní výrobce zodpovědný na základě podílu na trhu podle EEZ uvedených na trh) a u této části OEEZ pak musí výrobce zajistit vyzvednutí z odběrových míst).  K zajištění svozu může výrobce využít </w:t>
      </w:r>
      <w:r w:rsidR="000E6B47">
        <w:rPr>
          <w:rFonts w:eastAsia="Calibri"/>
          <w:noProof w:val="0"/>
          <w:lang w:bidi="ar-SA"/>
        </w:rPr>
        <w:t>KS</w:t>
      </w:r>
      <w:r w:rsidRPr="00381FB7">
        <w:rPr>
          <w:rFonts w:eastAsia="Calibri"/>
          <w:noProof w:val="0"/>
          <w:lang w:bidi="ar-SA"/>
        </w:rPr>
        <w:t xml:space="preserve"> nebo jednat sám (sám uzavřít smlouvu s transportní a</w:t>
      </w:r>
      <w:r w:rsidR="002408DF">
        <w:rPr>
          <w:rFonts w:eastAsia="Calibri"/>
          <w:noProof w:val="0"/>
          <w:lang w:bidi="ar-SA"/>
        </w:rPr>
        <w:t> </w:t>
      </w:r>
      <w:r w:rsidRPr="00381FB7">
        <w:rPr>
          <w:rFonts w:eastAsia="Calibri"/>
          <w:noProof w:val="0"/>
          <w:lang w:bidi="ar-SA"/>
        </w:rPr>
        <w:t>zpracovatelskou společností). Ty dále zajistí zpracování OEEZ; po zpracování OEEZ dojde k recyklaci části výrobku a jejich opětovnému použití, čímž je uzavřen životní cyklus výrobku. Dánské Ministerstvo životního prostředí (EPA) působí především jako dohledová instituce, kontroluje, zda vše probíhá podle platné legislativy.</w:t>
      </w:r>
    </w:p>
    <w:p w:rsidR="00ED5B2D" w:rsidRPr="00221615" w:rsidP="0017046F" w14:paraId="53A78442" w14:textId="6961FAEC">
      <w:pPr>
        <w:pStyle w:val="Caption"/>
        <w:rPr>
          <w:rFonts w:cs="Arial"/>
          <w:sz w:val="20"/>
          <w:szCs w:val="20"/>
          <w:lang w:eastAsia="cs-CZ" w:bidi="ar-SA"/>
        </w:rPr>
      </w:pPr>
      <w:r w:rsidRPr="00221615">
        <w:rPr>
          <w:rFonts w:cs="Arial"/>
          <w:sz w:val="20"/>
          <w:szCs w:val="20"/>
          <w:lang w:eastAsia="cs-CZ" w:bidi="ar-SA"/>
        </w:rPr>
        <w:t xml:space="preserve">Obrázek </w:t>
      </w:r>
      <w:r w:rsidR="008231E9">
        <w:rPr>
          <w:rFonts w:cs="Arial"/>
          <w:sz w:val="20"/>
          <w:szCs w:val="20"/>
          <w:lang w:eastAsia="cs-CZ" w:bidi="ar-SA"/>
        </w:rPr>
        <w:t>5</w:t>
      </w:r>
      <w:r w:rsidRPr="00221615">
        <w:rPr>
          <w:rFonts w:cs="Arial"/>
          <w:sz w:val="20"/>
          <w:szCs w:val="20"/>
          <w:lang w:eastAsia="cs-CZ" w:bidi="ar-SA"/>
        </w:rPr>
        <w:t>: Přehled fungování systému v Dánsku</w:t>
      </w:r>
    </w:p>
    <w:p w:rsidR="00ED5B2D" w:rsidRPr="00ED38E9" w:rsidP="00ED5B2D" w14:paraId="5C89AA8C" w14:textId="77777777">
      <w:pPr>
        <w:keepNext/>
        <w:widowControl w:val="0"/>
        <w:spacing w:after="120"/>
        <w:rPr>
          <w:rFonts w:eastAsia="Calibri" w:cs="Arial"/>
          <w:b/>
          <w:i/>
          <w:noProof w:val="0"/>
          <w:szCs w:val="22"/>
          <w:lang w:bidi="ar-SA"/>
        </w:rPr>
      </w:pPr>
      <w:r w:rsidRPr="00ED38E9">
        <w:rPr>
          <w:rFonts w:eastAsia="Calibri" w:cs="Arial"/>
          <w:szCs w:val="22"/>
          <w:lang w:eastAsia="cs-CZ" w:bidi="ar-SA"/>
        </w:rPr>
        <w:drawing>
          <wp:inline distT="0" distB="0" distL="0" distR="0">
            <wp:extent cx="5070542" cy="4698124"/>
            <wp:effectExtent l="0" t="0" r="0" b="7620"/>
            <wp:docPr id="26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1526" name="Picture 17"/>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8942" cy="4696642"/>
                    </a:xfrm>
                    <a:prstGeom prst="rect">
                      <a:avLst/>
                    </a:prstGeom>
                    <a:noFill/>
                  </pic:spPr>
                </pic:pic>
              </a:graphicData>
            </a:graphic>
          </wp:inline>
        </w:drawing>
      </w:r>
    </w:p>
    <w:p w:rsidR="00ED5B2D" w:rsidRPr="00ED38E9" w:rsidP="00221615" w14:paraId="28609D25" w14:textId="77777777">
      <w:pPr>
        <w:widowControl w:val="0"/>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ED5B2D" w:rsidRPr="003D48A2" w:rsidP="00221615" w14:paraId="1D795794" w14:textId="77777777">
      <w:pPr>
        <w:keepNext/>
        <w:rPr>
          <w:rStyle w:val="Emphasis"/>
        </w:rPr>
      </w:pPr>
      <w:r w:rsidRPr="003D48A2">
        <w:rPr>
          <w:rStyle w:val="Emphasis"/>
        </w:rPr>
        <w:t>Operátor DPA</w:t>
      </w:r>
    </w:p>
    <w:p w:rsidR="00ED5B2D" w:rsidRPr="00D12FE4" w:rsidP="00936929" w14:paraId="53219903" w14:textId="77777777">
      <w:pPr>
        <w:rPr>
          <w:rFonts w:eastAsia="Calibri"/>
          <w:noProof w:val="0"/>
          <w:lang w:bidi="ar-SA"/>
        </w:rPr>
      </w:pPr>
      <w:r w:rsidRPr="00097EE6">
        <w:rPr>
          <w:rFonts w:eastAsia="Calibri"/>
          <w:noProof w:val="0"/>
          <w:lang w:bidi="ar-SA"/>
        </w:rPr>
        <w:t>DPA (DPA System – Danish Producer Responsibility) byl založen v souladu se Zákonem o ochraně životního</w:t>
      </w:r>
      <w:r w:rsidRPr="00D12FE4">
        <w:rPr>
          <w:rFonts w:eastAsia="Calibri"/>
          <w:noProof w:val="0"/>
          <w:lang w:bidi="ar-SA"/>
        </w:rPr>
        <w:t xml:space="preserve"> prostředí. Top management DPA je jmenován Ministerstvem životního prostředí. Činnost DPA je financován z poplatků výrobců.</w:t>
      </w:r>
    </w:p>
    <w:p w:rsidR="00ED5B2D" w:rsidRPr="00212AB8" w:rsidP="00936929" w14:paraId="4AF7F689" w14:textId="77777777">
      <w:pPr>
        <w:rPr>
          <w:rFonts w:eastAsia="Calibri"/>
          <w:noProof w:val="0"/>
          <w:lang w:bidi="ar-SA"/>
        </w:rPr>
      </w:pPr>
      <w:r w:rsidRPr="0092438A">
        <w:rPr>
          <w:rFonts w:eastAsia="Calibri"/>
          <w:noProof w:val="0"/>
          <w:lang w:bidi="ar-SA"/>
        </w:rPr>
        <w:t xml:space="preserve">Mezi hlavní </w:t>
      </w:r>
      <w:r w:rsidRPr="00212AB8">
        <w:rPr>
          <w:rFonts w:eastAsia="Calibri"/>
          <w:noProof w:val="0"/>
          <w:lang w:bidi="ar-SA"/>
        </w:rPr>
        <w:t>činnosti DPA patří především:</w:t>
      </w:r>
    </w:p>
    <w:p w:rsidR="00ED5B2D" w:rsidRPr="003D48A2" w:rsidP="003C445B" w14:paraId="25B9B592" w14:textId="77777777">
      <w:pPr>
        <w:pStyle w:val="ListParagraph"/>
        <w:numPr>
          <w:ilvl w:val="0"/>
          <w:numId w:val="45"/>
        </w:numPr>
        <w:spacing w:after="0"/>
        <w:contextualSpacing w:val="0"/>
        <w:rPr>
          <w:rFonts w:eastAsia="Calibri"/>
          <w:noProof w:val="0"/>
          <w:lang w:bidi="ar-SA"/>
        </w:rPr>
      </w:pPr>
      <w:r w:rsidRPr="003D48A2">
        <w:rPr>
          <w:rFonts w:eastAsia="Calibri"/>
          <w:noProof w:val="0"/>
          <w:lang w:bidi="ar-SA"/>
        </w:rPr>
        <w:t>Provozování centrálního registru výrobců</w:t>
      </w:r>
    </w:p>
    <w:p w:rsidR="00ED5B2D" w:rsidRPr="003D48A2" w:rsidP="003C445B" w14:paraId="607766AC" w14:textId="77777777">
      <w:pPr>
        <w:pStyle w:val="ListParagraph"/>
        <w:numPr>
          <w:ilvl w:val="0"/>
          <w:numId w:val="45"/>
        </w:numPr>
        <w:spacing w:after="0"/>
        <w:contextualSpacing w:val="0"/>
        <w:rPr>
          <w:rFonts w:eastAsia="Calibri"/>
          <w:noProof w:val="0"/>
          <w:lang w:bidi="ar-SA"/>
        </w:rPr>
      </w:pPr>
      <w:r w:rsidRPr="003D48A2">
        <w:rPr>
          <w:rFonts w:eastAsia="Calibri"/>
          <w:noProof w:val="0"/>
          <w:lang w:bidi="ar-SA"/>
        </w:rPr>
        <w:t xml:space="preserve">Výpočet EEZ uvedených na trh </w:t>
      </w:r>
    </w:p>
    <w:p w:rsidR="00ED5B2D" w:rsidRPr="002E1F28" w:rsidP="003C445B" w14:paraId="5FAABD02" w14:textId="77777777">
      <w:pPr>
        <w:pStyle w:val="ListParagraph"/>
        <w:numPr>
          <w:ilvl w:val="0"/>
          <w:numId w:val="45"/>
        </w:numPr>
        <w:spacing w:after="0"/>
        <w:contextualSpacing w:val="0"/>
        <w:rPr>
          <w:rFonts w:eastAsia="Calibri"/>
          <w:noProof w:val="0"/>
          <w:lang w:bidi="ar-SA"/>
        </w:rPr>
      </w:pPr>
      <w:r w:rsidRPr="002E1F28">
        <w:rPr>
          <w:rFonts w:eastAsia="Calibri"/>
          <w:noProof w:val="0"/>
          <w:lang w:bidi="ar-SA"/>
        </w:rPr>
        <w:t>Koordinace odvozu OEEZ mezi odběrovými místy a kolektivními systémy</w:t>
      </w:r>
    </w:p>
    <w:p w:rsidR="00ED5B2D" w:rsidRPr="00530496" w:rsidP="003C445B" w14:paraId="3421DE7A" w14:textId="77777777">
      <w:pPr>
        <w:pStyle w:val="ListParagraph"/>
        <w:numPr>
          <w:ilvl w:val="0"/>
          <w:numId w:val="45"/>
        </w:numPr>
        <w:spacing w:after="0"/>
        <w:contextualSpacing w:val="0"/>
        <w:rPr>
          <w:rFonts w:eastAsia="Calibri"/>
          <w:noProof w:val="0"/>
          <w:lang w:bidi="ar-SA"/>
        </w:rPr>
      </w:pPr>
      <w:r w:rsidRPr="00530496">
        <w:rPr>
          <w:rFonts w:eastAsia="Calibri"/>
          <w:noProof w:val="0"/>
          <w:lang w:bidi="ar-SA"/>
        </w:rPr>
        <w:t xml:space="preserve">Registrace </w:t>
      </w:r>
      <w:r w:rsidR="000E6B47">
        <w:rPr>
          <w:rFonts w:eastAsia="Calibri"/>
          <w:noProof w:val="0"/>
          <w:lang w:bidi="ar-SA"/>
        </w:rPr>
        <w:t>KS</w:t>
      </w:r>
    </w:p>
    <w:p w:rsidR="00ED5B2D" w:rsidRPr="003748C7" w:rsidP="00936929" w14:paraId="1260C59D" w14:textId="77777777">
      <w:pPr>
        <w:widowControl w:val="0"/>
        <w:rPr>
          <w:rFonts w:eastAsia="Calibri"/>
          <w:b/>
          <w:noProof w:val="0"/>
          <w:lang w:bidi="ar-SA"/>
        </w:rPr>
      </w:pPr>
      <w:r w:rsidRPr="003748C7">
        <w:rPr>
          <w:rFonts w:eastAsia="Calibri"/>
          <w:b/>
          <w:noProof w:val="0"/>
          <w:lang w:bidi="ar-SA"/>
        </w:rPr>
        <w:t>Z </w:t>
      </w:r>
      <w:r w:rsidRPr="003748C7">
        <w:rPr>
          <w:b/>
        </w:rPr>
        <w:t>uvedeného</w:t>
      </w:r>
      <w:r w:rsidRPr="003748C7">
        <w:rPr>
          <w:rFonts w:eastAsia="Calibri"/>
          <w:b/>
          <w:noProof w:val="0"/>
          <w:lang w:bidi="ar-SA"/>
        </w:rPr>
        <w:t xml:space="preserve"> vyplývá, že DPA jako operátor plní funkci evidenční i účtovací.</w:t>
      </w:r>
    </w:p>
    <w:p w:rsidR="00ED5B2D" w:rsidRPr="003D48A2" w:rsidP="00412A89" w14:paraId="2589E2F7" w14:textId="77777777">
      <w:pPr>
        <w:keepNext/>
        <w:spacing w:before="240"/>
        <w:rPr>
          <w:rStyle w:val="Emphasis"/>
        </w:rPr>
      </w:pPr>
      <w:r w:rsidRPr="003D48A2">
        <w:rPr>
          <w:rStyle w:val="Emphasis"/>
        </w:rPr>
        <w:t>Kolektivní systémy</w:t>
      </w:r>
    </w:p>
    <w:p w:rsidR="00ED5B2D" w:rsidRPr="000C7590" w:rsidP="00936929" w14:paraId="35D4E9C9" w14:textId="77777777">
      <w:pPr>
        <w:widowControl w:val="0"/>
        <w:rPr>
          <w:rFonts w:eastAsia="Calibri"/>
          <w:noProof w:val="0"/>
          <w:lang w:bidi="ar-SA"/>
        </w:rPr>
      </w:pPr>
      <w:r w:rsidRPr="000C7590">
        <w:rPr>
          <w:rFonts w:eastAsia="Calibri"/>
          <w:noProof w:val="0"/>
          <w:lang w:bidi="ar-SA"/>
        </w:rPr>
        <w:t xml:space="preserve">V Dánsku je </w:t>
      </w:r>
      <w:r w:rsidRPr="000C7590">
        <w:t>registrováno</w:t>
      </w:r>
      <w:r w:rsidRPr="000C7590">
        <w:rPr>
          <w:rFonts w:eastAsia="Calibri"/>
          <w:noProof w:val="0"/>
          <w:lang w:bidi="ar-SA"/>
        </w:rPr>
        <w:t xml:space="preserve"> celkem 1 576 výrobců, z čehož:</w:t>
      </w:r>
    </w:p>
    <w:p w:rsidR="00ED5B2D" w:rsidRPr="001F7AC0" w:rsidP="003C445B" w14:paraId="44198582" w14:textId="77777777">
      <w:pPr>
        <w:pStyle w:val="ListParagraph"/>
        <w:widowControl w:val="0"/>
        <w:numPr>
          <w:ilvl w:val="0"/>
          <w:numId w:val="89"/>
        </w:numPr>
        <w:spacing w:after="0"/>
        <w:contextualSpacing w:val="0"/>
        <w:jc w:val="left"/>
      </w:pPr>
      <w:r w:rsidRPr="001F7AC0">
        <w:t>976 je v </w:t>
      </w:r>
      <w:r w:rsidR="000E6B47">
        <w:t>KS</w:t>
      </w:r>
    </w:p>
    <w:p w:rsidR="00ED5B2D" w:rsidRPr="001F7AC0" w:rsidP="003C445B" w14:paraId="22239CA0" w14:textId="77777777">
      <w:pPr>
        <w:pStyle w:val="ListParagraph"/>
        <w:widowControl w:val="0"/>
        <w:numPr>
          <w:ilvl w:val="0"/>
          <w:numId w:val="89"/>
        </w:numPr>
        <w:spacing w:after="0"/>
        <w:contextualSpacing w:val="0"/>
        <w:jc w:val="left"/>
      </w:pPr>
      <w:r w:rsidRPr="001F7AC0">
        <w:t>602 plní povinnosti individuálně.</w:t>
      </w:r>
    </w:p>
    <w:p w:rsidR="00ED5B2D" w:rsidRPr="00B24116" w:rsidP="00936929" w14:paraId="4B3C7C24" w14:textId="77777777">
      <w:pPr>
        <w:widowControl w:val="0"/>
        <w:rPr>
          <w:rFonts w:eastAsia="Calibri"/>
          <w:noProof w:val="0"/>
          <w:lang w:bidi="ar-SA"/>
        </w:rPr>
      </w:pPr>
      <w:r w:rsidRPr="005F42B3">
        <w:rPr>
          <w:rFonts w:eastAsia="Calibri"/>
          <w:noProof w:val="0"/>
          <w:lang w:bidi="ar-SA"/>
        </w:rPr>
        <w:t xml:space="preserve">V Dánsku </w:t>
      </w:r>
      <w:r w:rsidRPr="00B24116">
        <w:t>působí</w:t>
      </w:r>
      <w:r w:rsidRPr="00B24116">
        <w:rPr>
          <w:rFonts w:eastAsia="Calibri"/>
          <w:noProof w:val="0"/>
          <w:lang w:bidi="ar-SA"/>
        </w:rPr>
        <w:t xml:space="preserve"> následující </w:t>
      </w:r>
      <w:r w:rsidR="000E6B47">
        <w:rPr>
          <w:rFonts w:eastAsia="Calibri"/>
          <w:noProof w:val="0"/>
          <w:lang w:bidi="ar-SA"/>
        </w:rPr>
        <w:t>KS</w:t>
      </w:r>
      <w:r w:rsidRPr="00B24116">
        <w:rPr>
          <w:rFonts w:eastAsia="Calibri"/>
          <w:noProof w:val="0"/>
          <w:lang w:bidi="ar-SA"/>
        </w:rPr>
        <w:t>:</w:t>
      </w:r>
    </w:p>
    <w:p w:rsidR="00ED5B2D" w:rsidRPr="00B24116" w:rsidP="003C445B" w14:paraId="6A735EFF" w14:textId="77777777">
      <w:pPr>
        <w:pStyle w:val="ListParagraph"/>
        <w:numPr>
          <w:ilvl w:val="0"/>
          <w:numId w:val="90"/>
        </w:numPr>
        <w:spacing w:after="0"/>
        <w:contextualSpacing w:val="0"/>
        <w:rPr>
          <w:rFonts w:eastAsia="Calibri"/>
          <w:noProof w:val="0"/>
          <w:lang w:bidi="ar-SA"/>
        </w:rPr>
      </w:pPr>
      <w:r w:rsidRPr="00B24116">
        <w:rPr>
          <w:rFonts w:eastAsia="Calibri"/>
          <w:noProof w:val="0"/>
          <w:lang w:bidi="ar-SA"/>
        </w:rPr>
        <w:t>Elretur</w:t>
      </w:r>
    </w:p>
    <w:p w:rsidR="00ED5B2D" w:rsidRPr="00C0118D" w:rsidP="003C445B" w14:paraId="67104862" w14:textId="77777777">
      <w:pPr>
        <w:pStyle w:val="ListParagraph"/>
        <w:numPr>
          <w:ilvl w:val="0"/>
          <w:numId w:val="90"/>
        </w:numPr>
        <w:spacing w:after="0"/>
        <w:contextualSpacing w:val="0"/>
        <w:rPr>
          <w:rFonts w:eastAsia="Calibri"/>
          <w:noProof w:val="0"/>
          <w:lang w:bidi="ar-SA"/>
        </w:rPr>
      </w:pPr>
      <w:r w:rsidRPr="0006792F">
        <w:rPr>
          <w:rFonts w:eastAsia="Calibri"/>
          <w:noProof w:val="0"/>
          <w:lang w:bidi="ar-SA"/>
        </w:rPr>
        <w:t>ERP Danmark aps</w:t>
      </w:r>
    </w:p>
    <w:p w:rsidR="00ED5B2D" w:rsidRPr="00474DE8" w:rsidP="003C445B" w14:paraId="76B5B915" w14:textId="77777777">
      <w:pPr>
        <w:pStyle w:val="ListParagraph"/>
        <w:numPr>
          <w:ilvl w:val="0"/>
          <w:numId w:val="90"/>
        </w:numPr>
        <w:spacing w:after="0"/>
        <w:contextualSpacing w:val="0"/>
        <w:rPr>
          <w:rFonts w:eastAsia="Calibri"/>
          <w:noProof w:val="0"/>
          <w:lang w:bidi="ar-SA"/>
        </w:rPr>
      </w:pPr>
      <w:r w:rsidRPr="00474DE8">
        <w:rPr>
          <w:rFonts w:eastAsia="Calibri"/>
          <w:noProof w:val="0"/>
          <w:lang w:bidi="ar-SA"/>
        </w:rPr>
        <w:t>LWF</w:t>
      </w:r>
    </w:p>
    <w:p w:rsidR="00ED5B2D" w:rsidRPr="00042A18" w:rsidP="003C445B" w14:paraId="348A4088" w14:textId="77777777">
      <w:pPr>
        <w:pStyle w:val="ListParagraph"/>
        <w:numPr>
          <w:ilvl w:val="0"/>
          <w:numId w:val="90"/>
        </w:numPr>
        <w:spacing w:after="0"/>
        <w:contextualSpacing w:val="0"/>
        <w:rPr>
          <w:rFonts w:eastAsia="Calibri"/>
          <w:noProof w:val="0"/>
          <w:lang w:bidi="ar-SA"/>
        </w:rPr>
      </w:pPr>
      <w:r w:rsidRPr="00042A18">
        <w:rPr>
          <w:rFonts w:eastAsia="Calibri"/>
          <w:noProof w:val="0"/>
          <w:lang w:bidi="ar-SA"/>
        </w:rPr>
        <w:t>RENE</w:t>
      </w:r>
    </w:p>
    <w:p w:rsidR="00ED5B2D" w:rsidRPr="00CA69D0" w:rsidP="00936929" w14:paraId="36DA7C72" w14:textId="77777777">
      <w:pPr>
        <w:rPr>
          <w:rFonts w:eastAsia="Calibri"/>
          <w:noProof w:val="0"/>
          <w:lang w:bidi="ar-SA"/>
        </w:rPr>
      </w:pPr>
      <w:r w:rsidRPr="00331677">
        <w:rPr>
          <w:rFonts w:eastAsia="Calibri"/>
          <w:b/>
          <w:noProof w:val="0"/>
          <w:lang w:bidi="ar-SA"/>
        </w:rPr>
        <w:t>Každý kolektivní systém musí být registrován u DPA</w:t>
      </w:r>
      <w:r w:rsidRPr="00331677">
        <w:rPr>
          <w:rFonts w:eastAsia="Calibri"/>
          <w:noProof w:val="0"/>
          <w:lang w:bidi="ar-SA"/>
        </w:rPr>
        <w:t xml:space="preserve"> a zveřejněn na webových stránkách DPA. Počet </w:t>
      </w:r>
      <w:r w:rsidR="000E6B47">
        <w:rPr>
          <w:rFonts w:eastAsia="Calibri"/>
          <w:noProof w:val="0"/>
          <w:lang w:bidi="ar-SA"/>
        </w:rPr>
        <w:t>KS</w:t>
      </w:r>
      <w:r w:rsidRPr="00331677">
        <w:rPr>
          <w:rFonts w:eastAsia="Calibri"/>
          <w:noProof w:val="0"/>
          <w:lang w:bidi="ar-SA"/>
        </w:rPr>
        <w:t xml:space="preserve"> není omezen ze zákona. </w:t>
      </w:r>
      <w:r w:rsidR="000E6B47">
        <w:rPr>
          <w:rFonts w:eastAsia="Calibri"/>
          <w:noProof w:val="0"/>
          <w:lang w:bidi="ar-SA"/>
        </w:rPr>
        <w:t>KS</w:t>
      </w:r>
      <w:r w:rsidRPr="00331677">
        <w:rPr>
          <w:rFonts w:eastAsia="Calibri"/>
          <w:noProof w:val="0"/>
          <w:lang w:bidi="ar-SA"/>
        </w:rPr>
        <w:t xml:space="preserve"> v Dánsku se mohou současně starat o více skupin OEEZ, většinou tomu tak i je.</w:t>
      </w:r>
    </w:p>
    <w:p w:rsidR="00ED5B2D" w:rsidRPr="00CA69D0" w:rsidP="00936929" w14:paraId="76E4EF7C" w14:textId="77777777">
      <w:pPr>
        <w:rPr>
          <w:rFonts w:eastAsia="Calibri"/>
          <w:noProof w:val="0"/>
          <w:lang w:bidi="ar-SA"/>
        </w:rPr>
      </w:pPr>
      <w:r w:rsidRPr="00331677">
        <w:rPr>
          <w:rFonts w:eastAsia="Calibri"/>
          <w:noProof w:val="0"/>
          <w:lang w:bidi="ar-SA"/>
        </w:rPr>
        <w:t xml:space="preserve">V Dánsku finanční garanci (na likvidaci EEZ uvedených v aktuálním roce na trh v případě úpadku výrobce) poskytují </w:t>
      </w:r>
      <w:r w:rsidR="000E6B47">
        <w:rPr>
          <w:rFonts w:eastAsia="Calibri"/>
          <w:noProof w:val="0"/>
          <w:lang w:bidi="ar-SA"/>
        </w:rPr>
        <w:t>KS</w:t>
      </w:r>
      <w:r w:rsidRPr="00331677">
        <w:rPr>
          <w:rFonts w:eastAsia="Calibri"/>
          <w:noProof w:val="0"/>
          <w:lang w:bidi="ar-SA"/>
        </w:rPr>
        <w:t xml:space="preserve"> (v případě, že je výrobce součástí </w:t>
      </w:r>
      <w:r w:rsidR="000E6B47">
        <w:rPr>
          <w:rFonts w:eastAsia="Calibri"/>
          <w:noProof w:val="0"/>
          <w:lang w:bidi="ar-SA"/>
        </w:rPr>
        <w:t>KS</w:t>
      </w:r>
      <w:r w:rsidRPr="00331677">
        <w:rPr>
          <w:rFonts w:eastAsia="Calibri"/>
          <w:noProof w:val="0"/>
          <w:lang w:bidi="ar-SA"/>
        </w:rPr>
        <w:t xml:space="preserve">). </w:t>
      </w:r>
    </w:p>
    <w:p w:rsidR="00ED5B2D" w:rsidRPr="00E97FD5" w:rsidP="0017046F" w14:paraId="47C47297" w14:textId="19CDEABA">
      <w:pPr>
        <w:pStyle w:val="Caption"/>
        <w:rPr>
          <w:rFonts w:cs="Arial"/>
          <w:sz w:val="20"/>
          <w:szCs w:val="20"/>
          <w:lang w:eastAsia="cs-CZ" w:bidi="ar-SA"/>
        </w:rPr>
      </w:pPr>
      <w:r w:rsidRPr="00E97FD5">
        <w:rPr>
          <w:rFonts w:cs="Arial"/>
          <w:sz w:val="20"/>
          <w:szCs w:val="20"/>
          <w:lang w:eastAsia="cs-CZ" w:bidi="ar-SA"/>
        </w:rPr>
        <w:t xml:space="preserve">Tabulka </w:t>
      </w:r>
      <w:r w:rsidR="00925F10">
        <w:rPr>
          <w:rFonts w:cs="Arial"/>
          <w:sz w:val="20"/>
          <w:szCs w:val="20"/>
          <w:lang w:eastAsia="cs-CZ" w:bidi="ar-SA"/>
        </w:rPr>
        <w:t>32</w:t>
      </w:r>
      <w:r w:rsidRPr="00E97FD5">
        <w:rPr>
          <w:rFonts w:cs="Arial"/>
          <w:sz w:val="20"/>
          <w:szCs w:val="20"/>
          <w:lang w:eastAsia="cs-CZ" w:bidi="ar-SA"/>
        </w:rPr>
        <w:t>: Legislativní řešení v oblasti zpětného odběru EEZ</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80"/>
        <w:gridCol w:w="1731"/>
        <w:gridCol w:w="3656"/>
      </w:tblGrid>
      <w:tr w14:paraId="7B9F9412" w14:textId="77777777" w:rsidTr="005B4E5E">
        <w:tblPrEx>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592"/>
        </w:trPr>
        <w:tc>
          <w:tcPr>
            <w:tcW w:w="2480" w:type="dxa"/>
            <w:shd w:val="clear" w:color="auto" w:fill="auto"/>
            <w:noWrap/>
            <w:vAlign w:val="center"/>
            <w:hideMark/>
          </w:tcPr>
          <w:p w:rsidR="00ED5B2D" w:rsidRPr="00E97FD5" w:rsidP="00221615" w14:paraId="566CDF26" w14:textId="77777777">
            <w:pPr>
              <w:keepNext/>
              <w:spacing w:before="60"/>
              <w:jc w:val="center"/>
              <w:rPr>
                <w:rFonts w:eastAsia="MS Mincho" w:cs="Arial"/>
                <w:b/>
                <w:noProof w:val="0"/>
                <w:color w:val="0D0D0D" w:themeColor="text1" w:themeTint="F2"/>
                <w:sz w:val="20"/>
                <w:szCs w:val="20"/>
                <w:lang w:eastAsia="cs-CZ" w:bidi="ar-SA"/>
              </w:rPr>
            </w:pPr>
            <w:r w:rsidRPr="00E97FD5">
              <w:rPr>
                <w:rFonts w:eastAsia="MS Mincho" w:cs="Arial"/>
                <w:b/>
                <w:noProof w:val="0"/>
                <w:color w:val="0D0D0D" w:themeColor="text1" w:themeTint="F2"/>
                <w:sz w:val="20"/>
                <w:szCs w:val="20"/>
                <w:lang w:eastAsia="cs-CZ" w:bidi="ar-SA"/>
              </w:rPr>
              <w:t>Stát</w:t>
            </w:r>
          </w:p>
        </w:tc>
        <w:tc>
          <w:tcPr>
            <w:tcW w:w="1731" w:type="dxa"/>
            <w:shd w:val="clear" w:color="auto" w:fill="auto"/>
            <w:noWrap/>
            <w:vAlign w:val="center"/>
            <w:hideMark/>
          </w:tcPr>
          <w:p w:rsidR="00ED5B2D" w:rsidRPr="00E97FD5" w:rsidP="00221615" w14:paraId="29B99BE8" w14:textId="77777777">
            <w:pPr>
              <w:keepNext/>
              <w:spacing w:before="60"/>
              <w:jc w:val="center"/>
              <w:rPr>
                <w:rFonts w:eastAsia="MS Mincho" w:cs="Arial"/>
                <w:b/>
                <w:noProof w:val="0"/>
                <w:color w:val="0D0D0D" w:themeColor="text1" w:themeTint="F2"/>
                <w:sz w:val="20"/>
                <w:szCs w:val="20"/>
                <w:lang w:eastAsia="cs-CZ" w:bidi="ar-SA"/>
              </w:rPr>
            </w:pPr>
            <w:r w:rsidRPr="00E97FD5">
              <w:rPr>
                <w:rFonts w:eastAsia="MS Mincho" w:cs="Arial"/>
                <w:b/>
                <w:noProof w:val="0"/>
                <w:color w:val="0D0D0D" w:themeColor="text1" w:themeTint="F2"/>
                <w:sz w:val="20"/>
                <w:szCs w:val="20"/>
                <w:lang w:eastAsia="cs-CZ" w:bidi="ar-SA"/>
              </w:rPr>
              <w:t>Vyčleněno (ANO/NE)</w:t>
            </w:r>
          </w:p>
        </w:tc>
        <w:tc>
          <w:tcPr>
            <w:tcW w:w="3656" w:type="dxa"/>
            <w:shd w:val="clear" w:color="auto" w:fill="auto"/>
            <w:vAlign w:val="center"/>
            <w:hideMark/>
          </w:tcPr>
          <w:p w:rsidR="00ED5B2D" w:rsidRPr="00E97FD5" w:rsidP="00221615" w14:paraId="509EEAB9" w14:textId="77777777">
            <w:pPr>
              <w:keepNext/>
              <w:spacing w:before="60"/>
              <w:jc w:val="center"/>
              <w:rPr>
                <w:rFonts w:eastAsia="MS Mincho" w:cs="Arial"/>
                <w:b/>
                <w:noProof w:val="0"/>
                <w:color w:val="0D0D0D" w:themeColor="text1" w:themeTint="F2"/>
                <w:sz w:val="20"/>
                <w:szCs w:val="20"/>
                <w:lang w:eastAsia="cs-CZ" w:bidi="ar-SA"/>
              </w:rPr>
            </w:pPr>
            <w:r w:rsidRPr="00E97FD5">
              <w:rPr>
                <w:rFonts w:eastAsia="MS Mincho" w:cs="Arial"/>
                <w:b/>
                <w:noProof w:val="0"/>
                <w:color w:val="0D0D0D" w:themeColor="text1" w:themeTint="F2"/>
                <w:sz w:val="20"/>
                <w:szCs w:val="20"/>
                <w:lang w:eastAsia="cs-CZ" w:bidi="ar-SA"/>
              </w:rPr>
              <w:t>Upravující právní předpis</w:t>
            </w:r>
          </w:p>
        </w:tc>
      </w:tr>
      <w:tr w14:paraId="22304B97" w14:textId="77777777" w:rsidTr="005B4E5E">
        <w:tblPrEx>
          <w:tblW w:w="7867" w:type="dxa"/>
          <w:tblCellMar>
            <w:left w:w="70" w:type="dxa"/>
            <w:right w:w="70" w:type="dxa"/>
          </w:tblCellMar>
          <w:tblLook w:val="04A0"/>
        </w:tblPrEx>
        <w:trPr>
          <w:trHeight w:val="185"/>
        </w:trPr>
        <w:tc>
          <w:tcPr>
            <w:tcW w:w="2480" w:type="dxa"/>
            <w:shd w:val="clear" w:color="000000" w:fill="FFFFFF"/>
            <w:vAlign w:val="center"/>
            <w:hideMark/>
          </w:tcPr>
          <w:p w:rsidR="00ED5B2D" w:rsidRPr="00E97FD5" w:rsidP="00221615" w14:paraId="340060B7"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Česká republika</w:t>
            </w:r>
          </w:p>
        </w:tc>
        <w:tc>
          <w:tcPr>
            <w:tcW w:w="1731" w:type="dxa"/>
            <w:shd w:val="clear" w:color="000000" w:fill="FFFFFF"/>
            <w:vAlign w:val="center"/>
            <w:hideMark/>
          </w:tcPr>
          <w:p w:rsidR="00ED5B2D" w:rsidRPr="00E97FD5" w:rsidP="00221615" w14:paraId="0D8B0ECC"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ANO</w:t>
            </w:r>
          </w:p>
        </w:tc>
        <w:tc>
          <w:tcPr>
            <w:tcW w:w="3656" w:type="dxa"/>
            <w:shd w:val="clear" w:color="000000" w:fill="FFFFFF"/>
            <w:vAlign w:val="center"/>
            <w:hideMark/>
          </w:tcPr>
          <w:p w:rsidR="00ED5B2D" w:rsidRPr="00E97FD5" w:rsidP="00221615" w14:paraId="2AC35212"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Zákon o výrobcích s ukončenou životností</w:t>
            </w:r>
          </w:p>
        </w:tc>
      </w:tr>
      <w:tr w14:paraId="56B2B5C1" w14:textId="77777777" w:rsidTr="005B4E5E">
        <w:tblPrEx>
          <w:tblW w:w="7867" w:type="dxa"/>
          <w:tblCellMar>
            <w:left w:w="70" w:type="dxa"/>
            <w:right w:w="70" w:type="dxa"/>
          </w:tblCellMar>
          <w:tblLook w:val="04A0"/>
        </w:tblPrEx>
        <w:trPr>
          <w:trHeight w:val="296"/>
        </w:trPr>
        <w:tc>
          <w:tcPr>
            <w:tcW w:w="2480" w:type="dxa"/>
            <w:shd w:val="clear" w:color="000000" w:fill="FFFFFF"/>
            <w:vAlign w:val="center"/>
            <w:hideMark/>
          </w:tcPr>
          <w:p w:rsidR="00ED5B2D" w:rsidRPr="00E97FD5" w:rsidP="00221615" w14:paraId="31D0AB89"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Německo</w:t>
            </w:r>
          </w:p>
        </w:tc>
        <w:tc>
          <w:tcPr>
            <w:tcW w:w="1731" w:type="dxa"/>
            <w:shd w:val="clear" w:color="000000" w:fill="FFFFFF"/>
            <w:vAlign w:val="center"/>
            <w:hideMark/>
          </w:tcPr>
          <w:p w:rsidR="00ED5B2D" w:rsidRPr="00E97FD5" w:rsidP="00221615" w14:paraId="2D516BC8"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ANO</w:t>
            </w:r>
          </w:p>
        </w:tc>
        <w:tc>
          <w:tcPr>
            <w:tcW w:w="3656" w:type="dxa"/>
            <w:shd w:val="clear" w:color="000000" w:fill="FFFFFF"/>
            <w:vAlign w:val="center"/>
            <w:hideMark/>
          </w:tcPr>
          <w:p w:rsidR="00ED5B2D" w:rsidRPr="00E97FD5" w:rsidP="00221615" w14:paraId="27A0964C"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tzv. ElektroG</w:t>
            </w:r>
          </w:p>
        </w:tc>
      </w:tr>
      <w:tr w14:paraId="49CAAC8A" w14:textId="77777777" w:rsidTr="005B4E5E">
        <w:tblPrEx>
          <w:tblW w:w="7867" w:type="dxa"/>
          <w:tblCellMar>
            <w:left w:w="70" w:type="dxa"/>
            <w:right w:w="70" w:type="dxa"/>
          </w:tblCellMar>
          <w:tblLook w:val="04A0"/>
        </w:tblPrEx>
        <w:trPr>
          <w:trHeight w:val="185"/>
        </w:trPr>
        <w:tc>
          <w:tcPr>
            <w:tcW w:w="2480" w:type="dxa"/>
            <w:shd w:val="clear" w:color="000000" w:fill="FFFFFF"/>
            <w:vAlign w:val="center"/>
            <w:hideMark/>
          </w:tcPr>
          <w:p w:rsidR="00ED5B2D" w:rsidRPr="00E97FD5" w:rsidP="00221615" w14:paraId="20F38648"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Rakousko</w:t>
            </w:r>
          </w:p>
        </w:tc>
        <w:tc>
          <w:tcPr>
            <w:tcW w:w="1731" w:type="dxa"/>
            <w:shd w:val="clear" w:color="000000" w:fill="FFFFFF"/>
            <w:vAlign w:val="center"/>
            <w:hideMark/>
          </w:tcPr>
          <w:p w:rsidR="00ED5B2D" w:rsidRPr="00E97FD5" w:rsidP="00221615" w14:paraId="3973317A"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ANO</w:t>
            </w:r>
          </w:p>
        </w:tc>
        <w:tc>
          <w:tcPr>
            <w:tcW w:w="3656" w:type="dxa"/>
            <w:shd w:val="clear" w:color="000000" w:fill="FFFFFF"/>
            <w:vAlign w:val="center"/>
            <w:hideMark/>
          </w:tcPr>
          <w:p w:rsidR="00ED5B2D" w:rsidRPr="00E97FD5" w:rsidP="00221615" w14:paraId="133DED70"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tzv. EAG-VO</w:t>
            </w:r>
          </w:p>
        </w:tc>
      </w:tr>
      <w:tr w14:paraId="1F0556FD" w14:textId="77777777" w:rsidTr="005B4E5E">
        <w:tblPrEx>
          <w:tblW w:w="7867" w:type="dxa"/>
          <w:tblCellMar>
            <w:left w:w="70" w:type="dxa"/>
            <w:right w:w="70" w:type="dxa"/>
          </w:tblCellMar>
          <w:tblLook w:val="04A0"/>
        </w:tblPrEx>
        <w:trPr>
          <w:trHeight w:val="185"/>
        </w:trPr>
        <w:tc>
          <w:tcPr>
            <w:tcW w:w="2480" w:type="dxa"/>
            <w:shd w:val="clear" w:color="000000" w:fill="FFFFFF"/>
            <w:vAlign w:val="center"/>
            <w:hideMark/>
          </w:tcPr>
          <w:p w:rsidR="00ED5B2D" w:rsidRPr="00E97FD5" w:rsidP="00221615" w14:paraId="7F4A1594"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Dánsko</w:t>
            </w:r>
          </w:p>
        </w:tc>
        <w:tc>
          <w:tcPr>
            <w:tcW w:w="1731" w:type="dxa"/>
            <w:shd w:val="clear" w:color="000000" w:fill="FFFFFF"/>
            <w:vAlign w:val="center"/>
            <w:hideMark/>
          </w:tcPr>
          <w:p w:rsidR="00ED5B2D" w:rsidRPr="00E97FD5" w:rsidP="00221615" w14:paraId="582ABABC"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NE</w:t>
            </w:r>
          </w:p>
        </w:tc>
        <w:tc>
          <w:tcPr>
            <w:tcW w:w="3656" w:type="dxa"/>
            <w:shd w:val="clear" w:color="000000" w:fill="FFFFFF"/>
            <w:vAlign w:val="center"/>
            <w:hideMark/>
          </w:tcPr>
          <w:p w:rsidR="00ED5B2D" w:rsidRPr="00E97FD5" w:rsidP="00221615" w14:paraId="7A4AB4C1" w14:textId="77777777">
            <w:pPr>
              <w:keepNext/>
              <w:spacing w:before="60"/>
              <w:jc w:val="center"/>
              <w:rPr>
                <w:rFonts w:eastAsia="MS Mincho" w:cs="Arial"/>
                <w:noProof w:val="0"/>
                <w:sz w:val="20"/>
                <w:szCs w:val="20"/>
                <w:lang w:eastAsia="cs-CZ" w:bidi="ar-SA"/>
              </w:rPr>
            </w:pPr>
            <w:r w:rsidRPr="00E97FD5">
              <w:rPr>
                <w:rFonts w:eastAsia="MS Mincho" w:cs="Arial"/>
                <w:noProof w:val="0"/>
                <w:sz w:val="20"/>
                <w:szCs w:val="20"/>
                <w:lang w:eastAsia="cs-CZ" w:bidi="ar-SA"/>
              </w:rPr>
              <w:t>Environmental protection act</w:t>
            </w:r>
          </w:p>
        </w:tc>
      </w:tr>
    </w:tbl>
    <w:p w:rsidR="00ED5B2D" w:rsidRPr="00E97FD5" w:rsidP="00221615" w14:paraId="2AE6D997" w14:textId="77777777">
      <w:pPr>
        <w:widowControl w:val="0"/>
        <w:jc w:val="right"/>
        <w:rPr>
          <w:rFonts w:cs="Arial"/>
          <w:i/>
          <w:iCs/>
          <w:noProof w:val="0"/>
          <w:color w:val="000000"/>
          <w:sz w:val="20"/>
          <w:szCs w:val="20"/>
          <w:lang w:eastAsia="cs-CZ" w:bidi="ar-SA"/>
        </w:rPr>
      </w:pPr>
      <w:r w:rsidRPr="00E97FD5">
        <w:rPr>
          <w:rFonts w:cs="Arial"/>
          <w:i/>
          <w:iCs/>
          <w:noProof w:val="0"/>
          <w:color w:val="000000"/>
          <w:sz w:val="20"/>
          <w:szCs w:val="20"/>
          <w:lang w:eastAsia="cs-CZ" w:bidi="ar-SA"/>
        </w:rPr>
        <w:t>Zdroj: EEIP</w:t>
      </w:r>
    </w:p>
    <w:p w:rsidR="00833809" w:rsidRPr="00892C46" w:rsidP="00BF16B7" w14:paraId="3C51F73B" w14:textId="77777777">
      <w:pPr>
        <w:pStyle w:val="Heading3"/>
        <w:rPr>
          <w:lang w:eastAsia="cs-CZ"/>
        </w:rPr>
      </w:pPr>
      <w:r w:rsidRPr="00892C46">
        <w:rPr>
          <w:lang w:eastAsia="cs-CZ"/>
        </w:rPr>
        <w:t>Belgie</w:t>
      </w:r>
    </w:p>
    <w:p w:rsidR="00833809" w:rsidP="00936929" w14:paraId="2F8657BE" w14:textId="77777777">
      <w:r>
        <w:t xml:space="preserve">Belgie se vyznačuje systémem sběru a nakládání s odpadními elektrickými a elektronickými zařízeními, v němž veškeré povinnosti výrobců zajišťuje </w:t>
      </w:r>
      <w:r w:rsidRPr="00111B46">
        <w:rPr>
          <w:b/>
        </w:rPr>
        <w:t xml:space="preserve">jediný </w:t>
      </w:r>
      <w:r w:rsidR="000E6B47">
        <w:rPr>
          <w:b/>
        </w:rPr>
        <w:t>KS</w:t>
      </w:r>
      <w:r>
        <w:t>. Jedná se o jeden z nejdéle fungujících systémů organizovaných výrobci v Evropě, jehož funkce a nastavení byly projednávány již do roku 1996 a který byl založen v roce 2001. Z hlediska otázky neziskovosti není tento systém, jak je obvyklé řešení v jiných státech, regulován obchodním zákoníkem, který je doplněn specifickým ustanovením o nerozdělení zisku, ale právním předpisem upravujícím přímo neziskové organizace.</w:t>
      </w:r>
    </w:p>
    <w:p w:rsidR="00833809" w:rsidP="00936929" w14:paraId="4FE0EE89" w14:textId="77777777">
      <w:r>
        <w:t xml:space="preserve">Primární právo v oblasti nakládání s odpady je v Belgii ustaveno specificky pro každý ze tří regionů zvlášť a oblast schvalování a provozu </w:t>
      </w:r>
      <w:r w:rsidR="000E6B47">
        <w:t>KS</w:t>
      </w:r>
      <w:r>
        <w:t xml:space="preserve"> zásadně neupravuje. Tyto aspekty jsou regulovány až na úrovni jednotlivých předpisů, které mají </w:t>
      </w:r>
      <w:r w:rsidRPr="00111B46">
        <w:rPr>
          <w:b/>
        </w:rPr>
        <w:t>formu dohod o politice životního prostředí</w:t>
      </w:r>
      <w:r>
        <w:t xml:space="preserve">. Tyto předpisy silně akcentují participaci a schvalování podstatných kroků, které činí </w:t>
      </w:r>
      <w:r w:rsidR="000E6B47">
        <w:t>KS</w:t>
      </w:r>
      <w:r>
        <w:t xml:space="preserve">, ze strany státní správy. </w:t>
      </w:r>
    </w:p>
    <w:p w:rsidR="00833809" w:rsidP="00936929" w14:paraId="032BE7CC" w14:textId="77777777">
      <w:r>
        <w:t xml:space="preserve">V Belgii zajišťuje nakládání s OEEZ jediný </w:t>
      </w:r>
      <w:r w:rsidR="000E6B47">
        <w:t>KS</w:t>
      </w:r>
      <w:r>
        <w:t xml:space="preserve"> </w:t>
      </w:r>
      <w:r w:rsidRPr="00111B46">
        <w:rPr>
          <w:b/>
        </w:rPr>
        <w:t>Recupyl</w:t>
      </w:r>
      <w:r>
        <w:t xml:space="preserve"> založený v </w:t>
      </w:r>
      <w:r w:rsidRPr="00737F38">
        <w:t xml:space="preserve">roce </w:t>
      </w:r>
      <w:r>
        <w:t xml:space="preserve">2001 ve spolupráci několika asociací AGORIA vzw, BDMA vzw, FEADGRIM asbl, FEADIS asbl, FEE vzw, IMCOBEL asbl, LVMEB vzw, NELECTRA vzw, UDIAS, UNAMEC, UBELMA vzw, GDA a Ala Security napříč všemi produktovými skupinami. S ohledem na tuto skutečnost nebyly během fungování založeny jiné alternativy. </w:t>
      </w:r>
    </w:p>
    <w:p w:rsidR="00833809" w:rsidP="00936929" w14:paraId="46683169" w14:textId="4B1333DF">
      <w:r>
        <w:t>Jedná se o obdobné postavení, jako měla v ČR donedávna v oblasti obalů AOS EKO-KOM, a.s. v ČR, a to jak z hlediska celkové doby, kdy působí na trhu, tak z hlediska jeho postavení na</w:t>
      </w:r>
      <w:r w:rsidR="002408DF">
        <w:t> </w:t>
      </w:r>
      <w:r>
        <w:t>trhu. V době založení byly podány žádosti jiných zájemců, které nicméně nebyly schváleny. Obdobně jako v případě obalového zákona jsou zásadní prvky systému schvalovány bez</w:t>
      </w:r>
      <w:r w:rsidR="002408DF">
        <w:t> </w:t>
      </w:r>
      <w:r>
        <w:t>podrobné úpravy v základním právním předpise upravujícím danou oblast.</w:t>
      </w:r>
    </w:p>
    <w:p w:rsidR="00833809" w:rsidRPr="00221615" w:rsidP="00BF16B7" w14:paraId="74721472" w14:textId="50F35631">
      <w:pPr>
        <w:pStyle w:val="Heading3"/>
      </w:pPr>
      <w:bookmarkStart w:id="172" w:name="_Toc427215067"/>
      <w:r w:rsidRPr="00221615">
        <w:t>Omezení a podmínky kolektivního systému</w:t>
      </w:r>
      <w:bookmarkEnd w:id="172"/>
    </w:p>
    <w:p w:rsidR="00833809" w:rsidP="00936929" w14:paraId="5787490E" w14:textId="77777777">
      <w:r>
        <w:t>KS</w:t>
      </w:r>
      <w:r>
        <w:t xml:space="preserve"> je v Belgii nezisková společnost, tuto skutečnost nicméně nezmiňuje samotný předpis o</w:t>
      </w:r>
      <w:r>
        <w:t> </w:t>
      </w:r>
      <w:r>
        <w:t>nakládání s </w:t>
      </w:r>
      <w:r>
        <w:t>OEEZ</w:t>
      </w:r>
      <w:r>
        <w:t xml:space="preserve">, ale až předpisy (dohody) jednotlivých regionálních vlád o zřízení systému. Právní forma systému je přitom velmi specifická. Nejedná se tak jako v některých zemích EU o obchodní společnost založenou dle obchodního práva se specifickým omezením týkajícím se nakládání se ziskem uvedeným v environmentální legislativě, ale zřízeným </w:t>
      </w:r>
      <w:r w:rsidRPr="008F7F81">
        <w:rPr>
          <w:b/>
        </w:rPr>
        <w:t>na</w:t>
      </w:r>
      <w:r>
        <w:rPr>
          <w:b/>
        </w:rPr>
        <w:t> </w:t>
      </w:r>
      <w:r w:rsidRPr="008F7F81">
        <w:rPr>
          <w:b/>
        </w:rPr>
        <w:t>základě specifického zákona z 26. června 1921 o neziskových asociacích</w:t>
      </w:r>
      <w:r>
        <w:t>, neziskových mezinárodních asociacích a nadacích.</w:t>
      </w:r>
    </w:p>
    <w:p w:rsidR="00833809" w:rsidP="00936929" w14:paraId="7C0A90CC" w14:textId="77777777">
      <w:r>
        <w:t>Otázka střetu zájmů osob je řešena zejména vyloučením těchto osob v případě výběrových řízení (hodnocení a monitorování procesu přidělování), na zajištění sběru a zpracování elektroodpadu (čl. 11 § 3 odst. 14. dohody).</w:t>
      </w:r>
    </w:p>
    <w:p w:rsidR="00D368C6" w:rsidP="00936929" w14:paraId="2B677E4A" w14:textId="77777777">
      <w:pPr>
        <w:rPr>
          <w:b/>
          <w:lang w:eastAsia="cs-CZ" w:bidi="ar-SA"/>
        </w:rPr>
      </w:pPr>
    </w:p>
    <w:p w:rsidR="00833809" w:rsidRPr="00D223CD" w:rsidP="00936929" w14:paraId="3C64B479" w14:textId="77777777">
      <w:pPr>
        <w:rPr>
          <w:lang w:eastAsia="cs-CZ" w:bidi="ar-SA"/>
        </w:rPr>
      </w:pPr>
      <w:r w:rsidRPr="00892C46">
        <w:rPr>
          <w:b/>
          <w:lang w:eastAsia="cs-CZ" w:bidi="ar-SA"/>
        </w:rPr>
        <w:t>Slovensko</w:t>
      </w:r>
    </w:p>
    <w:p w:rsidR="00833809" w:rsidP="00936929" w14:paraId="7E6C6CC1" w14:textId="77777777">
      <w:r>
        <w:t xml:space="preserve">Kolektivním systémem (kolektívnou organizáciou) se dle nynější platné legislativy označuje právnická osoba založená nejméně jedním výrobcem elektrozařízení, zapsaná v Registru kolektivních organizací. </w:t>
      </w:r>
    </w:p>
    <w:p w:rsidR="00833809" w:rsidP="00936929" w14:paraId="20953069" w14:textId="77777777">
      <w:r>
        <w:t xml:space="preserve">Na území Slovenska je v současné době registrováno celkem 18 </w:t>
      </w:r>
      <w:r w:rsidR="000E6B47">
        <w:t>KS</w:t>
      </w:r>
      <w:r>
        <w:t>.</w:t>
      </w:r>
    </w:p>
    <w:p w:rsidR="00833809" w:rsidP="00936929" w14:paraId="166EEF35" w14:textId="77777777">
      <w:r>
        <w:t xml:space="preserve">Od roku 2016 najdeme </w:t>
      </w:r>
      <w:r w:rsidR="000E6B47">
        <w:t>KS</w:t>
      </w:r>
      <w:r>
        <w:t xml:space="preserve"> v legislativě pod pojmem organizace odpovědnosti výrobců, která je definována takto:  „</w:t>
      </w:r>
      <w:r w:rsidRPr="00364F1D">
        <w:t>Organizace odpovědnosti výrobců je právnická osoba se sídlem v</w:t>
      </w:r>
      <w:r>
        <w:t>e</w:t>
      </w:r>
      <w:r w:rsidR="000E6B47">
        <w:t> </w:t>
      </w:r>
      <w:r>
        <w:t>Slovensk</w:t>
      </w:r>
      <w:r w:rsidRPr="00364F1D">
        <w:t>é republice založena</w:t>
      </w:r>
      <w:r>
        <w:t>,</w:t>
      </w:r>
      <w:r w:rsidRPr="00364F1D">
        <w:t xml:space="preserve"> vlastněna a provozována výlučně výrobci vyhrazených výrobků se sídlem v některém z členských států. Organizace odpovědnosti výrobců, v souladu s udělenou autorizací, zajišťuje na základě smlouvy o plnění vyhrazených povinností plnění těchto povinností za zast</w:t>
      </w:r>
      <w:r>
        <w:t>upující</w:t>
      </w:r>
      <w:r w:rsidRPr="00364F1D">
        <w:t xml:space="preserve"> výrobc</w:t>
      </w:r>
      <w:r>
        <w:t>e</w:t>
      </w:r>
      <w:r w:rsidRPr="00364F1D">
        <w:t xml:space="preserve"> vyhrazeného výrobku. Účelem organizace odpovědnosti výrobců není dosa</w:t>
      </w:r>
      <w:r>
        <w:t xml:space="preserve">žení </w:t>
      </w:r>
      <w:r w:rsidRPr="00364F1D">
        <w:t>zisku.</w:t>
      </w:r>
      <w:r>
        <w:t>“ Povinnosti organizace jsou:</w:t>
      </w:r>
    </w:p>
    <w:p w:rsidR="00833809" w:rsidP="003C445B" w14:paraId="38DB8D89" w14:textId="77777777">
      <w:pPr>
        <w:pStyle w:val="ListParagraph"/>
        <w:numPr>
          <w:ilvl w:val="0"/>
          <w:numId w:val="83"/>
        </w:numPr>
        <w:contextualSpacing w:val="0"/>
      </w:pPr>
      <w:r>
        <w:t>Vytvořit, financovat, provozovat a udržovat funkční systém společného nakládání s vyhrazeným proudem odpadu během celé doby jejího oprávněného působení</w:t>
      </w:r>
    </w:p>
    <w:p w:rsidR="00833809" w:rsidP="003C445B" w14:paraId="59D18CF8" w14:textId="77777777">
      <w:pPr>
        <w:pStyle w:val="ListParagraph"/>
        <w:numPr>
          <w:ilvl w:val="0"/>
          <w:numId w:val="83"/>
        </w:numPr>
        <w:contextualSpacing w:val="0"/>
      </w:pPr>
      <w:r>
        <w:t>Uzavírat za nediskriminačních podmínek s výrobcem vyhrazeného výrobku patřícího do předmětu její autorizace smlouvou o plnění vyhrazených povinností, pokud o to výrobce projeví zájem</w:t>
      </w:r>
    </w:p>
    <w:p w:rsidR="00833809" w:rsidP="003C445B" w14:paraId="5719FBE1" w14:textId="77777777">
      <w:pPr>
        <w:pStyle w:val="ListParagraph"/>
        <w:numPr>
          <w:ilvl w:val="0"/>
          <w:numId w:val="83"/>
        </w:numPr>
        <w:contextualSpacing w:val="0"/>
      </w:pPr>
      <w:r>
        <w:t>Dodržovat podmínky autorizace</w:t>
      </w:r>
    </w:p>
    <w:p w:rsidR="00833809" w:rsidP="003C445B" w14:paraId="1AE0D543" w14:textId="77777777">
      <w:pPr>
        <w:pStyle w:val="ListParagraph"/>
        <w:numPr>
          <w:ilvl w:val="0"/>
          <w:numId w:val="83"/>
        </w:numPr>
        <w:contextualSpacing w:val="0"/>
      </w:pPr>
      <w:r>
        <w:t>Plnit za všechny zastoupené výrobce jejich vyhrazené povinnosti</w:t>
      </w:r>
    </w:p>
    <w:p w:rsidR="00833809" w:rsidP="003C445B" w14:paraId="3E621BBE" w14:textId="77777777">
      <w:pPr>
        <w:pStyle w:val="ListParagraph"/>
        <w:numPr>
          <w:ilvl w:val="0"/>
          <w:numId w:val="83"/>
        </w:numPr>
        <w:contextualSpacing w:val="0"/>
      </w:pPr>
      <w:r>
        <w:t>Uzavřít smlouvu s koordinačním centrem, je-li zřízeno a plnit povinnosti z něj vyplývající</w:t>
      </w:r>
    </w:p>
    <w:p w:rsidR="00833809" w:rsidP="003C445B" w14:paraId="54CF2EE6" w14:textId="77777777">
      <w:pPr>
        <w:pStyle w:val="ListParagraph"/>
        <w:numPr>
          <w:ilvl w:val="0"/>
          <w:numId w:val="83"/>
        </w:numPr>
        <w:contextualSpacing w:val="0"/>
      </w:pPr>
      <w:r>
        <w:t>Bezodkladně informovat ministerstvo o tom, že nastali skutečnosti, které vedou k ukončení činnosti organizace</w:t>
      </w:r>
    </w:p>
    <w:p w:rsidR="00833809" w:rsidP="00D8630B" w14:paraId="6135455E" w14:textId="77777777">
      <w:pPr>
        <w:pStyle w:val="Heading2"/>
        <w:numPr>
          <w:ilvl w:val="0"/>
          <w:numId w:val="0"/>
        </w:numPr>
        <w:spacing w:after="0"/>
        <w:ind w:left="578" w:hanging="578"/>
      </w:pPr>
      <w:bookmarkStart w:id="173" w:name="_Toc427215142"/>
      <w:r w:rsidRPr="00CB35F4">
        <w:t>Itálie</w:t>
      </w:r>
      <w:bookmarkEnd w:id="173"/>
    </w:p>
    <w:p w:rsidR="00833809" w:rsidP="00936929" w14:paraId="53B31032" w14:textId="77777777">
      <w:pPr>
        <w:rPr>
          <w:iCs/>
          <w:kern w:val="32"/>
          <w:szCs w:val="28"/>
        </w:rPr>
      </w:pPr>
      <w:r w:rsidRPr="00D223CD">
        <w:rPr>
          <w:rFonts w:cs="Arial"/>
          <w:iCs/>
          <w:kern w:val="32"/>
          <w:szCs w:val="28"/>
        </w:rPr>
        <w:t xml:space="preserve">V současné době je na území Itálie schváleno celkem 17 </w:t>
      </w:r>
      <w:r w:rsidR="00D9689D">
        <w:rPr>
          <w:rFonts w:cs="Arial"/>
          <w:iCs/>
          <w:kern w:val="32"/>
          <w:szCs w:val="28"/>
        </w:rPr>
        <w:t>KS</w:t>
      </w:r>
      <w:r w:rsidRPr="00D223CD">
        <w:rPr>
          <w:rFonts w:cs="Arial"/>
          <w:iCs/>
          <w:kern w:val="32"/>
          <w:szCs w:val="28"/>
        </w:rPr>
        <w:t xml:space="preserve">. Některé z nich jsou zaměřené pouze na určitá </w:t>
      </w:r>
      <w:r w:rsidR="00D9689D">
        <w:rPr>
          <w:rFonts w:cs="Arial"/>
          <w:iCs/>
          <w:kern w:val="32"/>
          <w:szCs w:val="28"/>
        </w:rPr>
        <w:t>EEZ</w:t>
      </w:r>
      <w:r w:rsidRPr="00D223CD">
        <w:rPr>
          <w:rFonts w:cs="Arial"/>
          <w:iCs/>
          <w:kern w:val="32"/>
          <w:szCs w:val="28"/>
        </w:rPr>
        <w:t xml:space="preserve">, většina funguje také jako </w:t>
      </w:r>
      <w:r w:rsidR="00D9689D">
        <w:rPr>
          <w:rFonts w:cs="Arial"/>
          <w:iCs/>
          <w:kern w:val="32"/>
          <w:szCs w:val="28"/>
        </w:rPr>
        <w:t>KS</w:t>
      </w:r>
      <w:r w:rsidRPr="00D223CD">
        <w:rPr>
          <w:rFonts w:cs="Arial"/>
          <w:iCs/>
          <w:kern w:val="32"/>
          <w:szCs w:val="28"/>
        </w:rPr>
        <w:t xml:space="preserve"> pro baterie a </w:t>
      </w:r>
      <w:r w:rsidRPr="002A47AF">
        <w:rPr>
          <w:rFonts w:cs="Arial"/>
          <w:iCs/>
          <w:kern w:val="32"/>
          <w:szCs w:val="28"/>
        </w:rPr>
        <w:t>akumulátory. Podrobnosti shrnuje</w:t>
      </w:r>
      <w:r>
        <w:rPr>
          <w:rFonts w:cs="Arial"/>
          <w:iCs/>
          <w:kern w:val="32"/>
          <w:szCs w:val="28"/>
        </w:rPr>
        <w:t xml:space="preserve"> </w:t>
      </w:r>
      <w:r w:rsidR="00D9689D">
        <w:rPr>
          <w:rFonts w:cs="Arial"/>
          <w:iCs/>
          <w:kern w:val="32"/>
          <w:szCs w:val="28"/>
        </w:rPr>
        <w:t xml:space="preserve">následující </w:t>
      </w:r>
      <w:r>
        <w:rPr>
          <w:rFonts w:cs="Arial"/>
          <w:iCs/>
          <w:kern w:val="32"/>
          <w:szCs w:val="28"/>
        </w:rPr>
        <w:t>tabulka.</w:t>
      </w:r>
    </w:p>
    <w:p w:rsidR="00833809" w:rsidRPr="00E97FD5" w:rsidP="00D8630B" w14:paraId="54B41452" w14:textId="5E1DD2BE">
      <w:pPr>
        <w:pStyle w:val="Caption"/>
        <w:spacing w:before="120"/>
        <w:rPr>
          <w:sz w:val="20"/>
          <w:szCs w:val="20"/>
        </w:rPr>
      </w:pPr>
      <w:r w:rsidRPr="00E97FD5">
        <w:rPr>
          <w:sz w:val="20"/>
          <w:szCs w:val="20"/>
        </w:rPr>
        <w:t xml:space="preserve">Tabulka </w:t>
      </w:r>
      <w:r w:rsidR="00193C68">
        <w:rPr>
          <w:sz w:val="20"/>
          <w:szCs w:val="20"/>
        </w:rPr>
        <w:t>3</w:t>
      </w:r>
      <w:r w:rsidR="00925F10">
        <w:rPr>
          <w:sz w:val="20"/>
          <w:szCs w:val="20"/>
        </w:rPr>
        <w:t>3</w:t>
      </w:r>
      <w:r w:rsidRPr="00E97FD5">
        <w:rPr>
          <w:sz w:val="20"/>
          <w:szCs w:val="20"/>
        </w:rPr>
        <w:t>: KS v Itálii</w:t>
      </w:r>
    </w:p>
    <w:tbl>
      <w:tblPr>
        <w:tblStyle w:val="Tmavtabulkasmkou5zvraznn12"/>
        <w:tblW w:w="8969" w:type="dxa"/>
        <w:jc w:val="center"/>
        <w:tblLook w:val="0420"/>
      </w:tblPr>
      <w:tblGrid>
        <w:gridCol w:w="2185"/>
        <w:gridCol w:w="1953"/>
        <w:gridCol w:w="1348"/>
        <w:gridCol w:w="3483"/>
      </w:tblGrid>
      <w:tr w14:paraId="7DDB748C" w14:textId="77777777" w:rsidTr="00D8630B">
        <w:tblPrEx>
          <w:tblW w:w="8969" w:type="dxa"/>
          <w:jc w:val="center"/>
          <w:tblLook w:val="0420"/>
        </w:tblPrEx>
        <w:trPr>
          <w:trHeight w:val="701"/>
          <w:jc w:val="center"/>
        </w:trPr>
        <w:tc>
          <w:tcPr>
            <w:tcW w:w="2185" w:type="dxa"/>
            <w:vAlign w:val="center"/>
          </w:tcPr>
          <w:p w:rsidR="00833809" w:rsidRPr="00E97FD5" w:rsidP="00D8630B" w14:paraId="1B7C81B5" w14:textId="77777777">
            <w:pPr>
              <w:spacing w:before="0" w:after="0" w:line="240" w:lineRule="auto"/>
              <w:jc w:val="center"/>
              <w:rPr>
                <w:rFonts w:cs="Times New Roman"/>
                <w:sz w:val="20"/>
                <w:szCs w:val="20"/>
              </w:rPr>
            </w:pPr>
            <w:r w:rsidRPr="00E97FD5">
              <w:rPr>
                <w:rFonts w:cs="Times New Roman"/>
                <w:sz w:val="20"/>
                <w:szCs w:val="20"/>
              </w:rPr>
              <w:t>Kolektivní systém</w:t>
            </w:r>
          </w:p>
        </w:tc>
        <w:tc>
          <w:tcPr>
            <w:tcW w:w="1953" w:type="dxa"/>
            <w:vAlign w:val="center"/>
          </w:tcPr>
          <w:p w:rsidR="00833809" w:rsidRPr="00E97FD5" w:rsidP="00D8630B" w14:paraId="1288B028" w14:textId="77777777">
            <w:pPr>
              <w:spacing w:before="0" w:after="0" w:line="240" w:lineRule="auto"/>
              <w:jc w:val="center"/>
              <w:rPr>
                <w:rFonts w:cs="Times New Roman"/>
                <w:sz w:val="20"/>
                <w:szCs w:val="20"/>
              </w:rPr>
            </w:pPr>
            <w:r w:rsidRPr="00E97FD5">
              <w:rPr>
                <w:rFonts w:cs="Times New Roman"/>
                <w:sz w:val="20"/>
                <w:szCs w:val="20"/>
              </w:rPr>
              <w:t>Působnost</w:t>
            </w:r>
          </w:p>
        </w:tc>
        <w:tc>
          <w:tcPr>
            <w:tcW w:w="1348" w:type="dxa"/>
            <w:vAlign w:val="center"/>
          </w:tcPr>
          <w:p w:rsidR="00833809" w:rsidRPr="00E97FD5" w:rsidP="00D8630B" w14:paraId="20DAB93D" w14:textId="77777777">
            <w:pPr>
              <w:spacing w:before="0" w:after="0" w:line="240" w:lineRule="auto"/>
              <w:jc w:val="center"/>
              <w:rPr>
                <w:rFonts w:cs="Times New Roman"/>
                <w:sz w:val="20"/>
                <w:szCs w:val="20"/>
              </w:rPr>
            </w:pPr>
            <w:r w:rsidRPr="00E97FD5">
              <w:rPr>
                <w:rFonts w:cs="Times New Roman"/>
                <w:sz w:val="20"/>
                <w:szCs w:val="20"/>
              </w:rPr>
              <w:t>B2B/B2C</w:t>
            </w:r>
          </w:p>
        </w:tc>
        <w:tc>
          <w:tcPr>
            <w:tcW w:w="3483" w:type="dxa"/>
            <w:vAlign w:val="center"/>
          </w:tcPr>
          <w:p w:rsidR="00833809" w:rsidRPr="00E97FD5" w:rsidP="00D8630B" w14:paraId="02011050" w14:textId="77777777">
            <w:pPr>
              <w:spacing w:before="0" w:after="0" w:line="240" w:lineRule="auto"/>
              <w:jc w:val="center"/>
              <w:rPr>
                <w:rFonts w:cs="Times New Roman"/>
                <w:sz w:val="20"/>
                <w:szCs w:val="20"/>
              </w:rPr>
            </w:pPr>
            <w:r w:rsidRPr="00E97FD5">
              <w:rPr>
                <w:rFonts w:cs="Times New Roman"/>
                <w:sz w:val="20"/>
                <w:szCs w:val="20"/>
              </w:rPr>
              <w:t>Kategorie odpadů</w:t>
            </w:r>
          </w:p>
        </w:tc>
      </w:tr>
      <w:tr w14:paraId="33A9FA2F" w14:textId="77777777" w:rsidTr="00D8630B">
        <w:tblPrEx>
          <w:tblW w:w="8969" w:type="dxa"/>
          <w:jc w:val="center"/>
          <w:tblLook w:val="0420"/>
        </w:tblPrEx>
        <w:trPr>
          <w:trHeight w:val="432"/>
          <w:jc w:val="center"/>
        </w:trPr>
        <w:tc>
          <w:tcPr>
            <w:tcW w:w="2185" w:type="dxa"/>
            <w:vAlign w:val="center"/>
          </w:tcPr>
          <w:p w:rsidR="00833809" w:rsidRPr="00E97FD5" w:rsidP="00D8630B" w14:paraId="6713147F" w14:textId="77777777">
            <w:pPr>
              <w:spacing w:before="60"/>
              <w:jc w:val="center"/>
              <w:rPr>
                <w:rFonts w:cs="Times New Roman"/>
                <w:sz w:val="20"/>
                <w:szCs w:val="20"/>
              </w:rPr>
            </w:pPr>
            <w:r w:rsidRPr="00E97FD5">
              <w:rPr>
                <w:rFonts w:cs="Times New Roman"/>
                <w:sz w:val="20"/>
                <w:szCs w:val="20"/>
              </w:rPr>
              <w:t>ECODOM</w:t>
            </w:r>
          </w:p>
        </w:tc>
        <w:tc>
          <w:tcPr>
            <w:tcW w:w="1953" w:type="dxa"/>
            <w:vAlign w:val="center"/>
          </w:tcPr>
          <w:p w:rsidR="00833809" w:rsidRPr="00E97FD5" w:rsidP="00D8630B" w14:paraId="620643CC"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2563C606" w14:textId="77777777">
            <w:pPr>
              <w:spacing w:before="60"/>
              <w:jc w:val="center"/>
              <w:rPr>
                <w:rFonts w:cs="Times New Roman"/>
                <w:sz w:val="20"/>
                <w:szCs w:val="20"/>
              </w:rPr>
            </w:pPr>
            <w:r w:rsidRPr="00E97FD5">
              <w:rPr>
                <w:rFonts w:cs="Times New Roman"/>
                <w:sz w:val="20"/>
                <w:szCs w:val="20"/>
              </w:rPr>
              <w:t>B2C</w:t>
            </w:r>
          </w:p>
        </w:tc>
        <w:tc>
          <w:tcPr>
            <w:tcW w:w="3483" w:type="dxa"/>
            <w:vAlign w:val="center"/>
          </w:tcPr>
          <w:p w:rsidR="00833809" w:rsidRPr="00E97FD5" w:rsidP="00D8630B" w14:paraId="7FB090A5" w14:textId="77777777">
            <w:pPr>
              <w:spacing w:before="60"/>
              <w:rPr>
                <w:rFonts w:cs="Times New Roman"/>
                <w:sz w:val="20"/>
                <w:szCs w:val="20"/>
              </w:rPr>
            </w:pPr>
            <w:r w:rsidRPr="00E97FD5">
              <w:rPr>
                <w:rFonts w:cs="Times New Roman"/>
                <w:sz w:val="20"/>
                <w:szCs w:val="20"/>
              </w:rPr>
              <w:t>1-4</w:t>
            </w:r>
          </w:p>
        </w:tc>
      </w:tr>
      <w:tr w14:paraId="2B8F68CC" w14:textId="77777777" w:rsidTr="00D8630B">
        <w:tblPrEx>
          <w:tblW w:w="8969" w:type="dxa"/>
          <w:jc w:val="center"/>
          <w:tblLook w:val="0420"/>
        </w:tblPrEx>
        <w:trPr>
          <w:trHeight w:val="701"/>
          <w:jc w:val="center"/>
        </w:trPr>
        <w:tc>
          <w:tcPr>
            <w:tcW w:w="2185" w:type="dxa"/>
            <w:vAlign w:val="center"/>
          </w:tcPr>
          <w:p w:rsidR="00833809" w:rsidRPr="00E97FD5" w:rsidP="00D8630B" w14:paraId="1AEFBAD0" w14:textId="77777777">
            <w:pPr>
              <w:spacing w:before="60"/>
              <w:jc w:val="center"/>
              <w:rPr>
                <w:rFonts w:cs="Times New Roman"/>
                <w:sz w:val="20"/>
                <w:szCs w:val="20"/>
              </w:rPr>
            </w:pPr>
            <w:r w:rsidRPr="00E97FD5">
              <w:rPr>
                <w:rFonts w:cs="Times New Roman"/>
                <w:sz w:val="20"/>
                <w:szCs w:val="20"/>
              </w:rPr>
              <w:t>ECOELIT</w:t>
            </w:r>
          </w:p>
        </w:tc>
        <w:tc>
          <w:tcPr>
            <w:tcW w:w="1953" w:type="dxa"/>
            <w:vAlign w:val="center"/>
          </w:tcPr>
          <w:p w:rsidR="00833809" w:rsidRPr="00E97FD5" w:rsidP="00D8630B" w14:paraId="79DE79F4"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66F96EEA" w14:textId="77777777">
            <w:pPr>
              <w:spacing w:before="60"/>
              <w:jc w:val="center"/>
              <w:rPr>
                <w:rFonts w:cs="Times New Roman"/>
                <w:sz w:val="20"/>
                <w:szCs w:val="20"/>
              </w:rPr>
            </w:pPr>
            <w:r w:rsidRPr="00E97FD5">
              <w:rPr>
                <w:rFonts w:cs="Times New Roman"/>
                <w:sz w:val="20"/>
                <w:szCs w:val="20"/>
              </w:rPr>
              <w:t>??</w:t>
            </w:r>
          </w:p>
        </w:tc>
        <w:tc>
          <w:tcPr>
            <w:tcW w:w="3483" w:type="dxa"/>
            <w:vAlign w:val="center"/>
          </w:tcPr>
          <w:p w:rsidR="00833809" w:rsidRPr="00E97FD5" w:rsidP="00D8630B" w14:paraId="0A20E8CB" w14:textId="77777777">
            <w:pPr>
              <w:spacing w:before="60"/>
              <w:rPr>
                <w:rFonts w:cs="Times New Roman"/>
                <w:sz w:val="20"/>
                <w:szCs w:val="20"/>
              </w:rPr>
            </w:pPr>
            <w:r w:rsidRPr="00E97FD5">
              <w:rPr>
                <w:rFonts w:cs="Times New Roman"/>
                <w:sz w:val="20"/>
                <w:szCs w:val="20"/>
              </w:rPr>
              <w:t>Všechna OEEZ + baterie, akumulátory</w:t>
            </w:r>
          </w:p>
        </w:tc>
      </w:tr>
      <w:tr w14:paraId="130DDDD0" w14:textId="77777777" w:rsidTr="00D8630B">
        <w:tblPrEx>
          <w:tblW w:w="8969" w:type="dxa"/>
          <w:jc w:val="center"/>
          <w:tblLook w:val="0420"/>
        </w:tblPrEx>
        <w:trPr>
          <w:trHeight w:val="432"/>
          <w:jc w:val="center"/>
        </w:trPr>
        <w:tc>
          <w:tcPr>
            <w:tcW w:w="2185" w:type="dxa"/>
            <w:vAlign w:val="center"/>
          </w:tcPr>
          <w:p w:rsidR="00833809" w:rsidRPr="00E97FD5" w:rsidP="00D8630B" w14:paraId="37B424AA" w14:textId="77777777">
            <w:pPr>
              <w:spacing w:before="60"/>
              <w:jc w:val="center"/>
              <w:rPr>
                <w:rFonts w:cs="Times New Roman"/>
                <w:sz w:val="20"/>
                <w:szCs w:val="20"/>
              </w:rPr>
            </w:pPr>
            <w:r w:rsidRPr="00E97FD5">
              <w:rPr>
                <w:rFonts w:cs="Times New Roman"/>
                <w:sz w:val="20"/>
                <w:szCs w:val="20"/>
              </w:rPr>
              <w:t>Ecoped</w:t>
            </w:r>
          </w:p>
        </w:tc>
        <w:tc>
          <w:tcPr>
            <w:tcW w:w="1953" w:type="dxa"/>
            <w:vAlign w:val="center"/>
          </w:tcPr>
          <w:p w:rsidR="00833809" w:rsidRPr="00E97FD5" w:rsidP="00D8630B" w14:paraId="14EF5D56"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3DDC5BF9"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49C12DFB" w14:textId="77777777">
            <w:pPr>
              <w:spacing w:before="60"/>
              <w:rPr>
                <w:rFonts w:cs="Times New Roman"/>
                <w:sz w:val="20"/>
                <w:szCs w:val="20"/>
              </w:rPr>
            </w:pPr>
            <w:r w:rsidRPr="00E97FD5">
              <w:rPr>
                <w:rFonts w:cs="Times New Roman"/>
                <w:sz w:val="20"/>
                <w:szCs w:val="20"/>
              </w:rPr>
              <w:t>2, 6, 7 + baterie, akumulátory</w:t>
            </w:r>
          </w:p>
        </w:tc>
      </w:tr>
      <w:tr w14:paraId="197E0959" w14:textId="77777777" w:rsidTr="00D8630B">
        <w:tblPrEx>
          <w:tblW w:w="8969" w:type="dxa"/>
          <w:jc w:val="center"/>
          <w:tblLook w:val="0420"/>
        </w:tblPrEx>
        <w:trPr>
          <w:trHeight w:val="447"/>
          <w:jc w:val="center"/>
        </w:trPr>
        <w:tc>
          <w:tcPr>
            <w:tcW w:w="2185" w:type="dxa"/>
            <w:vAlign w:val="center"/>
          </w:tcPr>
          <w:p w:rsidR="00833809" w:rsidRPr="00E97FD5" w:rsidP="00D8630B" w14:paraId="1603300F" w14:textId="77777777">
            <w:pPr>
              <w:spacing w:before="60"/>
              <w:jc w:val="center"/>
              <w:rPr>
                <w:rFonts w:cs="Times New Roman"/>
                <w:sz w:val="20"/>
                <w:szCs w:val="20"/>
              </w:rPr>
            </w:pPr>
            <w:r w:rsidRPr="00E97FD5">
              <w:rPr>
                <w:rFonts w:cs="Times New Roman"/>
                <w:sz w:val="20"/>
                <w:szCs w:val="20"/>
              </w:rPr>
              <w:t>Ridomus</w:t>
            </w:r>
          </w:p>
        </w:tc>
        <w:tc>
          <w:tcPr>
            <w:tcW w:w="1953" w:type="dxa"/>
            <w:vAlign w:val="center"/>
          </w:tcPr>
          <w:p w:rsidR="00833809" w:rsidRPr="00E97FD5" w:rsidP="00D8630B" w14:paraId="13576B78"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1BC2A107"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14A8597F" w14:textId="77777777">
            <w:pPr>
              <w:spacing w:before="60"/>
              <w:rPr>
                <w:rFonts w:cs="Times New Roman"/>
                <w:sz w:val="20"/>
                <w:szCs w:val="20"/>
              </w:rPr>
            </w:pPr>
            <w:r w:rsidRPr="00E97FD5">
              <w:rPr>
                <w:rFonts w:cs="Times New Roman"/>
                <w:sz w:val="20"/>
                <w:szCs w:val="20"/>
              </w:rPr>
              <w:t>Klimatizace</w:t>
            </w:r>
          </w:p>
        </w:tc>
      </w:tr>
      <w:tr w14:paraId="443B486D" w14:textId="77777777" w:rsidTr="00D8630B">
        <w:tblPrEx>
          <w:tblW w:w="8969" w:type="dxa"/>
          <w:jc w:val="center"/>
          <w:tblLook w:val="0420"/>
        </w:tblPrEx>
        <w:trPr>
          <w:trHeight w:val="432"/>
          <w:jc w:val="center"/>
        </w:trPr>
        <w:tc>
          <w:tcPr>
            <w:tcW w:w="2185" w:type="dxa"/>
            <w:vAlign w:val="center"/>
          </w:tcPr>
          <w:p w:rsidR="00833809" w:rsidRPr="00E97FD5" w:rsidP="00D8630B" w14:paraId="13395541" w14:textId="77777777">
            <w:pPr>
              <w:spacing w:before="60"/>
              <w:jc w:val="center"/>
              <w:rPr>
                <w:rFonts w:cs="Times New Roman"/>
                <w:sz w:val="20"/>
                <w:szCs w:val="20"/>
              </w:rPr>
            </w:pPr>
            <w:r w:rsidRPr="00E97FD5">
              <w:rPr>
                <w:rFonts w:cs="Times New Roman"/>
                <w:sz w:val="20"/>
                <w:szCs w:val="20"/>
              </w:rPr>
              <w:t>ecolamp</w:t>
            </w:r>
          </w:p>
        </w:tc>
        <w:tc>
          <w:tcPr>
            <w:tcW w:w="1953" w:type="dxa"/>
            <w:vAlign w:val="center"/>
          </w:tcPr>
          <w:p w:rsidR="00833809" w:rsidRPr="00E97FD5" w:rsidP="00D8630B" w14:paraId="198861C0"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201AD300"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401D6F15" w14:textId="77777777">
            <w:pPr>
              <w:spacing w:before="60"/>
              <w:rPr>
                <w:rFonts w:cs="Times New Roman"/>
                <w:sz w:val="20"/>
                <w:szCs w:val="20"/>
              </w:rPr>
            </w:pPr>
            <w:r w:rsidRPr="00E97FD5">
              <w:rPr>
                <w:rFonts w:cs="Times New Roman"/>
                <w:sz w:val="20"/>
                <w:szCs w:val="20"/>
              </w:rPr>
              <w:t>5</w:t>
            </w:r>
          </w:p>
        </w:tc>
      </w:tr>
      <w:tr w14:paraId="38E068A3" w14:textId="77777777" w:rsidTr="00D8630B">
        <w:tblPrEx>
          <w:tblW w:w="8969" w:type="dxa"/>
          <w:jc w:val="center"/>
          <w:tblLook w:val="0420"/>
        </w:tblPrEx>
        <w:trPr>
          <w:trHeight w:val="432"/>
          <w:jc w:val="center"/>
        </w:trPr>
        <w:tc>
          <w:tcPr>
            <w:tcW w:w="2185" w:type="dxa"/>
            <w:vAlign w:val="center"/>
          </w:tcPr>
          <w:p w:rsidR="00833809" w:rsidRPr="00E97FD5" w:rsidP="00D8630B" w14:paraId="31566899" w14:textId="77777777">
            <w:pPr>
              <w:spacing w:before="60"/>
              <w:jc w:val="center"/>
              <w:rPr>
                <w:rFonts w:cs="Times New Roman"/>
                <w:sz w:val="20"/>
                <w:szCs w:val="20"/>
              </w:rPr>
            </w:pPr>
            <w:r w:rsidRPr="00E97FD5">
              <w:rPr>
                <w:rFonts w:cs="Times New Roman"/>
                <w:sz w:val="20"/>
                <w:szCs w:val="20"/>
              </w:rPr>
              <w:t>RENE AG</w:t>
            </w:r>
          </w:p>
        </w:tc>
        <w:tc>
          <w:tcPr>
            <w:tcW w:w="1953" w:type="dxa"/>
            <w:vAlign w:val="center"/>
          </w:tcPr>
          <w:p w:rsidR="00833809" w:rsidRPr="00E97FD5" w:rsidP="00D8630B" w14:paraId="5AF777BE" w14:textId="77777777">
            <w:pPr>
              <w:spacing w:before="60"/>
              <w:jc w:val="center"/>
              <w:rPr>
                <w:rFonts w:cs="Times New Roman"/>
                <w:sz w:val="20"/>
                <w:szCs w:val="20"/>
              </w:rPr>
            </w:pPr>
            <w:r w:rsidRPr="00E97FD5">
              <w:rPr>
                <w:rFonts w:cs="Times New Roman"/>
                <w:sz w:val="20"/>
                <w:szCs w:val="20"/>
              </w:rPr>
              <w:t>Evropa</w:t>
            </w:r>
          </w:p>
        </w:tc>
        <w:tc>
          <w:tcPr>
            <w:tcW w:w="1348" w:type="dxa"/>
            <w:vAlign w:val="center"/>
          </w:tcPr>
          <w:p w:rsidR="00833809" w:rsidRPr="00E97FD5" w:rsidP="00D8630B" w14:paraId="62B99CC5"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05C02F3A" w14:textId="77777777">
            <w:pPr>
              <w:spacing w:before="60"/>
              <w:rPr>
                <w:rFonts w:cs="Times New Roman"/>
                <w:sz w:val="20"/>
                <w:szCs w:val="20"/>
              </w:rPr>
            </w:pPr>
            <w:r w:rsidRPr="00E97FD5">
              <w:rPr>
                <w:rFonts w:cs="Times New Roman"/>
                <w:sz w:val="20"/>
                <w:szCs w:val="20"/>
              </w:rPr>
              <w:t>V Itálii: všechna OEEZ</w:t>
            </w:r>
          </w:p>
        </w:tc>
      </w:tr>
      <w:tr w14:paraId="62A24F1A" w14:textId="77777777" w:rsidTr="00D8630B">
        <w:tblPrEx>
          <w:tblW w:w="8969" w:type="dxa"/>
          <w:jc w:val="center"/>
          <w:tblLook w:val="0420"/>
        </w:tblPrEx>
        <w:trPr>
          <w:trHeight w:val="701"/>
          <w:jc w:val="center"/>
        </w:trPr>
        <w:tc>
          <w:tcPr>
            <w:tcW w:w="2185" w:type="dxa"/>
            <w:vAlign w:val="center"/>
          </w:tcPr>
          <w:p w:rsidR="00833809" w:rsidRPr="00E97FD5" w:rsidP="00D8630B" w14:paraId="141B0145" w14:textId="77777777">
            <w:pPr>
              <w:spacing w:before="60"/>
              <w:jc w:val="center"/>
              <w:rPr>
                <w:rFonts w:cs="Times New Roman"/>
                <w:sz w:val="20"/>
                <w:szCs w:val="20"/>
              </w:rPr>
            </w:pPr>
            <w:r w:rsidRPr="00E97FD5">
              <w:rPr>
                <w:rFonts w:cs="Times New Roman"/>
                <w:sz w:val="20"/>
                <w:szCs w:val="20"/>
              </w:rPr>
              <w:t>Remedia</w:t>
            </w:r>
          </w:p>
        </w:tc>
        <w:tc>
          <w:tcPr>
            <w:tcW w:w="1953" w:type="dxa"/>
            <w:vAlign w:val="center"/>
          </w:tcPr>
          <w:p w:rsidR="00833809" w:rsidRPr="00E97FD5" w:rsidP="00D8630B" w14:paraId="6B0C758D"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580698FC"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1027D1A5" w14:textId="77777777">
            <w:pPr>
              <w:spacing w:before="60"/>
              <w:rPr>
                <w:rFonts w:cs="Times New Roman"/>
                <w:sz w:val="20"/>
                <w:szCs w:val="20"/>
              </w:rPr>
            </w:pPr>
            <w:r w:rsidRPr="00E97FD5">
              <w:rPr>
                <w:rFonts w:cs="Times New Roman"/>
                <w:sz w:val="20"/>
                <w:szCs w:val="20"/>
              </w:rPr>
              <w:t>Všechna OEEZ + baterie, akumulátory</w:t>
            </w:r>
          </w:p>
        </w:tc>
      </w:tr>
      <w:tr w14:paraId="5378C731" w14:textId="77777777" w:rsidTr="00D8630B">
        <w:tblPrEx>
          <w:tblW w:w="8969" w:type="dxa"/>
          <w:jc w:val="center"/>
          <w:tblLook w:val="0420"/>
        </w:tblPrEx>
        <w:trPr>
          <w:trHeight w:val="701"/>
          <w:jc w:val="center"/>
        </w:trPr>
        <w:tc>
          <w:tcPr>
            <w:tcW w:w="2185" w:type="dxa"/>
            <w:vAlign w:val="center"/>
          </w:tcPr>
          <w:p w:rsidR="00833809" w:rsidRPr="00E97FD5" w:rsidP="00D8630B" w14:paraId="07C18013" w14:textId="77777777">
            <w:pPr>
              <w:spacing w:before="60"/>
              <w:jc w:val="center"/>
              <w:rPr>
                <w:rFonts w:cs="Times New Roman"/>
                <w:sz w:val="20"/>
                <w:szCs w:val="20"/>
              </w:rPr>
            </w:pPr>
            <w:r w:rsidRPr="00E97FD5">
              <w:rPr>
                <w:rFonts w:cs="Times New Roman"/>
                <w:sz w:val="20"/>
                <w:szCs w:val="20"/>
              </w:rPr>
              <w:t>ecoR´it</w:t>
            </w:r>
          </w:p>
        </w:tc>
        <w:tc>
          <w:tcPr>
            <w:tcW w:w="1953" w:type="dxa"/>
            <w:vAlign w:val="center"/>
          </w:tcPr>
          <w:p w:rsidR="00833809" w:rsidRPr="00E97FD5" w:rsidP="00D8630B" w14:paraId="255B1466"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322A4913"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1B422456" w14:textId="77777777">
            <w:pPr>
              <w:spacing w:before="60"/>
              <w:rPr>
                <w:rFonts w:cs="Times New Roman"/>
                <w:sz w:val="20"/>
                <w:szCs w:val="20"/>
              </w:rPr>
            </w:pPr>
            <w:r w:rsidRPr="00E97FD5">
              <w:rPr>
                <w:rFonts w:cs="Times New Roman"/>
                <w:sz w:val="20"/>
                <w:szCs w:val="20"/>
              </w:rPr>
              <w:t>Všechna OEEZ + baterie, akumulátory</w:t>
            </w:r>
          </w:p>
        </w:tc>
      </w:tr>
      <w:tr w14:paraId="7A4C71DE" w14:textId="77777777" w:rsidTr="00D8630B">
        <w:tblPrEx>
          <w:tblW w:w="8969" w:type="dxa"/>
          <w:jc w:val="center"/>
          <w:tblLook w:val="0420"/>
        </w:tblPrEx>
        <w:trPr>
          <w:trHeight w:val="701"/>
          <w:jc w:val="center"/>
        </w:trPr>
        <w:tc>
          <w:tcPr>
            <w:tcW w:w="2185" w:type="dxa"/>
            <w:vAlign w:val="center"/>
          </w:tcPr>
          <w:p w:rsidR="00833809" w:rsidRPr="00E97FD5" w:rsidP="00D8630B" w14:paraId="5B7E755F" w14:textId="77777777">
            <w:pPr>
              <w:spacing w:before="60"/>
              <w:jc w:val="center"/>
              <w:rPr>
                <w:rFonts w:cs="Times New Roman"/>
                <w:sz w:val="20"/>
                <w:szCs w:val="20"/>
              </w:rPr>
            </w:pPr>
            <w:r w:rsidRPr="00E97FD5">
              <w:rPr>
                <w:rFonts w:cs="Times New Roman"/>
                <w:sz w:val="20"/>
                <w:szCs w:val="20"/>
              </w:rPr>
              <w:t>ERP</w:t>
            </w:r>
          </w:p>
        </w:tc>
        <w:tc>
          <w:tcPr>
            <w:tcW w:w="1953" w:type="dxa"/>
            <w:vAlign w:val="center"/>
          </w:tcPr>
          <w:p w:rsidR="00833809" w:rsidRPr="00E97FD5" w:rsidP="00D8630B" w14:paraId="1D699DCC" w14:textId="77777777">
            <w:pPr>
              <w:spacing w:before="60"/>
              <w:jc w:val="center"/>
              <w:rPr>
                <w:rFonts w:cs="Times New Roman"/>
                <w:sz w:val="20"/>
                <w:szCs w:val="20"/>
              </w:rPr>
            </w:pPr>
            <w:r w:rsidRPr="00E97FD5">
              <w:rPr>
                <w:rFonts w:cs="Times New Roman"/>
                <w:sz w:val="20"/>
                <w:szCs w:val="20"/>
              </w:rPr>
              <w:t>Svět</w:t>
            </w:r>
          </w:p>
        </w:tc>
        <w:tc>
          <w:tcPr>
            <w:tcW w:w="1348" w:type="dxa"/>
            <w:vAlign w:val="center"/>
          </w:tcPr>
          <w:p w:rsidR="00833809" w:rsidRPr="00E97FD5" w:rsidP="00D8630B" w14:paraId="77D75E3E"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1C476723" w14:textId="77777777">
            <w:pPr>
              <w:spacing w:before="60"/>
              <w:rPr>
                <w:rFonts w:cs="Times New Roman"/>
                <w:sz w:val="20"/>
                <w:szCs w:val="20"/>
              </w:rPr>
            </w:pPr>
            <w:r w:rsidRPr="00E97FD5">
              <w:rPr>
                <w:rFonts w:cs="Times New Roman"/>
                <w:sz w:val="20"/>
                <w:szCs w:val="20"/>
              </w:rPr>
              <w:t>V Itálii: všechna OEEZ + baterie, akumulátory</w:t>
            </w:r>
          </w:p>
        </w:tc>
      </w:tr>
      <w:tr w14:paraId="07A4F9F4" w14:textId="77777777" w:rsidTr="00D8630B">
        <w:tblPrEx>
          <w:tblW w:w="8969" w:type="dxa"/>
          <w:jc w:val="center"/>
          <w:tblLook w:val="0420"/>
        </w:tblPrEx>
        <w:trPr>
          <w:trHeight w:val="701"/>
          <w:jc w:val="center"/>
        </w:trPr>
        <w:tc>
          <w:tcPr>
            <w:tcW w:w="2185" w:type="dxa"/>
            <w:vAlign w:val="center"/>
          </w:tcPr>
          <w:p w:rsidR="00833809" w:rsidRPr="00E97FD5" w:rsidP="00D8630B" w14:paraId="61B94EC7" w14:textId="77777777">
            <w:pPr>
              <w:spacing w:before="60"/>
              <w:jc w:val="center"/>
              <w:rPr>
                <w:rFonts w:cs="Times New Roman"/>
                <w:sz w:val="20"/>
                <w:szCs w:val="20"/>
              </w:rPr>
            </w:pPr>
            <w:r w:rsidRPr="00E97FD5">
              <w:rPr>
                <w:rFonts w:cs="Times New Roman"/>
                <w:sz w:val="20"/>
                <w:szCs w:val="20"/>
              </w:rPr>
              <w:t>CCR</w:t>
            </w:r>
          </w:p>
        </w:tc>
        <w:tc>
          <w:tcPr>
            <w:tcW w:w="1953" w:type="dxa"/>
            <w:vAlign w:val="center"/>
          </w:tcPr>
          <w:p w:rsidR="00833809" w:rsidRPr="00E97FD5" w:rsidP="00D8630B" w14:paraId="1D100F52" w14:textId="77777777">
            <w:pPr>
              <w:spacing w:before="60"/>
              <w:jc w:val="center"/>
              <w:rPr>
                <w:rFonts w:cs="Times New Roman"/>
                <w:sz w:val="20"/>
                <w:szCs w:val="20"/>
              </w:rPr>
            </w:pPr>
            <w:r w:rsidRPr="00E97FD5">
              <w:rPr>
                <w:rFonts w:cs="Times New Roman"/>
                <w:sz w:val="20"/>
                <w:szCs w:val="20"/>
              </w:rPr>
              <w:t>Evropa</w:t>
            </w:r>
          </w:p>
        </w:tc>
        <w:tc>
          <w:tcPr>
            <w:tcW w:w="1348" w:type="dxa"/>
            <w:vAlign w:val="center"/>
          </w:tcPr>
          <w:p w:rsidR="00833809" w:rsidRPr="00E97FD5" w:rsidP="00D8630B" w14:paraId="0C288D44"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0AC02054" w14:textId="77777777">
            <w:pPr>
              <w:spacing w:before="60"/>
              <w:rPr>
                <w:rFonts w:cs="Times New Roman"/>
                <w:sz w:val="20"/>
                <w:szCs w:val="20"/>
              </w:rPr>
            </w:pPr>
            <w:r w:rsidRPr="00E97FD5">
              <w:rPr>
                <w:rFonts w:cs="Times New Roman"/>
                <w:sz w:val="20"/>
                <w:szCs w:val="20"/>
              </w:rPr>
              <w:t>Všechna OEEZ + baterie, akumulátory</w:t>
            </w:r>
          </w:p>
        </w:tc>
      </w:tr>
      <w:tr w14:paraId="5298C839" w14:textId="77777777" w:rsidTr="00D8630B">
        <w:tblPrEx>
          <w:tblW w:w="8969" w:type="dxa"/>
          <w:jc w:val="center"/>
          <w:tblLook w:val="0420"/>
        </w:tblPrEx>
        <w:trPr>
          <w:trHeight w:val="970"/>
          <w:jc w:val="center"/>
        </w:trPr>
        <w:tc>
          <w:tcPr>
            <w:tcW w:w="2185" w:type="dxa"/>
            <w:vAlign w:val="center"/>
          </w:tcPr>
          <w:p w:rsidR="00833809" w:rsidRPr="00E97FD5" w:rsidP="00D8630B" w14:paraId="5F15CB66" w14:textId="77777777">
            <w:pPr>
              <w:spacing w:before="60"/>
              <w:jc w:val="center"/>
              <w:rPr>
                <w:rFonts w:cs="Times New Roman"/>
                <w:sz w:val="20"/>
                <w:szCs w:val="20"/>
              </w:rPr>
            </w:pPr>
            <w:r w:rsidRPr="00E97FD5">
              <w:rPr>
                <w:rFonts w:cs="Times New Roman"/>
                <w:sz w:val="20"/>
                <w:szCs w:val="20"/>
              </w:rPr>
              <w:t>cobat</w:t>
            </w:r>
          </w:p>
        </w:tc>
        <w:tc>
          <w:tcPr>
            <w:tcW w:w="1953" w:type="dxa"/>
            <w:vAlign w:val="center"/>
          </w:tcPr>
          <w:p w:rsidR="00833809" w:rsidRPr="00E97FD5" w:rsidP="00D8630B" w14:paraId="6228E603"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560CF8C0"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4AAFBAA9" w14:textId="77777777">
            <w:pPr>
              <w:spacing w:before="60"/>
              <w:rPr>
                <w:rFonts w:cs="Times New Roman"/>
                <w:sz w:val="20"/>
                <w:szCs w:val="20"/>
              </w:rPr>
            </w:pPr>
            <w:r w:rsidRPr="00E97FD5">
              <w:rPr>
                <w:rFonts w:cs="Times New Roman"/>
                <w:sz w:val="20"/>
                <w:szCs w:val="20"/>
              </w:rPr>
              <w:t>Všechna OEEZ + baterie, akumulátory + FV články + pneumatiky</w:t>
            </w:r>
          </w:p>
        </w:tc>
      </w:tr>
      <w:tr w14:paraId="27EC6C54" w14:textId="77777777" w:rsidTr="00D8630B">
        <w:tblPrEx>
          <w:tblW w:w="8969" w:type="dxa"/>
          <w:jc w:val="center"/>
          <w:tblLook w:val="0420"/>
        </w:tblPrEx>
        <w:trPr>
          <w:trHeight w:val="701"/>
          <w:jc w:val="center"/>
        </w:trPr>
        <w:tc>
          <w:tcPr>
            <w:tcW w:w="2185" w:type="dxa"/>
            <w:vAlign w:val="center"/>
          </w:tcPr>
          <w:p w:rsidR="00833809" w:rsidRPr="00E97FD5" w:rsidP="00D8630B" w14:paraId="4A4622F3" w14:textId="77777777">
            <w:pPr>
              <w:spacing w:before="60"/>
              <w:jc w:val="center"/>
              <w:rPr>
                <w:rFonts w:cs="Times New Roman"/>
                <w:sz w:val="20"/>
                <w:szCs w:val="20"/>
              </w:rPr>
            </w:pPr>
            <w:r w:rsidRPr="00E97FD5">
              <w:rPr>
                <w:rFonts w:cs="Times New Roman"/>
                <w:sz w:val="20"/>
                <w:szCs w:val="20"/>
              </w:rPr>
              <w:t>ECOEM</w:t>
            </w:r>
          </w:p>
        </w:tc>
        <w:tc>
          <w:tcPr>
            <w:tcW w:w="1953" w:type="dxa"/>
            <w:vAlign w:val="center"/>
          </w:tcPr>
          <w:p w:rsidR="00833809" w:rsidRPr="00E97FD5" w:rsidP="00D8630B" w14:paraId="7FB7A1DC"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42C9701B"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44DE86F6" w14:textId="77777777">
            <w:pPr>
              <w:spacing w:before="60"/>
              <w:rPr>
                <w:rFonts w:cs="Times New Roman"/>
                <w:sz w:val="20"/>
                <w:szCs w:val="20"/>
              </w:rPr>
            </w:pPr>
            <w:r w:rsidRPr="00E97FD5">
              <w:rPr>
                <w:rFonts w:cs="Times New Roman"/>
                <w:sz w:val="20"/>
                <w:szCs w:val="20"/>
              </w:rPr>
              <w:t>Všechna OEEZ + baterie, akumulátory + FV články</w:t>
            </w:r>
          </w:p>
        </w:tc>
      </w:tr>
      <w:tr w14:paraId="0A816756" w14:textId="77777777" w:rsidTr="00D8630B">
        <w:tblPrEx>
          <w:tblW w:w="8969" w:type="dxa"/>
          <w:jc w:val="center"/>
          <w:tblLook w:val="0420"/>
        </w:tblPrEx>
        <w:trPr>
          <w:trHeight w:val="432"/>
          <w:jc w:val="center"/>
        </w:trPr>
        <w:tc>
          <w:tcPr>
            <w:tcW w:w="2185" w:type="dxa"/>
            <w:vAlign w:val="center"/>
          </w:tcPr>
          <w:p w:rsidR="00833809" w:rsidRPr="00E97FD5" w:rsidP="00D8630B" w14:paraId="340487A4" w14:textId="77777777">
            <w:pPr>
              <w:spacing w:before="60"/>
              <w:jc w:val="center"/>
              <w:rPr>
                <w:rFonts w:cs="Times New Roman"/>
                <w:sz w:val="20"/>
                <w:szCs w:val="20"/>
              </w:rPr>
            </w:pPr>
            <w:r w:rsidRPr="00E97FD5">
              <w:rPr>
                <w:rFonts w:cs="Times New Roman"/>
                <w:sz w:val="20"/>
                <w:szCs w:val="20"/>
              </w:rPr>
              <w:t>apiraee</w:t>
            </w:r>
          </w:p>
        </w:tc>
        <w:tc>
          <w:tcPr>
            <w:tcW w:w="1953" w:type="dxa"/>
            <w:vAlign w:val="center"/>
          </w:tcPr>
          <w:p w:rsidR="00833809" w:rsidRPr="00E97FD5" w:rsidP="00D8630B" w14:paraId="2CD4701A"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6CDD60E5"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03DB2E07" w14:textId="77777777">
            <w:pPr>
              <w:spacing w:before="60"/>
              <w:rPr>
                <w:rFonts w:cs="Times New Roman"/>
                <w:sz w:val="20"/>
                <w:szCs w:val="20"/>
              </w:rPr>
            </w:pPr>
            <w:r w:rsidRPr="00E97FD5">
              <w:rPr>
                <w:rFonts w:cs="Times New Roman"/>
                <w:sz w:val="20"/>
                <w:szCs w:val="20"/>
              </w:rPr>
              <w:t>Všechna OEEZ</w:t>
            </w:r>
          </w:p>
        </w:tc>
      </w:tr>
      <w:tr w14:paraId="37FCA9F9" w14:textId="77777777" w:rsidTr="00D8630B">
        <w:tblPrEx>
          <w:tblW w:w="8969" w:type="dxa"/>
          <w:jc w:val="center"/>
          <w:tblLook w:val="0420"/>
        </w:tblPrEx>
        <w:trPr>
          <w:trHeight w:val="701"/>
          <w:jc w:val="center"/>
        </w:trPr>
        <w:tc>
          <w:tcPr>
            <w:tcW w:w="2185" w:type="dxa"/>
            <w:vAlign w:val="center"/>
          </w:tcPr>
          <w:p w:rsidR="00833809" w:rsidRPr="00E97FD5" w:rsidP="00D8630B" w14:paraId="216608D7" w14:textId="77777777">
            <w:pPr>
              <w:spacing w:before="60"/>
              <w:jc w:val="center"/>
              <w:rPr>
                <w:rFonts w:cs="Times New Roman"/>
                <w:sz w:val="20"/>
                <w:szCs w:val="20"/>
              </w:rPr>
            </w:pPr>
            <w:r w:rsidRPr="00E97FD5">
              <w:rPr>
                <w:rFonts w:cs="Times New Roman"/>
                <w:sz w:val="20"/>
                <w:szCs w:val="20"/>
              </w:rPr>
              <w:t>ESAgerAee</w:t>
            </w:r>
          </w:p>
        </w:tc>
        <w:tc>
          <w:tcPr>
            <w:tcW w:w="1953" w:type="dxa"/>
            <w:vAlign w:val="center"/>
          </w:tcPr>
          <w:p w:rsidR="00833809" w:rsidRPr="00E97FD5" w:rsidP="00D8630B" w14:paraId="626DD53A"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2A9A09F5"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727CC774" w14:textId="77777777">
            <w:pPr>
              <w:spacing w:before="60"/>
              <w:rPr>
                <w:rFonts w:cs="Times New Roman"/>
                <w:sz w:val="20"/>
                <w:szCs w:val="20"/>
              </w:rPr>
            </w:pPr>
            <w:r w:rsidRPr="00E97FD5">
              <w:rPr>
                <w:rFonts w:cs="Times New Roman"/>
                <w:sz w:val="20"/>
                <w:szCs w:val="20"/>
              </w:rPr>
              <w:t>Všechna OEEZ + baterie, akumulátory</w:t>
            </w:r>
          </w:p>
        </w:tc>
      </w:tr>
      <w:tr w14:paraId="1B39DAB5" w14:textId="77777777" w:rsidTr="00D8630B">
        <w:tblPrEx>
          <w:tblW w:w="8969" w:type="dxa"/>
          <w:jc w:val="center"/>
          <w:tblLook w:val="0420"/>
        </w:tblPrEx>
        <w:trPr>
          <w:trHeight w:val="701"/>
          <w:jc w:val="center"/>
        </w:trPr>
        <w:tc>
          <w:tcPr>
            <w:tcW w:w="2185" w:type="dxa"/>
            <w:vAlign w:val="center"/>
          </w:tcPr>
          <w:p w:rsidR="00833809" w:rsidRPr="00E97FD5" w:rsidP="00D8630B" w14:paraId="7311809B" w14:textId="77777777">
            <w:pPr>
              <w:spacing w:before="60"/>
              <w:jc w:val="center"/>
              <w:rPr>
                <w:rFonts w:cs="Times New Roman"/>
                <w:sz w:val="20"/>
                <w:szCs w:val="20"/>
              </w:rPr>
            </w:pPr>
            <w:r w:rsidRPr="00E97FD5">
              <w:rPr>
                <w:rFonts w:cs="Times New Roman"/>
                <w:sz w:val="20"/>
                <w:szCs w:val="20"/>
              </w:rPr>
              <w:t>ECOlight</w:t>
            </w:r>
          </w:p>
        </w:tc>
        <w:tc>
          <w:tcPr>
            <w:tcW w:w="1953" w:type="dxa"/>
            <w:vAlign w:val="center"/>
          </w:tcPr>
          <w:p w:rsidR="00833809" w:rsidRPr="00E97FD5" w:rsidP="00D8630B" w14:paraId="017FC1A2"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1D341921"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72B4C015" w14:textId="77777777">
            <w:pPr>
              <w:spacing w:before="60"/>
              <w:rPr>
                <w:rFonts w:cs="Times New Roman"/>
                <w:sz w:val="20"/>
                <w:szCs w:val="20"/>
              </w:rPr>
            </w:pPr>
            <w:r w:rsidRPr="00E97FD5">
              <w:rPr>
                <w:rFonts w:cs="Times New Roman"/>
                <w:sz w:val="20"/>
                <w:szCs w:val="20"/>
              </w:rPr>
              <w:t>Všechna OEEZ + baterie, akumulátory + FV články</w:t>
            </w:r>
          </w:p>
        </w:tc>
      </w:tr>
      <w:tr w14:paraId="6D239AA4" w14:textId="77777777" w:rsidTr="00D8630B">
        <w:tblPrEx>
          <w:tblW w:w="8969" w:type="dxa"/>
          <w:jc w:val="center"/>
          <w:tblLook w:val="0420"/>
        </w:tblPrEx>
        <w:trPr>
          <w:trHeight w:val="701"/>
          <w:jc w:val="center"/>
        </w:trPr>
        <w:tc>
          <w:tcPr>
            <w:tcW w:w="2185" w:type="dxa"/>
            <w:vAlign w:val="center"/>
          </w:tcPr>
          <w:p w:rsidR="00833809" w:rsidRPr="00E97FD5" w:rsidP="00D8630B" w14:paraId="1588115F" w14:textId="77777777">
            <w:pPr>
              <w:spacing w:before="60"/>
              <w:jc w:val="center"/>
              <w:rPr>
                <w:rFonts w:cs="Times New Roman"/>
                <w:sz w:val="20"/>
                <w:szCs w:val="20"/>
              </w:rPr>
            </w:pPr>
            <w:r w:rsidRPr="00E97FD5">
              <w:rPr>
                <w:rFonts w:cs="Times New Roman"/>
                <w:sz w:val="20"/>
                <w:szCs w:val="20"/>
              </w:rPr>
              <w:t>RAEcycle</w:t>
            </w:r>
          </w:p>
        </w:tc>
        <w:tc>
          <w:tcPr>
            <w:tcW w:w="1953" w:type="dxa"/>
            <w:vAlign w:val="center"/>
          </w:tcPr>
          <w:p w:rsidR="00833809" w:rsidRPr="00E97FD5" w:rsidP="00D8630B" w14:paraId="200F2528" w14:textId="77777777">
            <w:pPr>
              <w:spacing w:before="60"/>
              <w:jc w:val="center"/>
              <w:rPr>
                <w:rFonts w:cs="Times New Roman"/>
                <w:sz w:val="20"/>
                <w:szCs w:val="20"/>
              </w:rPr>
            </w:pPr>
            <w:r w:rsidRPr="00E97FD5">
              <w:rPr>
                <w:rFonts w:cs="Times New Roman"/>
                <w:sz w:val="20"/>
                <w:szCs w:val="20"/>
              </w:rPr>
              <w:t>Itálie</w:t>
            </w:r>
          </w:p>
        </w:tc>
        <w:tc>
          <w:tcPr>
            <w:tcW w:w="1348" w:type="dxa"/>
            <w:vAlign w:val="center"/>
          </w:tcPr>
          <w:p w:rsidR="00833809" w:rsidRPr="00E97FD5" w:rsidP="00D8630B" w14:paraId="0011397D"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2FD72E9A" w14:textId="77777777">
            <w:pPr>
              <w:spacing w:before="60"/>
              <w:rPr>
                <w:rFonts w:cs="Times New Roman"/>
                <w:sz w:val="20"/>
                <w:szCs w:val="20"/>
              </w:rPr>
            </w:pPr>
            <w:r w:rsidRPr="00E97FD5">
              <w:rPr>
                <w:rFonts w:cs="Times New Roman"/>
                <w:sz w:val="20"/>
                <w:szCs w:val="20"/>
              </w:rPr>
              <w:t>Všechna OEEZ + baterie, akumulátory + FV články</w:t>
            </w:r>
          </w:p>
        </w:tc>
      </w:tr>
      <w:tr w14:paraId="2B7BCCCE" w14:textId="77777777" w:rsidTr="00D8630B">
        <w:tblPrEx>
          <w:tblW w:w="8969" w:type="dxa"/>
          <w:jc w:val="center"/>
          <w:tblLook w:val="0420"/>
        </w:tblPrEx>
        <w:trPr>
          <w:trHeight w:val="432"/>
          <w:jc w:val="center"/>
        </w:trPr>
        <w:tc>
          <w:tcPr>
            <w:tcW w:w="2185" w:type="dxa"/>
            <w:vAlign w:val="center"/>
          </w:tcPr>
          <w:p w:rsidR="00833809" w:rsidRPr="00E97FD5" w:rsidP="00D8630B" w14:paraId="09F0851C" w14:textId="77777777">
            <w:pPr>
              <w:spacing w:before="60"/>
              <w:jc w:val="center"/>
              <w:rPr>
                <w:rFonts w:cs="Times New Roman"/>
                <w:sz w:val="20"/>
                <w:szCs w:val="20"/>
              </w:rPr>
            </w:pPr>
            <w:r w:rsidRPr="00E97FD5">
              <w:rPr>
                <w:rFonts w:cs="Times New Roman"/>
                <w:sz w:val="20"/>
                <w:szCs w:val="20"/>
              </w:rPr>
              <w:t>PV Cycle</w:t>
            </w:r>
          </w:p>
        </w:tc>
        <w:tc>
          <w:tcPr>
            <w:tcW w:w="1953" w:type="dxa"/>
            <w:vAlign w:val="center"/>
          </w:tcPr>
          <w:p w:rsidR="00833809" w:rsidRPr="00E97FD5" w:rsidP="00D8630B" w14:paraId="6B2F3CA4" w14:textId="77777777">
            <w:pPr>
              <w:spacing w:before="60"/>
              <w:jc w:val="center"/>
              <w:rPr>
                <w:rFonts w:cs="Times New Roman"/>
                <w:sz w:val="20"/>
                <w:szCs w:val="20"/>
              </w:rPr>
            </w:pPr>
            <w:r w:rsidRPr="00E97FD5">
              <w:rPr>
                <w:rFonts w:cs="Times New Roman"/>
                <w:sz w:val="20"/>
                <w:szCs w:val="20"/>
              </w:rPr>
              <w:t>Svět</w:t>
            </w:r>
          </w:p>
        </w:tc>
        <w:tc>
          <w:tcPr>
            <w:tcW w:w="1348" w:type="dxa"/>
            <w:vAlign w:val="center"/>
          </w:tcPr>
          <w:p w:rsidR="00833809" w:rsidRPr="00E97FD5" w:rsidP="00D8630B" w14:paraId="0E3645A2" w14:textId="77777777">
            <w:pPr>
              <w:spacing w:before="60"/>
              <w:jc w:val="center"/>
              <w:rPr>
                <w:rFonts w:cs="Times New Roman"/>
                <w:sz w:val="20"/>
                <w:szCs w:val="20"/>
              </w:rPr>
            </w:pPr>
            <w:r w:rsidRPr="00E97FD5">
              <w:rPr>
                <w:rFonts w:cs="Times New Roman"/>
                <w:sz w:val="20"/>
                <w:szCs w:val="20"/>
              </w:rPr>
              <w:t>oboje</w:t>
            </w:r>
          </w:p>
        </w:tc>
        <w:tc>
          <w:tcPr>
            <w:tcW w:w="3483" w:type="dxa"/>
            <w:vAlign w:val="center"/>
          </w:tcPr>
          <w:p w:rsidR="00833809" w:rsidRPr="00E97FD5" w:rsidP="00D8630B" w14:paraId="531A1A9D" w14:textId="77777777">
            <w:pPr>
              <w:spacing w:before="60"/>
              <w:rPr>
                <w:rFonts w:cs="Times New Roman"/>
                <w:sz w:val="20"/>
                <w:szCs w:val="20"/>
              </w:rPr>
            </w:pPr>
            <w:r w:rsidRPr="00E97FD5">
              <w:rPr>
                <w:rFonts w:cs="Times New Roman"/>
                <w:sz w:val="20"/>
                <w:szCs w:val="20"/>
              </w:rPr>
              <w:t>FV články</w:t>
            </w:r>
          </w:p>
        </w:tc>
      </w:tr>
    </w:tbl>
    <w:p w:rsidR="00833809" w:rsidP="00833809" w14:paraId="3594FD9B" w14:textId="77777777">
      <w:pPr>
        <w:pStyle w:val="NoSpacing"/>
      </w:pPr>
      <w:r w:rsidRPr="0019745F">
        <w:t xml:space="preserve">Zdravou konkurenci mezi </w:t>
      </w:r>
      <w:r w:rsidR="00D9689D">
        <w:t>KS</w:t>
      </w:r>
      <w:r w:rsidRPr="0019745F">
        <w:t xml:space="preserve"> a rovné podmínky pro všechny zúčastněné strany zajišťuje koordinační centrum. </w:t>
      </w:r>
      <w:r>
        <w:t>Na vše navíc dohlíží řídící výbor a dozorčí komise.</w:t>
      </w:r>
    </w:p>
    <w:p w:rsidR="00132394" w:rsidP="00314F00" w14:paraId="2FD1F98D" w14:textId="77777777">
      <w:pPr>
        <w:widowControl w:val="0"/>
        <w:rPr>
          <w:rFonts w:cs="Arial"/>
          <w:b/>
          <w:i/>
          <w:iCs/>
          <w:noProof w:val="0"/>
          <w:color w:val="000000"/>
          <w:sz w:val="28"/>
          <w:szCs w:val="28"/>
          <w:lang w:eastAsia="cs-CZ" w:bidi="ar-SA"/>
        </w:rPr>
      </w:pPr>
    </w:p>
    <w:p w:rsidR="00C93523" w:rsidP="00314F00" w14:paraId="255F72B0" w14:textId="77777777">
      <w:pPr>
        <w:widowControl w:val="0"/>
        <w:rPr>
          <w:rFonts w:cs="Arial"/>
          <w:b/>
          <w:i/>
          <w:iCs/>
          <w:noProof w:val="0"/>
          <w:color w:val="000000"/>
          <w:sz w:val="28"/>
          <w:szCs w:val="28"/>
          <w:lang w:eastAsia="cs-CZ" w:bidi="ar-SA"/>
        </w:rPr>
      </w:pPr>
      <w:r w:rsidRPr="007B59CD">
        <w:rPr>
          <w:rFonts w:cs="Arial"/>
          <w:b/>
          <w:i/>
          <w:iCs/>
          <w:noProof w:val="0"/>
          <w:color w:val="000000"/>
          <w:sz w:val="28"/>
          <w:szCs w:val="28"/>
          <w:lang w:eastAsia="cs-CZ" w:bidi="ar-SA"/>
        </w:rPr>
        <w:t>Analýza</w:t>
      </w:r>
      <w:r w:rsidR="007B59CD">
        <w:rPr>
          <w:rFonts w:cs="Arial"/>
          <w:b/>
          <w:i/>
          <w:iCs/>
          <w:noProof w:val="0"/>
          <w:color w:val="000000"/>
          <w:sz w:val="28"/>
          <w:szCs w:val="28"/>
          <w:lang w:eastAsia="cs-CZ" w:bidi="ar-SA"/>
        </w:rPr>
        <w:t xml:space="preserve"> stávajících</w:t>
      </w:r>
      <w:r w:rsidRPr="007B59CD">
        <w:rPr>
          <w:rFonts w:cs="Arial"/>
          <w:b/>
          <w:i/>
          <w:iCs/>
          <w:noProof w:val="0"/>
          <w:color w:val="000000"/>
          <w:sz w:val="28"/>
          <w:szCs w:val="28"/>
          <w:lang w:eastAsia="cs-CZ" w:bidi="ar-SA"/>
        </w:rPr>
        <w:t xml:space="preserve"> kolektivních systémů</w:t>
      </w:r>
      <w:r w:rsidR="007B59CD">
        <w:rPr>
          <w:rFonts w:cs="Arial"/>
          <w:b/>
          <w:i/>
          <w:iCs/>
          <w:noProof w:val="0"/>
          <w:color w:val="000000"/>
          <w:sz w:val="28"/>
          <w:szCs w:val="28"/>
          <w:lang w:eastAsia="cs-CZ" w:bidi="ar-SA"/>
        </w:rPr>
        <w:t xml:space="preserve"> v ČR</w:t>
      </w:r>
    </w:p>
    <w:p w:rsidR="00B73FDF" w:rsidRPr="00ED38E9" w:rsidP="00B73FDF" w14:paraId="791EED7B" w14:textId="77777777">
      <w:pPr>
        <w:rPr>
          <w:rFonts w:eastAsia="Calibri" w:cs="Arial"/>
          <w:noProof w:val="0"/>
          <w:szCs w:val="22"/>
          <w:lang w:bidi="ar-SA"/>
        </w:rPr>
      </w:pPr>
      <w:r w:rsidRPr="00ED38E9">
        <w:rPr>
          <w:rFonts w:eastAsia="Calibri" w:cs="Arial"/>
          <w:noProof w:val="0"/>
          <w:szCs w:val="22"/>
          <w:lang w:bidi="ar-SA"/>
        </w:rPr>
        <w:t>S ohledem na charakter činností zajišťovaných prostřednictvím kolektivního plnění pro</w:t>
      </w:r>
      <w:r>
        <w:rPr>
          <w:rFonts w:eastAsia="Calibri" w:cs="Arial"/>
          <w:noProof w:val="0"/>
          <w:szCs w:val="22"/>
          <w:lang w:bidi="ar-SA"/>
        </w:rPr>
        <w:t> </w:t>
      </w:r>
      <w:r w:rsidRPr="00ED38E9">
        <w:rPr>
          <w:rFonts w:eastAsia="Calibri" w:cs="Arial"/>
          <w:noProof w:val="0"/>
          <w:szCs w:val="22"/>
          <w:lang w:bidi="ar-SA"/>
        </w:rPr>
        <w:t xml:space="preserve">povinné subjekty je zapotřebí nezapomínat na dopad na hospodářskou soutěž v rámci navazujících činností (např. svoz, zpracovatelé, atd.). Dopady na hospodářskou soutěž v těchto odvětvích jsou závislé na struktuře trhu kolektivních systémů. Současně však charakter činnosti KS vyžaduje stanovení některých minimálních požadavků, které mohou částečně představovat bariéry vstupu do odvětví zpětného odběru. V příloze jsou představeny tři základní koncepty, které mohou nastat, i s jejich dopady na hospodářskou soutěž. </w:t>
      </w:r>
    </w:p>
    <w:p w:rsidR="001C6618" w:rsidP="00B73FDF" w14:paraId="5CEAA615" w14:textId="77777777">
      <w:pPr>
        <w:rPr>
          <w:rFonts w:eastAsia="Calibri" w:cs="Arial"/>
          <w:noProof w:val="0"/>
          <w:szCs w:val="22"/>
          <w:lang w:bidi="ar-SA"/>
        </w:rPr>
      </w:pPr>
      <w:r w:rsidRPr="007705B7">
        <w:rPr>
          <w:rFonts w:eastAsia="Calibri" w:cs="Arial"/>
          <w:noProof w:val="0"/>
          <w:szCs w:val="22"/>
          <w:lang w:bidi="ar-SA"/>
        </w:rPr>
        <w:t>Prostřednictvím</w:t>
      </w:r>
      <w:r>
        <w:rPr>
          <w:rFonts w:eastAsia="Calibri" w:cs="Arial"/>
          <w:noProof w:val="0"/>
          <w:szCs w:val="22"/>
          <w:lang w:bidi="ar-SA"/>
        </w:rPr>
        <w:t xml:space="preserve"> výsledků</w:t>
      </w:r>
      <w:r w:rsidRPr="007705B7">
        <w:rPr>
          <w:rFonts w:eastAsia="Calibri" w:cs="Arial"/>
          <w:noProof w:val="0"/>
          <w:szCs w:val="22"/>
          <w:lang w:bidi="ar-SA"/>
        </w:rPr>
        <w:t xml:space="preserve"> </w:t>
      </w:r>
      <w:r>
        <w:rPr>
          <w:rFonts w:eastAsia="Calibri" w:cs="Arial"/>
          <w:noProof w:val="0"/>
          <w:szCs w:val="22"/>
          <w:lang w:bidi="ar-SA"/>
        </w:rPr>
        <w:t>„</w:t>
      </w:r>
      <w:r w:rsidRPr="00937FFC">
        <w:rPr>
          <w:rFonts w:eastAsia="Calibri" w:cs="Arial"/>
          <w:noProof w:val="0"/>
          <w:szCs w:val="22"/>
          <w:lang w:bidi="ar-SA"/>
        </w:rPr>
        <w:t>Analýzy optimálního nastavení činností kolektivních systémů v oblasti nakládání s</w:t>
      </w:r>
      <w:r>
        <w:rPr>
          <w:rFonts w:eastAsia="Calibri" w:cs="Arial"/>
          <w:noProof w:val="0"/>
          <w:szCs w:val="22"/>
          <w:lang w:bidi="ar-SA"/>
        </w:rPr>
        <w:t> </w:t>
      </w:r>
      <w:r w:rsidRPr="00937FFC">
        <w:rPr>
          <w:rFonts w:eastAsia="Calibri" w:cs="Arial"/>
          <w:noProof w:val="0"/>
          <w:szCs w:val="22"/>
          <w:lang w:bidi="ar-SA"/>
        </w:rPr>
        <w:t>elektroodpady</w:t>
      </w:r>
      <w:r>
        <w:rPr>
          <w:rFonts w:eastAsia="Calibri" w:cs="Arial"/>
          <w:noProof w:val="0"/>
          <w:szCs w:val="22"/>
          <w:lang w:bidi="ar-SA"/>
        </w:rPr>
        <w:t>“</w:t>
      </w:r>
      <w:r w:rsidRPr="00937FFC">
        <w:rPr>
          <w:rFonts w:eastAsia="Calibri" w:cs="Arial"/>
          <w:noProof w:val="0"/>
          <w:szCs w:val="22"/>
          <w:lang w:bidi="ar-SA"/>
        </w:rPr>
        <w:t xml:space="preserve"> </w:t>
      </w:r>
      <w:r w:rsidRPr="00937FFC">
        <w:t>zpracované firmou G</w:t>
      </w:r>
      <w:r w:rsidRPr="007705B7">
        <w:t>REEN</w:t>
      </w:r>
      <w:r w:rsidRPr="00937FFC">
        <w:t xml:space="preserve"> Solution </w:t>
      </w:r>
      <w:r w:rsidRPr="007705B7">
        <w:t xml:space="preserve">s.r.o. </w:t>
      </w:r>
      <w:r w:rsidRPr="00937FFC">
        <w:t>v roce 2015</w:t>
      </w:r>
      <w:r w:rsidRPr="007705B7">
        <w:rPr>
          <w:sz w:val="20"/>
          <w:szCs w:val="20"/>
        </w:rPr>
        <w:t xml:space="preserve"> </w:t>
      </w:r>
      <w:r w:rsidRPr="007705B7">
        <w:rPr>
          <w:rFonts w:eastAsia="Calibri" w:cs="Arial"/>
          <w:noProof w:val="0"/>
          <w:szCs w:val="22"/>
          <w:lang w:bidi="ar-SA"/>
        </w:rPr>
        <w:t>můžeme získat představu o situaci na trhu zpětného odběru.</w:t>
      </w:r>
      <w:r w:rsidRPr="00ED38E9">
        <w:rPr>
          <w:rFonts w:eastAsia="Calibri" w:cs="Arial"/>
          <w:noProof w:val="0"/>
          <w:szCs w:val="22"/>
          <w:lang w:bidi="ar-SA"/>
        </w:rPr>
        <w:t xml:space="preserve"> </w:t>
      </w:r>
    </w:p>
    <w:p w:rsidR="001C6618" w:rsidRPr="00DF7996" w:rsidP="001C6618" w14:paraId="2BB90091" w14:textId="445A39A5">
      <w:r w:rsidRPr="007B59CD">
        <w:t>Analýza jednotlivých kolektivních systémů (</w:t>
      </w:r>
      <w:r w:rsidRPr="007B59CD">
        <w:rPr>
          <w:i/>
        </w:rPr>
        <w:t>KS ASEKOL a.s., KS EKOLAMP, s.r.o., KS ELEKTROWIN, a.s., KS OFO – recycling, s.r.o., KS REMA Systém, a.s., KS RETELA, s.r.o.</w:t>
      </w:r>
      <w:r w:rsidRPr="007B59CD">
        <w:t>) pro EEZ byla provedena v rozsahu dostupných informací. Informace byly čerpány z</w:t>
      </w:r>
      <w:r>
        <w:t> </w:t>
      </w:r>
      <w:r w:rsidRPr="007B59CD">
        <w:t>Výročních zpráv společností, z jejich webových stránek, z Obchodního rejstříku a z dílčích částí ročních zpráv, které KS předávají každoročně Ministerstvu životního prostředí.  Dále pak bylo s</w:t>
      </w:r>
      <w:r w:rsidR="00193C68">
        <w:t> </w:t>
      </w:r>
      <w:r w:rsidRPr="007B59CD">
        <w:t>jednotlivými KS jednáno osobně, kde byly zpracované informace diskutovány, zpřesňovány (vyjma KS OFO - recycling, s.r.o., jejichž informace nejsou zveřejněny ani dostupné).</w:t>
      </w:r>
    </w:p>
    <w:p w:rsidR="001C6618" w:rsidP="00B73FDF" w14:paraId="5AA9C53B" w14:textId="77777777">
      <w:pPr>
        <w:rPr>
          <w:rFonts w:eastAsia="Calibri" w:cs="Arial"/>
          <w:noProof w:val="0"/>
          <w:szCs w:val="22"/>
          <w:lang w:bidi="ar-SA"/>
        </w:rPr>
      </w:pPr>
    </w:p>
    <w:p w:rsidR="00B73FDF" w:rsidRPr="00ED38E9" w:rsidP="00B73FDF" w14:paraId="32898DE2" w14:textId="1487D9A0">
      <w:pPr>
        <w:rPr>
          <w:rFonts w:eastAsia="Calibri" w:cs="Arial"/>
          <w:noProof w:val="0"/>
          <w:szCs w:val="22"/>
          <w:lang w:bidi="ar-SA"/>
        </w:rPr>
      </w:pPr>
      <w:r w:rsidRPr="003B74C0">
        <w:t xml:space="preserve">Tabulka č. </w:t>
      </w:r>
      <w:r w:rsidR="0002268A">
        <w:t>33</w:t>
      </w:r>
      <w:r w:rsidRPr="003B74C0">
        <w:t xml:space="preserve"> </w:t>
      </w:r>
      <w:r w:rsidRPr="003B74C0">
        <w:rPr>
          <w:rFonts w:eastAsia="Calibri" w:cs="Arial"/>
          <w:noProof w:val="0"/>
          <w:szCs w:val="22"/>
          <w:lang w:bidi="ar-SA"/>
        </w:rPr>
        <w:t>představuje</w:t>
      </w:r>
      <w:r w:rsidRPr="00ED38E9">
        <w:rPr>
          <w:rFonts w:eastAsia="Calibri" w:cs="Arial"/>
          <w:noProof w:val="0"/>
          <w:szCs w:val="22"/>
          <w:lang w:bidi="ar-SA"/>
        </w:rPr>
        <w:t xml:space="preserve"> přehled vybraných finančních informací pro vybrané kolektivní systémy a zpracovatele, jakožto dva nejvýznamnější články řetězce ve zpětném odběru. V panelu A můžeme vidět klíčové finanční ukazatele kolektivních systémů. V rámci analýzy je důležité rozlišit mezi KS financovanými průběžným systémem a systémem zálohovým. Z vybraných kolektivních systémů využívá průběžný systém financování pouze KS </w:t>
      </w:r>
      <w:r>
        <w:rPr>
          <w:rFonts w:eastAsia="Calibri" w:cs="Arial"/>
          <w:noProof w:val="0"/>
          <w:szCs w:val="22"/>
          <w:lang w:bidi="ar-SA"/>
        </w:rPr>
        <w:t>Retela</w:t>
      </w:r>
      <w:r w:rsidRPr="00ED38E9">
        <w:rPr>
          <w:rFonts w:eastAsia="Calibri" w:cs="Arial"/>
          <w:noProof w:val="0"/>
          <w:szCs w:val="22"/>
          <w:lang w:bidi="ar-SA"/>
        </w:rPr>
        <w:t>. Ostatní systémy využívají zálohový systém, což je patrné zejména z výrazného podílu finančních aktiv na aktivech celkových. Dalším indikátorem využívání zálohového systému jsou významné výnosy z finančního majetku. Tyto výnosy pokrývají část nákladů, neboť KS financované zálohovým systémem většinou vykazují provozní ztrátu. Při pohledu na</w:t>
      </w:r>
      <w:r w:rsidR="003B74C0">
        <w:rPr>
          <w:rFonts w:eastAsia="Calibri" w:cs="Arial"/>
          <w:noProof w:val="0"/>
          <w:szCs w:val="22"/>
          <w:lang w:bidi="ar-SA"/>
        </w:rPr>
        <w:t> </w:t>
      </w:r>
      <w:r w:rsidRPr="00ED38E9">
        <w:rPr>
          <w:rFonts w:eastAsia="Calibri" w:cs="Arial"/>
          <w:noProof w:val="0"/>
          <w:szCs w:val="22"/>
          <w:lang w:bidi="ar-SA"/>
        </w:rPr>
        <w:t>ziskovost KS financovaných zálohově je patrné, že dlouhodobě netvoří zisk. Důvodem je nízká motivace k vytváření zisku jednak plynoucí z neumožnění rozdělení dosaženého zisku mezi akcionáře zákonem, a také z neochoty výrobců sdružených v KS vytvářet zisk v rámci KS (recyklační poplatek jako základní příjem KS je složkou celkové ceny výrobku, prodražuje tak výrobek a</w:t>
      </w:r>
      <w:r w:rsidR="00193C68">
        <w:rPr>
          <w:rFonts w:eastAsia="Calibri" w:cs="Arial"/>
          <w:noProof w:val="0"/>
          <w:szCs w:val="22"/>
          <w:lang w:bidi="ar-SA"/>
        </w:rPr>
        <w:t> </w:t>
      </w:r>
      <w:r w:rsidRPr="00ED38E9">
        <w:rPr>
          <w:rFonts w:eastAsia="Calibri" w:cs="Arial"/>
          <w:noProof w:val="0"/>
          <w:szCs w:val="22"/>
          <w:lang w:bidi="ar-SA"/>
        </w:rPr>
        <w:t>může mít negativní dopad na</w:t>
      </w:r>
      <w:r>
        <w:rPr>
          <w:rFonts w:eastAsia="Calibri" w:cs="Arial"/>
          <w:noProof w:val="0"/>
          <w:szCs w:val="22"/>
          <w:lang w:bidi="ar-SA"/>
        </w:rPr>
        <w:t> </w:t>
      </w:r>
      <w:r w:rsidRPr="00ED38E9">
        <w:rPr>
          <w:rFonts w:eastAsia="Calibri" w:cs="Arial"/>
          <w:noProof w:val="0"/>
          <w:szCs w:val="22"/>
          <w:lang w:bidi="ar-SA"/>
        </w:rPr>
        <w:t>jeho konkurenceschopnost). S ohledem na nízkou motivaci KS k tvorbě zisku z výše uvedených důvodů je případný zisk reinvestován (hned, popřípadě v</w:t>
      </w:r>
      <w:r w:rsidR="00193C68">
        <w:rPr>
          <w:rFonts w:eastAsia="Calibri" w:cs="Arial"/>
          <w:noProof w:val="0"/>
          <w:szCs w:val="22"/>
          <w:lang w:bidi="ar-SA"/>
        </w:rPr>
        <w:t> </w:t>
      </w:r>
      <w:r w:rsidRPr="00ED38E9">
        <w:rPr>
          <w:rFonts w:eastAsia="Calibri" w:cs="Arial"/>
          <w:noProof w:val="0"/>
          <w:szCs w:val="22"/>
          <w:lang w:bidi="ar-SA"/>
        </w:rPr>
        <w:t>budoucnu) zpět do KS a to nejčastěji ve formě, která může pomoci k budoucímu plnění evropské směrnice (např. investice do PR služeb ve snaze zvýšenou informovaností a osvětou dosáhnout vyšší úrovně sběru). KS Retela jako jediný systém financovaný průběžně v porovnání s ostatními dosahoval dlouhodobě pozitivní ziskovosti jak provozní tak celkové. I</w:t>
      </w:r>
      <w:r>
        <w:rPr>
          <w:rFonts w:eastAsia="Calibri" w:cs="Arial"/>
          <w:noProof w:val="0"/>
          <w:szCs w:val="22"/>
          <w:lang w:bidi="ar-SA"/>
        </w:rPr>
        <w:t> </w:t>
      </w:r>
      <w:r w:rsidRPr="00ED38E9">
        <w:rPr>
          <w:rFonts w:eastAsia="Calibri" w:cs="Arial"/>
          <w:noProof w:val="0"/>
          <w:szCs w:val="22"/>
          <w:lang w:bidi="ar-SA"/>
        </w:rPr>
        <w:t xml:space="preserve">v případě KS Retela finanční aktiva stále představují významnou část aktiv. </w:t>
      </w:r>
    </w:p>
    <w:p w:rsidR="00B73FDF" w:rsidRPr="00ED38E9" w:rsidP="00B73FDF" w14:paraId="6214D6DD" w14:textId="350855D1">
      <w:pPr>
        <w:rPr>
          <w:rFonts w:eastAsia="Calibri" w:cs="Arial"/>
          <w:noProof w:val="0"/>
          <w:szCs w:val="22"/>
          <w:lang w:bidi="ar-SA"/>
        </w:rPr>
      </w:pPr>
      <w:r w:rsidRPr="00ED38E9">
        <w:rPr>
          <w:rFonts w:eastAsia="Calibri" w:cs="Arial"/>
          <w:noProof w:val="0"/>
          <w:szCs w:val="22"/>
          <w:lang w:bidi="ar-SA"/>
        </w:rPr>
        <w:t>Panel B finanční analýzy vybraných subjektů představuje analýzu smluvních zpracovatelů jednotlivých KS. V rámci této analýzy jsou zahrnuti jak klasičtí zpracovatelé (Praktik Systém, Kovohutě Příbram, MHM Eko), tak i chráněné dílny, které se podílejí na zpracování odpadu (Marketa Remone, S-Firma). V rámci finanční analýzy vybraných subjektů je patrné, že většina zpracovatelů dosahuje provozní i celkové pozitivní ziskovosti. Finanční výsledky zpracovatelů budou významně ovlivňovány výkupní cenou recyklovaných surovin, která se tvoří na</w:t>
      </w:r>
      <w:r w:rsidR="00193C68">
        <w:rPr>
          <w:rFonts w:eastAsia="Calibri" w:cs="Arial"/>
          <w:noProof w:val="0"/>
          <w:szCs w:val="22"/>
          <w:lang w:bidi="ar-SA"/>
        </w:rPr>
        <w:t> </w:t>
      </w:r>
      <w:r w:rsidRPr="00ED38E9">
        <w:rPr>
          <w:rFonts w:eastAsia="Calibri" w:cs="Arial"/>
          <w:noProof w:val="0"/>
          <w:szCs w:val="22"/>
          <w:lang w:bidi="ar-SA"/>
        </w:rPr>
        <w:t>globálním trhu.</w:t>
      </w:r>
    </w:p>
    <w:p w:rsidR="00B73FDF" w:rsidRPr="00ED38E9" w:rsidP="00B73FDF" w14:paraId="5483CC3A" w14:textId="77777777">
      <w:pPr>
        <w:widowControl w:val="0"/>
        <w:spacing w:after="120" w:line="240" w:lineRule="auto"/>
        <w:rPr>
          <w:rFonts w:eastAsia="Calibri" w:cs="Arial"/>
          <w:noProof w:val="0"/>
          <w:szCs w:val="20"/>
          <w:lang w:bidi="ar-SA"/>
        </w:rPr>
        <w:sectPr w:rsidSect="00846D15">
          <w:headerReference w:type="even" r:id="rId21"/>
          <w:headerReference w:type="default" r:id="rId22"/>
          <w:footerReference w:type="default" r:id="rId23"/>
          <w:headerReference w:type="first" r:id="rId24"/>
          <w:pgSz w:w="11906" w:h="16838"/>
          <w:pgMar w:top="1417" w:right="1417" w:bottom="1417" w:left="1417" w:header="708" w:footer="708" w:gutter="0"/>
          <w:pgNumType w:fmt="numberInDash" w:start="1"/>
          <w:cols w:space="708"/>
          <w:docGrid w:linePitch="360"/>
        </w:sectPr>
      </w:pPr>
    </w:p>
    <w:p w:rsidR="00B73FDF" w:rsidRPr="00221615" w:rsidP="00B73FDF" w14:paraId="5F3EB525" w14:textId="37514819">
      <w:pPr>
        <w:pStyle w:val="Caption"/>
        <w:rPr>
          <w:rFonts w:cs="Arial"/>
          <w:sz w:val="20"/>
          <w:szCs w:val="20"/>
          <w:lang w:eastAsia="cs-CZ" w:bidi="ar-SA"/>
        </w:rPr>
      </w:pPr>
      <w:bookmarkStart w:id="174" w:name="_Ref404579029"/>
      <w:r w:rsidRPr="00221615">
        <w:rPr>
          <w:rFonts w:cs="Arial"/>
          <w:sz w:val="20"/>
          <w:szCs w:val="20"/>
          <w:lang w:eastAsia="cs-CZ" w:bidi="ar-SA"/>
        </w:rPr>
        <w:t>Tabulka</w:t>
      </w:r>
      <w:bookmarkEnd w:id="174"/>
      <w:r>
        <w:rPr>
          <w:rFonts w:cs="Arial"/>
          <w:sz w:val="20"/>
          <w:szCs w:val="20"/>
          <w:lang w:eastAsia="cs-CZ" w:bidi="ar-SA"/>
        </w:rPr>
        <w:t xml:space="preserve"> 3</w:t>
      </w:r>
      <w:r w:rsidR="00925F10">
        <w:rPr>
          <w:rFonts w:cs="Arial"/>
          <w:sz w:val="20"/>
          <w:szCs w:val="20"/>
          <w:lang w:eastAsia="cs-CZ" w:bidi="ar-SA"/>
        </w:rPr>
        <w:t>4</w:t>
      </w:r>
      <w:r w:rsidRPr="00221615">
        <w:rPr>
          <w:rFonts w:cs="Arial"/>
          <w:sz w:val="20"/>
          <w:szCs w:val="20"/>
          <w:lang w:eastAsia="cs-CZ" w:bidi="ar-SA"/>
        </w:rPr>
        <w:t>: Finanční analýza vybraných subjektů</w:t>
      </w:r>
    </w:p>
    <w:tbl>
      <w:tblPr>
        <w:tblW w:w="15309" w:type="dxa"/>
        <w:tblInd w:w="70" w:type="dxa"/>
        <w:tblLayout w:type="fixed"/>
        <w:tblCellMar>
          <w:left w:w="70" w:type="dxa"/>
          <w:right w:w="70" w:type="dxa"/>
        </w:tblCellMar>
        <w:tblLook w:val="04A0"/>
      </w:tblPr>
      <w:tblGrid>
        <w:gridCol w:w="1954"/>
        <w:gridCol w:w="890"/>
        <w:gridCol w:w="890"/>
        <w:gridCol w:w="891"/>
        <w:gridCol w:w="393"/>
        <w:gridCol w:w="497"/>
        <w:gridCol w:w="890"/>
        <w:gridCol w:w="891"/>
        <w:gridCol w:w="507"/>
        <w:gridCol w:w="383"/>
        <w:gridCol w:w="890"/>
        <w:gridCol w:w="891"/>
        <w:gridCol w:w="200"/>
        <w:gridCol w:w="690"/>
        <w:gridCol w:w="890"/>
        <w:gridCol w:w="674"/>
        <w:gridCol w:w="217"/>
        <w:gridCol w:w="890"/>
        <w:gridCol w:w="890"/>
        <w:gridCol w:w="233"/>
        <w:gridCol w:w="658"/>
      </w:tblGrid>
      <w:tr w14:paraId="1D024259" w14:textId="77777777" w:rsidTr="007D44CB">
        <w:tblPrEx>
          <w:tblW w:w="15309" w:type="dxa"/>
          <w:tblInd w:w="70" w:type="dxa"/>
          <w:tblLayout w:type="fixed"/>
          <w:tblCellMar>
            <w:left w:w="70" w:type="dxa"/>
            <w:right w:w="70" w:type="dxa"/>
          </w:tblCellMar>
          <w:tblLook w:val="04A0"/>
        </w:tblPrEx>
        <w:trPr>
          <w:gridAfter w:val="1"/>
          <w:wAfter w:w="658" w:type="dxa"/>
          <w:trHeight w:val="288"/>
        </w:trPr>
        <w:tc>
          <w:tcPr>
            <w:tcW w:w="5018" w:type="dxa"/>
            <w:gridSpan w:val="5"/>
            <w:tcBorders>
              <w:top w:val="nil"/>
              <w:left w:val="nil"/>
              <w:bottom w:val="single" w:sz="4" w:space="0" w:color="auto"/>
              <w:right w:val="nil"/>
            </w:tcBorders>
            <w:shd w:val="clear" w:color="auto" w:fill="auto"/>
            <w:noWrap/>
            <w:vAlign w:val="center"/>
          </w:tcPr>
          <w:p w:rsidR="00B73FDF" w:rsidRPr="00221615" w:rsidP="007D44CB" w14:paraId="03B831C0" w14:textId="77777777">
            <w:pPr>
              <w:pStyle w:val="Caption"/>
              <w:rPr>
                <w:rFonts w:eastAsia="MS Mincho" w:cs="Arial"/>
                <w:bCs/>
                <w:sz w:val="20"/>
                <w:szCs w:val="20"/>
                <w:lang w:eastAsia="cs-CZ" w:bidi="ar-SA"/>
              </w:rPr>
            </w:pPr>
            <w:r w:rsidRPr="00221615">
              <w:rPr>
                <w:rFonts w:eastAsia="MS Mincho" w:cs="Arial"/>
                <w:sz w:val="20"/>
                <w:szCs w:val="20"/>
                <w:lang w:eastAsia="cs-CZ" w:bidi="ar-SA"/>
              </w:rPr>
              <w:t>Panel A: Kolektivní systémy</w:t>
            </w:r>
          </w:p>
        </w:tc>
        <w:tc>
          <w:tcPr>
            <w:tcW w:w="2785" w:type="dxa"/>
            <w:gridSpan w:val="4"/>
            <w:tcBorders>
              <w:top w:val="nil"/>
              <w:left w:val="nil"/>
              <w:bottom w:val="single" w:sz="4" w:space="0" w:color="auto"/>
              <w:right w:val="nil"/>
            </w:tcBorders>
            <w:shd w:val="clear" w:color="auto" w:fill="auto"/>
            <w:noWrap/>
            <w:vAlign w:val="center"/>
          </w:tcPr>
          <w:p w:rsidR="00B73FDF" w:rsidRPr="00221615" w:rsidP="007D44CB" w14:paraId="4C59360A" w14:textId="77777777">
            <w:pPr>
              <w:keepNext/>
              <w:spacing w:before="60" w:line="240" w:lineRule="auto"/>
              <w:jc w:val="left"/>
              <w:rPr>
                <w:rFonts w:eastAsia="MS Mincho" w:cs="Arial"/>
                <w:b/>
                <w:bCs/>
                <w:noProof w:val="0"/>
                <w:sz w:val="20"/>
                <w:szCs w:val="20"/>
                <w:lang w:eastAsia="cs-CZ" w:bidi="ar-SA"/>
              </w:rPr>
            </w:pPr>
          </w:p>
        </w:tc>
        <w:tc>
          <w:tcPr>
            <w:tcW w:w="2364" w:type="dxa"/>
            <w:gridSpan w:val="4"/>
            <w:tcBorders>
              <w:top w:val="nil"/>
              <w:left w:val="nil"/>
              <w:bottom w:val="single" w:sz="4" w:space="0" w:color="auto"/>
              <w:right w:val="nil"/>
            </w:tcBorders>
            <w:shd w:val="clear" w:color="auto" w:fill="auto"/>
            <w:noWrap/>
            <w:vAlign w:val="center"/>
          </w:tcPr>
          <w:p w:rsidR="00B73FDF" w:rsidRPr="00221615" w:rsidP="007D44CB" w14:paraId="157B0CAE" w14:textId="77777777">
            <w:pPr>
              <w:keepNext/>
              <w:spacing w:before="60" w:line="240" w:lineRule="auto"/>
              <w:jc w:val="left"/>
              <w:rPr>
                <w:rFonts w:eastAsia="MS Mincho" w:cs="Arial"/>
                <w:b/>
                <w:bCs/>
                <w:noProof w:val="0"/>
                <w:sz w:val="20"/>
                <w:szCs w:val="20"/>
                <w:lang w:eastAsia="cs-CZ" w:bidi="ar-SA"/>
              </w:rPr>
            </w:pPr>
          </w:p>
        </w:tc>
        <w:tc>
          <w:tcPr>
            <w:tcW w:w="2254" w:type="dxa"/>
            <w:gridSpan w:val="3"/>
            <w:tcBorders>
              <w:top w:val="nil"/>
              <w:left w:val="nil"/>
              <w:bottom w:val="single" w:sz="4" w:space="0" w:color="auto"/>
              <w:right w:val="nil"/>
            </w:tcBorders>
            <w:shd w:val="clear" w:color="auto" w:fill="auto"/>
            <w:noWrap/>
            <w:vAlign w:val="center"/>
          </w:tcPr>
          <w:p w:rsidR="00B73FDF" w:rsidRPr="00221615" w:rsidP="007D44CB" w14:paraId="2CA22A08" w14:textId="77777777">
            <w:pPr>
              <w:keepNext/>
              <w:spacing w:before="60" w:line="240" w:lineRule="auto"/>
              <w:jc w:val="left"/>
              <w:rPr>
                <w:rFonts w:eastAsia="MS Mincho" w:cs="Arial"/>
                <w:b/>
                <w:bCs/>
                <w:noProof w:val="0"/>
                <w:sz w:val="20"/>
                <w:szCs w:val="20"/>
                <w:lang w:eastAsia="cs-CZ" w:bidi="ar-SA"/>
              </w:rPr>
            </w:pPr>
          </w:p>
        </w:tc>
        <w:tc>
          <w:tcPr>
            <w:tcW w:w="2230" w:type="dxa"/>
            <w:gridSpan w:val="4"/>
            <w:tcBorders>
              <w:top w:val="nil"/>
              <w:left w:val="nil"/>
              <w:bottom w:val="single" w:sz="4" w:space="0" w:color="auto"/>
              <w:right w:val="nil"/>
            </w:tcBorders>
            <w:shd w:val="clear" w:color="auto" w:fill="auto"/>
            <w:noWrap/>
            <w:vAlign w:val="center"/>
          </w:tcPr>
          <w:p w:rsidR="00B73FDF" w:rsidRPr="00221615" w:rsidP="007D44CB" w14:paraId="64333EEF" w14:textId="77777777">
            <w:pPr>
              <w:keepNext/>
              <w:spacing w:before="60" w:line="240" w:lineRule="auto"/>
              <w:jc w:val="left"/>
              <w:rPr>
                <w:rFonts w:eastAsia="MS Mincho" w:cs="Arial"/>
                <w:b/>
                <w:bCs/>
                <w:noProof w:val="0"/>
                <w:sz w:val="20"/>
                <w:szCs w:val="20"/>
                <w:lang w:eastAsia="cs-CZ" w:bidi="ar-SA"/>
              </w:rPr>
            </w:pPr>
          </w:p>
        </w:tc>
      </w:tr>
      <w:tr w14:paraId="3036E293" w14:textId="77777777" w:rsidTr="007D44CB">
        <w:tblPrEx>
          <w:tblW w:w="15309" w:type="dxa"/>
          <w:tblInd w:w="70" w:type="dxa"/>
          <w:tblLayout w:type="fixed"/>
          <w:tblCellMar>
            <w:left w:w="70" w:type="dxa"/>
            <w:right w:w="70" w:type="dxa"/>
          </w:tblCellMar>
          <w:tblLook w:val="04A0"/>
        </w:tblPrEx>
        <w:trPr>
          <w:trHeight w:val="34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7AB81CE8" w14:textId="77777777">
            <w:pPr>
              <w:keepNext/>
              <w:spacing w:before="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tis. Kč</w:t>
            </w:r>
          </w:p>
        </w:tc>
        <w:tc>
          <w:tcPr>
            <w:tcW w:w="2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0439E28D" w14:textId="77777777">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ASEKOL</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3BB4EED9" w14:textId="77777777">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ELEKTROWIN a.s.</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73BDA71" w14:textId="77777777">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REMA Systém, a.s.</w:t>
            </w:r>
          </w:p>
        </w:tc>
        <w:tc>
          <w:tcPr>
            <w:tcW w:w="2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3E37F233" w14:textId="77777777">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EKOLAMP s.r.o.</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03535D81" w14:textId="77777777">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RETELA</w:t>
            </w:r>
          </w:p>
        </w:tc>
      </w:tr>
      <w:tr w14:paraId="61F4CF85" w14:textId="77777777" w:rsidTr="007D44CB">
        <w:tblPrEx>
          <w:tblW w:w="15309" w:type="dxa"/>
          <w:tblInd w:w="70" w:type="dxa"/>
          <w:tblLayout w:type="fixed"/>
          <w:tblCellMar>
            <w:left w:w="70" w:type="dxa"/>
            <w:right w:w="70" w:type="dxa"/>
          </w:tblCellMar>
          <w:tblLook w:val="04A0"/>
        </w:tblPrEx>
        <w:trPr>
          <w:trHeight w:val="34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49EEA89" w14:textId="77777777">
            <w:pPr>
              <w:keepNext/>
              <w:spacing w:before="60" w:line="240" w:lineRule="auto"/>
              <w:jc w:val="center"/>
              <w:rPr>
                <w:rFonts w:eastAsia="MS Mincho" w:cs="Arial"/>
                <w:noProof w:val="0"/>
                <w:sz w:val="18"/>
                <w:szCs w:val="20"/>
                <w:lang w:eastAsia="cs-CZ" w:bidi="ar-SA"/>
              </w:rPr>
            </w:pP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F985F0A"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382D13C"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CA1B307"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25DF148"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8FE138D"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640CB23"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BDB90F"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F7148E4"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80647DE"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3FFDED9"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A150472"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3586C8C"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248F640"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41BC25B"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7FBCD04" w14:textId="77777777">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r>
      <w:tr w14:paraId="590B6D35"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7C9FC95"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Tržby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AEB9CB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189 604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BE9233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9F8573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176 160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376E7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146 936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494B02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124 029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35BC2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173 835</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37F052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56 819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AF6320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57 087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1EA874A"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66 232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D55240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81 890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654346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73 011</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6A2F2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73 978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FA0A53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37 395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0EE2C8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33 638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C2F2E2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29 290</w:t>
            </w:r>
          </w:p>
        </w:tc>
      </w:tr>
      <w:tr w14:paraId="7387E69E"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6696392"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Přidaná hodnota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41D9F4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24 128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F74F67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520BEA6"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23 487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3ECACA"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-6 853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F64AD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-24 762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A1574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-1 987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9DCB0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11 075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681D68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9 121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E0EF75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9 602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F33B4B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29 063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DA806AD"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26 823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214F7F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17 841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97A4FE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14 661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58CE4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11 238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DED4BF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9 823</w:t>
            </w:r>
          </w:p>
        </w:tc>
      </w:tr>
      <w:tr w14:paraId="3089B634"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FA73BD3"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Provozní výsledek hospodaření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DAEF46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-15 896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BE20834"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96179F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-12 491</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B9213F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-28 353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E13B20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-67 189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4A1C08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-26 274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C651E1D"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413B9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-350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797EFD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-739</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AD8D8B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-1 828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BFF5EAA"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-2 830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EDF8CB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-1 034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125B34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9 215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E5B752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6 569</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5A9074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3 209</w:t>
            </w:r>
          </w:p>
        </w:tc>
      </w:tr>
      <w:tr w14:paraId="4C0F9973"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E1FC4E7"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Finanční výsledek hospodaření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D1ADD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16 265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E077F86"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0B4372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12 444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CB3EC2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29 115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D77044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29 837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9EC2AE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27 620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435C2C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181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D7EC36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31B489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382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8BBD01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2 285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82A23D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3 163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AEF9F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1 296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AB8CF1A"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EEDE5C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1 039</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794A1C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789</w:t>
            </w:r>
          </w:p>
        </w:tc>
      </w:tr>
      <w:tr w14:paraId="64D88836"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D7EAD2B"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Výsledek hospodaření před zdaněním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FC5FCA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97B393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74EA79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F7FC66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EA93D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-37 489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9366AD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7AE45E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3BC696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-585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25C23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99840E6"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457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0FE82A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333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E65AD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637C9B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9 083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5424E1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7 360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BBAB5A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3 770</w:t>
            </w:r>
          </w:p>
        </w:tc>
      </w:tr>
      <w:tr w14:paraId="32CD8FFE"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61EE5BB4"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Aktiva celkem</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1040EB4D"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816 607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58F937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1018C8F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913 090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1E2A74A"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1 151 977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0F388984"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1 216 931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0700594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1 254 577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336EE2B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38 589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3FFBACF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42 433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35267111"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47 372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1ECC790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316 124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54B27C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329 775</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4F41E644"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345 451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E2BAAE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55 783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5C481E7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63 744</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55C6483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66 795</w:t>
            </w:r>
          </w:p>
        </w:tc>
      </w:tr>
      <w:tr w14:paraId="6BE27FDF"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19E296"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Z toho Dlouhodobý finanční majetek</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31649C4"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290 211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918C3A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61713F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297 245</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E65E84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441 894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68E0905"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1 018 952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1FCFB6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958 698</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146730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6B83CC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2 900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50122B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7 800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9EC70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1470EC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0F7044"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152B77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D555D7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EEFAD92"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r>
      <w:tr w14:paraId="5D99E57E" w14:textId="77777777" w:rsidTr="007D44CB">
        <w:tblPrEx>
          <w:tblW w:w="15309" w:type="dxa"/>
          <w:tblInd w:w="70" w:type="dxa"/>
          <w:tblLayout w:type="fixed"/>
          <w:tblCellMar>
            <w:left w:w="70" w:type="dxa"/>
            <w:right w:w="70" w:type="dxa"/>
          </w:tblCellMar>
          <w:tblLook w:val="04A0"/>
        </w:tblPrEx>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B5072F0" w14:textId="77777777">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Krátkodobý finanční majetek</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85654C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323 290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30020CD"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N.A</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6F73AA0"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296 394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5910A8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610 397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84DC74B"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106 083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AE35173"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218 766</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DB8945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32 093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D20FA6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31 296</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533C91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30 623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EB6589E"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284 595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725009"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299 328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0752A4F"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316 600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9E4E5A7"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31 033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D4B000C"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20 837</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14DB808" w14:textId="77777777">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23 708</w:t>
            </w:r>
          </w:p>
        </w:tc>
      </w:tr>
    </w:tbl>
    <w:p w:rsidR="00B73FDF" w:rsidRPr="00ED38E9" w:rsidP="00B73FDF" w14:paraId="740603C3" w14:textId="77777777">
      <w:pPr>
        <w:spacing w:after="120" w:line="240" w:lineRule="auto"/>
        <w:rPr>
          <w:rFonts w:eastAsia="Calibri" w:cs="Arial"/>
          <w:noProof w:val="0"/>
          <w:szCs w:val="22"/>
          <w:lang w:bidi="ar-SA"/>
        </w:rPr>
      </w:pPr>
      <w:r w:rsidRPr="00ED38E9">
        <w:rPr>
          <w:rFonts w:eastAsia="Calibri" w:cs="Arial"/>
          <w:noProof w:val="0"/>
          <w:szCs w:val="22"/>
          <w:lang w:bidi="ar-SA"/>
        </w:rPr>
        <w:br w:type="page"/>
      </w:r>
    </w:p>
    <w:tbl>
      <w:tblPr>
        <w:tblW w:w="15844" w:type="dxa"/>
        <w:tblLayout w:type="fixed"/>
        <w:tblCellMar>
          <w:left w:w="70" w:type="dxa"/>
          <w:right w:w="70" w:type="dxa"/>
        </w:tblCellMar>
        <w:tblLook w:val="04A0"/>
      </w:tblPr>
      <w:tblGrid>
        <w:gridCol w:w="2790"/>
        <w:gridCol w:w="621"/>
        <w:gridCol w:w="622"/>
        <w:gridCol w:w="301"/>
        <w:gridCol w:w="320"/>
        <w:gridCol w:w="622"/>
        <w:gridCol w:w="622"/>
        <w:gridCol w:w="428"/>
        <w:gridCol w:w="193"/>
        <w:gridCol w:w="622"/>
        <w:gridCol w:w="621"/>
        <w:gridCol w:w="440"/>
        <w:gridCol w:w="182"/>
        <w:gridCol w:w="622"/>
        <w:gridCol w:w="621"/>
        <w:gridCol w:w="246"/>
        <w:gridCol w:w="376"/>
        <w:gridCol w:w="622"/>
        <w:gridCol w:w="415"/>
        <w:gridCol w:w="206"/>
        <w:gridCol w:w="622"/>
        <w:gridCol w:w="621"/>
        <w:gridCol w:w="622"/>
        <w:gridCol w:w="519"/>
        <w:gridCol w:w="103"/>
        <w:gridCol w:w="621"/>
        <w:gridCol w:w="622"/>
        <w:gridCol w:w="622"/>
      </w:tblGrid>
      <w:tr w14:paraId="7541B74F" w14:textId="77777777" w:rsidTr="007D44CB">
        <w:tblPrEx>
          <w:tblW w:w="15844" w:type="dxa"/>
          <w:tblLayout w:type="fixed"/>
          <w:tblCellMar>
            <w:left w:w="70" w:type="dxa"/>
            <w:right w:w="70" w:type="dxa"/>
          </w:tblCellMar>
          <w:tblLook w:val="04A0"/>
        </w:tblPrEx>
        <w:trPr>
          <w:trHeight w:val="288"/>
        </w:trPr>
        <w:tc>
          <w:tcPr>
            <w:tcW w:w="2790" w:type="dxa"/>
            <w:tcBorders>
              <w:top w:val="nil"/>
              <w:left w:val="nil"/>
              <w:bottom w:val="single" w:sz="4" w:space="0" w:color="auto"/>
            </w:tcBorders>
            <w:shd w:val="clear" w:color="auto" w:fill="auto"/>
            <w:noWrap/>
            <w:vAlign w:val="center"/>
          </w:tcPr>
          <w:p w:rsidR="00B73FDF" w:rsidRPr="00221615" w:rsidP="007D44CB" w14:paraId="25CB4CBF" w14:textId="77777777">
            <w:pPr>
              <w:pStyle w:val="Caption"/>
              <w:rPr>
                <w:rFonts w:eastAsia="MS Mincho" w:cs="Arial"/>
                <w:color w:val="FFFFFF"/>
                <w:sz w:val="20"/>
                <w:szCs w:val="20"/>
                <w:lang w:eastAsia="cs-CZ" w:bidi="ar-SA"/>
              </w:rPr>
            </w:pPr>
            <w:r w:rsidRPr="00221615">
              <w:rPr>
                <w:rFonts w:eastAsia="MS Mincho" w:cs="Arial"/>
                <w:sz w:val="20"/>
                <w:szCs w:val="20"/>
                <w:lang w:eastAsia="cs-CZ" w:bidi="ar-SA"/>
              </w:rPr>
              <w:t>Panel B: Zpracovatelé</w:t>
            </w:r>
          </w:p>
        </w:tc>
        <w:tc>
          <w:tcPr>
            <w:tcW w:w="1544" w:type="dxa"/>
            <w:gridSpan w:val="3"/>
            <w:tcBorders>
              <w:top w:val="nil"/>
              <w:bottom w:val="single" w:sz="4" w:space="0" w:color="auto"/>
            </w:tcBorders>
            <w:shd w:val="clear" w:color="auto" w:fill="auto"/>
            <w:noWrap/>
            <w:vAlign w:val="center"/>
          </w:tcPr>
          <w:p w:rsidR="00B73FDF" w:rsidRPr="00ED38E9" w:rsidP="007D44CB" w14:paraId="034C0D70" w14:textId="77777777">
            <w:pPr>
              <w:keepNext/>
              <w:spacing w:before="60" w:line="240" w:lineRule="auto"/>
              <w:jc w:val="left"/>
              <w:rPr>
                <w:rFonts w:eastAsia="MS Mincho" w:cs="Arial"/>
                <w:b/>
                <w:bCs/>
                <w:noProof w:val="0"/>
                <w:color w:val="FFFFFF"/>
                <w:sz w:val="18"/>
                <w:szCs w:val="20"/>
                <w:lang w:eastAsia="cs-CZ" w:bidi="ar-SA"/>
              </w:rPr>
            </w:pPr>
          </w:p>
        </w:tc>
        <w:tc>
          <w:tcPr>
            <w:tcW w:w="1992" w:type="dxa"/>
            <w:gridSpan w:val="4"/>
            <w:tcBorders>
              <w:top w:val="nil"/>
              <w:bottom w:val="single" w:sz="4" w:space="0" w:color="auto"/>
            </w:tcBorders>
            <w:shd w:val="clear" w:color="auto" w:fill="auto"/>
            <w:noWrap/>
            <w:vAlign w:val="center"/>
          </w:tcPr>
          <w:p w:rsidR="00B73FDF" w:rsidRPr="00ED38E9" w:rsidP="007D44CB" w14:paraId="17AC3132" w14:textId="77777777">
            <w:pPr>
              <w:keepNext/>
              <w:spacing w:before="60" w:line="240" w:lineRule="auto"/>
              <w:jc w:val="left"/>
              <w:rPr>
                <w:rFonts w:eastAsia="MS Mincho" w:cs="Arial"/>
                <w:b/>
                <w:bCs/>
                <w:noProof w:val="0"/>
                <w:color w:val="FFFFFF"/>
                <w:sz w:val="18"/>
                <w:szCs w:val="20"/>
                <w:lang w:eastAsia="cs-CZ" w:bidi="ar-SA"/>
              </w:rPr>
            </w:pPr>
          </w:p>
        </w:tc>
        <w:tc>
          <w:tcPr>
            <w:tcW w:w="1876" w:type="dxa"/>
            <w:gridSpan w:val="4"/>
            <w:tcBorders>
              <w:top w:val="nil"/>
              <w:bottom w:val="single" w:sz="4" w:space="0" w:color="auto"/>
            </w:tcBorders>
            <w:shd w:val="clear" w:color="auto" w:fill="auto"/>
            <w:noWrap/>
            <w:vAlign w:val="center"/>
          </w:tcPr>
          <w:p w:rsidR="00B73FDF" w:rsidRPr="00ED38E9" w:rsidP="007D44CB" w14:paraId="43E804C9" w14:textId="77777777">
            <w:pPr>
              <w:keepNext/>
              <w:spacing w:before="60" w:line="240" w:lineRule="auto"/>
              <w:jc w:val="left"/>
              <w:rPr>
                <w:rFonts w:eastAsia="MS Mincho" w:cs="Arial"/>
                <w:b/>
                <w:bCs/>
                <w:noProof w:val="0"/>
                <w:color w:val="FFFFFF"/>
                <w:sz w:val="18"/>
                <w:szCs w:val="20"/>
                <w:lang w:eastAsia="cs-CZ" w:bidi="ar-SA"/>
              </w:rPr>
            </w:pPr>
          </w:p>
        </w:tc>
        <w:tc>
          <w:tcPr>
            <w:tcW w:w="1671" w:type="dxa"/>
            <w:gridSpan w:val="4"/>
            <w:tcBorders>
              <w:top w:val="nil"/>
              <w:bottom w:val="single" w:sz="4" w:space="0" w:color="auto"/>
            </w:tcBorders>
            <w:shd w:val="clear" w:color="auto" w:fill="auto"/>
            <w:noWrap/>
            <w:vAlign w:val="center"/>
          </w:tcPr>
          <w:p w:rsidR="00B73FDF" w:rsidRPr="00ED38E9" w:rsidP="007D44CB" w14:paraId="370C77A6" w14:textId="77777777">
            <w:pPr>
              <w:keepNext/>
              <w:spacing w:before="60" w:line="240" w:lineRule="auto"/>
              <w:jc w:val="left"/>
              <w:rPr>
                <w:rFonts w:eastAsia="MS Mincho" w:cs="Arial"/>
                <w:b/>
                <w:bCs/>
                <w:noProof w:val="0"/>
                <w:color w:val="FFFFFF"/>
                <w:sz w:val="18"/>
                <w:szCs w:val="20"/>
                <w:lang w:eastAsia="cs-CZ" w:bidi="ar-SA"/>
              </w:rPr>
            </w:pPr>
          </w:p>
        </w:tc>
        <w:tc>
          <w:tcPr>
            <w:tcW w:w="1413" w:type="dxa"/>
            <w:gridSpan w:val="3"/>
            <w:tcBorders>
              <w:top w:val="nil"/>
              <w:bottom w:val="single" w:sz="4" w:space="0" w:color="auto"/>
            </w:tcBorders>
            <w:shd w:val="clear" w:color="auto" w:fill="auto"/>
            <w:noWrap/>
            <w:vAlign w:val="center"/>
          </w:tcPr>
          <w:p w:rsidR="00B73FDF" w:rsidRPr="00ED38E9" w:rsidP="007D44CB" w14:paraId="7456F2F8" w14:textId="77777777">
            <w:pPr>
              <w:keepNext/>
              <w:spacing w:before="60" w:line="240" w:lineRule="auto"/>
              <w:jc w:val="left"/>
              <w:rPr>
                <w:rFonts w:eastAsia="MS Mincho" w:cs="Arial"/>
                <w:b/>
                <w:bCs/>
                <w:noProof w:val="0"/>
                <w:color w:val="FFFFFF"/>
                <w:sz w:val="18"/>
                <w:szCs w:val="20"/>
                <w:lang w:eastAsia="cs-CZ" w:bidi="ar-SA"/>
              </w:rPr>
            </w:pPr>
          </w:p>
        </w:tc>
        <w:tc>
          <w:tcPr>
            <w:tcW w:w="2590" w:type="dxa"/>
            <w:gridSpan w:val="5"/>
            <w:tcBorders>
              <w:top w:val="nil"/>
              <w:bottom w:val="single" w:sz="4" w:space="0" w:color="auto"/>
            </w:tcBorders>
            <w:shd w:val="clear" w:color="auto" w:fill="auto"/>
            <w:noWrap/>
            <w:vAlign w:val="center"/>
          </w:tcPr>
          <w:p w:rsidR="00B73FDF" w:rsidRPr="00ED38E9" w:rsidP="007D44CB" w14:paraId="46B401DD" w14:textId="77777777">
            <w:pPr>
              <w:keepNext/>
              <w:spacing w:before="60" w:line="240" w:lineRule="auto"/>
              <w:jc w:val="left"/>
              <w:rPr>
                <w:rFonts w:eastAsia="MS Mincho" w:cs="Arial"/>
                <w:b/>
                <w:bCs/>
                <w:noProof w:val="0"/>
                <w:color w:val="FFFFFF"/>
                <w:sz w:val="18"/>
                <w:szCs w:val="20"/>
                <w:lang w:eastAsia="cs-CZ" w:bidi="ar-SA"/>
              </w:rPr>
            </w:pPr>
          </w:p>
        </w:tc>
        <w:tc>
          <w:tcPr>
            <w:tcW w:w="1968" w:type="dxa"/>
            <w:gridSpan w:val="4"/>
            <w:tcBorders>
              <w:top w:val="nil"/>
              <w:bottom w:val="single" w:sz="4" w:space="0" w:color="auto"/>
            </w:tcBorders>
            <w:shd w:val="clear" w:color="auto" w:fill="auto"/>
            <w:noWrap/>
            <w:vAlign w:val="center"/>
          </w:tcPr>
          <w:p w:rsidR="00B73FDF" w:rsidRPr="00ED38E9" w:rsidP="007D44CB" w14:paraId="02B8592D" w14:textId="77777777">
            <w:pPr>
              <w:keepNext/>
              <w:spacing w:before="60" w:line="240" w:lineRule="auto"/>
              <w:jc w:val="left"/>
              <w:rPr>
                <w:rFonts w:eastAsia="MS Mincho" w:cs="Arial"/>
                <w:b/>
                <w:bCs/>
                <w:noProof w:val="0"/>
                <w:color w:val="FFFFFF"/>
                <w:sz w:val="18"/>
                <w:szCs w:val="20"/>
                <w:lang w:eastAsia="cs-CZ" w:bidi="ar-SA"/>
              </w:rPr>
            </w:pPr>
          </w:p>
        </w:tc>
      </w:tr>
      <w:tr w14:paraId="21C45AB7"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75225918" w14:textId="77777777">
            <w:pPr>
              <w:keepNext/>
              <w:spacing w:line="23" w:lineRule="atLeast"/>
              <w:jc w:val="left"/>
              <w:rPr>
                <w:rFonts w:eastAsia="MS Mincho" w:cs="Arial"/>
                <w:noProof w:val="0"/>
                <w:sz w:val="18"/>
                <w:szCs w:val="20"/>
                <w:lang w:eastAsia="cs-CZ" w:bidi="ar-SA"/>
              </w:rPr>
            </w:pPr>
            <w:r w:rsidRPr="00ED38E9">
              <w:rPr>
                <w:rFonts w:eastAsia="MS Mincho" w:cs="Arial"/>
                <w:noProof w:val="0"/>
                <w:sz w:val="18"/>
                <w:szCs w:val="20"/>
                <w:lang w:eastAsia="cs-CZ" w:bidi="ar-SA"/>
              </w:rPr>
              <w:t>tis. Kč</w:t>
            </w:r>
          </w:p>
        </w:tc>
        <w:tc>
          <w:tcPr>
            <w:tcW w:w="1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41C0E72D"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Praktik systém</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071941F"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Marketa Remone</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404C3CE2"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FERMET s.r.o.</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47C878DA"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MHM Eko</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70D1195C"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Kovohutě Příbram</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20C6DA48"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S-Firma</w:t>
            </w:r>
          </w:p>
        </w:tc>
        <w:tc>
          <w:tcPr>
            <w:tcW w:w="18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73FDF" w:rsidRPr="00ED38E9" w:rsidP="007D44CB" w14:paraId="07B0B960"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Steelmet</w:t>
            </w:r>
          </w:p>
        </w:tc>
      </w:tr>
      <w:tr w14:paraId="0D0D54C0"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D8D2DC" w14:textId="77777777">
            <w:pPr>
              <w:keepNext/>
              <w:spacing w:line="23" w:lineRule="atLeast"/>
              <w:jc w:val="center"/>
              <w:rPr>
                <w:rFonts w:eastAsia="MS Mincho" w:cs="Arial"/>
                <w:noProof w:val="0"/>
                <w:sz w:val="18"/>
                <w:szCs w:val="20"/>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D1DF421"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12B3DED"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2F37FD3"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27B6325"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29763B3"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4D8B207"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83294E0"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864983"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5BF1542"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9F69C1"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A8F6CB"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1108FE1"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36C852D"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53DF268"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4893834"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F3DF41E"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6CAD27A"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DF97946"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6AE3BF0"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53E20EF"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B8233E3" w14:textId="77777777">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r>
      <w:tr w14:paraId="56311FF6"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378EF97" w14:textId="77777777">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Tržby</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18C434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156 459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CFDE95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161 996</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EC78D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1E443E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6 132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D0D6AB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8 178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6C446C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7 252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2DCE92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FE996B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47 591</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F470B7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33 826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38FEE8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47 905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3BDCB1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50 645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3241CD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B738A3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2 060 043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A8A7AE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2 099 782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D9AEE9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2 175 783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BBF6FD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31 979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A318CC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39 922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9F27EB2" w14:textId="77777777">
            <w:pPr>
              <w:keepNext/>
              <w:spacing w:line="23" w:lineRule="atLeast"/>
              <w:jc w:val="center"/>
              <w:rPr>
                <w:rFonts w:eastAsia="MS Mincho" w:cs="Arial"/>
                <w:noProof w:val="0"/>
                <w:sz w:val="14"/>
                <w:szCs w:val="16"/>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6F3225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6 026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8786B5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6 374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EBAFAB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7 182</w:t>
            </w:r>
          </w:p>
        </w:tc>
      </w:tr>
      <w:tr w14:paraId="3AF9EDE4"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5A40645" w14:textId="77777777">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Přidaná hodnota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091601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-22 532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420B9E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-48 578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687F76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92C191D" w14:textId="77777777">
            <w:pPr>
              <w:keepNext/>
              <w:spacing w:line="23" w:lineRule="atLeast"/>
              <w:jc w:val="center"/>
              <w:rPr>
                <w:rFonts w:eastAsia="MS Mincho" w:cs="Arial"/>
                <w:noProof w:val="0"/>
                <w:sz w:val="14"/>
                <w:szCs w:val="16"/>
                <w:lang w:eastAsia="cs-CZ" w:bidi="ar-SA"/>
              </w:rPr>
            </w:pP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BCC6BC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492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C5000B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996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4377E1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FEDE30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7 905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42B116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4 707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3478D6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21 466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B08CBA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22 990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B7AF0E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678E98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393 842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7A45DA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330 785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7AA8A1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291 764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47F8E4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11 676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C83484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13 807</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3780AD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13 730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F4454C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-9 098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B7580D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-7 108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5DC2EB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-3 335</w:t>
            </w:r>
          </w:p>
        </w:tc>
      </w:tr>
      <w:tr w14:paraId="77AE1D69"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1280684" w14:textId="77777777">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Provozní výsledek hospodaření</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78EC2C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10 050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AD246EB"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6 188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FF7994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8C05F4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1 039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7143E3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159</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EA3EE3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462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1F6A83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9F557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361</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19D8A4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-1 344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3CE581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1 930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E15B70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3 209</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21B82F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47CF45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231 867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8B550B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152 014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EE66A6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91 737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88CB6C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6 006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94DB81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6 340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59CB148" w14:textId="77777777">
            <w:pPr>
              <w:keepNext/>
              <w:spacing w:line="23" w:lineRule="atLeast"/>
              <w:jc w:val="center"/>
              <w:rPr>
                <w:rFonts w:eastAsia="MS Mincho" w:cs="Arial"/>
                <w:noProof w:val="0"/>
                <w:sz w:val="14"/>
                <w:szCs w:val="16"/>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74A105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883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F60C23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3 560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08EE6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1 968</w:t>
            </w:r>
          </w:p>
        </w:tc>
      </w:tr>
      <w:tr w14:paraId="4F840290"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DAB2FFD" w14:textId="77777777">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 xml:space="preserve">Finanční výsledek hospodaření </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B5CFE0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-257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98991B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-433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DA8883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57E017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E0C070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-422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E758F1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FF94D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DFDBF0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-178</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A95DE2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2789F5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-678</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8859B4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-914</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8A2E88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CBE846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48 836</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3EAB16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-8 972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DA4564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3 283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48E621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-601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556021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F9A2DB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-686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8D9137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ACC560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-242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C0C50C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-298</w:t>
            </w:r>
          </w:p>
        </w:tc>
      </w:tr>
      <w:tr w14:paraId="06EB888F"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6633C76" w14:textId="77777777">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Výsledek hospodaření před zdaněním</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8132EC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9 793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2F6F6D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5 755</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769635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113C48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429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E6798C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-933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75C0DE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18E8FC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52E302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183</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FA8C8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-1 441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1EF007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1 252</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8F2EAF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2 295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A2CF5F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9E52F0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280 703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84A8DD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143 042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F2F561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95 020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6061E3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5 405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3C24C3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5 595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FF1EBA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1 717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EEB8A6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727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D28F4C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3 318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744011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1 670</w:t>
            </w:r>
          </w:p>
        </w:tc>
      </w:tr>
      <w:tr w14:paraId="68D3435F"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4E29352" w14:textId="77777777">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Aktiva Celkem</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33A5B3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97 702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0C9860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106 161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E276D7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9A0686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12 957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9D1C60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11 257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FA6E47D"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11 204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098899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6E4562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11 056</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0C900C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9 559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A2F0B5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36 704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9D2BBA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40 293</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475041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82A3F0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1 486 031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7C06ECB"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1 747 723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C6742A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1 895 905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073EF0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18 502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AA4F56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33 395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566089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46 075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66462D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6 709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430D82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13 814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0E1284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19 911</w:t>
            </w:r>
          </w:p>
        </w:tc>
      </w:tr>
      <w:tr w14:paraId="4025D115"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BCC7EF6" w14:textId="77777777">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 xml:space="preserve"> Z toho                                                        </w:t>
            </w:r>
            <w:r w:rsidRPr="00ED38E9">
              <w:rPr>
                <w:rFonts w:eastAsia="MS Mincho" w:cs="Arial"/>
                <w:noProof w:val="0"/>
                <w:sz w:val="14"/>
                <w:szCs w:val="18"/>
                <w:lang w:eastAsia="cs-CZ" w:bidi="ar-SA"/>
              </w:rPr>
              <w:br/>
              <w:t xml:space="preserve">         Dlouhodobá aktiva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F2F68F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51 381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8DB0ED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47 157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6D54E0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01E7EE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9 438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CF6B45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9 074</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F713A5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7 718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5D7A8B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D706C9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3 627</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D02BD36"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3 429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D21B115"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13 515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093653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13 045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19DFEA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53F8EE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762 282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25946C0"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833 774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5FBF4A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832 743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DE4F69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5 092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3D50CD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18 486</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F5A9C5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34 563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22BFEA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2 380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CD653F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2 462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55F329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3 345</w:t>
            </w:r>
          </w:p>
        </w:tc>
      </w:tr>
      <w:tr w14:paraId="7CDA5DBF" w14:textId="77777777" w:rsidTr="007D44CB">
        <w:tblPrEx>
          <w:tblW w:w="15844" w:type="dxa"/>
          <w:tblLayout w:type="fixed"/>
          <w:tblCellMar>
            <w:left w:w="70" w:type="dxa"/>
            <w:right w:w="70" w:type="dxa"/>
          </w:tblCellMar>
          <w:tblLook w:val="04A0"/>
        </w:tblPrEx>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5D2EBDF" w14:textId="77777777">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 xml:space="preserve">         Bankovní dluh </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7AF8A4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4 469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4597FF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2 618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88F1853"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4A4E9B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4 804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5A6E8D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4 852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3F3F9EBB"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4 335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6B933DE"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0A078D8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ECCA77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C416801"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43FDE29"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13A7EAC"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N.A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C1A53A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79 811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1908900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293 114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788A2C57"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368 664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7D3F09A"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48C22C7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10 000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C30E058"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16 823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5A1B6742"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68554044"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700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3FDF" w:rsidRPr="00ED38E9" w:rsidP="007D44CB" w14:paraId="298F631F" w14:textId="77777777">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525</w:t>
            </w:r>
          </w:p>
        </w:tc>
      </w:tr>
    </w:tbl>
    <w:p w:rsidR="00B73FDF" w:rsidRPr="00ED38E9" w:rsidP="00B73FDF" w14:paraId="604B5F25" w14:textId="77777777">
      <w:pPr>
        <w:widowControl w:val="0"/>
        <w:jc w:val="left"/>
        <w:rPr>
          <w:rFonts w:cs="Arial"/>
          <w:i/>
          <w:iCs/>
          <w:noProof w:val="0"/>
          <w:color w:val="000000"/>
          <w:sz w:val="20"/>
          <w:szCs w:val="20"/>
          <w:lang w:eastAsia="cs-CZ" w:bidi="ar-SA"/>
        </w:rPr>
        <w:sectPr w:rsidSect="00962E44">
          <w:pgSz w:w="16838" w:h="11906" w:orient="landscape"/>
          <w:pgMar w:top="567" w:right="567" w:bottom="567" w:left="567" w:header="709" w:footer="709" w:gutter="0"/>
          <w:pgNumType w:fmt="numberInDash"/>
          <w:cols w:space="708"/>
          <w:docGrid w:linePitch="360"/>
        </w:sectPr>
      </w:pPr>
      <w:r w:rsidRPr="00ED38E9">
        <w:rPr>
          <w:rFonts w:cs="Arial"/>
          <w:i/>
          <w:iCs/>
          <w:noProof w:val="0"/>
          <w:color w:val="000000"/>
          <w:sz w:val="20"/>
          <w:szCs w:val="20"/>
          <w:lang w:eastAsia="cs-CZ" w:bidi="ar-SA"/>
        </w:rPr>
        <w:t>Zdroj: Výroční zprávy jednotlivých subjektů</w:t>
      </w:r>
    </w:p>
    <w:p w:rsidR="00B73FDF" w:rsidRPr="00ED38E9" w:rsidP="00B73FDF" w14:paraId="468E0AE6" w14:textId="4B3CE55E">
      <w:pPr>
        <w:rPr>
          <w:rFonts w:eastAsia="Calibri" w:cs="Arial"/>
          <w:noProof w:val="0"/>
          <w:szCs w:val="22"/>
          <w:lang w:bidi="ar-SA"/>
        </w:rPr>
      </w:pPr>
      <w:r w:rsidRPr="00ED38E9">
        <w:rPr>
          <w:rFonts w:eastAsia="Calibri" w:cs="Arial"/>
          <w:noProof w:val="0"/>
          <w:szCs w:val="22"/>
          <w:lang w:bidi="ar-SA"/>
        </w:rPr>
        <w:t xml:space="preserve">V návaznosti na předchozí finanční analýzu </w:t>
      </w:r>
      <w:r>
        <w:fldChar w:fldCharType="begin"/>
      </w:r>
      <w:r>
        <w:instrText xml:space="preserve"> REF _Ref403052956 \h  \* MERGEFORMAT </w:instrText>
      </w:r>
      <w:r>
        <w:fldChar w:fldCharType="separate"/>
      </w:r>
      <w:r w:rsidRPr="00C22698" w:rsidR="00DC6D94">
        <w:rPr>
          <w:rFonts w:eastAsia="Calibri" w:cs="Arial"/>
          <w:noProof w:val="0"/>
          <w:szCs w:val="22"/>
          <w:lang w:bidi="ar-SA"/>
        </w:rPr>
        <w:t xml:space="preserve">Obrázek </w:t>
      </w:r>
      <w:r>
        <w:fldChar w:fldCharType="end"/>
      </w:r>
      <w:r w:rsidRPr="00ED38E9">
        <w:rPr>
          <w:rFonts w:eastAsia="Calibri" w:cs="Arial"/>
          <w:noProof w:val="0"/>
          <w:szCs w:val="22"/>
          <w:lang w:bidi="ar-SA"/>
        </w:rPr>
        <w:t xml:space="preserve"> shrnuje schéma finančního toku a toku EEZ resp. OEEZ v systému kolektivního plnění.</w:t>
      </w:r>
    </w:p>
    <w:p w:rsidR="00B73FDF" w:rsidRPr="00221615" w:rsidP="00B73FDF" w14:paraId="5244E814" w14:textId="2BEAD1AE">
      <w:pPr>
        <w:pStyle w:val="Caption"/>
        <w:rPr>
          <w:rFonts w:cs="Arial"/>
          <w:sz w:val="20"/>
          <w:szCs w:val="20"/>
          <w:lang w:eastAsia="cs-CZ" w:bidi="ar-SA"/>
        </w:rPr>
      </w:pPr>
      <w:bookmarkStart w:id="175" w:name="_Ref403052956"/>
      <w:r w:rsidRPr="00221615">
        <w:rPr>
          <w:rFonts w:cs="Arial"/>
          <w:sz w:val="20"/>
          <w:szCs w:val="20"/>
          <w:lang w:eastAsia="cs-CZ" w:bidi="ar-SA"/>
        </w:rPr>
        <w:t xml:space="preserve">Obrázek </w:t>
      </w:r>
      <w:bookmarkEnd w:id="175"/>
      <w:r w:rsidR="00F258C8">
        <w:rPr>
          <w:rFonts w:cs="Arial"/>
          <w:sz w:val="20"/>
          <w:szCs w:val="20"/>
          <w:lang w:eastAsia="cs-CZ" w:bidi="ar-SA"/>
        </w:rPr>
        <w:t>6</w:t>
      </w:r>
      <w:r w:rsidRPr="00221615">
        <w:rPr>
          <w:rFonts w:cs="Arial"/>
          <w:sz w:val="20"/>
          <w:szCs w:val="20"/>
          <w:lang w:eastAsia="cs-CZ" w:bidi="ar-SA"/>
        </w:rPr>
        <w:t>: Schéma finančního a toku EEZ, resp. OEEZ v rámci kolektivního systému</w:t>
      </w:r>
    </w:p>
    <w:p w:rsidR="00B73FDF" w:rsidRPr="00ED38E9" w:rsidP="00B73FDF" w14:paraId="38882EE4" w14:textId="21F84910">
      <w:pPr>
        <w:keepNext/>
        <w:widowControl w:val="0"/>
        <w:spacing w:after="120" w:line="240" w:lineRule="auto"/>
        <w:rPr>
          <w:rFonts w:eastAsia="Calibri" w:cs="Arial"/>
          <w:noProof w:val="0"/>
          <w:szCs w:val="20"/>
          <w:lang w:bidi="ar-SA"/>
        </w:rPr>
      </w:pPr>
      <w:r>
        <w:rPr>
          <w:rFonts w:eastAsia="Calibri" w:cs="Arial"/>
          <w:szCs w:val="22"/>
          <w:lang w:eastAsia="cs-CZ" w:bidi="ar-SA"/>
        </w:rPr>
        <mc:AlternateContent>
          <mc:Choice Requires="wpg">
            <w:drawing>
              <wp:anchor distT="0" distB="0" distL="114300" distR="114300" simplePos="0" relativeHeight="251658240" behindDoc="0" locked="0" layoutInCell="1" allowOverlap="1">
                <wp:simplePos x="0" y="0"/>
                <wp:positionH relativeFrom="column">
                  <wp:posOffset>4794250</wp:posOffset>
                </wp:positionH>
                <wp:positionV relativeFrom="paragraph">
                  <wp:posOffset>555625</wp:posOffset>
                </wp:positionV>
                <wp:extent cx="708025" cy="4333875"/>
                <wp:effectExtent l="7620" t="6985" r="0" b="12065"/>
                <wp:wrapNone/>
                <wp:docPr id="5" name="Skupina 6"/>
                <wp:cNvGraphicFramePr/>
                <a:graphic xmlns:a="http://schemas.openxmlformats.org/drawingml/2006/main">
                  <a:graphicData uri="http://schemas.microsoft.com/office/word/2010/wordprocessingGroup">
                    <wpg:wgp xmlns:wpg="http://schemas.microsoft.com/office/word/2010/wordprocessingGroup">
                      <wpg:cNvGrpSpPr/>
                      <wpg:grpSpPr>
                        <a:xfrm>
                          <a:off x="0" y="0"/>
                          <a:ext cx="708025" cy="4333875"/>
                          <a:chOff x="0" y="0"/>
                          <a:chExt cx="7081" cy="43341"/>
                        </a:xfrm>
                      </wpg:grpSpPr>
                      <wpg:grpSp>
                        <wpg:cNvPr id="6" name="Skupina 11"/>
                        <wpg:cNvGrpSpPr/>
                        <wpg:grpSpPr>
                          <a:xfrm>
                            <a:off x="0" y="0"/>
                            <a:ext cx="1936" cy="43341"/>
                            <a:chOff x="0" y="0"/>
                            <a:chExt cx="1936" cy="43341"/>
                          </a:xfrm>
                        </wpg:grpSpPr>
                        <wps:wsp xmlns:wps="http://schemas.microsoft.com/office/word/2010/wordprocessingShape">
                          <wps:cNvPr id="7" name="Pravá složená závorka 13"/>
                          <wps:cNvSpPr/>
                          <wps:spPr bwMode="auto">
                            <a:xfrm>
                              <a:off x="0" y="0"/>
                              <a:ext cx="1936" cy="24517"/>
                            </a:xfrm>
                            <a:prstGeom prst="rightBrace">
                              <a:avLst>
                                <a:gd name="adj1" fmla="val 8325"/>
                                <a:gd name="adj2" fmla="val 50000"/>
                              </a:avLst>
                            </a:prstGeom>
                            <a:noFill/>
                            <a:ln w="9525">
                              <a:solidFill>
                                <a:srgbClr val="4A7EBB"/>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wps:wsp xmlns:wps="http://schemas.microsoft.com/office/word/2010/wordprocessingShape">
                          <wps:cNvPr id="8" name="Pravá složená závorka 30"/>
                          <wps:cNvSpPr/>
                          <wps:spPr bwMode="auto">
                            <a:xfrm>
                              <a:off x="217" y="24710"/>
                              <a:ext cx="1658" cy="18631"/>
                            </a:xfrm>
                            <a:prstGeom prst="rightBrace">
                              <a:avLst>
                                <a:gd name="adj1" fmla="val 8324"/>
                                <a:gd name="adj2" fmla="val 50000"/>
                              </a:avLst>
                            </a:prstGeom>
                            <a:noFill/>
                            <a:ln w="9525">
                              <a:solidFill>
                                <a:srgbClr val="4A7EBB"/>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ctr" anchorCtr="0" upright="1"/>
                        </wps:wsp>
                      </wpg:grpSp>
                      <wps:wsp xmlns:wps="http://schemas.microsoft.com/office/word/2010/wordprocessingShape">
                        <wps:cNvPr id="9" name="Textové pole 2"/>
                        <wps:cNvSpPr txBox="1">
                          <a:spLocks noChangeArrowheads="1"/>
                        </wps:cNvSpPr>
                        <wps:spPr bwMode="auto">
                          <a:xfrm>
                            <a:off x="1194" y="10338"/>
                            <a:ext cx="4680" cy="37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16B7" w:rsidRPr="00615E9E" w:rsidP="00B73FDF" w14:textId="77777777">
                              <w:pPr>
                                <w:rPr>
                                  <w:sz w:val="20"/>
                                  <w:szCs w:val="20"/>
                                </w:rPr>
                              </w:pPr>
                              <w:r w:rsidRPr="00615E9E">
                                <w:rPr>
                                  <w:sz w:val="20"/>
                                  <w:szCs w:val="20"/>
                                </w:rPr>
                                <w:t>EEZ</w:t>
                              </w:r>
                            </w:p>
                          </w:txbxContent>
                        </wps:txbx>
                        <wps:bodyPr rot="0" vert="horz" wrap="square" anchor="t" anchorCtr="0" upright="1">
                          <a:spAutoFit/>
                        </wps:bodyPr>
                      </wps:wsp>
                      <wps:wsp xmlns:wps="http://schemas.microsoft.com/office/word/2010/wordprocessingShape">
                        <wps:cNvPr id="10" name="Textové pole 2"/>
                        <wps:cNvSpPr txBox="1">
                          <a:spLocks noChangeArrowheads="1"/>
                        </wps:cNvSpPr>
                        <wps:spPr bwMode="auto">
                          <a:xfrm>
                            <a:off x="1302" y="32107"/>
                            <a:ext cx="5779" cy="37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F16B7" w:rsidRPr="00615E9E" w:rsidP="00B73FDF" w14:textId="77777777">
                              <w:pPr>
                                <w:rPr>
                                  <w:sz w:val="20"/>
                                  <w:szCs w:val="20"/>
                                </w:rPr>
                              </w:pPr>
                              <w:r w:rsidRPr="00615E9E">
                                <w:rPr>
                                  <w:sz w:val="20"/>
                                  <w:szCs w:val="20"/>
                                </w:rPr>
                                <w:t>OEEZ</w:t>
                              </w:r>
                            </w:p>
                          </w:txbxContent>
                        </wps:txbx>
                        <wps:bodyPr rot="0" vert="horz" wrap="square" anchor="t" anchorCtr="0" upright="1">
                          <a:spAutoFit/>
                        </wps:bodyPr>
                      </wps:wsp>
                    </wpg:wgp>
                  </a:graphicData>
                </a:graphic>
                <wp14:sizeRelH relativeFrom="page">
                  <wp14:pctWidth>0</wp14:pctWidth>
                </wp14:sizeRelH>
                <wp14:sizeRelV relativeFrom="page">
                  <wp14:pctHeight>0</wp14:pctHeight>
                </wp14:sizeRelV>
              </wp:anchor>
            </w:drawing>
          </mc:Choice>
          <mc:Fallback>
            <w:pict>
              <v:group id="Skupina 6" o:spid="_x0000_s1025" style="width:55.75pt;height:341.25pt;margin-top:43.75pt;margin-left:377.5pt;position:absolute;z-index:251659264" coordsize="7081,43341">
                <v:group id="Skupina 11" o:spid="_x0000_s1026" style="width:1936;height:43341;position:absolute" coordsize="1936,4334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3" o:spid="_x0000_s1027" type="#_x0000_t88" style="width:1936;height:24517;mso-wrap-style:square;position:absolute;visibility:visible;v-text-anchor:middle" adj="142" strokecolor="#4a7ebb"/>
                  <v:shape id="Pravá složená závorka 30" o:spid="_x0000_s1028" type="#_x0000_t88" style="width:1658;height:18631;left:217;mso-wrap-style:square;position:absolute;top:24710;visibility:visible;v-text-anchor:middle" adj="160" strokecolor="#4a7ebb"/>
                </v:group>
                <v:shapetype id="_x0000_t202" coordsize="21600,21600" o:spt="202" path="m,l,21600r21600,l21600,xe">
                  <v:stroke joinstyle="miter"/>
                  <v:path gradientshapeok="t" o:connecttype="rect"/>
                </v:shapetype>
                <v:shape id="Textové pole 2" o:spid="_x0000_s1029" type="#_x0000_t202" style="width:4680;height:3734;left:1194;mso-wrap-style:square;position:absolute;top:10338;visibility:visible;v-text-anchor:top" filled="f" stroked="f">
                  <v:textbox style="mso-fit-shape-to-text:t">
                    <w:txbxContent>
                      <w:p w:rsidR="00BF16B7" w:rsidRPr="00615E9E" w:rsidP="00B73FDF" w14:paraId="36725546" w14:textId="77777777">
                        <w:pPr>
                          <w:rPr>
                            <w:sz w:val="20"/>
                            <w:szCs w:val="20"/>
                          </w:rPr>
                        </w:pPr>
                        <w:r w:rsidRPr="00615E9E">
                          <w:rPr>
                            <w:sz w:val="20"/>
                            <w:szCs w:val="20"/>
                          </w:rPr>
                          <w:t>EEZ</w:t>
                        </w:r>
                      </w:p>
                    </w:txbxContent>
                  </v:textbox>
                </v:shape>
                <v:shape id="Textové pole 2" o:spid="_x0000_s1030" type="#_x0000_t202" style="width:5779;height:3734;left:1302;mso-wrap-style:square;position:absolute;top:32107;visibility:visible;v-text-anchor:top" filled="f" stroked="f">
                  <v:textbox style="mso-fit-shape-to-text:t">
                    <w:txbxContent>
                      <w:p w:rsidR="00BF16B7" w:rsidRPr="00615E9E" w:rsidP="00B73FDF" w14:paraId="5B3E1E58" w14:textId="77777777">
                        <w:pPr>
                          <w:rPr>
                            <w:sz w:val="20"/>
                            <w:szCs w:val="20"/>
                          </w:rPr>
                        </w:pPr>
                        <w:r w:rsidRPr="00615E9E">
                          <w:rPr>
                            <w:sz w:val="20"/>
                            <w:szCs w:val="20"/>
                          </w:rPr>
                          <w:t>OEEZ</w:t>
                        </w:r>
                      </w:p>
                    </w:txbxContent>
                  </v:textbox>
                </v:shape>
              </v:group>
            </w:pict>
          </mc:Fallback>
        </mc:AlternateContent>
      </w:r>
      <w:r w:rsidRPr="00ED38E9" w:rsidR="00B73FDF">
        <w:rPr>
          <w:rFonts w:eastAsia="Calibri" w:cs="Arial"/>
          <w:szCs w:val="22"/>
          <w:lang w:eastAsia="cs-CZ" w:bidi="ar-SA"/>
        </w:rPr>
        <w:drawing>
          <wp:inline distT="0" distB="0" distL="0" distR="0">
            <wp:extent cx="4983480" cy="4895796"/>
            <wp:effectExtent l="19050" t="19050" r="26670" b="19685"/>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0390"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7275" r="6216"/>
                    <a:stretch>
                      <a:fillRect/>
                    </a:stretch>
                  </pic:blipFill>
                  <pic:spPr bwMode="auto">
                    <a:xfrm>
                      <a:off x="0" y="0"/>
                      <a:ext cx="4983480" cy="4895796"/>
                    </a:xfrm>
                    <a:prstGeom prst="rect">
                      <a:avLst/>
                    </a:prstGeom>
                    <a:noFill/>
                    <a:ln>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B73FDF" w:rsidRPr="00ED38E9" w:rsidP="00B73FDF" w14:paraId="5B7BC2AF" w14:textId="77777777">
      <w:pPr>
        <w:widowControl w:val="0"/>
        <w:jc w:val="right"/>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B73FDF" w:rsidRPr="00ED38E9" w:rsidP="00B73FDF" w14:paraId="35E895F5" w14:textId="7357909E">
      <w:pPr>
        <w:spacing w:after="120" w:line="240" w:lineRule="auto"/>
        <w:rPr>
          <w:rFonts w:cs="Arial"/>
          <w:noProof w:val="0"/>
          <w:color w:val="000000"/>
          <w:sz w:val="20"/>
          <w:szCs w:val="20"/>
          <w:lang w:eastAsia="cs-CZ" w:bidi="ar-SA"/>
        </w:rPr>
      </w:pPr>
    </w:p>
    <w:p w:rsidR="000645EF" w:rsidP="00936929" w14:paraId="3135E303" w14:textId="77777777">
      <w:pPr>
        <w:widowControl w:val="0"/>
        <w:rPr>
          <w:rFonts w:cs="Arial"/>
          <w:b/>
          <w:i/>
          <w:iCs/>
          <w:noProof w:val="0"/>
          <w:color w:val="000000"/>
          <w:lang w:eastAsia="cs-CZ" w:bidi="ar-SA"/>
        </w:rPr>
      </w:pPr>
      <w:r w:rsidRPr="000645EF">
        <w:rPr>
          <w:rFonts w:cs="Arial"/>
          <w:b/>
          <w:i/>
          <w:iCs/>
          <w:noProof w:val="0"/>
          <w:color w:val="000000"/>
          <w:lang w:eastAsia="cs-CZ" w:bidi="ar-SA"/>
        </w:rPr>
        <w:t>Porovnání efektivity vybraných kolektivních systémů</w:t>
      </w:r>
    </w:p>
    <w:p w:rsidR="000645EF" w:rsidRPr="00412A89" w:rsidP="00936929" w14:paraId="7B52ADAC" w14:textId="77777777">
      <w:r>
        <w:t xml:space="preserve">Za účelem benchmarkingu </w:t>
      </w:r>
      <w:r w:rsidR="00D9689D">
        <w:t>KS</w:t>
      </w:r>
      <w:r>
        <w:t xml:space="preserve"> sběru </w:t>
      </w:r>
      <w:r w:rsidR="00D9689D">
        <w:t>EEZ</w:t>
      </w:r>
      <w:r>
        <w:t xml:space="preserve"> je na místě provést </w:t>
      </w:r>
      <w:r w:rsidRPr="00412A89">
        <w:t xml:space="preserve">porovnání efektivity s jakou tyto </w:t>
      </w:r>
      <w:r w:rsidRPr="00412A89" w:rsidR="00D9689D">
        <w:t>KS</w:t>
      </w:r>
      <w:r w:rsidRPr="00412A89">
        <w:t xml:space="preserve"> plní svou funkci zajištění povinností výrobců a dovozců. Tuto efektivitu lze vztáhnout jak k provozu organizace sběru a zpracování, tak k dostatečnosti a</w:t>
      </w:r>
      <w:r w:rsidRPr="00412A89" w:rsidR="00D9689D">
        <w:t> </w:t>
      </w:r>
      <w:r w:rsidRPr="00412A89">
        <w:t>výkonnosti sběrné sítě.</w:t>
      </w:r>
    </w:p>
    <w:p w:rsidR="000645EF" w:rsidRPr="003530E6" w:rsidP="00936929" w14:paraId="2DDD998B" w14:textId="77777777">
      <w:r w:rsidRPr="003530E6">
        <w:t xml:space="preserve">Toto porovnání však lze provést pouze pro 4 z výše uvedených </w:t>
      </w:r>
      <w:r w:rsidR="00D9689D">
        <w:t>KS</w:t>
      </w:r>
      <w:r w:rsidRPr="003530E6">
        <w:t>. Do tohoto srovnání nelze zahrnout KS EKOLAMP (</w:t>
      </w:r>
      <w:r w:rsidRPr="003530E6">
        <w:rPr>
          <w:i/>
        </w:rPr>
        <w:t>u některých ukazatelů uveden ilustrativně</w:t>
      </w:r>
      <w:r w:rsidRPr="003530E6">
        <w:t>), který zajišťuje sběr a</w:t>
      </w:r>
      <w:r w:rsidR="00D9689D">
        <w:t> </w:t>
      </w:r>
      <w:r w:rsidRPr="003530E6">
        <w:t xml:space="preserve">zpracování specifických komodit – svítidel a KS OFO, který nezveřejňuje informace v plné míře. </w:t>
      </w:r>
    </w:p>
    <w:p w:rsidR="000645EF" w:rsidRPr="0058340D" w:rsidP="00193C68" w14:paraId="29583F4A" w14:textId="0F3F953B">
      <w:pPr>
        <w:pStyle w:val="Caption"/>
        <w:rPr>
          <w:sz w:val="20"/>
          <w:szCs w:val="20"/>
        </w:rPr>
      </w:pPr>
      <w:r w:rsidRPr="0058340D">
        <w:rPr>
          <w:sz w:val="20"/>
          <w:szCs w:val="20"/>
        </w:rPr>
        <w:t xml:space="preserve">Tabulka </w:t>
      </w:r>
      <w:r w:rsidR="00925F10">
        <w:rPr>
          <w:sz w:val="20"/>
          <w:szCs w:val="20"/>
        </w:rPr>
        <w:t>35</w:t>
      </w:r>
      <w:r w:rsidRPr="0058340D">
        <w:rPr>
          <w:sz w:val="20"/>
          <w:szCs w:val="20"/>
        </w:rPr>
        <w:t>: Vývoj jednotkových nákladů na sběr a zpracování EEZ (výkonová spotřeba v Kč na</w:t>
      </w:r>
      <w:r w:rsidR="000B681B">
        <w:rPr>
          <w:sz w:val="20"/>
          <w:szCs w:val="20"/>
        </w:rPr>
        <w:t> </w:t>
      </w:r>
      <w:r w:rsidRPr="0058340D">
        <w:rPr>
          <w:sz w:val="20"/>
          <w:szCs w:val="20"/>
        </w:rPr>
        <w:t xml:space="preserve">1 kg sebraných EEZ) 2006-2013 </w:t>
      </w:r>
    </w:p>
    <w:tbl>
      <w:tblPr>
        <w:tblStyle w:val="LightGridAccent5"/>
        <w:tblW w:w="9142" w:type="dxa"/>
        <w:tblLayout w:type="fixed"/>
        <w:tblLook w:val="04A0"/>
      </w:tblPr>
      <w:tblGrid>
        <w:gridCol w:w="2570"/>
        <w:gridCol w:w="821"/>
        <w:gridCol w:w="822"/>
        <w:gridCol w:w="821"/>
        <w:gridCol w:w="822"/>
        <w:gridCol w:w="821"/>
        <w:gridCol w:w="822"/>
        <w:gridCol w:w="821"/>
        <w:gridCol w:w="822"/>
      </w:tblGrid>
      <w:tr w14:paraId="00A97194" w14:textId="77777777" w:rsidTr="00937FFC">
        <w:tblPrEx>
          <w:tblW w:w="9142" w:type="dxa"/>
          <w:tblLayout w:type="fixed"/>
          <w:tblLook w:val="04A0"/>
        </w:tblPrEx>
        <w:trPr>
          <w:trHeight w:val="239"/>
        </w:trPr>
        <w:tc>
          <w:tcPr>
            <w:tcW w:w="2570" w:type="dxa"/>
          </w:tcPr>
          <w:p w:rsidR="000645EF" w:rsidRPr="0058340D" w:rsidP="00193C68" w14:paraId="3980D2E6" w14:textId="77777777">
            <w:pPr>
              <w:keepNext/>
              <w:rPr>
                <w:rFonts w:cs="Times New Roman"/>
                <w:sz w:val="20"/>
                <w:szCs w:val="20"/>
              </w:rPr>
            </w:pPr>
            <w:r w:rsidRPr="0058340D">
              <w:rPr>
                <w:rFonts w:cs="Times New Roman"/>
                <w:sz w:val="20"/>
                <w:szCs w:val="20"/>
              </w:rPr>
              <w:t xml:space="preserve">Kolektivní systém </w:t>
            </w:r>
          </w:p>
        </w:tc>
        <w:tc>
          <w:tcPr>
            <w:tcW w:w="821" w:type="dxa"/>
          </w:tcPr>
          <w:p w:rsidR="000645EF" w:rsidRPr="0058340D" w:rsidP="00193C68" w14:paraId="1E27934E" w14:textId="77777777">
            <w:pPr>
              <w:keepNext/>
              <w:rPr>
                <w:rFonts w:cs="Times New Roman"/>
                <w:sz w:val="20"/>
                <w:szCs w:val="20"/>
              </w:rPr>
            </w:pPr>
            <w:r w:rsidRPr="0058340D">
              <w:rPr>
                <w:rFonts w:cs="Times New Roman"/>
                <w:sz w:val="20"/>
                <w:szCs w:val="20"/>
              </w:rPr>
              <w:t>2006</w:t>
            </w:r>
          </w:p>
        </w:tc>
        <w:tc>
          <w:tcPr>
            <w:tcW w:w="822" w:type="dxa"/>
          </w:tcPr>
          <w:p w:rsidR="000645EF" w:rsidRPr="0058340D" w:rsidP="00193C68" w14:paraId="6F4AD154" w14:textId="77777777">
            <w:pPr>
              <w:keepNext/>
              <w:jc w:val="center"/>
              <w:rPr>
                <w:rFonts w:cs="Times New Roman"/>
                <w:sz w:val="20"/>
                <w:szCs w:val="20"/>
              </w:rPr>
            </w:pPr>
            <w:r w:rsidRPr="0058340D">
              <w:rPr>
                <w:rFonts w:cs="Times New Roman"/>
                <w:sz w:val="20"/>
                <w:szCs w:val="20"/>
              </w:rPr>
              <w:t>2007</w:t>
            </w:r>
          </w:p>
        </w:tc>
        <w:tc>
          <w:tcPr>
            <w:tcW w:w="821" w:type="dxa"/>
          </w:tcPr>
          <w:p w:rsidR="000645EF" w:rsidRPr="0058340D" w:rsidP="00193C68" w14:paraId="244D73FC" w14:textId="77777777">
            <w:pPr>
              <w:keepNext/>
              <w:jc w:val="center"/>
              <w:rPr>
                <w:rFonts w:cs="Times New Roman"/>
                <w:sz w:val="20"/>
                <w:szCs w:val="20"/>
              </w:rPr>
            </w:pPr>
            <w:r w:rsidRPr="0058340D">
              <w:rPr>
                <w:rFonts w:cs="Times New Roman"/>
                <w:sz w:val="20"/>
                <w:szCs w:val="20"/>
              </w:rPr>
              <w:t>2008</w:t>
            </w:r>
          </w:p>
        </w:tc>
        <w:tc>
          <w:tcPr>
            <w:tcW w:w="822" w:type="dxa"/>
          </w:tcPr>
          <w:p w:rsidR="000645EF" w:rsidRPr="0058340D" w:rsidP="00193C68" w14:paraId="4A6756C0" w14:textId="77777777">
            <w:pPr>
              <w:keepNext/>
              <w:jc w:val="center"/>
              <w:rPr>
                <w:rFonts w:cs="Times New Roman"/>
                <w:sz w:val="20"/>
                <w:szCs w:val="20"/>
              </w:rPr>
            </w:pPr>
            <w:r w:rsidRPr="0058340D">
              <w:rPr>
                <w:rFonts w:cs="Times New Roman"/>
                <w:sz w:val="20"/>
                <w:szCs w:val="20"/>
              </w:rPr>
              <w:t>2009</w:t>
            </w:r>
          </w:p>
        </w:tc>
        <w:tc>
          <w:tcPr>
            <w:tcW w:w="821" w:type="dxa"/>
          </w:tcPr>
          <w:p w:rsidR="000645EF" w:rsidRPr="0058340D" w:rsidP="00193C68" w14:paraId="7977D32C" w14:textId="77777777">
            <w:pPr>
              <w:keepNext/>
              <w:jc w:val="center"/>
              <w:rPr>
                <w:rFonts w:cs="Times New Roman"/>
                <w:sz w:val="20"/>
                <w:szCs w:val="20"/>
              </w:rPr>
            </w:pPr>
            <w:r w:rsidRPr="0058340D">
              <w:rPr>
                <w:rFonts w:cs="Times New Roman"/>
                <w:sz w:val="20"/>
                <w:szCs w:val="20"/>
              </w:rPr>
              <w:t>2010</w:t>
            </w:r>
          </w:p>
        </w:tc>
        <w:tc>
          <w:tcPr>
            <w:tcW w:w="822" w:type="dxa"/>
          </w:tcPr>
          <w:p w:rsidR="000645EF" w:rsidRPr="0058340D" w:rsidP="00193C68" w14:paraId="04ED2D82" w14:textId="77777777">
            <w:pPr>
              <w:keepNext/>
              <w:jc w:val="center"/>
              <w:rPr>
                <w:rFonts w:cs="Times New Roman"/>
                <w:sz w:val="20"/>
                <w:szCs w:val="20"/>
              </w:rPr>
            </w:pPr>
            <w:r w:rsidRPr="0058340D">
              <w:rPr>
                <w:rFonts w:cs="Times New Roman"/>
                <w:sz w:val="20"/>
                <w:szCs w:val="20"/>
              </w:rPr>
              <w:t>2011</w:t>
            </w:r>
          </w:p>
        </w:tc>
        <w:tc>
          <w:tcPr>
            <w:tcW w:w="821" w:type="dxa"/>
          </w:tcPr>
          <w:p w:rsidR="000645EF" w:rsidRPr="0058340D" w:rsidP="00193C68" w14:paraId="19F784B5" w14:textId="77777777">
            <w:pPr>
              <w:keepNext/>
              <w:jc w:val="center"/>
              <w:rPr>
                <w:rFonts w:cs="Times New Roman"/>
                <w:sz w:val="20"/>
                <w:szCs w:val="20"/>
              </w:rPr>
            </w:pPr>
            <w:r w:rsidRPr="0058340D">
              <w:rPr>
                <w:rFonts w:cs="Times New Roman"/>
                <w:sz w:val="20"/>
                <w:szCs w:val="20"/>
              </w:rPr>
              <w:t>2012</w:t>
            </w:r>
          </w:p>
        </w:tc>
        <w:tc>
          <w:tcPr>
            <w:tcW w:w="822" w:type="dxa"/>
          </w:tcPr>
          <w:p w:rsidR="000645EF" w:rsidRPr="0058340D" w:rsidP="00193C68" w14:paraId="47AADB3C" w14:textId="77777777">
            <w:pPr>
              <w:keepNext/>
              <w:jc w:val="center"/>
              <w:rPr>
                <w:rFonts w:cs="Times New Roman"/>
                <w:sz w:val="20"/>
                <w:szCs w:val="20"/>
              </w:rPr>
            </w:pPr>
            <w:r w:rsidRPr="0058340D">
              <w:rPr>
                <w:rFonts w:cs="Times New Roman"/>
                <w:sz w:val="20"/>
                <w:szCs w:val="20"/>
              </w:rPr>
              <w:t>2013</w:t>
            </w:r>
          </w:p>
        </w:tc>
      </w:tr>
      <w:tr w14:paraId="321992BF" w14:textId="77777777" w:rsidTr="00937FFC">
        <w:tblPrEx>
          <w:tblW w:w="9142" w:type="dxa"/>
          <w:tblLayout w:type="fixed"/>
          <w:tblLook w:val="04A0"/>
        </w:tblPrEx>
        <w:trPr>
          <w:trHeight w:val="478"/>
        </w:trPr>
        <w:tc>
          <w:tcPr>
            <w:tcW w:w="2570" w:type="dxa"/>
          </w:tcPr>
          <w:p w:rsidR="000645EF" w:rsidRPr="0058340D" w:rsidP="000645EF" w14:paraId="7F76FA00" w14:textId="77777777">
            <w:pPr>
              <w:rPr>
                <w:rFonts w:cs="Times New Roman"/>
                <w:sz w:val="20"/>
                <w:szCs w:val="20"/>
              </w:rPr>
            </w:pPr>
            <w:r w:rsidRPr="0058340D">
              <w:rPr>
                <w:rFonts w:cs="Times New Roman"/>
                <w:sz w:val="20"/>
                <w:szCs w:val="20"/>
              </w:rPr>
              <w:t>KS ASEKOL a.s.</w:t>
            </w:r>
          </w:p>
        </w:tc>
        <w:tc>
          <w:tcPr>
            <w:tcW w:w="821" w:type="dxa"/>
          </w:tcPr>
          <w:p w:rsidR="000645EF" w:rsidRPr="0058340D" w:rsidP="000645EF" w14:paraId="1261DDE5" w14:textId="77777777">
            <w:pPr>
              <w:jc w:val="center"/>
              <w:rPr>
                <w:rFonts w:cs="Times New Roman"/>
                <w:sz w:val="20"/>
                <w:szCs w:val="20"/>
              </w:rPr>
            </w:pPr>
            <w:r w:rsidRPr="0058340D">
              <w:rPr>
                <w:rFonts w:cs="Times New Roman"/>
                <w:sz w:val="20"/>
                <w:szCs w:val="20"/>
              </w:rPr>
              <w:t>10,45</w:t>
            </w:r>
          </w:p>
        </w:tc>
        <w:tc>
          <w:tcPr>
            <w:tcW w:w="822" w:type="dxa"/>
          </w:tcPr>
          <w:p w:rsidR="000645EF" w:rsidRPr="0058340D" w:rsidP="000645EF" w14:paraId="4F8A5E00" w14:textId="77777777">
            <w:pPr>
              <w:jc w:val="center"/>
              <w:rPr>
                <w:rFonts w:cs="Times New Roman"/>
                <w:sz w:val="20"/>
                <w:szCs w:val="20"/>
              </w:rPr>
            </w:pPr>
            <w:r w:rsidRPr="0058340D">
              <w:rPr>
                <w:rFonts w:cs="Times New Roman"/>
                <w:sz w:val="20"/>
                <w:szCs w:val="20"/>
              </w:rPr>
              <w:t>10,88</w:t>
            </w:r>
          </w:p>
        </w:tc>
        <w:tc>
          <w:tcPr>
            <w:tcW w:w="821" w:type="dxa"/>
          </w:tcPr>
          <w:p w:rsidR="000645EF" w:rsidRPr="0058340D" w:rsidP="000645EF" w14:paraId="0A450E9A" w14:textId="77777777">
            <w:pPr>
              <w:jc w:val="center"/>
              <w:rPr>
                <w:rFonts w:cs="Times New Roman"/>
                <w:sz w:val="20"/>
                <w:szCs w:val="20"/>
              </w:rPr>
            </w:pPr>
            <w:r w:rsidRPr="0058340D">
              <w:rPr>
                <w:rFonts w:cs="Times New Roman"/>
                <w:sz w:val="20"/>
                <w:szCs w:val="20"/>
              </w:rPr>
              <w:t>11,80</w:t>
            </w:r>
          </w:p>
        </w:tc>
        <w:tc>
          <w:tcPr>
            <w:tcW w:w="822" w:type="dxa"/>
          </w:tcPr>
          <w:p w:rsidR="000645EF" w:rsidRPr="0058340D" w:rsidP="000645EF" w14:paraId="164DF34E" w14:textId="77777777">
            <w:pPr>
              <w:jc w:val="center"/>
              <w:rPr>
                <w:rFonts w:cs="Times New Roman"/>
                <w:sz w:val="20"/>
                <w:szCs w:val="20"/>
              </w:rPr>
            </w:pPr>
            <w:r w:rsidRPr="0058340D">
              <w:rPr>
                <w:rFonts w:cs="Times New Roman"/>
                <w:sz w:val="20"/>
                <w:szCs w:val="20"/>
              </w:rPr>
              <w:t>8,91</w:t>
            </w:r>
          </w:p>
        </w:tc>
        <w:tc>
          <w:tcPr>
            <w:tcW w:w="821" w:type="dxa"/>
          </w:tcPr>
          <w:p w:rsidR="000645EF" w:rsidRPr="0058340D" w:rsidP="000645EF" w14:paraId="477BA425" w14:textId="77777777">
            <w:pPr>
              <w:jc w:val="center"/>
              <w:rPr>
                <w:rFonts w:cs="Times New Roman"/>
                <w:sz w:val="20"/>
                <w:szCs w:val="20"/>
              </w:rPr>
            </w:pPr>
            <w:r w:rsidRPr="0058340D">
              <w:rPr>
                <w:rFonts w:cs="Times New Roman"/>
                <w:sz w:val="20"/>
                <w:szCs w:val="20"/>
              </w:rPr>
              <w:t>8,75</w:t>
            </w:r>
          </w:p>
        </w:tc>
        <w:tc>
          <w:tcPr>
            <w:tcW w:w="822" w:type="dxa"/>
          </w:tcPr>
          <w:p w:rsidR="000645EF" w:rsidRPr="0058340D" w:rsidP="000645EF" w14:paraId="6D54EABE" w14:textId="77777777">
            <w:pPr>
              <w:jc w:val="center"/>
              <w:rPr>
                <w:rFonts w:cs="Times New Roman"/>
                <w:b/>
                <w:sz w:val="20"/>
                <w:szCs w:val="20"/>
              </w:rPr>
            </w:pPr>
            <w:r w:rsidRPr="0058340D">
              <w:rPr>
                <w:rFonts w:cs="Times New Roman"/>
                <w:b/>
                <w:sz w:val="20"/>
                <w:szCs w:val="20"/>
              </w:rPr>
              <w:t>9,37</w:t>
            </w:r>
          </w:p>
        </w:tc>
        <w:tc>
          <w:tcPr>
            <w:tcW w:w="821" w:type="dxa"/>
          </w:tcPr>
          <w:p w:rsidR="000645EF" w:rsidRPr="0058340D" w:rsidP="000645EF" w14:paraId="6DBE69EA" w14:textId="77777777">
            <w:pPr>
              <w:jc w:val="center"/>
              <w:rPr>
                <w:rFonts w:cs="Times New Roman"/>
                <w:b/>
                <w:sz w:val="20"/>
                <w:szCs w:val="20"/>
              </w:rPr>
            </w:pPr>
            <w:r w:rsidRPr="0058340D">
              <w:rPr>
                <w:rFonts w:cs="Times New Roman"/>
                <w:b/>
                <w:sz w:val="20"/>
                <w:szCs w:val="20"/>
              </w:rPr>
              <w:t>8,01</w:t>
            </w:r>
          </w:p>
        </w:tc>
        <w:tc>
          <w:tcPr>
            <w:tcW w:w="822" w:type="dxa"/>
          </w:tcPr>
          <w:p w:rsidR="000645EF" w:rsidRPr="0058340D" w:rsidP="000645EF" w14:paraId="3CF22F9E" w14:textId="77777777">
            <w:pPr>
              <w:jc w:val="center"/>
              <w:rPr>
                <w:rFonts w:cs="Times New Roman"/>
                <w:b/>
                <w:sz w:val="20"/>
                <w:szCs w:val="20"/>
              </w:rPr>
            </w:pPr>
            <w:r w:rsidRPr="0058340D">
              <w:rPr>
                <w:rFonts w:cs="Times New Roman"/>
                <w:b/>
                <w:sz w:val="20"/>
                <w:szCs w:val="20"/>
              </w:rPr>
              <w:t>9,73</w:t>
            </w:r>
          </w:p>
        </w:tc>
      </w:tr>
      <w:tr w14:paraId="15B7901E" w14:textId="77777777" w:rsidTr="00937FFC">
        <w:tblPrEx>
          <w:tblW w:w="9142" w:type="dxa"/>
          <w:tblLayout w:type="fixed"/>
          <w:tblLook w:val="04A0"/>
        </w:tblPrEx>
        <w:trPr>
          <w:trHeight w:val="467"/>
        </w:trPr>
        <w:tc>
          <w:tcPr>
            <w:tcW w:w="2570" w:type="dxa"/>
          </w:tcPr>
          <w:p w:rsidR="000645EF" w:rsidRPr="0058340D" w:rsidP="000645EF" w14:paraId="1A1F74C4" w14:textId="77777777">
            <w:pPr>
              <w:rPr>
                <w:rFonts w:cs="Times New Roman"/>
                <w:sz w:val="20"/>
                <w:szCs w:val="20"/>
              </w:rPr>
            </w:pPr>
            <w:r w:rsidRPr="0058340D">
              <w:rPr>
                <w:rFonts w:cs="Times New Roman"/>
                <w:sz w:val="20"/>
                <w:szCs w:val="20"/>
              </w:rPr>
              <w:t>KS ELEKTROWIN a.s.</w:t>
            </w:r>
          </w:p>
        </w:tc>
        <w:tc>
          <w:tcPr>
            <w:tcW w:w="821" w:type="dxa"/>
          </w:tcPr>
          <w:p w:rsidR="000645EF" w:rsidRPr="0058340D" w:rsidP="000645EF" w14:paraId="43CF52B4" w14:textId="77777777">
            <w:pPr>
              <w:jc w:val="center"/>
              <w:rPr>
                <w:rFonts w:cs="Times New Roman"/>
                <w:sz w:val="20"/>
                <w:szCs w:val="20"/>
              </w:rPr>
            </w:pPr>
            <w:r w:rsidRPr="0058340D">
              <w:rPr>
                <w:rFonts w:cs="Times New Roman"/>
                <w:sz w:val="20"/>
                <w:szCs w:val="20"/>
              </w:rPr>
              <w:t>8,13</w:t>
            </w:r>
          </w:p>
        </w:tc>
        <w:tc>
          <w:tcPr>
            <w:tcW w:w="822" w:type="dxa"/>
          </w:tcPr>
          <w:p w:rsidR="000645EF" w:rsidRPr="0058340D" w:rsidP="000645EF" w14:paraId="03A49285" w14:textId="77777777">
            <w:pPr>
              <w:jc w:val="center"/>
              <w:rPr>
                <w:rFonts w:cs="Times New Roman"/>
                <w:sz w:val="20"/>
                <w:szCs w:val="20"/>
              </w:rPr>
            </w:pPr>
            <w:r w:rsidRPr="0058340D">
              <w:rPr>
                <w:rFonts w:cs="Times New Roman"/>
                <w:sz w:val="20"/>
                <w:szCs w:val="20"/>
              </w:rPr>
              <w:t>7,35</w:t>
            </w:r>
          </w:p>
        </w:tc>
        <w:tc>
          <w:tcPr>
            <w:tcW w:w="821" w:type="dxa"/>
          </w:tcPr>
          <w:p w:rsidR="000645EF" w:rsidRPr="0058340D" w:rsidP="000645EF" w14:paraId="5B95A499" w14:textId="77777777">
            <w:pPr>
              <w:jc w:val="center"/>
              <w:rPr>
                <w:rFonts w:cs="Times New Roman"/>
                <w:sz w:val="20"/>
                <w:szCs w:val="20"/>
              </w:rPr>
            </w:pPr>
            <w:r w:rsidRPr="0058340D">
              <w:rPr>
                <w:rFonts w:cs="Times New Roman"/>
                <w:sz w:val="20"/>
                <w:szCs w:val="20"/>
              </w:rPr>
              <w:t>7,59</w:t>
            </w:r>
          </w:p>
        </w:tc>
        <w:tc>
          <w:tcPr>
            <w:tcW w:w="822" w:type="dxa"/>
          </w:tcPr>
          <w:p w:rsidR="000645EF" w:rsidRPr="0058340D" w:rsidP="000645EF" w14:paraId="16D868D6" w14:textId="77777777">
            <w:pPr>
              <w:jc w:val="center"/>
              <w:rPr>
                <w:rFonts w:cs="Times New Roman"/>
                <w:sz w:val="20"/>
                <w:szCs w:val="20"/>
              </w:rPr>
            </w:pPr>
            <w:r w:rsidRPr="0058340D">
              <w:rPr>
                <w:rFonts w:cs="Times New Roman"/>
                <w:sz w:val="20"/>
                <w:szCs w:val="20"/>
              </w:rPr>
              <w:t>7,22</w:t>
            </w:r>
          </w:p>
        </w:tc>
        <w:tc>
          <w:tcPr>
            <w:tcW w:w="821" w:type="dxa"/>
          </w:tcPr>
          <w:p w:rsidR="000645EF" w:rsidRPr="0058340D" w:rsidP="000645EF" w14:paraId="073A98C3" w14:textId="77777777">
            <w:pPr>
              <w:jc w:val="center"/>
              <w:rPr>
                <w:rFonts w:cs="Times New Roman"/>
                <w:sz w:val="20"/>
                <w:szCs w:val="20"/>
              </w:rPr>
            </w:pPr>
            <w:r w:rsidRPr="0058340D">
              <w:rPr>
                <w:rFonts w:cs="Times New Roman"/>
                <w:sz w:val="20"/>
                <w:szCs w:val="20"/>
              </w:rPr>
              <w:t>6,55</w:t>
            </w:r>
          </w:p>
        </w:tc>
        <w:tc>
          <w:tcPr>
            <w:tcW w:w="822" w:type="dxa"/>
          </w:tcPr>
          <w:p w:rsidR="000645EF" w:rsidRPr="0058340D" w:rsidP="000645EF" w14:paraId="6E031B19" w14:textId="77777777">
            <w:pPr>
              <w:jc w:val="center"/>
              <w:rPr>
                <w:rFonts w:cs="Times New Roman"/>
                <w:b/>
                <w:sz w:val="20"/>
                <w:szCs w:val="20"/>
              </w:rPr>
            </w:pPr>
            <w:r w:rsidRPr="0058340D">
              <w:rPr>
                <w:rFonts w:cs="Times New Roman"/>
                <w:b/>
                <w:sz w:val="20"/>
                <w:szCs w:val="20"/>
              </w:rPr>
              <w:t>5,91</w:t>
            </w:r>
          </w:p>
        </w:tc>
        <w:tc>
          <w:tcPr>
            <w:tcW w:w="821" w:type="dxa"/>
          </w:tcPr>
          <w:p w:rsidR="000645EF" w:rsidRPr="0058340D" w:rsidP="000645EF" w14:paraId="08337902" w14:textId="77777777">
            <w:pPr>
              <w:jc w:val="center"/>
              <w:rPr>
                <w:rFonts w:cs="Times New Roman"/>
                <w:b/>
                <w:sz w:val="20"/>
                <w:szCs w:val="20"/>
              </w:rPr>
            </w:pPr>
            <w:r w:rsidRPr="0058340D">
              <w:rPr>
                <w:rFonts w:cs="Times New Roman"/>
                <w:b/>
                <w:sz w:val="20"/>
                <w:szCs w:val="20"/>
              </w:rPr>
              <w:t>5,95</w:t>
            </w:r>
          </w:p>
        </w:tc>
        <w:tc>
          <w:tcPr>
            <w:tcW w:w="822" w:type="dxa"/>
          </w:tcPr>
          <w:p w:rsidR="000645EF" w:rsidRPr="0058340D" w:rsidP="000645EF" w14:paraId="39B5FCFF" w14:textId="77777777">
            <w:pPr>
              <w:jc w:val="center"/>
              <w:rPr>
                <w:rFonts w:cs="Times New Roman"/>
                <w:b/>
                <w:sz w:val="20"/>
                <w:szCs w:val="20"/>
              </w:rPr>
            </w:pPr>
            <w:r w:rsidRPr="0058340D">
              <w:rPr>
                <w:rFonts w:cs="Times New Roman"/>
                <w:b/>
                <w:sz w:val="20"/>
                <w:szCs w:val="20"/>
              </w:rPr>
              <w:t>6,48</w:t>
            </w:r>
          </w:p>
        </w:tc>
      </w:tr>
      <w:tr w14:paraId="6732F938" w14:textId="77777777" w:rsidTr="00937FFC">
        <w:tblPrEx>
          <w:tblW w:w="9142" w:type="dxa"/>
          <w:tblLayout w:type="fixed"/>
          <w:tblLook w:val="04A0"/>
        </w:tblPrEx>
        <w:trPr>
          <w:trHeight w:val="467"/>
        </w:trPr>
        <w:tc>
          <w:tcPr>
            <w:tcW w:w="2570" w:type="dxa"/>
          </w:tcPr>
          <w:p w:rsidR="000645EF" w:rsidRPr="0058340D" w:rsidP="000645EF" w14:paraId="3E207B55" w14:textId="77777777">
            <w:pPr>
              <w:rPr>
                <w:rFonts w:cs="Times New Roman"/>
                <w:sz w:val="20"/>
                <w:szCs w:val="20"/>
              </w:rPr>
            </w:pPr>
            <w:r w:rsidRPr="0058340D">
              <w:rPr>
                <w:rFonts w:cs="Times New Roman"/>
                <w:sz w:val="20"/>
                <w:szCs w:val="20"/>
              </w:rPr>
              <w:t>KS REMA Systém, a.s.</w:t>
            </w:r>
          </w:p>
        </w:tc>
        <w:tc>
          <w:tcPr>
            <w:tcW w:w="821" w:type="dxa"/>
          </w:tcPr>
          <w:p w:rsidR="000645EF" w:rsidRPr="0058340D" w:rsidP="000645EF" w14:paraId="7F283AB3" w14:textId="77777777">
            <w:pPr>
              <w:jc w:val="center"/>
              <w:rPr>
                <w:rFonts w:cs="Times New Roman"/>
                <w:sz w:val="20"/>
                <w:szCs w:val="20"/>
              </w:rPr>
            </w:pPr>
            <w:r w:rsidRPr="0058340D">
              <w:rPr>
                <w:rFonts w:cs="Times New Roman"/>
                <w:sz w:val="20"/>
                <w:szCs w:val="20"/>
              </w:rPr>
              <w:t>-</w:t>
            </w:r>
          </w:p>
        </w:tc>
        <w:tc>
          <w:tcPr>
            <w:tcW w:w="822" w:type="dxa"/>
          </w:tcPr>
          <w:p w:rsidR="000645EF" w:rsidRPr="0058340D" w:rsidP="000645EF" w14:paraId="4560E887" w14:textId="77777777">
            <w:pPr>
              <w:jc w:val="center"/>
              <w:rPr>
                <w:rFonts w:cs="Times New Roman"/>
                <w:sz w:val="20"/>
                <w:szCs w:val="20"/>
              </w:rPr>
            </w:pPr>
            <w:r w:rsidRPr="0058340D">
              <w:rPr>
                <w:rFonts w:cs="Times New Roman"/>
                <w:sz w:val="20"/>
                <w:szCs w:val="20"/>
              </w:rPr>
              <w:t>13,83</w:t>
            </w:r>
          </w:p>
        </w:tc>
        <w:tc>
          <w:tcPr>
            <w:tcW w:w="821" w:type="dxa"/>
          </w:tcPr>
          <w:p w:rsidR="000645EF" w:rsidRPr="0058340D" w:rsidP="000645EF" w14:paraId="31C5547E" w14:textId="77777777">
            <w:pPr>
              <w:jc w:val="center"/>
              <w:rPr>
                <w:rFonts w:cs="Times New Roman"/>
                <w:sz w:val="20"/>
                <w:szCs w:val="20"/>
              </w:rPr>
            </w:pPr>
            <w:r w:rsidRPr="0058340D">
              <w:rPr>
                <w:rFonts w:cs="Times New Roman"/>
                <w:sz w:val="20"/>
                <w:szCs w:val="20"/>
              </w:rPr>
              <w:t>14,98</w:t>
            </w:r>
          </w:p>
        </w:tc>
        <w:tc>
          <w:tcPr>
            <w:tcW w:w="822" w:type="dxa"/>
          </w:tcPr>
          <w:p w:rsidR="000645EF" w:rsidRPr="0058340D" w:rsidP="000645EF" w14:paraId="7A472A41" w14:textId="77777777">
            <w:pPr>
              <w:jc w:val="center"/>
              <w:rPr>
                <w:rFonts w:cs="Times New Roman"/>
                <w:sz w:val="20"/>
                <w:szCs w:val="20"/>
              </w:rPr>
            </w:pPr>
            <w:r w:rsidRPr="0058340D">
              <w:rPr>
                <w:rFonts w:cs="Times New Roman"/>
                <w:sz w:val="20"/>
                <w:szCs w:val="20"/>
              </w:rPr>
              <w:t>8,81</w:t>
            </w:r>
          </w:p>
        </w:tc>
        <w:tc>
          <w:tcPr>
            <w:tcW w:w="821" w:type="dxa"/>
          </w:tcPr>
          <w:p w:rsidR="000645EF" w:rsidRPr="0058340D" w:rsidP="000645EF" w14:paraId="172D0091" w14:textId="77777777">
            <w:pPr>
              <w:jc w:val="center"/>
              <w:rPr>
                <w:rFonts w:cs="Times New Roman"/>
                <w:sz w:val="20"/>
                <w:szCs w:val="20"/>
              </w:rPr>
            </w:pPr>
            <w:r w:rsidRPr="0058340D">
              <w:rPr>
                <w:rFonts w:cs="Times New Roman"/>
                <w:sz w:val="20"/>
                <w:szCs w:val="20"/>
              </w:rPr>
              <w:t>-</w:t>
            </w:r>
          </w:p>
        </w:tc>
        <w:tc>
          <w:tcPr>
            <w:tcW w:w="822" w:type="dxa"/>
          </w:tcPr>
          <w:p w:rsidR="000645EF" w:rsidRPr="0058340D" w:rsidP="000645EF" w14:paraId="347B8561" w14:textId="77777777">
            <w:pPr>
              <w:jc w:val="center"/>
              <w:rPr>
                <w:rFonts w:cs="Times New Roman"/>
                <w:b/>
                <w:sz w:val="20"/>
                <w:szCs w:val="20"/>
              </w:rPr>
            </w:pPr>
            <w:r w:rsidRPr="0058340D">
              <w:rPr>
                <w:rFonts w:cs="Times New Roman"/>
                <w:b/>
                <w:sz w:val="20"/>
                <w:szCs w:val="20"/>
              </w:rPr>
              <w:t>8,89</w:t>
            </w:r>
          </w:p>
        </w:tc>
        <w:tc>
          <w:tcPr>
            <w:tcW w:w="821" w:type="dxa"/>
          </w:tcPr>
          <w:p w:rsidR="000645EF" w:rsidRPr="0058340D" w:rsidP="000645EF" w14:paraId="01B8B7C1" w14:textId="77777777">
            <w:pPr>
              <w:jc w:val="center"/>
              <w:rPr>
                <w:rFonts w:cs="Times New Roman"/>
                <w:b/>
                <w:sz w:val="20"/>
                <w:szCs w:val="20"/>
              </w:rPr>
            </w:pPr>
            <w:r w:rsidRPr="0058340D">
              <w:rPr>
                <w:rFonts w:cs="Times New Roman"/>
                <w:b/>
                <w:sz w:val="20"/>
                <w:szCs w:val="20"/>
              </w:rPr>
              <w:t>9,81</w:t>
            </w:r>
          </w:p>
        </w:tc>
        <w:tc>
          <w:tcPr>
            <w:tcW w:w="822" w:type="dxa"/>
          </w:tcPr>
          <w:p w:rsidR="000645EF" w:rsidRPr="0058340D" w:rsidP="000645EF" w14:paraId="266E0E9A" w14:textId="77777777">
            <w:pPr>
              <w:jc w:val="center"/>
              <w:rPr>
                <w:rFonts w:cs="Times New Roman"/>
                <w:b/>
                <w:sz w:val="20"/>
                <w:szCs w:val="20"/>
              </w:rPr>
            </w:pPr>
            <w:r w:rsidRPr="0058340D">
              <w:rPr>
                <w:rFonts w:cs="Times New Roman"/>
                <w:b/>
                <w:sz w:val="20"/>
                <w:szCs w:val="20"/>
              </w:rPr>
              <w:t>13,54</w:t>
            </w:r>
          </w:p>
        </w:tc>
      </w:tr>
      <w:tr w14:paraId="74CDD35C" w14:textId="77777777" w:rsidTr="00937FFC">
        <w:tblPrEx>
          <w:tblW w:w="9142" w:type="dxa"/>
          <w:tblLayout w:type="fixed"/>
          <w:tblLook w:val="04A0"/>
        </w:tblPrEx>
        <w:trPr>
          <w:trHeight w:val="478"/>
        </w:trPr>
        <w:tc>
          <w:tcPr>
            <w:tcW w:w="2570" w:type="dxa"/>
          </w:tcPr>
          <w:p w:rsidR="000645EF" w:rsidRPr="0058340D" w:rsidP="000645EF" w14:paraId="298FD0EE" w14:textId="77777777">
            <w:pPr>
              <w:rPr>
                <w:rFonts w:cs="Times New Roman"/>
                <w:sz w:val="20"/>
                <w:szCs w:val="20"/>
              </w:rPr>
            </w:pPr>
            <w:r w:rsidRPr="0058340D">
              <w:rPr>
                <w:rFonts w:cs="Times New Roman"/>
                <w:sz w:val="20"/>
                <w:szCs w:val="20"/>
              </w:rPr>
              <w:t>KS RETELA, s.r.o.</w:t>
            </w:r>
          </w:p>
        </w:tc>
        <w:tc>
          <w:tcPr>
            <w:tcW w:w="821" w:type="dxa"/>
          </w:tcPr>
          <w:p w:rsidR="000645EF" w:rsidRPr="0058340D" w:rsidP="000645EF" w14:paraId="0D4F1068" w14:textId="77777777">
            <w:pPr>
              <w:jc w:val="center"/>
              <w:rPr>
                <w:rFonts w:cs="Times New Roman"/>
                <w:sz w:val="20"/>
                <w:szCs w:val="20"/>
              </w:rPr>
            </w:pPr>
            <w:r w:rsidRPr="0058340D">
              <w:rPr>
                <w:rFonts w:cs="Times New Roman"/>
                <w:sz w:val="20"/>
                <w:szCs w:val="20"/>
              </w:rPr>
              <w:t>-</w:t>
            </w:r>
          </w:p>
        </w:tc>
        <w:tc>
          <w:tcPr>
            <w:tcW w:w="822" w:type="dxa"/>
          </w:tcPr>
          <w:p w:rsidR="000645EF" w:rsidRPr="0058340D" w:rsidP="000645EF" w14:paraId="2D35265F" w14:textId="77777777">
            <w:pPr>
              <w:jc w:val="center"/>
              <w:rPr>
                <w:rFonts w:cs="Times New Roman"/>
                <w:sz w:val="20"/>
                <w:szCs w:val="20"/>
              </w:rPr>
            </w:pPr>
            <w:r w:rsidRPr="0058340D">
              <w:rPr>
                <w:rFonts w:cs="Times New Roman"/>
                <w:sz w:val="20"/>
                <w:szCs w:val="20"/>
              </w:rPr>
              <w:t>8,95</w:t>
            </w:r>
          </w:p>
        </w:tc>
        <w:tc>
          <w:tcPr>
            <w:tcW w:w="821" w:type="dxa"/>
          </w:tcPr>
          <w:p w:rsidR="000645EF" w:rsidRPr="0058340D" w:rsidP="000645EF" w14:paraId="6B0DD404" w14:textId="77777777">
            <w:pPr>
              <w:jc w:val="center"/>
              <w:rPr>
                <w:rFonts w:cs="Times New Roman"/>
                <w:sz w:val="20"/>
                <w:szCs w:val="20"/>
              </w:rPr>
            </w:pPr>
            <w:r w:rsidRPr="0058340D">
              <w:rPr>
                <w:rFonts w:cs="Times New Roman"/>
                <w:sz w:val="20"/>
                <w:szCs w:val="20"/>
              </w:rPr>
              <w:t>7,04</w:t>
            </w:r>
          </w:p>
        </w:tc>
        <w:tc>
          <w:tcPr>
            <w:tcW w:w="822" w:type="dxa"/>
          </w:tcPr>
          <w:p w:rsidR="000645EF" w:rsidRPr="0058340D" w:rsidP="000645EF" w14:paraId="0C8B7E90" w14:textId="77777777">
            <w:pPr>
              <w:jc w:val="center"/>
              <w:rPr>
                <w:rFonts w:cs="Times New Roman"/>
                <w:sz w:val="20"/>
                <w:szCs w:val="20"/>
              </w:rPr>
            </w:pPr>
            <w:r w:rsidRPr="0058340D">
              <w:rPr>
                <w:rFonts w:cs="Times New Roman"/>
                <w:sz w:val="20"/>
                <w:szCs w:val="20"/>
              </w:rPr>
              <w:t>5,28</w:t>
            </w:r>
          </w:p>
        </w:tc>
        <w:tc>
          <w:tcPr>
            <w:tcW w:w="821" w:type="dxa"/>
          </w:tcPr>
          <w:p w:rsidR="000645EF" w:rsidRPr="0058340D" w:rsidP="000645EF" w14:paraId="5E831D5F" w14:textId="77777777">
            <w:pPr>
              <w:jc w:val="center"/>
              <w:rPr>
                <w:rFonts w:cs="Times New Roman"/>
                <w:sz w:val="20"/>
                <w:szCs w:val="20"/>
              </w:rPr>
            </w:pPr>
            <w:r w:rsidRPr="0058340D">
              <w:rPr>
                <w:rFonts w:cs="Times New Roman"/>
                <w:sz w:val="20"/>
                <w:szCs w:val="20"/>
              </w:rPr>
              <w:t>4,84</w:t>
            </w:r>
          </w:p>
        </w:tc>
        <w:tc>
          <w:tcPr>
            <w:tcW w:w="822" w:type="dxa"/>
          </w:tcPr>
          <w:p w:rsidR="000645EF" w:rsidRPr="0058340D" w:rsidP="000645EF" w14:paraId="670AB527" w14:textId="77777777">
            <w:pPr>
              <w:jc w:val="center"/>
              <w:rPr>
                <w:rFonts w:cs="Times New Roman"/>
                <w:b/>
                <w:sz w:val="20"/>
                <w:szCs w:val="20"/>
              </w:rPr>
            </w:pPr>
            <w:r w:rsidRPr="0058340D">
              <w:rPr>
                <w:rFonts w:cs="Times New Roman"/>
                <w:b/>
                <w:sz w:val="20"/>
                <w:szCs w:val="20"/>
              </w:rPr>
              <w:t>4,49</w:t>
            </w:r>
          </w:p>
        </w:tc>
        <w:tc>
          <w:tcPr>
            <w:tcW w:w="821" w:type="dxa"/>
          </w:tcPr>
          <w:p w:rsidR="000645EF" w:rsidRPr="0058340D" w:rsidP="000645EF" w14:paraId="20D48BBC" w14:textId="77777777">
            <w:pPr>
              <w:jc w:val="center"/>
              <w:rPr>
                <w:rFonts w:cs="Times New Roman"/>
                <w:b/>
                <w:sz w:val="20"/>
                <w:szCs w:val="20"/>
              </w:rPr>
            </w:pPr>
            <w:r w:rsidRPr="0058340D">
              <w:rPr>
                <w:rFonts w:cs="Times New Roman"/>
                <w:b/>
                <w:sz w:val="20"/>
                <w:szCs w:val="20"/>
              </w:rPr>
              <w:t>4,14</w:t>
            </w:r>
          </w:p>
        </w:tc>
        <w:tc>
          <w:tcPr>
            <w:tcW w:w="822" w:type="dxa"/>
          </w:tcPr>
          <w:p w:rsidR="000645EF" w:rsidRPr="0058340D" w:rsidP="000645EF" w14:paraId="15017AB9" w14:textId="77777777">
            <w:pPr>
              <w:jc w:val="center"/>
              <w:rPr>
                <w:rFonts w:cs="Times New Roman"/>
                <w:b/>
                <w:sz w:val="20"/>
                <w:szCs w:val="20"/>
              </w:rPr>
            </w:pPr>
            <w:r w:rsidRPr="0058340D">
              <w:rPr>
                <w:rFonts w:cs="Times New Roman"/>
                <w:b/>
                <w:sz w:val="20"/>
                <w:szCs w:val="20"/>
              </w:rPr>
              <w:t>3,55</w:t>
            </w:r>
          </w:p>
        </w:tc>
      </w:tr>
    </w:tbl>
    <w:p w:rsidR="000645EF" w:rsidRPr="0058340D" w:rsidP="00221615" w14:paraId="17326D8E" w14:textId="77777777">
      <w:pPr>
        <w:jc w:val="right"/>
        <w:rPr>
          <w:sz w:val="20"/>
          <w:szCs w:val="20"/>
        </w:rPr>
      </w:pPr>
      <w:r w:rsidRPr="0058340D">
        <w:rPr>
          <w:sz w:val="20"/>
          <w:szCs w:val="20"/>
        </w:rPr>
        <w:t>Zdroj: Analýza KS EEZ v ČR, Green Solution 2015</w:t>
      </w:r>
    </w:p>
    <w:p w:rsidR="000645EF" w:rsidP="00936929" w14:paraId="04A1A141" w14:textId="77777777">
      <w:r w:rsidRPr="00F116E0">
        <w:t xml:space="preserve">Porovnání </w:t>
      </w:r>
      <w:r w:rsidR="00D9689D">
        <w:t>KS</w:t>
      </w:r>
      <w:r w:rsidRPr="00F116E0">
        <w:t xml:space="preserve"> ukazuje, že nejvyšší efektivity z hlediska výkonové spotřeby na 1 kg</w:t>
      </w:r>
      <w:r>
        <w:t xml:space="preserve"> sebraných EEZ vykázal v letech </w:t>
      </w:r>
      <w:r w:rsidR="00D9689D">
        <w:t xml:space="preserve">2011-2013 </w:t>
      </w:r>
      <w:r>
        <w:t>KS RETELA. Naopak KS REMA Systém dosahoval efektivity výrazně nižší. Hodnocení na základě těchto údajů ovšem není zcela přesné, protože není znám podíl spotřebičů finančně náročných na zpracování (např. zářivky, ledničky, TV a</w:t>
      </w:r>
      <w:r w:rsidR="00D9689D">
        <w:t> </w:t>
      </w:r>
      <w:r>
        <w:t xml:space="preserve">monitory typu CRT). </w:t>
      </w:r>
    </w:p>
    <w:p w:rsidR="000645EF" w:rsidP="00936929" w14:paraId="47B3E4B9" w14:textId="77777777">
      <w:r>
        <w:t>Tato disproporce je zřejmá u KS EKOLAMP, s.r.o., který se zabývá z převážné části světelnými zdroji, jejichž sběr, přeprava i zpracování je finančně náročnější skupinou s ohledem na její hmotnost (rok 2011 – 48,55 Kč/kg, rok 2012 – 46,44 Kč/kg, rok 2013 – 35,94 Kč/kg).</w:t>
      </w:r>
    </w:p>
    <w:p w:rsidR="000645EF" w:rsidRPr="00D9689D" w14:paraId="5B5A6A31" w14:textId="77777777">
      <w:pPr>
        <w:pStyle w:val="Caption"/>
        <w:rPr>
          <w:sz w:val="20"/>
          <w:szCs w:val="20"/>
        </w:rPr>
      </w:pPr>
      <w:r w:rsidRPr="00D9689D">
        <w:rPr>
          <w:sz w:val="20"/>
          <w:szCs w:val="20"/>
        </w:rPr>
        <w:t xml:space="preserve">Graf </w:t>
      </w:r>
      <w:r w:rsidRPr="00D9689D" w:rsidR="00773064">
        <w:rPr>
          <w:sz w:val="20"/>
          <w:szCs w:val="20"/>
        </w:rPr>
        <w:fldChar w:fldCharType="begin"/>
      </w:r>
      <w:r w:rsidRPr="00D9689D">
        <w:rPr>
          <w:sz w:val="20"/>
          <w:szCs w:val="20"/>
        </w:rPr>
        <w:instrText xml:space="preserve"> SEQ Graf \* ARABIC </w:instrText>
      </w:r>
      <w:r w:rsidRPr="00D9689D" w:rsidR="00773064">
        <w:rPr>
          <w:sz w:val="20"/>
          <w:szCs w:val="20"/>
        </w:rPr>
        <w:fldChar w:fldCharType="separate"/>
      </w:r>
      <w:r w:rsidRPr="00D9689D">
        <w:rPr>
          <w:sz w:val="20"/>
          <w:szCs w:val="20"/>
        </w:rPr>
        <w:t>6</w:t>
      </w:r>
      <w:r w:rsidRPr="00D9689D" w:rsidR="00773064">
        <w:rPr>
          <w:sz w:val="20"/>
          <w:szCs w:val="20"/>
        </w:rPr>
        <w:fldChar w:fldCharType="end"/>
      </w:r>
      <w:r w:rsidRPr="00D9689D">
        <w:rPr>
          <w:sz w:val="20"/>
          <w:szCs w:val="20"/>
        </w:rPr>
        <w:t>: Porovnání vývoje jednotkových nákladů na sběr a zpracování EEZ (výkonová spotřeba v Kč n</w:t>
      </w:r>
      <w:r w:rsidRPr="00D9689D" w:rsidR="00D9689D">
        <w:rPr>
          <w:sz w:val="20"/>
          <w:szCs w:val="20"/>
        </w:rPr>
        <w:t>a </w:t>
      </w:r>
      <w:r w:rsidRPr="00D9689D">
        <w:rPr>
          <w:sz w:val="20"/>
          <w:szCs w:val="20"/>
        </w:rPr>
        <w:t>1 kg sebraných EEZ) 2011-2013 (pozn.: KS EKOLAMP uveden ilustrativně)</w:t>
      </w:r>
    </w:p>
    <w:p w:rsidR="000645EF" w:rsidP="000645EF" w14:paraId="36A8C39A" w14:textId="77777777">
      <w:r w:rsidRPr="002B542A">
        <w:rPr>
          <w:lang w:eastAsia="cs-CZ" w:bidi="ar-SA"/>
        </w:rPr>
        <w:drawing>
          <wp:inline distT="0" distB="0" distL="0" distR="0">
            <wp:extent cx="4427220" cy="2194560"/>
            <wp:effectExtent l="0" t="0" r="11430" b="1524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689D" w:rsidRPr="00221615" w:rsidP="00221615" w14:paraId="0364B0B5" w14:textId="77777777">
      <w:pPr>
        <w:jc w:val="right"/>
        <w:rPr>
          <w:sz w:val="20"/>
          <w:szCs w:val="20"/>
        </w:rPr>
      </w:pPr>
      <w:r w:rsidRPr="00221615">
        <w:rPr>
          <w:sz w:val="20"/>
          <w:szCs w:val="20"/>
        </w:rPr>
        <w:t>Zdroj: Analýza KS EEZ v ČR, Green Solution 2015</w:t>
      </w:r>
    </w:p>
    <w:p w:rsidR="00D9689D" w:rsidP="00221615" w14:paraId="48DBC75A" w14:textId="77777777">
      <w:pPr>
        <w:jc w:val="right"/>
      </w:pPr>
    </w:p>
    <w:p w:rsidR="000645EF" w:rsidP="000645EF" w14:paraId="327B98FE" w14:textId="188E1224">
      <w:r w:rsidRPr="00F116E0">
        <w:t>Významnou složkou provozních nákladů, na kterých je</w:t>
      </w:r>
      <w:r>
        <w:t xml:space="preserve"> tedy</w:t>
      </w:r>
      <w:r w:rsidRPr="00F116E0">
        <w:t xml:space="preserve"> možné ilustrovat efektivitu systému je správní režie,</w:t>
      </w:r>
      <w:r>
        <w:t xml:space="preserve"> kterou tvoří v případě </w:t>
      </w:r>
      <w:r w:rsidR="006C1CA1">
        <w:t>KS</w:t>
      </w:r>
      <w:r>
        <w:t xml:space="preserve"> především osobní náklady, kdy téměř všichni pracovníci KS jsou režijními zaměstnanci, jelikož samotný sběr a zpracování EEZ je realizován na bázi dodavatelsko-odběratelských vztahů. </w:t>
      </w:r>
      <w:r w:rsidRPr="00F116E0">
        <w:t>Ukazatel podílu mzdových nákladů na</w:t>
      </w:r>
      <w:r w:rsidR="007F024A">
        <w:t> </w:t>
      </w:r>
      <w:r w:rsidRPr="00F116E0">
        <w:t>výkonech je doplněn ukazatelem poměru mzdových nákladů k výkonové spotřebě v letech 2011 – 2013.</w:t>
      </w:r>
    </w:p>
    <w:p w:rsidR="000645EF" w:rsidRPr="0058340D" w:rsidP="00C31D27" w14:paraId="4AA9252F" w14:textId="38664716">
      <w:pPr>
        <w:pStyle w:val="Caption"/>
        <w:rPr>
          <w:sz w:val="20"/>
          <w:szCs w:val="20"/>
        </w:rPr>
      </w:pPr>
      <w:r w:rsidRPr="0058340D">
        <w:rPr>
          <w:sz w:val="20"/>
          <w:szCs w:val="20"/>
        </w:rPr>
        <w:t xml:space="preserve">Tabulka </w:t>
      </w:r>
      <w:r w:rsidR="00925F10">
        <w:rPr>
          <w:sz w:val="20"/>
          <w:szCs w:val="20"/>
        </w:rPr>
        <w:t>36</w:t>
      </w:r>
      <w:r w:rsidRPr="0058340D">
        <w:rPr>
          <w:sz w:val="20"/>
          <w:szCs w:val="20"/>
        </w:rPr>
        <w:t>: Vývoj podílu mzdových nákladů na výkonech (osobní náklady v Kč na 1kg sebraných EEZ) 2006-2013</w:t>
      </w:r>
    </w:p>
    <w:tbl>
      <w:tblPr>
        <w:tblStyle w:val="LightGridAccent5"/>
        <w:tblW w:w="8897" w:type="dxa"/>
        <w:tblLayout w:type="fixed"/>
        <w:tblLook w:val="04A0"/>
      </w:tblPr>
      <w:tblGrid>
        <w:gridCol w:w="2802"/>
        <w:gridCol w:w="850"/>
        <w:gridCol w:w="851"/>
        <w:gridCol w:w="708"/>
        <w:gridCol w:w="851"/>
        <w:gridCol w:w="709"/>
        <w:gridCol w:w="708"/>
        <w:gridCol w:w="709"/>
        <w:gridCol w:w="709"/>
      </w:tblGrid>
      <w:tr w14:paraId="469FBA77" w14:textId="77777777" w:rsidTr="00C31D27">
        <w:tblPrEx>
          <w:tblW w:w="8897" w:type="dxa"/>
          <w:tblLayout w:type="fixed"/>
          <w:tblLook w:val="04A0"/>
        </w:tblPrEx>
        <w:trPr>
          <w:trHeight w:val="88"/>
        </w:trPr>
        <w:tc>
          <w:tcPr>
            <w:tcW w:w="2802" w:type="dxa"/>
          </w:tcPr>
          <w:p w:rsidR="000645EF" w:rsidRPr="0058340D" w:rsidP="000645EF" w14:paraId="56045EE7" w14:textId="77777777">
            <w:pPr>
              <w:rPr>
                <w:rFonts w:cs="Times New Roman"/>
                <w:sz w:val="20"/>
                <w:szCs w:val="20"/>
              </w:rPr>
            </w:pPr>
            <w:r w:rsidRPr="0058340D">
              <w:rPr>
                <w:rFonts w:cs="Times New Roman"/>
                <w:sz w:val="20"/>
                <w:szCs w:val="20"/>
              </w:rPr>
              <w:t xml:space="preserve">Kolektivní systém </w:t>
            </w:r>
          </w:p>
        </w:tc>
        <w:tc>
          <w:tcPr>
            <w:tcW w:w="850" w:type="dxa"/>
          </w:tcPr>
          <w:p w:rsidR="000645EF" w:rsidRPr="0058340D" w:rsidP="000645EF" w14:paraId="00B9B42A" w14:textId="77777777">
            <w:pPr>
              <w:rPr>
                <w:rFonts w:cs="Times New Roman"/>
                <w:sz w:val="20"/>
                <w:szCs w:val="20"/>
              </w:rPr>
            </w:pPr>
            <w:r w:rsidRPr="0058340D">
              <w:rPr>
                <w:rFonts w:cs="Times New Roman"/>
                <w:sz w:val="20"/>
                <w:szCs w:val="20"/>
              </w:rPr>
              <w:t>2006</w:t>
            </w:r>
          </w:p>
        </w:tc>
        <w:tc>
          <w:tcPr>
            <w:tcW w:w="851" w:type="dxa"/>
          </w:tcPr>
          <w:p w:rsidR="000645EF" w:rsidRPr="0058340D" w:rsidP="000645EF" w14:paraId="6F41667A" w14:textId="77777777">
            <w:pPr>
              <w:jc w:val="center"/>
              <w:rPr>
                <w:rFonts w:cs="Times New Roman"/>
                <w:sz w:val="20"/>
                <w:szCs w:val="20"/>
              </w:rPr>
            </w:pPr>
            <w:r w:rsidRPr="0058340D">
              <w:rPr>
                <w:rFonts w:cs="Times New Roman"/>
                <w:sz w:val="20"/>
                <w:szCs w:val="20"/>
              </w:rPr>
              <w:t>2007</w:t>
            </w:r>
          </w:p>
        </w:tc>
        <w:tc>
          <w:tcPr>
            <w:tcW w:w="708" w:type="dxa"/>
          </w:tcPr>
          <w:p w:rsidR="000645EF" w:rsidRPr="0058340D" w:rsidP="000645EF" w14:paraId="3B055181" w14:textId="77777777">
            <w:pPr>
              <w:jc w:val="center"/>
              <w:rPr>
                <w:rFonts w:cs="Times New Roman"/>
                <w:sz w:val="20"/>
                <w:szCs w:val="20"/>
              </w:rPr>
            </w:pPr>
            <w:r w:rsidRPr="0058340D">
              <w:rPr>
                <w:rFonts w:cs="Times New Roman"/>
                <w:sz w:val="20"/>
                <w:szCs w:val="20"/>
              </w:rPr>
              <w:t>2008</w:t>
            </w:r>
          </w:p>
        </w:tc>
        <w:tc>
          <w:tcPr>
            <w:tcW w:w="851" w:type="dxa"/>
          </w:tcPr>
          <w:p w:rsidR="000645EF" w:rsidRPr="0058340D" w:rsidP="000645EF" w14:paraId="5614988E" w14:textId="77777777">
            <w:pPr>
              <w:jc w:val="center"/>
              <w:rPr>
                <w:rFonts w:cs="Times New Roman"/>
                <w:sz w:val="20"/>
                <w:szCs w:val="20"/>
              </w:rPr>
            </w:pPr>
            <w:r w:rsidRPr="0058340D">
              <w:rPr>
                <w:rFonts w:cs="Times New Roman"/>
                <w:sz w:val="20"/>
                <w:szCs w:val="20"/>
              </w:rPr>
              <w:t>2009</w:t>
            </w:r>
          </w:p>
        </w:tc>
        <w:tc>
          <w:tcPr>
            <w:tcW w:w="709" w:type="dxa"/>
          </w:tcPr>
          <w:p w:rsidR="000645EF" w:rsidRPr="0058340D" w:rsidP="000645EF" w14:paraId="6F2D5F7E" w14:textId="77777777">
            <w:pPr>
              <w:jc w:val="center"/>
              <w:rPr>
                <w:rFonts w:cs="Times New Roman"/>
                <w:sz w:val="20"/>
                <w:szCs w:val="20"/>
              </w:rPr>
            </w:pPr>
            <w:r w:rsidRPr="0058340D">
              <w:rPr>
                <w:rFonts w:cs="Times New Roman"/>
                <w:sz w:val="20"/>
                <w:szCs w:val="20"/>
              </w:rPr>
              <w:t>2010</w:t>
            </w:r>
          </w:p>
        </w:tc>
        <w:tc>
          <w:tcPr>
            <w:tcW w:w="708" w:type="dxa"/>
          </w:tcPr>
          <w:p w:rsidR="000645EF" w:rsidRPr="0058340D" w:rsidP="000645EF" w14:paraId="3AB551CB" w14:textId="77777777">
            <w:pPr>
              <w:jc w:val="center"/>
              <w:rPr>
                <w:rFonts w:cs="Times New Roman"/>
                <w:sz w:val="20"/>
                <w:szCs w:val="20"/>
              </w:rPr>
            </w:pPr>
            <w:r w:rsidRPr="0058340D">
              <w:rPr>
                <w:rFonts w:cs="Times New Roman"/>
                <w:sz w:val="20"/>
                <w:szCs w:val="20"/>
              </w:rPr>
              <w:t>2011</w:t>
            </w:r>
          </w:p>
        </w:tc>
        <w:tc>
          <w:tcPr>
            <w:tcW w:w="709" w:type="dxa"/>
          </w:tcPr>
          <w:p w:rsidR="000645EF" w:rsidRPr="0058340D" w:rsidP="000645EF" w14:paraId="590FBDAC" w14:textId="77777777">
            <w:pPr>
              <w:jc w:val="center"/>
              <w:rPr>
                <w:rFonts w:cs="Times New Roman"/>
                <w:sz w:val="20"/>
                <w:szCs w:val="20"/>
              </w:rPr>
            </w:pPr>
            <w:r w:rsidRPr="0058340D">
              <w:rPr>
                <w:rFonts w:cs="Times New Roman"/>
                <w:sz w:val="20"/>
                <w:szCs w:val="20"/>
              </w:rPr>
              <w:t>2012</w:t>
            </w:r>
          </w:p>
        </w:tc>
        <w:tc>
          <w:tcPr>
            <w:tcW w:w="709" w:type="dxa"/>
          </w:tcPr>
          <w:p w:rsidR="000645EF" w:rsidRPr="0058340D" w:rsidP="000645EF" w14:paraId="4BEC6306" w14:textId="77777777">
            <w:pPr>
              <w:jc w:val="center"/>
              <w:rPr>
                <w:rFonts w:cs="Times New Roman"/>
                <w:sz w:val="20"/>
                <w:szCs w:val="20"/>
              </w:rPr>
            </w:pPr>
            <w:r w:rsidRPr="0058340D">
              <w:rPr>
                <w:rFonts w:cs="Times New Roman"/>
                <w:sz w:val="20"/>
                <w:szCs w:val="20"/>
              </w:rPr>
              <w:t>2013</w:t>
            </w:r>
          </w:p>
        </w:tc>
      </w:tr>
      <w:tr w14:paraId="0320C62C" w14:textId="77777777" w:rsidTr="00C31D27">
        <w:tblPrEx>
          <w:tblW w:w="8897" w:type="dxa"/>
          <w:tblLayout w:type="fixed"/>
          <w:tblLook w:val="04A0"/>
        </w:tblPrEx>
        <w:trPr>
          <w:trHeight w:val="88"/>
        </w:trPr>
        <w:tc>
          <w:tcPr>
            <w:tcW w:w="2802" w:type="dxa"/>
          </w:tcPr>
          <w:p w:rsidR="000645EF" w:rsidRPr="0058340D" w:rsidP="000645EF" w14:paraId="78C14689" w14:textId="77777777">
            <w:pPr>
              <w:rPr>
                <w:rFonts w:cs="Times New Roman"/>
                <w:sz w:val="20"/>
                <w:szCs w:val="20"/>
              </w:rPr>
            </w:pPr>
            <w:r w:rsidRPr="0058340D">
              <w:rPr>
                <w:rFonts w:cs="Times New Roman"/>
                <w:sz w:val="20"/>
                <w:szCs w:val="20"/>
              </w:rPr>
              <w:t>KS ASEKOL a.s.</w:t>
            </w:r>
          </w:p>
        </w:tc>
        <w:tc>
          <w:tcPr>
            <w:tcW w:w="850" w:type="dxa"/>
          </w:tcPr>
          <w:p w:rsidR="000645EF" w:rsidRPr="0058340D" w:rsidP="000645EF" w14:paraId="29BBF7C6" w14:textId="77777777">
            <w:pPr>
              <w:jc w:val="center"/>
              <w:rPr>
                <w:rFonts w:cs="Times New Roman"/>
                <w:sz w:val="20"/>
                <w:szCs w:val="20"/>
              </w:rPr>
            </w:pPr>
            <w:r w:rsidRPr="0058340D">
              <w:rPr>
                <w:rFonts w:cs="Times New Roman"/>
                <w:sz w:val="20"/>
                <w:szCs w:val="20"/>
              </w:rPr>
              <w:t>1,15</w:t>
            </w:r>
          </w:p>
        </w:tc>
        <w:tc>
          <w:tcPr>
            <w:tcW w:w="851" w:type="dxa"/>
          </w:tcPr>
          <w:p w:rsidR="000645EF" w:rsidRPr="0058340D" w:rsidP="000645EF" w14:paraId="2B1D201A" w14:textId="77777777">
            <w:pPr>
              <w:jc w:val="center"/>
              <w:rPr>
                <w:rFonts w:cs="Times New Roman"/>
                <w:sz w:val="20"/>
                <w:szCs w:val="20"/>
              </w:rPr>
            </w:pPr>
            <w:r w:rsidRPr="0058340D">
              <w:rPr>
                <w:rFonts w:cs="Times New Roman"/>
                <w:sz w:val="20"/>
                <w:szCs w:val="20"/>
              </w:rPr>
              <w:t>1,05</w:t>
            </w:r>
          </w:p>
        </w:tc>
        <w:tc>
          <w:tcPr>
            <w:tcW w:w="708" w:type="dxa"/>
          </w:tcPr>
          <w:p w:rsidR="000645EF" w:rsidRPr="0058340D" w:rsidP="000645EF" w14:paraId="17654FA1" w14:textId="77777777">
            <w:pPr>
              <w:jc w:val="center"/>
              <w:rPr>
                <w:rFonts w:cs="Times New Roman"/>
                <w:sz w:val="20"/>
                <w:szCs w:val="20"/>
              </w:rPr>
            </w:pPr>
            <w:r w:rsidRPr="0058340D">
              <w:rPr>
                <w:rFonts w:cs="Times New Roman"/>
                <w:sz w:val="20"/>
                <w:szCs w:val="20"/>
              </w:rPr>
              <w:t>0,97</w:t>
            </w:r>
          </w:p>
        </w:tc>
        <w:tc>
          <w:tcPr>
            <w:tcW w:w="851" w:type="dxa"/>
          </w:tcPr>
          <w:p w:rsidR="000645EF" w:rsidRPr="0058340D" w:rsidP="000645EF" w14:paraId="24AC8039" w14:textId="77777777">
            <w:pPr>
              <w:jc w:val="center"/>
              <w:rPr>
                <w:rFonts w:cs="Times New Roman"/>
                <w:sz w:val="20"/>
                <w:szCs w:val="20"/>
              </w:rPr>
            </w:pPr>
            <w:r w:rsidRPr="0058340D">
              <w:rPr>
                <w:rFonts w:cs="Times New Roman"/>
                <w:sz w:val="20"/>
                <w:szCs w:val="20"/>
              </w:rPr>
              <w:t>0,94</w:t>
            </w:r>
          </w:p>
        </w:tc>
        <w:tc>
          <w:tcPr>
            <w:tcW w:w="709" w:type="dxa"/>
          </w:tcPr>
          <w:p w:rsidR="000645EF" w:rsidRPr="0058340D" w:rsidP="000645EF" w14:paraId="08BFCF0C" w14:textId="77777777">
            <w:pPr>
              <w:jc w:val="center"/>
              <w:rPr>
                <w:rFonts w:cs="Times New Roman"/>
                <w:sz w:val="20"/>
                <w:szCs w:val="20"/>
              </w:rPr>
            </w:pPr>
            <w:r w:rsidRPr="0058340D">
              <w:rPr>
                <w:rFonts w:cs="Times New Roman"/>
                <w:sz w:val="20"/>
                <w:szCs w:val="20"/>
              </w:rPr>
              <w:t>1,15</w:t>
            </w:r>
          </w:p>
        </w:tc>
        <w:tc>
          <w:tcPr>
            <w:tcW w:w="708" w:type="dxa"/>
          </w:tcPr>
          <w:p w:rsidR="000645EF" w:rsidRPr="0058340D" w:rsidP="000645EF" w14:paraId="4176A5A6" w14:textId="77777777">
            <w:pPr>
              <w:jc w:val="center"/>
              <w:rPr>
                <w:rFonts w:cs="Times New Roman"/>
                <w:b/>
                <w:sz w:val="20"/>
                <w:szCs w:val="20"/>
              </w:rPr>
            </w:pPr>
            <w:r w:rsidRPr="0058340D">
              <w:rPr>
                <w:rFonts w:cs="Times New Roman"/>
                <w:b/>
                <w:sz w:val="20"/>
                <w:szCs w:val="20"/>
              </w:rPr>
              <w:t>1,24</w:t>
            </w:r>
          </w:p>
        </w:tc>
        <w:tc>
          <w:tcPr>
            <w:tcW w:w="709" w:type="dxa"/>
          </w:tcPr>
          <w:p w:rsidR="000645EF" w:rsidRPr="0058340D" w:rsidP="000645EF" w14:paraId="7FBDA42C" w14:textId="77777777">
            <w:pPr>
              <w:jc w:val="center"/>
              <w:rPr>
                <w:rFonts w:cs="Times New Roman"/>
                <w:b/>
                <w:sz w:val="20"/>
                <w:szCs w:val="20"/>
              </w:rPr>
            </w:pPr>
            <w:r w:rsidRPr="0058340D">
              <w:rPr>
                <w:rFonts w:cs="Times New Roman"/>
                <w:b/>
                <w:sz w:val="20"/>
                <w:szCs w:val="20"/>
              </w:rPr>
              <w:t>1,45</w:t>
            </w:r>
          </w:p>
        </w:tc>
        <w:tc>
          <w:tcPr>
            <w:tcW w:w="709" w:type="dxa"/>
          </w:tcPr>
          <w:p w:rsidR="000645EF" w:rsidRPr="0058340D" w:rsidP="000645EF" w14:paraId="29502824" w14:textId="77777777">
            <w:pPr>
              <w:jc w:val="center"/>
              <w:rPr>
                <w:rFonts w:cs="Times New Roman"/>
                <w:b/>
                <w:sz w:val="20"/>
                <w:szCs w:val="20"/>
              </w:rPr>
            </w:pPr>
            <w:r w:rsidRPr="0058340D">
              <w:rPr>
                <w:rFonts w:cs="Times New Roman"/>
                <w:b/>
                <w:sz w:val="20"/>
                <w:szCs w:val="20"/>
              </w:rPr>
              <w:t>0,96</w:t>
            </w:r>
          </w:p>
        </w:tc>
      </w:tr>
      <w:tr w14:paraId="5CD9AEEC" w14:textId="77777777" w:rsidTr="00C31D27">
        <w:tblPrEx>
          <w:tblW w:w="8897" w:type="dxa"/>
          <w:tblLayout w:type="fixed"/>
          <w:tblLook w:val="04A0"/>
        </w:tblPrEx>
        <w:trPr>
          <w:trHeight w:val="173"/>
        </w:trPr>
        <w:tc>
          <w:tcPr>
            <w:tcW w:w="2802" w:type="dxa"/>
          </w:tcPr>
          <w:p w:rsidR="000645EF" w:rsidRPr="0058340D" w:rsidP="000645EF" w14:paraId="1B5F3857" w14:textId="77777777">
            <w:pPr>
              <w:rPr>
                <w:rFonts w:cs="Times New Roman"/>
                <w:sz w:val="20"/>
                <w:szCs w:val="20"/>
              </w:rPr>
            </w:pPr>
            <w:r w:rsidRPr="0058340D">
              <w:rPr>
                <w:rFonts w:cs="Times New Roman"/>
                <w:sz w:val="20"/>
                <w:szCs w:val="20"/>
              </w:rPr>
              <w:t>KS ELEKTROWIN a.s.</w:t>
            </w:r>
          </w:p>
        </w:tc>
        <w:tc>
          <w:tcPr>
            <w:tcW w:w="850" w:type="dxa"/>
          </w:tcPr>
          <w:p w:rsidR="000645EF" w:rsidRPr="0058340D" w:rsidP="000645EF" w14:paraId="2F01177C" w14:textId="77777777">
            <w:pPr>
              <w:jc w:val="center"/>
              <w:rPr>
                <w:rFonts w:cs="Times New Roman"/>
                <w:sz w:val="20"/>
                <w:szCs w:val="20"/>
              </w:rPr>
            </w:pPr>
            <w:r w:rsidRPr="0058340D">
              <w:rPr>
                <w:rFonts w:cs="Times New Roman"/>
                <w:sz w:val="20"/>
                <w:szCs w:val="20"/>
              </w:rPr>
              <w:t>1,22</w:t>
            </w:r>
          </w:p>
        </w:tc>
        <w:tc>
          <w:tcPr>
            <w:tcW w:w="851" w:type="dxa"/>
          </w:tcPr>
          <w:p w:rsidR="000645EF" w:rsidRPr="0058340D" w:rsidP="000645EF" w14:paraId="57EEAB2A" w14:textId="77777777">
            <w:pPr>
              <w:jc w:val="center"/>
              <w:rPr>
                <w:rFonts w:cs="Times New Roman"/>
                <w:sz w:val="20"/>
                <w:szCs w:val="20"/>
              </w:rPr>
            </w:pPr>
            <w:r w:rsidRPr="0058340D">
              <w:rPr>
                <w:rFonts w:cs="Times New Roman"/>
                <w:sz w:val="20"/>
                <w:szCs w:val="20"/>
              </w:rPr>
              <w:t>0,96</w:t>
            </w:r>
          </w:p>
        </w:tc>
        <w:tc>
          <w:tcPr>
            <w:tcW w:w="708" w:type="dxa"/>
          </w:tcPr>
          <w:p w:rsidR="000645EF" w:rsidRPr="0058340D" w:rsidP="000645EF" w14:paraId="7A295028" w14:textId="77777777">
            <w:pPr>
              <w:jc w:val="center"/>
              <w:rPr>
                <w:rFonts w:cs="Times New Roman"/>
                <w:sz w:val="20"/>
                <w:szCs w:val="20"/>
              </w:rPr>
            </w:pPr>
            <w:r w:rsidRPr="0058340D">
              <w:rPr>
                <w:rFonts w:cs="Times New Roman"/>
                <w:sz w:val="20"/>
                <w:szCs w:val="20"/>
              </w:rPr>
              <w:t>0,68</w:t>
            </w:r>
          </w:p>
        </w:tc>
        <w:tc>
          <w:tcPr>
            <w:tcW w:w="851" w:type="dxa"/>
          </w:tcPr>
          <w:p w:rsidR="000645EF" w:rsidRPr="0058340D" w:rsidP="000645EF" w14:paraId="1DF50FEF" w14:textId="77777777">
            <w:pPr>
              <w:jc w:val="center"/>
              <w:rPr>
                <w:rFonts w:cs="Times New Roman"/>
                <w:sz w:val="20"/>
                <w:szCs w:val="20"/>
              </w:rPr>
            </w:pPr>
            <w:r w:rsidRPr="0058340D">
              <w:rPr>
                <w:rFonts w:cs="Times New Roman"/>
                <w:sz w:val="20"/>
                <w:szCs w:val="20"/>
              </w:rPr>
              <w:t>0,56</w:t>
            </w:r>
          </w:p>
        </w:tc>
        <w:tc>
          <w:tcPr>
            <w:tcW w:w="709" w:type="dxa"/>
          </w:tcPr>
          <w:p w:rsidR="000645EF" w:rsidRPr="0058340D" w:rsidP="000645EF" w14:paraId="5D7111F9" w14:textId="77777777">
            <w:pPr>
              <w:jc w:val="center"/>
              <w:rPr>
                <w:rFonts w:cs="Times New Roman"/>
                <w:sz w:val="20"/>
                <w:szCs w:val="20"/>
              </w:rPr>
            </w:pPr>
            <w:r w:rsidRPr="0058340D">
              <w:rPr>
                <w:rFonts w:cs="Times New Roman"/>
                <w:sz w:val="20"/>
                <w:szCs w:val="20"/>
              </w:rPr>
              <w:t>0,64</w:t>
            </w:r>
          </w:p>
        </w:tc>
        <w:tc>
          <w:tcPr>
            <w:tcW w:w="708" w:type="dxa"/>
          </w:tcPr>
          <w:p w:rsidR="000645EF" w:rsidRPr="0058340D" w:rsidP="000645EF" w14:paraId="55CB689A" w14:textId="77777777">
            <w:pPr>
              <w:jc w:val="center"/>
              <w:rPr>
                <w:rFonts w:cs="Times New Roman"/>
                <w:b/>
                <w:sz w:val="20"/>
                <w:szCs w:val="20"/>
              </w:rPr>
            </w:pPr>
            <w:r w:rsidRPr="0058340D">
              <w:rPr>
                <w:rFonts w:cs="Times New Roman"/>
                <w:b/>
                <w:sz w:val="20"/>
                <w:szCs w:val="20"/>
              </w:rPr>
              <w:t>0,62</w:t>
            </w:r>
          </w:p>
        </w:tc>
        <w:tc>
          <w:tcPr>
            <w:tcW w:w="709" w:type="dxa"/>
          </w:tcPr>
          <w:p w:rsidR="000645EF" w:rsidRPr="0058340D" w:rsidP="000645EF" w14:paraId="7778D267" w14:textId="77777777">
            <w:pPr>
              <w:jc w:val="center"/>
              <w:rPr>
                <w:rFonts w:cs="Times New Roman"/>
                <w:b/>
                <w:sz w:val="20"/>
                <w:szCs w:val="20"/>
              </w:rPr>
            </w:pPr>
            <w:r w:rsidRPr="0058340D">
              <w:rPr>
                <w:rFonts w:cs="Times New Roman"/>
                <w:b/>
                <w:sz w:val="20"/>
                <w:szCs w:val="20"/>
              </w:rPr>
              <w:t>0,70</w:t>
            </w:r>
          </w:p>
        </w:tc>
        <w:tc>
          <w:tcPr>
            <w:tcW w:w="709" w:type="dxa"/>
          </w:tcPr>
          <w:p w:rsidR="000645EF" w:rsidRPr="0058340D" w:rsidP="000645EF" w14:paraId="712CC049" w14:textId="77777777">
            <w:pPr>
              <w:jc w:val="center"/>
              <w:rPr>
                <w:rFonts w:cs="Times New Roman"/>
                <w:b/>
                <w:sz w:val="20"/>
                <w:szCs w:val="20"/>
              </w:rPr>
            </w:pPr>
            <w:r w:rsidRPr="0058340D">
              <w:rPr>
                <w:rFonts w:cs="Times New Roman"/>
                <w:b/>
                <w:sz w:val="20"/>
                <w:szCs w:val="20"/>
              </w:rPr>
              <w:t>0,65</w:t>
            </w:r>
          </w:p>
        </w:tc>
      </w:tr>
      <w:tr w14:paraId="388FD60B" w14:textId="77777777" w:rsidTr="00C31D27">
        <w:tblPrEx>
          <w:tblW w:w="8897" w:type="dxa"/>
          <w:tblLayout w:type="fixed"/>
          <w:tblLook w:val="04A0"/>
        </w:tblPrEx>
        <w:trPr>
          <w:trHeight w:val="88"/>
        </w:trPr>
        <w:tc>
          <w:tcPr>
            <w:tcW w:w="2802" w:type="dxa"/>
          </w:tcPr>
          <w:p w:rsidR="000645EF" w:rsidRPr="0058340D" w:rsidP="000645EF" w14:paraId="26187E0F" w14:textId="77777777">
            <w:pPr>
              <w:rPr>
                <w:rFonts w:cs="Times New Roman"/>
                <w:sz w:val="20"/>
                <w:szCs w:val="20"/>
              </w:rPr>
            </w:pPr>
            <w:r w:rsidRPr="0058340D">
              <w:rPr>
                <w:rFonts w:cs="Times New Roman"/>
                <w:sz w:val="20"/>
                <w:szCs w:val="20"/>
              </w:rPr>
              <w:t>KS REMA Systém, a.s.</w:t>
            </w:r>
          </w:p>
        </w:tc>
        <w:tc>
          <w:tcPr>
            <w:tcW w:w="850" w:type="dxa"/>
          </w:tcPr>
          <w:p w:rsidR="000645EF" w:rsidRPr="0058340D" w:rsidP="000645EF" w14:paraId="14A8D5A0" w14:textId="77777777">
            <w:pPr>
              <w:jc w:val="center"/>
              <w:rPr>
                <w:rFonts w:cs="Times New Roman"/>
                <w:sz w:val="20"/>
                <w:szCs w:val="20"/>
              </w:rPr>
            </w:pPr>
            <w:r w:rsidRPr="0058340D">
              <w:rPr>
                <w:rFonts w:cs="Times New Roman"/>
                <w:sz w:val="20"/>
                <w:szCs w:val="20"/>
              </w:rPr>
              <w:t>-</w:t>
            </w:r>
          </w:p>
        </w:tc>
        <w:tc>
          <w:tcPr>
            <w:tcW w:w="851" w:type="dxa"/>
          </w:tcPr>
          <w:p w:rsidR="000645EF" w:rsidRPr="0058340D" w:rsidP="000645EF" w14:paraId="2C181C3D" w14:textId="77777777">
            <w:pPr>
              <w:jc w:val="center"/>
              <w:rPr>
                <w:rFonts w:cs="Times New Roman"/>
                <w:sz w:val="20"/>
                <w:szCs w:val="20"/>
              </w:rPr>
            </w:pPr>
            <w:r w:rsidRPr="0058340D">
              <w:rPr>
                <w:rFonts w:cs="Times New Roman"/>
                <w:sz w:val="20"/>
                <w:szCs w:val="20"/>
              </w:rPr>
              <w:t>1,13</w:t>
            </w:r>
          </w:p>
        </w:tc>
        <w:tc>
          <w:tcPr>
            <w:tcW w:w="708" w:type="dxa"/>
          </w:tcPr>
          <w:p w:rsidR="000645EF" w:rsidRPr="0058340D" w:rsidP="000645EF" w14:paraId="34002415" w14:textId="77777777">
            <w:pPr>
              <w:jc w:val="center"/>
              <w:rPr>
                <w:rFonts w:cs="Times New Roman"/>
                <w:sz w:val="20"/>
                <w:szCs w:val="20"/>
              </w:rPr>
            </w:pPr>
            <w:r w:rsidRPr="0058340D">
              <w:rPr>
                <w:rFonts w:cs="Times New Roman"/>
                <w:sz w:val="20"/>
                <w:szCs w:val="20"/>
              </w:rPr>
              <w:t>1,27</w:t>
            </w:r>
          </w:p>
        </w:tc>
        <w:tc>
          <w:tcPr>
            <w:tcW w:w="851" w:type="dxa"/>
          </w:tcPr>
          <w:p w:rsidR="000645EF" w:rsidRPr="0058340D" w:rsidP="000645EF" w14:paraId="0474FDE4" w14:textId="77777777">
            <w:pPr>
              <w:jc w:val="center"/>
              <w:rPr>
                <w:rFonts w:cs="Times New Roman"/>
                <w:sz w:val="20"/>
                <w:szCs w:val="20"/>
              </w:rPr>
            </w:pPr>
            <w:r w:rsidRPr="0058340D">
              <w:rPr>
                <w:rFonts w:cs="Times New Roman"/>
                <w:sz w:val="20"/>
                <w:szCs w:val="20"/>
              </w:rPr>
              <w:t>1,32</w:t>
            </w:r>
          </w:p>
        </w:tc>
        <w:tc>
          <w:tcPr>
            <w:tcW w:w="709" w:type="dxa"/>
          </w:tcPr>
          <w:p w:rsidR="000645EF" w:rsidRPr="0058340D" w:rsidP="000645EF" w14:paraId="173CD984" w14:textId="77777777">
            <w:pPr>
              <w:jc w:val="center"/>
              <w:rPr>
                <w:rFonts w:cs="Times New Roman"/>
                <w:sz w:val="20"/>
                <w:szCs w:val="20"/>
              </w:rPr>
            </w:pPr>
            <w:r w:rsidRPr="0058340D">
              <w:rPr>
                <w:rFonts w:cs="Times New Roman"/>
                <w:sz w:val="20"/>
                <w:szCs w:val="20"/>
              </w:rPr>
              <w:t>-</w:t>
            </w:r>
          </w:p>
        </w:tc>
        <w:tc>
          <w:tcPr>
            <w:tcW w:w="708" w:type="dxa"/>
          </w:tcPr>
          <w:p w:rsidR="000645EF" w:rsidRPr="0058340D" w:rsidP="000645EF" w14:paraId="14714D96" w14:textId="77777777">
            <w:pPr>
              <w:jc w:val="center"/>
              <w:rPr>
                <w:rFonts w:cs="Times New Roman"/>
                <w:b/>
                <w:sz w:val="20"/>
                <w:szCs w:val="20"/>
              </w:rPr>
            </w:pPr>
            <w:r w:rsidRPr="0058340D">
              <w:rPr>
                <w:rFonts w:cs="Times New Roman"/>
                <w:b/>
                <w:sz w:val="20"/>
                <w:szCs w:val="20"/>
              </w:rPr>
              <w:t>1,85</w:t>
            </w:r>
          </w:p>
        </w:tc>
        <w:tc>
          <w:tcPr>
            <w:tcW w:w="709" w:type="dxa"/>
          </w:tcPr>
          <w:p w:rsidR="000645EF" w:rsidRPr="0058340D" w:rsidP="000645EF" w14:paraId="59BA228C" w14:textId="77777777">
            <w:pPr>
              <w:jc w:val="center"/>
              <w:rPr>
                <w:rFonts w:cs="Times New Roman"/>
                <w:b/>
                <w:sz w:val="20"/>
                <w:szCs w:val="20"/>
              </w:rPr>
            </w:pPr>
            <w:r w:rsidRPr="0058340D">
              <w:rPr>
                <w:rFonts w:cs="Times New Roman"/>
                <w:b/>
                <w:sz w:val="20"/>
                <w:szCs w:val="20"/>
              </w:rPr>
              <w:t>1,78</w:t>
            </w:r>
          </w:p>
        </w:tc>
        <w:tc>
          <w:tcPr>
            <w:tcW w:w="709" w:type="dxa"/>
          </w:tcPr>
          <w:p w:rsidR="000645EF" w:rsidRPr="0058340D" w:rsidP="000645EF" w14:paraId="54CC3165" w14:textId="77777777">
            <w:pPr>
              <w:jc w:val="center"/>
              <w:rPr>
                <w:rFonts w:cs="Times New Roman"/>
                <w:b/>
                <w:sz w:val="20"/>
                <w:szCs w:val="20"/>
              </w:rPr>
            </w:pPr>
            <w:r w:rsidRPr="0058340D">
              <w:rPr>
                <w:rFonts w:cs="Times New Roman"/>
                <w:b/>
                <w:sz w:val="20"/>
                <w:szCs w:val="20"/>
              </w:rPr>
              <w:t>2,04</w:t>
            </w:r>
          </w:p>
        </w:tc>
      </w:tr>
      <w:tr w14:paraId="0E8EF347" w14:textId="77777777" w:rsidTr="00C31D27">
        <w:tblPrEx>
          <w:tblW w:w="8897" w:type="dxa"/>
          <w:tblLayout w:type="fixed"/>
          <w:tblLook w:val="04A0"/>
        </w:tblPrEx>
        <w:trPr>
          <w:trHeight w:val="54"/>
        </w:trPr>
        <w:tc>
          <w:tcPr>
            <w:tcW w:w="2802" w:type="dxa"/>
          </w:tcPr>
          <w:p w:rsidR="000645EF" w:rsidRPr="0058340D" w:rsidP="000645EF" w14:paraId="0113427C" w14:textId="77777777">
            <w:pPr>
              <w:rPr>
                <w:rFonts w:cs="Times New Roman"/>
                <w:sz w:val="20"/>
                <w:szCs w:val="20"/>
              </w:rPr>
            </w:pPr>
            <w:r w:rsidRPr="0058340D">
              <w:rPr>
                <w:rFonts w:cs="Times New Roman"/>
                <w:sz w:val="20"/>
                <w:szCs w:val="20"/>
              </w:rPr>
              <w:t>KS RETELA, s.r.o.</w:t>
            </w:r>
          </w:p>
        </w:tc>
        <w:tc>
          <w:tcPr>
            <w:tcW w:w="850" w:type="dxa"/>
          </w:tcPr>
          <w:p w:rsidR="000645EF" w:rsidRPr="0058340D" w:rsidP="000645EF" w14:paraId="5AEA4465" w14:textId="77777777">
            <w:pPr>
              <w:jc w:val="center"/>
              <w:rPr>
                <w:rFonts w:cs="Times New Roman"/>
                <w:sz w:val="20"/>
                <w:szCs w:val="20"/>
              </w:rPr>
            </w:pPr>
            <w:r w:rsidRPr="0058340D">
              <w:rPr>
                <w:rFonts w:cs="Times New Roman"/>
                <w:sz w:val="20"/>
                <w:szCs w:val="20"/>
              </w:rPr>
              <w:t>-</w:t>
            </w:r>
          </w:p>
        </w:tc>
        <w:tc>
          <w:tcPr>
            <w:tcW w:w="851" w:type="dxa"/>
          </w:tcPr>
          <w:p w:rsidR="000645EF" w:rsidRPr="0058340D" w:rsidP="000645EF" w14:paraId="684EBD1E" w14:textId="77777777">
            <w:pPr>
              <w:jc w:val="center"/>
              <w:rPr>
                <w:rFonts w:cs="Times New Roman"/>
                <w:sz w:val="20"/>
                <w:szCs w:val="20"/>
              </w:rPr>
            </w:pPr>
            <w:r w:rsidRPr="0058340D">
              <w:rPr>
                <w:rFonts w:cs="Times New Roman"/>
                <w:sz w:val="20"/>
                <w:szCs w:val="20"/>
              </w:rPr>
              <w:t>1,36</w:t>
            </w:r>
          </w:p>
        </w:tc>
        <w:tc>
          <w:tcPr>
            <w:tcW w:w="708" w:type="dxa"/>
          </w:tcPr>
          <w:p w:rsidR="000645EF" w:rsidRPr="0058340D" w:rsidP="000645EF" w14:paraId="2FBA18D1" w14:textId="77777777">
            <w:pPr>
              <w:jc w:val="center"/>
              <w:rPr>
                <w:rFonts w:cs="Times New Roman"/>
                <w:sz w:val="20"/>
                <w:szCs w:val="20"/>
              </w:rPr>
            </w:pPr>
            <w:r w:rsidRPr="0058340D">
              <w:rPr>
                <w:rFonts w:cs="Times New Roman"/>
                <w:sz w:val="20"/>
                <w:szCs w:val="20"/>
              </w:rPr>
              <w:t>0,97</w:t>
            </w:r>
          </w:p>
        </w:tc>
        <w:tc>
          <w:tcPr>
            <w:tcW w:w="851" w:type="dxa"/>
          </w:tcPr>
          <w:p w:rsidR="000645EF" w:rsidRPr="0058340D" w:rsidP="000645EF" w14:paraId="1156D981" w14:textId="77777777">
            <w:pPr>
              <w:jc w:val="center"/>
              <w:rPr>
                <w:rFonts w:cs="Times New Roman"/>
                <w:sz w:val="20"/>
                <w:szCs w:val="20"/>
              </w:rPr>
            </w:pPr>
            <w:r w:rsidRPr="0058340D">
              <w:rPr>
                <w:rFonts w:cs="Times New Roman"/>
                <w:sz w:val="20"/>
                <w:szCs w:val="20"/>
              </w:rPr>
              <w:t>0,74</w:t>
            </w:r>
          </w:p>
        </w:tc>
        <w:tc>
          <w:tcPr>
            <w:tcW w:w="709" w:type="dxa"/>
          </w:tcPr>
          <w:p w:rsidR="000645EF" w:rsidRPr="0058340D" w:rsidP="000645EF" w14:paraId="4BE2D998" w14:textId="77777777">
            <w:pPr>
              <w:jc w:val="center"/>
              <w:rPr>
                <w:rFonts w:cs="Times New Roman"/>
                <w:sz w:val="20"/>
                <w:szCs w:val="20"/>
              </w:rPr>
            </w:pPr>
            <w:r w:rsidRPr="0058340D">
              <w:rPr>
                <w:rFonts w:cs="Times New Roman"/>
                <w:sz w:val="20"/>
                <w:szCs w:val="20"/>
              </w:rPr>
              <w:t>0,82</w:t>
            </w:r>
          </w:p>
        </w:tc>
        <w:tc>
          <w:tcPr>
            <w:tcW w:w="708" w:type="dxa"/>
          </w:tcPr>
          <w:p w:rsidR="000645EF" w:rsidRPr="0058340D" w:rsidP="000645EF" w14:paraId="58C26ABE" w14:textId="77777777">
            <w:pPr>
              <w:jc w:val="center"/>
              <w:rPr>
                <w:rFonts w:cs="Times New Roman"/>
                <w:b/>
                <w:sz w:val="20"/>
                <w:szCs w:val="20"/>
              </w:rPr>
            </w:pPr>
            <w:r w:rsidRPr="0058340D">
              <w:rPr>
                <w:rFonts w:cs="Times New Roman"/>
                <w:b/>
                <w:sz w:val="20"/>
                <w:szCs w:val="20"/>
              </w:rPr>
              <w:t>0,75</w:t>
            </w:r>
          </w:p>
        </w:tc>
        <w:tc>
          <w:tcPr>
            <w:tcW w:w="709" w:type="dxa"/>
          </w:tcPr>
          <w:p w:rsidR="000645EF" w:rsidRPr="0058340D" w:rsidP="000645EF" w14:paraId="3585E2A6" w14:textId="77777777">
            <w:pPr>
              <w:jc w:val="center"/>
              <w:rPr>
                <w:rFonts w:cs="Times New Roman"/>
                <w:b/>
                <w:sz w:val="20"/>
                <w:szCs w:val="20"/>
              </w:rPr>
            </w:pPr>
            <w:r w:rsidRPr="0058340D">
              <w:rPr>
                <w:rFonts w:cs="Times New Roman"/>
                <w:b/>
                <w:sz w:val="20"/>
                <w:szCs w:val="20"/>
              </w:rPr>
              <w:t>0,76</w:t>
            </w:r>
          </w:p>
        </w:tc>
        <w:tc>
          <w:tcPr>
            <w:tcW w:w="709" w:type="dxa"/>
          </w:tcPr>
          <w:p w:rsidR="000645EF" w:rsidRPr="0058340D" w:rsidP="000645EF" w14:paraId="6C54DC29" w14:textId="77777777">
            <w:pPr>
              <w:jc w:val="center"/>
              <w:rPr>
                <w:rFonts w:cs="Times New Roman"/>
                <w:b/>
                <w:sz w:val="20"/>
                <w:szCs w:val="20"/>
              </w:rPr>
            </w:pPr>
            <w:r w:rsidRPr="0058340D">
              <w:rPr>
                <w:rFonts w:cs="Times New Roman"/>
                <w:b/>
                <w:sz w:val="20"/>
                <w:szCs w:val="20"/>
              </w:rPr>
              <w:t>1,00</w:t>
            </w:r>
          </w:p>
        </w:tc>
      </w:tr>
    </w:tbl>
    <w:p w:rsidR="000645EF" w:rsidRPr="0058340D" w:rsidP="00221615" w14:paraId="1D17B14E" w14:textId="77777777">
      <w:pPr>
        <w:widowControl w:val="0"/>
        <w:jc w:val="right"/>
        <w:rPr>
          <w:b/>
          <w:iCs/>
          <w:noProof w:val="0"/>
          <w:color w:val="000000"/>
          <w:sz w:val="20"/>
          <w:szCs w:val="20"/>
          <w:lang w:eastAsia="cs-CZ" w:bidi="ar-SA"/>
        </w:rPr>
      </w:pPr>
      <w:r w:rsidRPr="0058340D">
        <w:rPr>
          <w:sz w:val="20"/>
          <w:szCs w:val="20"/>
        </w:rPr>
        <w:t>Zdroj: Analýza KS EEZ v ČR, Green Solution 2015</w:t>
      </w:r>
    </w:p>
    <w:p w:rsidR="000645EF" w:rsidRPr="00221615" w:rsidP="00C31D27" w14:paraId="30F9ADE4" w14:textId="17E51CB4">
      <w:pPr>
        <w:pStyle w:val="Caption"/>
        <w:rPr>
          <w:sz w:val="20"/>
          <w:szCs w:val="20"/>
        </w:rPr>
      </w:pPr>
      <w:r w:rsidRPr="00221615">
        <w:rPr>
          <w:sz w:val="20"/>
          <w:szCs w:val="20"/>
        </w:rPr>
        <w:t xml:space="preserve">Tabulka </w:t>
      </w:r>
      <w:r w:rsidR="00925F10">
        <w:rPr>
          <w:sz w:val="20"/>
          <w:szCs w:val="20"/>
        </w:rPr>
        <w:t>37</w:t>
      </w:r>
      <w:r w:rsidRPr="00221615">
        <w:rPr>
          <w:sz w:val="20"/>
          <w:szCs w:val="20"/>
        </w:rPr>
        <w:t>: Vývoj poměru mzdových nákladů k výkonové spotřebě (poměr osobních nákladů k</w:t>
      </w:r>
      <w:r w:rsidR="007F024A">
        <w:rPr>
          <w:sz w:val="20"/>
          <w:szCs w:val="20"/>
        </w:rPr>
        <w:t> </w:t>
      </w:r>
      <w:r w:rsidRPr="00221615">
        <w:rPr>
          <w:sz w:val="20"/>
          <w:szCs w:val="20"/>
        </w:rPr>
        <w:t>v</w:t>
      </w:r>
      <w:r w:rsidR="0058340D">
        <w:rPr>
          <w:sz w:val="20"/>
          <w:szCs w:val="20"/>
        </w:rPr>
        <w:t>ýkonové spotřebě v %) 2006-2013</w:t>
      </w:r>
    </w:p>
    <w:tbl>
      <w:tblPr>
        <w:tblStyle w:val="LightGridAccent5"/>
        <w:tblW w:w="8835" w:type="dxa"/>
        <w:tblLayout w:type="fixed"/>
        <w:tblLook w:val="04A0"/>
      </w:tblPr>
      <w:tblGrid>
        <w:gridCol w:w="2483"/>
        <w:gridCol w:w="794"/>
        <w:gridCol w:w="794"/>
        <w:gridCol w:w="794"/>
        <w:gridCol w:w="794"/>
        <w:gridCol w:w="794"/>
        <w:gridCol w:w="794"/>
        <w:gridCol w:w="794"/>
        <w:gridCol w:w="794"/>
      </w:tblGrid>
      <w:tr w14:paraId="3EAF0AD5" w14:textId="77777777" w:rsidTr="000645EF">
        <w:tblPrEx>
          <w:tblW w:w="8835" w:type="dxa"/>
          <w:tblLayout w:type="fixed"/>
          <w:tblLook w:val="04A0"/>
        </w:tblPrEx>
        <w:trPr>
          <w:trHeight w:val="4"/>
        </w:trPr>
        <w:tc>
          <w:tcPr>
            <w:tcW w:w="2483" w:type="dxa"/>
          </w:tcPr>
          <w:p w:rsidR="000645EF" w:rsidRPr="0058340D" w:rsidP="00221615" w14:paraId="7590D246" w14:textId="77777777">
            <w:pPr>
              <w:keepNext/>
              <w:rPr>
                <w:sz w:val="20"/>
                <w:szCs w:val="20"/>
              </w:rPr>
            </w:pPr>
            <w:r w:rsidRPr="0058340D">
              <w:rPr>
                <w:sz w:val="20"/>
                <w:szCs w:val="20"/>
              </w:rPr>
              <w:t xml:space="preserve">Kolektivní systém </w:t>
            </w:r>
          </w:p>
        </w:tc>
        <w:tc>
          <w:tcPr>
            <w:tcW w:w="794" w:type="dxa"/>
          </w:tcPr>
          <w:p w:rsidR="000645EF" w:rsidRPr="0058340D" w:rsidP="00221615" w14:paraId="4FDFCE73" w14:textId="77777777">
            <w:pPr>
              <w:keepNext/>
              <w:rPr>
                <w:sz w:val="20"/>
                <w:szCs w:val="20"/>
              </w:rPr>
            </w:pPr>
            <w:r w:rsidRPr="0058340D">
              <w:rPr>
                <w:sz w:val="20"/>
                <w:szCs w:val="20"/>
              </w:rPr>
              <w:t>2006</w:t>
            </w:r>
          </w:p>
        </w:tc>
        <w:tc>
          <w:tcPr>
            <w:tcW w:w="794" w:type="dxa"/>
          </w:tcPr>
          <w:p w:rsidR="000645EF" w:rsidRPr="0058340D" w:rsidP="00221615" w14:paraId="57FFF7E7" w14:textId="77777777">
            <w:pPr>
              <w:keepNext/>
              <w:jc w:val="center"/>
              <w:rPr>
                <w:sz w:val="20"/>
                <w:szCs w:val="20"/>
              </w:rPr>
            </w:pPr>
            <w:r w:rsidRPr="0058340D">
              <w:rPr>
                <w:sz w:val="20"/>
                <w:szCs w:val="20"/>
              </w:rPr>
              <w:t>2007</w:t>
            </w:r>
          </w:p>
        </w:tc>
        <w:tc>
          <w:tcPr>
            <w:tcW w:w="794" w:type="dxa"/>
          </w:tcPr>
          <w:p w:rsidR="000645EF" w:rsidRPr="0058340D" w:rsidP="00221615" w14:paraId="11D648DD" w14:textId="77777777">
            <w:pPr>
              <w:keepNext/>
              <w:jc w:val="center"/>
              <w:rPr>
                <w:sz w:val="20"/>
                <w:szCs w:val="20"/>
              </w:rPr>
            </w:pPr>
            <w:r w:rsidRPr="0058340D">
              <w:rPr>
                <w:sz w:val="20"/>
                <w:szCs w:val="20"/>
              </w:rPr>
              <w:t>2008</w:t>
            </w:r>
          </w:p>
        </w:tc>
        <w:tc>
          <w:tcPr>
            <w:tcW w:w="794" w:type="dxa"/>
          </w:tcPr>
          <w:p w:rsidR="000645EF" w:rsidRPr="0058340D" w:rsidP="00221615" w14:paraId="64B607FF" w14:textId="77777777">
            <w:pPr>
              <w:keepNext/>
              <w:jc w:val="center"/>
              <w:rPr>
                <w:sz w:val="20"/>
                <w:szCs w:val="20"/>
              </w:rPr>
            </w:pPr>
            <w:r w:rsidRPr="0058340D">
              <w:rPr>
                <w:sz w:val="20"/>
                <w:szCs w:val="20"/>
              </w:rPr>
              <w:t>2009</w:t>
            </w:r>
          </w:p>
        </w:tc>
        <w:tc>
          <w:tcPr>
            <w:tcW w:w="794" w:type="dxa"/>
          </w:tcPr>
          <w:p w:rsidR="000645EF" w:rsidRPr="0058340D" w:rsidP="00221615" w14:paraId="365DA6F1" w14:textId="77777777">
            <w:pPr>
              <w:keepNext/>
              <w:jc w:val="center"/>
              <w:rPr>
                <w:sz w:val="20"/>
                <w:szCs w:val="20"/>
              </w:rPr>
            </w:pPr>
            <w:r w:rsidRPr="0058340D">
              <w:rPr>
                <w:sz w:val="20"/>
                <w:szCs w:val="20"/>
              </w:rPr>
              <w:t>2010</w:t>
            </w:r>
          </w:p>
        </w:tc>
        <w:tc>
          <w:tcPr>
            <w:tcW w:w="794" w:type="dxa"/>
          </w:tcPr>
          <w:p w:rsidR="000645EF" w:rsidRPr="0058340D" w:rsidP="00221615" w14:paraId="41DA3535" w14:textId="77777777">
            <w:pPr>
              <w:keepNext/>
              <w:jc w:val="center"/>
              <w:rPr>
                <w:sz w:val="20"/>
                <w:szCs w:val="20"/>
              </w:rPr>
            </w:pPr>
            <w:r w:rsidRPr="0058340D">
              <w:rPr>
                <w:sz w:val="20"/>
                <w:szCs w:val="20"/>
              </w:rPr>
              <w:t>2011</w:t>
            </w:r>
          </w:p>
        </w:tc>
        <w:tc>
          <w:tcPr>
            <w:tcW w:w="794" w:type="dxa"/>
          </w:tcPr>
          <w:p w:rsidR="000645EF" w:rsidRPr="0058340D" w:rsidP="00221615" w14:paraId="6B37FAEF" w14:textId="77777777">
            <w:pPr>
              <w:keepNext/>
              <w:jc w:val="center"/>
              <w:rPr>
                <w:sz w:val="20"/>
                <w:szCs w:val="20"/>
              </w:rPr>
            </w:pPr>
            <w:r w:rsidRPr="0058340D">
              <w:rPr>
                <w:sz w:val="20"/>
                <w:szCs w:val="20"/>
              </w:rPr>
              <w:t>2012</w:t>
            </w:r>
          </w:p>
        </w:tc>
        <w:tc>
          <w:tcPr>
            <w:tcW w:w="794" w:type="dxa"/>
          </w:tcPr>
          <w:p w:rsidR="000645EF" w:rsidRPr="0058340D" w:rsidP="00221615" w14:paraId="5DA28401" w14:textId="77777777">
            <w:pPr>
              <w:keepNext/>
              <w:jc w:val="center"/>
              <w:rPr>
                <w:sz w:val="20"/>
                <w:szCs w:val="20"/>
              </w:rPr>
            </w:pPr>
            <w:r w:rsidRPr="0058340D">
              <w:rPr>
                <w:sz w:val="20"/>
                <w:szCs w:val="20"/>
              </w:rPr>
              <w:t>2013</w:t>
            </w:r>
          </w:p>
        </w:tc>
      </w:tr>
      <w:tr w14:paraId="7F3B69FB" w14:textId="77777777" w:rsidTr="00C31D27">
        <w:tblPrEx>
          <w:tblW w:w="8835" w:type="dxa"/>
          <w:tblLayout w:type="fixed"/>
          <w:tblLook w:val="04A0"/>
        </w:tblPrEx>
        <w:trPr>
          <w:trHeight w:val="4"/>
        </w:trPr>
        <w:tc>
          <w:tcPr>
            <w:tcW w:w="2483" w:type="dxa"/>
          </w:tcPr>
          <w:p w:rsidR="000645EF" w:rsidRPr="006E0DF4" w:rsidP="00221615" w14:paraId="5C3F5981" w14:textId="77777777">
            <w:pPr>
              <w:keepNext/>
              <w:rPr>
                <w:rFonts w:cstheme="minorHAnsi"/>
                <w:sz w:val="20"/>
                <w:szCs w:val="20"/>
              </w:rPr>
            </w:pPr>
            <w:r w:rsidRPr="006E0DF4">
              <w:rPr>
                <w:rFonts w:cstheme="minorHAnsi"/>
                <w:sz w:val="20"/>
                <w:szCs w:val="20"/>
              </w:rPr>
              <w:t>KS ASEKOL a.s.</w:t>
            </w:r>
          </w:p>
        </w:tc>
        <w:tc>
          <w:tcPr>
            <w:tcW w:w="794" w:type="dxa"/>
          </w:tcPr>
          <w:p w:rsidR="000645EF" w:rsidRPr="006E0DF4" w:rsidP="00221615" w14:paraId="055998B0" w14:textId="77777777">
            <w:pPr>
              <w:keepNext/>
              <w:jc w:val="right"/>
              <w:rPr>
                <w:sz w:val="20"/>
                <w:szCs w:val="20"/>
              </w:rPr>
            </w:pPr>
            <w:r w:rsidRPr="006E0DF4">
              <w:rPr>
                <w:sz w:val="20"/>
                <w:szCs w:val="20"/>
              </w:rPr>
              <w:t>0,11</w:t>
            </w:r>
          </w:p>
        </w:tc>
        <w:tc>
          <w:tcPr>
            <w:tcW w:w="794" w:type="dxa"/>
          </w:tcPr>
          <w:p w:rsidR="000645EF" w:rsidRPr="006E0DF4" w:rsidP="00221615" w14:paraId="59433DDA" w14:textId="77777777">
            <w:pPr>
              <w:keepNext/>
              <w:jc w:val="right"/>
              <w:rPr>
                <w:sz w:val="20"/>
                <w:szCs w:val="20"/>
              </w:rPr>
            </w:pPr>
            <w:r w:rsidRPr="006E0DF4">
              <w:rPr>
                <w:sz w:val="20"/>
                <w:szCs w:val="20"/>
              </w:rPr>
              <w:t>0,10</w:t>
            </w:r>
          </w:p>
        </w:tc>
        <w:tc>
          <w:tcPr>
            <w:tcW w:w="794" w:type="dxa"/>
          </w:tcPr>
          <w:p w:rsidR="000645EF" w:rsidRPr="006E0DF4" w:rsidP="00221615" w14:paraId="03A8AA97" w14:textId="77777777">
            <w:pPr>
              <w:keepNext/>
              <w:jc w:val="right"/>
              <w:rPr>
                <w:sz w:val="20"/>
                <w:szCs w:val="20"/>
              </w:rPr>
            </w:pPr>
            <w:r w:rsidRPr="006E0DF4">
              <w:rPr>
                <w:sz w:val="20"/>
                <w:szCs w:val="20"/>
              </w:rPr>
              <w:t>0,08</w:t>
            </w:r>
          </w:p>
        </w:tc>
        <w:tc>
          <w:tcPr>
            <w:tcW w:w="794" w:type="dxa"/>
          </w:tcPr>
          <w:p w:rsidR="000645EF" w:rsidRPr="006E0DF4" w:rsidP="00221615" w14:paraId="78A526E3" w14:textId="77777777">
            <w:pPr>
              <w:keepNext/>
              <w:jc w:val="right"/>
              <w:rPr>
                <w:sz w:val="20"/>
                <w:szCs w:val="20"/>
              </w:rPr>
            </w:pPr>
            <w:r w:rsidRPr="006E0DF4">
              <w:rPr>
                <w:sz w:val="20"/>
                <w:szCs w:val="20"/>
              </w:rPr>
              <w:t>0,11</w:t>
            </w:r>
          </w:p>
        </w:tc>
        <w:tc>
          <w:tcPr>
            <w:tcW w:w="794" w:type="dxa"/>
          </w:tcPr>
          <w:p w:rsidR="000645EF" w:rsidRPr="006E0DF4" w:rsidP="00221615" w14:paraId="72D1CFF8" w14:textId="77777777">
            <w:pPr>
              <w:keepNext/>
              <w:jc w:val="right"/>
              <w:rPr>
                <w:sz w:val="20"/>
                <w:szCs w:val="20"/>
              </w:rPr>
            </w:pPr>
            <w:r w:rsidRPr="006E0DF4">
              <w:rPr>
                <w:sz w:val="20"/>
                <w:szCs w:val="20"/>
              </w:rPr>
              <w:t>0,13</w:t>
            </w:r>
          </w:p>
        </w:tc>
        <w:tc>
          <w:tcPr>
            <w:tcW w:w="794" w:type="dxa"/>
          </w:tcPr>
          <w:p w:rsidR="000645EF" w:rsidRPr="006E0DF4" w:rsidP="00221615" w14:paraId="76244085" w14:textId="77777777">
            <w:pPr>
              <w:keepNext/>
              <w:jc w:val="right"/>
              <w:rPr>
                <w:b/>
                <w:sz w:val="20"/>
                <w:szCs w:val="20"/>
              </w:rPr>
            </w:pPr>
            <w:r w:rsidRPr="006E0DF4">
              <w:rPr>
                <w:b/>
                <w:sz w:val="20"/>
                <w:szCs w:val="20"/>
              </w:rPr>
              <w:t>0,13</w:t>
            </w:r>
          </w:p>
        </w:tc>
        <w:tc>
          <w:tcPr>
            <w:tcW w:w="794" w:type="dxa"/>
          </w:tcPr>
          <w:p w:rsidR="000645EF" w:rsidRPr="006E0DF4" w:rsidP="00221615" w14:paraId="67CC3004" w14:textId="77777777">
            <w:pPr>
              <w:keepNext/>
              <w:jc w:val="right"/>
              <w:rPr>
                <w:b/>
                <w:sz w:val="20"/>
                <w:szCs w:val="20"/>
              </w:rPr>
            </w:pPr>
            <w:r w:rsidRPr="006E0DF4">
              <w:rPr>
                <w:b/>
                <w:sz w:val="20"/>
                <w:szCs w:val="20"/>
              </w:rPr>
              <w:t>0,18</w:t>
            </w:r>
          </w:p>
        </w:tc>
        <w:tc>
          <w:tcPr>
            <w:tcW w:w="794" w:type="dxa"/>
          </w:tcPr>
          <w:p w:rsidR="000645EF" w:rsidRPr="006E0DF4" w:rsidP="00221615" w14:paraId="1F5AF37B" w14:textId="77777777">
            <w:pPr>
              <w:keepNext/>
              <w:jc w:val="right"/>
              <w:rPr>
                <w:b/>
                <w:sz w:val="20"/>
                <w:szCs w:val="20"/>
              </w:rPr>
            </w:pPr>
            <w:r w:rsidRPr="006E0DF4">
              <w:rPr>
                <w:b/>
                <w:sz w:val="20"/>
                <w:szCs w:val="20"/>
              </w:rPr>
              <w:t>0,10</w:t>
            </w:r>
          </w:p>
        </w:tc>
      </w:tr>
      <w:tr w14:paraId="2E69BD51" w14:textId="77777777" w:rsidTr="000645EF">
        <w:tblPrEx>
          <w:tblW w:w="8835" w:type="dxa"/>
          <w:tblLayout w:type="fixed"/>
          <w:tblLook w:val="04A0"/>
        </w:tblPrEx>
        <w:trPr>
          <w:trHeight w:val="4"/>
        </w:trPr>
        <w:tc>
          <w:tcPr>
            <w:tcW w:w="2483" w:type="dxa"/>
          </w:tcPr>
          <w:p w:rsidR="000645EF" w:rsidRPr="006E0DF4" w:rsidP="00221615" w14:paraId="255DBA25" w14:textId="77777777">
            <w:pPr>
              <w:keepNext/>
              <w:rPr>
                <w:rFonts w:cstheme="minorHAnsi"/>
                <w:sz w:val="20"/>
                <w:szCs w:val="20"/>
              </w:rPr>
            </w:pPr>
            <w:r w:rsidRPr="006E0DF4">
              <w:rPr>
                <w:rFonts w:cstheme="minorHAnsi"/>
                <w:sz w:val="20"/>
                <w:szCs w:val="20"/>
              </w:rPr>
              <w:t>KS ELEKTROWIN a.s.</w:t>
            </w:r>
          </w:p>
        </w:tc>
        <w:tc>
          <w:tcPr>
            <w:tcW w:w="794" w:type="dxa"/>
          </w:tcPr>
          <w:p w:rsidR="000645EF" w:rsidRPr="006E0DF4" w:rsidP="00221615" w14:paraId="17BAEFF1" w14:textId="77777777">
            <w:pPr>
              <w:keepNext/>
              <w:jc w:val="right"/>
              <w:rPr>
                <w:sz w:val="20"/>
                <w:szCs w:val="20"/>
              </w:rPr>
            </w:pPr>
            <w:r w:rsidRPr="006E0DF4">
              <w:rPr>
                <w:sz w:val="20"/>
                <w:szCs w:val="20"/>
              </w:rPr>
              <w:t>0,15</w:t>
            </w:r>
          </w:p>
        </w:tc>
        <w:tc>
          <w:tcPr>
            <w:tcW w:w="794" w:type="dxa"/>
          </w:tcPr>
          <w:p w:rsidR="000645EF" w:rsidRPr="006E0DF4" w:rsidP="00221615" w14:paraId="7993A380" w14:textId="77777777">
            <w:pPr>
              <w:keepNext/>
              <w:jc w:val="right"/>
              <w:rPr>
                <w:sz w:val="20"/>
                <w:szCs w:val="20"/>
              </w:rPr>
            </w:pPr>
            <w:r w:rsidRPr="006E0DF4">
              <w:rPr>
                <w:sz w:val="20"/>
                <w:szCs w:val="20"/>
              </w:rPr>
              <w:t>0,13</w:t>
            </w:r>
          </w:p>
        </w:tc>
        <w:tc>
          <w:tcPr>
            <w:tcW w:w="794" w:type="dxa"/>
          </w:tcPr>
          <w:p w:rsidR="000645EF" w:rsidRPr="006E0DF4" w:rsidP="00221615" w14:paraId="2FF4531F" w14:textId="77777777">
            <w:pPr>
              <w:keepNext/>
              <w:jc w:val="right"/>
              <w:rPr>
                <w:sz w:val="20"/>
                <w:szCs w:val="20"/>
              </w:rPr>
            </w:pPr>
            <w:r w:rsidRPr="006E0DF4">
              <w:rPr>
                <w:sz w:val="20"/>
                <w:szCs w:val="20"/>
              </w:rPr>
              <w:t>0,09</w:t>
            </w:r>
          </w:p>
        </w:tc>
        <w:tc>
          <w:tcPr>
            <w:tcW w:w="794" w:type="dxa"/>
          </w:tcPr>
          <w:p w:rsidR="000645EF" w:rsidRPr="006E0DF4" w:rsidP="00221615" w14:paraId="4B259C36" w14:textId="77777777">
            <w:pPr>
              <w:keepNext/>
              <w:jc w:val="right"/>
              <w:rPr>
                <w:sz w:val="20"/>
                <w:szCs w:val="20"/>
              </w:rPr>
            </w:pPr>
            <w:r w:rsidRPr="006E0DF4">
              <w:rPr>
                <w:sz w:val="20"/>
                <w:szCs w:val="20"/>
              </w:rPr>
              <w:t>0,08</w:t>
            </w:r>
          </w:p>
        </w:tc>
        <w:tc>
          <w:tcPr>
            <w:tcW w:w="794" w:type="dxa"/>
          </w:tcPr>
          <w:p w:rsidR="000645EF" w:rsidRPr="006E0DF4" w:rsidP="00221615" w14:paraId="7CE6962F" w14:textId="77777777">
            <w:pPr>
              <w:keepNext/>
              <w:jc w:val="right"/>
              <w:rPr>
                <w:sz w:val="20"/>
                <w:szCs w:val="20"/>
              </w:rPr>
            </w:pPr>
            <w:r w:rsidRPr="006E0DF4">
              <w:rPr>
                <w:sz w:val="20"/>
                <w:szCs w:val="20"/>
              </w:rPr>
              <w:t>0,10</w:t>
            </w:r>
          </w:p>
        </w:tc>
        <w:tc>
          <w:tcPr>
            <w:tcW w:w="794" w:type="dxa"/>
          </w:tcPr>
          <w:p w:rsidR="000645EF" w:rsidRPr="006E0DF4" w:rsidP="00221615" w14:paraId="351C8FB9" w14:textId="77777777">
            <w:pPr>
              <w:keepNext/>
              <w:jc w:val="right"/>
              <w:rPr>
                <w:b/>
                <w:sz w:val="20"/>
                <w:szCs w:val="20"/>
              </w:rPr>
            </w:pPr>
            <w:r w:rsidRPr="006E0DF4">
              <w:rPr>
                <w:b/>
                <w:sz w:val="20"/>
                <w:szCs w:val="20"/>
              </w:rPr>
              <w:t>0,11</w:t>
            </w:r>
          </w:p>
        </w:tc>
        <w:tc>
          <w:tcPr>
            <w:tcW w:w="794" w:type="dxa"/>
          </w:tcPr>
          <w:p w:rsidR="000645EF" w:rsidRPr="006E0DF4" w:rsidP="00221615" w14:paraId="23C26F6B" w14:textId="77777777">
            <w:pPr>
              <w:keepNext/>
              <w:jc w:val="right"/>
              <w:rPr>
                <w:b/>
                <w:sz w:val="20"/>
                <w:szCs w:val="20"/>
              </w:rPr>
            </w:pPr>
            <w:r w:rsidRPr="006E0DF4">
              <w:rPr>
                <w:b/>
                <w:sz w:val="20"/>
                <w:szCs w:val="20"/>
              </w:rPr>
              <w:t>0,12</w:t>
            </w:r>
          </w:p>
        </w:tc>
        <w:tc>
          <w:tcPr>
            <w:tcW w:w="794" w:type="dxa"/>
          </w:tcPr>
          <w:p w:rsidR="000645EF" w:rsidRPr="006E0DF4" w:rsidP="00221615" w14:paraId="75393316" w14:textId="77777777">
            <w:pPr>
              <w:keepNext/>
              <w:jc w:val="right"/>
              <w:rPr>
                <w:b/>
                <w:sz w:val="20"/>
                <w:szCs w:val="20"/>
              </w:rPr>
            </w:pPr>
            <w:r w:rsidRPr="006E0DF4">
              <w:rPr>
                <w:b/>
                <w:sz w:val="20"/>
                <w:szCs w:val="20"/>
              </w:rPr>
              <w:t>0,10</w:t>
            </w:r>
          </w:p>
        </w:tc>
      </w:tr>
      <w:tr w14:paraId="609E5E7B" w14:textId="77777777" w:rsidTr="00C31D27">
        <w:tblPrEx>
          <w:tblW w:w="8835" w:type="dxa"/>
          <w:tblLayout w:type="fixed"/>
          <w:tblLook w:val="04A0"/>
        </w:tblPrEx>
        <w:trPr>
          <w:trHeight w:val="2"/>
        </w:trPr>
        <w:tc>
          <w:tcPr>
            <w:tcW w:w="2483" w:type="dxa"/>
          </w:tcPr>
          <w:p w:rsidR="000645EF" w:rsidRPr="006E0DF4" w:rsidP="00221615" w14:paraId="29909CAD" w14:textId="77777777">
            <w:pPr>
              <w:keepNext/>
              <w:rPr>
                <w:rFonts w:cstheme="minorHAnsi"/>
                <w:sz w:val="20"/>
                <w:szCs w:val="20"/>
              </w:rPr>
            </w:pPr>
            <w:r w:rsidRPr="006E0DF4">
              <w:rPr>
                <w:rFonts w:cstheme="minorHAnsi"/>
                <w:sz w:val="20"/>
                <w:szCs w:val="20"/>
              </w:rPr>
              <w:t>KS REMA Systém, a.s.</w:t>
            </w:r>
          </w:p>
        </w:tc>
        <w:tc>
          <w:tcPr>
            <w:tcW w:w="794" w:type="dxa"/>
          </w:tcPr>
          <w:p w:rsidR="000645EF" w:rsidRPr="006E0DF4" w:rsidP="00221615" w14:paraId="2BD760EE" w14:textId="77777777">
            <w:pPr>
              <w:keepNext/>
              <w:jc w:val="right"/>
              <w:rPr>
                <w:sz w:val="20"/>
                <w:szCs w:val="20"/>
              </w:rPr>
            </w:pPr>
            <w:r w:rsidRPr="006E0DF4">
              <w:rPr>
                <w:sz w:val="20"/>
                <w:szCs w:val="20"/>
              </w:rPr>
              <w:t>0,06</w:t>
            </w:r>
          </w:p>
        </w:tc>
        <w:tc>
          <w:tcPr>
            <w:tcW w:w="794" w:type="dxa"/>
          </w:tcPr>
          <w:p w:rsidR="000645EF" w:rsidRPr="006E0DF4" w:rsidP="00221615" w14:paraId="00AE5A44" w14:textId="77777777">
            <w:pPr>
              <w:keepNext/>
              <w:jc w:val="right"/>
              <w:rPr>
                <w:sz w:val="20"/>
                <w:szCs w:val="20"/>
              </w:rPr>
            </w:pPr>
            <w:r w:rsidRPr="006E0DF4">
              <w:rPr>
                <w:sz w:val="20"/>
                <w:szCs w:val="20"/>
              </w:rPr>
              <w:t>0,08</w:t>
            </w:r>
          </w:p>
        </w:tc>
        <w:tc>
          <w:tcPr>
            <w:tcW w:w="794" w:type="dxa"/>
          </w:tcPr>
          <w:p w:rsidR="000645EF" w:rsidRPr="006E0DF4" w:rsidP="00221615" w14:paraId="3BC980FA" w14:textId="77777777">
            <w:pPr>
              <w:keepNext/>
              <w:jc w:val="right"/>
              <w:rPr>
                <w:sz w:val="20"/>
                <w:szCs w:val="20"/>
              </w:rPr>
            </w:pPr>
            <w:r w:rsidRPr="006E0DF4">
              <w:rPr>
                <w:sz w:val="20"/>
                <w:szCs w:val="20"/>
              </w:rPr>
              <w:t>0,08</w:t>
            </w:r>
          </w:p>
        </w:tc>
        <w:tc>
          <w:tcPr>
            <w:tcW w:w="794" w:type="dxa"/>
          </w:tcPr>
          <w:p w:rsidR="000645EF" w:rsidRPr="006E0DF4" w:rsidP="00221615" w14:paraId="3C65B8FC" w14:textId="77777777">
            <w:pPr>
              <w:keepNext/>
              <w:jc w:val="right"/>
              <w:rPr>
                <w:sz w:val="20"/>
                <w:szCs w:val="20"/>
              </w:rPr>
            </w:pPr>
            <w:r w:rsidRPr="006E0DF4">
              <w:rPr>
                <w:sz w:val="20"/>
                <w:szCs w:val="20"/>
              </w:rPr>
              <w:t>0,15</w:t>
            </w:r>
          </w:p>
        </w:tc>
        <w:tc>
          <w:tcPr>
            <w:tcW w:w="794" w:type="dxa"/>
          </w:tcPr>
          <w:p w:rsidR="000645EF" w:rsidRPr="006E0DF4" w:rsidP="00221615" w14:paraId="25766966" w14:textId="77777777">
            <w:pPr>
              <w:keepNext/>
              <w:jc w:val="right"/>
              <w:rPr>
                <w:sz w:val="20"/>
                <w:szCs w:val="20"/>
              </w:rPr>
            </w:pPr>
            <w:r w:rsidRPr="006E0DF4">
              <w:rPr>
                <w:sz w:val="20"/>
                <w:szCs w:val="20"/>
              </w:rPr>
              <w:t>0,17</w:t>
            </w:r>
          </w:p>
        </w:tc>
        <w:tc>
          <w:tcPr>
            <w:tcW w:w="794" w:type="dxa"/>
          </w:tcPr>
          <w:p w:rsidR="000645EF" w:rsidRPr="006E0DF4" w:rsidP="00221615" w14:paraId="4AB63D54" w14:textId="77777777">
            <w:pPr>
              <w:keepNext/>
              <w:jc w:val="right"/>
              <w:rPr>
                <w:b/>
                <w:sz w:val="20"/>
                <w:szCs w:val="20"/>
              </w:rPr>
            </w:pPr>
            <w:r w:rsidRPr="006E0DF4">
              <w:rPr>
                <w:b/>
                <w:sz w:val="20"/>
                <w:szCs w:val="20"/>
              </w:rPr>
              <w:t>0,21</w:t>
            </w:r>
          </w:p>
        </w:tc>
        <w:tc>
          <w:tcPr>
            <w:tcW w:w="794" w:type="dxa"/>
          </w:tcPr>
          <w:p w:rsidR="000645EF" w:rsidRPr="006E0DF4" w:rsidP="00221615" w14:paraId="4C5BA019" w14:textId="77777777">
            <w:pPr>
              <w:keepNext/>
              <w:jc w:val="right"/>
              <w:rPr>
                <w:b/>
                <w:sz w:val="20"/>
                <w:szCs w:val="20"/>
              </w:rPr>
            </w:pPr>
            <w:r w:rsidRPr="006E0DF4">
              <w:rPr>
                <w:b/>
                <w:sz w:val="20"/>
                <w:szCs w:val="20"/>
              </w:rPr>
              <w:t>0,18</w:t>
            </w:r>
          </w:p>
        </w:tc>
        <w:tc>
          <w:tcPr>
            <w:tcW w:w="794" w:type="dxa"/>
          </w:tcPr>
          <w:p w:rsidR="000645EF" w:rsidRPr="006E0DF4" w:rsidP="00221615" w14:paraId="7219BE17" w14:textId="77777777">
            <w:pPr>
              <w:keepNext/>
              <w:jc w:val="right"/>
              <w:rPr>
                <w:b/>
                <w:sz w:val="20"/>
                <w:szCs w:val="20"/>
              </w:rPr>
            </w:pPr>
            <w:r w:rsidRPr="006E0DF4">
              <w:rPr>
                <w:b/>
                <w:sz w:val="20"/>
                <w:szCs w:val="20"/>
              </w:rPr>
              <w:t>0,15</w:t>
            </w:r>
          </w:p>
        </w:tc>
      </w:tr>
      <w:tr w14:paraId="004FB2B9" w14:textId="77777777" w:rsidTr="000645EF">
        <w:tblPrEx>
          <w:tblW w:w="8835" w:type="dxa"/>
          <w:tblLayout w:type="fixed"/>
          <w:tblLook w:val="04A0"/>
        </w:tblPrEx>
        <w:trPr>
          <w:trHeight w:val="2"/>
        </w:trPr>
        <w:tc>
          <w:tcPr>
            <w:tcW w:w="2483" w:type="dxa"/>
          </w:tcPr>
          <w:p w:rsidR="000645EF" w:rsidRPr="006E0DF4" w:rsidP="00221615" w14:paraId="369B84B4" w14:textId="77777777">
            <w:pPr>
              <w:keepNext/>
              <w:rPr>
                <w:rFonts w:cstheme="minorHAnsi"/>
                <w:sz w:val="20"/>
                <w:szCs w:val="20"/>
              </w:rPr>
            </w:pPr>
            <w:r w:rsidRPr="006E0DF4">
              <w:rPr>
                <w:rFonts w:cstheme="minorHAnsi"/>
                <w:sz w:val="20"/>
                <w:szCs w:val="20"/>
              </w:rPr>
              <w:t>KS RETELA, s.r.o.</w:t>
            </w:r>
          </w:p>
        </w:tc>
        <w:tc>
          <w:tcPr>
            <w:tcW w:w="794" w:type="dxa"/>
          </w:tcPr>
          <w:p w:rsidR="000645EF" w:rsidRPr="006E0DF4" w:rsidP="00221615" w14:paraId="073EB613" w14:textId="77777777">
            <w:pPr>
              <w:keepNext/>
              <w:jc w:val="right"/>
              <w:rPr>
                <w:sz w:val="20"/>
                <w:szCs w:val="20"/>
              </w:rPr>
            </w:pPr>
            <w:r w:rsidRPr="006E0DF4">
              <w:rPr>
                <w:sz w:val="20"/>
                <w:szCs w:val="20"/>
              </w:rPr>
              <w:t>0,15</w:t>
            </w:r>
          </w:p>
        </w:tc>
        <w:tc>
          <w:tcPr>
            <w:tcW w:w="794" w:type="dxa"/>
          </w:tcPr>
          <w:p w:rsidR="000645EF" w:rsidRPr="006E0DF4" w:rsidP="00221615" w14:paraId="0BDBB1B9" w14:textId="77777777">
            <w:pPr>
              <w:keepNext/>
              <w:jc w:val="right"/>
              <w:rPr>
                <w:sz w:val="20"/>
                <w:szCs w:val="20"/>
              </w:rPr>
            </w:pPr>
            <w:r w:rsidRPr="006E0DF4">
              <w:rPr>
                <w:sz w:val="20"/>
                <w:szCs w:val="20"/>
              </w:rPr>
              <w:t>0,15</w:t>
            </w:r>
          </w:p>
        </w:tc>
        <w:tc>
          <w:tcPr>
            <w:tcW w:w="794" w:type="dxa"/>
          </w:tcPr>
          <w:p w:rsidR="000645EF" w:rsidRPr="006E0DF4" w:rsidP="00221615" w14:paraId="063DD03D" w14:textId="77777777">
            <w:pPr>
              <w:keepNext/>
              <w:jc w:val="right"/>
              <w:rPr>
                <w:sz w:val="20"/>
                <w:szCs w:val="20"/>
              </w:rPr>
            </w:pPr>
            <w:r w:rsidRPr="006E0DF4">
              <w:rPr>
                <w:sz w:val="20"/>
                <w:szCs w:val="20"/>
              </w:rPr>
              <w:t>0,14</w:t>
            </w:r>
          </w:p>
        </w:tc>
        <w:tc>
          <w:tcPr>
            <w:tcW w:w="794" w:type="dxa"/>
          </w:tcPr>
          <w:p w:rsidR="000645EF" w:rsidRPr="006E0DF4" w:rsidP="00221615" w14:paraId="0C6A7953" w14:textId="77777777">
            <w:pPr>
              <w:keepNext/>
              <w:jc w:val="right"/>
              <w:rPr>
                <w:sz w:val="20"/>
                <w:szCs w:val="20"/>
              </w:rPr>
            </w:pPr>
            <w:r w:rsidRPr="006E0DF4">
              <w:rPr>
                <w:sz w:val="20"/>
                <w:szCs w:val="20"/>
              </w:rPr>
              <w:t>0,14</w:t>
            </w:r>
          </w:p>
        </w:tc>
        <w:tc>
          <w:tcPr>
            <w:tcW w:w="794" w:type="dxa"/>
          </w:tcPr>
          <w:p w:rsidR="000645EF" w:rsidRPr="006E0DF4" w:rsidP="00221615" w14:paraId="6BBD0B5D" w14:textId="77777777">
            <w:pPr>
              <w:keepNext/>
              <w:jc w:val="right"/>
              <w:rPr>
                <w:sz w:val="20"/>
                <w:szCs w:val="20"/>
              </w:rPr>
            </w:pPr>
            <w:r w:rsidRPr="006E0DF4">
              <w:rPr>
                <w:sz w:val="20"/>
                <w:szCs w:val="20"/>
              </w:rPr>
              <w:t>0,17</w:t>
            </w:r>
          </w:p>
        </w:tc>
        <w:tc>
          <w:tcPr>
            <w:tcW w:w="794" w:type="dxa"/>
          </w:tcPr>
          <w:p w:rsidR="000645EF" w:rsidRPr="006E0DF4" w:rsidP="00221615" w14:paraId="4E69E10D" w14:textId="77777777">
            <w:pPr>
              <w:keepNext/>
              <w:jc w:val="right"/>
              <w:rPr>
                <w:b/>
                <w:sz w:val="20"/>
                <w:szCs w:val="20"/>
              </w:rPr>
            </w:pPr>
            <w:r w:rsidRPr="006E0DF4">
              <w:rPr>
                <w:b/>
                <w:sz w:val="20"/>
                <w:szCs w:val="20"/>
              </w:rPr>
              <w:t>0,17</w:t>
            </w:r>
          </w:p>
        </w:tc>
        <w:tc>
          <w:tcPr>
            <w:tcW w:w="794" w:type="dxa"/>
          </w:tcPr>
          <w:p w:rsidR="000645EF" w:rsidRPr="006E0DF4" w:rsidP="00221615" w14:paraId="4EEB89B6" w14:textId="77777777">
            <w:pPr>
              <w:keepNext/>
              <w:jc w:val="right"/>
              <w:rPr>
                <w:b/>
                <w:sz w:val="20"/>
                <w:szCs w:val="20"/>
              </w:rPr>
            </w:pPr>
            <w:r w:rsidRPr="006E0DF4">
              <w:rPr>
                <w:b/>
                <w:sz w:val="20"/>
                <w:szCs w:val="20"/>
              </w:rPr>
              <w:t>0,18</w:t>
            </w:r>
          </w:p>
        </w:tc>
        <w:tc>
          <w:tcPr>
            <w:tcW w:w="794" w:type="dxa"/>
          </w:tcPr>
          <w:p w:rsidR="000645EF" w:rsidRPr="006E0DF4" w:rsidP="00221615" w14:paraId="3D0EEABA" w14:textId="77777777">
            <w:pPr>
              <w:keepNext/>
              <w:jc w:val="right"/>
              <w:rPr>
                <w:b/>
                <w:sz w:val="20"/>
                <w:szCs w:val="20"/>
              </w:rPr>
            </w:pPr>
            <w:r w:rsidRPr="006E0DF4">
              <w:rPr>
                <w:b/>
                <w:sz w:val="20"/>
                <w:szCs w:val="20"/>
              </w:rPr>
              <w:t>0,28</w:t>
            </w:r>
          </w:p>
        </w:tc>
      </w:tr>
    </w:tbl>
    <w:p w:rsidR="000645EF" w:rsidRPr="00C31D27" w:rsidP="00221615" w14:paraId="0C880BD2" w14:textId="77777777">
      <w:pPr>
        <w:widowControl w:val="0"/>
        <w:jc w:val="right"/>
        <w:rPr>
          <w:rFonts w:cs="Arial"/>
          <w:b/>
          <w:i/>
          <w:iCs/>
          <w:noProof w:val="0"/>
          <w:color w:val="000000"/>
          <w:lang w:eastAsia="cs-CZ" w:bidi="ar-SA"/>
        </w:rPr>
      </w:pPr>
      <w:r w:rsidRPr="00BA221C">
        <w:rPr>
          <w:sz w:val="20"/>
          <w:szCs w:val="20"/>
        </w:rPr>
        <w:t>Zdroj: Analýza KS EEZ v ČR, Green Solution 2015</w:t>
      </w:r>
    </w:p>
    <w:p w:rsidR="00CF37A8" w:rsidRPr="00221615" w14:paraId="5A3A3C00" w14:textId="77777777">
      <w:pPr>
        <w:pStyle w:val="Caption"/>
        <w:rPr>
          <w:sz w:val="20"/>
          <w:szCs w:val="20"/>
        </w:rPr>
      </w:pPr>
      <w:r w:rsidRPr="00221615">
        <w:rPr>
          <w:sz w:val="20"/>
          <w:szCs w:val="20"/>
        </w:rPr>
        <w:t xml:space="preserve">Graf </w:t>
      </w:r>
      <w:r w:rsidRPr="00221615" w:rsidR="006E0DF4">
        <w:rPr>
          <w:sz w:val="20"/>
          <w:szCs w:val="20"/>
        </w:rPr>
        <w:t>7</w:t>
      </w:r>
      <w:r w:rsidRPr="00221615">
        <w:rPr>
          <w:sz w:val="20"/>
          <w:szCs w:val="20"/>
        </w:rPr>
        <w:t>: - Porovnání vývoje mzdových nákladů na výkonech (osobní náklady v Kč na 1kg sebraných EEZ) 2011-2013</w:t>
      </w:r>
    </w:p>
    <w:p w:rsidR="000645EF" w:rsidP="00314F00" w14:paraId="071CA383" w14:textId="77777777">
      <w:pPr>
        <w:widowControl w:val="0"/>
        <w:rPr>
          <w:rFonts w:cs="Arial"/>
          <w:i/>
          <w:iCs/>
          <w:noProof w:val="0"/>
          <w:color w:val="000000"/>
          <w:sz w:val="20"/>
          <w:szCs w:val="20"/>
          <w:lang w:eastAsia="cs-CZ" w:bidi="ar-SA"/>
        </w:rPr>
      </w:pPr>
      <w:r>
        <w:rPr>
          <w:lang w:eastAsia="cs-CZ" w:bidi="ar-SA"/>
        </w:rPr>
        <w:drawing>
          <wp:inline distT="0" distB="0" distL="0" distR="0">
            <wp:extent cx="4872992" cy="3078480"/>
            <wp:effectExtent l="0" t="0" r="3810" b="762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37A8" w:rsidP="00221615" w14:paraId="70B982C6" w14:textId="77777777">
      <w:pPr>
        <w:widowControl w:val="0"/>
        <w:jc w:val="right"/>
        <w:rPr>
          <w:rFonts w:cs="Arial"/>
          <w:i/>
          <w:iCs/>
          <w:noProof w:val="0"/>
          <w:color w:val="000000"/>
          <w:sz w:val="20"/>
          <w:szCs w:val="20"/>
          <w:lang w:eastAsia="cs-CZ" w:bidi="ar-SA"/>
        </w:rPr>
      </w:pPr>
      <w:r w:rsidRPr="00E7024A">
        <w:rPr>
          <w:sz w:val="20"/>
          <w:szCs w:val="20"/>
        </w:rPr>
        <w:t>Zdroj: Green Solution</w:t>
      </w:r>
    </w:p>
    <w:p w:rsidR="00CF37A8" w:rsidRPr="00221615" w14:paraId="17DAC9E3" w14:textId="77777777">
      <w:pPr>
        <w:pStyle w:val="Caption"/>
        <w:rPr>
          <w:sz w:val="20"/>
          <w:szCs w:val="20"/>
        </w:rPr>
      </w:pPr>
      <w:r w:rsidRPr="00221615">
        <w:rPr>
          <w:sz w:val="20"/>
          <w:szCs w:val="20"/>
        </w:rPr>
        <w:t xml:space="preserve">Graf </w:t>
      </w:r>
      <w:r w:rsidRPr="00221615" w:rsidR="006E0DF4">
        <w:rPr>
          <w:sz w:val="20"/>
          <w:szCs w:val="20"/>
        </w:rPr>
        <w:t>8</w:t>
      </w:r>
      <w:r w:rsidRPr="00221615">
        <w:rPr>
          <w:sz w:val="20"/>
          <w:szCs w:val="20"/>
        </w:rPr>
        <w:t>: Porovnání vývoje poměru mzdových nákladů k výkonové spotřebě (poměr osobních nákladů k výkonové spotřebě v %) 2011-2013</w:t>
      </w:r>
    </w:p>
    <w:p w:rsidR="00CF37A8" w:rsidP="00314F00" w14:paraId="3F7FC8EE" w14:textId="77777777">
      <w:pPr>
        <w:widowControl w:val="0"/>
        <w:rPr>
          <w:rFonts w:cs="Arial"/>
          <w:i/>
          <w:iCs/>
          <w:noProof w:val="0"/>
          <w:color w:val="000000"/>
          <w:sz w:val="20"/>
          <w:szCs w:val="20"/>
          <w:lang w:eastAsia="cs-CZ" w:bidi="ar-SA"/>
        </w:rPr>
      </w:pPr>
      <w:r>
        <w:rPr>
          <w:lang w:eastAsia="cs-CZ" w:bidi="ar-SA"/>
        </w:rPr>
        <w:drawing>
          <wp:inline distT="0" distB="0" distL="0" distR="0">
            <wp:extent cx="4786857" cy="2522220"/>
            <wp:effectExtent l="0" t="0" r="13970" b="11430"/>
            <wp:docPr id="1344" name="Graf 1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7CB3" w:rsidRPr="00221615" w:rsidP="00437CB3" w14:paraId="244C2688" w14:textId="77777777">
      <w:pPr>
        <w:jc w:val="right"/>
        <w:rPr>
          <w:i/>
        </w:rPr>
      </w:pPr>
      <w:r w:rsidRPr="00221615">
        <w:rPr>
          <w:i/>
          <w:sz w:val="20"/>
          <w:szCs w:val="20"/>
        </w:rPr>
        <w:t>Zdroj: Analýza KS EEZ v ČR, Green Solution 2015</w:t>
      </w:r>
    </w:p>
    <w:p w:rsidR="006C1CA1" w:rsidP="00CF37A8" w14:paraId="186F019B" w14:textId="77777777"/>
    <w:p w:rsidR="00CF37A8" w:rsidP="00CF37A8" w14:paraId="759D54BF" w14:textId="77777777">
      <w:r w:rsidRPr="00F116E0">
        <w:t>Z porovnání vyplývá, že nejnižší mzdové náklady na 1 kg sebraných EEZ vykázal v</w:t>
      </w:r>
      <w:r w:rsidR="006C1CA1">
        <w:t> </w:t>
      </w:r>
      <w:r w:rsidRPr="00F116E0">
        <w:t>letech</w:t>
      </w:r>
      <w:r w:rsidR="006C1CA1">
        <w:t xml:space="preserve"> 2011-2013</w:t>
      </w:r>
      <w:r w:rsidRPr="002B542A">
        <w:t xml:space="preserve"> KS ELEKTROWIN. V tomto případě jsou data ovlivněna především tím, že KS ELEKTROWIN sbírá zejména EEZ ze skupiny 1, tedy s největší hmotností</w:t>
      </w:r>
      <w:r w:rsidRPr="00F116E0">
        <w:t>. Doplněné porovnání vývoje mzdových nákladů k výkonové spotřebě,</w:t>
      </w:r>
      <w:r w:rsidRPr="002B542A">
        <w:t xml:space="preserve"> ale potvrzuje předchozí ukazatel, tedy že nejnižší </w:t>
      </w:r>
      <w:r>
        <w:t xml:space="preserve">mzdové náklady </w:t>
      </w:r>
      <w:r w:rsidRPr="002B542A">
        <w:t>má KS ELEKTROWIN a ASEKOL.</w:t>
      </w:r>
    </w:p>
    <w:p w:rsidR="00CF37A8" w14:paraId="2FC9217E" w14:textId="77777777">
      <w:r>
        <w:t xml:space="preserve">Provozní efektivitu jednotlivých kolektivních systémů lze také orientačně sledovat prostřednictvím investičních nákladů do sběrných prostředků nezbytných pro sběr EEZ a tedy plnění jedné z nejdůležitějších funkcí </w:t>
      </w:r>
      <w:r w:rsidR="006C1CA1">
        <w:t>KS</w:t>
      </w:r>
      <w:r>
        <w:t xml:space="preserve">. Většina </w:t>
      </w:r>
      <w:r w:rsidR="006C1CA1">
        <w:t>KS</w:t>
      </w:r>
      <w:r>
        <w:t xml:space="preserve"> eviduje tuto položku </w:t>
      </w:r>
      <w:r w:rsidRPr="00F116E0">
        <w:t>v dlouhodobém hmotném majetku</w:t>
      </w:r>
      <w:r>
        <w:t xml:space="preserve">. Výše investic pak do sběrných prostředků představuje dle sdělení KS cca 80 %. Abychom rozlišili efektivitu spojenou přímo s vybaveností jednotlivých sběrných míst, porovnáme jednotlivé </w:t>
      </w:r>
      <w:r w:rsidR="006C1CA1">
        <w:t>KS</w:t>
      </w:r>
      <w:r>
        <w:t xml:space="preserve"> z hlediska výše investice do jednoho sběrného místa. </w:t>
      </w:r>
    </w:p>
    <w:p w:rsidR="00CD0A2B" w:rsidRPr="00221615" w:rsidP="004A0BCD" w14:paraId="5216AD39" w14:textId="289A6F3A">
      <w:pPr>
        <w:pStyle w:val="Caption"/>
        <w:rPr>
          <w:sz w:val="20"/>
          <w:szCs w:val="20"/>
        </w:rPr>
      </w:pPr>
      <w:r w:rsidRPr="00221615">
        <w:rPr>
          <w:sz w:val="20"/>
          <w:szCs w:val="20"/>
        </w:rPr>
        <w:t xml:space="preserve">Tabulka </w:t>
      </w:r>
      <w:r w:rsidR="000B681B">
        <w:rPr>
          <w:sz w:val="20"/>
          <w:szCs w:val="20"/>
        </w:rPr>
        <w:t>3</w:t>
      </w:r>
      <w:r w:rsidR="00925F10">
        <w:rPr>
          <w:sz w:val="20"/>
          <w:szCs w:val="20"/>
        </w:rPr>
        <w:t>8</w:t>
      </w:r>
      <w:r w:rsidRPr="00221615">
        <w:rPr>
          <w:sz w:val="20"/>
          <w:szCs w:val="20"/>
        </w:rPr>
        <w:t>: Vývoj investic (dlouhodobý hmotný majetek) v Kč do sběrných prostředků na</w:t>
      </w:r>
      <w:r w:rsidR="0058340D">
        <w:rPr>
          <w:sz w:val="20"/>
          <w:szCs w:val="20"/>
        </w:rPr>
        <w:t> </w:t>
      </w:r>
      <w:r w:rsidRPr="00221615">
        <w:rPr>
          <w:sz w:val="20"/>
          <w:szCs w:val="20"/>
        </w:rPr>
        <w:t>jednom sběrném místě 2006-2013</w:t>
      </w:r>
    </w:p>
    <w:tbl>
      <w:tblPr>
        <w:tblStyle w:val="LightGridAccent5"/>
        <w:tblW w:w="9131" w:type="dxa"/>
        <w:tblLayout w:type="fixed"/>
        <w:tblLook w:val="04A0"/>
      </w:tblPr>
      <w:tblGrid>
        <w:gridCol w:w="2567"/>
        <w:gridCol w:w="820"/>
        <w:gridCol w:w="821"/>
        <w:gridCol w:w="820"/>
        <w:gridCol w:w="821"/>
        <w:gridCol w:w="820"/>
        <w:gridCol w:w="821"/>
        <w:gridCol w:w="820"/>
        <w:gridCol w:w="821"/>
      </w:tblGrid>
      <w:tr w14:paraId="3831BFE8" w14:textId="77777777" w:rsidTr="00480662">
        <w:tblPrEx>
          <w:tblW w:w="9131" w:type="dxa"/>
          <w:tblLayout w:type="fixed"/>
          <w:tblLook w:val="04A0"/>
        </w:tblPrEx>
        <w:trPr>
          <w:trHeight w:val="224"/>
        </w:trPr>
        <w:tc>
          <w:tcPr>
            <w:tcW w:w="2567" w:type="dxa"/>
          </w:tcPr>
          <w:p w:rsidR="00CF37A8" w:rsidRPr="0058340D" w:rsidP="0022441D" w14:paraId="4B00445D" w14:textId="77777777">
            <w:pPr>
              <w:rPr>
                <w:sz w:val="20"/>
                <w:szCs w:val="20"/>
              </w:rPr>
            </w:pPr>
            <w:r w:rsidRPr="0058340D">
              <w:rPr>
                <w:sz w:val="20"/>
                <w:szCs w:val="20"/>
              </w:rPr>
              <w:t xml:space="preserve">Kolektivní systém </w:t>
            </w:r>
          </w:p>
        </w:tc>
        <w:tc>
          <w:tcPr>
            <w:tcW w:w="820" w:type="dxa"/>
          </w:tcPr>
          <w:p w:rsidR="00CF37A8" w:rsidRPr="0058340D" w:rsidP="005B4E5E" w14:paraId="644B89C3" w14:textId="77777777">
            <w:pPr>
              <w:jc w:val="center"/>
              <w:rPr>
                <w:sz w:val="20"/>
                <w:szCs w:val="20"/>
              </w:rPr>
            </w:pPr>
            <w:r w:rsidRPr="0058340D">
              <w:rPr>
                <w:sz w:val="20"/>
                <w:szCs w:val="20"/>
              </w:rPr>
              <w:t>2006</w:t>
            </w:r>
          </w:p>
        </w:tc>
        <w:tc>
          <w:tcPr>
            <w:tcW w:w="821" w:type="dxa"/>
          </w:tcPr>
          <w:p w:rsidR="00CF37A8" w:rsidRPr="0058340D" w:rsidP="005B4E5E" w14:paraId="40F0DFD9" w14:textId="77777777">
            <w:pPr>
              <w:jc w:val="center"/>
              <w:rPr>
                <w:sz w:val="20"/>
                <w:szCs w:val="20"/>
              </w:rPr>
            </w:pPr>
            <w:r w:rsidRPr="0058340D">
              <w:rPr>
                <w:sz w:val="20"/>
                <w:szCs w:val="20"/>
              </w:rPr>
              <w:t>2007</w:t>
            </w:r>
          </w:p>
        </w:tc>
        <w:tc>
          <w:tcPr>
            <w:tcW w:w="820" w:type="dxa"/>
          </w:tcPr>
          <w:p w:rsidR="00CF37A8" w:rsidRPr="0058340D" w:rsidP="005B4E5E" w14:paraId="73C851C9" w14:textId="77777777">
            <w:pPr>
              <w:jc w:val="center"/>
              <w:rPr>
                <w:sz w:val="20"/>
                <w:szCs w:val="20"/>
              </w:rPr>
            </w:pPr>
            <w:r w:rsidRPr="0058340D">
              <w:rPr>
                <w:sz w:val="20"/>
                <w:szCs w:val="20"/>
              </w:rPr>
              <w:t>2008</w:t>
            </w:r>
          </w:p>
        </w:tc>
        <w:tc>
          <w:tcPr>
            <w:tcW w:w="821" w:type="dxa"/>
          </w:tcPr>
          <w:p w:rsidR="00CF37A8" w:rsidRPr="0058340D" w:rsidP="005B4E5E" w14:paraId="66F67092" w14:textId="77777777">
            <w:pPr>
              <w:jc w:val="center"/>
              <w:rPr>
                <w:sz w:val="20"/>
                <w:szCs w:val="20"/>
              </w:rPr>
            </w:pPr>
            <w:r w:rsidRPr="0058340D">
              <w:rPr>
                <w:sz w:val="20"/>
                <w:szCs w:val="20"/>
              </w:rPr>
              <w:t>2009</w:t>
            </w:r>
          </w:p>
        </w:tc>
        <w:tc>
          <w:tcPr>
            <w:tcW w:w="820" w:type="dxa"/>
          </w:tcPr>
          <w:p w:rsidR="00CF37A8" w:rsidRPr="0058340D" w:rsidP="005B4E5E" w14:paraId="17498841" w14:textId="77777777">
            <w:pPr>
              <w:jc w:val="center"/>
              <w:rPr>
                <w:sz w:val="20"/>
                <w:szCs w:val="20"/>
              </w:rPr>
            </w:pPr>
            <w:r w:rsidRPr="0058340D">
              <w:rPr>
                <w:sz w:val="20"/>
                <w:szCs w:val="20"/>
              </w:rPr>
              <w:t>2010</w:t>
            </w:r>
          </w:p>
        </w:tc>
        <w:tc>
          <w:tcPr>
            <w:tcW w:w="821" w:type="dxa"/>
          </w:tcPr>
          <w:p w:rsidR="00CF37A8" w:rsidRPr="0058340D" w:rsidP="005B4E5E" w14:paraId="7AFCD8B6" w14:textId="77777777">
            <w:pPr>
              <w:jc w:val="center"/>
              <w:rPr>
                <w:sz w:val="20"/>
                <w:szCs w:val="20"/>
              </w:rPr>
            </w:pPr>
            <w:r w:rsidRPr="0058340D">
              <w:rPr>
                <w:sz w:val="20"/>
                <w:szCs w:val="20"/>
              </w:rPr>
              <w:t>2011</w:t>
            </w:r>
          </w:p>
        </w:tc>
        <w:tc>
          <w:tcPr>
            <w:tcW w:w="820" w:type="dxa"/>
          </w:tcPr>
          <w:p w:rsidR="00CF37A8" w:rsidRPr="0058340D" w:rsidP="005B4E5E" w14:paraId="5112B9AC" w14:textId="77777777">
            <w:pPr>
              <w:jc w:val="center"/>
              <w:rPr>
                <w:sz w:val="20"/>
                <w:szCs w:val="20"/>
              </w:rPr>
            </w:pPr>
            <w:r w:rsidRPr="0058340D">
              <w:rPr>
                <w:sz w:val="20"/>
                <w:szCs w:val="20"/>
              </w:rPr>
              <w:t>2012</w:t>
            </w:r>
          </w:p>
        </w:tc>
        <w:tc>
          <w:tcPr>
            <w:tcW w:w="821" w:type="dxa"/>
          </w:tcPr>
          <w:p w:rsidR="00CF37A8" w:rsidRPr="0058340D" w:rsidP="005B4E5E" w14:paraId="5669E98E" w14:textId="77777777">
            <w:pPr>
              <w:jc w:val="center"/>
              <w:rPr>
                <w:sz w:val="20"/>
                <w:szCs w:val="20"/>
              </w:rPr>
            </w:pPr>
            <w:r w:rsidRPr="0058340D">
              <w:rPr>
                <w:sz w:val="20"/>
                <w:szCs w:val="20"/>
              </w:rPr>
              <w:t>2013</w:t>
            </w:r>
          </w:p>
        </w:tc>
      </w:tr>
      <w:tr w14:paraId="0632F322" w14:textId="77777777" w:rsidTr="00480662">
        <w:tblPrEx>
          <w:tblW w:w="9131" w:type="dxa"/>
          <w:tblLayout w:type="fixed"/>
          <w:tblLook w:val="04A0"/>
        </w:tblPrEx>
        <w:trPr>
          <w:trHeight w:val="407"/>
        </w:trPr>
        <w:tc>
          <w:tcPr>
            <w:tcW w:w="2567" w:type="dxa"/>
          </w:tcPr>
          <w:p w:rsidR="00CF37A8" w:rsidRPr="005B4E5E" w:rsidP="0022441D" w14:paraId="679C0085" w14:textId="77777777">
            <w:pPr>
              <w:rPr>
                <w:rFonts w:cstheme="minorHAnsi"/>
                <w:sz w:val="20"/>
                <w:szCs w:val="20"/>
              </w:rPr>
            </w:pPr>
            <w:r w:rsidRPr="005B4E5E">
              <w:rPr>
                <w:rFonts w:cstheme="minorHAnsi"/>
                <w:sz w:val="20"/>
                <w:szCs w:val="20"/>
              </w:rPr>
              <w:t>KS ASEKOL a.s.</w:t>
            </w:r>
          </w:p>
        </w:tc>
        <w:tc>
          <w:tcPr>
            <w:tcW w:w="820" w:type="dxa"/>
          </w:tcPr>
          <w:p w:rsidR="00CF37A8" w:rsidRPr="005B4E5E" w:rsidP="005B4E5E" w14:paraId="66CCD4F7" w14:textId="77777777">
            <w:pPr>
              <w:jc w:val="center"/>
              <w:rPr>
                <w:sz w:val="20"/>
                <w:szCs w:val="20"/>
              </w:rPr>
            </w:pPr>
            <w:r w:rsidRPr="005B4E5E">
              <w:rPr>
                <w:sz w:val="20"/>
                <w:szCs w:val="20"/>
              </w:rPr>
              <w:t>1508</w:t>
            </w:r>
          </w:p>
        </w:tc>
        <w:tc>
          <w:tcPr>
            <w:tcW w:w="821" w:type="dxa"/>
          </w:tcPr>
          <w:p w:rsidR="00CF37A8" w:rsidRPr="005B4E5E" w:rsidP="005B4E5E" w14:paraId="5B130216" w14:textId="77777777">
            <w:pPr>
              <w:jc w:val="center"/>
              <w:rPr>
                <w:sz w:val="20"/>
                <w:szCs w:val="20"/>
              </w:rPr>
            </w:pPr>
            <w:r w:rsidRPr="005B4E5E">
              <w:rPr>
                <w:sz w:val="20"/>
                <w:szCs w:val="20"/>
              </w:rPr>
              <w:t>1441</w:t>
            </w:r>
          </w:p>
        </w:tc>
        <w:tc>
          <w:tcPr>
            <w:tcW w:w="820" w:type="dxa"/>
          </w:tcPr>
          <w:p w:rsidR="00CF37A8" w:rsidRPr="005B4E5E" w:rsidP="005B4E5E" w14:paraId="0343F796" w14:textId="77777777">
            <w:pPr>
              <w:jc w:val="center"/>
              <w:rPr>
                <w:sz w:val="20"/>
                <w:szCs w:val="20"/>
              </w:rPr>
            </w:pPr>
            <w:r w:rsidRPr="005B4E5E">
              <w:rPr>
                <w:sz w:val="20"/>
                <w:szCs w:val="20"/>
              </w:rPr>
              <w:t>2298</w:t>
            </w:r>
          </w:p>
        </w:tc>
        <w:tc>
          <w:tcPr>
            <w:tcW w:w="821" w:type="dxa"/>
          </w:tcPr>
          <w:p w:rsidR="00CF37A8" w:rsidRPr="005B4E5E" w:rsidP="005B4E5E" w14:paraId="617DF70D" w14:textId="77777777">
            <w:pPr>
              <w:jc w:val="center"/>
              <w:rPr>
                <w:sz w:val="20"/>
                <w:szCs w:val="20"/>
              </w:rPr>
            </w:pPr>
            <w:r w:rsidRPr="005B4E5E">
              <w:rPr>
                <w:sz w:val="20"/>
                <w:szCs w:val="20"/>
              </w:rPr>
              <w:t>2723</w:t>
            </w:r>
          </w:p>
        </w:tc>
        <w:tc>
          <w:tcPr>
            <w:tcW w:w="820" w:type="dxa"/>
          </w:tcPr>
          <w:p w:rsidR="00CF37A8" w:rsidRPr="005B4E5E" w:rsidP="005B4E5E" w14:paraId="387BAB75" w14:textId="77777777">
            <w:pPr>
              <w:jc w:val="center"/>
              <w:rPr>
                <w:sz w:val="20"/>
                <w:szCs w:val="20"/>
              </w:rPr>
            </w:pPr>
            <w:r w:rsidRPr="005B4E5E">
              <w:rPr>
                <w:sz w:val="20"/>
                <w:szCs w:val="20"/>
              </w:rPr>
              <w:t>3333</w:t>
            </w:r>
          </w:p>
        </w:tc>
        <w:tc>
          <w:tcPr>
            <w:tcW w:w="821" w:type="dxa"/>
          </w:tcPr>
          <w:p w:rsidR="00CF37A8" w:rsidRPr="005B4E5E" w:rsidP="005B4E5E" w14:paraId="7B6D6A09" w14:textId="77777777">
            <w:pPr>
              <w:jc w:val="center"/>
              <w:rPr>
                <w:b/>
                <w:sz w:val="20"/>
                <w:szCs w:val="20"/>
              </w:rPr>
            </w:pPr>
            <w:r w:rsidRPr="005B4E5E">
              <w:rPr>
                <w:b/>
                <w:sz w:val="20"/>
                <w:szCs w:val="20"/>
              </w:rPr>
              <w:t>5220</w:t>
            </w:r>
          </w:p>
        </w:tc>
        <w:tc>
          <w:tcPr>
            <w:tcW w:w="820" w:type="dxa"/>
          </w:tcPr>
          <w:p w:rsidR="00CF37A8" w:rsidRPr="005B4E5E" w:rsidP="005B4E5E" w14:paraId="2F89E6DD" w14:textId="77777777">
            <w:pPr>
              <w:jc w:val="center"/>
              <w:rPr>
                <w:b/>
                <w:sz w:val="20"/>
                <w:szCs w:val="20"/>
              </w:rPr>
            </w:pPr>
            <w:r w:rsidRPr="005B4E5E">
              <w:rPr>
                <w:b/>
                <w:sz w:val="20"/>
                <w:szCs w:val="20"/>
              </w:rPr>
              <w:t>4857</w:t>
            </w:r>
          </w:p>
        </w:tc>
        <w:tc>
          <w:tcPr>
            <w:tcW w:w="821" w:type="dxa"/>
          </w:tcPr>
          <w:p w:rsidR="00CF37A8" w:rsidRPr="005B4E5E" w:rsidP="005B4E5E" w14:paraId="586A6F0C" w14:textId="77777777">
            <w:pPr>
              <w:jc w:val="center"/>
              <w:rPr>
                <w:b/>
                <w:sz w:val="20"/>
                <w:szCs w:val="20"/>
              </w:rPr>
            </w:pPr>
            <w:r w:rsidRPr="005B4E5E">
              <w:rPr>
                <w:b/>
                <w:sz w:val="20"/>
                <w:szCs w:val="20"/>
              </w:rPr>
              <w:t>5054</w:t>
            </w:r>
          </w:p>
        </w:tc>
      </w:tr>
      <w:tr w14:paraId="4E1FC055" w14:textId="77777777" w:rsidTr="00480662">
        <w:tblPrEx>
          <w:tblW w:w="9131" w:type="dxa"/>
          <w:tblLayout w:type="fixed"/>
          <w:tblLook w:val="04A0"/>
        </w:tblPrEx>
        <w:trPr>
          <w:trHeight w:val="421"/>
        </w:trPr>
        <w:tc>
          <w:tcPr>
            <w:tcW w:w="2567" w:type="dxa"/>
          </w:tcPr>
          <w:p w:rsidR="00CF37A8" w:rsidRPr="005B4E5E" w:rsidP="0022441D" w14:paraId="6BA615AC" w14:textId="77777777">
            <w:pPr>
              <w:rPr>
                <w:rFonts w:cstheme="minorHAnsi"/>
                <w:sz w:val="20"/>
                <w:szCs w:val="20"/>
              </w:rPr>
            </w:pPr>
            <w:r w:rsidRPr="005B4E5E">
              <w:rPr>
                <w:rFonts w:cstheme="minorHAnsi"/>
                <w:sz w:val="20"/>
                <w:szCs w:val="20"/>
              </w:rPr>
              <w:t>KS ELEKTROWIN a.s.</w:t>
            </w:r>
          </w:p>
        </w:tc>
        <w:tc>
          <w:tcPr>
            <w:tcW w:w="820" w:type="dxa"/>
          </w:tcPr>
          <w:p w:rsidR="00CF37A8" w:rsidRPr="005B4E5E" w:rsidP="005B4E5E" w14:paraId="5D9A5BC6" w14:textId="77777777">
            <w:pPr>
              <w:jc w:val="center"/>
              <w:rPr>
                <w:sz w:val="20"/>
                <w:szCs w:val="20"/>
              </w:rPr>
            </w:pPr>
            <w:r w:rsidRPr="005B4E5E">
              <w:rPr>
                <w:sz w:val="20"/>
                <w:szCs w:val="20"/>
              </w:rPr>
              <w:t>435</w:t>
            </w:r>
          </w:p>
        </w:tc>
        <w:tc>
          <w:tcPr>
            <w:tcW w:w="821" w:type="dxa"/>
          </w:tcPr>
          <w:p w:rsidR="00CF37A8" w:rsidRPr="005B4E5E" w:rsidP="005B4E5E" w14:paraId="05BF912D" w14:textId="77777777">
            <w:pPr>
              <w:jc w:val="center"/>
              <w:rPr>
                <w:sz w:val="20"/>
                <w:szCs w:val="20"/>
              </w:rPr>
            </w:pPr>
            <w:r w:rsidRPr="005B4E5E">
              <w:rPr>
                <w:sz w:val="20"/>
                <w:szCs w:val="20"/>
              </w:rPr>
              <w:t>173</w:t>
            </w:r>
          </w:p>
        </w:tc>
        <w:tc>
          <w:tcPr>
            <w:tcW w:w="820" w:type="dxa"/>
          </w:tcPr>
          <w:p w:rsidR="00CF37A8" w:rsidRPr="005B4E5E" w:rsidP="005B4E5E" w14:paraId="21312173" w14:textId="77777777">
            <w:pPr>
              <w:jc w:val="center"/>
              <w:rPr>
                <w:sz w:val="20"/>
                <w:szCs w:val="20"/>
              </w:rPr>
            </w:pPr>
            <w:r w:rsidRPr="005B4E5E">
              <w:rPr>
                <w:sz w:val="20"/>
                <w:szCs w:val="20"/>
              </w:rPr>
              <w:t>69</w:t>
            </w:r>
          </w:p>
        </w:tc>
        <w:tc>
          <w:tcPr>
            <w:tcW w:w="821" w:type="dxa"/>
          </w:tcPr>
          <w:p w:rsidR="00CF37A8" w:rsidRPr="005B4E5E" w:rsidP="005B4E5E" w14:paraId="74DCF1CB" w14:textId="77777777">
            <w:pPr>
              <w:jc w:val="center"/>
              <w:rPr>
                <w:sz w:val="20"/>
                <w:szCs w:val="20"/>
              </w:rPr>
            </w:pPr>
            <w:r w:rsidRPr="005B4E5E">
              <w:rPr>
                <w:sz w:val="20"/>
                <w:szCs w:val="20"/>
              </w:rPr>
              <w:t>645</w:t>
            </w:r>
          </w:p>
        </w:tc>
        <w:tc>
          <w:tcPr>
            <w:tcW w:w="820" w:type="dxa"/>
          </w:tcPr>
          <w:p w:rsidR="00CF37A8" w:rsidRPr="005B4E5E" w:rsidP="005B4E5E" w14:paraId="5B3501B7" w14:textId="77777777">
            <w:pPr>
              <w:jc w:val="center"/>
              <w:rPr>
                <w:sz w:val="20"/>
                <w:szCs w:val="20"/>
              </w:rPr>
            </w:pPr>
            <w:r w:rsidRPr="005B4E5E">
              <w:rPr>
                <w:sz w:val="20"/>
                <w:szCs w:val="20"/>
              </w:rPr>
              <w:t>5024</w:t>
            </w:r>
          </w:p>
        </w:tc>
        <w:tc>
          <w:tcPr>
            <w:tcW w:w="821" w:type="dxa"/>
          </w:tcPr>
          <w:p w:rsidR="00CF37A8" w:rsidRPr="005B4E5E" w:rsidP="005B4E5E" w14:paraId="1B8FA4D2" w14:textId="77777777">
            <w:pPr>
              <w:jc w:val="center"/>
              <w:rPr>
                <w:b/>
                <w:sz w:val="20"/>
                <w:szCs w:val="20"/>
              </w:rPr>
            </w:pPr>
            <w:r w:rsidRPr="005B4E5E">
              <w:rPr>
                <w:b/>
                <w:sz w:val="20"/>
                <w:szCs w:val="20"/>
              </w:rPr>
              <w:t>4107</w:t>
            </w:r>
          </w:p>
        </w:tc>
        <w:tc>
          <w:tcPr>
            <w:tcW w:w="820" w:type="dxa"/>
          </w:tcPr>
          <w:p w:rsidR="00CF37A8" w:rsidRPr="005B4E5E" w:rsidP="005B4E5E" w14:paraId="70B2CFDF" w14:textId="77777777">
            <w:pPr>
              <w:jc w:val="center"/>
              <w:rPr>
                <w:b/>
                <w:sz w:val="20"/>
                <w:szCs w:val="20"/>
              </w:rPr>
            </w:pPr>
            <w:r w:rsidRPr="005B4E5E">
              <w:rPr>
                <w:b/>
                <w:sz w:val="20"/>
                <w:szCs w:val="20"/>
              </w:rPr>
              <w:t>3538</w:t>
            </w:r>
          </w:p>
        </w:tc>
        <w:tc>
          <w:tcPr>
            <w:tcW w:w="821" w:type="dxa"/>
          </w:tcPr>
          <w:p w:rsidR="00CF37A8" w:rsidRPr="005B4E5E" w:rsidP="005B4E5E" w14:paraId="16DD9813" w14:textId="77777777">
            <w:pPr>
              <w:jc w:val="center"/>
              <w:rPr>
                <w:b/>
                <w:sz w:val="20"/>
                <w:szCs w:val="20"/>
              </w:rPr>
            </w:pPr>
            <w:r w:rsidRPr="005B4E5E">
              <w:rPr>
                <w:b/>
                <w:sz w:val="20"/>
                <w:szCs w:val="20"/>
              </w:rPr>
              <w:t>2951</w:t>
            </w:r>
          </w:p>
        </w:tc>
      </w:tr>
      <w:tr w14:paraId="1765D6F2" w14:textId="77777777" w:rsidTr="00480662">
        <w:tblPrEx>
          <w:tblW w:w="9131" w:type="dxa"/>
          <w:tblLayout w:type="fixed"/>
          <w:tblLook w:val="04A0"/>
        </w:tblPrEx>
        <w:trPr>
          <w:trHeight w:val="421"/>
        </w:trPr>
        <w:tc>
          <w:tcPr>
            <w:tcW w:w="2567" w:type="dxa"/>
          </w:tcPr>
          <w:p w:rsidR="00CF37A8" w:rsidRPr="005B4E5E" w:rsidP="0022441D" w14:paraId="332255E5" w14:textId="77777777">
            <w:pPr>
              <w:rPr>
                <w:rFonts w:cstheme="minorHAnsi"/>
                <w:sz w:val="20"/>
                <w:szCs w:val="20"/>
              </w:rPr>
            </w:pPr>
            <w:r w:rsidRPr="005B4E5E">
              <w:rPr>
                <w:rFonts w:cstheme="minorHAnsi"/>
                <w:sz w:val="20"/>
                <w:szCs w:val="20"/>
              </w:rPr>
              <w:t>KS REMA Systém, a.s.</w:t>
            </w:r>
          </w:p>
        </w:tc>
        <w:tc>
          <w:tcPr>
            <w:tcW w:w="820" w:type="dxa"/>
          </w:tcPr>
          <w:p w:rsidR="00CF37A8" w:rsidRPr="005B4E5E" w:rsidP="005B4E5E" w14:paraId="474603F0" w14:textId="77777777">
            <w:pPr>
              <w:jc w:val="center"/>
              <w:rPr>
                <w:sz w:val="20"/>
                <w:szCs w:val="20"/>
              </w:rPr>
            </w:pPr>
            <w:r w:rsidRPr="005B4E5E">
              <w:rPr>
                <w:sz w:val="20"/>
                <w:szCs w:val="20"/>
              </w:rPr>
              <w:t>-</w:t>
            </w:r>
          </w:p>
        </w:tc>
        <w:tc>
          <w:tcPr>
            <w:tcW w:w="821" w:type="dxa"/>
          </w:tcPr>
          <w:p w:rsidR="00CF37A8" w:rsidRPr="005B4E5E" w:rsidP="005B4E5E" w14:paraId="6411EE8B" w14:textId="77777777">
            <w:pPr>
              <w:jc w:val="center"/>
              <w:rPr>
                <w:sz w:val="20"/>
                <w:szCs w:val="20"/>
              </w:rPr>
            </w:pPr>
            <w:r w:rsidRPr="005B4E5E">
              <w:rPr>
                <w:sz w:val="20"/>
                <w:szCs w:val="20"/>
              </w:rPr>
              <w:t>221</w:t>
            </w:r>
          </w:p>
        </w:tc>
        <w:tc>
          <w:tcPr>
            <w:tcW w:w="820" w:type="dxa"/>
          </w:tcPr>
          <w:p w:rsidR="00CF37A8" w:rsidRPr="005B4E5E" w:rsidP="005B4E5E" w14:paraId="1EF93AF7" w14:textId="77777777">
            <w:pPr>
              <w:jc w:val="center"/>
              <w:rPr>
                <w:sz w:val="20"/>
                <w:szCs w:val="20"/>
              </w:rPr>
            </w:pPr>
            <w:r w:rsidRPr="005B4E5E">
              <w:rPr>
                <w:sz w:val="20"/>
                <w:szCs w:val="20"/>
              </w:rPr>
              <w:t>356</w:t>
            </w:r>
          </w:p>
        </w:tc>
        <w:tc>
          <w:tcPr>
            <w:tcW w:w="821" w:type="dxa"/>
          </w:tcPr>
          <w:p w:rsidR="00CF37A8" w:rsidRPr="005B4E5E" w:rsidP="005B4E5E" w14:paraId="5A57E1DB" w14:textId="77777777">
            <w:pPr>
              <w:jc w:val="center"/>
              <w:rPr>
                <w:sz w:val="20"/>
                <w:szCs w:val="20"/>
              </w:rPr>
            </w:pPr>
            <w:r w:rsidRPr="005B4E5E">
              <w:rPr>
                <w:sz w:val="20"/>
                <w:szCs w:val="20"/>
              </w:rPr>
              <w:t>295</w:t>
            </w:r>
          </w:p>
        </w:tc>
        <w:tc>
          <w:tcPr>
            <w:tcW w:w="820" w:type="dxa"/>
          </w:tcPr>
          <w:p w:rsidR="00CF37A8" w:rsidRPr="005B4E5E" w:rsidP="005B4E5E" w14:paraId="78807D60" w14:textId="77777777">
            <w:pPr>
              <w:jc w:val="center"/>
              <w:rPr>
                <w:sz w:val="20"/>
                <w:szCs w:val="20"/>
              </w:rPr>
            </w:pPr>
            <w:r w:rsidRPr="005B4E5E">
              <w:rPr>
                <w:sz w:val="20"/>
                <w:szCs w:val="20"/>
              </w:rPr>
              <w:t>228</w:t>
            </w:r>
          </w:p>
        </w:tc>
        <w:tc>
          <w:tcPr>
            <w:tcW w:w="821" w:type="dxa"/>
          </w:tcPr>
          <w:p w:rsidR="00CF37A8" w:rsidRPr="005B4E5E" w:rsidP="005B4E5E" w14:paraId="7456BE83" w14:textId="77777777">
            <w:pPr>
              <w:jc w:val="center"/>
              <w:rPr>
                <w:b/>
                <w:sz w:val="20"/>
                <w:szCs w:val="20"/>
              </w:rPr>
            </w:pPr>
            <w:r w:rsidRPr="005B4E5E">
              <w:rPr>
                <w:b/>
                <w:sz w:val="20"/>
                <w:szCs w:val="20"/>
              </w:rPr>
              <w:t>165</w:t>
            </w:r>
          </w:p>
        </w:tc>
        <w:tc>
          <w:tcPr>
            <w:tcW w:w="820" w:type="dxa"/>
          </w:tcPr>
          <w:p w:rsidR="00CF37A8" w:rsidRPr="005B4E5E" w:rsidP="005B4E5E" w14:paraId="3ED7A47F" w14:textId="77777777">
            <w:pPr>
              <w:jc w:val="center"/>
              <w:rPr>
                <w:b/>
                <w:sz w:val="20"/>
                <w:szCs w:val="20"/>
              </w:rPr>
            </w:pPr>
            <w:r w:rsidRPr="005B4E5E">
              <w:rPr>
                <w:b/>
                <w:sz w:val="20"/>
                <w:szCs w:val="20"/>
              </w:rPr>
              <w:t>174</w:t>
            </w:r>
          </w:p>
        </w:tc>
        <w:tc>
          <w:tcPr>
            <w:tcW w:w="821" w:type="dxa"/>
          </w:tcPr>
          <w:p w:rsidR="00CF37A8" w:rsidRPr="005B4E5E" w:rsidP="005B4E5E" w14:paraId="71CE6E2E" w14:textId="77777777">
            <w:pPr>
              <w:jc w:val="center"/>
              <w:rPr>
                <w:b/>
                <w:sz w:val="20"/>
                <w:szCs w:val="20"/>
              </w:rPr>
            </w:pPr>
            <w:r w:rsidRPr="005B4E5E">
              <w:rPr>
                <w:b/>
                <w:sz w:val="20"/>
                <w:szCs w:val="20"/>
              </w:rPr>
              <w:t>225</w:t>
            </w:r>
          </w:p>
        </w:tc>
      </w:tr>
      <w:tr w14:paraId="40FDD9C7" w14:textId="77777777" w:rsidTr="00480662">
        <w:tblPrEx>
          <w:tblW w:w="9131" w:type="dxa"/>
          <w:tblLayout w:type="fixed"/>
          <w:tblLook w:val="04A0"/>
        </w:tblPrEx>
        <w:trPr>
          <w:trHeight w:val="435"/>
        </w:trPr>
        <w:tc>
          <w:tcPr>
            <w:tcW w:w="2567" w:type="dxa"/>
          </w:tcPr>
          <w:p w:rsidR="00CF37A8" w:rsidRPr="005B4E5E" w:rsidP="0022441D" w14:paraId="38F3BBAF" w14:textId="77777777">
            <w:pPr>
              <w:rPr>
                <w:rFonts w:cstheme="minorHAnsi"/>
                <w:sz w:val="20"/>
                <w:szCs w:val="20"/>
              </w:rPr>
            </w:pPr>
            <w:r w:rsidRPr="005B4E5E">
              <w:rPr>
                <w:rFonts w:cstheme="minorHAnsi"/>
                <w:sz w:val="20"/>
                <w:szCs w:val="20"/>
              </w:rPr>
              <w:t>KS RETELA, s.r.o.</w:t>
            </w:r>
          </w:p>
        </w:tc>
        <w:tc>
          <w:tcPr>
            <w:tcW w:w="820" w:type="dxa"/>
          </w:tcPr>
          <w:p w:rsidR="00CF37A8" w:rsidRPr="005B4E5E" w:rsidP="005B4E5E" w14:paraId="79740422" w14:textId="77777777">
            <w:pPr>
              <w:jc w:val="center"/>
              <w:rPr>
                <w:sz w:val="20"/>
                <w:szCs w:val="20"/>
              </w:rPr>
            </w:pPr>
            <w:r w:rsidRPr="005B4E5E">
              <w:rPr>
                <w:sz w:val="20"/>
                <w:szCs w:val="20"/>
              </w:rPr>
              <w:t>-</w:t>
            </w:r>
          </w:p>
        </w:tc>
        <w:tc>
          <w:tcPr>
            <w:tcW w:w="821" w:type="dxa"/>
          </w:tcPr>
          <w:p w:rsidR="00CF37A8" w:rsidRPr="005B4E5E" w:rsidP="005B4E5E" w14:paraId="72CF8B34" w14:textId="77777777">
            <w:pPr>
              <w:jc w:val="center"/>
              <w:rPr>
                <w:sz w:val="20"/>
                <w:szCs w:val="20"/>
              </w:rPr>
            </w:pPr>
            <w:r w:rsidRPr="005B4E5E">
              <w:rPr>
                <w:sz w:val="20"/>
                <w:szCs w:val="20"/>
              </w:rPr>
              <w:t>-</w:t>
            </w:r>
          </w:p>
        </w:tc>
        <w:tc>
          <w:tcPr>
            <w:tcW w:w="820" w:type="dxa"/>
          </w:tcPr>
          <w:p w:rsidR="00CF37A8" w:rsidRPr="005B4E5E" w:rsidP="005B4E5E" w14:paraId="1F1C37AA" w14:textId="77777777">
            <w:pPr>
              <w:jc w:val="center"/>
              <w:rPr>
                <w:sz w:val="20"/>
                <w:szCs w:val="20"/>
              </w:rPr>
            </w:pPr>
            <w:r w:rsidRPr="005B4E5E">
              <w:rPr>
                <w:sz w:val="20"/>
                <w:szCs w:val="20"/>
              </w:rPr>
              <w:t>-</w:t>
            </w:r>
          </w:p>
        </w:tc>
        <w:tc>
          <w:tcPr>
            <w:tcW w:w="821" w:type="dxa"/>
          </w:tcPr>
          <w:p w:rsidR="00CF37A8" w:rsidRPr="005B4E5E" w:rsidP="005B4E5E" w14:paraId="18902C48" w14:textId="77777777">
            <w:pPr>
              <w:jc w:val="center"/>
              <w:rPr>
                <w:sz w:val="20"/>
                <w:szCs w:val="20"/>
              </w:rPr>
            </w:pPr>
            <w:r w:rsidRPr="005B4E5E">
              <w:rPr>
                <w:sz w:val="20"/>
                <w:szCs w:val="20"/>
              </w:rPr>
              <w:t>-</w:t>
            </w:r>
          </w:p>
        </w:tc>
        <w:tc>
          <w:tcPr>
            <w:tcW w:w="820" w:type="dxa"/>
          </w:tcPr>
          <w:p w:rsidR="00CF37A8" w:rsidRPr="005B4E5E" w:rsidP="005B4E5E" w14:paraId="6DFF907C" w14:textId="77777777">
            <w:pPr>
              <w:jc w:val="center"/>
              <w:rPr>
                <w:sz w:val="20"/>
                <w:szCs w:val="20"/>
              </w:rPr>
            </w:pPr>
            <w:r w:rsidRPr="005B4E5E">
              <w:rPr>
                <w:sz w:val="20"/>
                <w:szCs w:val="20"/>
              </w:rPr>
              <w:t>-</w:t>
            </w:r>
          </w:p>
        </w:tc>
        <w:tc>
          <w:tcPr>
            <w:tcW w:w="821" w:type="dxa"/>
          </w:tcPr>
          <w:p w:rsidR="00CF37A8" w:rsidRPr="005B4E5E" w:rsidP="005B4E5E" w14:paraId="0056C615" w14:textId="77777777">
            <w:pPr>
              <w:jc w:val="center"/>
              <w:rPr>
                <w:b/>
                <w:sz w:val="20"/>
                <w:szCs w:val="20"/>
              </w:rPr>
            </w:pPr>
            <w:r w:rsidRPr="005B4E5E">
              <w:rPr>
                <w:b/>
                <w:sz w:val="20"/>
                <w:szCs w:val="20"/>
              </w:rPr>
              <w:t>-</w:t>
            </w:r>
          </w:p>
        </w:tc>
        <w:tc>
          <w:tcPr>
            <w:tcW w:w="820" w:type="dxa"/>
          </w:tcPr>
          <w:p w:rsidR="00CF37A8" w:rsidRPr="005B4E5E" w:rsidP="005B4E5E" w14:paraId="1BF9CFCD" w14:textId="77777777">
            <w:pPr>
              <w:jc w:val="center"/>
              <w:rPr>
                <w:b/>
                <w:sz w:val="20"/>
                <w:szCs w:val="20"/>
              </w:rPr>
            </w:pPr>
            <w:r w:rsidRPr="005B4E5E">
              <w:rPr>
                <w:b/>
                <w:sz w:val="20"/>
                <w:szCs w:val="20"/>
              </w:rPr>
              <w:t>-</w:t>
            </w:r>
          </w:p>
        </w:tc>
        <w:tc>
          <w:tcPr>
            <w:tcW w:w="821" w:type="dxa"/>
          </w:tcPr>
          <w:p w:rsidR="00CF37A8" w:rsidRPr="005B4E5E" w:rsidP="005B4E5E" w14:paraId="59A5997B" w14:textId="77777777">
            <w:pPr>
              <w:jc w:val="center"/>
              <w:rPr>
                <w:b/>
                <w:sz w:val="20"/>
                <w:szCs w:val="20"/>
              </w:rPr>
            </w:pPr>
            <w:r w:rsidRPr="005B4E5E">
              <w:rPr>
                <w:b/>
                <w:sz w:val="20"/>
                <w:szCs w:val="20"/>
              </w:rPr>
              <w:t>-</w:t>
            </w:r>
          </w:p>
        </w:tc>
      </w:tr>
    </w:tbl>
    <w:p w:rsidR="00437CB3" w:rsidRPr="00221615" w:rsidP="00437CB3" w14:paraId="659875D1" w14:textId="77777777">
      <w:pPr>
        <w:jc w:val="right"/>
        <w:rPr>
          <w:i/>
        </w:rPr>
      </w:pPr>
      <w:bookmarkStart w:id="176" w:name="_Toc427220325"/>
      <w:r w:rsidRPr="00221615">
        <w:rPr>
          <w:i/>
          <w:sz w:val="20"/>
          <w:szCs w:val="20"/>
        </w:rPr>
        <w:t>Zdroj: Analýza KS EEZ v ČR, Green Solution 2015</w:t>
      </w:r>
    </w:p>
    <w:p w:rsidR="00CD0A2B" w:rsidRPr="00437CB3" w:rsidP="00BF16B7" w14:paraId="0C0D02A6" w14:textId="1D52D208">
      <w:pPr>
        <w:pStyle w:val="Heading3"/>
      </w:pPr>
      <w:r w:rsidRPr="00437CB3">
        <w:t>Výkonnost sběrné sítě</w:t>
      </w:r>
      <w:r w:rsidRPr="00437CB3" w:rsidR="004A0BCD">
        <w:t xml:space="preserve"> stávajících</w:t>
      </w:r>
      <w:r w:rsidRPr="00437CB3">
        <w:t xml:space="preserve"> kolektivních systémů</w:t>
      </w:r>
      <w:bookmarkEnd w:id="176"/>
    </w:p>
    <w:p w:rsidR="00CD0A2B" w:rsidP="00936929" w14:paraId="6A2B60BC" w14:textId="273E5092">
      <w:r w:rsidRPr="00437CB3">
        <w:rPr>
          <w:rFonts w:eastAsia="Calibri" w:cs="Arial"/>
          <w:bCs/>
          <w:lang w:bidi="ar-SA"/>
        </w:rPr>
        <w:t>Schopnost zajistit</w:t>
      </w:r>
      <w:r>
        <w:t xml:space="preserve"> plnění rozšířené odpovědnosti výrobců a dalších subjektů uvádějících EEZ na trh můžeme vyjádřit mimo jiné i výtěžností sběru. Tu můžeme definovat jako počet tun sebraných EEZ na 1 sběrné místo. Tento intenzivní ukazatel sběrné sítě tak odráží výkonnost a</w:t>
      </w:r>
      <w:r w:rsidR="000B681B">
        <w:t> </w:t>
      </w:r>
      <w:r>
        <w:t>optimální rozmístění sběrných míst.</w:t>
      </w:r>
    </w:p>
    <w:p w:rsidR="00CD0A2B" w:rsidRPr="00221615" w:rsidP="004A0BCD" w14:paraId="1D2B029C" w14:textId="5934B684">
      <w:pPr>
        <w:pStyle w:val="Caption"/>
        <w:rPr>
          <w:sz w:val="20"/>
          <w:szCs w:val="20"/>
        </w:rPr>
      </w:pPr>
      <w:r w:rsidRPr="00221615">
        <w:rPr>
          <w:sz w:val="20"/>
          <w:szCs w:val="20"/>
        </w:rPr>
        <w:t xml:space="preserve">Tabulka </w:t>
      </w:r>
      <w:r w:rsidR="000B681B">
        <w:rPr>
          <w:sz w:val="20"/>
          <w:szCs w:val="20"/>
        </w:rPr>
        <w:t>3</w:t>
      </w:r>
      <w:r w:rsidR="00925F10">
        <w:rPr>
          <w:sz w:val="20"/>
          <w:szCs w:val="20"/>
        </w:rPr>
        <w:t>9</w:t>
      </w:r>
      <w:r w:rsidRPr="00221615">
        <w:rPr>
          <w:sz w:val="20"/>
          <w:szCs w:val="20"/>
        </w:rPr>
        <w:t>: Výtěžnost sběru EEZ (hmotnost sebraných EEZ na 1 sběrné místo) 2006-2013</w:t>
      </w:r>
    </w:p>
    <w:tbl>
      <w:tblPr>
        <w:tblStyle w:val="LightGridAccent5"/>
        <w:tblW w:w="9143" w:type="dxa"/>
        <w:tblLayout w:type="fixed"/>
        <w:tblLook w:val="04A0"/>
      </w:tblPr>
      <w:tblGrid>
        <w:gridCol w:w="2571"/>
        <w:gridCol w:w="821"/>
        <w:gridCol w:w="822"/>
        <w:gridCol w:w="821"/>
        <w:gridCol w:w="822"/>
        <w:gridCol w:w="821"/>
        <w:gridCol w:w="822"/>
        <w:gridCol w:w="821"/>
        <w:gridCol w:w="822"/>
      </w:tblGrid>
      <w:tr w14:paraId="65AF0686" w14:textId="77777777" w:rsidTr="007F024A">
        <w:tblPrEx>
          <w:tblW w:w="9143" w:type="dxa"/>
          <w:tblLayout w:type="fixed"/>
          <w:tblLook w:val="04A0"/>
        </w:tblPrEx>
        <w:trPr>
          <w:trHeight w:val="253"/>
        </w:trPr>
        <w:tc>
          <w:tcPr>
            <w:tcW w:w="2571" w:type="dxa"/>
          </w:tcPr>
          <w:p w:rsidR="00CD0A2B" w:rsidRPr="0058340D" w:rsidP="0022441D" w14:paraId="160FED3F" w14:textId="77777777">
            <w:pPr>
              <w:rPr>
                <w:sz w:val="20"/>
                <w:szCs w:val="20"/>
              </w:rPr>
            </w:pPr>
            <w:r w:rsidRPr="0058340D">
              <w:rPr>
                <w:sz w:val="20"/>
                <w:szCs w:val="20"/>
              </w:rPr>
              <w:t xml:space="preserve">Kolektivní systém </w:t>
            </w:r>
          </w:p>
        </w:tc>
        <w:tc>
          <w:tcPr>
            <w:tcW w:w="821" w:type="dxa"/>
          </w:tcPr>
          <w:p w:rsidR="00CD0A2B" w:rsidRPr="0058340D" w:rsidP="005B4E5E" w14:paraId="7C0D43CE" w14:textId="77777777">
            <w:pPr>
              <w:jc w:val="center"/>
              <w:rPr>
                <w:sz w:val="20"/>
                <w:szCs w:val="20"/>
              </w:rPr>
            </w:pPr>
            <w:r w:rsidRPr="0058340D">
              <w:rPr>
                <w:sz w:val="20"/>
                <w:szCs w:val="20"/>
              </w:rPr>
              <w:t>2006</w:t>
            </w:r>
          </w:p>
        </w:tc>
        <w:tc>
          <w:tcPr>
            <w:tcW w:w="822" w:type="dxa"/>
          </w:tcPr>
          <w:p w:rsidR="00CD0A2B" w:rsidRPr="0058340D" w:rsidP="005B4E5E" w14:paraId="23EF1F56" w14:textId="77777777">
            <w:pPr>
              <w:jc w:val="center"/>
              <w:rPr>
                <w:sz w:val="20"/>
                <w:szCs w:val="20"/>
              </w:rPr>
            </w:pPr>
            <w:r w:rsidRPr="0058340D">
              <w:rPr>
                <w:sz w:val="20"/>
                <w:szCs w:val="20"/>
              </w:rPr>
              <w:t>2007</w:t>
            </w:r>
          </w:p>
        </w:tc>
        <w:tc>
          <w:tcPr>
            <w:tcW w:w="821" w:type="dxa"/>
          </w:tcPr>
          <w:p w:rsidR="00CD0A2B" w:rsidRPr="0058340D" w:rsidP="005B4E5E" w14:paraId="2791F67E" w14:textId="77777777">
            <w:pPr>
              <w:jc w:val="center"/>
              <w:rPr>
                <w:sz w:val="20"/>
                <w:szCs w:val="20"/>
              </w:rPr>
            </w:pPr>
            <w:r w:rsidRPr="0058340D">
              <w:rPr>
                <w:sz w:val="20"/>
                <w:szCs w:val="20"/>
              </w:rPr>
              <w:t>2008</w:t>
            </w:r>
          </w:p>
        </w:tc>
        <w:tc>
          <w:tcPr>
            <w:tcW w:w="822" w:type="dxa"/>
          </w:tcPr>
          <w:p w:rsidR="00CD0A2B" w:rsidRPr="0058340D" w:rsidP="005B4E5E" w14:paraId="25AA07DB" w14:textId="77777777">
            <w:pPr>
              <w:jc w:val="center"/>
              <w:rPr>
                <w:sz w:val="20"/>
                <w:szCs w:val="20"/>
              </w:rPr>
            </w:pPr>
            <w:r w:rsidRPr="0058340D">
              <w:rPr>
                <w:sz w:val="20"/>
                <w:szCs w:val="20"/>
              </w:rPr>
              <w:t>2009</w:t>
            </w:r>
          </w:p>
        </w:tc>
        <w:tc>
          <w:tcPr>
            <w:tcW w:w="821" w:type="dxa"/>
          </w:tcPr>
          <w:p w:rsidR="00CD0A2B" w:rsidRPr="0058340D" w:rsidP="005B4E5E" w14:paraId="06FC2C5C" w14:textId="77777777">
            <w:pPr>
              <w:jc w:val="center"/>
              <w:rPr>
                <w:sz w:val="20"/>
                <w:szCs w:val="20"/>
              </w:rPr>
            </w:pPr>
            <w:r w:rsidRPr="0058340D">
              <w:rPr>
                <w:sz w:val="20"/>
                <w:szCs w:val="20"/>
              </w:rPr>
              <w:t>2010</w:t>
            </w:r>
          </w:p>
        </w:tc>
        <w:tc>
          <w:tcPr>
            <w:tcW w:w="822" w:type="dxa"/>
          </w:tcPr>
          <w:p w:rsidR="00CD0A2B" w:rsidRPr="0058340D" w:rsidP="005B4E5E" w14:paraId="133E8A0F" w14:textId="77777777">
            <w:pPr>
              <w:jc w:val="center"/>
              <w:rPr>
                <w:sz w:val="20"/>
                <w:szCs w:val="20"/>
              </w:rPr>
            </w:pPr>
            <w:r w:rsidRPr="0058340D">
              <w:rPr>
                <w:sz w:val="20"/>
                <w:szCs w:val="20"/>
              </w:rPr>
              <w:t>2011</w:t>
            </w:r>
          </w:p>
        </w:tc>
        <w:tc>
          <w:tcPr>
            <w:tcW w:w="821" w:type="dxa"/>
          </w:tcPr>
          <w:p w:rsidR="00CD0A2B" w:rsidRPr="0058340D" w:rsidP="005B4E5E" w14:paraId="6143239C" w14:textId="77777777">
            <w:pPr>
              <w:jc w:val="center"/>
              <w:rPr>
                <w:sz w:val="20"/>
                <w:szCs w:val="20"/>
              </w:rPr>
            </w:pPr>
            <w:r w:rsidRPr="0058340D">
              <w:rPr>
                <w:sz w:val="20"/>
                <w:szCs w:val="20"/>
              </w:rPr>
              <w:t>2012</w:t>
            </w:r>
          </w:p>
        </w:tc>
        <w:tc>
          <w:tcPr>
            <w:tcW w:w="822" w:type="dxa"/>
          </w:tcPr>
          <w:p w:rsidR="00CD0A2B" w:rsidRPr="0058340D" w:rsidP="005B4E5E" w14:paraId="67BA006B" w14:textId="77777777">
            <w:pPr>
              <w:jc w:val="center"/>
              <w:rPr>
                <w:sz w:val="20"/>
                <w:szCs w:val="20"/>
              </w:rPr>
            </w:pPr>
            <w:r w:rsidRPr="0058340D">
              <w:rPr>
                <w:sz w:val="20"/>
                <w:szCs w:val="20"/>
              </w:rPr>
              <w:t>2013</w:t>
            </w:r>
          </w:p>
        </w:tc>
      </w:tr>
      <w:tr w14:paraId="766F118B" w14:textId="77777777" w:rsidTr="007F024A">
        <w:tblPrEx>
          <w:tblW w:w="9143" w:type="dxa"/>
          <w:tblLayout w:type="fixed"/>
          <w:tblLook w:val="04A0"/>
        </w:tblPrEx>
        <w:trPr>
          <w:trHeight w:val="459"/>
        </w:trPr>
        <w:tc>
          <w:tcPr>
            <w:tcW w:w="2571" w:type="dxa"/>
          </w:tcPr>
          <w:p w:rsidR="00CD0A2B" w:rsidRPr="006E0DF4" w:rsidP="0022441D" w14:paraId="069A33FA" w14:textId="77777777">
            <w:pPr>
              <w:rPr>
                <w:rFonts w:cstheme="minorHAnsi"/>
                <w:sz w:val="20"/>
                <w:szCs w:val="20"/>
              </w:rPr>
            </w:pPr>
            <w:r w:rsidRPr="006E0DF4">
              <w:rPr>
                <w:rFonts w:cstheme="minorHAnsi"/>
                <w:sz w:val="20"/>
                <w:szCs w:val="20"/>
              </w:rPr>
              <w:t>KS ASEKOL a.s.</w:t>
            </w:r>
          </w:p>
        </w:tc>
        <w:tc>
          <w:tcPr>
            <w:tcW w:w="821" w:type="dxa"/>
          </w:tcPr>
          <w:p w:rsidR="00CD0A2B" w:rsidRPr="006E0DF4" w:rsidP="005B4E5E" w14:paraId="64C8A382" w14:textId="77777777">
            <w:pPr>
              <w:jc w:val="center"/>
              <w:rPr>
                <w:sz w:val="20"/>
                <w:szCs w:val="20"/>
              </w:rPr>
            </w:pPr>
            <w:r w:rsidRPr="006E0DF4">
              <w:rPr>
                <w:sz w:val="20"/>
                <w:szCs w:val="20"/>
              </w:rPr>
              <w:t>2,67</w:t>
            </w:r>
          </w:p>
        </w:tc>
        <w:tc>
          <w:tcPr>
            <w:tcW w:w="822" w:type="dxa"/>
          </w:tcPr>
          <w:p w:rsidR="00CD0A2B" w:rsidRPr="006E0DF4" w:rsidP="005B4E5E" w14:paraId="00359A15" w14:textId="77777777">
            <w:pPr>
              <w:jc w:val="center"/>
              <w:rPr>
                <w:sz w:val="20"/>
                <w:szCs w:val="20"/>
              </w:rPr>
            </w:pPr>
            <w:r w:rsidRPr="006E0DF4">
              <w:rPr>
                <w:sz w:val="20"/>
                <w:szCs w:val="20"/>
              </w:rPr>
              <w:t>2,27</w:t>
            </w:r>
          </w:p>
        </w:tc>
        <w:tc>
          <w:tcPr>
            <w:tcW w:w="821" w:type="dxa"/>
          </w:tcPr>
          <w:p w:rsidR="00CD0A2B" w:rsidRPr="006E0DF4" w:rsidP="005B4E5E" w14:paraId="2364C1AA" w14:textId="77777777">
            <w:pPr>
              <w:jc w:val="center"/>
              <w:rPr>
                <w:sz w:val="20"/>
                <w:szCs w:val="20"/>
              </w:rPr>
            </w:pPr>
            <w:r w:rsidRPr="006E0DF4">
              <w:rPr>
                <w:sz w:val="20"/>
                <w:szCs w:val="20"/>
              </w:rPr>
              <w:t>1,38</w:t>
            </w:r>
          </w:p>
        </w:tc>
        <w:tc>
          <w:tcPr>
            <w:tcW w:w="822" w:type="dxa"/>
          </w:tcPr>
          <w:p w:rsidR="00CD0A2B" w:rsidRPr="006E0DF4" w:rsidP="005B4E5E" w14:paraId="6B666CC6" w14:textId="77777777">
            <w:pPr>
              <w:jc w:val="center"/>
              <w:rPr>
                <w:sz w:val="20"/>
                <w:szCs w:val="20"/>
              </w:rPr>
            </w:pPr>
            <w:r w:rsidRPr="006E0DF4">
              <w:rPr>
                <w:sz w:val="20"/>
                <w:szCs w:val="20"/>
              </w:rPr>
              <w:t>1,62</w:t>
            </w:r>
          </w:p>
        </w:tc>
        <w:tc>
          <w:tcPr>
            <w:tcW w:w="821" w:type="dxa"/>
          </w:tcPr>
          <w:p w:rsidR="00CD0A2B" w:rsidRPr="006E0DF4" w:rsidP="005B4E5E" w14:paraId="5367E43C" w14:textId="77777777">
            <w:pPr>
              <w:jc w:val="center"/>
              <w:rPr>
                <w:sz w:val="20"/>
                <w:szCs w:val="20"/>
              </w:rPr>
            </w:pPr>
            <w:r w:rsidRPr="006E0DF4">
              <w:rPr>
                <w:sz w:val="20"/>
                <w:szCs w:val="20"/>
              </w:rPr>
              <w:t>1,48</w:t>
            </w:r>
          </w:p>
        </w:tc>
        <w:tc>
          <w:tcPr>
            <w:tcW w:w="822" w:type="dxa"/>
          </w:tcPr>
          <w:p w:rsidR="00CD0A2B" w:rsidRPr="006E0DF4" w:rsidP="005B4E5E" w14:paraId="53ABB8D3" w14:textId="77777777">
            <w:pPr>
              <w:jc w:val="center"/>
              <w:rPr>
                <w:b/>
                <w:sz w:val="20"/>
                <w:szCs w:val="20"/>
              </w:rPr>
            </w:pPr>
            <w:r w:rsidRPr="006E0DF4">
              <w:rPr>
                <w:b/>
                <w:sz w:val="20"/>
                <w:szCs w:val="20"/>
              </w:rPr>
              <w:t>1,35</w:t>
            </w:r>
          </w:p>
        </w:tc>
        <w:tc>
          <w:tcPr>
            <w:tcW w:w="821" w:type="dxa"/>
          </w:tcPr>
          <w:p w:rsidR="00CD0A2B" w:rsidRPr="006E0DF4" w:rsidP="005B4E5E" w14:paraId="7DDE471F" w14:textId="77777777">
            <w:pPr>
              <w:jc w:val="center"/>
              <w:rPr>
                <w:b/>
                <w:sz w:val="20"/>
                <w:szCs w:val="20"/>
              </w:rPr>
            </w:pPr>
            <w:r w:rsidRPr="006E0DF4">
              <w:rPr>
                <w:b/>
                <w:sz w:val="20"/>
                <w:szCs w:val="20"/>
              </w:rPr>
              <w:t>1,14</w:t>
            </w:r>
          </w:p>
        </w:tc>
        <w:tc>
          <w:tcPr>
            <w:tcW w:w="822" w:type="dxa"/>
          </w:tcPr>
          <w:p w:rsidR="00CD0A2B" w:rsidRPr="006E0DF4" w:rsidP="005B4E5E" w14:paraId="535B739C" w14:textId="77777777">
            <w:pPr>
              <w:jc w:val="center"/>
              <w:rPr>
                <w:b/>
                <w:sz w:val="20"/>
                <w:szCs w:val="20"/>
              </w:rPr>
            </w:pPr>
            <w:r w:rsidRPr="006E0DF4">
              <w:rPr>
                <w:b/>
                <w:sz w:val="20"/>
                <w:szCs w:val="20"/>
              </w:rPr>
              <w:t>0,98</w:t>
            </w:r>
          </w:p>
        </w:tc>
      </w:tr>
      <w:tr w14:paraId="7ADB7DA9" w14:textId="77777777" w:rsidTr="007F024A">
        <w:tblPrEx>
          <w:tblW w:w="9143" w:type="dxa"/>
          <w:tblLayout w:type="fixed"/>
          <w:tblLook w:val="04A0"/>
        </w:tblPrEx>
        <w:trPr>
          <w:trHeight w:val="475"/>
        </w:trPr>
        <w:tc>
          <w:tcPr>
            <w:tcW w:w="2571" w:type="dxa"/>
          </w:tcPr>
          <w:p w:rsidR="00CD0A2B" w:rsidRPr="006E0DF4" w:rsidP="0022441D" w14:paraId="1E00F497" w14:textId="77777777">
            <w:pPr>
              <w:rPr>
                <w:rFonts w:cstheme="minorHAnsi"/>
                <w:sz w:val="20"/>
                <w:szCs w:val="20"/>
              </w:rPr>
            </w:pPr>
            <w:r w:rsidRPr="006E0DF4">
              <w:rPr>
                <w:rFonts w:cstheme="minorHAnsi"/>
                <w:sz w:val="20"/>
                <w:szCs w:val="20"/>
              </w:rPr>
              <w:t>KS ELEKTROWIN a.s.</w:t>
            </w:r>
          </w:p>
        </w:tc>
        <w:tc>
          <w:tcPr>
            <w:tcW w:w="821" w:type="dxa"/>
          </w:tcPr>
          <w:p w:rsidR="00CD0A2B" w:rsidRPr="006E0DF4" w:rsidP="005B4E5E" w14:paraId="25B3F855" w14:textId="77777777">
            <w:pPr>
              <w:jc w:val="center"/>
              <w:rPr>
                <w:sz w:val="20"/>
                <w:szCs w:val="20"/>
              </w:rPr>
            </w:pPr>
            <w:r w:rsidRPr="006E0DF4">
              <w:rPr>
                <w:sz w:val="20"/>
                <w:szCs w:val="20"/>
              </w:rPr>
              <w:t>2,72</w:t>
            </w:r>
          </w:p>
        </w:tc>
        <w:tc>
          <w:tcPr>
            <w:tcW w:w="822" w:type="dxa"/>
          </w:tcPr>
          <w:p w:rsidR="00CD0A2B" w:rsidRPr="006E0DF4" w:rsidP="005B4E5E" w14:paraId="044AA68E" w14:textId="77777777">
            <w:pPr>
              <w:jc w:val="center"/>
              <w:rPr>
                <w:sz w:val="20"/>
                <w:szCs w:val="20"/>
              </w:rPr>
            </w:pPr>
            <w:r w:rsidRPr="006E0DF4">
              <w:rPr>
                <w:sz w:val="20"/>
                <w:szCs w:val="20"/>
              </w:rPr>
              <w:t>2,51</w:t>
            </w:r>
          </w:p>
        </w:tc>
        <w:tc>
          <w:tcPr>
            <w:tcW w:w="821" w:type="dxa"/>
          </w:tcPr>
          <w:p w:rsidR="00CD0A2B" w:rsidRPr="006E0DF4" w:rsidP="005B4E5E" w14:paraId="3EE4489D" w14:textId="77777777">
            <w:pPr>
              <w:jc w:val="center"/>
              <w:rPr>
                <w:sz w:val="20"/>
                <w:szCs w:val="20"/>
              </w:rPr>
            </w:pPr>
            <w:r w:rsidRPr="006E0DF4">
              <w:rPr>
                <w:sz w:val="20"/>
                <w:szCs w:val="20"/>
              </w:rPr>
              <w:t>2,81</w:t>
            </w:r>
          </w:p>
        </w:tc>
        <w:tc>
          <w:tcPr>
            <w:tcW w:w="822" w:type="dxa"/>
          </w:tcPr>
          <w:p w:rsidR="00CD0A2B" w:rsidRPr="006E0DF4" w:rsidP="005B4E5E" w14:paraId="56C27D42" w14:textId="77777777">
            <w:pPr>
              <w:jc w:val="center"/>
              <w:rPr>
                <w:sz w:val="20"/>
                <w:szCs w:val="20"/>
              </w:rPr>
            </w:pPr>
            <w:r w:rsidRPr="006E0DF4">
              <w:rPr>
                <w:sz w:val="20"/>
                <w:szCs w:val="20"/>
              </w:rPr>
              <w:t>3,66</w:t>
            </w:r>
          </w:p>
        </w:tc>
        <w:tc>
          <w:tcPr>
            <w:tcW w:w="821" w:type="dxa"/>
          </w:tcPr>
          <w:p w:rsidR="00CD0A2B" w:rsidRPr="006E0DF4" w:rsidP="005B4E5E" w14:paraId="7E4C3F17" w14:textId="77777777">
            <w:pPr>
              <w:jc w:val="center"/>
              <w:rPr>
                <w:sz w:val="20"/>
                <w:szCs w:val="20"/>
              </w:rPr>
            </w:pPr>
            <w:r w:rsidRPr="006E0DF4">
              <w:rPr>
                <w:sz w:val="20"/>
                <w:szCs w:val="20"/>
              </w:rPr>
              <w:t>3,18</w:t>
            </w:r>
          </w:p>
        </w:tc>
        <w:tc>
          <w:tcPr>
            <w:tcW w:w="822" w:type="dxa"/>
          </w:tcPr>
          <w:p w:rsidR="00CD0A2B" w:rsidRPr="006E0DF4" w:rsidP="005B4E5E" w14:paraId="4E1D47B2" w14:textId="77777777">
            <w:pPr>
              <w:jc w:val="center"/>
              <w:rPr>
                <w:b/>
                <w:sz w:val="20"/>
                <w:szCs w:val="20"/>
              </w:rPr>
            </w:pPr>
            <w:r w:rsidRPr="006E0DF4">
              <w:rPr>
                <w:b/>
                <w:sz w:val="20"/>
                <w:szCs w:val="20"/>
              </w:rPr>
              <w:t>2,99</w:t>
            </w:r>
          </w:p>
        </w:tc>
        <w:tc>
          <w:tcPr>
            <w:tcW w:w="821" w:type="dxa"/>
          </w:tcPr>
          <w:p w:rsidR="00CD0A2B" w:rsidRPr="006E0DF4" w:rsidP="005B4E5E" w14:paraId="545458B2" w14:textId="77777777">
            <w:pPr>
              <w:jc w:val="center"/>
              <w:rPr>
                <w:b/>
                <w:sz w:val="20"/>
                <w:szCs w:val="20"/>
              </w:rPr>
            </w:pPr>
            <w:r w:rsidRPr="006E0DF4">
              <w:rPr>
                <w:b/>
                <w:sz w:val="20"/>
                <w:szCs w:val="20"/>
              </w:rPr>
              <w:t>2,21</w:t>
            </w:r>
          </w:p>
        </w:tc>
        <w:tc>
          <w:tcPr>
            <w:tcW w:w="822" w:type="dxa"/>
          </w:tcPr>
          <w:p w:rsidR="00CD0A2B" w:rsidRPr="006E0DF4" w:rsidP="005B4E5E" w14:paraId="42DB871F" w14:textId="77777777">
            <w:pPr>
              <w:jc w:val="center"/>
              <w:rPr>
                <w:b/>
                <w:sz w:val="20"/>
                <w:szCs w:val="20"/>
              </w:rPr>
            </w:pPr>
            <w:r w:rsidRPr="006E0DF4">
              <w:rPr>
                <w:b/>
                <w:sz w:val="20"/>
                <w:szCs w:val="20"/>
              </w:rPr>
              <w:t>2,29</w:t>
            </w:r>
          </w:p>
        </w:tc>
      </w:tr>
      <w:tr w14:paraId="451366CA" w14:textId="77777777" w:rsidTr="007F024A">
        <w:tblPrEx>
          <w:tblW w:w="9143" w:type="dxa"/>
          <w:tblLayout w:type="fixed"/>
          <w:tblLook w:val="04A0"/>
        </w:tblPrEx>
        <w:trPr>
          <w:trHeight w:val="475"/>
        </w:trPr>
        <w:tc>
          <w:tcPr>
            <w:tcW w:w="2571" w:type="dxa"/>
          </w:tcPr>
          <w:p w:rsidR="00CD0A2B" w:rsidRPr="006E0DF4" w:rsidP="0022441D" w14:paraId="5170AE96" w14:textId="77777777">
            <w:pPr>
              <w:rPr>
                <w:rFonts w:cstheme="minorHAnsi"/>
                <w:sz w:val="20"/>
                <w:szCs w:val="20"/>
              </w:rPr>
            </w:pPr>
            <w:r w:rsidRPr="006E0DF4">
              <w:rPr>
                <w:rFonts w:cstheme="minorHAnsi"/>
                <w:sz w:val="20"/>
                <w:szCs w:val="20"/>
              </w:rPr>
              <w:t>KS REMA Systém, a.s.</w:t>
            </w:r>
          </w:p>
        </w:tc>
        <w:tc>
          <w:tcPr>
            <w:tcW w:w="821" w:type="dxa"/>
          </w:tcPr>
          <w:p w:rsidR="00CD0A2B" w:rsidRPr="006E0DF4" w:rsidP="005B4E5E" w14:paraId="6AE6836F" w14:textId="77777777">
            <w:pPr>
              <w:jc w:val="center"/>
              <w:rPr>
                <w:sz w:val="20"/>
                <w:szCs w:val="20"/>
              </w:rPr>
            </w:pPr>
            <w:r w:rsidRPr="006E0DF4">
              <w:rPr>
                <w:sz w:val="20"/>
                <w:szCs w:val="20"/>
              </w:rPr>
              <w:t>-</w:t>
            </w:r>
          </w:p>
        </w:tc>
        <w:tc>
          <w:tcPr>
            <w:tcW w:w="822" w:type="dxa"/>
          </w:tcPr>
          <w:p w:rsidR="00CD0A2B" w:rsidRPr="006E0DF4" w:rsidP="005B4E5E" w14:paraId="284D3C73" w14:textId="77777777">
            <w:pPr>
              <w:jc w:val="center"/>
              <w:rPr>
                <w:sz w:val="20"/>
                <w:szCs w:val="20"/>
              </w:rPr>
            </w:pPr>
            <w:r w:rsidRPr="006E0DF4">
              <w:rPr>
                <w:sz w:val="20"/>
                <w:szCs w:val="20"/>
              </w:rPr>
              <w:t>0,95</w:t>
            </w:r>
          </w:p>
        </w:tc>
        <w:tc>
          <w:tcPr>
            <w:tcW w:w="821" w:type="dxa"/>
          </w:tcPr>
          <w:p w:rsidR="00CD0A2B" w:rsidRPr="006E0DF4" w:rsidP="005B4E5E" w14:paraId="3614DCD2" w14:textId="77777777">
            <w:pPr>
              <w:jc w:val="center"/>
              <w:rPr>
                <w:sz w:val="20"/>
                <w:szCs w:val="20"/>
              </w:rPr>
            </w:pPr>
            <w:r w:rsidRPr="006E0DF4">
              <w:rPr>
                <w:sz w:val="20"/>
                <w:szCs w:val="20"/>
              </w:rPr>
              <w:t>0,96</w:t>
            </w:r>
          </w:p>
        </w:tc>
        <w:tc>
          <w:tcPr>
            <w:tcW w:w="822" w:type="dxa"/>
          </w:tcPr>
          <w:p w:rsidR="00CD0A2B" w:rsidRPr="006E0DF4" w:rsidP="005B4E5E" w14:paraId="59684459" w14:textId="77777777">
            <w:pPr>
              <w:jc w:val="center"/>
              <w:rPr>
                <w:sz w:val="20"/>
                <w:szCs w:val="20"/>
              </w:rPr>
            </w:pPr>
            <w:r w:rsidRPr="006E0DF4">
              <w:rPr>
                <w:sz w:val="20"/>
                <w:szCs w:val="20"/>
              </w:rPr>
              <w:t>0,99</w:t>
            </w:r>
          </w:p>
        </w:tc>
        <w:tc>
          <w:tcPr>
            <w:tcW w:w="821" w:type="dxa"/>
          </w:tcPr>
          <w:p w:rsidR="00CD0A2B" w:rsidRPr="006E0DF4" w:rsidP="005B4E5E" w14:paraId="1012DEEE" w14:textId="77777777">
            <w:pPr>
              <w:jc w:val="center"/>
              <w:rPr>
                <w:sz w:val="20"/>
                <w:szCs w:val="20"/>
              </w:rPr>
            </w:pPr>
            <w:r w:rsidRPr="006E0DF4">
              <w:rPr>
                <w:sz w:val="20"/>
                <w:szCs w:val="20"/>
              </w:rPr>
              <w:t>-</w:t>
            </w:r>
          </w:p>
        </w:tc>
        <w:tc>
          <w:tcPr>
            <w:tcW w:w="822" w:type="dxa"/>
          </w:tcPr>
          <w:p w:rsidR="00CD0A2B" w:rsidRPr="006E0DF4" w:rsidP="005B4E5E" w14:paraId="3EFF06B6" w14:textId="77777777">
            <w:pPr>
              <w:jc w:val="center"/>
              <w:rPr>
                <w:b/>
                <w:sz w:val="20"/>
                <w:szCs w:val="20"/>
              </w:rPr>
            </w:pPr>
            <w:r w:rsidRPr="006E0DF4">
              <w:rPr>
                <w:b/>
                <w:sz w:val="20"/>
                <w:szCs w:val="20"/>
              </w:rPr>
              <w:t>0,59</w:t>
            </w:r>
          </w:p>
        </w:tc>
        <w:tc>
          <w:tcPr>
            <w:tcW w:w="821" w:type="dxa"/>
          </w:tcPr>
          <w:p w:rsidR="00CD0A2B" w:rsidRPr="006E0DF4" w:rsidP="005B4E5E" w14:paraId="58B13B13" w14:textId="77777777">
            <w:pPr>
              <w:jc w:val="center"/>
              <w:rPr>
                <w:b/>
                <w:sz w:val="20"/>
                <w:szCs w:val="20"/>
              </w:rPr>
            </w:pPr>
            <w:r w:rsidRPr="006E0DF4">
              <w:rPr>
                <w:b/>
                <w:sz w:val="20"/>
                <w:szCs w:val="20"/>
              </w:rPr>
              <w:t>0,50</w:t>
            </w:r>
          </w:p>
        </w:tc>
        <w:tc>
          <w:tcPr>
            <w:tcW w:w="822" w:type="dxa"/>
          </w:tcPr>
          <w:p w:rsidR="00CD0A2B" w:rsidRPr="006E0DF4" w:rsidP="005B4E5E" w14:paraId="22342245" w14:textId="77777777">
            <w:pPr>
              <w:jc w:val="center"/>
              <w:rPr>
                <w:b/>
                <w:sz w:val="20"/>
                <w:szCs w:val="20"/>
              </w:rPr>
            </w:pPr>
            <w:r w:rsidRPr="006E0DF4">
              <w:rPr>
                <w:b/>
                <w:sz w:val="20"/>
                <w:szCs w:val="20"/>
              </w:rPr>
              <w:t>0,37</w:t>
            </w:r>
          </w:p>
        </w:tc>
      </w:tr>
      <w:tr w14:paraId="4193E708" w14:textId="77777777" w:rsidTr="007F024A">
        <w:tblPrEx>
          <w:tblW w:w="9143" w:type="dxa"/>
          <w:tblLayout w:type="fixed"/>
          <w:tblLook w:val="04A0"/>
        </w:tblPrEx>
        <w:trPr>
          <w:trHeight w:val="491"/>
        </w:trPr>
        <w:tc>
          <w:tcPr>
            <w:tcW w:w="2571" w:type="dxa"/>
          </w:tcPr>
          <w:p w:rsidR="00CD0A2B" w:rsidRPr="006E0DF4" w:rsidP="0022441D" w14:paraId="145B364B" w14:textId="77777777">
            <w:pPr>
              <w:rPr>
                <w:rFonts w:cstheme="minorHAnsi"/>
                <w:sz w:val="20"/>
                <w:szCs w:val="20"/>
              </w:rPr>
            </w:pPr>
            <w:r w:rsidRPr="006E0DF4">
              <w:rPr>
                <w:rFonts w:cstheme="minorHAnsi"/>
                <w:sz w:val="20"/>
                <w:szCs w:val="20"/>
              </w:rPr>
              <w:t>KS RETELA, s.r.o.</w:t>
            </w:r>
          </w:p>
        </w:tc>
        <w:tc>
          <w:tcPr>
            <w:tcW w:w="821" w:type="dxa"/>
          </w:tcPr>
          <w:p w:rsidR="00CD0A2B" w:rsidRPr="006E0DF4" w:rsidP="005B4E5E" w14:paraId="0A3E85BC" w14:textId="77777777">
            <w:pPr>
              <w:jc w:val="center"/>
              <w:rPr>
                <w:sz w:val="20"/>
                <w:szCs w:val="20"/>
              </w:rPr>
            </w:pPr>
            <w:r w:rsidRPr="006E0DF4">
              <w:rPr>
                <w:sz w:val="20"/>
                <w:szCs w:val="20"/>
              </w:rPr>
              <w:t>-</w:t>
            </w:r>
          </w:p>
        </w:tc>
        <w:tc>
          <w:tcPr>
            <w:tcW w:w="822" w:type="dxa"/>
          </w:tcPr>
          <w:p w:rsidR="00CD0A2B" w:rsidRPr="006E0DF4" w:rsidP="005B4E5E" w14:paraId="1B9D3067" w14:textId="77777777">
            <w:pPr>
              <w:jc w:val="center"/>
              <w:rPr>
                <w:sz w:val="20"/>
                <w:szCs w:val="20"/>
              </w:rPr>
            </w:pPr>
            <w:r w:rsidRPr="006E0DF4">
              <w:rPr>
                <w:sz w:val="20"/>
                <w:szCs w:val="20"/>
              </w:rPr>
              <w:t>1,61</w:t>
            </w:r>
          </w:p>
        </w:tc>
        <w:tc>
          <w:tcPr>
            <w:tcW w:w="821" w:type="dxa"/>
          </w:tcPr>
          <w:p w:rsidR="00CD0A2B" w:rsidRPr="006E0DF4" w:rsidP="005B4E5E" w14:paraId="78568E3F" w14:textId="77777777">
            <w:pPr>
              <w:jc w:val="center"/>
              <w:rPr>
                <w:sz w:val="20"/>
                <w:szCs w:val="20"/>
              </w:rPr>
            </w:pPr>
            <w:r w:rsidRPr="006E0DF4">
              <w:rPr>
                <w:sz w:val="20"/>
                <w:szCs w:val="20"/>
              </w:rPr>
              <w:t>1,97</w:t>
            </w:r>
          </w:p>
        </w:tc>
        <w:tc>
          <w:tcPr>
            <w:tcW w:w="822" w:type="dxa"/>
          </w:tcPr>
          <w:p w:rsidR="00CD0A2B" w:rsidRPr="006E0DF4" w:rsidP="005B4E5E" w14:paraId="2B9BF4E2" w14:textId="77777777">
            <w:pPr>
              <w:jc w:val="center"/>
              <w:rPr>
                <w:sz w:val="20"/>
                <w:szCs w:val="20"/>
              </w:rPr>
            </w:pPr>
            <w:r w:rsidRPr="006E0DF4">
              <w:rPr>
                <w:sz w:val="20"/>
                <w:szCs w:val="20"/>
              </w:rPr>
              <w:t>0,80</w:t>
            </w:r>
          </w:p>
        </w:tc>
        <w:tc>
          <w:tcPr>
            <w:tcW w:w="821" w:type="dxa"/>
          </w:tcPr>
          <w:p w:rsidR="00CD0A2B" w:rsidRPr="006E0DF4" w:rsidP="005B4E5E" w14:paraId="190E4E75" w14:textId="77777777">
            <w:pPr>
              <w:jc w:val="center"/>
              <w:rPr>
                <w:sz w:val="20"/>
                <w:szCs w:val="20"/>
              </w:rPr>
            </w:pPr>
            <w:r w:rsidRPr="006E0DF4">
              <w:rPr>
                <w:sz w:val="20"/>
                <w:szCs w:val="20"/>
              </w:rPr>
              <w:t>0,78</w:t>
            </w:r>
          </w:p>
        </w:tc>
        <w:tc>
          <w:tcPr>
            <w:tcW w:w="822" w:type="dxa"/>
          </w:tcPr>
          <w:p w:rsidR="00CD0A2B" w:rsidRPr="006E0DF4" w:rsidP="005B4E5E" w14:paraId="54E49580" w14:textId="77777777">
            <w:pPr>
              <w:jc w:val="center"/>
              <w:rPr>
                <w:b/>
                <w:sz w:val="20"/>
                <w:szCs w:val="20"/>
              </w:rPr>
            </w:pPr>
            <w:r w:rsidRPr="006E0DF4">
              <w:rPr>
                <w:b/>
                <w:sz w:val="20"/>
                <w:szCs w:val="20"/>
              </w:rPr>
              <w:t>0,62</w:t>
            </w:r>
          </w:p>
        </w:tc>
        <w:tc>
          <w:tcPr>
            <w:tcW w:w="821" w:type="dxa"/>
          </w:tcPr>
          <w:p w:rsidR="00CD0A2B" w:rsidRPr="006E0DF4" w:rsidP="005B4E5E" w14:paraId="604835C7" w14:textId="77777777">
            <w:pPr>
              <w:jc w:val="center"/>
              <w:rPr>
                <w:b/>
                <w:sz w:val="20"/>
                <w:szCs w:val="20"/>
              </w:rPr>
            </w:pPr>
            <w:r w:rsidRPr="006E0DF4">
              <w:rPr>
                <w:b/>
                <w:sz w:val="20"/>
                <w:szCs w:val="20"/>
              </w:rPr>
              <w:t>0,55</w:t>
            </w:r>
          </w:p>
        </w:tc>
        <w:tc>
          <w:tcPr>
            <w:tcW w:w="822" w:type="dxa"/>
          </w:tcPr>
          <w:p w:rsidR="00CD0A2B" w:rsidRPr="006E0DF4" w:rsidP="005B4E5E" w14:paraId="4D43EACF" w14:textId="77777777">
            <w:pPr>
              <w:jc w:val="center"/>
              <w:rPr>
                <w:b/>
                <w:sz w:val="20"/>
                <w:szCs w:val="20"/>
              </w:rPr>
            </w:pPr>
            <w:r w:rsidRPr="006E0DF4">
              <w:rPr>
                <w:b/>
                <w:sz w:val="20"/>
                <w:szCs w:val="20"/>
              </w:rPr>
              <w:t>0,49</w:t>
            </w:r>
          </w:p>
        </w:tc>
      </w:tr>
    </w:tbl>
    <w:p w:rsidR="00CD0A2B" w:rsidRPr="00221615" w:rsidP="00221615" w14:paraId="621303F5" w14:textId="77777777">
      <w:pPr>
        <w:jc w:val="right"/>
        <w:rPr>
          <w:i/>
        </w:rPr>
      </w:pPr>
      <w:r w:rsidRPr="00221615">
        <w:rPr>
          <w:i/>
          <w:sz w:val="20"/>
          <w:szCs w:val="20"/>
        </w:rPr>
        <w:t>Zdroj: Analýza KS EEZ v ČR, Green Solution 2015</w:t>
      </w:r>
    </w:p>
    <w:p w:rsidR="006C1CA1" w:rsidRPr="00221615" w:rsidP="00CD0A2B" w14:paraId="0E8BB6FB" w14:textId="77777777">
      <w:pPr>
        <w:rPr>
          <w:i/>
        </w:rPr>
      </w:pPr>
    </w:p>
    <w:p w:rsidR="00CD0A2B" w:rsidP="00CD0A2B" w14:paraId="20F78105" w14:textId="77777777">
      <w:r>
        <w:t>Výtěžnost sběru, tedy počet tun sebraných EEZ na 1 sběrné místo dokresluje další ukazatel sběrné sítě, kterým je počet obyvatel na jedno sběrné místo a který odráží charakter optimálního rozmístění těchto sběrných míst.</w:t>
      </w:r>
    </w:p>
    <w:p w:rsidR="00CD0A2B" w:rsidRPr="00221615" w14:paraId="521D5B61" w14:textId="77777777">
      <w:pPr>
        <w:pStyle w:val="Caption"/>
        <w:rPr>
          <w:sz w:val="20"/>
          <w:szCs w:val="20"/>
        </w:rPr>
      </w:pPr>
      <w:r w:rsidRPr="00221615">
        <w:rPr>
          <w:sz w:val="20"/>
          <w:szCs w:val="20"/>
        </w:rPr>
        <w:t xml:space="preserve">Graf </w:t>
      </w:r>
      <w:r w:rsidRPr="00221615" w:rsidR="006E0DF4">
        <w:rPr>
          <w:sz w:val="20"/>
          <w:szCs w:val="20"/>
        </w:rPr>
        <w:t>9</w:t>
      </w:r>
      <w:r w:rsidRPr="00221615">
        <w:rPr>
          <w:sz w:val="20"/>
          <w:szCs w:val="20"/>
        </w:rPr>
        <w:t>: Porovnání počtu obyvatel na jedno sběrné místo v letech 2011-2013</w:t>
      </w:r>
      <w:r w:rsidR="006C1CA1">
        <w:rPr>
          <w:sz w:val="20"/>
          <w:szCs w:val="20"/>
        </w:rPr>
        <w:t xml:space="preserve"> </w:t>
      </w:r>
    </w:p>
    <w:p w:rsidR="00CD0A2B" w:rsidP="00CD0A2B" w14:paraId="4B478BC7" w14:textId="77777777">
      <w:r>
        <w:rPr>
          <w:lang w:eastAsia="cs-CZ" w:bidi="ar-SA"/>
        </w:rPr>
        <w:drawing>
          <wp:inline distT="0" distB="0" distL="0" distR="0">
            <wp:extent cx="4663440" cy="2458176"/>
            <wp:effectExtent l="0" t="0" r="3810" b="18415"/>
            <wp:docPr id="1345" name="Graf 1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0A2B" w:rsidP="00221615" w14:paraId="12CA2E95" w14:textId="77777777">
      <w:pPr>
        <w:jc w:val="right"/>
      </w:pPr>
      <w:r w:rsidRPr="00D11D4D">
        <w:rPr>
          <w:sz w:val="20"/>
          <w:szCs w:val="20"/>
        </w:rPr>
        <w:t>Zdroj: Analýza KS EEZ v ČR, Green Solution 2015</w:t>
      </w:r>
    </w:p>
    <w:p w:rsidR="00DF7996" w:rsidP="00936929" w14:paraId="7169C312" w14:textId="77777777">
      <w:r w:rsidRPr="008D55C3">
        <w:t>Z výše uvedeného porovnání vyplývá, že nejvyšší výtěžnosti na 1 sběrné místo dosahuje KS ELEKTROWIN. Data</w:t>
      </w:r>
      <w:r>
        <w:rPr>
          <w:b/>
        </w:rPr>
        <w:t xml:space="preserve"> </w:t>
      </w:r>
      <w:r w:rsidRPr="00B3229B">
        <w:t xml:space="preserve">jsou </w:t>
      </w:r>
      <w:r>
        <w:t>opět ovlivněna tím</w:t>
      </w:r>
      <w:r w:rsidRPr="00B3229B">
        <w:t xml:space="preserve">, </w:t>
      </w:r>
      <w:r>
        <w:t>ž</w:t>
      </w:r>
      <w:r w:rsidRPr="00B3229B">
        <w:t>e KS ELEKTROWIN sbírá zejména EEZ ze</w:t>
      </w:r>
      <w:r w:rsidR="006C1CA1">
        <w:t> </w:t>
      </w:r>
      <w:r w:rsidRPr="00B3229B">
        <w:t>skupiny 1, tedy s největší hmotností</w:t>
      </w:r>
      <w:r>
        <w:t>, nicméně s ohledem na počet zastupovaných skupin i</w:t>
      </w:r>
      <w:r w:rsidR="006C1CA1">
        <w:t> </w:t>
      </w:r>
      <w:r>
        <w:t>ostatních KS je zřejmé, že nejvyšší efektivity sběru dosahují KS ASEKOL a KS ELEKTROWIN</w:t>
      </w:r>
      <w:r w:rsidRPr="00B3229B">
        <w:t>.</w:t>
      </w:r>
    </w:p>
    <w:p w:rsidR="00CD0A2B" w:rsidRPr="00892C46" w:rsidP="00221615" w14:paraId="016D8B8B" w14:textId="77777777">
      <w:pPr>
        <w:jc w:val="left"/>
      </w:pPr>
    </w:p>
    <w:p w:rsidR="006415EE" w:rsidRPr="001C6618" w:rsidP="00411BD4" w14:paraId="628F0CAA" w14:textId="77777777">
      <w:pPr>
        <w:pStyle w:val="Heading3"/>
        <w:keepNext/>
        <w:widowControl/>
      </w:pPr>
      <w:bookmarkStart w:id="177" w:name="_Toc402706641"/>
      <w:r w:rsidRPr="001C6618">
        <w:t>Popis existujícího právního stavu v dané oblasti</w:t>
      </w:r>
      <w:bookmarkEnd w:id="177"/>
      <w:r w:rsidRPr="001C6618">
        <w:t xml:space="preserve"> </w:t>
      </w:r>
    </w:p>
    <w:p w:rsidR="00314F00" w:rsidRPr="00ED38E9" w:rsidP="006C1CA1" w14:paraId="24E5C64E" w14:textId="77777777">
      <w:pPr>
        <w:rPr>
          <w:rFonts w:eastAsia="Calibri" w:cs="Arial"/>
          <w:lang w:bidi="ar-SA"/>
        </w:rPr>
      </w:pPr>
      <w:r w:rsidRPr="00ED38E9">
        <w:rPr>
          <w:rFonts w:eastAsia="Calibri" w:cs="Arial"/>
          <w:lang w:bidi="ar-SA"/>
        </w:rPr>
        <w:t>V současnosti je problematika zpětného odběru výrobků s ukončenou životností a</w:t>
      </w:r>
      <w:r w:rsidRPr="00ED38E9" w:rsidR="00AF0E01">
        <w:rPr>
          <w:rFonts w:eastAsia="Calibri" w:cs="Arial"/>
          <w:lang w:bidi="ar-SA"/>
        </w:rPr>
        <w:t> </w:t>
      </w:r>
      <w:r w:rsidRPr="00ED38E9">
        <w:rPr>
          <w:rFonts w:eastAsia="Calibri" w:cs="Arial"/>
          <w:lang w:bidi="ar-SA"/>
        </w:rPr>
        <w:t>následného nakládání s odpadním elektronickým zařízením (OEEZ) upravena především následujícími právními předpisy:</w:t>
      </w:r>
    </w:p>
    <w:p w:rsidR="00314F00" w:rsidRPr="00ED38E9" w:rsidP="003C445B" w14:paraId="1DF55689" w14:textId="77777777">
      <w:pPr>
        <w:pStyle w:val="ListParagraph"/>
        <w:widowControl w:val="0"/>
        <w:numPr>
          <w:ilvl w:val="0"/>
          <w:numId w:val="46"/>
        </w:numPr>
        <w:contextualSpacing w:val="0"/>
        <w:rPr>
          <w:rFonts w:eastAsia="Calibri" w:cs="Arial"/>
          <w:noProof w:val="0"/>
          <w:szCs w:val="22"/>
          <w:lang w:bidi="ar-SA"/>
        </w:rPr>
      </w:pPr>
      <w:r w:rsidRPr="00ED38E9">
        <w:rPr>
          <w:rFonts w:eastAsia="Calibri" w:cs="Arial"/>
          <w:noProof w:val="0"/>
          <w:szCs w:val="22"/>
          <w:lang w:bidi="ar-SA"/>
        </w:rPr>
        <w:t>zákon č. 185/2001 Sb., o odpadech a o změně některých dalších zákonů, ve</w:t>
      </w:r>
      <w:r w:rsidRPr="00ED38E9" w:rsidR="00AF0E01">
        <w:rPr>
          <w:rFonts w:eastAsia="Calibri" w:cs="Arial"/>
          <w:noProof w:val="0"/>
          <w:szCs w:val="22"/>
          <w:lang w:bidi="ar-SA"/>
        </w:rPr>
        <w:t> </w:t>
      </w:r>
      <w:r w:rsidRPr="00ED38E9">
        <w:rPr>
          <w:rFonts w:eastAsia="Calibri" w:cs="Arial"/>
          <w:noProof w:val="0"/>
          <w:szCs w:val="22"/>
          <w:lang w:bidi="ar-SA"/>
        </w:rPr>
        <w:t>znění pozdějších předpisů – DÍL 8 Elektrická a elektronická zařízení</w:t>
      </w:r>
    </w:p>
    <w:p w:rsidR="00314F00" w:rsidRPr="00ED38E9" w:rsidP="003C445B" w14:paraId="68058216" w14:textId="77777777">
      <w:pPr>
        <w:pStyle w:val="ListParagraph"/>
        <w:widowControl w:val="0"/>
        <w:numPr>
          <w:ilvl w:val="0"/>
          <w:numId w:val="46"/>
        </w:numPr>
        <w:contextualSpacing w:val="0"/>
        <w:rPr>
          <w:rFonts w:eastAsia="Calibri" w:cs="Arial"/>
          <w:noProof w:val="0"/>
          <w:szCs w:val="22"/>
          <w:lang w:bidi="ar-SA"/>
        </w:rPr>
      </w:pPr>
      <w:r w:rsidRPr="00ED38E9">
        <w:rPr>
          <w:rFonts w:eastAsia="Calibri" w:cs="Arial"/>
          <w:noProof w:val="0"/>
          <w:szCs w:val="22"/>
          <w:lang w:bidi="ar-SA"/>
        </w:rPr>
        <w:t xml:space="preserve">vyhláška č. 237/2002 Sb., o podrobnostech způsobu provedení zpětného odběru některých výrobků, ve znění pozdějších předpisů, </w:t>
      </w:r>
    </w:p>
    <w:p w:rsidR="00314F00" w:rsidRPr="00ED38E9" w:rsidP="003C445B" w14:paraId="365C684D" w14:textId="77777777">
      <w:pPr>
        <w:pStyle w:val="ListParagraph"/>
        <w:widowControl w:val="0"/>
        <w:numPr>
          <w:ilvl w:val="0"/>
          <w:numId w:val="46"/>
        </w:numPr>
        <w:contextualSpacing w:val="0"/>
        <w:rPr>
          <w:rFonts w:eastAsia="Calibri" w:cs="Arial"/>
          <w:noProof w:val="0"/>
          <w:szCs w:val="22"/>
          <w:lang w:bidi="ar-SA"/>
        </w:rPr>
      </w:pPr>
      <w:r w:rsidRPr="00ED38E9">
        <w:rPr>
          <w:rFonts w:eastAsia="Calibri" w:cs="Arial"/>
          <w:noProof w:val="0"/>
          <w:szCs w:val="22"/>
          <w:lang w:bidi="ar-SA"/>
        </w:rPr>
        <w:t xml:space="preserve">vyhláška č. 352/2005 Sb., o nakládání s elektrozařízeními a elektroodpady (dále jen „vyhláška“), </w:t>
      </w:r>
    </w:p>
    <w:p w:rsidR="00314F00" w:rsidRPr="00ED38E9" w:rsidP="003C445B" w14:paraId="121A1171" w14:textId="1C1AB14E">
      <w:pPr>
        <w:pStyle w:val="ListParagraph"/>
        <w:widowControl w:val="0"/>
        <w:numPr>
          <w:ilvl w:val="0"/>
          <w:numId w:val="46"/>
        </w:numPr>
        <w:contextualSpacing w:val="0"/>
        <w:rPr>
          <w:rFonts w:eastAsia="Calibri" w:cs="Arial"/>
          <w:noProof w:val="0"/>
          <w:szCs w:val="22"/>
          <w:lang w:bidi="ar-SA"/>
        </w:rPr>
      </w:pPr>
      <w:r w:rsidRPr="00ED38E9">
        <w:rPr>
          <w:rFonts w:eastAsia="Calibri" w:cs="Arial"/>
          <w:noProof w:val="0"/>
          <w:szCs w:val="22"/>
          <w:lang w:bidi="ar-SA"/>
        </w:rPr>
        <w:t>vyhláška č. 178/2013 Sb., kterou se mění vyhláška č. 352/2005 Sb., o</w:t>
      </w:r>
      <w:r w:rsidRPr="00ED38E9" w:rsidR="00AF0E01">
        <w:rPr>
          <w:rFonts w:eastAsia="Calibri" w:cs="Arial"/>
          <w:noProof w:val="0"/>
          <w:szCs w:val="22"/>
          <w:lang w:bidi="ar-SA"/>
        </w:rPr>
        <w:t> </w:t>
      </w:r>
      <w:r w:rsidRPr="00ED38E9">
        <w:rPr>
          <w:rFonts w:eastAsia="Calibri" w:cs="Arial"/>
          <w:noProof w:val="0"/>
          <w:szCs w:val="22"/>
          <w:lang w:bidi="ar-SA"/>
        </w:rPr>
        <w:t>podrobnostech nakládání s elektrozařízeními a elektroodpady a o bližších podmínkách financování nakládání s nimi (vyhláška o nakládání s</w:t>
      </w:r>
      <w:r w:rsidRPr="00ED38E9" w:rsidR="00AF0E01">
        <w:rPr>
          <w:rFonts w:eastAsia="Calibri" w:cs="Arial"/>
          <w:noProof w:val="0"/>
          <w:szCs w:val="22"/>
          <w:lang w:bidi="ar-SA"/>
        </w:rPr>
        <w:t> </w:t>
      </w:r>
      <w:r w:rsidRPr="00ED38E9">
        <w:rPr>
          <w:rFonts w:eastAsia="Calibri" w:cs="Arial"/>
          <w:noProof w:val="0"/>
          <w:szCs w:val="22"/>
          <w:lang w:bidi="ar-SA"/>
        </w:rPr>
        <w:t>elektrozařízeními a elektroodpady), ve</w:t>
      </w:r>
      <w:r w:rsidR="000B681B">
        <w:rPr>
          <w:rFonts w:eastAsia="Calibri" w:cs="Arial"/>
          <w:noProof w:val="0"/>
          <w:szCs w:val="22"/>
          <w:lang w:bidi="ar-SA"/>
        </w:rPr>
        <w:t> </w:t>
      </w:r>
      <w:r w:rsidRPr="00ED38E9">
        <w:rPr>
          <w:rFonts w:eastAsia="Calibri" w:cs="Arial"/>
          <w:noProof w:val="0"/>
          <w:szCs w:val="22"/>
          <w:lang w:bidi="ar-SA"/>
        </w:rPr>
        <w:t>znění pozdějších předpisů,</w:t>
      </w:r>
    </w:p>
    <w:p w:rsidR="00314F00" w:rsidRPr="00ED38E9" w:rsidP="003C445B" w14:paraId="0D1BC9C3" w14:textId="69052E95">
      <w:pPr>
        <w:pStyle w:val="ListParagraph"/>
        <w:widowControl w:val="0"/>
        <w:numPr>
          <w:ilvl w:val="0"/>
          <w:numId w:val="46"/>
        </w:numPr>
        <w:contextualSpacing w:val="0"/>
        <w:rPr>
          <w:rFonts w:eastAsia="Calibri" w:cs="Arial"/>
          <w:noProof w:val="0"/>
          <w:szCs w:val="22"/>
          <w:lang w:bidi="ar-SA"/>
        </w:rPr>
      </w:pPr>
      <w:r w:rsidRPr="00ED38E9">
        <w:rPr>
          <w:rFonts w:eastAsia="Calibri" w:cs="Arial"/>
          <w:noProof w:val="0"/>
          <w:szCs w:val="22"/>
          <w:lang w:bidi="ar-SA"/>
        </w:rPr>
        <w:t>vyhláška č. 200/2014 Sb., kterou se mění vyhláška č. 352/2005 Sb., o</w:t>
      </w:r>
      <w:r w:rsidRPr="00ED38E9" w:rsidR="00AF0E01">
        <w:rPr>
          <w:rFonts w:eastAsia="Calibri" w:cs="Arial"/>
          <w:noProof w:val="0"/>
          <w:szCs w:val="22"/>
          <w:lang w:bidi="ar-SA"/>
        </w:rPr>
        <w:t> </w:t>
      </w:r>
      <w:r w:rsidRPr="00ED38E9">
        <w:rPr>
          <w:rFonts w:eastAsia="Calibri" w:cs="Arial"/>
          <w:noProof w:val="0"/>
          <w:szCs w:val="22"/>
          <w:lang w:bidi="ar-SA"/>
        </w:rPr>
        <w:t>podrobnostech nakládání s elektrozařízeními a elektroodpady a o bližších podmínkách financování nakládání s nimi (vyhláška o nakládání s</w:t>
      </w:r>
      <w:r w:rsidRPr="00ED38E9" w:rsidR="00AF0E01">
        <w:rPr>
          <w:rFonts w:eastAsia="Calibri" w:cs="Arial"/>
          <w:noProof w:val="0"/>
          <w:szCs w:val="22"/>
          <w:lang w:bidi="ar-SA"/>
        </w:rPr>
        <w:t> </w:t>
      </w:r>
      <w:r w:rsidRPr="00ED38E9">
        <w:rPr>
          <w:rFonts w:eastAsia="Calibri" w:cs="Arial"/>
          <w:noProof w:val="0"/>
          <w:szCs w:val="22"/>
          <w:lang w:bidi="ar-SA"/>
        </w:rPr>
        <w:t>elektrozařízeními a elektroodpady), ve</w:t>
      </w:r>
      <w:r w:rsidR="000B681B">
        <w:rPr>
          <w:rFonts w:eastAsia="Calibri" w:cs="Arial"/>
          <w:noProof w:val="0"/>
          <w:szCs w:val="22"/>
          <w:lang w:bidi="ar-SA"/>
        </w:rPr>
        <w:t> </w:t>
      </w:r>
      <w:r w:rsidRPr="00ED38E9">
        <w:rPr>
          <w:rFonts w:eastAsia="Calibri" w:cs="Arial"/>
          <w:noProof w:val="0"/>
          <w:szCs w:val="22"/>
          <w:lang w:bidi="ar-SA"/>
        </w:rPr>
        <w:t>znění pozdějších předpisů (účinnost této vyhlášky od 1. 10. 2014).</w:t>
      </w:r>
    </w:p>
    <w:p w:rsidR="00314F00" w:rsidP="006C1CA1" w14:paraId="7E17E9AB" w14:textId="77777777">
      <w:pPr>
        <w:rPr>
          <w:rFonts w:eastAsia="Calibri" w:cs="Arial"/>
          <w:lang w:bidi="ar-SA"/>
        </w:rPr>
      </w:pPr>
      <w:r w:rsidRPr="007705B7">
        <w:rPr>
          <w:rFonts w:eastAsia="Calibri" w:cs="Arial"/>
          <w:lang w:bidi="ar-SA"/>
        </w:rPr>
        <w:t>S ohledem na členství Č</w:t>
      </w:r>
      <w:r w:rsidRPr="007705B7" w:rsidR="006C1CA1">
        <w:rPr>
          <w:rFonts w:eastAsia="Calibri" w:cs="Arial"/>
          <w:lang w:bidi="ar-SA"/>
        </w:rPr>
        <w:t xml:space="preserve">R </w:t>
      </w:r>
      <w:r w:rsidRPr="007705B7">
        <w:rPr>
          <w:rFonts w:eastAsia="Calibri" w:cs="Arial"/>
          <w:lang w:bidi="ar-SA"/>
        </w:rPr>
        <w:t>v</w:t>
      </w:r>
      <w:r w:rsidRPr="007705B7" w:rsidR="006C1CA1">
        <w:rPr>
          <w:rFonts w:eastAsia="Calibri" w:cs="Arial"/>
          <w:lang w:bidi="ar-SA"/>
        </w:rPr>
        <w:t> </w:t>
      </w:r>
      <w:r w:rsidRPr="007705B7">
        <w:rPr>
          <w:rFonts w:eastAsia="Calibri" w:cs="Arial"/>
          <w:lang w:bidi="ar-SA"/>
        </w:rPr>
        <w:t>E</w:t>
      </w:r>
      <w:r w:rsidRPr="007705B7" w:rsidR="006C1CA1">
        <w:rPr>
          <w:rFonts w:eastAsia="Calibri" w:cs="Arial"/>
          <w:lang w:bidi="ar-SA"/>
        </w:rPr>
        <w:t xml:space="preserve">U </w:t>
      </w:r>
      <w:r w:rsidRPr="007705B7">
        <w:rPr>
          <w:rFonts w:eastAsia="Calibri" w:cs="Arial"/>
          <w:lang w:bidi="ar-SA"/>
        </w:rPr>
        <w:t xml:space="preserve">je nezbytný soulad národních právních předpisů s evropskými předpisy, zejména pak </w:t>
      </w:r>
      <w:r w:rsidRPr="00937FFC">
        <w:rPr>
          <w:rFonts w:eastAsia="Calibri" w:cs="Arial"/>
          <w:lang w:bidi="ar-SA"/>
        </w:rPr>
        <w:t>s novou právní úpravou ve formě směrnice Evropského parlamentu a</w:t>
      </w:r>
      <w:r w:rsidRPr="00937FFC" w:rsidR="006C1CA1">
        <w:rPr>
          <w:rFonts w:eastAsia="Calibri" w:cs="Arial"/>
          <w:lang w:bidi="ar-SA"/>
        </w:rPr>
        <w:t> </w:t>
      </w:r>
      <w:r w:rsidRPr="00937FFC">
        <w:rPr>
          <w:rFonts w:eastAsia="Calibri" w:cs="Arial"/>
          <w:lang w:bidi="ar-SA"/>
        </w:rPr>
        <w:t>Rady 2012/19/EU o odpadních elektrických a elektronických zařízení</w:t>
      </w:r>
      <w:r w:rsidRPr="00937FFC" w:rsidR="007705B7">
        <w:rPr>
          <w:rFonts w:eastAsia="Calibri" w:cs="Arial"/>
          <w:lang w:bidi="ar-SA"/>
        </w:rPr>
        <w:t>,</w:t>
      </w:r>
      <w:r w:rsidRPr="00937FFC">
        <w:rPr>
          <w:rFonts w:eastAsia="Calibri" w:cs="Arial"/>
          <w:lang w:bidi="ar-SA"/>
        </w:rPr>
        <w:t xml:space="preserve"> </w:t>
      </w:r>
      <w:r w:rsidRPr="00937FFC" w:rsidR="007705B7">
        <w:rPr>
          <w:rFonts w:eastAsia="Calibri" w:cs="Arial"/>
          <w:lang w:bidi="ar-SA"/>
        </w:rPr>
        <w:t>a dále je třeba implementovat změny přijaté v EU v rámci balíčku oběhového hospodářství.</w:t>
      </w:r>
    </w:p>
    <w:p w:rsidR="006C1CA1" w:rsidRPr="00ED38E9" w:rsidP="006C1CA1" w14:paraId="766C4F49" w14:textId="77777777">
      <w:pPr>
        <w:rPr>
          <w:rFonts w:eastAsia="Calibri" w:cs="Arial"/>
          <w:lang w:bidi="ar-SA"/>
        </w:rPr>
      </w:pPr>
    </w:p>
    <w:p w:rsidR="006415EE" w:rsidRPr="001C6618" w:rsidP="00BF16B7" w14:paraId="342AA1A0" w14:textId="77777777">
      <w:pPr>
        <w:pStyle w:val="Heading3"/>
      </w:pPr>
      <w:bookmarkStart w:id="178" w:name="_Toc402706644"/>
      <w:r w:rsidRPr="001C6618">
        <w:t>Identifikace dotčených subjektů</w:t>
      </w:r>
      <w:bookmarkEnd w:id="178"/>
      <w:r w:rsidRPr="001C6618">
        <w:t xml:space="preserve"> </w:t>
      </w:r>
    </w:p>
    <w:p w:rsidR="00591A71" w:rsidRPr="00412A89" w:rsidP="006C1CA1" w14:paraId="62874593" w14:textId="4EDB8324">
      <w:pPr>
        <w:pStyle w:val="Normln-tun"/>
        <w:spacing w:before="120" w:after="0"/>
        <w:rPr>
          <w:rFonts w:cs="Arial"/>
          <w:i/>
        </w:rPr>
      </w:pPr>
      <w:bookmarkStart w:id="179" w:name="_Toc406598319"/>
      <w:r w:rsidRPr="00412A89">
        <w:rPr>
          <w:rFonts w:cs="Arial"/>
          <w:i/>
        </w:rPr>
        <w:t>Výrobci elektrozařízení</w:t>
      </w:r>
      <w:bookmarkEnd w:id="179"/>
    </w:p>
    <w:p w:rsidR="00591A71" w:rsidP="006C1CA1" w14:paraId="7A84F90E" w14:textId="77777777">
      <w:pPr>
        <w:rPr>
          <w:rFonts w:eastAsia="Calibri" w:cs="Arial"/>
          <w:lang w:bidi="ar-SA"/>
        </w:rPr>
      </w:pPr>
      <w:r w:rsidRPr="00ED38E9">
        <w:rPr>
          <w:rFonts w:eastAsia="Calibri" w:cs="Arial"/>
          <w:lang w:bidi="ar-SA"/>
        </w:rPr>
        <w:t>V souvislosti s touto rozšířenou odpovědností jsou výrobci elektrozařízení povinni zajistit (individuálně, solidárně nebo kolektivně) jejich co nejefektivnější oddělený sběr/zpětný odběr, zpracování, využití a odstranění. Všichni tito výrobci jsou vedeni v</w:t>
      </w:r>
      <w:r w:rsidR="008B37AA">
        <w:rPr>
          <w:rFonts w:eastAsia="Calibri" w:cs="Arial"/>
          <w:lang w:bidi="ar-SA"/>
        </w:rPr>
        <w:t> S</w:t>
      </w:r>
      <w:r w:rsidRPr="00ED38E9">
        <w:rPr>
          <w:rFonts w:eastAsia="Calibri" w:cs="Arial"/>
          <w:lang w:bidi="ar-SA"/>
        </w:rPr>
        <w:t>eznamu</w:t>
      </w:r>
      <w:r w:rsidR="008B37AA">
        <w:rPr>
          <w:rFonts w:eastAsia="Calibri" w:cs="Arial"/>
          <w:lang w:bidi="ar-SA"/>
        </w:rPr>
        <w:t xml:space="preserve"> výrobců elektrozařízení vedeném</w:t>
      </w:r>
      <w:r w:rsidRPr="00ED38E9">
        <w:rPr>
          <w:rFonts w:eastAsia="Calibri" w:cs="Arial"/>
          <w:lang w:bidi="ar-SA"/>
        </w:rPr>
        <w:t xml:space="preserve"> </w:t>
      </w:r>
      <w:r w:rsidRPr="00ED38E9" w:rsidR="00A56310">
        <w:rPr>
          <w:rFonts w:eastAsia="Calibri" w:cs="Arial"/>
          <w:lang w:bidi="ar-SA"/>
        </w:rPr>
        <w:t>MŽP</w:t>
      </w:r>
      <w:r w:rsidRPr="00ED38E9">
        <w:rPr>
          <w:rFonts w:eastAsia="Calibri" w:cs="Arial"/>
          <w:lang w:bidi="ar-SA"/>
        </w:rPr>
        <w:t xml:space="preserve">, </w:t>
      </w:r>
      <w:r w:rsidR="008B37AA">
        <w:rPr>
          <w:rFonts w:eastAsia="Calibri" w:cs="Arial"/>
          <w:lang w:bidi="ar-SA"/>
        </w:rPr>
        <w:t xml:space="preserve">který </w:t>
      </w:r>
      <w:r w:rsidRPr="00ED38E9">
        <w:rPr>
          <w:rFonts w:eastAsia="Calibri" w:cs="Arial"/>
          <w:lang w:bidi="ar-SA"/>
        </w:rPr>
        <w:t>obsahuj</w:t>
      </w:r>
      <w:r w:rsidR="008B37AA">
        <w:rPr>
          <w:rFonts w:eastAsia="Calibri" w:cs="Arial"/>
          <w:lang w:bidi="ar-SA"/>
        </w:rPr>
        <w:t>e</w:t>
      </w:r>
      <w:r w:rsidRPr="00ED38E9">
        <w:rPr>
          <w:rFonts w:eastAsia="Calibri" w:cs="Arial"/>
          <w:lang w:bidi="ar-SA"/>
        </w:rPr>
        <w:t xml:space="preserve"> údaje o typu jejich elektrozařízení i o způsobu plnění jejich povinností. Financování odděleného sběru/zpětného odběru a následného nakládání s OEEZ je rovněž jednou z povinností na straně výrobce elektrozařízení.</w:t>
      </w:r>
      <w:r w:rsidR="008B37AA">
        <w:rPr>
          <w:rFonts w:eastAsia="Calibri" w:cs="Arial"/>
          <w:lang w:bidi="ar-SA"/>
        </w:rPr>
        <w:t xml:space="preserve"> Za</w:t>
      </w:r>
      <w:r w:rsidR="00330409">
        <w:rPr>
          <w:rFonts w:eastAsia="Calibri" w:cs="Arial"/>
          <w:lang w:bidi="ar-SA"/>
        </w:rPr>
        <w:t> </w:t>
      </w:r>
      <w:r w:rsidR="008B37AA">
        <w:rPr>
          <w:rFonts w:eastAsia="Calibri" w:cs="Arial"/>
          <w:lang w:bidi="ar-SA"/>
        </w:rPr>
        <w:t>výrobce jsou považováni i dovozci EEZ do ČR a osoby, které zde uvádí na trh EEZ nabytá v jiných členských zemích EU.</w:t>
      </w:r>
    </w:p>
    <w:p w:rsidR="00591A71" w:rsidRPr="00412A89" w:rsidP="00412A89" w14:paraId="545829AE" w14:textId="77777777">
      <w:pPr>
        <w:pStyle w:val="Normln-tun"/>
        <w:spacing w:after="0"/>
        <w:rPr>
          <w:rFonts w:cs="Arial"/>
          <w:i/>
        </w:rPr>
      </w:pPr>
      <w:bookmarkStart w:id="180" w:name="_Toc406598321"/>
      <w:r w:rsidRPr="00412A89">
        <w:rPr>
          <w:rFonts w:cs="Arial"/>
          <w:i/>
        </w:rPr>
        <w:t>Distributoři a poslední prodejci</w:t>
      </w:r>
      <w:bookmarkEnd w:id="180"/>
    </w:p>
    <w:p w:rsidR="00591A71" w:rsidP="006C1CA1" w14:paraId="5543C922" w14:textId="77777777">
      <w:pPr>
        <w:rPr>
          <w:rFonts w:eastAsia="Calibri" w:cs="Arial"/>
          <w:lang w:bidi="ar-SA"/>
        </w:rPr>
      </w:pPr>
      <w:r w:rsidRPr="00ED38E9">
        <w:rPr>
          <w:rFonts w:eastAsia="Calibri" w:cs="Arial"/>
          <w:lang w:bidi="ar-SA"/>
        </w:rPr>
        <w:t>Distributoři distribuující elektrozařízení (včetně internetových prodejců) musí informovat konečného uživatele o způsobu, jakým je zpětný odběr popřípadě oddělený sběr prováděn. Poslední prodejce informuje spotřebitele (domácnost) a zároveň zajišťuje přijímání tohoto zboží nebo zboží historického ke zpětnému odběru.</w:t>
      </w:r>
    </w:p>
    <w:p w:rsidR="00330409" w:rsidRPr="00ED38E9" w:rsidP="006C1CA1" w14:paraId="2487FDC9" w14:textId="77777777">
      <w:pPr>
        <w:rPr>
          <w:rFonts w:eastAsia="Calibri" w:cs="Arial"/>
          <w:lang w:bidi="ar-SA"/>
        </w:rPr>
      </w:pPr>
    </w:p>
    <w:p w:rsidR="00591A71" w:rsidRPr="00412A89" w:rsidP="00412A89" w14:paraId="101FD918" w14:textId="77777777">
      <w:pPr>
        <w:pStyle w:val="Normln-tun"/>
        <w:spacing w:after="0"/>
        <w:rPr>
          <w:rFonts w:cs="Arial"/>
          <w:i/>
        </w:rPr>
      </w:pPr>
      <w:bookmarkStart w:id="181" w:name="_Toc406598322"/>
      <w:r w:rsidRPr="00412A89">
        <w:rPr>
          <w:rFonts w:cs="Arial"/>
          <w:i/>
        </w:rPr>
        <w:t>Koneční uživatelé elektrozařízení</w:t>
      </w:r>
      <w:bookmarkEnd w:id="181"/>
    </w:p>
    <w:p w:rsidR="00591A71" w:rsidRPr="00ED38E9" w:rsidP="006C1CA1" w14:paraId="30D835BA" w14:textId="77777777">
      <w:pPr>
        <w:rPr>
          <w:rFonts w:eastAsia="Calibri" w:cs="Arial"/>
          <w:lang w:bidi="ar-SA"/>
        </w:rPr>
      </w:pPr>
      <w:r w:rsidRPr="00ED38E9">
        <w:rPr>
          <w:rFonts w:eastAsia="Calibri" w:cs="Arial"/>
          <w:lang w:bidi="ar-SA"/>
        </w:rPr>
        <w:t xml:space="preserve">Financování zpětného odběru/odděleného sběru a jiných povinností mohou firmy promítnout formou recyklačního </w:t>
      </w:r>
      <w:r w:rsidR="00473E00">
        <w:rPr>
          <w:rFonts w:eastAsia="Calibri" w:cs="Arial"/>
          <w:lang w:bidi="ar-SA"/>
        </w:rPr>
        <w:t>příspěvku</w:t>
      </w:r>
      <w:r w:rsidRPr="00ED38E9" w:rsidR="00473E00">
        <w:rPr>
          <w:rFonts w:eastAsia="Calibri" w:cs="Arial"/>
          <w:lang w:bidi="ar-SA"/>
        </w:rPr>
        <w:t xml:space="preserve"> </w:t>
      </w:r>
      <w:r w:rsidRPr="00ED38E9">
        <w:rPr>
          <w:rFonts w:eastAsia="Calibri" w:cs="Arial"/>
          <w:lang w:bidi="ar-SA"/>
        </w:rPr>
        <w:t>do ceny výrobků a potenciálně tak navýšit náklady spotřebitele. Distribuce dopadu mezi spotřebitele a výrobce pak závisí na stupni konkuren</w:t>
      </w:r>
      <w:r w:rsidRPr="00ED38E9" w:rsidR="008E11D0">
        <w:rPr>
          <w:rFonts w:eastAsia="Calibri" w:cs="Arial"/>
          <w:lang w:bidi="ar-SA"/>
        </w:rPr>
        <w:t>ce na</w:t>
      </w:r>
      <w:r w:rsidRPr="00ED38E9">
        <w:rPr>
          <w:rFonts w:eastAsia="Calibri" w:cs="Arial"/>
          <w:lang w:bidi="ar-SA"/>
        </w:rPr>
        <w:t xml:space="preserve"> trhu s EEZ, příp. elasticitě poptávky po EEZ. Čím </w:t>
      </w:r>
      <w:r w:rsidR="00421D20">
        <w:rPr>
          <w:rFonts w:eastAsia="Calibri" w:cs="Arial"/>
          <w:lang w:bidi="ar-SA"/>
        </w:rPr>
        <w:t xml:space="preserve">je </w:t>
      </w:r>
      <w:r w:rsidRPr="00ED38E9">
        <w:rPr>
          <w:rFonts w:eastAsia="Calibri" w:cs="Arial"/>
          <w:lang w:bidi="ar-SA"/>
        </w:rPr>
        <w:t xml:space="preserve">vyšší konkurence mezi výrobci/distributory/prodejci, tím se dopad přesouvá směrem k těmto subjektům ve formě snižování marží, totéž platí s rostoucí elasticitou poptávky po EEZ.  </w:t>
      </w:r>
    </w:p>
    <w:p w:rsidR="00591A71" w:rsidRPr="00ED38E9" w:rsidP="006C1CA1" w14:paraId="05B3DD2D" w14:textId="1D86B3F5">
      <w:pPr>
        <w:rPr>
          <w:rFonts w:eastAsia="Calibri" w:cs="Arial"/>
          <w:lang w:bidi="ar-SA"/>
        </w:rPr>
      </w:pPr>
      <w:r w:rsidRPr="00ED38E9">
        <w:rPr>
          <w:rFonts w:eastAsia="Calibri" w:cs="Arial"/>
          <w:lang w:bidi="ar-SA"/>
        </w:rPr>
        <w:t>Konečný uživatel je v současnosti klíčovým prvkem v procesu zpětného odběru</w:t>
      </w:r>
      <w:r w:rsidR="00473E00">
        <w:rPr>
          <w:rFonts w:eastAsia="Calibri" w:cs="Arial"/>
          <w:lang w:bidi="ar-SA"/>
        </w:rPr>
        <w:t xml:space="preserve"> a</w:t>
      </w:r>
      <w:r w:rsidRPr="00ED38E9">
        <w:rPr>
          <w:rFonts w:eastAsia="Calibri" w:cs="Arial"/>
          <w:lang w:bidi="ar-SA"/>
        </w:rPr>
        <w:t xml:space="preserve"> je třeba </w:t>
      </w:r>
      <w:r w:rsidR="00473E00">
        <w:rPr>
          <w:rFonts w:eastAsia="Calibri" w:cs="Arial"/>
          <w:lang w:bidi="ar-SA"/>
        </w:rPr>
        <w:t>ho</w:t>
      </w:r>
      <w:r w:rsidRPr="00ED38E9" w:rsidR="00473E00">
        <w:rPr>
          <w:rFonts w:eastAsia="Calibri" w:cs="Arial"/>
          <w:lang w:bidi="ar-SA"/>
        </w:rPr>
        <w:t xml:space="preserve"> </w:t>
      </w:r>
      <w:r w:rsidRPr="00ED38E9">
        <w:rPr>
          <w:rFonts w:eastAsia="Calibri" w:cs="Arial"/>
          <w:lang w:bidi="ar-SA"/>
        </w:rPr>
        <w:t>dostatečně motivovat k tomu, aby výrobek po ukončení jeho životnosti odevzdával do</w:t>
      </w:r>
      <w:r w:rsidR="00330409">
        <w:rPr>
          <w:rFonts w:eastAsia="Calibri" w:cs="Arial"/>
          <w:lang w:bidi="ar-SA"/>
        </w:rPr>
        <w:t> </w:t>
      </w:r>
      <w:r w:rsidRPr="00ED38E9">
        <w:rPr>
          <w:rFonts w:eastAsia="Calibri" w:cs="Arial"/>
          <w:lang w:bidi="ar-SA"/>
        </w:rPr>
        <w:t>systému zpětného odběru/odděleného sběru. Jednou z možností, která vyplývá z evropské směrnice 2012/19/EU, je motivace finanční. Konečný uživatel může dostat buď přímo zaplaceno za</w:t>
      </w:r>
      <w:r w:rsidR="007F024A">
        <w:rPr>
          <w:rFonts w:eastAsia="Calibri" w:cs="Arial"/>
          <w:lang w:bidi="ar-SA"/>
        </w:rPr>
        <w:t> </w:t>
      </w:r>
      <w:r w:rsidRPr="00ED38E9">
        <w:rPr>
          <w:rFonts w:eastAsia="Calibri" w:cs="Arial"/>
          <w:lang w:bidi="ar-SA"/>
        </w:rPr>
        <w:t xml:space="preserve">odevzdání výrobku (zvláště v případě, kdy má OEEZ kladnou finanční hodnotu), anebo může být osvobozen od některých </w:t>
      </w:r>
      <w:r w:rsidR="00473E00">
        <w:rPr>
          <w:rFonts w:eastAsia="Calibri" w:cs="Arial"/>
          <w:lang w:bidi="ar-SA"/>
        </w:rPr>
        <w:t>plateb</w:t>
      </w:r>
      <w:r w:rsidRPr="00ED38E9">
        <w:rPr>
          <w:rFonts w:eastAsia="Calibri" w:cs="Arial"/>
          <w:lang w:bidi="ar-SA"/>
        </w:rPr>
        <w:t xml:space="preserve"> či jinak nepřímo finančně kompenzován. </w:t>
      </w:r>
    </w:p>
    <w:p w:rsidR="00591A71" w:rsidRPr="00412A89" w:rsidP="00412A89" w14:paraId="6038C935" w14:textId="133E6069">
      <w:pPr>
        <w:pStyle w:val="Normln-tun"/>
        <w:spacing w:after="0"/>
        <w:rPr>
          <w:rFonts w:cs="Arial"/>
          <w:i/>
        </w:rPr>
      </w:pPr>
      <w:bookmarkStart w:id="182" w:name="_Toc406598324"/>
      <w:r w:rsidRPr="00412A89">
        <w:rPr>
          <w:rFonts w:cs="Arial"/>
          <w:i/>
        </w:rPr>
        <w:t>Stávající provozovatelé kolektivních systémů</w:t>
      </w:r>
      <w:bookmarkEnd w:id="182"/>
    </w:p>
    <w:p w:rsidR="00591A71" w:rsidRPr="00ED38E9" w:rsidP="006C1CA1" w14:paraId="7D8BE97D" w14:textId="77777777">
      <w:pPr>
        <w:rPr>
          <w:rFonts w:eastAsia="Calibri" w:cs="Arial"/>
          <w:lang w:bidi="ar-SA"/>
        </w:rPr>
      </w:pPr>
      <w:r w:rsidRPr="00ED38E9">
        <w:rPr>
          <w:rFonts w:eastAsia="Calibri" w:cs="Arial"/>
          <w:lang w:bidi="ar-SA"/>
        </w:rPr>
        <w:t>K</w:t>
      </w:r>
      <w:r w:rsidR="00851988">
        <w:rPr>
          <w:rFonts w:eastAsia="Calibri" w:cs="Arial"/>
          <w:lang w:bidi="ar-SA"/>
        </w:rPr>
        <w:t>S</w:t>
      </w:r>
      <w:r w:rsidRPr="00ED38E9">
        <w:rPr>
          <w:rFonts w:eastAsia="Calibri" w:cs="Arial"/>
          <w:lang w:bidi="ar-SA"/>
        </w:rPr>
        <w:t>, který zajišťuje</w:t>
      </w:r>
      <w:r w:rsidRPr="00ED38E9" w:rsidR="00252C86">
        <w:rPr>
          <w:rFonts w:eastAsia="Calibri" w:cs="Arial"/>
        </w:rPr>
        <w:t xml:space="preserve"> z</w:t>
      </w:r>
      <w:r w:rsidRPr="00ED38E9">
        <w:rPr>
          <w:rFonts w:eastAsia="Calibri" w:cs="Arial"/>
        </w:rPr>
        <w:t>pětný odběr/oddělený sběr</w:t>
      </w:r>
      <w:r w:rsidRPr="00ED38E9" w:rsidR="00DB1B9A">
        <w:rPr>
          <w:rFonts w:eastAsia="Calibri" w:cs="Arial"/>
        </w:rPr>
        <w:t>,</w:t>
      </w:r>
      <w:r w:rsidRPr="00ED38E9">
        <w:rPr>
          <w:rFonts w:eastAsia="Calibri" w:cs="Arial"/>
          <w:lang w:bidi="ar-SA"/>
        </w:rPr>
        <w:t xml:space="preserve"> svoz </w:t>
      </w:r>
      <w:r w:rsidR="00783E53">
        <w:rPr>
          <w:rFonts w:eastAsia="Calibri" w:cs="Arial"/>
          <w:lang w:bidi="ar-SA"/>
        </w:rPr>
        <w:t xml:space="preserve">a </w:t>
      </w:r>
      <w:r w:rsidRPr="00ED38E9">
        <w:rPr>
          <w:rFonts w:eastAsia="Calibri" w:cs="Arial"/>
          <w:lang w:bidi="ar-SA"/>
        </w:rPr>
        <w:t>zpracov</w:t>
      </w:r>
      <w:r w:rsidR="00783E53">
        <w:rPr>
          <w:rFonts w:eastAsia="Calibri" w:cs="Arial"/>
          <w:lang w:bidi="ar-SA"/>
        </w:rPr>
        <w:t>ání</w:t>
      </w:r>
      <w:r w:rsidRPr="00ED38E9">
        <w:rPr>
          <w:rFonts w:eastAsia="Calibri" w:cs="Arial"/>
          <w:lang w:bidi="ar-SA"/>
        </w:rPr>
        <w:t xml:space="preserve"> elektroodpadu, je neziskovou organizací, jejíž fungování financují výrobci, kteří se rozhodli přes </w:t>
      </w:r>
      <w:r w:rsidR="00851988">
        <w:rPr>
          <w:rFonts w:eastAsia="Calibri" w:cs="Arial"/>
          <w:lang w:bidi="ar-SA"/>
        </w:rPr>
        <w:t>KS</w:t>
      </w:r>
      <w:r w:rsidRPr="00ED38E9">
        <w:rPr>
          <w:rFonts w:eastAsia="Calibri" w:cs="Arial"/>
          <w:lang w:bidi="ar-SA"/>
        </w:rPr>
        <w:t xml:space="preserve"> svou povinnost plnit. Kolektivní systém tedy funguje na základě jejich příspěvků (včetně příspěvků za </w:t>
      </w:r>
      <w:r w:rsidR="00851988">
        <w:rPr>
          <w:rFonts w:eastAsia="Calibri" w:cs="Arial"/>
          <w:lang w:bidi="ar-SA"/>
        </w:rPr>
        <w:t>HEEZ</w:t>
      </w:r>
      <w:r w:rsidRPr="00ED38E9">
        <w:rPr>
          <w:rFonts w:eastAsia="Calibri" w:cs="Arial"/>
          <w:lang w:bidi="ar-SA"/>
        </w:rPr>
        <w:t>), které jsou determinovány počtem a typem produktů, které daný výrobce uvádí na</w:t>
      </w:r>
      <w:r w:rsidR="00851988">
        <w:rPr>
          <w:rFonts w:eastAsia="Calibri" w:cs="Arial"/>
          <w:lang w:bidi="ar-SA"/>
        </w:rPr>
        <w:t> </w:t>
      </w:r>
      <w:r w:rsidRPr="00ED38E9">
        <w:rPr>
          <w:rFonts w:eastAsia="Calibri" w:cs="Arial"/>
          <w:lang w:bidi="ar-SA"/>
        </w:rPr>
        <w:t xml:space="preserve">trh. </w:t>
      </w:r>
    </w:p>
    <w:p w:rsidR="00591A71" w:rsidP="006C1CA1" w14:paraId="7B896E8C" w14:textId="77777777">
      <w:pPr>
        <w:rPr>
          <w:rFonts w:eastAsia="Calibri" w:cs="Arial"/>
          <w:lang w:bidi="ar-SA"/>
        </w:rPr>
      </w:pPr>
      <w:r w:rsidRPr="00ED38E9">
        <w:rPr>
          <w:rFonts w:eastAsia="Calibri" w:cs="Arial"/>
          <w:lang w:bidi="ar-SA"/>
        </w:rPr>
        <w:t>Náklady KS jsou dány množstvím míst zpětného odběru/odděleného sběru, podmínkami smluv s provozovateli těchto míst, se zpracovateli a svozovými společnostmi.</w:t>
      </w:r>
    </w:p>
    <w:p w:rsidR="00591A71" w:rsidRPr="00412A89" w:rsidP="00412A89" w14:paraId="065420C2" w14:textId="77777777">
      <w:pPr>
        <w:pStyle w:val="Normln-tun"/>
        <w:spacing w:after="0"/>
        <w:rPr>
          <w:rFonts w:cs="Arial"/>
          <w:i/>
        </w:rPr>
      </w:pPr>
      <w:bookmarkStart w:id="183" w:name="_Toc406598325"/>
      <w:r w:rsidRPr="00412A89">
        <w:rPr>
          <w:rFonts w:cs="Arial"/>
          <w:i/>
        </w:rPr>
        <w:t>Noví provozovatelé kolektivních systému</w:t>
      </w:r>
      <w:bookmarkEnd w:id="183"/>
    </w:p>
    <w:p w:rsidR="00591A71" w:rsidP="006C1CA1" w14:paraId="64795624" w14:textId="77777777">
      <w:pPr>
        <w:rPr>
          <w:rFonts w:eastAsia="Calibri" w:cs="Arial"/>
          <w:lang w:bidi="ar-SA"/>
        </w:rPr>
      </w:pPr>
      <w:r w:rsidRPr="00ED38E9">
        <w:rPr>
          <w:rFonts w:eastAsia="Calibri" w:cs="Arial"/>
          <w:lang w:bidi="ar-SA"/>
        </w:rPr>
        <w:t xml:space="preserve">Postavení nových provozovatelů </w:t>
      </w:r>
      <w:r w:rsidR="00851988">
        <w:rPr>
          <w:rFonts w:eastAsia="Calibri" w:cs="Arial"/>
          <w:lang w:bidi="ar-SA"/>
        </w:rPr>
        <w:t>KS</w:t>
      </w:r>
      <w:r w:rsidRPr="00ED38E9">
        <w:rPr>
          <w:rFonts w:eastAsia="Calibri" w:cs="Arial"/>
          <w:lang w:bidi="ar-SA"/>
        </w:rPr>
        <w:t xml:space="preserve"> se bude odvíjet od nastaven</w:t>
      </w:r>
      <w:r w:rsidR="004D62BE">
        <w:rPr>
          <w:rFonts w:eastAsia="Calibri" w:cs="Arial"/>
          <w:lang w:bidi="ar-SA"/>
        </w:rPr>
        <w:t>ých</w:t>
      </w:r>
      <w:r w:rsidRPr="00ED38E9">
        <w:rPr>
          <w:rFonts w:eastAsia="Calibri" w:cs="Arial"/>
          <w:lang w:bidi="ar-SA"/>
        </w:rPr>
        <w:t xml:space="preserve"> podmínek novou právní úpravou</w:t>
      </w:r>
      <w:r w:rsidR="004D62BE">
        <w:rPr>
          <w:rFonts w:eastAsia="Calibri" w:cs="Arial"/>
          <w:lang w:bidi="ar-SA"/>
        </w:rPr>
        <w:t>, které by měly zaručit jejich řádné a transparentní fungování</w:t>
      </w:r>
      <w:r w:rsidR="00783E53">
        <w:rPr>
          <w:rFonts w:eastAsia="Calibri" w:cs="Arial"/>
          <w:lang w:bidi="ar-SA"/>
        </w:rPr>
        <w:t>.</w:t>
      </w:r>
    </w:p>
    <w:p w:rsidR="00591A71" w:rsidRPr="00412A89" w:rsidP="00412A89" w14:paraId="4A6D7686" w14:textId="77777777">
      <w:pPr>
        <w:pStyle w:val="Normln-tun"/>
        <w:spacing w:after="0"/>
        <w:rPr>
          <w:rFonts w:cs="Arial"/>
          <w:i/>
        </w:rPr>
      </w:pPr>
      <w:bookmarkStart w:id="184" w:name="_Toc406598326"/>
      <w:r w:rsidRPr="00412A89">
        <w:rPr>
          <w:rFonts w:cs="Arial"/>
          <w:i/>
        </w:rPr>
        <w:t>Svozové společnosti</w:t>
      </w:r>
      <w:bookmarkEnd w:id="184"/>
    </w:p>
    <w:p w:rsidR="00591A71" w:rsidP="006C1CA1" w14:paraId="6468BE95" w14:textId="77777777">
      <w:pPr>
        <w:rPr>
          <w:rFonts w:eastAsia="Calibri" w:cs="Arial"/>
          <w:lang w:bidi="ar-SA"/>
        </w:rPr>
      </w:pPr>
      <w:r w:rsidRPr="00ED38E9">
        <w:rPr>
          <w:rFonts w:eastAsia="Calibri" w:cs="Arial"/>
          <w:lang w:bidi="ar-SA"/>
        </w:rPr>
        <w:t xml:space="preserve">Svozové společnosti jsou najímány kolektivními systémy (případně samotnými výrobci) k přepravě </w:t>
      </w:r>
      <w:r w:rsidR="00851988">
        <w:rPr>
          <w:rFonts w:eastAsia="Calibri" w:cs="Arial"/>
          <w:lang w:bidi="ar-SA"/>
        </w:rPr>
        <w:t>EEZ</w:t>
      </w:r>
      <w:r w:rsidRPr="00ED38E9" w:rsidR="00851988">
        <w:rPr>
          <w:rFonts w:eastAsia="Calibri" w:cs="Arial"/>
          <w:lang w:bidi="ar-SA"/>
        </w:rPr>
        <w:t xml:space="preserve"> </w:t>
      </w:r>
      <w:r w:rsidRPr="00ED38E9">
        <w:rPr>
          <w:rFonts w:eastAsia="Calibri" w:cs="Arial"/>
          <w:lang w:bidi="ar-SA"/>
        </w:rPr>
        <w:t xml:space="preserve">ze sběrného místa do místa jeho dalšího zpracování. Současná právní úprava nepovažuje </w:t>
      </w:r>
      <w:r w:rsidR="00851988">
        <w:rPr>
          <w:rFonts w:eastAsia="Calibri" w:cs="Arial"/>
          <w:lang w:bidi="ar-SA"/>
        </w:rPr>
        <w:t>EEZ</w:t>
      </w:r>
      <w:r w:rsidRPr="00ED38E9" w:rsidR="00851988">
        <w:rPr>
          <w:rFonts w:eastAsia="Calibri" w:cs="Arial"/>
          <w:lang w:bidi="ar-SA"/>
        </w:rPr>
        <w:t xml:space="preserve"> </w:t>
      </w:r>
      <w:r w:rsidRPr="00ED38E9">
        <w:rPr>
          <w:rFonts w:eastAsia="Calibri" w:cs="Arial"/>
          <w:lang w:bidi="ar-SA"/>
        </w:rPr>
        <w:t xml:space="preserve">pocházející z domácností za odpad do doby, než je předán ke zpracování. Svozové společnosti tak nemusí </w:t>
      </w:r>
      <w:r w:rsidRPr="00ED38E9" w:rsidR="00DB1B9A">
        <w:rPr>
          <w:rFonts w:eastAsia="Calibri" w:cs="Arial"/>
          <w:lang w:bidi="ar-SA"/>
        </w:rPr>
        <w:t xml:space="preserve">zacházet </w:t>
      </w:r>
      <w:r w:rsidRPr="00ED38E9">
        <w:rPr>
          <w:rFonts w:eastAsia="Calibri" w:cs="Arial"/>
          <w:lang w:bidi="ar-SA"/>
        </w:rPr>
        <w:t>s</w:t>
      </w:r>
      <w:r w:rsidRPr="00ED38E9" w:rsidR="00DB1B9A">
        <w:rPr>
          <w:rFonts w:eastAsia="Calibri" w:cs="Arial"/>
          <w:lang w:bidi="ar-SA"/>
        </w:rPr>
        <w:t xml:space="preserve"> tímto </w:t>
      </w:r>
      <w:r w:rsidR="00851988">
        <w:rPr>
          <w:rFonts w:eastAsia="Calibri" w:cs="Arial"/>
          <w:lang w:bidi="ar-SA"/>
        </w:rPr>
        <w:t>EEZ</w:t>
      </w:r>
      <w:r w:rsidRPr="00ED38E9" w:rsidR="00851988">
        <w:rPr>
          <w:rFonts w:eastAsia="Calibri" w:cs="Arial"/>
          <w:lang w:bidi="ar-SA"/>
        </w:rPr>
        <w:t xml:space="preserve"> </w:t>
      </w:r>
      <w:r w:rsidRPr="00ED38E9">
        <w:rPr>
          <w:rFonts w:eastAsia="Calibri" w:cs="Arial"/>
          <w:lang w:bidi="ar-SA"/>
        </w:rPr>
        <w:t>jako s odpadem. Změna odpadového režimu by mohla dle nastavených podmínek znamenat navýšení nákladů na svoz.</w:t>
      </w:r>
    </w:p>
    <w:p w:rsidR="00591A71" w:rsidRPr="00412A89" w:rsidP="00412A89" w14:paraId="1C2D62A4" w14:textId="77777777">
      <w:pPr>
        <w:pStyle w:val="Normln-tun"/>
        <w:spacing w:after="0"/>
        <w:rPr>
          <w:rFonts w:cs="Arial"/>
          <w:i/>
        </w:rPr>
      </w:pPr>
      <w:bookmarkStart w:id="185" w:name="_Toc406598327"/>
      <w:r w:rsidRPr="00412A89">
        <w:rPr>
          <w:rFonts w:cs="Arial"/>
          <w:i/>
        </w:rPr>
        <w:t>Zpracovatelé odpadních elektrozařízení</w:t>
      </w:r>
      <w:bookmarkEnd w:id="185"/>
    </w:p>
    <w:p w:rsidR="00591A71" w:rsidRPr="00ED38E9" w:rsidP="006C1CA1" w14:paraId="3E704FA6" w14:textId="17889733">
      <w:pPr>
        <w:rPr>
          <w:rFonts w:eastAsia="Calibri" w:cs="Arial"/>
          <w:lang w:bidi="ar-SA"/>
        </w:rPr>
      </w:pPr>
      <w:r w:rsidRPr="00ED38E9">
        <w:rPr>
          <w:rFonts w:eastAsia="Calibri" w:cs="Arial"/>
          <w:lang w:bidi="ar-SA"/>
        </w:rPr>
        <w:t xml:space="preserve">Jejich hlavní činností je </w:t>
      </w:r>
      <w:r w:rsidR="00977513">
        <w:rPr>
          <w:rFonts w:eastAsia="Calibri" w:cs="Arial"/>
          <w:lang w:bidi="ar-SA"/>
        </w:rPr>
        <w:t>získá</w:t>
      </w:r>
      <w:r w:rsidR="00A20C3D">
        <w:rPr>
          <w:rFonts w:eastAsia="Calibri" w:cs="Arial"/>
          <w:lang w:bidi="ar-SA"/>
        </w:rPr>
        <w:t>vá</w:t>
      </w:r>
      <w:r w:rsidR="00977513">
        <w:rPr>
          <w:rFonts w:eastAsia="Calibri" w:cs="Arial"/>
          <w:lang w:bidi="ar-SA"/>
        </w:rPr>
        <w:t>ní</w:t>
      </w:r>
      <w:r w:rsidRPr="00ED38E9" w:rsidR="00977513">
        <w:rPr>
          <w:rFonts w:eastAsia="Calibri" w:cs="Arial"/>
          <w:lang w:bidi="ar-SA"/>
        </w:rPr>
        <w:t xml:space="preserve"> </w:t>
      </w:r>
      <w:r w:rsidRPr="00ED38E9">
        <w:rPr>
          <w:rFonts w:eastAsia="Calibri" w:cs="Arial"/>
          <w:lang w:bidi="ar-SA"/>
        </w:rPr>
        <w:t xml:space="preserve">elektroodpadu od </w:t>
      </w:r>
      <w:r w:rsidR="00851988">
        <w:rPr>
          <w:rFonts w:eastAsia="Calibri" w:cs="Arial"/>
          <w:lang w:bidi="ar-SA"/>
        </w:rPr>
        <w:t>KS</w:t>
      </w:r>
      <w:r w:rsidR="00977513">
        <w:rPr>
          <w:rFonts w:eastAsia="Calibri" w:cs="Arial"/>
          <w:lang w:bidi="ar-SA"/>
        </w:rPr>
        <w:t>, ať již úplatně nebo bezúplatně,</w:t>
      </w:r>
      <w:r w:rsidRPr="00ED38E9">
        <w:rPr>
          <w:rFonts w:eastAsia="Calibri" w:cs="Arial"/>
          <w:lang w:bidi="ar-SA"/>
        </w:rPr>
        <w:t xml:space="preserve"> </w:t>
      </w:r>
      <w:r w:rsidR="00977513">
        <w:rPr>
          <w:rFonts w:eastAsia="Calibri" w:cs="Arial"/>
          <w:lang w:bidi="ar-SA"/>
        </w:rPr>
        <w:t>případně</w:t>
      </w:r>
      <w:r w:rsidRPr="00ED38E9">
        <w:rPr>
          <w:rFonts w:eastAsia="Calibri" w:cs="Arial"/>
          <w:lang w:bidi="ar-SA"/>
        </w:rPr>
        <w:t xml:space="preserve"> nákup odpadu ze</w:t>
      </w:r>
      <w:r w:rsidRPr="00ED38E9" w:rsidR="00F635E4">
        <w:rPr>
          <w:rFonts w:eastAsia="Calibri" w:cs="Arial"/>
          <w:lang w:bidi="ar-SA"/>
        </w:rPr>
        <w:t> </w:t>
      </w:r>
      <w:r w:rsidRPr="00ED38E9">
        <w:rPr>
          <w:rFonts w:eastAsia="Calibri" w:cs="Arial"/>
          <w:lang w:bidi="ar-SA"/>
        </w:rPr>
        <w:t>zahraničí</w:t>
      </w:r>
      <w:r w:rsidRPr="00ED38E9" w:rsidR="00DB1B9A">
        <w:rPr>
          <w:rFonts w:eastAsia="Calibri" w:cs="Arial"/>
          <w:lang w:bidi="ar-SA"/>
        </w:rPr>
        <w:t>,</w:t>
      </w:r>
      <w:r w:rsidRPr="00ED38E9">
        <w:rPr>
          <w:rFonts w:eastAsia="Calibri" w:cs="Arial"/>
          <w:lang w:bidi="ar-SA"/>
        </w:rPr>
        <w:t xml:space="preserve"> jeho skladování, </w:t>
      </w:r>
      <w:r w:rsidR="00977513">
        <w:rPr>
          <w:rFonts w:eastAsia="Calibri" w:cs="Arial"/>
          <w:lang w:bidi="ar-SA"/>
        </w:rPr>
        <w:t>zpracování a</w:t>
      </w:r>
      <w:r w:rsidR="00EB1018">
        <w:rPr>
          <w:rFonts w:eastAsia="Calibri" w:cs="Arial"/>
          <w:lang w:bidi="ar-SA"/>
        </w:rPr>
        <w:t> </w:t>
      </w:r>
      <w:r w:rsidRPr="00ED38E9">
        <w:rPr>
          <w:rFonts w:eastAsia="Calibri" w:cs="Arial"/>
          <w:lang w:bidi="ar-SA"/>
        </w:rPr>
        <w:t>odstraňování nežádoucích látek</w:t>
      </w:r>
      <w:r w:rsidR="00977513">
        <w:rPr>
          <w:rFonts w:eastAsia="Calibri" w:cs="Arial"/>
          <w:lang w:bidi="ar-SA"/>
        </w:rPr>
        <w:t xml:space="preserve"> nebo dále nevyužitelných částí</w:t>
      </w:r>
      <w:r w:rsidR="00A20C3D">
        <w:rPr>
          <w:rFonts w:eastAsia="Calibri" w:cs="Arial"/>
          <w:lang w:bidi="ar-SA"/>
        </w:rPr>
        <w:t xml:space="preserve"> a nás</w:t>
      </w:r>
      <w:r w:rsidR="00FD1EC9">
        <w:rPr>
          <w:rFonts w:eastAsia="Calibri" w:cs="Arial"/>
          <w:lang w:bidi="ar-SA"/>
        </w:rPr>
        <w:t>le</w:t>
      </w:r>
      <w:r w:rsidR="00A20C3D">
        <w:rPr>
          <w:rFonts w:eastAsia="Calibri" w:cs="Arial"/>
          <w:lang w:bidi="ar-SA"/>
        </w:rPr>
        <w:t>dný prodej odpadů (druhotných surovin) zejména finálním zpracovatelům.</w:t>
      </w:r>
      <w:r w:rsidRPr="00ED38E9">
        <w:rPr>
          <w:rFonts w:eastAsia="Calibri" w:cs="Arial"/>
          <w:lang w:bidi="ar-SA"/>
        </w:rPr>
        <w:t xml:space="preserve"> </w:t>
      </w:r>
    </w:p>
    <w:p w:rsidR="00591A71" w:rsidRPr="00412A89" w:rsidP="00412A89" w14:paraId="75AC5B88" w14:textId="371B4FBF">
      <w:pPr>
        <w:pStyle w:val="Normln-tun"/>
        <w:spacing w:after="0"/>
        <w:rPr>
          <w:rFonts w:cs="Arial"/>
          <w:i/>
        </w:rPr>
      </w:pPr>
      <w:bookmarkStart w:id="186" w:name="_Toc406598328"/>
      <w:r w:rsidRPr="00412A89">
        <w:rPr>
          <w:rFonts w:cs="Arial"/>
          <w:i/>
        </w:rPr>
        <w:t>Orgány státní správy</w:t>
      </w:r>
      <w:bookmarkEnd w:id="186"/>
    </w:p>
    <w:p w:rsidR="00591A71" w:rsidP="006C1CA1" w14:paraId="70407481" w14:textId="77777777">
      <w:pPr>
        <w:rPr>
          <w:rFonts w:eastAsia="Calibri" w:cs="Arial"/>
          <w:lang w:bidi="ar-SA"/>
        </w:rPr>
      </w:pPr>
      <w:r w:rsidRPr="00ED38E9">
        <w:rPr>
          <w:rFonts w:eastAsia="Calibri" w:cs="Arial"/>
          <w:lang w:bidi="ar-SA"/>
        </w:rPr>
        <w:t>MŽP</w:t>
      </w:r>
      <w:r w:rsidRPr="00ED38E9">
        <w:rPr>
          <w:rFonts w:eastAsia="Calibri" w:cs="Arial"/>
          <w:lang w:bidi="ar-SA"/>
        </w:rPr>
        <w:t xml:space="preserve"> má v kompetenci vedení </w:t>
      </w:r>
      <w:r w:rsidR="00783E53">
        <w:rPr>
          <w:rFonts w:eastAsia="Calibri" w:cs="Arial"/>
          <w:lang w:bidi="ar-SA"/>
        </w:rPr>
        <w:t>S</w:t>
      </w:r>
      <w:r w:rsidRPr="00ED38E9">
        <w:rPr>
          <w:rFonts w:eastAsia="Calibri" w:cs="Arial"/>
          <w:lang w:bidi="ar-SA"/>
        </w:rPr>
        <w:t xml:space="preserve">eznamu výrobců </w:t>
      </w:r>
      <w:r w:rsidR="00851988">
        <w:rPr>
          <w:rFonts w:eastAsia="Calibri" w:cs="Arial"/>
          <w:lang w:bidi="ar-SA"/>
        </w:rPr>
        <w:t>EEZ</w:t>
      </w:r>
      <w:r w:rsidRPr="00ED38E9">
        <w:rPr>
          <w:rFonts w:eastAsia="Calibri" w:cs="Arial"/>
          <w:lang w:bidi="ar-SA"/>
        </w:rPr>
        <w:t>. Kontrolu dodržování předpisů mají na</w:t>
      </w:r>
      <w:r w:rsidR="00851988">
        <w:rPr>
          <w:rFonts w:eastAsia="Calibri" w:cs="Arial"/>
          <w:lang w:bidi="ar-SA"/>
        </w:rPr>
        <w:t> </w:t>
      </w:r>
      <w:r w:rsidRPr="00ED38E9">
        <w:rPr>
          <w:rFonts w:eastAsia="Calibri" w:cs="Arial"/>
          <w:lang w:bidi="ar-SA"/>
        </w:rPr>
        <w:t xml:space="preserve">starosti ČIŽP, </w:t>
      </w:r>
      <w:r w:rsidRPr="00ED38E9" w:rsidR="00C10084">
        <w:rPr>
          <w:rFonts w:eastAsia="Calibri" w:cs="Arial"/>
          <w:lang w:bidi="ar-SA"/>
        </w:rPr>
        <w:t xml:space="preserve">obcení úřady </w:t>
      </w:r>
      <w:r w:rsidRPr="00ED38E9">
        <w:rPr>
          <w:rFonts w:eastAsia="Calibri" w:cs="Arial"/>
          <w:lang w:bidi="ar-SA"/>
        </w:rPr>
        <w:t>obc</w:t>
      </w:r>
      <w:r w:rsidRPr="00ED38E9" w:rsidR="00C10084">
        <w:rPr>
          <w:rFonts w:eastAsia="Calibri" w:cs="Arial"/>
          <w:lang w:bidi="ar-SA"/>
        </w:rPr>
        <w:t>í</w:t>
      </w:r>
      <w:r w:rsidRPr="00ED38E9">
        <w:rPr>
          <w:rFonts w:eastAsia="Calibri" w:cs="Arial"/>
          <w:lang w:bidi="ar-SA"/>
        </w:rPr>
        <w:t xml:space="preserve"> s rozšířenou působností</w:t>
      </w:r>
      <w:r w:rsidRPr="00ED38E9" w:rsidR="00C10084">
        <w:rPr>
          <w:rFonts w:eastAsia="Calibri" w:cs="Arial"/>
          <w:lang w:bidi="ar-SA"/>
        </w:rPr>
        <w:t xml:space="preserve"> a</w:t>
      </w:r>
      <w:r w:rsidRPr="00ED38E9">
        <w:rPr>
          <w:rFonts w:eastAsia="Calibri" w:cs="Arial"/>
          <w:lang w:bidi="ar-SA"/>
        </w:rPr>
        <w:t xml:space="preserve"> kraj</w:t>
      </w:r>
      <w:r w:rsidRPr="00ED38E9" w:rsidR="00C10084">
        <w:rPr>
          <w:rFonts w:eastAsia="Calibri" w:cs="Arial"/>
          <w:lang w:bidi="ar-SA"/>
        </w:rPr>
        <w:t>ské</w:t>
      </w:r>
      <w:r w:rsidRPr="00ED38E9">
        <w:rPr>
          <w:rFonts w:eastAsia="Calibri" w:cs="Arial"/>
          <w:lang w:bidi="ar-SA"/>
        </w:rPr>
        <w:t xml:space="preserve"> </w:t>
      </w:r>
      <w:r w:rsidRPr="00ED38E9" w:rsidR="00C10084">
        <w:rPr>
          <w:rFonts w:eastAsia="Calibri" w:cs="Arial"/>
          <w:lang w:bidi="ar-SA"/>
        </w:rPr>
        <w:t>úřady</w:t>
      </w:r>
      <w:r w:rsidRPr="00ED38E9">
        <w:rPr>
          <w:rFonts w:eastAsia="Calibri" w:cs="Arial"/>
          <w:lang w:bidi="ar-SA"/>
        </w:rPr>
        <w:t>. Do kontroly finančního hospodaření jsou zapojeny orgány finanční správy, a protože se povinnosti dané zákonem týkají i dovozců, mají určité pravomoci v oblasti nakládání s OEEZ i celní orgány.</w:t>
      </w:r>
    </w:p>
    <w:p w:rsidR="00591A71" w:rsidRPr="00412A89" w:rsidP="00412A89" w14:paraId="0244859F" w14:textId="77777777">
      <w:pPr>
        <w:pStyle w:val="Normln-tun"/>
        <w:spacing w:after="0"/>
        <w:rPr>
          <w:rFonts w:cs="Arial"/>
          <w:i/>
        </w:rPr>
      </w:pPr>
      <w:bookmarkStart w:id="187" w:name="_Toc406598329"/>
      <w:r w:rsidRPr="00412A89">
        <w:rPr>
          <w:rFonts w:cs="Arial"/>
          <w:i/>
        </w:rPr>
        <w:t>Obce</w:t>
      </w:r>
      <w:bookmarkEnd w:id="187"/>
    </w:p>
    <w:p w:rsidR="006415EE" w:rsidP="006C1CA1" w14:paraId="19C6E308" w14:textId="77777777">
      <w:pPr>
        <w:rPr>
          <w:rFonts w:eastAsia="Calibri" w:cs="Arial"/>
          <w:lang w:bidi="ar-SA"/>
        </w:rPr>
      </w:pPr>
      <w:r w:rsidRPr="00ED38E9">
        <w:rPr>
          <w:rFonts w:eastAsia="Calibri" w:cs="Arial"/>
          <w:lang w:bidi="ar-SA"/>
        </w:rPr>
        <w:t>Obce uzavírají dohody s </w:t>
      </w:r>
      <w:r w:rsidR="00851988">
        <w:rPr>
          <w:rFonts w:eastAsia="Calibri" w:cs="Arial"/>
          <w:lang w:bidi="ar-SA"/>
        </w:rPr>
        <w:t>KS</w:t>
      </w:r>
      <w:r w:rsidRPr="00ED38E9">
        <w:rPr>
          <w:rFonts w:eastAsia="Calibri" w:cs="Arial"/>
          <w:lang w:bidi="ar-SA"/>
        </w:rPr>
        <w:t xml:space="preserve"> </w:t>
      </w:r>
      <w:r w:rsidRPr="00ED38E9" w:rsidR="00CE3E50">
        <w:rPr>
          <w:rFonts w:eastAsia="Calibri" w:cs="Arial"/>
          <w:lang w:bidi="ar-SA"/>
        </w:rPr>
        <w:t>o</w:t>
      </w:r>
      <w:r w:rsidRPr="00ED38E9">
        <w:rPr>
          <w:rFonts w:eastAsia="Calibri" w:cs="Arial"/>
          <w:lang w:bidi="ar-SA"/>
        </w:rPr>
        <w:t> vytvoření sběrných míst. Největším přínosem pro obce je zamezení znečišťování životního prostředí na jejich území nebo v jejich blízkém okolí.</w:t>
      </w:r>
    </w:p>
    <w:p w:rsidR="006415EE" w:rsidRPr="001C6618" w:rsidP="00BF16B7" w14:paraId="6EB80506" w14:textId="77777777">
      <w:pPr>
        <w:pStyle w:val="Heading3"/>
      </w:pPr>
      <w:bookmarkStart w:id="188" w:name="_Toc402706656"/>
      <w:r w:rsidRPr="001C6618">
        <w:t>Popis cílového stavu</w:t>
      </w:r>
      <w:bookmarkEnd w:id="188"/>
      <w:r w:rsidRPr="001C6618">
        <w:t xml:space="preserve"> </w:t>
      </w:r>
    </w:p>
    <w:p w:rsidR="00012BA9" w:rsidRPr="00ED38E9" w:rsidP="006C1CA1" w14:paraId="24A5B24A" w14:textId="03A15C90">
      <w:pPr>
        <w:rPr>
          <w:rFonts w:cs="Arial"/>
        </w:rPr>
      </w:pPr>
      <w:bookmarkStart w:id="189" w:name="_Toc399509833"/>
      <w:bookmarkStart w:id="190" w:name="_Toc402706658"/>
      <w:r>
        <w:rPr>
          <w:rFonts w:cs="Arial"/>
        </w:rPr>
        <w:t>V důsledku</w:t>
      </w:r>
      <w:r w:rsidRPr="00ED38E9">
        <w:rPr>
          <w:rFonts w:cs="Arial"/>
        </w:rPr>
        <w:t xml:space="preserve"> </w:t>
      </w:r>
      <w:r w:rsidRPr="00ED38E9">
        <w:rPr>
          <w:rFonts w:cs="Arial"/>
        </w:rPr>
        <w:t>neustálé</w:t>
      </w:r>
      <w:r>
        <w:rPr>
          <w:rFonts w:cs="Arial"/>
        </w:rPr>
        <w:t>ho</w:t>
      </w:r>
      <w:r w:rsidRPr="00ED38E9">
        <w:rPr>
          <w:rFonts w:cs="Arial"/>
        </w:rPr>
        <w:t xml:space="preserve"> rozšiřování trhu a zkracování cyklů </w:t>
      </w:r>
      <w:r>
        <w:rPr>
          <w:rFonts w:cs="Arial"/>
        </w:rPr>
        <w:t xml:space="preserve">životnosti </w:t>
      </w:r>
      <w:r w:rsidRPr="00ED38E9">
        <w:rPr>
          <w:rFonts w:cs="Arial"/>
        </w:rPr>
        <w:t xml:space="preserve">se z elektrozařízení stává </w:t>
      </w:r>
      <w:r w:rsidRPr="00F367DB" w:rsidR="00F367DB">
        <w:rPr>
          <w:rFonts w:cs="Arial"/>
        </w:rPr>
        <w:t xml:space="preserve">rapidně </w:t>
      </w:r>
      <w:r w:rsidRPr="00ED38E9">
        <w:rPr>
          <w:rFonts w:cs="Arial"/>
        </w:rPr>
        <w:t xml:space="preserve">rostoucí zdroj nebezpečného odpadu a </w:t>
      </w:r>
      <w:r>
        <w:rPr>
          <w:rFonts w:cs="Arial"/>
        </w:rPr>
        <w:t xml:space="preserve">potenciální </w:t>
      </w:r>
      <w:r w:rsidRPr="00ED38E9">
        <w:rPr>
          <w:rFonts w:cs="Arial"/>
        </w:rPr>
        <w:t>hrozba pro životní prostředí. ČR je vázána směrnicí 2012/19/EU, jež požaduje splnění jistých úrovní sběru a</w:t>
      </w:r>
      <w:r w:rsidR="00EB1018">
        <w:rPr>
          <w:rFonts w:cs="Arial"/>
        </w:rPr>
        <w:t> </w:t>
      </w:r>
      <w:r w:rsidRPr="00ED38E9">
        <w:rPr>
          <w:rFonts w:cs="Arial"/>
        </w:rPr>
        <w:t>využití OEEZ. Cílem je tedy zajištění toho, aby česká legislativa umožňovala a</w:t>
      </w:r>
      <w:r w:rsidR="00EB1018">
        <w:rPr>
          <w:rFonts w:cs="Arial"/>
        </w:rPr>
        <w:t> </w:t>
      </w:r>
      <w:r w:rsidRPr="00ED38E9">
        <w:rPr>
          <w:rFonts w:cs="Arial"/>
        </w:rPr>
        <w:t>pomáhala</w:t>
      </w:r>
      <w:r w:rsidR="00EB1018">
        <w:rPr>
          <w:rFonts w:cs="Arial"/>
        </w:rPr>
        <w:t> </w:t>
      </w:r>
      <w:r w:rsidRPr="00ED38E9">
        <w:rPr>
          <w:rFonts w:cs="Arial"/>
        </w:rPr>
        <w:t xml:space="preserve">dosažení úrovně sběru požadovaného ve zmíněné směrnici a </w:t>
      </w:r>
      <w:r>
        <w:rPr>
          <w:rFonts w:cs="Arial"/>
        </w:rPr>
        <w:t>snižovala</w:t>
      </w:r>
      <w:r w:rsidRPr="00ED38E9">
        <w:rPr>
          <w:rFonts w:cs="Arial"/>
        </w:rPr>
        <w:t xml:space="preserve"> </w:t>
      </w:r>
      <w:r>
        <w:rPr>
          <w:rFonts w:cs="Arial"/>
        </w:rPr>
        <w:t xml:space="preserve">množství </w:t>
      </w:r>
      <w:r w:rsidRPr="00ED38E9">
        <w:rPr>
          <w:rFonts w:cs="Arial"/>
        </w:rPr>
        <w:t>elektroodpadu, který neb</w:t>
      </w:r>
      <w:r>
        <w:rPr>
          <w:rFonts w:cs="Arial"/>
        </w:rPr>
        <w:t>ude</w:t>
      </w:r>
      <w:r w:rsidRPr="00ED38E9">
        <w:rPr>
          <w:rFonts w:cs="Arial"/>
        </w:rPr>
        <w:t xml:space="preserve"> zpětně odebrán. V roce 201</w:t>
      </w:r>
      <w:r w:rsidR="00851988">
        <w:rPr>
          <w:rFonts w:cs="Arial"/>
        </w:rPr>
        <w:t>6</w:t>
      </w:r>
      <w:r w:rsidRPr="00ED38E9">
        <w:rPr>
          <w:rFonts w:cs="Arial"/>
        </w:rPr>
        <w:t xml:space="preserve"> dosáhla v ČR úroveň zpětného odběru a odděleného sběru OEEZ </w:t>
      </w:r>
      <w:r w:rsidR="00851988">
        <w:rPr>
          <w:rFonts w:cs="Arial"/>
        </w:rPr>
        <w:t>50,5</w:t>
      </w:r>
      <w:r w:rsidR="0002268A">
        <w:rPr>
          <w:rFonts w:cs="Arial"/>
        </w:rPr>
        <w:t> </w:t>
      </w:r>
      <w:r w:rsidRPr="00ED38E9">
        <w:rPr>
          <w:rFonts w:cs="Arial"/>
        </w:rPr>
        <w:t xml:space="preserve">%. Cíle sběru definované Evropskou směrnicí 2012/19/EU se dělí dle termínu, kdy mají být plněny. Do 31. 12. 2015 mělo být vybíráno 4 kg/osobu od spotřebitelů případně průměrné množství OEEZ sebraných v předešlých třech letech - nutno splnit vyšší hodnotu z těchto dvou možností. Novou směrnicí se cíl členských zemí EU </w:t>
      </w:r>
      <w:r w:rsidR="009C0BB9">
        <w:rPr>
          <w:rFonts w:cs="Arial"/>
        </w:rPr>
        <w:t>změnil</w:t>
      </w:r>
      <w:r w:rsidRPr="00ED38E9">
        <w:rPr>
          <w:rFonts w:cs="Arial"/>
        </w:rPr>
        <w:t>. Země měly od</w:t>
      </w:r>
      <w:r w:rsidRPr="00ED38E9" w:rsidR="00F635E4">
        <w:rPr>
          <w:rFonts w:cs="Arial"/>
        </w:rPr>
        <w:t> </w:t>
      </w:r>
      <w:r w:rsidRPr="00ED38E9">
        <w:rPr>
          <w:rFonts w:cs="Arial"/>
        </w:rPr>
        <w:t>1.</w:t>
      </w:r>
      <w:r w:rsidRPr="00ED38E9" w:rsidR="00F635E4">
        <w:rPr>
          <w:rFonts w:cs="Arial"/>
        </w:rPr>
        <w:t> </w:t>
      </w:r>
      <w:r w:rsidRPr="00ED38E9">
        <w:rPr>
          <w:rFonts w:cs="Arial"/>
        </w:rPr>
        <w:t>1. 2016 vybírat 45 % průměrné hmotnosti elektrozařízení uvedených na trh v předešlých třech letech. Novější členské země včetně ČR však mají udělenu výjimku. Do</w:t>
      </w:r>
      <w:r w:rsidRPr="00ED38E9" w:rsidR="00F635E4">
        <w:rPr>
          <w:rFonts w:cs="Arial"/>
        </w:rPr>
        <w:t> </w:t>
      </w:r>
      <w:r w:rsidRPr="00ED38E9">
        <w:rPr>
          <w:rFonts w:cs="Arial"/>
        </w:rPr>
        <w:t>14. 8. 2016 moh</w:t>
      </w:r>
      <w:r w:rsidR="009C0BB9">
        <w:rPr>
          <w:rFonts w:cs="Arial"/>
        </w:rPr>
        <w:t>ly</w:t>
      </w:r>
      <w:r w:rsidRPr="00ED38E9">
        <w:rPr>
          <w:rFonts w:cs="Arial"/>
        </w:rPr>
        <w:t xml:space="preserve"> tyto členské země sebrat méně než 45</w:t>
      </w:r>
      <w:r w:rsidRPr="00ED38E9" w:rsidR="00AF7732">
        <w:rPr>
          <w:rFonts w:cs="Arial"/>
        </w:rPr>
        <w:t xml:space="preserve"> </w:t>
      </w:r>
      <w:r w:rsidRPr="00ED38E9">
        <w:rPr>
          <w:rFonts w:cs="Arial"/>
        </w:rPr>
        <w:t>%, ale více než 40 % průměrné hmotnosti elektrozařízení uvedených na</w:t>
      </w:r>
      <w:r w:rsidR="00412A89">
        <w:rPr>
          <w:rFonts w:cs="Arial"/>
        </w:rPr>
        <w:t> </w:t>
      </w:r>
      <w:r w:rsidRPr="00ED38E9">
        <w:rPr>
          <w:rFonts w:cs="Arial"/>
        </w:rPr>
        <w:t>trh v předešlých třech letech. Dalším cílem je navýšení procenta sebraných výrobků. Od</w:t>
      </w:r>
      <w:r w:rsidR="00412A89">
        <w:rPr>
          <w:rFonts w:cs="Arial"/>
        </w:rPr>
        <w:t> </w:t>
      </w:r>
      <w:r w:rsidRPr="00ED38E9">
        <w:rPr>
          <w:rFonts w:cs="Arial"/>
        </w:rPr>
        <w:t>1.</w:t>
      </w:r>
      <w:r w:rsidRPr="00ED38E9" w:rsidR="00AF0E01">
        <w:rPr>
          <w:rFonts w:cs="Arial"/>
        </w:rPr>
        <w:t> </w:t>
      </w:r>
      <w:r w:rsidRPr="00ED38E9">
        <w:rPr>
          <w:rFonts w:cs="Arial"/>
        </w:rPr>
        <w:t>1.</w:t>
      </w:r>
      <w:r w:rsidR="00412A89">
        <w:rPr>
          <w:rFonts w:cs="Arial"/>
        </w:rPr>
        <w:t> </w:t>
      </w:r>
      <w:r w:rsidRPr="00ED38E9">
        <w:rPr>
          <w:rFonts w:cs="Arial"/>
        </w:rPr>
        <w:t>2019 by měly členské země sesbírat 65 % průměrné hmotnosti zařízení uvedených na trh v předešlých třech letech nebo 85 % vyprodukovaných OEEZ. ČR spolu s ostatními novějšími členskými zeměmi EU mají opět udělenou výjimku – cíl sběru může odložit až do</w:t>
      </w:r>
      <w:r w:rsidR="00412A89">
        <w:rPr>
          <w:rFonts w:cs="Arial"/>
        </w:rPr>
        <w:t> </w:t>
      </w:r>
      <w:r w:rsidRPr="00ED38E9">
        <w:rPr>
          <w:rFonts w:cs="Arial"/>
        </w:rPr>
        <w:t>14.</w:t>
      </w:r>
      <w:r w:rsidR="00412A89">
        <w:rPr>
          <w:rFonts w:cs="Arial"/>
        </w:rPr>
        <w:t> </w:t>
      </w:r>
      <w:r w:rsidRPr="00ED38E9">
        <w:rPr>
          <w:rFonts w:cs="Arial"/>
        </w:rPr>
        <w:t xml:space="preserve">8. 2021 a do té doby plnit požadovaný 45 % cíl. </w:t>
      </w:r>
      <w:r w:rsidRPr="00ED38E9" w:rsidR="00A56310">
        <w:rPr>
          <w:rFonts w:cs="Arial"/>
        </w:rPr>
        <w:t>MŽP</w:t>
      </w:r>
      <w:r w:rsidRPr="00ED38E9">
        <w:rPr>
          <w:rFonts w:cs="Arial"/>
        </w:rPr>
        <w:t xml:space="preserve"> předpokládá zvolení cíle pro</w:t>
      </w:r>
      <w:r w:rsidR="00412A89">
        <w:rPr>
          <w:rFonts w:cs="Arial"/>
        </w:rPr>
        <w:t> </w:t>
      </w:r>
      <w:r w:rsidRPr="00ED38E9">
        <w:rPr>
          <w:rFonts w:cs="Arial"/>
        </w:rPr>
        <w:t>období od 1. 1. 2019 ve formě dos</w:t>
      </w:r>
      <w:r w:rsidRPr="00ED38E9" w:rsidR="00AF7732">
        <w:rPr>
          <w:rFonts w:cs="Arial"/>
        </w:rPr>
        <w:t>ažení</w:t>
      </w:r>
      <w:r w:rsidRPr="00ED38E9">
        <w:rPr>
          <w:rFonts w:cs="Arial"/>
        </w:rPr>
        <w:t xml:space="preserve"> úrovně sběru 65 % z průměrné hmotnosti zařízení uvedených na trh v předešlých třech letech.</w:t>
      </w:r>
    </w:p>
    <w:p w:rsidR="00012BA9" w:rsidRPr="00ED38E9" w:rsidP="006C1CA1" w14:paraId="03B58526" w14:textId="196478A2">
      <w:pPr>
        <w:rPr>
          <w:rFonts w:cs="Arial"/>
        </w:rPr>
      </w:pPr>
      <w:r w:rsidRPr="00F258C8">
        <w:rPr>
          <w:rFonts w:cs="Arial"/>
        </w:rPr>
        <w:t>P</w:t>
      </w:r>
      <w:r w:rsidRPr="00F258C8">
        <w:rPr>
          <w:rFonts w:cs="Arial"/>
        </w:rPr>
        <w:t xml:space="preserve">ožadavky a cíle ze strany EU </w:t>
      </w:r>
      <w:r w:rsidRPr="00F258C8">
        <w:rPr>
          <w:rFonts w:cs="Arial"/>
        </w:rPr>
        <w:t xml:space="preserve">na sebraný elektroodpad a </w:t>
      </w:r>
      <w:r w:rsidRPr="00F258C8">
        <w:rPr>
          <w:rFonts w:cs="Arial"/>
        </w:rPr>
        <w:t>na</w:t>
      </w:r>
      <w:r w:rsidRPr="00F258C8">
        <w:rPr>
          <w:rFonts w:cs="Arial"/>
        </w:rPr>
        <w:t> </w:t>
      </w:r>
      <w:r w:rsidRPr="00F258C8">
        <w:rPr>
          <w:rFonts w:cs="Arial"/>
        </w:rPr>
        <w:t xml:space="preserve">využití </w:t>
      </w:r>
      <w:r w:rsidRPr="00F258C8" w:rsidR="00745C75">
        <w:rPr>
          <w:rFonts w:cs="Arial"/>
        </w:rPr>
        <w:t>OEEZ</w:t>
      </w:r>
      <w:r w:rsidRPr="00F258C8">
        <w:rPr>
          <w:rFonts w:cs="Arial"/>
        </w:rPr>
        <w:t xml:space="preserve"> </w:t>
      </w:r>
      <w:r w:rsidRPr="00F258C8" w:rsidR="00745C75">
        <w:rPr>
          <w:rFonts w:cs="Arial"/>
        </w:rPr>
        <w:t>jsou uvedeny v t</w:t>
      </w:r>
      <w:r w:rsidR="00F258C8">
        <w:rPr>
          <w:rFonts w:cs="Arial"/>
        </w:rPr>
        <w:t>abulkách</w:t>
      </w:r>
      <w:r w:rsidRPr="00F258C8" w:rsidR="00745C75">
        <w:rPr>
          <w:rFonts w:cs="Arial"/>
        </w:rPr>
        <w:t xml:space="preserve"> </w:t>
      </w:r>
      <w:r w:rsidRPr="00F258C8" w:rsidR="00F258C8">
        <w:rPr>
          <w:rFonts w:cs="Arial"/>
        </w:rPr>
        <w:t>níže</w:t>
      </w:r>
      <w:r w:rsidRPr="00F258C8">
        <w:rPr>
          <w:rFonts w:cs="Arial"/>
        </w:rPr>
        <w:t>.</w:t>
      </w:r>
    </w:p>
    <w:p w:rsidR="00012BA9" w:rsidRPr="0058340D" w:rsidP="0017046F" w14:paraId="65C1A21F" w14:textId="0E41EE30">
      <w:pPr>
        <w:pStyle w:val="Caption"/>
        <w:rPr>
          <w:rFonts w:cs="Arial"/>
          <w:sz w:val="20"/>
          <w:szCs w:val="20"/>
          <w:lang w:eastAsia="cs-CZ" w:bidi="ar-SA"/>
        </w:rPr>
      </w:pPr>
      <w:r w:rsidRPr="0058340D">
        <w:rPr>
          <w:rFonts w:cs="Arial"/>
          <w:sz w:val="20"/>
          <w:szCs w:val="20"/>
          <w:lang w:eastAsia="cs-CZ" w:bidi="ar-SA"/>
        </w:rPr>
        <w:t>Tabulka</w:t>
      </w:r>
      <w:r w:rsidRPr="0058340D" w:rsidR="00AC2006">
        <w:rPr>
          <w:rFonts w:cs="Arial"/>
          <w:sz w:val="20"/>
          <w:szCs w:val="20"/>
          <w:lang w:eastAsia="cs-CZ" w:bidi="ar-SA"/>
        </w:rPr>
        <w:t xml:space="preserve"> </w:t>
      </w:r>
      <w:r w:rsidR="00925F10">
        <w:rPr>
          <w:rFonts w:cs="Arial"/>
          <w:sz w:val="20"/>
          <w:szCs w:val="20"/>
          <w:lang w:eastAsia="cs-CZ" w:bidi="ar-SA"/>
        </w:rPr>
        <w:t>40</w:t>
      </w:r>
      <w:r w:rsidRPr="0058340D">
        <w:rPr>
          <w:rFonts w:cs="Arial"/>
          <w:sz w:val="20"/>
          <w:szCs w:val="20"/>
          <w:lang w:eastAsia="cs-CZ" w:bidi="ar-SA"/>
        </w:rPr>
        <w:t>: Cíle sběru OEEZ dle směrnice 2012/19/EU</w:t>
      </w:r>
    </w:p>
    <w:tbl>
      <w:tblPr>
        <w:tblW w:w="8997" w:type="dxa"/>
        <w:tblInd w:w="70" w:type="dxa"/>
        <w:tblLayout w:type="fixed"/>
        <w:tblCellMar>
          <w:left w:w="70" w:type="dxa"/>
          <w:right w:w="70" w:type="dxa"/>
        </w:tblCellMar>
        <w:tblLook w:val="04A0"/>
      </w:tblPr>
      <w:tblGrid>
        <w:gridCol w:w="611"/>
        <w:gridCol w:w="3142"/>
        <w:gridCol w:w="2268"/>
        <w:gridCol w:w="2976"/>
      </w:tblGrid>
      <w:tr w14:paraId="6D0A47D3" w14:textId="77777777" w:rsidTr="001E3A78">
        <w:tblPrEx>
          <w:tblW w:w="8997" w:type="dxa"/>
          <w:tblInd w:w="70" w:type="dxa"/>
          <w:tblLayout w:type="fixed"/>
          <w:tblCellMar>
            <w:left w:w="70" w:type="dxa"/>
            <w:right w:w="70" w:type="dxa"/>
          </w:tblCellMar>
          <w:tblLook w:val="04A0"/>
        </w:tblPrEx>
        <w:trPr>
          <w:trHeight w:val="371"/>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58340D" w:rsidP="00221615" w14:paraId="50757C9E" w14:textId="77777777">
            <w:pPr>
              <w:jc w:val="left"/>
              <w:rPr>
                <w:rFonts w:eastAsia="MS Mincho" w:cs="Arial"/>
                <w:b/>
                <w:noProof w:val="0"/>
                <w:sz w:val="20"/>
                <w:szCs w:val="20"/>
                <w:lang w:eastAsia="cs-CZ" w:bidi="ar-SA"/>
              </w:rPr>
            </w:pPr>
            <w:r w:rsidRPr="0058340D">
              <w:rPr>
                <w:rFonts w:eastAsia="MS Mincho" w:cs="Arial"/>
                <w:b/>
                <w:noProof w:val="0"/>
                <w:sz w:val="20"/>
                <w:szCs w:val="20"/>
                <w:lang w:eastAsia="cs-CZ" w:bidi="ar-SA"/>
              </w:rPr>
              <w:t>Cíl</w:t>
            </w:r>
          </w:p>
        </w:tc>
        <w:tc>
          <w:tcPr>
            <w:tcW w:w="3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58340D" w:rsidP="00221615" w14:paraId="463A8ED1" w14:textId="77777777">
            <w:pPr>
              <w:jc w:val="center"/>
              <w:rPr>
                <w:rFonts w:eastAsia="MS Mincho" w:cs="Arial"/>
                <w:b/>
                <w:noProof w:val="0"/>
                <w:sz w:val="20"/>
                <w:szCs w:val="20"/>
                <w:lang w:eastAsia="cs-CZ" w:bidi="ar-SA"/>
              </w:rPr>
            </w:pPr>
            <w:r w:rsidRPr="0058340D">
              <w:rPr>
                <w:rFonts w:eastAsia="MS Mincho" w:cs="Arial"/>
                <w:b/>
                <w:noProof w:val="0"/>
                <w:sz w:val="20"/>
                <w:szCs w:val="20"/>
                <w:lang w:eastAsia="cs-CZ" w:bidi="ar-SA"/>
              </w:rPr>
              <w:t>do 31. 12. 2015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58340D" w:rsidP="00221615" w14:paraId="4F85C476" w14:textId="77777777">
            <w:pPr>
              <w:jc w:val="center"/>
              <w:rPr>
                <w:rFonts w:eastAsia="MS Mincho" w:cs="Arial"/>
                <w:b/>
                <w:noProof w:val="0"/>
                <w:sz w:val="20"/>
                <w:szCs w:val="20"/>
                <w:lang w:eastAsia="cs-CZ" w:bidi="ar-SA"/>
              </w:rPr>
            </w:pPr>
            <w:r w:rsidRPr="0058340D">
              <w:rPr>
                <w:rFonts w:eastAsia="MS Mincho" w:cs="Arial"/>
                <w:b/>
                <w:noProof w:val="0"/>
                <w:sz w:val="20"/>
                <w:szCs w:val="20"/>
                <w:lang w:eastAsia="cs-CZ" w:bidi="ar-SA"/>
              </w:rPr>
              <w:t>od 1. 1. 2016</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58340D" w:rsidP="00221615" w14:paraId="59CEC938" w14:textId="77777777">
            <w:pPr>
              <w:jc w:val="center"/>
              <w:rPr>
                <w:rFonts w:eastAsia="MS Mincho" w:cs="Arial"/>
                <w:b/>
                <w:noProof w:val="0"/>
                <w:sz w:val="20"/>
                <w:szCs w:val="20"/>
                <w:lang w:eastAsia="cs-CZ" w:bidi="ar-SA"/>
              </w:rPr>
            </w:pPr>
            <w:r w:rsidRPr="0058340D">
              <w:rPr>
                <w:rFonts w:eastAsia="MS Mincho" w:cs="Arial"/>
                <w:b/>
                <w:noProof w:val="0"/>
                <w:sz w:val="20"/>
                <w:szCs w:val="20"/>
                <w:lang w:eastAsia="cs-CZ" w:bidi="ar-SA"/>
              </w:rPr>
              <w:t>od 1. 1. 2019</w:t>
            </w:r>
          </w:p>
        </w:tc>
      </w:tr>
      <w:tr w14:paraId="7AE8DFB6" w14:textId="77777777" w:rsidTr="001E3A78">
        <w:tblPrEx>
          <w:tblW w:w="8997" w:type="dxa"/>
          <w:tblInd w:w="70" w:type="dxa"/>
          <w:tblLayout w:type="fixed"/>
          <w:tblCellMar>
            <w:left w:w="70" w:type="dxa"/>
            <w:right w:w="70" w:type="dxa"/>
          </w:tblCellMar>
          <w:tblLook w:val="04A0"/>
        </w:tblPrEx>
        <w:trPr>
          <w:trHeight w:val="1254"/>
        </w:trPr>
        <w:tc>
          <w:tcPr>
            <w:tcW w:w="6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3E726BBA"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EU</w:t>
            </w:r>
          </w:p>
        </w:tc>
        <w:tc>
          <w:tcPr>
            <w:tcW w:w="3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469BA4FF"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4 kg/os u OEEZ od spotřebitelů nebo průměrné množství OEEZ sebraných v předešlých třech letech (spotřebitelé i podnikatelé) - dle toho, která z hodnot je vyšší</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5C15B017"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45 % průměrné hmotnosti zařízení uvedených na trh v předešlých třech letech</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471139F2"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65 % průměrné hmotnosti zařízení uvedených na trh v předešlých třech letech nebo 85 % z vyprodukovaných OEEZ</w:t>
            </w:r>
          </w:p>
        </w:tc>
      </w:tr>
      <w:tr w14:paraId="524254B2" w14:textId="77777777" w:rsidTr="001E3A78">
        <w:tblPrEx>
          <w:tblW w:w="8997" w:type="dxa"/>
          <w:tblInd w:w="70" w:type="dxa"/>
          <w:tblLayout w:type="fixed"/>
          <w:tblCellMar>
            <w:left w:w="70" w:type="dxa"/>
            <w:right w:w="70" w:type="dxa"/>
          </w:tblCellMar>
          <w:tblLook w:val="04A0"/>
        </w:tblPrEx>
        <w:trPr>
          <w:trHeight w:val="900"/>
        </w:trPr>
        <w:tc>
          <w:tcPr>
            <w:tcW w:w="6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52DB5169"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ČR</w:t>
            </w:r>
          </w:p>
        </w:tc>
        <w:tc>
          <w:tcPr>
            <w:tcW w:w="3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42CF1292" w14:textId="77777777">
            <w:pPr>
              <w:jc w:val="left"/>
              <w:rPr>
                <w:rFonts w:eastAsia="MS Mincho" w:cs="Arial"/>
                <w:noProof w:val="0"/>
                <w:sz w:val="20"/>
                <w:szCs w:val="20"/>
                <w:lang w:eastAsia="cs-CZ" w:bidi="ar-SA"/>
              </w:rPr>
            </w:pPr>
            <w:r w:rsidRPr="0058340D">
              <w:rPr>
                <w:rFonts w:eastAsia="MS Mincho" w:cs="Arial"/>
                <w:noProof w:val="0"/>
                <w:sz w:val="20"/>
                <w:szCs w:val="20"/>
                <w:lang w:eastAsia="cs-CZ" w:bidi="ar-SA"/>
              </w:rPr>
              <w:t>Totožný</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221615" w14:paraId="1D083452" w14:textId="01BDF353">
            <w:pPr>
              <w:jc w:val="left"/>
              <w:rPr>
                <w:rFonts w:eastAsia="MS Mincho" w:cs="Arial"/>
                <w:noProof w:val="0"/>
                <w:sz w:val="20"/>
                <w:szCs w:val="20"/>
                <w:lang w:eastAsia="cs-CZ" w:bidi="ar-SA"/>
              </w:rPr>
            </w:pPr>
            <w:r w:rsidRPr="0058340D">
              <w:rPr>
                <w:rFonts w:eastAsia="MS Mincho" w:cs="Arial"/>
                <w:noProof w:val="0"/>
                <w:sz w:val="20"/>
                <w:szCs w:val="20"/>
                <w:lang w:eastAsia="cs-CZ" w:bidi="ar-SA"/>
              </w:rPr>
              <w:t xml:space="preserve">Více než </w:t>
            </w:r>
            <w:r w:rsidRPr="0058340D">
              <w:rPr>
                <w:rFonts w:eastAsia="MS Mincho" w:cs="Arial"/>
                <w:noProof w:val="0"/>
                <w:sz w:val="20"/>
                <w:szCs w:val="20"/>
                <w:lang w:eastAsia="cs-CZ" w:bidi="ar-SA"/>
              </w:rPr>
              <w:t>40 % průměrné hmotnosti zařízení uvedených na trh v předešlých třech letech</w:t>
            </w:r>
            <w:r w:rsidR="001E3A78">
              <w:rPr>
                <w:rFonts w:eastAsia="MS Mincho" w:cs="Arial"/>
                <w:i/>
                <w:iCs/>
                <w:noProof w:val="0"/>
                <w:color w:val="000000"/>
                <w:sz w:val="20"/>
                <w:szCs w:val="20"/>
                <w:vertAlign w:val="superscript"/>
                <w:lang w:eastAsia="cs-CZ" w:bidi="ar-SA"/>
              </w:rPr>
              <w:t xml:space="preserve"> </w:t>
            </w:r>
            <w:r w:rsidR="001E3A78">
              <w:rPr>
                <w:rFonts w:eastAsia="MS Mincho" w:cs="Arial"/>
                <w:noProof w:val="0"/>
                <w:sz w:val="20"/>
                <w:szCs w:val="20"/>
                <w:lang w:eastAsia="cs-CZ" w:bidi="ar-SA"/>
              </w:rPr>
              <w:t>(do 14. 8. 2016)</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1E3A78" w14:paraId="5ECBF9FD" w14:textId="779FF160">
            <w:pPr>
              <w:jc w:val="left"/>
              <w:rPr>
                <w:rFonts w:eastAsia="MS Mincho" w:cs="Arial"/>
                <w:noProof w:val="0"/>
                <w:sz w:val="20"/>
                <w:szCs w:val="20"/>
                <w:lang w:eastAsia="cs-CZ" w:bidi="ar-SA"/>
              </w:rPr>
            </w:pPr>
            <w:r w:rsidRPr="0058340D">
              <w:rPr>
                <w:rFonts w:eastAsia="MS Mincho" w:cs="Arial"/>
                <w:noProof w:val="0"/>
                <w:sz w:val="20"/>
                <w:szCs w:val="20"/>
                <w:lang w:eastAsia="cs-CZ" w:bidi="ar-SA"/>
              </w:rPr>
              <w:t>totožný, ale termín posunut</w:t>
            </w:r>
            <w:r w:rsidR="001E3A78">
              <w:rPr>
                <w:rFonts w:eastAsia="MS Mincho" w:cs="Arial"/>
                <w:noProof w:val="0"/>
                <w:sz w:val="20"/>
                <w:szCs w:val="20"/>
                <w:lang w:eastAsia="cs-CZ" w:bidi="ar-SA"/>
              </w:rPr>
              <w:t xml:space="preserve"> (do 14. 8. 2021)</w:t>
            </w:r>
          </w:p>
        </w:tc>
      </w:tr>
      <w:tr w14:paraId="0D93B016" w14:textId="77777777" w:rsidTr="001E3A78">
        <w:tblPrEx>
          <w:tblW w:w="8997" w:type="dxa"/>
          <w:tblInd w:w="70" w:type="dxa"/>
          <w:tblLayout w:type="fixed"/>
          <w:tblCellMar>
            <w:left w:w="70" w:type="dxa"/>
            <w:right w:w="70" w:type="dxa"/>
          </w:tblCellMar>
          <w:tblLook w:val="04A0"/>
        </w:tblPrEx>
        <w:trPr>
          <w:trHeight w:val="164"/>
        </w:trPr>
        <w:tc>
          <w:tcPr>
            <w:tcW w:w="8997" w:type="dxa"/>
            <w:gridSpan w:val="4"/>
            <w:tcBorders>
              <w:top w:val="single" w:sz="4" w:space="0" w:color="auto"/>
              <w:left w:val="nil"/>
              <w:bottom w:val="nil"/>
              <w:right w:val="nil"/>
            </w:tcBorders>
            <w:shd w:val="clear" w:color="auto" w:fill="auto"/>
            <w:hideMark/>
          </w:tcPr>
          <w:p w:rsidR="00012BA9" w:rsidRPr="0058340D" w:rsidP="001E3A78" w14:paraId="423F32FB" w14:textId="6F480007">
            <w:pPr>
              <w:widowControl w:val="0"/>
              <w:jc w:val="right"/>
              <w:rPr>
                <w:rFonts w:cs="Arial"/>
                <w:i/>
                <w:iCs/>
                <w:noProof w:val="0"/>
                <w:color w:val="000000"/>
                <w:sz w:val="20"/>
                <w:szCs w:val="20"/>
                <w:lang w:eastAsia="cs-CZ" w:bidi="ar-SA"/>
              </w:rPr>
            </w:pPr>
            <w:r w:rsidRPr="0058340D">
              <w:rPr>
                <w:rFonts w:cs="Arial"/>
                <w:i/>
                <w:iCs/>
                <w:noProof w:val="0"/>
                <w:color w:val="000000"/>
                <w:sz w:val="20"/>
                <w:szCs w:val="20"/>
                <w:lang w:eastAsia="cs-CZ" w:bidi="ar-SA"/>
              </w:rPr>
              <w:t>Zdroj: Směrnice Evropského parlamentu a rady 2012/19/EU</w:t>
            </w:r>
          </w:p>
        </w:tc>
      </w:tr>
    </w:tbl>
    <w:p w:rsidR="00012BA9" w:rsidRPr="00221615" w:rsidP="003652A3" w14:paraId="75D6FADB" w14:textId="54D2BF27">
      <w:pPr>
        <w:pStyle w:val="Caption"/>
        <w:keepNext w:val="0"/>
        <w:widowControl w:val="0"/>
        <w:rPr>
          <w:rFonts w:cs="Arial"/>
          <w:sz w:val="20"/>
          <w:szCs w:val="20"/>
          <w:lang w:eastAsia="cs-CZ" w:bidi="ar-SA"/>
        </w:rPr>
      </w:pPr>
      <w:r w:rsidRPr="00221615">
        <w:rPr>
          <w:rFonts w:cs="Arial"/>
          <w:sz w:val="20"/>
          <w:szCs w:val="20"/>
          <w:lang w:eastAsia="cs-CZ" w:bidi="ar-SA"/>
        </w:rPr>
        <w:t xml:space="preserve">Tabulka </w:t>
      </w:r>
      <w:r w:rsidR="00925F10">
        <w:rPr>
          <w:rFonts w:cs="Arial"/>
          <w:sz w:val="20"/>
          <w:szCs w:val="20"/>
          <w:lang w:eastAsia="cs-CZ" w:bidi="ar-SA"/>
        </w:rPr>
        <w:t>41</w:t>
      </w:r>
      <w:r w:rsidR="00221615">
        <w:rPr>
          <w:rFonts w:cs="Arial"/>
          <w:sz w:val="20"/>
          <w:szCs w:val="20"/>
          <w:lang w:eastAsia="cs-CZ" w:bidi="ar-SA"/>
        </w:rPr>
        <w:t>:</w:t>
      </w:r>
      <w:r w:rsidRPr="00221615" w:rsidR="00AC2006">
        <w:rPr>
          <w:rFonts w:cs="Arial"/>
          <w:sz w:val="20"/>
          <w:szCs w:val="20"/>
          <w:lang w:eastAsia="cs-CZ" w:bidi="ar-SA"/>
        </w:rPr>
        <w:t xml:space="preserve"> </w:t>
      </w:r>
      <w:r w:rsidR="00221615">
        <w:rPr>
          <w:rFonts w:cs="Arial"/>
          <w:sz w:val="20"/>
          <w:szCs w:val="20"/>
          <w:lang w:eastAsia="cs-CZ" w:bidi="ar-SA"/>
        </w:rPr>
        <w:t>V</w:t>
      </w:r>
      <w:r w:rsidRPr="00221615">
        <w:rPr>
          <w:rFonts w:cs="Arial"/>
          <w:sz w:val="20"/>
          <w:szCs w:val="20"/>
          <w:lang w:eastAsia="cs-CZ" w:bidi="ar-SA"/>
        </w:rPr>
        <w:t>yužití OEEZ dle směrnice 2012/19/EU</w:t>
      </w:r>
    </w:p>
    <w:tbl>
      <w:tblPr>
        <w:tblW w:w="8675" w:type="dxa"/>
        <w:tblInd w:w="70" w:type="dxa"/>
        <w:tblCellMar>
          <w:left w:w="70" w:type="dxa"/>
          <w:right w:w="70" w:type="dxa"/>
        </w:tblCellMar>
        <w:tblLook w:val="04A0"/>
      </w:tblPr>
      <w:tblGrid>
        <w:gridCol w:w="2642"/>
        <w:gridCol w:w="1619"/>
        <w:gridCol w:w="4414"/>
      </w:tblGrid>
      <w:tr w14:paraId="0633CB8A" w14:textId="77777777" w:rsidTr="00ED38E9">
        <w:tblPrEx>
          <w:tblW w:w="8675" w:type="dxa"/>
          <w:tblInd w:w="70" w:type="dxa"/>
          <w:tblCellMar>
            <w:left w:w="70" w:type="dxa"/>
            <w:right w:w="70" w:type="dxa"/>
          </w:tblCellMar>
          <w:tblLook w:val="04A0"/>
        </w:tblPrEx>
        <w:trPr>
          <w:trHeight w:val="263"/>
        </w:trPr>
        <w:tc>
          <w:tcPr>
            <w:tcW w:w="2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58340D" w:rsidP="003652A3" w14:paraId="53628C9B" w14:textId="77777777">
            <w:pPr>
              <w:widowControl w:val="0"/>
              <w:jc w:val="center"/>
              <w:rPr>
                <w:rFonts w:eastAsia="MS Mincho" w:cs="Arial"/>
                <w:b/>
                <w:i/>
                <w:iCs/>
                <w:noProof w:val="0"/>
                <w:sz w:val="20"/>
                <w:szCs w:val="20"/>
                <w:lang w:eastAsia="cs-CZ" w:bidi="ar-SA"/>
              </w:rPr>
            </w:pPr>
            <w:r w:rsidRPr="0058340D">
              <w:rPr>
                <w:rFonts w:eastAsia="MS Mincho" w:cs="Arial"/>
                <w:b/>
                <w:noProof w:val="0"/>
                <w:sz w:val="20"/>
                <w:szCs w:val="20"/>
                <w:lang w:eastAsia="cs-CZ" w:bidi="ar-SA"/>
              </w:rPr>
              <w:t>Skupina elektrozařízení</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58340D" w:rsidP="003652A3" w14:paraId="06B909A1" w14:textId="77777777">
            <w:pPr>
              <w:widowControl w:val="0"/>
              <w:jc w:val="center"/>
              <w:rPr>
                <w:rFonts w:eastAsia="MS Mincho" w:cs="Arial"/>
                <w:b/>
                <w:noProof w:val="0"/>
                <w:sz w:val="20"/>
                <w:szCs w:val="20"/>
                <w:lang w:eastAsia="cs-CZ" w:bidi="ar-SA"/>
              </w:rPr>
            </w:pPr>
            <w:r w:rsidRPr="0058340D">
              <w:rPr>
                <w:rFonts w:eastAsia="MS Mincho" w:cs="Arial"/>
                <w:b/>
                <w:noProof w:val="0"/>
                <w:sz w:val="20"/>
                <w:szCs w:val="20"/>
                <w:lang w:eastAsia="cs-CZ" w:bidi="ar-SA"/>
              </w:rPr>
              <w:t>Využití v %</w:t>
            </w:r>
          </w:p>
        </w:tc>
        <w:tc>
          <w:tcPr>
            <w:tcW w:w="3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58340D" w:rsidP="003652A3" w14:paraId="03B30782" w14:textId="77777777">
            <w:pPr>
              <w:widowControl w:val="0"/>
              <w:jc w:val="center"/>
              <w:rPr>
                <w:rFonts w:eastAsia="MS Mincho" w:cs="Arial"/>
                <w:b/>
                <w:noProof w:val="0"/>
                <w:sz w:val="20"/>
                <w:szCs w:val="20"/>
                <w:lang w:eastAsia="cs-CZ" w:bidi="ar-SA"/>
              </w:rPr>
            </w:pPr>
            <w:r w:rsidRPr="0058340D">
              <w:rPr>
                <w:rFonts w:eastAsia="MS Mincho" w:cs="Arial"/>
                <w:b/>
                <w:noProof w:val="0"/>
                <w:sz w:val="20"/>
                <w:szCs w:val="20"/>
                <w:lang w:eastAsia="cs-CZ" w:bidi="ar-SA"/>
              </w:rPr>
              <w:t>Opětovné použití a materiálové využití v %</w:t>
            </w:r>
          </w:p>
        </w:tc>
      </w:tr>
      <w:tr w14:paraId="7B4DB12D" w14:textId="77777777" w:rsidTr="00937B55">
        <w:tblPrEx>
          <w:tblW w:w="8675" w:type="dxa"/>
          <w:tblInd w:w="70" w:type="dxa"/>
          <w:tblCellMar>
            <w:left w:w="70" w:type="dxa"/>
            <w:right w:w="70" w:type="dxa"/>
          </w:tblCellMar>
          <w:tblLook w:val="04A0"/>
        </w:tblPrEx>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2BA9" w:rsidRPr="0058340D" w:rsidP="003652A3" w14:paraId="0C142149" w14:textId="77777777">
            <w:pPr>
              <w:widowControl w:val="0"/>
              <w:jc w:val="center"/>
              <w:rPr>
                <w:rFonts w:eastAsia="MS Mincho" w:cs="Arial"/>
                <w:b/>
                <w:noProof w:val="0"/>
                <w:sz w:val="20"/>
                <w:szCs w:val="20"/>
                <w:lang w:eastAsia="cs-CZ" w:bidi="ar-SA"/>
              </w:rPr>
            </w:pPr>
            <w:r w:rsidRPr="0058340D">
              <w:rPr>
                <w:rFonts w:eastAsia="MS Mincho" w:cs="Arial"/>
                <w:b/>
                <w:noProof w:val="0"/>
                <w:sz w:val="20"/>
                <w:szCs w:val="20"/>
                <w:lang w:eastAsia="cs-CZ" w:bidi="ar-SA"/>
              </w:rPr>
              <w:t>Cíle využití OOEZ (příloha V směrnice 2012/19/EU) od 13. 8. 2012 do 14. 8. 2015</w:t>
            </w:r>
          </w:p>
        </w:tc>
      </w:tr>
      <w:tr w14:paraId="0220C33E"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6E930C5F"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1, 10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A4E90A0"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530F0432"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75</w:t>
            </w:r>
          </w:p>
        </w:tc>
      </w:tr>
      <w:tr w14:paraId="23BF4CA4"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3DEEC32B"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3, 4</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0BC21175"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2F246EE6"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65</w:t>
            </w:r>
          </w:p>
        </w:tc>
      </w:tr>
      <w:tr w14:paraId="2C54FEDC"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7CEBF64F"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2, 5, 6, 7, 8, 9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03552086"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73CD76D7"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50</w:t>
            </w:r>
          </w:p>
        </w:tc>
      </w:tr>
      <w:tr w14:paraId="444E7A26"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53C205ED"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výbojky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556A444A"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68CABA00"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w:t>
            </w:r>
          </w:p>
        </w:tc>
      </w:tr>
      <w:tr w14:paraId="4BF6F4CC" w14:textId="77777777" w:rsidTr="00937B55">
        <w:tblPrEx>
          <w:tblW w:w="8675" w:type="dxa"/>
          <w:tblInd w:w="70" w:type="dxa"/>
          <w:tblCellMar>
            <w:left w:w="70" w:type="dxa"/>
            <w:right w:w="70" w:type="dxa"/>
          </w:tblCellMar>
          <w:tblLook w:val="04A0"/>
        </w:tblPrEx>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1B0F014" w14:textId="77777777">
            <w:pPr>
              <w:widowControl w:val="0"/>
              <w:jc w:val="center"/>
              <w:rPr>
                <w:rFonts w:eastAsia="MS Mincho" w:cs="Arial"/>
                <w:b/>
                <w:noProof w:val="0"/>
                <w:sz w:val="20"/>
                <w:szCs w:val="20"/>
                <w:lang w:eastAsia="cs-CZ" w:bidi="ar-SA"/>
              </w:rPr>
            </w:pPr>
            <w:r w:rsidRPr="0058340D">
              <w:rPr>
                <w:rFonts w:eastAsia="MS Mincho" w:cs="Arial"/>
                <w:b/>
                <w:noProof w:val="0"/>
                <w:sz w:val="20"/>
                <w:szCs w:val="20"/>
                <w:lang w:eastAsia="cs-CZ" w:bidi="ar-SA"/>
              </w:rPr>
              <w:t>Cíle využití OOEZ (příloha V směrnice 2012/19/EU) od 15. 8. 2015 do 14. 8. 2018</w:t>
            </w:r>
          </w:p>
        </w:tc>
      </w:tr>
      <w:tr w14:paraId="3E489DD1"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5C1A2587"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1, 10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721E89B3"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8959A2E"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r>
      <w:tr w14:paraId="4FC2F191"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02DB433B"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3, 4</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30AEDBEB"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3F3783AA"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70</w:t>
            </w:r>
          </w:p>
        </w:tc>
      </w:tr>
      <w:tr w14:paraId="0AE7A201"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04BA153B"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2, 5, 6, 7, 8, 9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71CD2BD5"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67177B72"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55</w:t>
            </w:r>
          </w:p>
        </w:tc>
      </w:tr>
      <w:tr w14:paraId="04259917"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733EAED1"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výbojky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46C57971"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20D0C516"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w:t>
            </w:r>
          </w:p>
        </w:tc>
      </w:tr>
      <w:tr w14:paraId="7E252484" w14:textId="77777777" w:rsidTr="00937B55">
        <w:tblPrEx>
          <w:tblW w:w="8675" w:type="dxa"/>
          <w:tblInd w:w="70" w:type="dxa"/>
          <w:tblCellMar>
            <w:left w:w="70" w:type="dxa"/>
            <w:right w:w="70" w:type="dxa"/>
          </w:tblCellMar>
          <w:tblLook w:val="04A0"/>
        </w:tblPrEx>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316EAE65" w14:textId="77777777">
            <w:pPr>
              <w:widowControl w:val="0"/>
              <w:jc w:val="center"/>
              <w:rPr>
                <w:rFonts w:eastAsia="MS Mincho" w:cs="Arial"/>
                <w:b/>
                <w:noProof w:val="0"/>
                <w:sz w:val="20"/>
                <w:szCs w:val="20"/>
                <w:lang w:eastAsia="cs-CZ" w:bidi="ar-SA"/>
              </w:rPr>
            </w:pPr>
            <w:r w:rsidRPr="0058340D">
              <w:rPr>
                <w:rFonts w:eastAsia="MS Mincho" w:cs="Arial"/>
                <w:b/>
                <w:noProof w:val="0"/>
                <w:sz w:val="20"/>
                <w:szCs w:val="20"/>
                <w:lang w:eastAsia="cs-CZ" w:bidi="ar-SA"/>
              </w:rPr>
              <w:t>Cíle využití OOEZ (příloha V směrnice 2012/19/EU) od 15. 8. 2018</w:t>
            </w:r>
          </w:p>
        </w:tc>
      </w:tr>
      <w:tr w14:paraId="7FD33F7C"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71F6D542"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1, 4 (velká zařízení)</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2560482E"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79BDC248"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r>
      <w:tr w14:paraId="1BD87D45"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663777A6"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2 (obrazovky, monitory)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78F60207"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0B8C7DF"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70</w:t>
            </w:r>
          </w:p>
        </w:tc>
      </w:tr>
      <w:tr w14:paraId="6A71D229"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5B4A8FF0"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5, 6 (malá zařízení)</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5680DC27"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288AA893"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55</w:t>
            </w:r>
          </w:p>
        </w:tc>
      </w:tr>
      <w:tr w14:paraId="79688EA9" w14:textId="77777777" w:rsidTr="00937B55">
        <w:tblPrEx>
          <w:tblW w:w="8675" w:type="dxa"/>
          <w:tblInd w:w="70" w:type="dxa"/>
          <w:tblCellMar>
            <w:left w:w="70" w:type="dxa"/>
            <w:right w:w="70" w:type="dxa"/>
          </w:tblCellMar>
          <w:tblLook w:val="04A0"/>
        </w:tblPrEx>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58340D" w:rsidP="003652A3" w14:paraId="2B986907" w14:textId="77777777">
            <w:pPr>
              <w:widowControl w:val="0"/>
              <w:jc w:val="left"/>
              <w:rPr>
                <w:rFonts w:eastAsia="MS Mincho" w:cs="Arial"/>
                <w:noProof w:val="0"/>
                <w:sz w:val="20"/>
                <w:szCs w:val="20"/>
                <w:lang w:eastAsia="cs-CZ" w:bidi="ar-SA"/>
              </w:rPr>
            </w:pPr>
            <w:r w:rsidRPr="0058340D">
              <w:rPr>
                <w:rFonts w:eastAsia="MS Mincho" w:cs="Arial"/>
                <w:noProof w:val="0"/>
                <w:sz w:val="20"/>
                <w:szCs w:val="20"/>
                <w:lang w:eastAsia="cs-CZ" w:bidi="ar-SA"/>
              </w:rPr>
              <w:t>3 (světelné zdroje)</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1020E3C"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58340D" w:rsidP="003652A3" w14:paraId="16E8BB5D" w14:textId="77777777">
            <w:pPr>
              <w:widowControl w:val="0"/>
              <w:jc w:val="center"/>
              <w:rPr>
                <w:rFonts w:eastAsia="MS Mincho" w:cs="Arial"/>
                <w:noProof w:val="0"/>
                <w:sz w:val="20"/>
                <w:szCs w:val="20"/>
                <w:lang w:eastAsia="cs-CZ" w:bidi="ar-SA"/>
              </w:rPr>
            </w:pPr>
            <w:r w:rsidRPr="0058340D">
              <w:rPr>
                <w:rFonts w:eastAsia="MS Mincho" w:cs="Arial"/>
                <w:noProof w:val="0"/>
                <w:sz w:val="20"/>
                <w:szCs w:val="20"/>
                <w:lang w:eastAsia="cs-CZ" w:bidi="ar-SA"/>
              </w:rPr>
              <w:t>-</w:t>
            </w:r>
          </w:p>
        </w:tc>
      </w:tr>
      <w:tr w14:paraId="1EB3FFE1" w14:textId="77777777" w:rsidTr="00DC1795">
        <w:tblPrEx>
          <w:tblW w:w="8675" w:type="dxa"/>
          <w:tblInd w:w="70" w:type="dxa"/>
          <w:tblCellMar>
            <w:left w:w="70" w:type="dxa"/>
            <w:right w:w="70" w:type="dxa"/>
          </w:tblCellMar>
          <w:tblLook w:val="04A0"/>
        </w:tblPrEx>
        <w:trPr>
          <w:trHeight w:val="263"/>
        </w:trPr>
        <w:tc>
          <w:tcPr>
            <w:tcW w:w="7164" w:type="dxa"/>
            <w:gridSpan w:val="3"/>
            <w:tcBorders>
              <w:top w:val="single" w:sz="4" w:space="0" w:color="auto"/>
              <w:left w:val="nil"/>
              <w:bottom w:val="nil"/>
              <w:right w:val="nil"/>
            </w:tcBorders>
            <w:shd w:val="clear" w:color="auto" w:fill="auto"/>
            <w:hideMark/>
          </w:tcPr>
          <w:p w:rsidR="00012BA9" w:rsidRPr="0058340D" w:rsidP="003652A3" w14:paraId="3B35EC38" w14:textId="77777777">
            <w:pPr>
              <w:widowControl w:val="0"/>
              <w:jc w:val="right"/>
              <w:rPr>
                <w:rFonts w:cs="Arial"/>
                <w:i/>
                <w:iCs/>
                <w:noProof w:val="0"/>
                <w:color w:val="000000"/>
                <w:sz w:val="20"/>
                <w:szCs w:val="20"/>
                <w:lang w:eastAsia="cs-CZ" w:bidi="ar-SA"/>
              </w:rPr>
            </w:pPr>
            <w:r w:rsidRPr="0058340D">
              <w:rPr>
                <w:rFonts w:cs="Arial"/>
                <w:i/>
                <w:iCs/>
                <w:noProof w:val="0"/>
                <w:color w:val="000000"/>
                <w:sz w:val="20"/>
                <w:szCs w:val="20"/>
                <w:lang w:eastAsia="cs-CZ" w:bidi="ar-SA"/>
              </w:rPr>
              <w:t>Zdroj: Směrnice Evropského parlamentu a rady 2012/19/EU</w:t>
            </w:r>
          </w:p>
        </w:tc>
      </w:tr>
    </w:tbl>
    <w:p w:rsidR="00012BA9" w:rsidRPr="001C6618" w:rsidP="00BF16B7" w14:paraId="7A6C24EA" w14:textId="77777777">
      <w:pPr>
        <w:pStyle w:val="Heading3"/>
      </w:pPr>
      <w:bookmarkStart w:id="191" w:name="_Toc406598331"/>
      <w:r w:rsidRPr="001C6618">
        <w:t>Zhodnocení rizika</w:t>
      </w:r>
      <w:bookmarkEnd w:id="191"/>
      <w:r w:rsidRPr="001C6618">
        <w:t xml:space="preserve"> </w:t>
      </w:r>
    </w:p>
    <w:p w:rsidR="00012BA9" w:rsidRPr="00ED38E9" w:rsidP="00851988" w14:paraId="21D11E78" w14:textId="77777777">
      <w:pPr>
        <w:widowControl w:val="0"/>
        <w:rPr>
          <w:rFonts w:cs="Arial"/>
        </w:rPr>
      </w:pPr>
      <w:r w:rsidRPr="00ED38E9">
        <w:rPr>
          <w:rFonts w:cs="Arial"/>
        </w:rPr>
        <w:t>Nedojde-li k zásadní změně současné legislativy, Č</w:t>
      </w:r>
      <w:r w:rsidR="00851988">
        <w:rPr>
          <w:rFonts w:cs="Arial"/>
        </w:rPr>
        <w:t>R</w:t>
      </w:r>
      <w:r w:rsidRPr="00ED38E9">
        <w:rPr>
          <w:rFonts w:cs="Arial"/>
        </w:rPr>
        <w:t xml:space="preserve"> pravděpodobně nesplní požadavky určené směrnicí 2012/19/EU, která mimo jiné požaduje nejpozději do 14. 8. 2021 (do kdy má ČR společně s dalšími členskými zeměmi udělenou výjimku) dosáhnout minimální úrovně sběru buď 65 % průměrné hmotnosti EEZ uvedených na trh v předchozích třech letech v dotčeném členském státě, anebo využití 85 % hmotnosti produkce OEEZ na území tohoto členského státu. S neplněním požadavků uvedené směrnice jsou pak spojeny případné sankce ze strany EU.</w:t>
      </w:r>
    </w:p>
    <w:p w:rsidR="00012BA9" w:rsidRPr="00ED38E9" w:rsidP="00851988" w14:paraId="6E8AA600" w14:textId="77777777">
      <w:pPr>
        <w:widowControl w:val="0"/>
        <w:rPr>
          <w:rFonts w:cs="Arial"/>
        </w:rPr>
      </w:pPr>
      <w:r w:rsidRPr="00ED38E9">
        <w:rPr>
          <w:rFonts w:cs="Arial"/>
        </w:rPr>
        <w:t>Dalším negativním aspektem, nedojde-li ke změně právní úpravy, je možná ztráta hodnotných druhotných surovin. OEEZ je rychle se zvětšující zdroj odpadů a pokud nedojde k jeho efektivní recyklaci, tedy správnému zpracování, případně k jeho vývozu, Č</w:t>
      </w:r>
      <w:r w:rsidR="00813B91">
        <w:rPr>
          <w:rFonts w:cs="Arial"/>
        </w:rPr>
        <w:t xml:space="preserve">R </w:t>
      </w:r>
      <w:r w:rsidRPr="00ED38E9">
        <w:rPr>
          <w:rFonts w:cs="Arial"/>
        </w:rPr>
        <w:t>se připraví o</w:t>
      </w:r>
      <w:r w:rsidR="00813B91">
        <w:rPr>
          <w:rFonts w:cs="Arial"/>
        </w:rPr>
        <w:t> </w:t>
      </w:r>
      <w:r w:rsidRPr="00ED38E9">
        <w:rPr>
          <w:rFonts w:cs="Arial"/>
        </w:rPr>
        <w:t xml:space="preserve">cenný zdroj surovin. Zdrojem těchto rizik může být i rozdílnost v právních úpravách jednotlivých členských zemí. </w:t>
      </w:r>
    </w:p>
    <w:p w:rsidR="00012BA9" w:rsidRPr="00ED38E9" w:rsidP="00851988" w14:paraId="580F47FB" w14:textId="77777777">
      <w:pPr>
        <w:widowControl w:val="0"/>
        <w:rPr>
          <w:rFonts w:cs="Arial"/>
        </w:rPr>
      </w:pPr>
      <w:r w:rsidRPr="00ED38E9">
        <w:rPr>
          <w:rFonts w:cs="Arial"/>
        </w:rPr>
        <w:t xml:space="preserve">Další problematickou oblastí je svoz elektroodpadu. V současné době pokud nedojde k předání </w:t>
      </w:r>
      <w:r w:rsidR="00813B91">
        <w:rPr>
          <w:rFonts w:cs="Arial"/>
        </w:rPr>
        <w:t>EEZ</w:t>
      </w:r>
      <w:r w:rsidRPr="00ED38E9" w:rsidR="00813B91">
        <w:rPr>
          <w:rFonts w:cs="Arial"/>
        </w:rPr>
        <w:t xml:space="preserve"> </w:t>
      </w:r>
      <w:r w:rsidRPr="00ED38E9">
        <w:rPr>
          <w:rFonts w:cs="Arial"/>
        </w:rPr>
        <w:t>pocházejícího z domácností ke zpracování, není zařízení klasifikováno jako (nebezpečný) odpad. Svozové společnosti tak nemusí zacházet s nebezpečným odpadem tak, aby minimalizovaly rizika ohrožení životního prostředí a lidského zdraví.</w:t>
      </w:r>
    </w:p>
    <w:p w:rsidR="00E92B0F" w:rsidP="00851988" w14:paraId="5D495D4C" w14:textId="77777777">
      <w:pPr>
        <w:widowControl w:val="0"/>
        <w:rPr>
          <w:rFonts w:cs="Arial"/>
        </w:rPr>
      </w:pPr>
      <w:r w:rsidRPr="00ED38E9">
        <w:rPr>
          <w:rFonts w:cs="Arial"/>
        </w:rPr>
        <w:t>Kolektivní systémy mají v současnosti silné postavení na trhu a již nyní je patrná snaha pronikat i do navazujících úrovní ve vertikálním řetězci nakládání s OEEZ (svoz a zpracování). Existuje zde riziko, že může dojít ke znevýhodňování ostatních zpracovatelů a svozových společností, může docházet ke vzniku bariér na trhu a omezování hospodářské soutěže.</w:t>
      </w:r>
      <w:r w:rsidR="00813B91">
        <w:rPr>
          <w:rFonts w:cs="Arial"/>
        </w:rPr>
        <w:t xml:space="preserve"> </w:t>
      </w:r>
      <w:r>
        <w:rPr>
          <w:rFonts w:cs="Arial"/>
        </w:rPr>
        <w:t>Popis jednotlivách variant a vyhodnocení nákladů jsou uvedeny v </w:t>
      </w:r>
      <w:r w:rsidR="00813B91">
        <w:rPr>
          <w:rFonts w:cs="Arial"/>
        </w:rPr>
        <w:t>d</w:t>
      </w:r>
      <w:r>
        <w:rPr>
          <w:rFonts w:cs="Arial"/>
        </w:rPr>
        <w:t>alších podkapitolách.</w:t>
      </w:r>
    </w:p>
    <w:p w:rsidR="0058340D" w:rsidP="00851988" w14:paraId="628D02C6" w14:textId="77777777">
      <w:pPr>
        <w:widowControl w:val="0"/>
        <w:rPr>
          <w:rFonts w:cs="Arial"/>
        </w:rPr>
      </w:pPr>
    </w:p>
    <w:p w:rsidR="00C806DA" w:rsidRPr="00445AB4" w:rsidP="00C806DA" w14:paraId="511254CA" w14:textId="7DFE51A4">
      <w:pPr>
        <w:pStyle w:val="Heading1"/>
        <w:widowControl w:val="0"/>
      </w:pPr>
      <w:bookmarkStart w:id="192" w:name="_Toc14942090"/>
      <w:bookmarkStart w:id="193" w:name="_Toc256000016"/>
      <w:r>
        <w:t>Seznam nepovolených internetových obchodů</w:t>
      </w:r>
      <w:r w:rsidRPr="00C806DA">
        <w:t xml:space="preserve"> </w:t>
      </w:r>
      <w:r w:rsidR="00C10E76">
        <w:t>(§ 62)</w:t>
      </w:r>
      <w:bookmarkEnd w:id="193"/>
      <w:bookmarkEnd w:id="192"/>
    </w:p>
    <w:p w:rsidR="00C806DA" w:rsidP="00C806DA" w14:paraId="474BBCEC" w14:textId="77777777">
      <w:pPr>
        <w:pStyle w:val="Heading2"/>
      </w:pPr>
      <w:r>
        <w:t>Důvod předložení a cíle</w:t>
      </w:r>
    </w:p>
    <w:p w:rsidR="00C806DA" w:rsidRPr="00ED38E9" w:rsidP="00BF16B7" w14:paraId="3F9B8705" w14:textId="77777777">
      <w:pPr>
        <w:pStyle w:val="Heading3"/>
      </w:pPr>
      <w:r w:rsidRPr="00ED38E9">
        <w:t>Definice problému</w:t>
      </w:r>
    </w:p>
    <w:p w:rsidR="00C806DA" w:rsidP="000E6DE5" w14:paraId="3D41F6FA" w14:textId="110E98D8">
      <w:pPr>
        <w:autoSpaceDE w:val="0"/>
        <w:autoSpaceDN w:val="0"/>
        <w:adjustRightInd w:val="0"/>
        <w:spacing w:after="0"/>
        <w:rPr>
          <w:rFonts w:cs="Arial"/>
        </w:rPr>
      </w:pPr>
      <w:r w:rsidRPr="000E6DE5">
        <w:rPr>
          <w:rFonts w:cs="Arial"/>
        </w:rPr>
        <w:t>Návrh zákona současně musí řešit narůstající problém tzv. online freeridingu, zejména ze</w:t>
      </w:r>
      <w:r w:rsidR="00BF16B7">
        <w:rPr>
          <w:rFonts w:cs="Arial"/>
        </w:rPr>
        <w:t> </w:t>
      </w:r>
      <w:r w:rsidRPr="000E6DE5">
        <w:rPr>
          <w:rFonts w:cs="Arial"/>
        </w:rPr>
        <w:t xml:space="preserve">třetích zemí (tedy zemí mimo EU), např. Číny. Jedná se o situaci, kdy online prodejci (e-shopy) uvádí své výrobky na trh EU a ČR dálkovým způsobem, a bohužel často zcela neplní své povinnosti výrobce související se zpětným odběrem. </w:t>
      </w:r>
      <w:r w:rsidR="00AE265B">
        <w:rPr>
          <w:rFonts w:cs="Arial"/>
        </w:rPr>
        <w:t>Dle studie OECD</w:t>
      </w:r>
      <w:r>
        <w:rPr>
          <w:rStyle w:val="FootnoteReference"/>
          <w:rFonts w:cs="Arial"/>
        </w:rPr>
        <w:footnoteReference w:id="13"/>
      </w:r>
      <w:r w:rsidR="00AE265B">
        <w:rPr>
          <w:rFonts w:cs="Arial"/>
        </w:rPr>
        <w:t xml:space="preserve"> v </w:t>
      </w:r>
      <w:r w:rsidRPr="000E6DE5">
        <w:rPr>
          <w:rFonts w:cs="Arial"/>
        </w:rPr>
        <w:t>západních zemích EU už</w:t>
      </w:r>
      <w:r w:rsidR="00AE265B">
        <w:rPr>
          <w:rFonts w:cs="Arial"/>
        </w:rPr>
        <w:t> </w:t>
      </w:r>
      <w:r w:rsidRPr="000E6DE5">
        <w:rPr>
          <w:rFonts w:cs="Arial"/>
        </w:rPr>
        <w:t>dosahuje míra online freeridingu ze zemí mimo EU 5-10 % všech výrobků uvedených na</w:t>
      </w:r>
      <w:r w:rsidR="00AE265B">
        <w:rPr>
          <w:rFonts w:cs="Arial"/>
        </w:rPr>
        <w:t> </w:t>
      </w:r>
      <w:r w:rsidRPr="000E6DE5">
        <w:rPr>
          <w:rFonts w:cs="Arial"/>
        </w:rPr>
        <w:t xml:space="preserve">trh, a tento trend se pomalu přesouvá i do ČR. Výsledkem on-line freeridingu je, že na trhu vzrůstá objem elektroodpadu, za který nebyly řádně odvedeny příspěvky, a jeho sběr a recyklaci budou muset zaplatit odpovědní výrobci jednající v souladu se zákony ČR. </w:t>
      </w:r>
    </w:p>
    <w:p w:rsidR="00C806DA" w:rsidRPr="006560E7" w:rsidP="00BF16B7" w14:paraId="71666942" w14:textId="77777777">
      <w:pPr>
        <w:pStyle w:val="Heading3"/>
      </w:pPr>
      <w:r w:rsidRPr="006560E7">
        <w:t>Popis existujícího právního stavu v dané oblasti</w:t>
      </w:r>
    </w:p>
    <w:p w:rsidR="00C806DA" w:rsidRPr="006560E7" w:rsidP="00C806DA" w14:paraId="00E10ECD" w14:textId="5C183887">
      <w:pPr>
        <w:rPr>
          <w:rFonts w:cs="Arial"/>
        </w:rPr>
      </w:pPr>
      <w:r>
        <w:rPr>
          <w:rFonts w:cs="Arial"/>
        </w:rPr>
        <w:t xml:space="preserve">Směrnice o elektrozařízení 2012/19/EU dnes sdanou problematiku sice reguluje, ale tato regulace je účinná pouze ve vztahu k členským státům EU. V případe prodeje výrobků prostřednictvím E-shopů, které jsou usazeny v jiných státech, mají tyto e-shopy povinnost plnit povinnosti prostřednictvím tzv. pověřeného zástupce. Přestože tato povinnost se týká i provozovatelů e-shopů z nečlenských států EU (tedy např. i e-shopům z Číny), je nemožné ze strany jednotlivých národních států EU dané povinnosti účinně vymáhat, </w:t>
      </w:r>
      <w:r w:rsidRPr="003F0645">
        <w:rPr>
          <w:rFonts w:cs="Arial"/>
        </w:rPr>
        <w:t>a výrobce, který se dopustí freeridingu, tak zůstává nepostihnutelný</w:t>
      </w:r>
      <w:r>
        <w:rPr>
          <w:rFonts w:cs="Arial"/>
        </w:rPr>
        <w:t>.</w:t>
      </w:r>
    </w:p>
    <w:p w:rsidR="00C806DA" w:rsidRPr="006560E7" w:rsidP="00BF16B7" w14:paraId="550191D5" w14:textId="77777777">
      <w:pPr>
        <w:pStyle w:val="Heading3"/>
      </w:pPr>
      <w:r w:rsidRPr="006560E7">
        <w:t>Identifikace dotčených subjektů</w:t>
      </w:r>
    </w:p>
    <w:p w:rsidR="00C806DA" w:rsidP="00C806DA" w14:paraId="38447D89" w14:textId="31FFA43B">
      <w:pPr>
        <w:pStyle w:val="ListParagraph"/>
        <w:numPr>
          <w:ilvl w:val="0"/>
          <w:numId w:val="75"/>
        </w:numPr>
        <w:spacing w:after="0"/>
        <w:contextualSpacing w:val="0"/>
        <w:rPr>
          <w:rFonts w:cs="Arial"/>
        </w:rPr>
      </w:pPr>
      <w:r>
        <w:rPr>
          <w:rFonts w:cs="Arial"/>
        </w:rPr>
        <w:t>Online</w:t>
      </w:r>
      <w:r w:rsidRPr="000E6DE5">
        <w:rPr>
          <w:rFonts w:cs="Arial"/>
        </w:rPr>
        <w:t xml:space="preserve"> v</w:t>
      </w:r>
      <w:r w:rsidRPr="006560E7">
        <w:rPr>
          <w:rFonts w:cs="Arial"/>
        </w:rPr>
        <w:t>ýrobci</w:t>
      </w:r>
      <w:r w:rsidRPr="000E6DE5">
        <w:rPr>
          <w:rFonts w:cs="Arial"/>
        </w:rPr>
        <w:t xml:space="preserve"> EEZ</w:t>
      </w:r>
      <w:r w:rsidRPr="006560E7">
        <w:rPr>
          <w:rFonts w:cs="Arial"/>
        </w:rPr>
        <w:t>,</w:t>
      </w:r>
    </w:p>
    <w:p w:rsidR="006560E7" w:rsidRPr="006560E7" w:rsidP="00C806DA" w14:paraId="691E2059" w14:textId="374C41C0">
      <w:pPr>
        <w:pStyle w:val="ListParagraph"/>
        <w:numPr>
          <w:ilvl w:val="0"/>
          <w:numId w:val="75"/>
        </w:numPr>
        <w:spacing w:after="0"/>
        <w:contextualSpacing w:val="0"/>
        <w:rPr>
          <w:rFonts w:cs="Arial"/>
        </w:rPr>
      </w:pPr>
      <w:r>
        <w:rPr>
          <w:rFonts w:cs="Arial"/>
        </w:rPr>
        <w:t>výrobci EEZ,</w:t>
      </w:r>
    </w:p>
    <w:p w:rsidR="00C806DA" w:rsidP="00C806DA" w14:paraId="3690B7F4" w14:textId="39A7AD9B">
      <w:pPr>
        <w:pStyle w:val="ListParagraph"/>
        <w:numPr>
          <w:ilvl w:val="0"/>
          <w:numId w:val="75"/>
        </w:numPr>
        <w:spacing w:after="0"/>
        <w:ind w:left="714" w:hanging="357"/>
        <w:contextualSpacing w:val="0"/>
        <w:rPr>
          <w:rFonts w:cs="Arial"/>
        </w:rPr>
      </w:pPr>
      <w:r w:rsidRPr="006560E7">
        <w:rPr>
          <w:rFonts w:cs="Arial"/>
        </w:rPr>
        <w:t>kolektivní systémy (KS)</w:t>
      </w:r>
      <w:r w:rsidR="00327E62">
        <w:rPr>
          <w:rFonts w:cs="Arial"/>
        </w:rPr>
        <w:t>,</w:t>
      </w:r>
    </w:p>
    <w:p w:rsidR="00327E62" w:rsidRPr="006560E7" w:rsidP="00C806DA" w14:paraId="4A01946B" w14:textId="44D3EFD5">
      <w:pPr>
        <w:pStyle w:val="ListParagraph"/>
        <w:numPr>
          <w:ilvl w:val="0"/>
          <w:numId w:val="75"/>
        </w:numPr>
        <w:spacing w:after="0"/>
        <w:ind w:left="714" w:hanging="357"/>
        <w:contextualSpacing w:val="0"/>
        <w:rPr>
          <w:rFonts w:cs="Arial"/>
        </w:rPr>
      </w:pPr>
      <w:r>
        <w:rPr>
          <w:rFonts w:cs="Arial"/>
        </w:rPr>
        <w:t>p</w:t>
      </w:r>
      <w:r w:rsidRPr="00C54EEC">
        <w:rPr>
          <w:rFonts w:cs="Arial"/>
        </w:rPr>
        <w:t>oskytovatel připojení k internetu na území České republiky</w:t>
      </w:r>
      <w:r w:rsidRPr="003F0645">
        <w:rPr>
          <w:rFonts w:cs="Arial"/>
        </w:rPr>
        <w:t>.</w:t>
      </w:r>
    </w:p>
    <w:p w:rsidR="00C806DA" w:rsidRPr="006560E7" w:rsidP="00BF16B7" w14:paraId="68EDD48B" w14:textId="77777777">
      <w:pPr>
        <w:pStyle w:val="Heading3"/>
      </w:pPr>
      <w:r w:rsidRPr="006560E7">
        <w:t>Popis cílového stavu</w:t>
      </w:r>
    </w:p>
    <w:p w:rsidR="00AE265B" w:rsidRPr="000E6DE5" w:rsidP="001E3A78" w14:paraId="3ED7D80E" w14:textId="3E6D2CA2">
      <w:r w:rsidRPr="003F0645">
        <w:t>Zamezení online freeridingu</w:t>
      </w:r>
      <w:r>
        <w:t xml:space="preserve"> u prodejců EEZ</w:t>
      </w:r>
      <w:r w:rsidRPr="003F0645">
        <w:t>,</w:t>
      </w:r>
      <w:r>
        <w:t xml:space="preserve"> ze </w:t>
      </w:r>
      <w:r w:rsidRPr="00DC21FE">
        <w:t>zemí mimo EU</w:t>
      </w:r>
      <w:r>
        <w:t>.</w:t>
      </w:r>
    </w:p>
    <w:p w:rsidR="00C806DA" w:rsidRPr="006560E7" w:rsidP="00BF16B7" w14:paraId="1EA50E29" w14:textId="79885844">
      <w:pPr>
        <w:pStyle w:val="Heading3"/>
      </w:pPr>
      <w:r w:rsidRPr="006560E7">
        <w:t>Zhodnocení rizika</w:t>
      </w:r>
    </w:p>
    <w:p w:rsidR="00C806DA" w:rsidRPr="006560E7" w:rsidP="00C806DA" w14:paraId="3D1D012E" w14:textId="55B58A0B">
      <w:pPr>
        <w:rPr>
          <w:rFonts w:cs="Arial"/>
        </w:rPr>
      </w:pPr>
      <w:r w:rsidRPr="006560E7">
        <w:rPr>
          <w:rFonts w:cs="Arial"/>
        </w:rPr>
        <w:t xml:space="preserve">V případě, že tato oblast nebude regulována, lze předpokládat, že bude na trhu </w:t>
      </w:r>
      <w:r>
        <w:rPr>
          <w:rFonts w:cs="Arial"/>
        </w:rPr>
        <w:t xml:space="preserve">nadále </w:t>
      </w:r>
      <w:r w:rsidRPr="006560E7">
        <w:rPr>
          <w:rFonts w:cs="Arial"/>
        </w:rPr>
        <w:t>vzrůstat</w:t>
      </w:r>
      <w:r w:rsidRPr="006560E7" w:rsidR="00AE265B">
        <w:rPr>
          <w:rFonts w:cs="Arial"/>
        </w:rPr>
        <w:t xml:space="preserve"> objem elektroodpadu</w:t>
      </w:r>
      <w:r w:rsidRPr="006560E7">
        <w:rPr>
          <w:rFonts w:cs="Arial"/>
        </w:rPr>
        <w:t xml:space="preserve"> (z online prodeje ze zemí mimo EU, zejména třetích zemí)</w:t>
      </w:r>
      <w:r w:rsidRPr="006560E7" w:rsidR="00AE265B">
        <w:rPr>
          <w:rFonts w:cs="Arial"/>
        </w:rPr>
        <w:t>, za</w:t>
      </w:r>
      <w:r w:rsidR="00BF16B7">
        <w:rPr>
          <w:rFonts w:cs="Arial"/>
        </w:rPr>
        <w:t> </w:t>
      </w:r>
      <w:r w:rsidRPr="006560E7" w:rsidR="00AE265B">
        <w:rPr>
          <w:rFonts w:cs="Arial"/>
        </w:rPr>
        <w:t>který nebyly řádně odvedeny příspěvky, a jeho sběr a recyklaci budou muset zaplatit odpovědní výrobci jednající v souladu se zákony ČR.</w:t>
      </w:r>
      <w:r w:rsidR="00327E62">
        <w:rPr>
          <w:rFonts w:cs="Arial"/>
        </w:rPr>
        <w:t xml:space="preserve"> Daná situace by měla též negativní dopad na hospodářskou soutěž, resp. férové odmínky na trhu, neboť výrobky, bez</w:t>
      </w:r>
      <w:r w:rsidR="00BF16B7">
        <w:rPr>
          <w:rFonts w:cs="Arial"/>
        </w:rPr>
        <w:t> </w:t>
      </w:r>
      <w:r w:rsidR="00327E62">
        <w:rPr>
          <w:rFonts w:cs="Arial"/>
        </w:rPr>
        <w:t>recyklačního příspěvku, mohou být nabízeny levněji.</w:t>
      </w:r>
    </w:p>
    <w:p w:rsidR="00C806DA" w:rsidRPr="006560E7" w:rsidP="000E6DE5" w14:paraId="1CC303BA" w14:textId="77777777">
      <w:pPr>
        <w:spacing w:before="0"/>
        <w:rPr>
          <w:rFonts w:cs="Arial"/>
        </w:rPr>
      </w:pPr>
    </w:p>
    <w:p w:rsidR="00C806DA" w:rsidRPr="00EF6349" w:rsidP="00C806DA" w14:paraId="0072AB06" w14:textId="77777777">
      <w:pPr>
        <w:pStyle w:val="Heading2"/>
      </w:pPr>
      <w:r w:rsidRPr="00EF6349">
        <w:t>Návrh variant řešení</w:t>
      </w:r>
    </w:p>
    <w:p w:rsidR="00C806DA" w:rsidRPr="00EF6349" w:rsidP="00C806DA" w14:paraId="4A17BE5A" w14:textId="77777777">
      <w:pPr>
        <w:pStyle w:val="Heading4"/>
        <w:numPr>
          <w:ilvl w:val="0"/>
          <w:numId w:val="0"/>
        </w:numPr>
        <w:spacing w:before="120" w:after="0"/>
        <w:ind w:left="864" w:hanging="864"/>
        <w:rPr>
          <w:szCs w:val="24"/>
        </w:rPr>
      </w:pPr>
      <w:r w:rsidRPr="00EF6349">
        <w:rPr>
          <w:b/>
          <w:sz w:val="24"/>
          <w:szCs w:val="24"/>
        </w:rPr>
        <w:t>Varianta 0</w:t>
      </w:r>
    </w:p>
    <w:p w:rsidR="006560E7" w:rsidRPr="00EF6349" w:rsidP="00C806DA" w14:paraId="6CDEF20A" w14:textId="4453D09B">
      <w:pPr>
        <w:rPr>
          <w:rFonts w:cs="Arial"/>
        </w:rPr>
      </w:pPr>
      <w:r w:rsidRPr="00EF6349">
        <w:rPr>
          <w:rFonts w:cs="Arial"/>
        </w:rPr>
        <w:t xml:space="preserve">Ponechání současného stavu, </w:t>
      </w:r>
      <w:r w:rsidRPr="000E6DE5">
        <w:rPr>
          <w:rFonts w:cs="Arial"/>
        </w:rPr>
        <w:t xml:space="preserve">který umožňuje </w:t>
      </w:r>
      <w:r w:rsidRPr="00EF6349">
        <w:rPr>
          <w:rFonts w:cs="Arial"/>
        </w:rPr>
        <w:t>volný prodej EEZ na internetu bez jakéhokoliv omezení.</w:t>
      </w:r>
    </w:p>
    <w:p w:rsidR="00C806DA" w:rsidRPr="00EF6349" w:rsidP="00C806DA" w14:paraId="50080BEF" w14:textId="77777777">
      <w:pPr>
        <w:pStyle w:val="Heading4"/>
        <w:numPr>
          <w:ilvl w:val="0"/>
          <w:numId w:val="0"/>
        </w:numPr>
        <w:spacing w:after="0"/>
        <w:ind w:left="862" w:hanging="862"/>
        <w:rPr>
          <w:szCs w:val="24"/>
        </w:rPr>
      </w:pPr>
      <w:r w:rsidRPr="00EF6349">
        <w:rPr>
          <w:b/>
          <w:sz w:val="24"/>
          <w:szCs w:val="24"/>
        </w:rPr>
        <w:t>Varianta 1</w:t>
      </w:r>
    </w:p>
    <w:p w:rsidR="00C806DA" w:rsidP="00E82C35" w14:paraId="31D2E12C" w14:textId="620E837B">
      <w:r w:rsidRPr="00E82C35">
        <w:t xml:space="preserve">Zavedení </w:t>
      </w:r>
      <w:r w:rsidRPr="00E82C35" w:rsidR="006560E7">
        <w:t>možnosti regulace online prodeje EEZ, resp.</w:t>
      </w:r>
      <w:r w:rsidRPr="000E6DE5" w:rsidR="006560E7">
        <w:rPr>
          <w:rFonts w:ascii="Times New Roman" w:hAnsi="Times New Roman"/>
          <w:sz w:val="24"/>
        </w:rPr>
        <w:t xml:space="preserve"> </w:t>
      </w:r>
      <w:r w:rsidRPr="00963FAF" w:rsidR="006560E7">
        <w:t xml:space="preserve">možnosti </w:t>
      </w:r>
      <w:r w:rsidRPr="000F533C" w:rsidR="00EF6349">
        <w:t>u internetových prodejců ze</w:t>
      </w:r>
      <w:r w:rsidR="00C10E76">
        <w:t> </w:t>
      </w:r>
      <w:r w:rsidRPr="00963FAF" w:rsidR="00EF6349">
        <w:t>zemí mimo EU, zejména třetích zemí, kteří</w:t>
      </w:r>
      <w:r w:rsidRPr="000F533C" w:rsidR="00EF6349">
        <w:t xml:space="preserve"> zcela neplní své povinnosti výrobce související se zpětným odběrem,</w:t>
      </w:r>
      <w:r w:rsidRPr="003F755E" w:rsidR="00EF6349">
        <w:t xml:space="preserve"> </w:t>
      </w:r>
      <w:r w:rsidRPr="003F755E" w:rsidR="006560E7">
        <w:t>omezit nabízení zboží konečným uživatelům na území ČR</w:t>
      </w:r>
      <w:r w:rsidR="00327E62">
        <w:t xml:space="preserve"> prostřednictvím</w:t>
      </w:r>
      <w:r w:rsidRPr="002C1048" w:rsidR="00327E62">
        <w:t xml:space="preserve"> zamezení přístupu k internetovým stránkám</w:t>
      </w:r>
      <w:r w:rsidRPr="003F755E" w:rsidR="006560E7">
        <w:t>, a rovněž omezit jejich možnost přijímat platby za prodej tohoto zboží.</w:t>
      </w:r>
    </w:p>
    <w:p w:rsidR="001E3A78" w:rsidP="00E82C35" w14:paraId="3835FDD6" w14:textId="77777777"/>
    <w:p w:rsidR="00C806DA" w:rsidRPr="00EF6349" w:rsidP="00C806DA" w14:paraId="02151474" w14:textId="77777777">
      <w:pPr>
        <w:pStyle w:val="Heading2"/>
      </w:pPr>
      <w:r w:rsidRPr="00EF6349">
        <w:t>Vyhodnocení nákladů a přínosů</w:t>
      </w:r>
    </w:p>
    <w:p w:rsidR="00C806DA" w:rsidRPr="00EF6349" w:rsidP="00C806DA" w14:paraId="7DBE53D8" w14:textId="77777777">
      <w:pPr>
        <w:pStyle w:val="Heading4"/>
        <w:numPr>
          <w:ilvl w:val="0"/>
          <w:numId w:val="0"/>
        </w:numPr>
        <w:spacing w:before="120" w:after="0"/>
        <w:ind w:left="864" w:hanging="864"/>
        <w:rPr>
          <w:b/>
          <w:i/>
          <w:sz w:val="24"/>
          <w:szCs w:val="24"/>
        </w:rPr>
      </w:pPr>
      <w:r w:rsidRPr="00EF6349">
        <w:rPr>
          <w:b/>
          <w:i/>
          <w:sz w:val="24"/>
          <w:szCs w:val="24"/>
        </w:rPr>
        <w:t>Identifikace nákladů a přínosů</w:t>
      </w:r>
    </w:p>
    <w:p w:rsidR="00C806DA" w:rsidRPr="00EF6349" w:rsidP="000E6DE5" w14:paraId="09A37E09" w14:textId="77777777">
      <w:pPr>
        <w:pStyle w:val="ListParagraph"/>
        <w:keepNext/>
        <w:numPr>
          <w:ilvl w:val="0"/>
          <w:numId w:val="143"/>
        </w:numPr>
        <w:spacing w:before="240" w:after="120"/>
        <w:contextualSpacing w:val="0"/>
        <w:rPr>
          <w:rFonts w:cs="Arial"/>
          <w:b/>
        </w:rPr>
      </w:pPr>
      <w:r w:rsidRPr="00EF6349">
        <w:rPr>
          <w:rFonts w:cs="Arial"/>
          <w:b/>
        </w:rPr>
        <w:t>Varianta 0</w:t>
      </w:r>
    </w:p>
    <w:p w:rsidR="00C806DA" w:rsidRPr="00EF6349" w:rsidP="001E3A78" w14:paraId="6026CD59" w14:textId="77777777">
      <w:pPr>
        <w:pStyle w:val="Normlntun"/>
        <w:spacing w:before="240" w:after="0" w:line="276" w:lineRule="auto"/>
        <w:rPr>
          <w:rFonts w:cs="Arial"/>
        </w:rPr>
      </w:pPr>
      <w:r w:rsidRPr="00EF6349">
        <w:rPr>
          <w:rFonts w:cs="Arial"/>
        </w:rPr>
        <w:t>Dopady na státní rozpočet a ostatní veřejné rozpočty</w:t>
      </w:r>
    </w:p>
    <w:p w:rsidR="00C806DA" w:rsidRPr="00EF6349" w:rsidP="00C806DA" w14:paraId="4BA0C45F" w14:textId="7C0087ED">
      <w:pPr>
        <w:rPr>
          <w:rFonts w:cs="Arial"/>
        </w:rPr>
      </w:pPr>
      <w:r w:rsidRPr="000E6DE5">
        <w:rPr>
          <w:rFonts w:cs="Arial"/>
        </w:rPr>
        <w:t>Nepředpokládáme dopady na státní ani veřejné rozpočty.</w:t>
      </w:r>
    </w:p>
    <w:p w:rsidR="00C806DA" w:rsidRPr="00EF6349" w:rsidP="000E6DE5" w14:paraId="719A3FB5" w14:textId="77777777">
      <w:pPr>
        <w:pStyle w:val="Normlntun"/>
        <w:spacing w:before="240" w:after="0" w:line="276" w:lineRule="auto"/>
        <w:rPr>
          <w:rFonts w:cs="Arial"/>
        </w:rPr>
      </w:pPr>
      <w:r w:rsidRPr="00EF6349">
        <w:rPr>
          <w:rFonts w:cs="Arial"/>
        </w:rPr>
        <w:t>Dopady na podnikatelské subjekty</w:t>
      </w:r>
    </w:p>
    <w:p w:rsidR="00EF6349" w:rsidRPr="00EF6349" w:rsidP="00C806DA" w14:paraId="23F72AB8" w14:textId="3FA5AA70">
      <w:pPr>
        <w:rPr>
          <w:rFonts w:cs="Arial"/>
        </w:rPr>
      </w:pPr>
      <w:r w:rsidRPr="00EF6349">
        <w:rPr>
          <w:rFonts w:cs="Arial"/>
        </w:rPr>
        <w:t xml:space="preserve">Současný stav umožňuje </w:t>
      </w:r>
      <w:r w:rsidR="00E53601">
        <w:rPr>
          <w:rFonts w:cs="Arial"/>
        </w:rPr>
        <w:t xml:space="preserve">online freeriding pro prodejce EEZ ze </w:t>
      </w:r>
      <w:r w:rsidRPr="003F0645" w:rsidR="00E53601">
        <w:rPr>
          <w:rFonts w:cs="Arial"/>
        </w:rPr>
        <w:t>zemí mimo EU</w:t>
      </w:r>
      <w:r w:rsidR="00E53601">
        <w:rPr>
          <w:rFonts w:cs="Arial"/>
        </w:rPr>
        <w:t>, zejména ze třetích zemí</w:t>
      </w:r>
      <w:r w:rsidRPr="003F0645" w:rsidR="00E53601">
        <w:rPr>
          <w:rFonts w:cs="Arial"/>
        </w:rPr>
        <w:t xml:space="preserve">, např. Číny. </w:t>
      </w:r>
      <w:r w:rsidR="00E53601">
        <w:rPr>
          <w:rFonts w:cs="Arial"/>
        </w:rPr>
        <w:t>O</w:t>
      </w:r>
      <w:r w:rsidRPr="003F0645" w:rsidR="00E53601">
        <w:rPr>
          <w:rFonts w:cs="Arial"/>
        </w:rPr>
        <w:t>nline prodejci uvád</w:t>
      </w:r>
      <w:r w:rsidR="00E53601">
        <w:rPr>
          <w:rFonts w:cs="Arial"/>
        </w:rPr>
        <w:t>ějíc</w:t>
      </w:r>
      <w:r w:rsidRPr="003F0645" w:rsidR="00E53601">
        <w:rPr>
          <w:rFonts w:cs="Arial"/>
        </w:rPr>
        <w:t xml:space="preserve">í své výrobky na trh </w:t>
      </w:r>
      <w:r w:rsidR="00E53601">
        <w:rPr>
          <w:rFonts w:cs="Arial"/>
        </w:rPr>
        <w:t>ČR dálkovým způsobem</w:t>
      </w:r>
      <w:r w:rsidRPr="003F0645" w:rsidR="00E53601">
        <w:rPr>
          <w:rFonts w:cs="Arial"/>
        </w:rPr>
        <w:t xml:space="preserve"> často neplní své povinnosti výrobce související se zpětným odběrem.</w:t>
      </w:r>
      <w:r w:rsidRPr="00E53601" w:rsidR="00E53601">
        <w:rPr>
          <w:rFonts w:cs="Arial"/>
        </w:rPr>
        <w:t xml:space="preserve"> </w:t>
      </w:r>
      <w:r w:rsidRPr="003F0645" w:rsidR="00E53601">
        <w:rPr>
          <w:rFonts w:cs="Arial"/>
        </w:rPr>
        <w:t>Výsledkem on-line freeridingu je, že na trhu vzrůstá objem elektroodpadu, za který nebyly řádně odvedeny příspěvky, a jeho sběr a recyklaci budou muset zaplatit odpovědní výrobci jednající v souladu se zákony ČR.</w:t>
      </w:r>
      <w:r w:rsidR="00E53601">
        <w:rPr>
          <w:rFonts w:cs="Arial"/>
        </w:rPr>
        <w:t xml:space="preserve"> </w:t>
      </w:r>
      <w:r w:rsidR="00327E62">
        <w:rPr>
          <w:rFonts w:cs="Arial"/>
        </w:rPr>
        <w:t xml:space="preserve">V důsledku toho </w:t>
      </w:r>
      <w:r w:rsidR="00E53601">
        <w:rPr>
          <w:rFonts w:cs="Arial"/>
        </w:rPr>
        <w:t>získávají freeridingový online prodejci EEZ konkurenční výhodu, nebo</w:t>
      </w:r>
      <w:r w:rsidR="000C1DE3">
        <w:rPr>
          <w:rFonts w:cs="Arial"/>
        </w:rPr>
        <w:t>ť EEZ tak moh</w:t>
      </w:r>
      <w:r w:rsidR="00E53601">
        <w:rPr>
          <w:rFonts w:cs="Arial"/>
        </w:rPr>
        <w:t xml:space="preserve">ou nabízet za nižší cenu, </w:t>
      </w:r>
      <w:r w:rsidR="000C1DE3">
        <w:rPr>
          <w:rFonts w:cs="Arial"/>
        </w:rPr>
        <w:t>která</w:t>
      </w:r>
      <w:r w:rsidR="00E53601">
        <w:rPr>
          <w:rFonts w:cs="Arial"/>
        </w:rPr>
        <w:t xml:space="preserve"> neobsahuje </w:t>
      </w:r>
      <w:r w:rsidRPr="006520BD" w:rsidR="00E53601">
        <w:rPr>
          <w:rFonts w:cs="Arial"/>
        </w:rPr>
        <w:t>recyklační příspěvek</w:t>
      </w:r>
      <w:r w:rsidR="00E53601">
        <w:rPr>
          <w:rFonts w:cs="Arial"/>
        </w:rPr>
        <w:t>.</w:t>
      </w:r>
    </w:p>
    <w:p w:rsidR="00C806DA" w:rsidRPr="00EF6349" w:rsidP="00C806DA" w14:paraId="00F4A311" w14:textId="77777777">
      <w:pPr>
        <w:pStyle w:val="Normlntun"/>
        <w:spacing w:before="240" w:after="0" w:line="276" w:lineRule="auto"/>
        <w:rPr>
          <w:rFonts w:cs="Arial"/>
        </w:rPr>
      </w:pPr>
      <w:r w:rsidRPr="00EF6349">
        <w:rPr>
          <w:rFonts w:cs="Arial"/>
        </w:rPr>
        <w:t>Dopady na územní samosprávné celky (obce, kraje)</w:t>
      </w:r>
    </w:p>
    <w:p w:rsidR="00C806DA" w:rsidRPr="00EF6349" w:rsidP="00C806DA" w14:paraId="44208291" w14:textId="77777777">
      <w:pPr>
        <w:rPr>
          <w:rFonts w:cs="Arial"/>
        </w:rPr>
      </w:pPr>
      <w:r w:rsidRPr="00EF6349">
        <w:rPr>
          <w:rFonts w:cs="Arial"/>
        </w:rPr>
        <w:t>Nepředpokládáme dopady na obce ani kraje.</w:t>
      </w:r>
    </w:p>
    <w:p w:rsidR="00C806DA" w:rsidRPr="00EF6349" w:rsidP="00C806DA" w14:paraId="2E3DC1C8" w14:textId="77777777">
      <w:pPr>
        <w:pStyle w:val="Normlntun"/>
        <w:spacing w:before="240" w:after="0" w:line="276" w:lineRule="auto"/>
        <w:rPr>
          <w:rFonts w:cs="Arial"/>
        </w:rPr>
      </w:pPr>
      <w:r w:rsidRPr="00EF6349">
        <w:rPr>
          <w:rFonts w:cs="Arial"/>
        </w:rPr>
        <w:t>Sociální dopady</w:t>
      </w:r>
    </w:p>
    <w:p w:rsidR="00C806DA" w:rsidRPr="00EF6349" w:rsidP="00C806DA" w14:paraId="123FD114" w14:textId="77777777">
      <w:pPr>
        <w:rPr>
          <w:rFonts w:cs="Arial"/>
        </w:rPr>
      </w:pPr>
      <w:r w:rsidRPr="00EF6349">
        <w:rPr>
          <w:rFonts w:cs="Arial"/>
        </w:rPr>
        <w:t>Nepředpokládáme dopady v sociální oblasti.</w:t>
      </w:r>
    </w:p>
    <w:p w:rsidR="00C806DA" w:rsidRPr="00EF6349" w:rsidP="00C806DA" w14:paraId="3544A151" w14:textId="77777777">
      <w:pPr>
        <w:pStyle w:val="Normlntun"/>
        <w:spacing w:before="240" w:after="0" w:line="276" w:lineRule="auto"/>
        <w:rPr>
          <w:rFonts w:cs="Arial"/>
        </w:rPr>
      </w:pPr>
      <w:r w:rsidRPr="00EF6349">
        <w:rPr>
          <w:rFonts w:cs="Arial"/>
        </w:rPr>
        <w:t>Dopady na životní prostředí</w:t>
      </w:r>
    </w:p>
    <w:p w:rsidR="00C806DA" w:rsidRPr="00EF6349" w:rsidP="00C806DA" w14:paraId="432DEEC2" w14:textId="720BD54C">
      <w:pPr>
        <w:rPr>
          <w:rFonts w:cs="Arial"/>
        </w:rPr>
      </w:pPr>
      <w:r>
        <w:rPr>
          <w:rFonts w:cs="Arial"/>
        </w:rPr>
        <w:t>Současný stav má negativní dopdy na životní prostředí, neboť n</w:t>
      </w:r>
      <w:r w:rsidRPr="003F0645" w:rsidR="000C1DE3">
        <w:rPr>
          <w:rFonts w:cs="Arial"/>
        </w:rPr>
        <w:t xml:space="preserve">a trhu vzrůstá objem </w:t>
      </w:r>
      <w:r w:rsidR="000C1DE3">
        <w:rPr>
          <w:rFonts w:cs="Arial"/>
        </w:rPr>
        <w:t>odpadních EEZ</w:t>
      </w:r>
      <w:r>
        <w:rPr>
          <w:rFonts w:cs="Arial"/>
        </w:rPr>
        <w:t>, za které</w:t>
      </w:r>
      <w:r w:rsidRPr="003F0645" w:rsidR="000C1DE3">
        <w:rPr>
          <w:rFonts w:cs="Arial"/>
        </w:rPr>
        <w:t xml:space="preserve"> </w:t>
      </w:r>
      <w:r w:rsidR="000C1DE3">
        <w:rPr>
          <w:rFonts w:cs="Arial"/>
        </w:rPr>
        <w:t>nebyly řádně odvedeny příspěvky</w:t>
      </w:r>
      <w:r w:rsidRPr="003F0645" w:rsidR="000C1DE3">
        <w:rPr>
          <w:rFonts w:cs="Arial"/>
        </w:rPr>
        <w:t xml:space="preserve"> </w:t>
      </w:r>
      <w:r w:rsidR="000C1DE3">
        <w:rPr>
          <w:rFonts w:cs="Arial"/>
        </w:rPr>
        <w:t>n</w:t>
      </w:r>
      <w:r w:rsidRPr="003F0645" w:rsidR="000C1DE3">
        <w:rPr>
          <w:rFonts w:cs="Arial"/>
        </w:rPr>
        <w:t>a sběr a recyklaci</w:t>
      </w:r>
      <w:r>
        <w:rPr>
          <w:rFonts w:cs="Arial"/>
        </w:rPr>
        <w:t>. Pokud by tato odpadní EEZ nebyla zrecyklována, představovala by v konečném důsledku zátěž pro životní prostředí.</w:t>
      </w:r>
    </w:p>
    <w:p w:rsidR="00C806DA" w:rsidRPr="00C10E76" w:rsidP="000E6DE5" w14:paraId="542D5E91" w14:textId="77777777">
      <w:pPr>
        <w:pStyle w:val="ListParagraph"/>
        <w:keepNext/>
        <w:numPr>
          <w:ilvl w:val="0"/>
          <w:numId w:val="143"/>
        </w:numPr>
        <w:spacing w:before="360" w:after="120"/>
        <w:ind w:left="714" w:hanging="357"/>
        <w:contextualSpacing w:val="0"/>
        <w:rPr>
          <w:rFonts w:cs="Arial"/>
          <w:b/>
        </w:rPr>
      </w:pPr>
      <w:r w:rsidRPr="00C10E76">
        <w:rPr>
          <w:rFonts w:cs="Arial"/>
          <w:b/>
        </w:rPr>
        <w:t>Varianta 1</w:t>
      </w:r>
    </w:p>
    <w:p w:rsidR="001B6107" w:rsidRPr="001B6107" w:rsidP="001E3A78" w14:paraId="04F16F15" w14:textId="7A381AEA">
      <w:pPr>
        <w:pStyle w:val="Normlntun"/>
        <w:keepNext w:val="0"/>
        <w:widowControl w:val="0"/>
        <w:spacing w:before="240" w:after="0" w:line="276" w:lineRule="auto"/>
        <w:rPr>
          <w:rFonts w:cs="Arial"/>
        </w:rPr>
      </w:pPr>
      <w:r w:rsidRPr="001B6107">
        <w:rPr>
          <w:rFonts w:cs="Arial"/>
          <w:b w:val="0"/>
          <w:bCs w:val="0"/>
          <w:noProof/>
          <w:szCs w:val="24"/>
          <w:lang w:eastAsia="en-US" w:bidi="en-US"/>
        </w:rPr>
        <w:t xml:space="preserve">Zákon zavádí možnost omezení nabízení EEZ </w:t>
      </w:r>
      <w:r>
        <w:rPr>
          <w:rFonts w:cs="Arial"/>
          <w:b w:val="0"/>
          <w:bCs w:val="0"/>
          <w:noProof/>
          <w:szCs w:val="24"/>
          <w:lang w:eastAsia="en-US" w:bidi="en-US"/>
        </w:rPr>
        <w:t xml:space="preserve">prostřednictvím některých internetových stránek </w:t>
      </w:r>
      <w:r w:rsidRPr="001B6107">
        <w:rPr>
          <w:rFonts w:cs="Arial"/>
          <w:b w:val="0"/>
          <w:bCs w:val="0"/>
          <w:noProof/>
          <w:szCs w:val="24"/>
          <w:lang w:eastAsia="en-US" w:bidi="en-US"/>
        </w:rPr>
        <w:t>konečným uživatelům na území ČR, a rovněž omezení jejich možnosti přijímat platby za prodej tohoto zboží.</w:t>
      </w:r>
      <w:r>
        <w:rPr>
          <w:rFonts w:cs="Arial"/>
          <w:b w:val="0"/>
          <w:bCs w:val="0"/>
          <w:noProof/>
          <w:szCs w:val="24"/>
          <w:lang w:eastAsia="en-US" w:bidi="en-US"/>
        </w:rPr>
        <w:t xml:space="preserve"> </w:t>
      </w:r>
      <w:r w:rsidRPr="001B6107">
        <w:rPr>
          <w:rFonts w:cs="Arial"/>
          <w:b w:val="0"/>
          <w:bCs w:val="0"/>
          <w:noProof/>
          <w:szCs w:val="24"/>
          <w:lang w:eastAsia="en-US" w:bidi="en-US"/>
        </w:rPr>
        <w:t>Navrhovaná úprava je analogická k již existující úpravě v oblasti hazardních her dle zákona č. 182/2016 Sb.</w:t>
      </w:r>
      <w:r w:rsidR="00DB3FE1">
        <w:rPr>
          <w:rFonts w:cs="Arial"/>
          <w:b w:val="0"/>
          <w:bCs w:val="0"/>
          <w:noProof/>
          <w:szCs w:val="24"/>
          <w:lang w:eastAsia="en-US" w:bidi="en-US"/>
        </w:rPr>
        <w:t>,</w:t>
      </w:r>
      <w:r w:rsidRPr="001B6107">
        <w:rPr>
          <w:rFonts w:cs="Arial"/>
          <w:b w:val="0"/>
          <w:bCs w:val="0"/>
          <w:noProof/>
          <w:szCs w:val="24"/>
          <w:lang w:eastAsia="en-US" w:bidi="en-US"/>
        </w:rPr>
        <w:t xml:space="preserve"> o</w:t>
      </w:r>
      <w:r>
        <w:rPr>
          <w:rFonts w:cs="Arial"/>
          <w:b w:val="0"/>
          <w:bCs w:val="0"/>
          <w:noProof/>
          <w:szCs w:val="24"/>
          <w:lang w:eastAsia="en-US" w:bidi="en-US"/>
        </w:rPr>
        <w:t> </w:t>
      </w:r>
      <w:r w:rsidRPr="001B6107">
        <w:rPr>
          <w:rFonts w:cs="Arial"/>
          <w:b w:val="0"/>
          <w:bCs w:val="0"/>
          <w:noProof/>
          <w:szCs w:val="24"/>
          <w:lang w:eastAsia="en-US" w:bidi="en-US"/>
        </w:rPr>
        <w:t>hazardních hrách. V případě tohoto zákona tento institut prošel i</w:t>
      </w:r>
      <w:r>
        <w:rPr>
          <w:rFonts w:cs="Arial"/>
          <w:b w:val="0"/>
          <w:bCs w:val="0"/>
          <w:noProof/>
          <w:szCs w:val="24"/>
          <w:lang w:eastAsia="en-US" w:bidi="en-US"/>
        </w:rPr>
        <w:t> </w:t>
      </w:r>
      <w:r w:rsidRPr="001B6107">
        <w:rPr>
          <w:rFonts w:cs="Arial"/>
          <w:b w:val="0"/>
          <w:bCs w:val="0"/>
          <w:noProof/>
          <w:szCs w:val="24"/>
          <w:lang w:eastAsia="en-US" w:bidi="en-US"/>
        </w:rPr>
        <w:t>testem ústavnosti (viz nález Pl. ÚS 28/16), který shledal, že v</w:t>
      </w:r>
      <w:r w:rsidR="00DB3FE1">
        <w:rPr>
          <w:rFonts w:cs="Arial"/>
          <w:b w:val="0"/>
          <w:bCs w:val="0"/>
          <w:noProof/>
          <w:szCs w:val="24"/>
          <w:lang w:eastAsia="en-US" w:bidi="en-US"/>
        </w:rPr>
        <w:t> </w:t>
      </w:r>
      <w:r w:rsidRPr="001B6107">
        <w:rPr>
          <w:rFonts w:cs="Arial"/>
          <w:b w:val="0"/>
          <w:bCs w:val="0"/>
          <w:noProof/>
          <w:szCs w:val="24"/>
          <w:lang w:eastAsia="en-US" w:bidi="en-US"/>
        </w:rPr>
        <w:t>odůvodněných případech může legislativa přistoupit i</w:t>
      </w:r>
      <w:r>
        <w:rPr>
          <w:rFonts w:cs="Arial"/>
          <w:b w:val="0"/>
          <w:bCs w:val="0"/>
          <w:noProof/>
          <w:szCs w:val="24"/>
          <w:lang w:eastAsia="en-US" w:bidi="en-US"/>
        </w:rPr>
        <w:t> </w:t>
      </w:r>
      <w:r w:rsidRPr="001B6107">
        <w:rPr>
          <w:rFonts w:cs="Arial"/>
          <w:b w:val="0"/>
          <w:bCs w:val="0"/>
          <w:noProof/>
          <w:szCs w:val="24"/>
          <w:lang w:eastAsia="en-US" w:bidi="en-US"/>
        </w:rPr>
        <w:t>k</w:t>
      </w:r>
      <w:r>
        <w:rPr>
          <w:rFonts w:cs="Arial"/>
          <w:b w:val="0"/>
          <w:bCs w:val="0"/>
          <w:noProof/>
          <w:szCs w:val="24"/>
          <w:lang w:eastAsia="en-US" w:bidi="en-US"/>
        </w:rPr>
        <w:t> </w:t>
      </w:r>
      <w:r w:rsidRPr="001B6107">
        <w:rPr>
          <w:rFonts w:cs="Arial"/>
          <w:b w:val="0"/>
          <w:bCs w:val="0"/>
          <w:noProof/>
          <w:szCs w:val="24"/>
          <w:lang w:eastAsia="en-US" w:bidi="en-US"/>
        </w:rPr>
        <w:t xml:space="preserve">omezení přístupu na některé internetové stránky. Navrhované opatření směřuje </w:t>
      </w:r>
      <w:r w:rsidR="00327E62">
        <w:rPr>
          <w:rFonts w:cs="Arial"/>
          <w:b w:val="0"/>
          <w:bCs w:val="0"/>
          <w:noProof/>
          <w:szCs w:val="24"/>
          <w:lang w:eastAsia="en-US" w:bidi="en-US"/>
        </w:rPr>
        <w:t xml:space="preserve">v tuto chvíli </w:t>
      </w:r>
      <w:r w:rsidRPr="001B6107">
        <w:rPr>
          <w:rFonts w:cs="Arial"/>
          <w:b w:val="0"/>
          <w:bCs w:val="0"/>
          <w:noProof/>
          <w:szCs w:val="24"/>
          <w:lang w:eastAsia="en-US" w:bidi="en-US"/>
        </w:rPr>
        <w:t>pouze na</w:t>
      </w:r>
      <w:r>
        <w:rPr>
          <w:rFonts w:cs="Arial"/>
          <w:b w:val="0"/>
          <w:bCs w:val="0"/>
          <w:noProof/>
          <w:szCs w:val="24"/>
          <w:lang w:eastAsia="en-US" w:bidi="en-US"/>
        </w:rPr>
        <w:t> </w:t>
      </w:r>
      <w:r w:rsidRPr="001B6107">
        <w:rPr>
          <w:rFonts w:cs="Arial"/>
          <w:b w:val="0"/>
          <w:bCs w:val="0"/>
          <w:noProof/>
          <w:szCs w:val="24"/>
          <w:lang w:eastAsia="en-US" w:bidi="en-US"/>
        </w:rPr>
        <w:t>segment EEZ, kde se jeví problém online freeridingu jako nejpalčivější s ohledem na</w:t>
      </w:r>
      <w:r>
        <w:rPr>
          <w:rFonts w:cs="Arial"/>
          <w:b w:val="0"/>
          <w:bCs w:val="0"/>
          <w:noProof/>
          <w:szCs w:val="24"/>
          <w:lang w:eastAsia="en-US" w:bidi="en-US"/>
        </w:rPr>
        <w:t> </w:t>
      </w:r>
      <w:r w:rsidRPr="001B6107">
        <w:rPr>
          <w:rFonts w:cs="Arial"/>
          <w:b w:val="0"/>
          <w:bCs w:val="0"/>
          <w:noProof/>
          <w:szCs w:val="24"/>
          <w:lang w:eastAsia="en-US" w:bidi="en-US"/>
        </w:rPr>
        <w:t>charakter prodávaného zboží - hmotnost, způsob prodeje, obsahy problematických látek ve</w:t>
      </w:r>
      <w:r>
        <w:rPr>
          <w:rFonts w:cs="Arial"/>
          <w:b w:val="0"/>
          <w:bCs w:val="0"/>
          <w:noProof/>
          <w:szCs w:val="24"/>
          <w:lang w:eastAsia="en-US" w:bidi="en-US"/>
        </w:rPr>
        <w:t> </w:t>
      </w:r>
      <w:r w:rsidRPr="001B6107">
        <w:rPr>
          <w:rFonts w:cs="Arial"/>
          <w:b w:val="0"/>
          <w:bCs w:val="0"/>
          <w:noProof/>
          <w:szCs w:val="24"/>
          <w:lang w:eastAsia="en-US" w:bidi="en-US"/>
        </w:rPr>
        <w:t>vztahu k životnímu prostředí nebo obsahy potenciálně využitelných druhotných surovin za</w:t>
      </w:r>
      <w:r>
        <w:rPr>
          <w:rFonts w:cs="Arial"/>
          <w:b w:val="0"/>
          <w:bCs w:val="0"/>
          <w:noProof/>
          <w:szCs w:val="24"/>
          <w:lang w:eastAsia="en-US" w:bidi="en-US"/>
        </w:rPr>
        <w:t> </w:t>
      </w:r>
      <w:r w:rsidRPr="001B6107">
        <w:rPr>
          <w:rFonts w:cs="Arial"/>
          <w:b w:val="0"/>
          <w:bCs w:val="0"/>
          <w:noProof/>
          <w:szCs w:val="24"/>
          <w:lang w:eastAsia="en-US" w:bidi="en-US"/>
        </w:rPr>
        <w:t xml:space="preserve">předpokladu, že nedojde k vyhození výrobku v rámci netříděného komunálního odpadu. </w:t>
      </w:r>
    </w:p>
    <w:p w:rsidR="00C806DA" w:rsidRPr="00C10E76" w:rsidP="000E6DE5" w14:paraId="6B91D590" w14:textId="77777777">
      <w:pPr>
        <w:pStyle w:val="Normlntun"/>
        <w:spacing w:before="240" w:after="0" w:line="276" w:lineRule="auto"/>
        <w:rPr>
          <w:rFonts w:cs="Arial"/>
        </w:rPr>
      </w:pPr>
      <w:r w:rsidRPr="00C10E76">
        <w:rPr>
          <w:rFonts w:cs="Arial"/>
        </w:rPr>
        <w:t>Dopady na státní rozpočet a ostatní veřejné rozpočty</w:t>
      </w:r>
    </w:p>
    <w:p w:rsidR="00E14209" w:rsidRPr="00C10E76" w:rsidP="00C10E76" w14:paraId="1AF2F232" w14:textId="4B202820">
      <w:pPr>
        <w:rPr>
          <w:rFonts w:cs="Arial"/>
        </w:rPr>
      </w:pPr>
      <w:r>
        <w:t>Ministerstvo v rámci správního řízení vydá rozhodnutí, pomocí kterého vysloví, že určitá stránka je provozována v rozporu s tímto zákonem a umístí pak tuto stránku na Seznam nepovolených internetových obchodů, jenž je veden v elektronické podobě způsobem umožňující dálkový a nepřetržitý přístup. Na základě tohoto rozhodnutí, tak bude označena daná internetová stránka za „nezákonnou“.</w:t>
      </w:r>
    </w:p>
    <w:p w:rsidR="00C806DA" w:rsidRPr="00C10E76" w:rsidP="00C806DA" w14:paraId="1FBAC51F" w14:textId="77777777">
      <w:pPr>
        <w:pStyle w:val="Normlntun"/>
        <w:spacing w:before="240" w:after="0" w:line="276" w:lineRule="auto"/>
        <w:rPr>
          <w:rFonts w:cs="Arial"/>
        </w:rPr>
      </w:pPr>
      <w:r w:rsidRPr="00C10E76">
        <w:rPr>
          <w:rFonts w:cs="Arial"/>
        </w:rPr>
        <w:t>Dopady na podnikatelské subjekty</w:t>
      </w:r>
    </w:p>
    <w:p w:rsidR="001B6107" w:rsidP="000C1DE3" w14:paraId="280DE994" w14:textId="306E3F82">
      <w:pPr>
        <w:autoSpaceDE w:val="0"/>
        <w:autoSpaceDN w:val="0"/>
        <w:adjustRightInd w:val="0"/>
        <w:spacing w:after="0"/>
        <w:rPr>
          <w:rFonts w:cs="Arial"/>
        </w:rPr>
      </w:pPr>
      <w:r>
        <w:rPr>
          <w:rFonts w:cs="Arial"/>
        </w:rPr>
        <w:t>B</w:t>
      </w:r>
      <w:r w:rsidRPr="003F0645">
        <w:rPr>
          <w:rFonts w:cs="Arial"/>
        </w:rPr>
        <w:t xml:space="preserve">lokace internetových stránek směřuje zejména k důkladnému zajištění ochrany zájmů online prodejců, kteří řádně </w:t>
      </w:r>
      <w:r w:rsidRPr="003F0645" w:rsidR="00327E62">
        <w:rPr>
          <w:rFonts w:cs="Arial"/>
        </w:rPr>
        <w:t xml:space="preserve">plní </w:t>
      </w:r>
      <w:r w:rsidR="00327E62">
        <w:rPr>
          <w:rFonts w:cs="Arial"/>
        </w:rPr>
        <w:t xml:space="preserve">své </w:t>
      </w:r>
      <w:r w:rsidRPr="003F0645">
        <w:rPr>
          <w:rFonts w:cs="Arial"/>
        </w:rPr>
        <w:t>zákonné povinosti.</w:t>
      </w:r>
      <w:r>
        <w:rPr>
          <w:rFonts w:cs="Arial"/>
        </w:rPr>
        <w:t xml:space="preserve"> </w:t>
      </w:r>
      <w:r w:rsidR="004239F0">
        <w:rPr>
          <w:rFonts w:cs="Arial"/>
        </w:rPr>
        <w:t>M</w:t>
      </w:r>
      <w:r w:rsidR="00C10E76">
        <w:rPr>
          <w:rFonts w:cs="Arial"/>
        </w:rPr>
        <w:t>ožnost</w:t>
      </w:r>
      <w:r w:rsidRPr="003F0645" w:rsidR="00C10E76">
        <w:rPr>
          <w:rFonts w:cs="Arial"/>
        </w:rPr>
        <w:t xml:space="preserve"> </w:t>
      </w:r>
      <w:r w:rsidR="004239F0">
        <w:rPr>
          <w:rFonts w:cs="Arial"/>
        </w:rPr>
        <w:t xml:space="preserve">této </w:t>
      </w:r>
      <w:r w:rsidRPr="003F0645" w:rsidR="00C10E76">
        <w:rPr>
          <w:rFonts w:cs="Arial"/>
        </w:rPr>
        <w:t xml:space="preserve">regulace </w:t>
      </w:r>
      <w:r w:rsidR="004239F0">
        <w:rPr>
          <w:rFonts w:cs="Arial"/>
        </w:rPr>
        <w:t xml:space="preserve">se bude týkat </w:t>
      </w:r>
      <w:r w:rsidRPr="003F0645" w:rsidR="00C10E76">
        <w:rPr>
          <w:rFonts w:cs="Arial"/>
        </w:rPr>
        <w:t xml:space="preserve">online prodejců </w:t>
      </w:r>
      <w:r w:rsidR="004239F0">
        <w:rPr>
          <w:rFonts w:cs="Arial"/>
        </w:rPr>
        <w:t xml:space="preserve">EEZ </w:t>
      </w:r>
      <w:r w:rsidRPr="003F0645" w:rsidR="00C10E76">
        <w:rPr>
          <w:rFonts w:cs="Arial"/>
        </w:rPr>
        <w:t>ze</w:t>
      </w:r>
      <w:r w:rsidR="00C10E76">
        <w:rPr>
          <w:rFonts w:cs="Arial"/>
        </w:rPr>
        <w:t> </w:t>
      </w:r>
      <w:r w:rsidRPr="003F0645" w:rsidR="00C10E76">
        <w:rPr>
          <w:rFonts w:cs="Arial"/>
        </w:rPr>
        <w:t>zemí mimo EU, zejména třetích zemí, kteří neplní své povinnosti výrobce související se zpětným odběrem</w:t>
      </w:r>
      <w:r w:rsidR="004239F0">
        <w:rPr>
          <w:rFonts w:cs="Arial"/>
        </w:rPr>
        <w:t xml:space="preserve"> a splnění zákonných povinností dle </w:t>
      </w:r>
      <w:r w:rsidRPr="003F0645" w:rsidR="004239F0">
        <w:rPr>
          <w:rFonts w:cs="Arial"/>
        </w:rPr>
        <w:t xml:space="preserve">práva ČR </w:t>
      </w:r>
      <w:r w:rsidR="004239F0">
        <w:rPr>
          <w:rFonts w:cs="Arial"/>
        </w:rPr>
        <w:t>je u</w:t>
      </w:r>
      <w:r>
        <w:rPr>
          <w:rFonts w:cs="Arial"/>
        </w:rPr>
        <w:t> </w:t>
      </w:r>
      <w:r w:rsidR="004239F0">
        <w:rPr>
          <w:rFonts w:cs="Arial"/>
        </w:rPr>
        <w:t>těchto výrobců</w:t>
      </w:r>
      <w:r w:rsidRPr="003F0645" w:rsidR="004239F0">
        <w:rPr>
          <w:rFonts w:cs="Arial"/>
        </w:rPr>
        <w:t xml:space="preserve"> v podstatě </w:t>
      </w:r>
      <w:r w:rsidR="004239F0">
        <w:rPr>
          <w:rFonts w:cs="Arial"/>
        </w:rPr>
        <w:t>nevymahatelné. Tímto</w:t>
      </w:r>
      <w:r w:rsidR="00C10E76">
        <w:rPr>
          <w:rFonts w:cs="Arial"/>
        </w:rPr>
        <w:t xml:space="preserve"> o</w:t>
      </w:r>
      <w:r w:rsidR="004239F0">
        <w:rPr>
          <w:rFonts w:cs="Arial"/>
        </w:rPr>
        <w:t>patřením by mělo dojít</w:t>
      </w:r>
      <w:r w:rsidR="00C10E76">
        <w:rPr>
          <w:rFonts w:cs="Arial"/>
        </w:rPr>
        <w:t xml:space="preserve"> k</w:t>
      </w:r>
      <w:r w:rsidR="004239F0">
        <w:rPr>
          <w:rFonts w:cs="Arial"/>
        </w:rPr>
        <w:t> </w:t>
      </w:r>
      <w:r w:rsidR="00C10E76">
        <w:rPr>
          <w:rFonts w:cs="Arial"/>
        </w:rPr>
        <w:t>zamezení</w:t>
      </w:r>
      <w:r w:rsidRPr="003F0645" w:rsidR="000C1DE3">
        <w:rPr>
          <w:rFonts w:cs="Arial"/>
        </w:rPr>
        <w:t xml:space="preserve"> freeridingu </w:t>
      </w:r>
      <w:r w:rsidR="00C10E76">
        <w:rPr>
          <w:rFonts w:cs="Arial"/>
        </w:rPr>
        <w:t xml:space="preserve">těchto </w:t>
      </w:r>
      <w:r w:rsidRPr="003F0645" w:rsidR="000C1DE3">
        <w:rPr>
          <w:rFonts w:cs="Arial"/>
        </w:rPr>
        <w:t xml:space="preserve">online </w:t>
      </w:r>
      <w:r w:rsidRPr="003F0645">
        <w:rPr>
          <w:rFonts w:cs="Arial"/>
        </w:rPr>
        <w:t xml:space="preserve">prodejců </w:t>
      </w:r>
      <w:r>
        <w:rPr>
          <w:rFonts w:cs="Arial"/>
        </w:rPr>
        <w:t xml:space="preserve">EEZ </w:t>
      </w:r>
      <w:r w:rsidRPr="003F0645">
        <w:rPr>
          <w:rFonts w:cs="Arial"/>
        </w:rPr>
        <w:t>ze</w:t>
      </w:r>
      <w:r>
        <w:rPr>
          <w:rFonts w:cs="Arial"/>
        </w:rPr>
        <w:t> </w:t>
      </w:r>
      <w:r w:rsidRPr="003F0645">
        <w:rPr>
          <w:rFonts w:cs="Arial"/>
        </w:rPr>
        <w:t>zemí mimo EU, zejména třetích zemí</w:t>
      </w:r>
      <w:r w:rsidR="00C10E76">
        <w:rPr>
          <w:rFonts w:cs="Arial"/>
        </w:rPr>
        <w:t xml:space="preserve">. </w:t>
      </w:r>
    </w:p>
    <w:p w:rsidR="00C10E76" w:rsidP="000C1DE3" w14:paraId="1B9C0867" w14:textId="61D57C76">
      <w:pPr>
        <w:autoSpaceDE w:val="0"/>
        <w:autoSpaceDN w:val="0"/>
        <w:adjustRightInd w:val="0"/>
        <w:spacing w:after="0"/>
        <w:rPr>
          <w:rFonts w:cs="Arial"/>
        </w:rPr>
      </w:pPr>
      <w:r>
        <w:rPr>
          <w:rFonts w:cs="Arial"/>
        </w:rPr>
        <w:t>Navrhované řešení má</w:t>
      </w:r>
      <w:r w:rsidRPr="003F0645">
        <w:rPr>
          <w:rFonts w:cs="Arial"/>
        </w:rPr>
        <w:t xml:space="preserve"> pozitivní dopad na férové podmínky podnikání a</w:t>
      </w:r>
      <w:r w:rsidR="001B6107">
        <w:rPr>
          <w:rFonts w:cs="Arial"/>
        </w:rPr>
        <w:t> </w:t>
      </w:r>
      <w:r w:rsidRPr="003F0645">
        <w:rPr>
          <w:rFonts w:cs="Arial"/>
        </w:rPr>
        <w:t>hospodářskou soutěž, resp. navrhované opatření umožní eliminovat  subjekty, které porušují platná ustanovení zákona o</w:t>
      </w:r>
      <w:r w:rsidR="001B6107">
        <w:rPr>
          <w:rFonts w:cs="Arial"/>
        </w:rPr>
        <w:t> </w:t>
      </w:r>
      <w:r w:rsidRPr="003F0645">
        <w:rPr>
          <w:rFonts w:cs="Arial"/>
        </w:rPr>
        <w:t>odpadech, v důsledku čehož mohou být jejich výrobky levnější, a</w:t>
      </w:r>
      <w:r>
        <w:rPr>
          <w:rFonts w:cs="Arial"/>
        </w:rPr>
        <w:t> </w:t>
      </w:r>
      <w:r w:rsidRPr="003F0645">
        <w:rPr>
          <w:rFonts w:cs="Arial"/>
        </w:rPr>
        <w:t>tudíž pro</w:t>
      </w:r>
      <w:r w:rsidR="00BF16B7">
        <w:rPr>
          <w:rFonts w:cs="Arial"/>
        </w:rPr>
        <w:t> </w:t>
      </w:r>
      <w:r w:rsidRPr="003F0645">
        <w:rPr>
          <w:rFonts w:cs="Arial"/>
        </w:rPr>
        <w:t>spotřebitele i</w:t>
      </w:r>
      <w:r w:rsidR="001B6107">
        <w:rPr>
          <w:rFonts w:cs="Arial"/>
        </w:rPr>
        <w:t> </w:t>
      </w:r>
      <w:r w:rsidRPr="003F0645">
        <w:rPr>
          <w:rFonts w:cs="Arial"/>
        </w:rPr>
        <w:t>atraktivnější.</w:t>
      </w:r>
    </w:p>
    <w:p w:rsidR="00E14209" w:rsidRPr="003F0645" w:rsidP="00E14209" w14:paraId="6F151DA5" w14:textId="6F51AD25">
      <w:pPr>
        <w:rPr>
          <w:rFonts w:cs="Arial"/>
        </w:rPr>
      </w:pPr>
      <w:r>
        <w:t>Na základě rozhodnutí vydaného ministerstvem bude</w:t>
      </w:r>
      <w:r w:rsidRPr="00E14209">
        <w:t xml:space="preserve"> </w:t>
      </w:r>
      <w:r>
        <w:t>internetová stránka umístěna na</w:t>
      </w:r>
      <w:r w:rsidR="00BF16B7">
        <w:t> </w:t>
      </w:r>
      <w:r>
        <w:t>Seznam nepovolených internetových obchodů a poskytovatelé připojení k veřejné síti internet si tak budou vědomi nezákonnosti přenosu informací prostřednictvím takto uveřejněných odkazů. V daném případě tak vzniká jakási modifikovaná odpovědnost poskytovatele připojení k veřejné síti Internet, v rámci které je poskytovatel internetového připojení odpovědný za IP porušení z důvodu jeho přičinění na protiprávním stavu, jehož si je vědom a jakkoliv nebrání v opakování porušování, ačkoliv je schopen tak učinit. Poskytovatel bude informován  o nepovolených internetových stránkách dálkovým a nepřetržitým způsobem formou zveřejňovaného seznamu nepovolených internetových obchodů.</w:t>
      </w:r>
    </w:p>
    <w:p w:rsidR="00C806DA" w:rsidRPr="001B6107" w:rsidP="00C806DA" w14:paraId="4DEECE90" w14:textId="77777777">
      <w:pPr>
        <w:pStyle w:val="Normlntun"/>
        <w:spacing w:before="240" w:after="0" w:line="276" w:lineRule="auto"/>
        <w:rPr>
          <w:rFonts w:cs="Arial"/>
        </w:rPr>
      </w:pPr>
      <w:r w:rsidRPr="001B6107">
        <w:rPr>
          <w:rFonts w:cs="Arial"/>
        </w:rPr>
        <w:t>Dopady na územní samosprávné celky (obce, kraje)</w:t>
      </w:r>
    </w:p>
    <w:p w:rsidR="00C806DA" w:rsidRPr="001B6107" w:rsidP="00C806DA" w14:paraId="5D773AA2" w14:textId="77777777">
      <w:pPr>
        <w:rPr>
          <w:rFonts w:cs="Arial"/>
        </w:rPr>
      </w:pPr>
      <w:r w:rsidRPr="001B6107">
        <w:rPr>
          <w:rFonts w:cs="Arial"/>
        </w:rPr>
        <w:t>Nepředpokládáme dopady na obce ani kraje.</w:t>
      </w:r>
    </w:p>
    <w:p w:rsidR="00C806DA" w:rsidRPr="001B6107" w:rsidP="00C806DA" w14:paraId="42114E44" w14:textId="77777777">
      <w:pPr>
        <w:pStyle w:val="Normlntun"/>
        <w:spacing w:before="240" w:after="0" w:line="276" w:lineRule="auto"/>
        <w:rPr>
          <w:rFonts w:cs="Arial"/>
        </w:rPr>
      </w:pPr>
      <w:r w:rsidRPr="001B6107">
        <w:rPr>
          <w:rFonts w:cs="Arial"/>
        </w:rPr>
        <w:t>Sociální dopady</w:t>
      </w:r>
    </w:p>
    <w:p w:rsidR="00C806DA" w:rsidRPr="001B6107" w:rsidP="00C806DA" w14:paraId="2CF45262" w14:textId="77777777">
      <w:pPr>
        <w:rPr>
          <w:rFonts w:cs="Arial"/>
        </w:rPr>
      </w:pPr>
      <w:r w:rsidRPr="001B6107">
        <w:rPr>
          <w:rFonts w:cs="Arial"/>
        </w:rPr>
        <w:t>Nepředpokládáme sociální dopady.</w:t>
      </w:r>
    </w:p>
    <w:p w:rsidR="00C806DA" w:rsidRPr="001B6107" w:rsidP="00C806DA" w14:paraId="34093E9D" w14:textId="77777777">
      <w:pPr>
        <w:pStyle w:val="Normlntun"/>
        <w:spacing w:before="240" w:after="0" w:line="276" w:lineRule="auto"/>
        <w:rPr>
          <w:rFonts w:cs="Arial"/>
        </w:rPr>
      </w:pPr>
      <w:r w:rsidRPr="001B6107">
        <w:rPr>
          <w:rFonts w:cs="Arial"/>
        </w:rPr>
        <w:t>Dopady na životní prostředí</w:t>
      </w:r>
    </w:p>
    <w:p w:rsidR="00CA6B68" w:rsidP="000E6DE5" w14:paraId="650930F4" w14:textId="04F30A2F">
      <w:pPr>
        <w:rPr>
          <w:color w:val="000000"/>
        </w:rPr>
      </w:pPr>
      <w:r>
        <w:rPr>
          <w:rFonts w:cs="Arial"/>
        </w:rPr>
        <w:t xml:space="preserve">Tato regulace bude mít pozitivní dopad </w:t>
      </w:r>
      <w:r w:rsidRPr="001B6107" w:rsidR="00C806DA">
        <w:rPr>
          <w:rFonts w:cs="Arial"/>
        </w:rPr>
        <w:t>na životní prostředí</w:t>
      </w:r>
      <w:r>
        <w:rPr>
          <w:rFonts w:cs="Arial"/>
        </w:rPr>
        <w:t xml:space="preserve">, neboť směřuje k omezení </w:t>
      </w:r>
      <w:r w:rsidR="00D94A64">
        <w:rPr>
          <w:rFonts w:cs="Arial"/>
        </w:rPr>
        <w:t xml:space="preserve">prodeje </w:t>
      </w:r>
      <w:r>
        <w:rPr>
          <w:rFonts w:cs="Arial"/>
        </w:rPr>
        <w:t xml:space="preserve">EEZ na českém trhu, za které nebude odveden recyklační příspěvek. </w:t>
      </w:r>
      <w:r w:rsidRPr="00963FAF">
        <w:rPr>
          <w:rFonts w:cs="Arial"/>
        </w:rPr>
        <w:t>Zajištění financování zpětného odběru a následné rec</w:t>
      </w:r>
      <w:r w:rsidRPr="000F533C">
        <w:rPr>
          <w:rFonts w:cs="Arial"/>
        </w:rPr>
        <w:t xml:space="preserve">yklace </w:t>
      </w:r>
      <w:r>
        <w:rPr>
          <w:rFonts w:cs="Arial"/>
        </w:rPr>
        <w:t>EEZ</w:t>
      </w:r>
      <w:r w:rsidRPr="00963FAF">
        <w:rPr>
          <w:rFonts w:cs="Arial"/>
        </w:rPr>
        <w:t xml:space="preserve"> bude mít pozitivní dopady na ŽP, neboť se </w:t>
      </w:r>
      <w:r>
        <w:rPr>
          <w:rFonts w:cs="Arial"/>
        </w:rPr>
        <w:t xml:space="preserve">tím </w:t>
      </w:r>
      <w:r w:rsidRPr="00CA6B68">
        <w:rPr>
          <w:color w:val="000000"/>
        </w:rPr>
        <w:t>snižuje riziko úniku nebezpečných látek obsažených v </w:t>
      </w:r>
      <w:r>
        <w:rPr>
          <w:color w:val="000000"/>
        </w:rPr>
        <w:t>EEZ</w:t>
      </w:r>
      <w:r w:rsidRPr="00CA6B68">
        <w:rPr>
          <w:color w:val="000000"/>
        </w:rPr>
        <w:t xml:space="preserve"> a kontaminace ŽP těmito látkami při ne</w:t>
      </w:r>
      <w:r w:rsidRPr="00963FAF">
        <w:rPr>
          <w:rFonts w:cs="Arial"/>
        </w:rPr>
        <w:t xml:space="preserve">správném nakládání s  </w:t>
      </w:r>
      <w:r>
        <w:rPr>
          <w:rFonts w:cs="Arial"/>
        </w:rPr>
        <w:t>nimi</w:t>
      </w:r>
      <w:r w:rsidRPr="00963FAF">
        <w:rPr>
          <w:rFonts w:cs="Arial"/>
        </w:rPr>
        <w:t>.</w:t>
      </w:r>
      <w:r>
        <w:rPr>
          <w:rFonts w:cs="Arial"/>
        </w:rPr>
        <w:t xml:space="preserve"> Zároveň řádnou recyklací EEZ dochází také k </w:t>
      </w:r>
      <w:r>
        <w:rPr>
          <w:color w:val="000000"/>
        </w:rPr>
        <w:t>úspoře</w:t>
      </w:r>
      <w:r w:rsidRPr="00325145">
        <w:rPr>
          <w:color w:val="000000"/>
        </w:rPr>
        <w:t xml:space="preserve"> materiálů využívaných v </w:t>
      </w:r>
      <w:r>
        <w:rPr>
          <w:color w:val="000000"/>
        </w:rPr>
        <w:t>EEZ</w:t>
      </w:r>
      <w:r w:rsidRPr="00325145">
        <w:rPr>
          <w:color w:val="000000"/>
        </w:rPr>
        <w:t xml:space="preserve"> </w:t>
      </w:r>
      <w:r>
        <w:rPr>
          <w:color w:val="000000"/>
        </w:rPr>
        <w:t>díky opětovnému</w:t>
      </w:r>
      <w:r w:rsidRPr="00325145">
        <w:rPr>
          <w:color w:val="000000"/>
        </w:rPr>
        <w:t xml:space="preserve"> vyu</w:t>
      </w:r>
      <w:r>
        <w:rPr>
          <w:color w:val="000000"/>
        </w:rPr>
        <w:t>žití</w:t>
      </w:r>
      <w:r w:rsidRPr="00D35C5B">
        <w:rPr>
          <w:color w:val="000000"/>
        </w:rPr>
        <w:t xml:space="preserve"> </w:t>
      </w:r>
      <w:r>
        <w:rPr>
          <w:color w:val="000000"/>
        </w:rPr>
        <w:t xml:space="preserve">a </w:t>
      </w:r>
      <w:r w:rsidRPr="00325145">
        <w:rPr>
          <w:color w:val="000000"/>
        </w:rPr>
        <w:t>zajištění materiálu pro budoucí využití</w:t>
      </w:r>
      <w:r w:rsidRPr="00CA6B68">
        <w:rPr>
          <w:color w:val="000000"/>
        </w:rPr>
        <w:t xml:space="preserve"> </w:t>
      </w:r>
      <w:r>
        <w:rPr>
          <w:color w:val="000000"/>
        </w:rPr>
        <w:t xml:space="preserve">a </w:t>
      </w:r>
      <w:r w:rsidRPr="0029680F">
        <w:rPr>
          <w:color w:val="000000"/>
        </w:rPr>
        <w:t>úspoře energie</w:t>
      </w:r>
      <w:r>
        <w:rPr>
          <w:color w:val="000000"/>
        </w:rPr>
        <w:t>.</w:t>
      </w:r>
    </w:p>
    <w:p w:rsidR="001B6107" w:rsidRPr="001B6107" w:rsidP="00C806DA" w14:paraId="38686D06" w14:textId="77777777">
      <w:pPr>
        <w:rPr>
          <w:rFonts w:cs="Arial"/>
        </w:rPr>
      </w:pPr>
    </w:p>
    <w:p w:rsidR="00C806DA" w:rsidRPr="00CA0E51" w:rsidP="00C806DA" w14:paraId="49997FFE" w14:textId="77777777">
      <w:pPr>
        <w:pStyle w:val="Heading4"/>
        <w:numPr>
          <w:ilvl w:val="0"/>
          <w:numId w:val="0"/>
        </w:numPr>
        <w:spacing w:before="120" w:after="0"/>
        <w:ind w:left="864" w:hanging="864"/>
        <w:rPr>
          <w:szCs w:val="24"/>
        </w:rPr>
      </w:pPr>
      <w:r w:rsidRPr="00CA0E51">
        <w:rPr>
          <w:b/>
          <w:i/>
          <w:sz w:val="24"/>
          <w:szCs w:val="24"/>
        </w:rPr>
        <w:t>Vyhodnocení nákladů a přínosů variant</w:t>
      </w:r>
    </w:p>
    <w:p w:rsidR="00C806DA" w:rsidRPr="00CA0E51" w:rsidP="00C806DA" w14:paraId="20D00C71" w14:textId="77777777">
      <w:pPr>
        <w:keepNext/>
        <w:spacing w:after="120"/>
        <w:rPr>
          <w:b/>
          <w:spacing w:val="10"/>
          <w:sz w:val="20"/>
          <w:szCs w:val="20"/>
        </w:rPr>
      </w:pPr>
      <w:r w:rsidRPr="00CA0E51">
        <w:rPr>
          <w:b/>
          <w:spacing w:val="10"/>
          <w:sz w:val="20"/>
          <w:szCs w:val="20"/>
        </w:rPr>
        <w:t>Tabulka 42: Porovnání přínosů a nákladů</w:t>
      </w:r>
    </w:p>
    <w:tbl>
      <w:tblPr>
        <w:tblStyle w:val="TableGrid"/>
        <w:tblW w:w="0" w:type="auto"/>
        <w:tblLook w:val="04A0"/>
      </w:tblPr>
      <w:tblGrid>
        <w:gridCol w:w="1256"/>
        <w:gridCol w:w="2461"/>
        <w:gridCol w:w="1296"/>
        <w:gridCol w:w="2799"/>
        <w:gridCol w:w="1250"/>
      </w:tblGrid>
      <w:tr w14:paraId="4F001F7A" w14:textId="77777777" w:rsidTr="00016C5C">
        <w:tblPrEx>
          <w:tblW w:w="0" w:type="auto"/>
          <w:tblLook w:val="04A0"/>
        </w:tblPrEx>
        <w:trPr>
          <w:trHeight w:val="453"/>
        </w:trPr>
        <w:tc>
          <w:tcPr>
            <w:tcW w:w="1257" w:type="dxa"/>
            <w:noWrap/>
            <w:vAlign w:val="center"/>
            <w:hideMark/>
          </w:tcPr>
          <w:p w:rsidR="00CA0E51" w:rsidRPr="00CA0E51" w:rsidP="00C806DA" w14:paraId="687A045E" w14:textId="77777777">
            <w:pPr>
              <w:keepNext/>
              <w:spacing w:before="0" w:after="0"/>
              <w:jc w:val="center"/>
              <w:rPr>
                <w:b/>
                <w:bCs/>
                <w:sz w:val="20"/>
                <w:szCs w:val="20"/>
              </w:rPr>
            </w:pPr>
            <w:r w:rsidRPr="00CA0E51">
              <w:rPr>
                <w:b/>
                <w:bCs/>
                <w:sz w:val="20"/>
                <w:szCs w:val="20"/>
              </w:rPr>
              <w:t>Varianta</w:t>
            </w:r>
          </w:p>
        </w:tc>
        <w:tc>
          <w:tcPr>
            <w:tcW w:w="2461" w:type="dxa"/>
            <w:noWrap/>
            <w:vAlign w:val="center"/>
            <w:hideMark/>
          </w:tcPr>
          <w:p w:rsidR="00CA0E51" w:rsidRPr="00CA0E51" w:rsidP="00C806DA" w14:paraId="11B45358" w14:textId="77777777">
            <w:pPr>
              <w:keepNext/>
              <w:spacing w:before="0" w:after="0"/>
              <w:jc w:val="center"/>
              <w:rPr>
                <w:b/>
                <w:bCs/>
                <w:sz w:val="20"/>
                <w:szCs w:val="20"/>
              </w:rPr>
            </w:pPr>
            <w:r w:rsidRPr="00CA0E51">
              <w:rPr>
                <w:b/>
                <w:bCs/>
                <w:sz w:val="20"/>
                <w:szCs w:val="20"/>
              </w:rPr>
              <w:t>Přínosy</w:t>
            </w:r>
          </w:p>
        </w:tc>
        <w:tc>
          <w:tcPr>
            <w:tcW w:w="1296" w:type="dxa"/>
            <w:noWrap/>
            <w:vAlign w:val="center"/>
            <w:hideMark/>
          </w:tcPr>
          <w:p w:rsidR="00CA0E51" w:rsidRPr="00CA0E51" w:rsidP="00C806DA" w14:paraId="4DEE1C0D" w14:textId="77777777">
            <w:pPr>
              <w:keepNext/>
              <w:spacing w:before="0" w:after="0"/>
              <w:jc w:val="center"/>
              <w:rPr>
                <w:b/>
                <w:bCs/>
                <w:sz w:val="20"/>
                <w:szCs w:val="20"/>
              </w:rPr>
            </w:pPr>
            <w:r w:rsidRPr="00CA0E51">
              <w:rPr>
                <w:b/>
                <w:bCs/>
                <w:sz w:val="20"/>
                <w:szCs w:val="20"/>
              </w:rPr>
              <w:t>Hodnocení</w:t>
            </w:r>
          </w:p>
        </w:tc>
        <w:tc>
          <w:tcPr>
            <w:tcW w:w="2799" w:type="dxa"/>
            <w:noWrap/>
            <w:vAlign w:val="center"/>
            <w:hideMark/>
          </w:tcPr>
          <w:p w:rsidR="00CA0E51" w:rsidRPr="00CA0E51" w:rsidP="00C806DA" w14:paraId="42B70AB2" w14:textId="77777777">
            <w:pPr>
              <w:keepNext/>
              <w:spacing w:before="0" w:after="0"/>
              <w:jc w:val="center"/>
              <w:rPr>
                <w:b/>
                <w:bCs/>
                <w:sz w:val="20"/>
                <w:szCs w:val="20"/>
              </w:rPr>
            </w:pPr>
            <w:r w:rsidRPr="00CA0E51">
              <w:rPr>
                <w:b/>
                <w:bCs/>
                <w:sz w:val="20"/>
                <w:szCs w:val="20"/>
              </w:rPr>
              <w:t>Náklady</w:t>
            </w:r>
          </w:p>
        </w:tc>
        <w:tc>
          <w:tcPr>
            <w:tcW w:w="1249" w:type="dxa"/>
            <w:noWrap/>
            <w:vAlign w:val="center"/>
            <w:hideMark/>
          </w:tcPr>
          <w:p w:rsidR="00CA0E51" w:rsidRPr="00CA0E51" w:rsidP="00C806DA" w14:paraId="03221EB1" w14:textId="77777777">
            <w:pPr>
              <w:keepNext/>
              <w:spacing w:before="0" w:after="0"/>
              <w:jc w:val="center"/>
              <w:rPr>
                <w:b/>
                <w:bCs/>
                <w:sz w:val="20"/>
                <w:szCs w:val="20"/>
              </w:rPr>
            </w:pPr>
            <w:r w:rsidRPr="00CA0E51">
              <w:rPr>
                <w:b/>
                <w:bCs/>
                <w:sz w:val="20"/>
                <w:szCs w:val="20"/>
              </w:rPr>
              <w:t>Hodnocení</w:t>
            </w:r>
          </w:p>
        </w:tc>
      </w:tr>
      <w:tr w14:paraId="5484F01F" w14:textId="77777777" w:rsidTr="00016C5C">
        <w:tblPrEx>
          <w:tblW w:w="0" w:type="auto"/>
          <w:tblLook w:val="04A0"/>
        </w:tblPrEx>
        <w:trPr>
          <w:trHeight w:val="503"/>
        </w:trPr>
        <w:tc>
          <w:tcPr>
            <w:tcW w:w="1257" w:type="dxa"/>
            <w:vMerge w:val="restart"/>
            <w:noWrap/>
            <w:vAlign w:val="center"/>
            <w:hideMark/>
          </w:tcPr>
          <w:p w:rsidR="00CA0E51" w:rsidRPr="00CA0E51" w:rsidP="00C806DA" w14:paraId="52C4677C" w14:textId="77777777">
            <w:pPr>
              <w:keepNext/>
              <w:spacing w:before="0" w:after="0"/>
              <w:jc w:val="center"/>
              <w:rPr>
                <w:b/>
                <w:bCs/>
                <w:sz w:val="20"/>
                <w:szCs w:val="20"/>
              </w:rPr>
            </w:pPr>
            <w:r w:rsidRPr="00CA0E51">
              <w:rPr>
                <w:b/>
                <w:bCs/>
                <w:sz w:val="20"/>
                <w:szCs w:val="20"/>
              </w:rPr>
              <w:t>Varianta 0</w:t>
            </w:r>
          </w:p>
        </w:tc>
        <w:tc>
          <w:tcPr>
            <w:tcW w:w="7805" w:type="dxa"/>
            <w:gridSpan w:val="4"/>
            <w:vAlign w:val="center"/>
            <w:hideMark/>
          </w:tcPr>
          <w:p w:rsidR="00CA0E51" w:rsidRPr="00CA0E51" w:rsidP="00C806DA" w14:paraId="754789F8" w14:textId="77777777">
            <w:pPr>
              <w:keepNext/>
              <w:spacing w:before="0" w:after="0"/>
              <w:jc w:val="center"/>
              <w:rPr>
                <w:b/>
                <w:bCs/>
                <w:sz w:val="20"/>
                <w:szCs w:val="20"/>
              </w:rPr>
            </w:pPr>
            <w:r w:rsidRPr="00CA0E51">
              <w:rPr>
                <w:b/>
                <w:bCs/>
                <w:sz w:val="20"/>
                <w:szCs w:val="20"/>
              </w:rPr>
              <w:t>Státní rozpočet a ostatní veřejné rozpočty</w:t>
            </w:r>
          </w:p>
        </w:tc>
      </w:tr>
      <w:tr w14:paraId="5086311A" w14:textId="77777777" w:rsidTr="00016C5C">
        <w:tblPrEx>
          <w:tblW w:w="0" w:type="auto"/>
          <w:tblLook w:val="04A0"/>
        </w:tblPrEx>
        <w:trPr>
          <w:trHeight w:val="496"/>
        </w:trPr>
        <w:tc>
          <w:tcPr>
            <w:tcW w:w="1257" w:type="dxa"/>
            <w:vMerge/>
            <w:vAlign w:val="center"/>
            <w:hideMark/>
          </w:tcPr>
          <w:p w:rsidR="00C977D4" w:rsidRPr="00CA0E51" w:rsidP="00C977D4" w14:paraId="0AFCA703" w14:textId="77777777">
            <w:pPr>
              <w:spacing w:before="0" w:after="0"/>
              <w:jc w:val="center"/>
              <w:rPr>
                <w:b/>
                <w:bCs/>
                <w:sz w:val="20"/>
                <w:szCs w:val="20"/>
              </w:rPr>
            </w:pPr>
          </w:p>
        </w:tc>
        <w:tc>
          <w:tcPr>
            <w:tcW w:w="2461" w:type="dxa"/>
            <w:vAlign w:val="center"/>
            <w:hideMark/>
          </w:tcPr>
          <w:p w:rsidR="00C977D4" w:rsidRPr="00CA0E51" w:rsidP="00C977D4" w14:paraId="24318E19" w14:textId="1806A57B">
            <w:pPr>
              <w:spacing w:before="0" w:after="0"/>
              <w:jc w:val="center"/>
              <w:rPr>
                <w:sz w:val="20"/>
                <w:szCs w:val="20"/>
              </w:rPr>
            </w:pPr>
            <w:r>
              <w:rPr>
                <w:sz w:val="20"/>
                <w:szCs w:val="20"/>
              </w:rPr>
              <w:t>-</w:t>
            </w:r>
          </w:p>
        </w:tc>
        <w:tc>
          <w:tcPr>
            <w:tcW w:w="1296" w:type="dxa"/>
            <w:vAlign w:val="center"/>
            <w:hideMark/>
          </w:tcPr>
          <w:p w:rsidR="00C977D4" w:rsidRPr="00CA0E51" w:rsidP="00C977D4" w14:paraId="1C252136" w14:textId="5207230B">
            <w:pPr>
              <w:spacing w:before="0" w:after="0"/>
              <w:jc w:val="center"/>
              <w:rPr>
                <w:sz w:val="20"/>
                <w:szCs w:val="20"/>
              </w:rPr>
            </w:pPr>
            <w:r>
              <w:rPr>
                <w:sz w:val="20"/>
                <w:szCs w:val="20"/>
              </w:rPr>
              <w:t>-</w:t>
            </w:r>
          </w:p>
        </w:tc>
        <w:tc>
          <w:tcPr>
            <w:tcW w:w="2799" w:type="dxa"/>
            <w:vAlign w:val="center"/>
          </w:tcPr>
          <w:p w:rsidR="00C977D4" w:rsidRPr="00CA0E51" w:rsidP="00C977D4" w14:paraId="5777DD12" w14:textId="135CBF64">
            <w:pPr>
              <w:spacing w:before="0" w:after="0"/>
              <w:jc w:val="center"/>
              <w:rPr>
                <w:sz w:val="20"/>
                <w:szCs w:val="20"/>
              </w:rPr>
            </w:pPr>
            <w:r>
              <w:rPr>
                <w:sz w:val="20"/>
                <w:szCs w:val="20"/>
              </w:rPr>
              <w:t>Nevymahatelnost zákonných požadavků rozšířené odpovědnosti výrobců EEZ</w:t>
            </w:r>
          </w:p>
        </w:tc>
        <w:tc>
          <w:tcPr>
            <w:tcW w:w="1249" w:type="dxa"/>
            <w:vAlign w:val="center"/>
          </w:tcPr>
          <w:p w:rsidR="00C977D4" w:rsidRPr="00CA0E51" w:rsidP="00C977D4" w14:paraId="2C68EE2E" w14:textId="5FAF8566">
            <w:pPr>
              <w:spacing w:before="0" w:after="0"/>
              <w:jc w:val="center"/>
              <w:rPr>
                <w:sz w:val="20"/>
                <w:szCs w:val="20"/>
              </w:rPr>
            </w:pPr>
            <w:r>
              <w:rPr>
                <w:sz w:val="20"/>
                <w:szCs w:val="20"/>
              </w:rPr>
              <w:t>***</w:t>
            </w:r>
          </w:p>
        </w:tc>
      </w:tr>
      <w:tr w14:paraId="3C433DD6" w14:textId="77777777" w:rsidTr="00016C5C">
        <w:tblPrEx>
          <w:tblW w:w="0" w:type="auto"/>
          <w:tblLook w:val="04A0"/>
        </w:tblPrEx>
        <w:trPr>
          <w:trHeight w:val="503"/>
        </w:trPr>
        <w:tc>
          <w:tcPr>
            <w:tcW w:w="1257" w:type="dxa"/>
            <w:vMerge/>
            <w:vAlign w:val="center"/>
            <w:hideMark/>
          </w:tcPr>
          <w:p w:rsidR="00C977D4" w:rsidRPr="00CA0E51" w:rsidP="00C977D4" w14:paraId="47169CD8" w14:textId="77777777">
            <w:pPr>
              <w:spacing w:before="0" w:after="0"/>
              <w:jc w:val="center"/>
              <w:rPr>
                <w:b/>
                <w:bCs/>
                <w:sz w:val="20"/>
                <w:szCs w:val="20"/>
              </w:rPr>
            </w:pPr>
          </w:p>
        </w:tc>
        <w:tc>
          <w:tcPr>
            <w:tcW w:w="7805" w:type="dxa"/>
            <w:gridSpan w:val="4"/>
            <w:vAlign w:val="center"/>
            <w:hideMark/>
          </w:tcPr>
          <w:p w:rsidR="00C977D4" w:rsidRPr="00CA0E51" w:rsidP="00C977D4" w14:paraId="165B0108" w14:textId="77777777">
            <w:pPr>
              <w:spacing w:before="0" w:after="0"/>
              <w:jc w:val="center"/>
              <w:rPr>
                <w:b/>
                <w:bCs/>
                <w:sz w:val="20"/>
                <w:szCs w:val="20"/>
              </w:rPr>
            </w:pPr>
            <w:r w:rsidRPr="00CA0E51">
              <w:rPr>
                <w:b/>
                <w:bCs/>
                <w:sz w:val="20"/>
                <w:szCs w:val="20"/>
              </w:rPr>
              <w:t>Podnikatelské subjekty</w:t>
            </w:r>
          </w:p>
        </w:tc>
      </w:tr>
      <w:tr w14:paraId="4458CD81" w14:textId="77777777" w:rsidTr="00016C5C">
        <w:tblPrEx>
          <w:tblW w:w="0" w:type="auto"/>
          <w:tblLook w:val="04A0"/>
        </w:tblPrEx>
        <w:trPr>
          <w:trHeight w:val="898"/>
        </w:trPr>
        <w:tc>
          <w:tcPr>
            <w:tcW w:w="1257" w:type="dxa"/>
            <w:vMerge/>
            <w:vAlign w:val="center"/>
            <w:hideMark/>
          </w:tcPr>
          <w:p w:rsidR="00C977D4" w:rsidRPr="00CA0E51" w:rsidP="00C977D4" w14:paraId="7AA821D7" w14:textId="77777777">
            <w:pPr>
              <w:spacing w:before="0" w:after="0"/>
              <w:jc w:val="center"/>
              <w:rPr>
                <w:b/>
                <w:bCs/>
                <w:sz w:val="20"/>
                <w:szCs w:val="20"/>
              </w:rPr>
            </w:pPr>
          </w:p>
        </w:tc>
        <w:tc>
          <w:tcPr>
            <w:tcW w:w="2461" w:type="dxa"/>
            <w:vAlign w:val="center"/>
          </w:tcPr>
          <w:p w:rsidR="00C977D4" w:rsidRPr="00CA0E51" w14:paraId="3DD8ED96" w14:textId="67FB77BE">
            <w:pPr>
              <w:spacing w:before="0" w:after="0"/>
              <w:jc w:val="center"/>
              <w:rPr>
                <w:sz w:val="20"/>
                <w:szCs w:val="20"/>
              </w:rPr>
            </w:pPr>
            <w:r>
              <w:rPr>
                <w:sz w:val="20"/>
                <w:szCs w:val="20"/>
              </w:rPr>
              <w:t>-</w:t>
            </w:r>
          </w:p>
        </w:tc>
        <w:tc>
          <w:tcPr>
            <w:tcW w:w="1296" w:type="dxa"/>
            <w:noWrap/>
            <w:vAlign w:val="center"/>
          </w:tcPr>
          <w:p w:rsidR="00C977D4" w:rsidRPr="00CA0E51" w:rsidP="00C977D4" w14:paraId="461F5E45" w14:textId="352D9056">
            <w:pPr>
              <w:spacing w:before="0" w:after="0"/>
              <w:jc w:val="center"/>
              <w:rPr>
                <w:sz w:val="20"/>
                <w:szCs w:val="20"/>
              </w:rPr>
            </w:pPr>
            <w:r>
              <w:rPr>
                <w:sz w:val="20"/>
                <w:szCs w:val="20"/>
              </w:rPr>
              <w:t>-</w:t>
            </w:r>
          </w:p>
        </w:tc>
        <w:tc>
          <w:tcPr>
            <w:tcW w:w="2799" w:type="dxa"/>
            <w:vAlign w:val="center"/>
            <w:hideMark/>
          </w:tcPr>
          <w:p w:rsidR="00C977D4" w:rsidRPr="006D2DED" w14:paraId="3C70618C" w14:textId="37DBFB1B">
            <w:pPr>
              <w:spacing w:before="0" w:after="0"/>
              <w:jc w:val="center"/>
              <w:rPr>
                <w:sz w:val="20"/>
                <w:szCs w:val="20"/>
              </w:rPr>
            </w:pPr>
            <w:r w:rsidRPr="000E6DE5">
              <w:rPr>
                <w:rFonts w:cs="Arial"/>
                <w:sz w:val="20"/>
                <w:szCs w:val="20"/>
              </w:rPr>
              <w:t>Freeriding pro internetové prodejce EEZ ze zemí mimo EU, zejména ze třetích zemí</w:t>
            </w:r>
          </w:p>
        </w:tc>
        <w:tc>
          <w:tcPr>
            <w:tcW w:w="1249" w:type="dxa"/>
            <w:noWrap/>
            <w:vAlign w:val="center"/>
            <w:hideMark/>
          </w:tcPr>
          <w:p w:rsidR="00C977D4" w:rsidRPr="00CA0E51" w:rsidP="00C977D4" w14:paraId="3E5B0197" w14:textId="36EDD23B">
            <w:pPr>
              <w:spacing w:before="0" w:after="0"/>
              <w:jc w:val="center"/>
              <w:rPr>
                <w:sz w:val="20"/>
                <w:szCs w:val="20"/>
              </w:rPr>
            </w:pPr>
            <w:r w:rsidRPr="00CA0E51">
              <w:rPr>
                <w:sz w:val="20"/>
                <w:szCs w:val="20"/>
              </w:rPr>
              <w:t>*</w:t>
            </w:r>
            <w:r>
              <w:rPr>
                <w:sz w:val="20"/>
                <w:szCs w:val="20"/>
              </w:rPr>
              <w:t>*</w:t>
            </w:r>
            <w:r w:rsidRPr="00CA0E51">
              <w:rPr>
                <w:sz w:val="20"/>
                <w:szCs w:val="20"/>
              </w:rPr>
              <w:t>***</w:t>
            </w:r>
          </w:p>
        </w:tc>
      </w:tr>
      <w:tr w14:paraId="2DD44618" w14:textId="77777777" w:rsidTr="00016C5C">
        <w:tblPrEx>
          <w:tblW w:w="0" w:type="auto"/>
          <w:tblLook w:val="04A0"/>
        </w:tblPrEx>
        <w:trPr>
          <w:trHeight w:val="898"/>
        </w:trPr>
        <w:tc>
          <w:tcPr>
            <w:tcW w:w="1257" w:type="dxa"/>
            <w:vMerge/>
            <w:vAlign w:val="center"/>
          </w:tcPr>
          <w:p w:rsidR="00C977D4" w:rsidRPr="00CA0E51" w:rsidP="00C977D4" w14:paraId="493797DC" w14:textId="77777777">
            <w:pPr>
              <w:spacing w:before="0" w:after="0"/>
              <w:jc w:val="center"/>
              <w:rPr>
                <w:b/>
                <w:bCs/>
                <w:sz w:val="20"/>
                <w:szCs w:val="20"/>
              </w:rPr>
            </w:pPr>
          </w:p>
        </w:tc>
        <w:tc>
          <w:tcPr>
            <w:tcW w:w="2461" w:type="dxa"/>
            <w:vAlign w:val="center"/>
          </w:tcPr>
          <w:p w:rsidR="00C977D4" w:rsidP="00C977D4" w14:paraId="74C9B96C" w14:textId="300704B1">
            <w:pPr>
              <w:spacing w:before="0" w:after="0"/>
              <w:jc w:val="center"/>
              <w:rPr>
                <w:sz w:val="20"/>
                <w:szCs w:val="20"/>
              </w:rPr>
            </w:pPr>
            <w:r>
              <w:rPr>
                <w:sz w:val="20"/>
                <w:szCs w:val="20"/>
              </w:rPr>
              <w:t>-</w:t>
            </w:r>
          </w:p>
        </w:tc>
        <w:tc>
          <w:tcPr>
            <w:tcW w:w="1296" w:type="dxa"/>
            <w:noWrap/>
            <w:vAlign w:val="center"/>
          </w:tcPr>
          <w:p w:rsidR="00C977D4" w:rsidP="00C977D4" w14:paraId="79DB50A7" w14:textId="184BBECA">
            <w:pPr>
              <w:spacing w:before="0" w:after="0"/>
              <w:jc w:val="center"/>
              <w:rPr>
                <w:sz w:val="20"/>
                <w:szCs w:val="20"/>
              </w:rPr>
            </w:pPr>
            <w:r>
              <w:rPr>
                <w:sz w:val="20"/>
                <w:szCs w:val="20"/>
              </w:rPr>
              <w:t>-</w:t>
            </w:r>
          </w:p>
        </w:tc>
        <w:tc>
          <w:tcPr>
            <w:tcW w:w="2799" w:type="dxa"/>
            <w:vAlign w:val="center"/>
          </w:tcPr>
          <w:p w:rsidR="00C977D4" w:rsidRPr="006D2DED" w:rsidP="00C977D4" w14:paraId="6DB21093" w14:textId="4A918DC2">
            <w:pPr>
              <w:spacing w:before="0" w:after="0"/>
              <w:jc w:val="center"/>
              <w:rPr>
                <w:rFonts w:cs="Arial"/>
                <w:sz w:val="20"/>
                <w:szCs w:val="20"/>
              </w:rPr>
            </w:pPr>
            <w:r>
              <w:rPr>
                <w:sz w:val="20"/>
                <w:szCs w:val="20"/>
              </w:rPr>
              <w:t>Výrobci EEZ - náklady na odstranění odpadních EEZ, za které nebyl řádně odveden recyklační příspěvek</w:t>
            </w:r>
          </w:p>
        </w:tc>
        <w:tc>
          <w:tcPr>
            <w:tcW w:w="1249" w:type="dxa"/>
            <w:noWrap/>
            <w:vAlign w:val="center"/>
          </w:tcPr>
          <w:p w:rsidR="00C977D4" w:rsidRPr="00CA0E51" w:rsidP="00C977D4" w14:paraId="6332C59F" w14:textId="4CF82DA2">
            <w:pPr>
              <w:spacing w:before="0" w:after="0"/>
              <w:jc w:val="center"/>
              <w:rPr>
                <w:sz w:val="20"/>
                <w:szCs w:val="20"/>
              </w:rPr>
            </w:pPr>
            <w:r>
              <w:rPr>
                <w:sz w:val="20"/>
                <w:szCs w:val="20"/>
              </w:rPr>
              <w:t>***</w:t>
            </w:r>
          </w:p>
        </w:tc>
      </w:tr>
      <w:tr w14:paraId="25729AD6" w14:textId="77777777" w:rsidTr="00016C5C">
        <w:tblPrEx>
          <w:tblW w:w="0" w:type="auto"/>
          <w:tblLook w:val="04A0"/>
        </w:tblPrEx>
        <w:trPr>
          <w:trHeight w:val="423"/>
        </w:trPr>
        <w:tc>
          <w:tcPr>
            <w:tcW w:w="1257" w:type="dxa"/>
            <w:vMerge/>
            <w:vAlign w:val="center"/>
          </w:tcPr>
          <w:p w:rsidR="00C977D4" w:rsidRPr="00CA0E51" w:rsidP="00C977D4" w14:paraId="1DD0AAED" w14:textId="77777777">
            <w:pPr>
              <w:spacing w:before="0" w:after="0"/>
              <w:jc w:val="center"/>
              <w:rPr>
                <w:b/>
                <w:bCs/>
                <w:sz w:val="20"/>
                <w:szCs w:val="20"/>
              </w:rPr>
            </w:pPr>
          </w:p>
        </w:tc>
        <w:tc>
          <w:tcPr>
            <w:tcW w:w="7805" w:type="dxa"/>
            <w:gridSpan w:val="4"/>
            <w:vAlign w:val="center"/>
          </w:tcPr>
          <w:p w:rsidR="00C977D4" w:rsidRPr="00CA0E51" w:rsidP="00C977D4" w14:paraId="7397E67F" w14:textId="77777777">
            <w:pPr>
              <w:spacing w:before="0" w:after="0"/>
              <w:jc w:val="center"/>
              <w:rPr>
                <w:sz w:val="20"/>
                <w:szCs w:val="20"/>
              </w:rPr>
            </w:pPr>
            <w:r w:rsidRPr="00CA0E51">
              <w:rPr>
                <w:b/>
                <w:bCs/>
                <w:sz w:val="20"/>
                <w:szCs w:val="20"/>
              </w:rPr>
              <w:t>Územní samosprávné celky (obce, kraje)</w:t>
            </w:r>
          </w:p>
        </w:tc>
      </w:tr>
      <w:tr w14:paraId="75FF8307" w14:textId="77777777" w:rsidTr="00016C5C">
        <w:tblPrEx>
          <w:tblW w:w="0" w:type="auto"/>
          <w:tblLook w:val="04A0"/>
        </w:tblPrEx>
        <w:trPr>
          <w:trHeight w:val="415"/>
        </w:trPr>
        <w:tc>
          <w:tcPr>
            <w:tcW w:w="1257" w:type="dxa"/>
            <w:vMerge/>
            <w:vAlign w:val="center"/>
          </w:tcPr>
          <w:p w:rsidR="00C977D4" w:rsidRPr="00CA0E51" w:rsidP="00C977D4" w14:paraId="38AAD198" w14:textId="77777777">
            <w:pPr>
              <w:spacing w:before="0" w:after="0"/>
              <w:jc w:val="center"/>
              <w:rPr>
                <w:b/>
                <w:bCs/>
                <w:sz w:val="20"/>
                <w:szCs w:val="20"/>
              </w:rPr>
            </w:pPr>
          </w:p>
        </w:tc>
        <w:tc>
          <w:tcPr>
            <w:tcW w:w="2461" w:type="dxa"/>
            <w:vAlign w:val="center"/>
          </w:tcPr>
          <w:p w:rsidR="00C977D4" w:rsidRPr="00CA0E51" w:rsidP="00C977D4" w14:paraId="48BC595B" w14:textId="77777777">
            <w:pPr>
              <w:spacing w:before="0" w:after="0"/>
              <w:jc w:val="center"/>
              <w:rPr>
                <w:sz w:val="20"/>
                <w:szCs w:val="20"/>
              </w:rPr>
            </w:pPr>
            <w:r w:rsidRPr="00CA0E51">
              <w:rPr>
                <w:sz w:val="20"/>
                <w:szCs w:val="20"/>
              </w:rPr>
              <w:t>-</w:t>
            </w:r>
          </w:p>
        </w:tc>
        <w:tc>
          <w:tcPr>
            <w:tcW w:w="1296" w:type="dxa"/>
            <w:noWrap/>
            <w:vAlign w:val="center"/>
          </w:tcPr>
          <w:p w:rsidR="00C977D4" w:rsidRPr="00CA0E51" w:rsidP="00C977D4" w14:paraId="7CBCD710" w14:textId="77777777">
            <w:pPr>
              <w:spacing w:before="0" w:after="0"/>
              <w:jc w:val="center"/>
              <w:rPr>
                <w:sz w:val="20"/>
                <w:szCs w:val="20"/>
              </w:rPr>
            </w:pPr>
            <w:r w:rsidRPr="00CA0E51">
              <w:rPr>
                <w:sz w:val="20"/>
                <w:szCs w:val="20"/>
              </w:rPr>
              <w:t>-</w:t>
            </w:r>
          </w:p>
        </w:tc>
        <w:tc>
          <w:tcPr>
            <w:tcW w:w="2799" w:type="dxa"/>
            <w:vAlign w:val="center"/>
          </w:tcPr>
          <w:p w:rsidR="00C977D4" w:rsidRPr="00CA0E51" w:rsidP="00C977D4" w14:paraId="73938D4D" w14:textId="77777777">
            <w:pPr>
              <w:spacing w:before="0" w:after="0"/>
              <w:jc w:val="center"/>
              <w:rPr>
                <w:sz w:val="20"/>
                <w:szCs w:val="20"/>
              </w:rPr>
            </w:pPr>
            <w:r w:rsidRPr="00CA0E51">
              <w:rPr>
                <w:sz w:val="20"/>
                <w:szCs w:val="20"/>
              </w:rPr>
              <w:t>-</w:t>
            </w:r>
          </w:p>
        </w:tc>
        <w:tc>
          <w:tcPr>
            <w:tcW w:w="1249" w:type="dxa"/>
            <w:noWrap/>
            <w:vAlign w:val="center"/>
          </w:tcPr>
          <w:p w:rsidR="00C977D4" w:rsidRPr="00CA0E51" w:rsidP="00C977D4" w14:paraId="7EA0B2FD" w14:textId="77777777">
            <w:pPr>
              <w:spacing w:before="0" w:after="0"/>
              <w:jc w:val="center"/>
              <w:rPr>
                <w:sz w:val="20"/>
                <w:szCs w:val="20"/>
              </w:rPr>
            </w:pPr>
            <w:r w:rsidRPr="00CA0E51">
              <w:rPr>
                <w:sz w:val="20"/>
                <w:szCs w:val="20"/>
              </w:rPr>
              <w:t>-</w:t>
            </w:r>
          </w:p>
        </w:tc>
      </w:tr>
      <w:tr w14:paraId="1F06CF57" w14:textId="77777777" w:rsidTr="00016C5C">
        <w:tblPrEx>
          <w:tblW w:w="0" w:type="auto"/>
          <w:tblLook w:val="04A0"/>
        </w:tblPrEx>
        <w:trPr>
          <w:trHeight w:val="421"/>
        </w:trPr>
        <w:tc>
          <w:tcPr>
            <w:tcW w:w="1257" w:type="dxa"/>
            <w:vMerge/>
            <w:vAlign w:val="center"/>
          </w:tcPr>
          <w:p w:rsidR="00C977D4" w:rsidRPr="00CA0E51" w:rsidP="00C977D4" w14:paraId="66528BC4" w14:textId="77777777">
            <w:pPr>
              <w:spacing w:before="0" w:after="0"/>
              <w:jc w:val="center"/>
              <w:rPr>
                <w:b/>
                <w:bCs/>
                <w:sz w:val="20"/>
                <w:szCs w:val="20"/>
              </w:rPr>
            </w:pPr>
          </w:p>
        </w:tc>
        <w:tc>
          <w:tcPr>
            <w:tcW w:w="7805" w:type="dxa"/>
            <w:gridSpan w:val="4"/>
            <w:vAlign w:val="center"/>
          </w:tcPr>
          <w:p w:rsidR="00C977D4" w:rsidRPr="00CA0E51" w:rsidP="00C977D4" w14:paraId="3E1AA3B3" w14:textId="77777777">
            <w:pPr>
              <w:spacing w:before="0" w:after="0"/>
              <w:jc w:val="center"/>
              <w:rPr>
                <w:sz w:val="20"/>
                <w:szCs w:val="20"/>
              </w:rPr>
            </w:pPr>
            <w:r w:rsidRPr="00CA0E51">
              <w:rPr>
                <w:b/>
                <w:bCs/>
                <w:sz w:val="20"/>
                <w:szCs w:val="20"/>
              </w:rPr>
              <w:t>Sociální dopady</w:t>
            </w:r>
          </w:p>
        </w:tc>
      </w:tr>
      <w:tr w14:paraId="2C0B4BB0" w14:textId="77777777" w:rsidTr="00016C5C">
        <w:tblPrEx>
          <w:tblW w:w="0" w:type="auto"/>
          <w:tblLook w:val="04A0"/>
        </w:tblPrEx>
        <w:trPr>
          <w:trHeight w:val="412"/>
        </w:trPr>
        <w:tc>
          <w:tcPr>
            <w:tcW w:w="1257" w:type="dxa"/>
            <w:vMerge/>
            <w:vAlign w:val="center"/>
          </w:tcPr>
          <w:p w:rsidR="00C977D4" w:rsidRPr="00CA0E51" w:rsidP="00C977D4" w14:paraId="634CF0C1" w14:textId="77777777">
            <w:pPr>
              <w:spacing w:before="0" w:after="0"/>
              <w:jc w:val="center"/>
              <w:rPr>
                <w:b/>
                <w:bCs/>
                <w:sz w:val="20"/>
                <w:szCs w:val="20"/>
              </w:rPr>
            </w:pPr>
          </w:p>
        </w:tc>
        <w:tc>
          <w:tcPr>
            <w:tcW w:w="2461" w:type="dxa"/>
            <w:vAlign w:val="center"/>
          </w:tcPr>
          <w:p w:rsidR="00C977D4" w:rsidRPr="00CA0E51" w:rsidP="00C977D4" w14:paraId="03A14762" w14:textId="77777777">
            <w:pPr>
              <w:spacing w:before="0" w:after="0"/>
              <w:jc w:val="center"/>
              <w:rPr>
                <w:sz w:val="20"/>
                <w:szCs w:val="20"/>
              </w:rPr>
            </w:pPr>
            <w:r w:rsidRPr="00CA0E51">
              <w:rPr>
                <w:sz w:val="20"/>
                <w:szCs w:val="20"/>
              </w:rPr>
              <w:t>-</w:t>
            </w:r>
          </w:p>
        </w:tc>
        <w:tc>
          <w:tcPr>
            <w:tcW w:w="1296" w:type="dxa"/>
            <w:noWrap/>
            <w:vAlign w:val="center"/>
          </w:tcPr>
          <w:p w:rsidR="00C977D4" w:rsidRPr="00CA0E51" w:rsidP="00C977D4" w14:paraId="5D3C25D5" w14:textId="77777777">
            <w:pPr>
              <w:spacing w:before="0" w:after="0"/>
              <w:jc w:val="center"/>
              <w:rPr>
                <w:sz w:val="20"/>
                <w:szCs w:val="20"/>
              </w:rPr>
            </w:pPr>
            <w:r w:rsidRPr="00CA0E51">
              <w:rPr>
                <w:sz w:val="20"/>
                <w:szCs w:val="20"/>
              </w:rPr>
              <w:t>-</w:t>
            </w:r>
          </w:p>
        </w:tc>
        <w:tc>
          <w:tcPr>
            <w:tcW w:w="2799" w:type="dxa"/>
            <w:vAlign w:val="center"/>
          </w:tcPr>
          <w:p w:rsidR="00C977D4" w:rsidRPr="00CA0E51" w:rsidP="00C977D4" w14:paraId="67845529" w14:textId="77777777">
            <w:pPr>
              <w:spacing w:before="0" w:after="0"/>
              <w:jc w:val="center"/>
              <w:rPr>
                <w:sz w:val="20"/>
                <w:szCs w:val="20"/>
              </w:rPr>
            </w:pPr>
            <w:r w:rsidRPr="00CA0E51">
              <w:rPr>
                <w:sz w:val="20"/>
                <w:szCs w:val="20"/>
              </w:rPr>
              <w:t>-</w:t>
            </w:r>
          </w:p>
        </w:tc>
        <w:tc>
          <w:tcPr>
            <w:tcW w:w="1249" w:type="dxa"/>
            <w:noWrap/>
            <w:vAlign w:val="center"/>
          </w:tcPr>
          <w:p w:rsidR="00C977D4" w:rsidRPr="00CA0E51" w:rsidP="00C977D4" w14:paraId="5AC3FE9A" w14:textId="77777777">
            <w:pPr>
              <w:spacing w:before="0" w:after="0"/>
              <w:jc w:val="center"/>
              <w:rPr>
                <w:sz w:val="20"/>
                <w:szCs w:val="20"/>
              </w:rPr>
            </w:pPr>
            <w:r w:rsidRPr="00CA0E51">
              <w:rPr>
                <w:sz w:val="20"/>
                <w:szCs w:val="20"/>
              </w:rPr>
              <w:t>-</w:t>
            </w:r>
          </w:p>
        </w:tc>
      </w:tr>
      <w:tr w14:paraId="0F5BD382" w14:textId="77777777" w:rsidTr="00016C5C">
        <w:tblPrEx>
          <w:tblW w:w="0" w:type="auto"/>
          <w:tblLook w:val="04A0"/>
        </w:tblPrEx>
        <w:trPr>
          <w:trHeight w:val="503"/>
        </w:trPr>
        <w:tc>
          <w:tcPr>
            <w:tcW w:w="1257" w:type="dxa"/>
            <w:vMerge/>
            <w:vAlign w:val="center"/>
            <w:hideMark/>
          </w:tcPr>
          <w:p w:rsidR="00C977D4" w:rsidRPr="00CA0E51" w:rsidP="00C977D4" w14:paraId="48636E70" w14:textId="77777777">
            <w:pPr>
              <w:spacing w:before="0" w:after="0"/>
              <w:jc w:val="center"/>
              <w:rPr>
                <w:b/>
                <w:bCs/>
                <w:sz w:val="20"/>
                <w:szCs w:val="20"/>
              </w:rPr>
            </w:pPr>
          </w:p>
        </w:tc>
        <w:tc>
          <w:tcPr>
            <w:tcW w:w="7805" w:type="dxa"/>
            <w:gridSpan w:val="4"/>
            <w:vAlign w:val="center"/>
            <w:hideMark/>
          </w:tcPr>
          <w:p w:rsidR="00C977D4" w:rsidRPr="00CA0E51" w:rsidP="00C977D4" w14:paraId="299D3736" w14:textId="77777777">
            <w:pPr>
              <w:spacing w:before="0" w:after="0"/>
              <w:jc w:val="center"/>
              <w:rPr>
                <w:b/>
                <w:bCs/>
                <w:sz w:val="20"/>
                <w:szCs w:val="20"/>
              </w:rPr>
            </w:pPr>
            <w:r w:rsidRPr="00CA0E51">
              <w:rPr>
                <w:b/>
                <w:bCs/>
                <w:sz w:val="20"/>
                <w:szCs w:val="20"/>
              </w:rPr>
              <w:t>Životní prostředí</w:t>
            </w:r>
          </w:p>
        </w:tc>
      </w:tr>
      <w:tr w14:paraId="4E8EBE9C" w14:textId="77777777" w:rsidTr="00016C5C">
        <w:tblPrEx>
          <w:tblW w:w="0" w:type="auto"/>
          <w:tblLook w:val="04A0"/>
        </w:tblPrEx>
        <w:trPr>
          <w:trHeight w:val="616"/>
        </w:trPr>
        <w:tc>
          <w:tcPr>
            <w:tcW w:w="1257" w:type="dxa"/>
            <w:vMerge/>
            <w:vAlign w:val="center"/>
            <w:hideMark/>
          </w:tcPr>
          <w:p w:rsidR="00C977D4" w:rsidRPr="00CA0E51" w:rsidP="00C977D4" w14:paraId="50CDE13E" w14:textId="77777777">
            <w:pPr>
              <w:spacing w:before="0" w:after="0"/>
              <w:jc w:val="center"/>
              <w:rPr>
                <w:b/>
                <w:bCs/>
                <w:sz w:val="20"/>
                <w:szCs w:val="20"/>
              </w:rPr>
            </w:pPr>
          </w:p>
        </w:tc>
        <w:tc>
          <w:tcPr>
            <w:tcW w:w="2461" w:type="dxa"/>
            <w:vAlign w:val="center"/>
            <w:hideMark/>
          </w:tcPr>
          <w:p w:rsidR="00C977D4" w:rsidRPr="00CA0E51" w:rsidP="00C977D4" w14:paraId="09DEEE5E" w14:textId="3FBA4001">
            <w:pPr>
              <w:spacing w:before="0" w:after="0"/>
              <w:jc w:val="center"/>
              <w:rPr>
                <w:sz w:val="20"/>
                <w:szCs w:val="20"/>
              </w:rPr>
            </w:pPr>
            <w:r>
              <w:rPr>
                <w:sz w:val="20"/>
                <w:szCs w:val="20"/>
              </w:rPr>
              <w:t>-</w:t>
            </w:r>
          </w:p>
        </w:tc>
        <w:tc>
          <w:tcPr>
            <w:tcW w:w="1296" w:type="dxa"/>
            <w:vAlign w:val="center"/>
            <w:hideMark/>
          </w:tcPr>
          <w:p w:rsidR="00C977D4" w:rsidRPr="00CA0E51" w:rsidP="00C977D4" w14:paraId="486B4757" w14:textId="67363EC7">
            <w:pPr>
              <w:spacing w:before="0" w:after="0"/>
              <w:jc w:val="center"/>
              <w:rPr>
                <w:sz w:val="20"/>
                <w:szCs w:val="20"/>
              </w:rPr>
            </w:pPr>
            <w:r>
              <w:rPr>
                <w:sz w:val="20"/>
                <w:szCs w:val="20"/>
              </w:rPr>
              <w:t>-</w:t>
            </w:r>
          </w:p>
        </w:tc>
        <w:tc>
          <w:tcPr>
            <w:tcW w:w="2799" w:type="dxa"/>
            <w:vAlign w:val="center"/>
            <w:hideMark/>
          </w:tcPr>
          <w:p w:rsidR="00C977D4" w:rsidRPr="00CA0E51" w14:paraId="569CC17A" w14:textId="20EE6B78">
            <w:pPr>
              <w:spacing w:before="0" w:after="0"/>
              <w:jc w:val="center"/>
              <w:rPr>
                <w:sz w:val="20"/>
                <w:szCs w:val="20"/>
              </w:rPr>
            </w:pPr>
            <w:r>
              <w:rPr>
                <w:rFonts w:cs="Arial"/>
                <w:sz w:val="20"/>
                <w:szCs w:val="20"/>
              </w:rPr>
              <w:t>P</w:t>
            </w:r>
            <w:r w:rsidRPr="000E6DE5">
              <w:rPr>
                <w:rFonts w:cs="Arial"/>
                <w:sz w:val="20"/>
                <w:szCs w:val="20"/>
              </w:rPr>
              <w:t>ři nesprávném nakládání s </w:t>
            </w:r>
            <w:r>
              <w:rPr>
                <w:rFonts w:cs="Arial"/>
                <w:sz w:val="20"/>
                <w:szCs w:val="20"/>
              </w:rPr>
              <w:t>O</w:t>
            </w:r>
            <w:r w:rsidRPr="000E6DE5">
              <w:rPr>
                <w:rFonts w:cs="Arial"/>
                <w:sz w:val="20"/>
                <w:szCs w:val="20"/>
              </w:rPr>
              <w:t>EEZ r</w:t>
            </w:r>
            <w:r w:rsidRPr="00963FAF">
              <w:rPr>
                <w:rFonts w:cs="Arial"/>
                <w:sz w:val="20"/>
                <w:szCs w:val="20"/>
              </w:rPr>
              <w:t xml:space="preserve">iziko </w:t>
            </w:r>
            <w:r w:rsidRPr="000E6DE5">
              <w:rPr>
                <w:rFonts w:cs="Arial"/>
                <w:sz w:val="20"/>
                <w:szCs w:val="20"/>
              </w:rPr>
              <w:t>kontaminace ŽP  nebezpečnými látkami obsaženými v EEZ</w:t>
            </w:r>
          </w:p>
        </w:tc>
        <w:tc>
          <w:tcPr>
            <w:tcW w:w="1249" w:type="dxa"/>
            <w:vAlign w:val="center"/>
            <w:hideMark/>
          </w:tcPr>
          <w:p w:rsidR="00C977D4" w:rsidRPr="00CA0E51" w:rsidP="00C977D4" w14:paraId="56B73C3C" w14:textId="3848BE3D">
            <w:pPr>
              <w:spacing w:before="0" w:after="0"/>
              <w:jc w:val="center"/>
              <w:rPr>
                <w:sz w:val="20"/>
                <w:szCs w:val="20"/>
              </w:rPr>
            </w:pPr>
            <w:r w:rsidRPr="00CA0E51">
              <w:rPr>
                <w:sz w:val="20"/>
                <w:szCs w:val="20"/>
              </w:rPr>
              <w:t>**</w:t>
            </w:r>
            <w:r>
              <w:rPr>
                <w:sz w:val="20"/>
                <w:szCs w:val="20"/>
              </w:rPr>
              <w:t>*</w:t>
            </w:r>
          </w:p>
        </w:tc>
      </w:tr>
      <w:tr w14:paraId="06AD589D" w14:textId="77777777" w:rsidTr="00016C5C">
        <w:tblPrEx>
          <w:tblW w:w="0" w:type="auto"/>
          <w:tblLook w:val="04A0"/>
        </w:tblPrEx>
        <w:trPr>
          <w:trHeight w:val="568"/>
        </w:trPr>
        <w:tc>
          <w:tcPr>
            <w:tcW w:w="1257" w:type="dxa"/>
            <w:vMerge w:val="restart"/>
            <w:noWrap/>
            <w:vAlign w:val="center"/>
            <w:hideMark/>
          </w:tcPr>
          <w:p w:rsidR="00C977D4" w:rsidRPr="00CA0E51" w:rsidP="00C977D4" w14:paraId="55334754" w14:textId="77777777">
            <w:pPr>
              <w:spacing w:before="0" w:after="0"/>
              <w:jc w:val="center"/>
              <w:rPr>
                <w:b/>
                <w:bCs/>
                <w:sz w:val="20"/>
                <w:szCs w:val="20"/>
              </w:rPr>
            </w:pPr>
            <w:r w:rsidRPr="00CA0E51">
              <w:rPr>
                <w:b/>
                <w:bCs/>
                <w:sz w:val="20"/>
                <w:szCs w:val="20"/>
              </w:rPr>
              <w:t>Varianta 1</w:t>
            </w:r>
          </w:p>
        </w:tc>
        <w:tc>
          <w:tcPr>
            <w:tcW w:w="7805" w:type="dxa"/>
            <w:gridSpan w:val="4"/>
            <w:vAlign w:val="center"/>
            <w:hideMark/>
          </w:tcPr>
          <w:p w:rsidR="00C977D4" w:rsidRPr="00CA0E51" w:rsidP="00C977D4" w14:paraId="75778EC7" w14:textId="77777777">
            <w:pPr>
              <w:spacing w:before="0" w:after="0"/>
              <w:jc w:val="center"/>
              <w:rPr>
                <w:b/>
                <w:bCs/>
                <w:sz w:val="20"/>
                <w:szCs w:val="20"/>
              </w:rPr>
            </w:pPr>
            <w:r w:rsidRPr="00CA0E51">
              <w:rPr>
                <w:b/>
                <w:bCs/>
                <w:sz w:val="20"/>
                <w:szCs w:val="20"/>
              </w:rPr>
              <w:t>Státní rozpočet a ostatní veřejné rozpočty</w:t>
            </w:r>
          </w:p>
        </w:tc>
      </w:tr>
      <w:tr w14:paraId="52027D48" w14:textId="77777777" w:rsidTr="00016C5C">
        <w:tblPrEx>
          <w:tblW w:w="0" w:type="auto"/>
          <w:tblLook w:val="04A0"/>
        </w:tblPrEx>
        <w:trPr>
          <w:trHeight w:val="419"/>
        </w:trPr>
        <w:tc>
          <w:tcPr>
            <w:tcW w:w="1257" w:type="dxa"/>
            <w:vMerge/>
            <w:vAlign w:val="center"/>
            <w:hideMark/>
          </w:tcPr>
          <w:p w:rsidR="00C977D4" w:rsidRPr="00CA0E51" w:rsidP="00C977D4" w14:paraId="432D3D4D" w14:textId="77777777">
            <w:pPr>
              <w:spacing w:before="0" w:after="0"/>
              <w:jc w:val="center"/>
              <w:rPr>
                <w:b/>
                <w:bCs/>
                <w:sz w:val="20"/>
                <w:szCs w:val="20"/>
              </w:rPr>
            </w:pPr>
          </w:p>
        </w:tc>
        <w:tc>
          <w:tcPr>
            <w:tcW w:w="2461" w:type="dxa"/>
            <w:vAlign w:val="center"/>
          </w:tcPr>
          <w:p w:rsidR="00C977D4" w:rsidRPr="00CA0E51" w:rsidP="00C977D4" w14:paraId="38F47CFC" w14:textId="75A433C2">
            <w:pPr>
              <w:spacing w:before="0" w:after="0"/>
              <w:jc w:val="center"/>
              <w:rPr>
                <w:sz w:val="20"/>
                <w:szCs w:val="20"/>
              </w:rPr>
            </w:pPr>
            <w:r>
              <w:rPr>
                <w:sz w:val="20"/>
                <w:szCs w:val="20"/>
              </w:rPr>
              <w:t>Vymahatelnost zákonných požadavků rozšířené odpovědnosti výrobců EEZ</w:t>
            </w:r>
          </w:p>
        </w:tc>
        <w:tc>
          <w:tcPr>
            <w:tcW w:w="1296" w:type="dxa"/>
            <w:vAlign w:val="center"/>
          </w:tcPr>
          <w:p w:rsidR="00C977D4" w:rsidRPr="00CA0E51" w:rsidP="00C977D4" w14:paraId="166BAD5C" w14:textId="59BA7BE5">
            <w:pPr>
              <w:spacing w:before="0" w:after="0"/>
              <w:jc w:val="center"/>
              <w:rPr>
                <w:sz w:val="20"/>
                <w:szCs w:val="20"/>
              </w:rPr>
            </w:pPr>
            <w:r>
              <w:rPr>
                <w:sz w:val="20"/>
                <w:szCs w:val="20"/>
              </w:rPr>
              <w:t>***</w:t>
            </w:r>
          </w:p>
        </w:tc>
        <w:tc>
          <w:tcPr>
            <w:tcW w:w="2799" w:type="dxa"/>
            <w:vAlign w:val="center"/>
          </w:tcPr>
          <w:p w:rsidR="00C977D4" w:rsidRPr="00CA0E51" w14:paraId="3BE665C8" w14:textId="6CC62606">
            <w:pPr>
              <w:spacing w:before="0" w:after="0"/>
              <w:jc w:val="center"/>
              <w:rPr>
                <w:sz w:val="20"/>
                <w:szCs w:val="20"/>
              </w:rPr>
            </w:pPr>
            <w:r w:rsidRPr="000E6DE5">
              <w:rPr>
                <w:sz w:val="20"/>
                <w:szCs w:val="20"/>
              </w:rPr>
              <w:t>MŽP - vydávání Seznamu nepovolených internetových obchodů</w:t>
            </w:r>
            <w:r>
              <w:rPr>
                <w:sz w:val="20"/>
                <w:szCs w:val="20"/>
              </w:rPr>
              <w:t xml:space="preserve"> EEZ</w:t>
            </w:r>
          </w:p>
        </w:tc>
        <w:tc>
          <w:tcPr>
            <w:tcW w:w="1249" w:type="dxa"/>
            <w:vAlign w:val="center"/>
          </w:tcPr>
          <w:p w:rsidR="00C977D4" w:rsidRPr="00CA0E51" w14:paraId="10DB8ED0" w14:textId="6A58D3E7">
            <w:pPr>
              <w:spacing w:before="0" w:after="0"/>
              <w:jc w:val="center"/>
              <w:rPr>
                <w:sz w:val="20"/>
                <w:szCs w:val="20"/>
              </w:rPr>
            </w:pPr>
            <w:r>
              <w:rPr>
                <w:sz w:val="20"/>
                <w:szCs w:val="20"/>
              </w:rPr>
              <w:t>*</w:t>
            </w:r>
          </w:p>
        </w:tc>
      </w:tr>
      <w:tr w14:paraId="00C96C9B" w14:textId="77777777" w:rsidTr="00016C5C">
        <w:tblPrEx>
          <w:tblW w:w="0" w:type="auto"/>
          <w:tblLook w:val="04A0"/>
        </w:tblPrEx>
        <w:trPr>
          <w:trHeight w:val="503"/>
        </w:trPr>
        <w:tc>
          <w:tcPr>
            <w:tcW w:w="1257" w:type="dxa"/>
            <w:vMerge/>
            <w:vAlign w:val="center"/>
            <w:hideMark/>
          </w:tcPr>
          <w:p w:rsidR="00C977D4" w:rsidRPr="00CA0E51" w:rsidP="00C977D4" w14:paraId="448D0414" w14:textId="77777777">
            <w:pPr>
              <w:spacing w:before="0" w:after="0"/>
              <w:jc w:val="center"/>
              <w:rPr>
                <w:b/>
                <w:bCs/>
                <w:sz w:val="20"/>
                <w:szCs w:val="20"/>
              </w:rPr>
            </w:pPr>
          </w:p>
        </w:tc>
        <w:tc>
          <w:tcPr>
            <w:tcW w:w="7805" w:type="dxa"/>
            <w:gridSpan w:val="4"/>
            <w:vAlign w:val="center"/>
            <w:hideMark/>
          </w:tcPr>
          <w:p w:rsidR="00C977D4" w:rsidRPr="00CA0E51" w:rsidP="00C977D4" w14:paraId="35B1CB1A" w14:textId="77777777">
            <w:pPr>
              <w:spacing w:before="0" w:after="0"/>
              <w:jc w:val="center"/>
              <w:rPr>
                <w:b/>
                <w:bCs/>
                <w:sz w:val="20"/>
                <w:szCs w:val="20"/>
              </w:rPr>
            </w:pPr>
            <w:r w:rsidRPr="00CA0E51">
              <w:rPr>
                <w:b/>
                <w:bCs/>
                <w:sz w:val="20"/>
                <w:szCs w:val="20"/>
              </w:rPr>
              <w:t>Podnikatelské subjekty</w:t>
            </w:r>
          </w:p>
        </w:tc>
      </w:tr>
      <w:tr w14:paraId="319D7501" w14:textId="77777777" w:rsidTr="00016C5C">
        <w:tblPrEx>
          <w:tblW w:w="0" w:type="auto"/>
          <w:tblLook w:val="04A0"/>
        </w:tblPrEx>
        <w:trPr>
          <w:trHeight w:val="1133"/>
        </w:trPr>
        <w:tc>
          <w:tcPr>
            <w:tcW w:w="1257" w:type="dxa"/>
            <w:vMerge/>
            <w:vAlign w:val="center"/>
            <w:hideMark/>
          </w:tcPr>
          <w:p w:rsidR="00C977D4" w:rsidRPr="00CA0E51" w:rsidP="00C977D4" w14:paraId="4A5826B6" w14:textId="77777777">
            <w:pPr>
              <w:spacing w:before="0" w:after="0"/>
              <w:jc w:val="center"/>
              <w:rPr>
                <w:b/>
                <w:bCs/>
                <w:sz w:val="20"/>
                <w:szCs w:val="20"/>
              </w:rPr>
            </w:pPr>
          </w:p>
        </w:tc>
        <w:tc>
          <w:tcPr>
            <w:tcW w:w="2461" w:type="dxa"/>
            <w:vAlign w:val="center"/>
          </w:tcPr>
          <w:p w:rsidR="00C977D4" w:rsidRPr="00CA0E51" w14:paraId="3C96D6A3" w14:textId="2245C4AC">
            <w:pPr>
              <w:spacing w:before="0" w:after="0"/>
              <w:jc w:val="center"/>
              <w:rPr>
                <w:sz w:val="20"/>
                <w:szCs w:val="20"/>
              </w:rPr>
            </w:pPr>
            <w:r>
              <w:rPr>
                <w:sz w:val="20"/>
                <w:szCs w:val="20"/>
              </w:rPr>
              <w:t xml:space="preserve">Zamezení freeridingu </w:t>
            </w:r>
            <w:r w:rsidRPr="003F0645">
              <w:rPr>
                <w:rFonts w:cs="Arial"/>
                <w:sz w:val="20"/>
                <w:szCs w:val="20"/>
              </w:rPr>
              <w:t>pro internetové prodejce EEZ ze zemí mimo EU, zejména ze třetích zemí</w:t>
            </w:r>
          </w:p>
        </w:tc>
        <w:tc>
          <w:tcPr>
            <w:tcW w:w="1296" w:type="dxa"/>
            <w:noWrap/>
            <w:vAlign w:val="center"/>
          </w:tcPr>
          <w:p w:rsidR="00C977D4" w:rsidRPr="00CA0E51" w:rsidP="00C977D4" w14:paraId="01B5086E" w14:textId="6996ADA8">
            <w:pPr>
              <w:spacing w:before="0" w:after="0"/>
              <w:jc w:val="center"/>
              <w:rPr>
                <w:sz w:val="20"/>
                <w:szCs w:val="20"/>
              </w:rPr>
            </w:pPr>
            <w:r w:rsidRPr="00CA0E51">
              <w:rPr>
                <w:sz w:val="20"/>
                <w:szCs w:val="20"/>
              </w:rPr>
              <w:t>****</w:t>
            </w:r>
            <w:r>
              <w:rPr>
                <w:sz w:val="20"/>
                <w:szCs w:val="20"/>
              </w:rPr>
              <w:t>*</w:t>
            </w:r>
          </w:p>
        </w:tc>
        <w:tc>
          <w:tcPr>
            <w:tcW w:w="2799" w:type="dxa"/>
            <w:vAlign w:val="center"/>
          </w:tcPr>
          <w:p w:rsidR="00C977D4" w:rsidRPr="00CA0E51" w:rsidP="00C977D4" w14:paraId="191115F1" w14:textId="05AD0E24">
            <w:pPr>
              <w:spacing w:before="0" w:after="0"/>
              <w:jc w:val="center"/>
              <w:rPr>
                <w:sz w:val="20"/>
                <w:szCs w:val="20"/>
              </w:rPr>
            </w:pPr>
            <w:r>
              <w:rPr>
                <w:sz w:val="20"/>
                <w:szCs w:val="20"/>
              </w:rPr>
              <w:t>P</w:t>
            </w:r>
            <w:r w:rsidRPr="000E6DE5">
              <w:rPr>
                <w:sz w:val="20"/>
                <w:szCs w:val="20"/>
              </w:rPr>
              <w:t>oskytovatel</w:t>
            </w:r>
            <w:r>
              <w:rPr>
                <w:sz w:val="20"/>
                <w:szCs w:val="20"/>
              </w:rPr>
              <w:t>é</w:t>
            </w:r>
            <w:r w:rsidRPr="000E6DE5">
              <w:rPr>
                <w:sz w:val="20"/>
                <w:szCs w:val="20"/>
              </w:rPr>
              <w:t xml:space="preserve"> internetového připojení</w:t>
            </w:r>
            <w:r>
              <w:rPr>
                <w:sz w:val="20"/>
                <w:szCs w:val="20"/>
              </w:rPr>
              <w:t xml:space="preserve"> – blokace některých inetrnetových stránek na základě Seznamu </w:t>
            </w:r>
            <w:r w:rsidRPr="000E6DE5">
              <w:rPr>
                <w:sz w:val="20"/>
                <w:szCs w:val="20"/>
              </w:rPr>
              <w:t>nepovolených internetových obchodů</w:t>
            </w:r>
          </w:p>
        </w:tc>
        <w:tc>
          <w:tcPr>
            <w:tcW w:w="1249" w:type="dxa"/>
            <w:noWrap/>
            <w:vAlign w:val="center"/>
          </w:tcPr>
          <w:p w:rsidR="00C977D4" w:rsidRPr="00CA0E51" w:rsidP="00C977D4" w14:paraId="3F8377F3" w14:textId="0A063ADE">
            <w:pPr>
              <w:spacing w:before="0" w:after="0"/>
              <w:jc w:val="center"/>
              <w:rPr>
                <w:sz w:val="20"/>
                <w:szCs w:val="20"/>
              </w:rPr>
            </w:pPr>
            <w:r>
              <w:rPr>
                <w:sz w:val="20"/>
                <w:szCs w:val="20"/>
              </w:rPr>
              <w:t>*</w:t>
            </w:r>
          </w:p>
        </w:tc>
      </w:tr>
      <w:tr w14:paraId="06F654CB" w14:textId="77777777" w:rsidTr="00016C5C">
        <w:tblPrEx>
          <w:tblW w:w="0" w:type="auto"/>
          <w:tblLook w:val="04A0"/>
        </w:tblPrEx>
        <w:trPr>
          <w:trHeight w:val="1133"/>
        </w:trPr>
        <w:tc>
          <w:tcPr>
            <w:tcW w:w="1257" w:type="dxa"/>
            <w:vMerge/>
            <w:vAlign w:val="center"/>
          </w:tcPr>
          <w:p w:rsidR="00C977D4" w:rsidRPr="00CA0E51" w:rsidP="00C977D4" w14:paraId="655FC485" w14:textId="77777777">
            <w:pPr>
              <w:spacing w:before="0" w:after="0"/>
              <w:jc w:val="center"/>
              <w:rPr>
                <w:b/>
                <w:bCs/>
                <w:sz w:val="20"/>
                <w:szCs w:val="20"/>
              </w:rPr>
            </w:pPr>
          </w:p>
        </w:tc>
        <w:tc>
          <w:tcPr>
            <w:tcW w:w="2461" w:type="dxa"/>
            <w:vAlign w:val="center"/>
          </w:tcPr>
          <w:p w:rsidR="00C977D4" w:rsidRPr="00F110CD" w14:paraId="260312C9" w14:textId="76A4A420">
            <w:pPr>
              <w:spacing w:before="0" w:after="0"/>
              <w:jc w:val="center"/>
              <w:rPr>
                <w:sz w:val="20"/>
                <w:szCs w:val="20"/>
              </w:rPr>
            </w:pPr>
            <w:r>
              <w:rPr>
                <w:rFonts w:cs="Arial"/>
                <w:sz w:val="20"/>
                <w:szCs w:val="20"/>
              </w:rPr>
              <w:t>O</w:t>
            </w:r>
            <w:r w:rsidRPr="000E6DE5">
              <w:rPr>
                <w:rFonts w:cs="Arial"/>
                <w:sz w:val="20"/>
                <w:szCs w:val="20"/>
              </w:rPr>
              <w:t xml:space="preserve">chrany zájmů </w:t>
            </w:r>
            <w:r>
              <w:rPr>
                <w:rFonts w:cs="Arial"/>
                <w:sz w:val="20"/>
                <w:szCs w:val="20"/>
              </w:rPr>
              <w:t>výrobců a prodejců EEZ</w:t>
            </w:r>
            <w:r w:rsidRPr="000E6DE5">
              <w:rPr>
                <w:rFonts w:cs="Arial"/>
                <w:sz w:val="20"/>
                <w:szCs w:val="20"/>
              </w:rPr>
              <w:t>, kteří řádně plnění zákonné povinosti, snížení nákladů na sběr a recyklaci</w:t>
            </w:r>
            <w:r>
              <w:rPr>
                <w:rFonts w:cs="Arial"/>
                <w:sz w:val="20"/>
                <w:szCs w:val="20"/>
              </w:rPr>
              <w:t xml:space="preserve"> EEZ</w:t>
            </w:r>
          </w:p>
        </w:tc>
        <w:tc>
          <w:tcPr>
            <w:tcW w:w="1296" w:type="dxa"/>
            <w:noWrap/>
            <w:vAlign w:val="center"/>
          </w:tcPr>
          <w:p w:rsidR="00C977D4" w:rsidRPr="00CA0E51" w:rsidP="00C977D4" w14:paraId="5EF47525" w14:textId="5E306D74">
            <w:pPr>
              <w:spacing w:before="0" w:after="0"/>
              <w:jc w:val="center"/>
              <w:rPr>
                <w:sz w:val="20"/>
                <w:szCs w:val="20"/>
              </w:rPr>
            </w:pPr>
            <w:r>
              <w:rPr>
                <w:sz w:val="20"/>
                <w:szCs w:val="20"/>
              </w:rPr>
              <w:t>***</w:t>
            </w:r>
          </w:p>
        </w:tc>
        <w:tc>
          <w:tcPr>
            <w:tcW w:w="2799" w:type="dxa"/>
            <w:vAlign w:val="center"/>
          </w:tcPr>
          <w:p w:rsidR="00C977D4" w:rsidRPr="00CA0E51" w:rsidP="00C977D4" w14:paraId="633EFB42" w14:textId="77777777">
            <w:pPr>
              <w:spacing w:before="0" w:after="0"/>
              <w:jc w:val="center"/>
              <w:rPr>
                <w:sz w:val="20"/>
                <w:szCs w:val="20"/>
              </w:rPr>
            </w:pPr>
          </w:p>
        </w:tc>
        <w:tc>
          <w:tcPr>
            <w:tcW w:w="1249" w:type="dxa"/>
            <w:noWrap/>
            <w:vAlign w:val="center"/>
          </w:tcPr>
          <w:p w:rsidR="00C977D4" w:rsidRPr="00CA0E51" w:rsidP="00C977D4" w14:paraId="023A059F" w14:textId="77777777">
            <w:pPr>
              <w:spacing w:before="0" w:after="0"/>
              <w:jc w:val="center"/>
              <w:rPr>
                <w:sz w:val="20"/>
                <w:szCs w:val="20"/>
              </w:rPr>
            </w:pPr>
          </w:p>
        </w:tc>
      </w:tr>
      <w:tr w14:paraId="43FCA0D7" w14:textId="77777777" w:rsidTr="00016C5C">
        <w:tblPrEx>
          <w:tblW w:w="0" w:type="auto"/>
          <w:tblLook w:val="04A0"/>
        </w:tblPrEx>
        <w:trPr>
          <w:trHeight w:val="503"/>
        </w:trPr>
        <w:tc>
          <w:tcPr>
            <w:tcW w:w="1257" w:type="dxa"/>
            <w:vMerge/>
            <w:vAlign w:val="center"/>
            <w:hideMark/>
          </w:tcPr>
          <w:p w:rsidR="00C977D4" w:rsidRPr="00CA0E51" w:rsidP="00C977D4" w14:paraId="009E6509" w14:textId="77777777">
            <w:pPr>
              <w:spacing w:before="0" w:after="0"/>
              <w:jc w:val="center"/>
              <w:rPr>
                <w:b/>
                <w:bCs/>
                <w:sz w:val="20"/>
                <w:szCs w:val="20"/>
              </w:rPr>
            </w:pPr>
          </w:p>
        </w:tc>
        <w:tc>
          <w:tcPr>
            <w:tcW w:w="7805" w:type="dxa"/>
            <w:gridSpan w:val="4"/>
            <w:vAlign w:val="center"/>
            <w:hideMark/>
          </w:tcPr>
          <w:p w:rsidR="00C977D4" w:rsidRPr="00CA0E51" w:rsidP="00C977D4" w14:paraId="4A0BDBD0" w14:textId="77777777">
            <w:pPr>
              <w:spacing w:before="0" w:after="0"/>
              <w:jc w:val="center"/>
              <w:rPr>
                <w:b/>
                <w:bCs/>
                <w:sz w:val="20"/>
                <w:szCs w:val="20"/>
              </w:rPr>
            </w:pPr>
            <w:r w:rsidRPr="00CA0E51">
              <w:rPr>
                <w:b/>
                <w:bCs/>
                <w:sz w:val="20"/>
                <w:szCs w:val="20"/>
              </w:rPr>
              <w:t>Územní samosprávné celky (obce, kraje)</w:t>
            </w:r>
          </w:p>
        </w:tc>
      </w:tr>
      <w:tr w14:paraId="44BCA43D" w14:textId="77777777" w:rsidTr="00016C5C">
        <w:tblPrEx>
          <w:tblW w:w="0" w:type="auto"/>
          <w:tblLook w:val="04A0"/>
        </w:tblPrEx>
        <w:trPr>
          <w:trHeight w:val="479"/>
        </w:trPr>
        <w:tc>
          <w:tcPr>
            <w:tcW w:w="1257" w:type="dxa"/>
            <w:vMerge/>
            <w:vAlign w:val="center"/>
            <w:hideMark/>
          </w:tcPr>
          <w:p w:rsidR="00C977D4" w:rsidRPr="00CA0E51" w:rsidP="00C977D4" w14:paraId="4DB32F9F" w14:textId="77777777">
            <w:pPr>
              <w:spacing w:before="0" w:after="0"/>
              <w:jc w:val="center"/>
              <w:rPr>
                <w:b/>
                <w:bCs/>
                <w:sz w:val="20"/>
                <w:szCs w:val="20"/>
              </w:rPr>
            </w:pPr>
          </w:p>
        </w:tc>
        <w:tc>
          <w:tcPr>
            <w:tcW w:w="2461" w:type="dxa"/>
            <w:vAlign w:val="center"/>
          </w:tcPr>
          <w:p w:rsidR="00C977D4" w:rsidRPr="00CA0E51" w:rsidP="00C977D4" w14:paraId="466D9B45" w14:textId="77777777">
            <w:pPr>
              <w:spacing w:before="0" w:after="0"/>
              <w:jc w:val="center"/>
              <w:rPr>
                <w:sz w:val="20"/>
                <w:szCs w:val="20"/>
              </w:rPr>
            </w:pPr>
            <w:r w:rsidRPr="00CA0E51">
              <w:rPr>
                <w:sz w:val="20"/>
                <w:szCs w:val="20"/>
              </w:rPr>
              <w:t>-</w:t>
            </w:r>
          </w:p>
        </w:tc>
        <w:tc>
          <w:tcPr>
            <w:tcW w:w="1296" w:type="dxa"/>
            <w:noWrap/>
            <w:vAlign w:val="center"/>
          </w:tcPr>
          <w:p w:rsidR="00C977D4" w:rsidRPr="00CA0E51" w:rsidP="00C977D4" w14:paraId="75EA8F30" w14:textId="77777777">
            <w:pPr>
              <w:spacing w:before="0" w:after="0"/>
              <w:jc w:val="center"/>
              <w:rPr>
                <w:sz w:val="20"/>
                <w:szCs w:val="20"/>
              </w:rPr>
            </w:pPr>
            <w:r w:rsidRPr="00CA0E51">
              <w:rPr>
                <w:sz w:val="20"/>
                <w:szCs w:val="20"/>
              </w:rPr>
              <w:t>-</w:t>
            </w:r>
          </w:p>
        </w:tc>
        <w:tc>
          <w:tcPr>
            <w:tcW w:w="2799" w:type="dxa"/>
            <w:noWrap/>
            <w:vAlign w:val="center"/>
            <w:hideMark/>
          </w:tcPr>
          <w:p w:rsidR="00C977D4" w:rsidRPr="00CA0E51" w:rsidP="00C977D4" w14:paraId="42841E92" w14:textId="77777777">
            <w:pPr>
              <w:spacing w:before="0" w:after="0"/>
              <w:jc w:val="center"/>
              <w:rPr>
                <w:sz w:val="20"/>
                <w:szCs w:val="20"/>
              </w:rPr>
            </w:pPr>
            <w:r w:rsidRPr="00CA0E51">
              <w:rPr>
                <w:sz w:val="20"/>
                <w:szCs w:val="20"/>
              </w:rPr>
              <w:t>-</w:t>
            </w:r>
          </w:p>
        </w:tc>
        <w:tc>
          <w:tcPr>
            <w:tcW w:w="1249" w:type="dxa"/>
            <w:noWrap/>
            <w:vAlign w:val="center"/>
            <w:hideMark/>
          </w:tcPr>
          <w:p w:rsidR="00C977D4" w:rsidRPr="00CA0E51" w:rsidP="00C977D4" w14:paraId="6195A3E0" w14:textId="77777777">
            <w:pPr>
              <w:spacing w:before="0" w:after="0"/>
              <w:jc w:val="center"/>
              <w:rPr>
                <w:sz w:val="20"/>
                <w:szCs w:val="20"/>
              </w:rPr>
            </w:pPr>
            <w:r w:rsidRPr="00CA0E51">
              <w:rPr>
                <w:sz w:val="20"/>
                <w:szCs w:val="20"/>
              </w:rPr>
              <w:t>-</w:t>
            </w:r>
          </w:p>
        </w:tc>
      </w:tr>
      <w:tr w14:paraId="60EF9590" w14:textId="77777777" w:rsidTr="00016C5C">
        <w:tblPrEx>
          <w:tblW w:w="0" w:type="auto"/>
          <w:tblLook w:val="04A0"/>
        </w:tblPrEx>
        <w:trPr>
          <w:trHeight w:val="503"/>
        </w:trPr>
        <w:tc>
          <w:tcPr>
            <w:tcW w:w="1257" w:type="dxa"/>
            <w:vMerge/>
            <w:vAlign w:val="center"/>
            <w:hideMark/>
          </w:tcPr>
          <w:p w:rsidR="00C977D4" w:rsidRPr="00CA0E51" w:rsidP="00C977D4" w14:paraId="13F5862A" w14:textId="77777777">
            <w:pPr>
              <w:spacing w:before="0" w:after="0"/>
              <w:jc w:val="center"/>
              <w:rPr>
                <w:b/>
                <w:bCs/>
                <w:sz w:val="20"/>
                <w:szCs w:val="20"/>
              </w:rPr>
            </w:pPr>
          </w:p>
        </w:tc>
        <w:tc>
          <w:tcPr>
            <w:tcW w:w="7805" w:type="dxa"/>
            <w:gridSpan w:val="4"/>
            <w:vAlign w:val="center"/>
            <w:hideMark/>
          </w:tcPr>
          <w:p w:rsidR="00C977D4" w:rsidRPr="00CA0E51" w:rsidP="00C977D4" w14:paraId="2CF8D427" w14:textId="77777777">
            <w:pPr>
              <w:spacing w:before="0" w:after="0"/>
              <w:jc w:val="center"/>
              <w:rPr>
                <w:b/>
                <w:bCs/>
                <w:sz w:val="20"/>
                <w:szCs w:val="20"/>
              </w:rPr>
            </w:pPr>
            <w:r w:rsidRPr="00CA0E51">
              <w:rPr>
                <w:b/>
                <w:bCs/>
                <w:sz w:val="20"/>
                <w:szCs w:val="20"/>
              </w:rPr>
              <w:t>Sociální dopady</w:t>
            </w:r>
          </w:p>
        </w:tc>
      </w:tr>
      <w:tr w14:paraId="24441DBD" w14:textId="77777777" w:rsidTr="00016C5C">
        <w:tblPrEx>
          <w:tblW w:w="0" w:type="auto"/>
          <w:tblLook w:val="04A0"/>
        </w:tblPrEx>
        <w:trPr>
          <w:trHeight w:val="478"/>
        </w:trPr>
        <w:tc>
          <w:tcPr>
            <w:tcW w:w="1257" w:type="dxa"/>
            <w:vMerge/>
            <w:vAlign w:val="center"/>
            <w:hideMark/>
          </w:tcPr>
          <w:p w:rsidR="00C977D4" w:rsidRPr="00CA0E51" w:rsidP="00C977D4" w14:paraId="62499465" w14:textId="77777777">
            <w:pPr>
              <w:spacing w:before="0" w:after="0"/>
              <w:jc w:val="center"/>
              <w:rPr>
                <w:b/>
                <w:bCs/>
                <w:sz w:val="20"/>
                <w:szCs w:val="20"/>
              </w:rPr>
            </w:pPr>
          </w:p>
        </w:tc>
        <w:tc>
          <w:tcPr>
            <w:tcW w:w="2461" w:type="dxa"/>
            <w:vAlign w:val="center"/>
          </w:tcPr>
          <w:p w:rsidR="00C977D4" w:rsidRPr="00CA0E51" w:rsidP="00C977D4" w14:paraId="089FB1D8" w14:textId="77777777">
            <w:pPr>
              <w:spacing w:before="0" w:after="0"/>
              <w:jc w:val="center"/>
              <w:rPr>
                <w:sz w:val="20"/>
                <w:szCs w:val="20"/>
              </w:rPr>
            </w:pPr>
            <w:r w:rsidRPr="00CA0E51">
              <w:rPr>
                <w:sz w:val="20"/>
                <w:szCs w:val="20"/>
              </w:rPr>
              <w:t>-</w:t>
            </w:r>
          </w:p>
        </w:tc>
        <w:tc>
          <w:tcPr>
            <w:tcW w:w="1296" w:type="dxa"/>
            <w:vAlign w:val="center"/>
          </w:tcPr>
          <w:p w:rsidR="00C977D4" w:rsidRPr="00CA0E51" w:rsidP="00C977D4" w14:paraId="71766D8E" w14:textId="77777777">
            <w:pPr>
              <w:spacing w:before="0" w:after="0"/>
              <w:jc w:val="center"/>
              <w:rPr>
                <w:sz w:val="20"/>
                <w:szCs w:val="20"/>
              </w:rPr>
            </w:pPr>
            <w:r w:rsidRPr="00CA0E51">
              <w:rPr>
                <w:sz w:val="20"/>
                <w:szCs w:val="20"/>
              </w:rPr>
              <w:t>-</w:t>
            </w:r>
          </w:p>
        </w:tc>
        <w:tc>
          <w:tcPr>
            <w:tcW w:w="2799" w:type="dxa"/>
            <w:vAlign w:val="center"/>
          </w:tcPr>
          <w:p w:rsidR="00C977D4" w:rsidRPr="00CA0E51" w:rsidP="00C977D4" w14:paraId="6755C25E" w14:textId="77777777">
            <w:pPr>
              <w:spacing w:before="0" w:after="0"/>
              <w:jc w:val="center"/>
              <w:rPr>
                <w:sz w:val="20"/>
                <w:szCs w:val="20"/>
              </w:rPr>
            </w:pPr>
            <w:r w:rsidRPr="00CA0E51">
              <w:rPr>
                <w:sz w:val="20"/>
                <w:szCs w:val="20"/>
              </w:rPr>
              <w:t>-</w:t>
            </w:r>
          </w:p>
        </w:tc>
        <w:tc>
          <w:tcPr>
            <w:tcW w:w="1249" w:type="dxa"/>
            <w:vAlign w:val="center"/>
          </w:tcPr>
          <w:p w:rsidR="00C977D4" w:rsidRPr="00CA0E51" w:rsidP="00C977D4" w14:paraId="600E6BA2" w14:textId="77777777">
            <w:pPr>
              <w:spacing w:before="0" w:after="0"/>
              <w:jc w:val="center"/>
              <w:rPr>
                <w:sz w:val="20"/>
                <w:szCs w:val="20"/>
              </w:rPr>
            </w:pPr>
            <w:r w:rsidRPr="00CA0E51">
              <w:rPr>
                <w:sz w:val="20"/>
                <w:szCs w:val="20"/>
              </w:rPr>
              <w:t>-</w:t>
            </w:r>
          </w:p>
        </w:tc>
      </w:tr>
      <w:tr w14:paraId="6049A03E" w14:textId="77777777" w:rsidTr="00016C5C">
        <w:tblPrEx>
          <w:tblW w:w="0" w:type="auto"/>
          <w:tblLook w:val="04A0"/>
        </w:tblPrEx>
        <w:trPr>
          <w:trHeight w:val="503"/>
        </w:trPr>
        <w:tc>
          <w:tcPr>
            <w:tcW w:w="1257" w:type="dxa"/>
            <w:vMerge/>
            <w:vAlign w:val="center"/>
            <w:hideMark/>
          </w:tcPr>
          <w:p w:rsidR="00C977D4" w:rsidRPr="00CA0E51" w:rsidP="00C977D4" w14:paraId="6435A71C" w14:textId="77777777">
            <w:pPr>
              <w:spacing w:before="0" w:after="0"/>
              <w:jc w:val="center"/>
              <w:rPr>
                <w:b/>
                <w:bCs/>
                <w:sz w:val="20"/>
                <w:szCs w:val="20"/>
              </w:rPr>
            </w:pPr>
          </w:p>
        </w:tc>
        <w:tc>
          <w:tcPr>
            <w:tcW w:w="7805" w:type="dxa"/>
            <w:gridSpan w:val="4"/>
            <w:vAlign w:val="center"/>
            <w:hideMark/>
          </w:tcPr>
          <w:p w:rsidR="00C977D4" w:rsidRPr="00CA0E51" w:rsidP="00C977D4" w14:paraId="60B0235D" w14:textId="77777777">
            <w:pPr>
              <w:spacing w:before="0" w:after="0"/>
              <w:jc w:val="center"/>
              <w:rPr>
                <w:b/>
                <w:bCs/>
                <w:sz w:val="20"/>
                <w:szCs w:val="20"/>
              </w:rPr>
            </w:pPr>
            <w:r w:rsidRPr="00CA0E51">
              <w:rPr>
                <w:b/>
                <w:bCs/>
                <w:sz w:val="20"/>
                <w:szCs w:val="20"/>
              </w:rPr>
              <w:t>Životní prostředí</w:t>
            </w:r>
          </w:p>
        </w:tc>
      </w:tr>
      <w:tr w14:paraId="1A802815" w14:textId="77777777" w:rsidTr="00016C5C">
        <w:tblPrEx>
          <w:tblW w:w="0" w:type="auto"/>
          <w:tblLook w:val="04A0"/>
        </w:tblPrEx>
        <w:trPr>
          <w:trHeight w:val="686"/>
        </w:trPr>
        <w:tc>
          <w:tcPr>
            <w:tcW w:w="1257" w:type="dxa"/>
            <w:vMerge/>
            <w:vAlign w:val="center"/>
            <w:hideMark/>
          </w:tcPr>
          <w:p w:rsidR="00C977D4" w:rsidRPr="00CA0E51" w:rsidP="00C977D4" w14:paraId="0395553A" w14:textId="77777777">
            <w:pPr>
              <w:spacing w:before="0" w:after="0"/>
              <w:jc w:val="center"/>
              <w:rPr>
                <w:b/>
                <w:bCs/>
                <w:sz w:val="20"/>
                <w:szCs w:val="20"/>
              </w:rPr>
            </w:pPr>
          </w:p>
        </w:tc>
        <w:tc>
          <w:tcPr>
            <w:tcW w:w="2461" w:type="dxa"/>
            <w:vAlign w:val="center"/>
          </w:tcPr>
          <w:p w:rsidR="00C977D4" w:rsidRPr="00CA0E51" w14:paraId="17C5F44C" w14:textId="564EB8AB">
            <w:pPr>
              <w:spacing w:before="0" w:after="0"/>
              <w:jc w:val="center"/>
              <w:rPr>
                <w:sz w:val="20"/>
                <w:szCs w:val="20"/>
              </w:rPr>
            </w:pPr>
            <w:r w:rsidRPr="00963FAF">
              <w:rPr>
                <w:rFonts w:cs="Arial"/>
                <w:sz w:val="20"/>
                <w:szCs w:val="20"/>
              </w:rPr>
              <w:t xml:space="preserve">Recyklací </w:t>
            </w:r>
            <w:r>
              <w:rPr>
                <w:rFonts w:cs="Arial"/>
                <w:sz w:val="20"/>
                <w:szCs w:val="20"/>
              </w:rPr>
              <w:t xml:space="preserve">EEZ </w:t>
            </w:r>
            <w:r w:rsidRPr="00963FAF">
              <w:rPr>
                <w:rFonts w:cs="Arial"/>
                <w:sz w:val="20"/>
                <w:szCs w:val="20"/>
              </w:rPr>
              <w:t xml:space="preserve">se </w:t>
            </w:r>
            <w:r>
              <w:rPr>
                <w:rFonts w:cs="Arial"/>
                <w:sz w:val="20"/>
                <w:szCs w:val="20"/>
              </w:rPr>
              <w:t>sniží</w:t>
            </w:r>
            <w:r w:rsidRPr="000E6DE5">
              <w:rPr>
                <w:rFonts w:cs="Arial"/>
                <w:sz w:val="20"/>
                <w:szCs w:val="20"/>
              </w:rPr>
              <w:t xml:space="preserve"> riziko úniku nebezpečných látek obsažených v EEZ a</w:t>
            </w:r>
            <w:r>
              <w:rPr>
                <w:rFonts w:cs="Arial"/>
                <w:sz w:val="20"/>
                <w:szCs w:val="20"/>
              </w:rPr>
              <w:t> </w:t>
            </w:r>
            <w:r w:rsidRPr="000E6DE5">
              <w:rPr>
                <w:rFonts w:cs="Arial"/>
                <w:sz w:val="20"/>
                <w:szCs w:val="20"/>
              </w:rPr>
              <w:t>kontaminace ŽP</w:t>
            </w:r>
            <w:r>
              <w:rPr>
                <w:rFonts w:cs="Arial"/>
                <w:sz w:val="20"/>
                <w:szCs w:val="20"/>
              </w:rPr>
              <w:t xml:space="preserve"> a dochází k úspoře materiálů i energií</w:t>
            </w:r>
          </w:p>
        </w:tc>
        <w:tc>
          <w:tcPr>
            <w:tcW w:w="1296" w:type="dxa"/>
            <w:vAlign w:val="center"/>
          </w:tcPr>
          <w:p w:rsidR="00C977D4" w:rsidRPr="00CA0E51" w:rsidP="00C977D4" w14:paraId="2039B70B" w14:textId="59B7038C">
            <w:pPr>
              <w:spacing w:before="0" w:after="0"/>
              <w:jc w:val="center"/>
              <w:rPr>
                <w:sz w:val="20"/>
                <w:szCs w:val="20"/>
              </w:rPr>
            </w:pPr>
            <w:r>
              <w:rPr>
                <w:sz w:val="20"/>
                <w:szCs w:val="20"/>
              </w:rPr>
              <w:t>***</w:t>
            </w:r>
          </w:p>
        </w:tc>
        <w:tc>
          <w:tcPr>
            <w:tcW w:w="2799" w:type="dxa"/>
            <w:vAlign w:val="center"/>
            <w:hideMark/>
          </w:tcPr>
          <w:p w:rsidR="00C977D4" w:rsidRPr="00CA0E51" w:rsidP="00C977D4" w14:paraId="612FD3A5" w14:textId="7CC34A63">
            <w:pPr>
              <w:spacing w:before="0" w:after="0"/>
              <w:jc w:val="center"/>
              <w:rPr>
                <w:sz w:val="20"/>
                <w:szCs w:val="20"/>
              </w:rPr>
            </w:pPr>
            <w:r>
              <w:rPr>
                <w:sz w:val="20"/>
                <w:szCs w:val="20"/>
              </w:rPr>
              <w:t>-</w:t>
            </w:r>
          </w:p>
        </w:tc>
        <w:tc>
          <w:tcPr>
            <w:tcW w:w="1249" w:type="dxa"/>
            <w:vAlign w:val="center"/>
            <w:hideMark/>
          </w:tcPr>
          <w:p w:rsidR="00C977D4" w:rsidRPr="00CA0E51" w:rsidP="00C977D4" w14:paraId="02D7590E" w14:textId="6B09A821">
            <w:pPr>
              <w:spacing w:before="0" w:after="0"/>
              <w:jc w:val="center"/>
              <w:rPr>
                <w:sz w:val="20"/>
                <w:szCs w:val="20"/>
              </w:rPr>
            </w:pPr>
            <w:r>
              <w:rPr>
                <w:sz w:val="20"/>
                <w:szCs w:val="20"/>
              </w:rPr>
              <w:t>-</w:t>
            </w:r>
          </w:p>
        </w:tc>
      </w:tr>
    </w:tbl>
    <w:p w:rsidR="00C806DA" w:rsidP="00C806DA" w14:paraId="418E77BC" w14:textId="77777777">
      <w:pPr>
        <w:rPr>
          <w:sz w:val="20"/>
          <w:szCs w:val="20"/>
        </w:rPr>
      </w:pPr>
      <w:r w:rsidRPr="00CA6B68">
        <w:rPr>
          <w:sz w:val="20"/>
          <w:szCs w:val="20"/>
        </w:rPr>
        <w:t>- bez dopadů, * velmi nízké, ** nízké, *** střední, **** vysoké, ***** velmi vysoké</w:t>
      </w:r>
    </w:p>
    <w:p w:rsidR="001E3A78" w:rsidRPr="00CA6B68" w:rsidP="00C806DA" w14:paraId="6C3FBD6C" w14:textId="77777777">
      <w:pPr>
        <w:rPr>
          <w:sz w:val="20"/>
          <w:szCs w:val="20"/>
        </w:rPr>
      </w:pPr>
    </w:p>
    <w:p w:rsidR="00C806DA" w:rsidRPr="00CA6B68" w:rsidP="00C806DA" w14:paraId="11944A6E" w14:textId="77777777">
      <w:pPr>
        <w:pStyle w:val="Heading2"/>
      </w:pPr>
      <w:r w:rsidRPr="00CA6B68">
        <w:t>Návrh řešení</w:t>
      </w:r>
    </w:p>
    <w:p w:rsidR="00C806DA" w:rsidRPr="00CA6B68" w:rsidP="00C806DA" w14:paraId="00F81D5B" w14:textId="77777777">
      <w:pPr>
        <w:pStyle w:val="Heading4"/>
        <w:numPr>
          <w:ilvl w:val="0"/>
          <w:numId w:val="0"/>
        </w:numPr>
        <w:spacing w:before="120" w:after="0"/>
        <w:ind w:left="864" w:hanging="864"/>
        <w:rPr>
          <w:b/>
          <w:i/>
          <w:sz w:val="24"/>
          <w:szCs w:val="24"/>
        </w:rPr>
      </w:pPr>
      <w:r w:rsidRPr="00CA6B68">
        <w:rPr>
          <w:b/>
          <w:i/>
          <w:sz w:val="24"/>
          <w:szCs w:val="24"/>
        </w:rPr>
        <w:t>Stanovení pořadí variant a výběr nejvhodnějšího řešení</w:t>
      </w:r>
    </w:p>
    <w:p w:rsidR="00C806DA" w:rsidRPr="00CA6B68" w:rsidP="000E6DE5" w14:paraId="498AD2CC" w14:textId="77777777">
      <w:pPr>
        <w:pStyle w:val="ListParagraph"/>
        <w:numPr>
          <w:ilvl w:val="0"/>
          <w:numId w:val="147"/>
        </w:numPr>
        <w:spacing w:after="0" w:line="240" w:lineRule="auto"/>
        <w:contextualSpacing w:val="0"/>
        <w:rPr>
          <w:rFonts w:cs="Arial"/>
          <w:b/>
          <w:bCs/>
        </w:rPr>
      </w:pPr>
      <w:r w:rsidRPr="00CA6B68">
        <w:rPr>
          <w:rFonts w:cs="Arial"/>
          <w:b/>
          <w:bCs/>
        </w:rPr>
        <w:t>Varianta 1</w:t>
      </w:r>
    </w:p>
    <w:p w:rsidR="00C806DA" w:rsidRPr="000F533C" w:rsidP="000E6DE5" w14:paraId="088C410E" w14:textId="77777777">
      <w:pPr>
        <w:pStyle w:val="ListParagraph"/>
        <w:numPr>
          <w:ilvl w:val="0"/>
          <w:numId w:val="147"/>
        </w:numPr>
        <w:spacing w:after="0" w:line="240" w:lineRule="auto"/>
        <w:ind w:left="714" w:hanging="357"/>
        <w:contextualSpacing w:val="0"/>
      </w:pPr>
      <w:r w:rsidRPr="00963FAF">
        <w:rPr>
          <w:rFonts w:cs="Arial"/>
        </w:rPr>
        <w:t>Varianta 0</w:t>
      </w:r>
    </w:p>
    <w:p w:rsidR="00C806DA" w:rsidP="000E6DE5" w14:paraId="76304121" w14:textId="728DE207">
      <w:pPr>
        <w:autoSpaceDE w:val="0"/>
        <w:autoSpaceDN w:val="0"/>
        <w:adjustRightInd w:val="0"/>
        <w:spacing w:after="0"/>
      </w:pPr>
      <w:r w:rsidRPr="003F755E">
        <w:rPr>
          <w:rFonts w:cs="Arial"/>
        </w:rPr>
        <w:t xml:space="preserve">Doporučujeme přijmout Variantu 1, </w:t>
      </w:r>
      <w:r w:rsidR="00CA0E51">
        <w:rPr>
          <w:rFonts w:cs="Arial"/>
        </w:rPr>
        <w:t xml:space="preserve">která sníží riziko </w:t>
      </w:r>
      <w:r w:rsidRPr="00963FAF" w:rsidR="00CA0E51">
        <w:rPr>
          <w:rFonts w:cs="Arial"/>
        </w:rPr>
        <w:t xml:space="preserve">freeridingu u </w:t>
      </w:r>
      <w:r w:rsidRPr="005218D0" w:rsidR="00CA0E51">
        <w:rPr>
          <w:rFonts w:cs="Arial"/>
        </w:rPr>
        <w:t xml:space="preserve">online </w:t>
      </w:r>
      <w:r w:rsidRPr="00963FAF" w:rsidR="00CA0E51">
        <w:rPr>
          <w:rFonts w:cs="Arial"/>
        </w:rPr>
        <w:t>prodejců EEZ, ze</w:t>
      </w:r>
      <w:r w:rsidR="00CA0E51">
        <w:rPr>
          <w:rFonts w:cs="Arial"/>
        </w:rPr>
        <w:t> </w:t>
      </w:r>
      <w:r w:rsidRPr="00963FAF" w:rsidR="00CA0E51">
        <w:rPr>
          <w:rFonts w:cs="Arial"/>
        </w:rPr>
        <w:t>zemí mimo EU, zejména ze třetích zemí</w:t>
      </w:r>
      <w:r w:rsidR="00CA0E51">
        <w:rPr>
          <w:rFonts w:cs="Arial"/>
        </w:rPr>
        <w:t xml:space="preserve">, kteří </w:t>
      </w:r>
      <w:r w:rsidRPr="003F0645" w:rsidR="00CA0E51">
        <w:rPr>
          <w:rFonts w:cs="Arial"/>
        </w:rPr>
        <w:t>neplní své povinnosti výrobce související se zpětným odběrem</w:t>
      </w:r>
      <w:r w:rsidRPr="00963FAF" w:rsidR="00CA0E51">
        <w:rPr>
          <w:rFonts w:cs="Arial"/>
        </w:rPr>
        <w:t xml:space="preserve">. </w:t>
      </w:r>
      <w:r w:rsidR="00CA0E51">
        <w:rPr>
          <w:rFonts w:cs="Arial"/>
        </w:rPr>
        <w:t>Navrhované řešení má</w:t>
      </w:r>
      <w:r w:rsidRPr="003F0645" w:rsidR="00CA0E51">
        <w:rPr>
          <w:rFonts w:cs="Arial"/>
        </w:rPr>
        <w:t xml:space="preserve"> pozitivní dopad na férové podmínky podnikání a</w:t>
      </w:r>
      <w:r w:rsidR="00CA0E51">
        <w:rPr>
          <w:rFonts w:cs="Arial"/>
        </w:rPr>
        <w:t> </w:t>
      </w:r>
      <w:r w:rsidRPr="003F0645" w:rsidR="00CA0E51">
        <w:rPr>
          <w:rFonts w:cs="Arial"/>
        </w:rPr>
        <w:t>hospodářskou soutěž</w:t>
      </w:r>
      <w:r w:rsidR="00CA0E51">
        <w:rPr>
          <w:rFonts w:cs="Arial"/>
        </w:rPr>
        <w:t>.</w:t>
      </w:r>
      <w:r w:rsidRPr="00CA0E51" w:rsidR="00CA0E51">
        <w:rPr>
          <w:rFonts w:cs="Arial"/>
        </w:rPr>
        <w:t xml:space="preserve"> </w:t>
      </w:r>
      <w:r w:rsidR="00CA0E51">
        <w:rPr>
          <w:rFonts w:cs="Arial"/>
        </w:rPr>
        <w:t>B</w:t>
      </w:r>
      <w:r w:rsidRPr="00686AA3" w:rsidR="00CA0E51">
        <w:rPr>
          <w:rFonts w:cs="Arial"/>
        </w:rPr>
        <w:t>lokace internetových stránek směřuje zejména k</w:t>
      </w:r>
      <w:r w:rsidR="00CA0E51">
        <w:rPr>
          <w:rFonts w:cs="Arial"/>
        </w:rPr>
        <w:t> </w:t>
      </w:r>
      <w:r w:rsidRPr="00686AA3" w:rsidR="00CA0E51">
        <w:rPr>
          <w:rFonts w:cs="Arial"/>
        </w:rPr>
        <w:t>důkladnému zajištění ochrany zájmů online prodejců, kteří řádně plnění zákonné povinosti.</w:t>
      </w:r>
    </w:p>
    <w:p w:rsidR="00F110CD" w:rsidP="000E6DE5" w14:paraId="253947B4" w14:textId="77777777">
      <w:pPr>
        <w:autoSpaceDE w:val="0"/>
        <w:autoSpaceDN w:val="0"/>
        <w:adjustRightInd w:val="0"/>
        <w:spacing w:after="0"/>
      </w:pPr>
    </w:p>
    <w:p w:rsidR="00445AB4" w:rsidRPr="00F72DE3" w:rsidP="00851988" w14:paraId="56B061C9" w14:textId="129B9859">
      <w:pPr>
        <w:pStyle w:val="Heading1"/>
        <w:widowControl w:val="0"/>
      </w:pPr>
      <w:bookmarkStart w:id="194" w:name="_Toc14942091"/>
      <w:bookmarkStart w:id="195" w:name="_Toc256000017"/>
      <w:r w:rsidRPr="00F72DE3">
        <w:t xml:space="preserve">Oprávnění sbírat EEZ </w:t>
      </w:r>
      <w:r w:rsidR="00C23A89">
        <w:t>(§ 65 odst. 1</w:t>
      </w:r>
      <w:r w:rsidR="00F72DE3">
        <w:t>)</w:t>
      </w:r>
      <w:bookmarkEnd w:id="195"/>
      <w:bookmarkEnd w:id="194"/>
    </w:p>
    <w:p w:rsidR="00EA5F1A" w:rsidP="001364FA" w14:paraId="47A43F86" w14:textId="77777777">
      <w:pPr>
        <w:pStyle w:val="Heading2"/>
      </w:pPr>
      <w:r>
        <w:t>Důvod předložení</w:t>
      </w:r>
      <w:r w:rsidR="00772F84">
        <w:t xml:space="preserve"> a cíle</w:t>
      </w:r>
    </w:p>
    <w:p w:rsidR="00EA5F1A" w:rsidRPr="00ED38E9" w:rsidP="00BF16B7" w14:paraId="0325D9EA" w14:textId="77777777">
      <w:pPr>
        <w:pStyle w:val="Heading3"/>
      </w:pPr>
      <w:r w:rsidRPr="00ED38E9">
        <w:t>Definice problému</w:t>
      </w:r>
    </w:p>
    <w:p w:rsidR="00EA5F1A" w:rsidRPr="00ED38E9" w:rsidP="00EA5F1A" w14:paraId="5E259E81" w14:textId="2E169529">
      <w:pPr>
        <w:rPr>
          <w:rFonts w:cs="Arial"/>
        </w:rPr>
      </w:pPr>
      <w:r w:rsidRPr="00ED38E9">
        <w:rPr>
          <w:rFonts w:cs="Arial"/>
        </w:rPr>
        <w:t xml:space="preserve">Směrnice 2012/19/EU v současné době stanovuje nové cíle sběru OEEZ, a to počínaje rokem 2016. Tyto cíle se ve vztahu k roku 2015 výrazně zvyšují (a postupně narůstají až do roku 2021). Cíle sběru však dnes nejsou přímo přeneseny do české legislativy, tudíž za jejich plnění nezodpovídá žádný konkrétní subjekt, ale pouze ČR. Dle současně platné legislativy tak nebude možné tyto cíle vymáhat po výrobcích nebo </w:t>
      </w:r>
      <w:r w:rsidR="00E93420">
        <w:rPr>
          <w:rFonts w:cs="Arial"/>
        </w:rPr>
        <w:t>KS</w:t>
      </w:r>
      <w:r w:rsidRPr="00ED38E9">
        <w:rPr>
          <w:rFonts w:cs="Arial"/>
        </w:rPr>
        <w:t xml:space="preserve">. Výzmnamě je také ohroženo plnění těchto cílů. </w:t>
      </w:r>
    </w:p>
    <w:p w:rsidR="00EA5F1A" w:rsidRPr="00ED38E9" w:rsidP="00BF16B7" w14:paraId="643E930E" w14:textId="77777777">
      <w:pPr>
        <w:pStyle w:val="Heading3"/>
      </w:pPr>
      <w:r w:rsidRPr="00ED38E9">
        <w:t>Identifikace dotčených subjektů</w:t>
      </w:r>
    </w:p>
    <w:p w:rsidR="00EA5F1A" w:rsidRPr="00ED38E9" w:rsidP="003C445B" w14:paraId="4F9C68E9" w14:textId="77777777">
      <w:pPr>
        <w:pStyle w:val="ListParagraph"/>
        <w:numPr>
          <w:ilvl w:val="0"/>
          <w:numId w:val="67"/>
        </w:numPr>
        <w:spacing w:after="0"/>
        <w:contextualSpacing w:val="0"/>
        <w:rPr>
          <w:rFonts w:cs="Arial"/>
        </w:rPr>
      </w:pPr>
      <w:r w:rsidRPr="00ED38E9">
        <w:rPr>
          <w:rFonts w:cs="Arial"/>
        </w:rPr>
        <w:t>provozovatelé míst zpětného odběru (podnikatelské subjekty, obce),</w:t>
      </w:r>
    </w:p>
    <w:p w:rsidR="00EA5F1A" w:rsidRPr="00ED38E9" w:rsidP="003C445B" w14:paraId="3E7190E8" w14:textId="77777777">
      <w:pPr>
        <w:pStyle w:val="ListParagraph"/>
        <w:numPr>
          <w:ilvl w:val="0"/>
          <w:numId w:val="67"/>
        </w:numPr>
        <w:spacing w:after="0"/>
        <w:ind w:left="714" w:hanging="357"/>
        <w:contextualSpacing w:val="0"/>
        <w:rPr>
          <w:rFonts w:cs="Arial"/>
        </w:rPr>
      </w:pPr>
      <w:r w:rsidRPr="00ED38E9">
        <w:rPr>
          <w:rFonts w:cs="Arial"/>
        </w:rPr>
        <w:t xml:space="preserve">výrobci, </w:t>
      </w:r>
      <w:r w:rsidR="00C954F5">
        <w:rPr>
          <w:rFonts w:cs="Arial"/>
        </w:rPr>
        <w:t>potažmo KS</w:t>
      </w:r>
      <w:r w:rsidRPr="00ED38E9">
        <w:rPr>
          <w:rFonts w:cs="Arial"/>
        </w:rPr>
        <w:t>,</w:t>
      </w:r>
    </w:p>
    <w:p w:rsidR="00EA5F1A" w:rsidRPr="00ED38E9" w:rsidP="003C445B" w14:paraId="25D0DB17" w14:textId="77777777">
      <w:pPr>
        <w:pStyle w:val="ListParagraph"/>
        <w:numPr>
          <w:ilvl w:val="0"/>
          <w:numId w:val="67"/>
        </w:numPr>
        <w:spacing w:after="0"/>
        <w:ind w:left="714" w:hanging="357"/>
        <w:contextualSpacing w:val="0"/>
        <w:rPr>
          <w:rFonts w:cs="Arial"/>
        </w:rPr>
      </w:pPr>
      <w:r w:rsidRPr="00ED38E9">
        <w:rPr>
          <w:rFonts w:cs="Arial"/>
        </w:rPr>
        <w:t>zpracovatelé OEEZ,</w:t>
      </w:r>
    </w:p>
    <w:p w:rsidR="00EA5F1A" w:rsidRPr="00ED38E9" w:rsidP="003C445B" w14:paraId="5871CDC8" w14:textId="77777777">
      <w:pPr>
        <w:pStyle w:val="ListParagraph"/>
        <w:numPr>
          <w:ilvl w:val="0"/>
          <w:numId w:val="67"/>
        </w:numPr>
        <w:spacing w:after="0"/>
        <w:ind w:left="714" w:hanging="357"/>
        <w:contextualSpacing w:val="0"/>
        <w:rPr>
          <w:rFonts w:cs="Arial"/>
        </w:rPr>
      </w:pPr>
      <w:r w:rsidRPr="00ED38E9">
        <w:rPr>
          <w:rFonts w:cs="Arial"/>
        </w:rPr>
        <w:t>kontrolní orgány (MŽP, ČIŽP),</w:t>
      </w:r>
    </w:p>
    <w:p w:rsidR="00EA5F1A" w:rsidP="003C445B" w14:paraId="20F055FD" w14:textId="77777777">
      <w:pPr>
        <w:pStyle w:val="ListParagraph"/>
        <w:numPr>
          <w:ilvl w:val="0"/>
          <w:numId w:val="67"/>
        </w:numPr>
        <w:spacing w:after="0"/>
        <w:ind w:left="714" w:hanging="357"/>
        <w:contextualSpacing w:val="0"/>
        <w:rPr>
          <w:rFonts w:cs="Arial"/>
        </w:rPr>
      </w:pPr>
      <w:r w:rsidRPr="00ED38E9">
        <w:rPr>
          <w:rFonts w:cs="Arial"/>
        </w:rPr>
        <w:t>obce, kraje.</w:t>
      </w:r>
    </w:p>
    <w:p w:rsidR="00EA5F1A" w:rsidRPr="00ED38E9" w:rsidP="00BF16B7" w14:paraId="3F1F86B4" w14:textId="77777777">
      <w:pPr>
        <w:pStyle w:val="Heading3"/>
      </w:pPr>
      <w:r w:rsidRPr="00ED38E9">
        <w:t>Popis cílového stavu</w:t>
      </w:r>
    </w:p>
    <w:p w:rsidR="00EA5F1A" w:rsidP="00936929" w14:paraId="377F7F48" w14:textId="68D50D14">
      <w:pPr>
        <w:rPr>
          <w:rFonts w:cs="Arial"/>
        </w:rPr>
      </w:pPr>
      <w:r w:rsidRPr="00ED38E9">
        <w:rPr>
          <w:rFonts w:cs="Arial"/>
        </w:rPr>
        <w:t>Hlavním cílem je zajištění sběru a využití OEEZ v souladu se směrnicí 2012/19/EU tak, aby OEEZ, nebo jejich části byly maximálně využity (recyklovány)</w:t>
      </w:r>
      <w:r>
        <w:rPr>
          <w:rFonts w:cs="Arial"/>
        </w:rPr>
        <w:t xml:space="preserve"> nebo</w:t>
      </w:r>
      <w:r w:rsidRPr="00ED38E9">
        <w:rPr>
          <w:rFonts w:cs="Arial"/>
        </w:rPr>
        <w:t xml:space="preserve"> opětovně použity bez</w:t>
      </w:r>
      <w:r w:rsidR="0002268A">
        <w:rPr>
          <w:rFonts w:cs="Arial"/>
        </w:rPr>
        <w:t> </w:t>
      </w:r>
      <w:r w:rsidRPr="00ED38E9">
        <w:rPr>
          <w:rFonts w:cs="Arial"/>
        </w:rPr>
        <w:t>negativního vlivu na životní prostředí. Z toho důvodu je nebytné stanov</w:t>
      </w:r>
      <w:r w:rsidR="00EC71FC">
        <w:rPr>
          <w:rFonts w:cs="Arial"/>
        </w:rPr>
        <w:t>it</w:t>
      </w:r>
      <w:r w:rsidRPr="00ED38E9">
        <w:rPr>
          <w:rFonts w:cs="Arial"/>
        </w:rPr>
        <w:t xml:space="preserve"> </w:t>
      </w:r>
      <w:r w:rsidR="00C954F5">
        <w:rPr>
          <w:rFonts w:cs="Arial"/>
        </w:rPr>
        <w:t>konkrétní</w:t>
      </w:r>
      <w:r w:rsidR="00EC71FC">
        <w:rPr>
          <w:rFonts w:cs="Arial"/>
        </w:rPr>
        <w:t xml:space="preserve"> povinnosti</w:t>
      </w:r>
      <w:r w:rsidR="00C954F5">
        <w:rPr>
          <w:rFonts w:cs="Arial"/>
        </w:rPr>
        <w:t xml:space="preserve"> a </w:t>
      </w:r>
      <w:r w:rsidRPr="00ED38E9">
        <w:rPr>
          <w:rFonts w:cs="Arial"/>
        </w:rPr>
        <w:t>cíl</w:t>
      </w:r>
      <w:r w:rsidR="00EC71FC">
        <w:rPr>
          <w:rFonts w:cs="Arial"/>
        </w:rPr>
        <w:t>e</w:t>
      </w:r>
      <w:r w:rsidRPr="00ED38E9">
        <w:rPr>
          <w:rFonts w:cs="Arial"/>
        </w:rPr>
        <w:t xml:space="preserve"> sběru </w:t>
      </w:r>
      <w:r w:rsidR="00C954F5">
        <w:rPr>
          <w:rFonts w:cs="Arial"/>
        </w:rPr>
        <w:t xml:space="preserve">povinným osobám (výrobcům, potažmo KS) </w:t>
      </w:r>
      <w:r w:rsidRPr="00ED38E9">
        <w:rPr>
          <w:rFonts w:cs="Arial"/>
        </w:rPr>
        <w:t>a</w:t>
      </w:r>
      <w:r w:rsidR="00C954F5">
        <w:rPr>
          <w:rFonts w:cs="Arial"/>
        </w:rPr>
        <w:t xml:space="preserve"> zajištění vymahatelnosti těchto povinností (možnost</w:t>
      </w:r>
      <w:r w:rsidRPr="00ED38E9" w:rsidR="00C954F5">
        <w:rPr>
          <w:rFonts w:cs="Arial"/>
        </w:rPr>
        <w:t xml:space="preserve"> udělení </w:t>
      </w:r>
      <w:r w:rsidR="00C954F5">
        <w:rPr>
          <w:rFonts w:cs="Arial"/>
        </w:rPr>
        <w:t>nápravnýc</w:t>
      </w:r>
      <w:r w:rsidRPr="00ED38E9" w:rsidR="00C954F5">
        <w:rPr>
          <w:rFonts w:cs="Arial"/>
        </w:rPr>
        <w:t>h</w:t>
      </w:r>
      <w:r w:rsidR="00C954F5">
        <w:rPr>
          <w:rFonts w:cs="Arial"/>
        </w:rPr>
        <w:t xml:space="preserve"> opatření či sankcí</w:t>
      </w:r>
      <w:r w:rsidRPr="00ED38E9" w:rsidR="00C954F5">
        <w:rPr>
          <w:rFonts w:cs="Arial"/>
        </w:rPr>
        <w:t xml:space="preserve"> za</w:t>
      </w:r>
      <w:r w:rsidR="00C954F5">
        <w:rPr>
          <w:rFonts w:cs="Arial"/>
        </w:rPr>
        <w:t> </w:t>
      </w:r>
      <w:r w:rsidRPr="00ED38E9" w:rsidR="00C954F5">
        <w:rPr>
          <w:rFonts w:cs="Arial"/>
        </w:rPr>
        <w:t xml:space="preserve">nedodržení </w:t>
      </w:r>
      <w:r w:rsidR="00C954F5">
        <w:rPr>
          <w:rFonts w:cs="Arial"/>
        </w:rPr>
        <w:t>zákonných</w:t>
      </w:r>
      <w:r w:rsidRPr="00ED38E9" w:rsidR="00C954F5">
        <w:rPr>
          <w:rFonts w:cs="Arial"/>
        </w:rPr>
        <w:t xml:space="preserve"> povinností</w:t>
      </w:r>
      <w:r w:rsidR="00C954F5">
        <w:rPr>
          <w:rFonts w:cs="Arial"/>
        </w:rPr>
        <w:t xml:space="preserve">). </w:t>
      </w:r>
      <w:r w:rsidRPr="00ED38E9">
        <w:rPr>
          <w:rFonts w:cs="Arial"/>
        </w:rPr>
        <w:t xml:space="preserve">Neposledním cílem je také omezení odstraňování OEEZ v netříděném komunálním odpadu. </w:t>
      </w:r>
    </w:p>
    <w:p w:rsidR="00EA5F1A" w:rsidRPr="00ED38E9" w:rsidP="00BF16B7" w14:paraId="6A37D20A" w14:textId="77777777">
      <w:pPr>
        <w:pStyle w:val="Heading3"/>
      </w:pPr>
      <w:r w:rsidRPr="00ED38E9">
        <w:t>Zhodnocení rizika</w:t>
      </w:r>
    </w:p>
    <w:p w:rsidR="00EA5F1A" w:rsidRPr="00ED38E9" w:rsidP="00936929" w14:paraId="7A81B47A" w14:textId="77777777">
      <w:pPr>
        <w:rPr>
          <w:rFonts w:cs="Arial"/>
        </w:rPr>
      </w:pPr>
      <w:r w:rsidRPr="00ED38E9">
        <w:rPr>
          <w:rFonts w:cs="Arial"/>
        </w:rPr>
        <w:t>Mezi rizika řadíme:</w:t>
      </w:r>
    </w:p>
    <w:p w:rsidR="00EA5F1A" w:rsidRPr="00ED38E9" w:rsidP="003C445B" w14:paraId="5CF5AD45" w14:textId="77777777">
      <w:pPr>
        <w:pStyle w:val="ListParagraph"/>
        <w:numPr>
          <w:ilvl w:val="0"/>
          <w:numId w:val="78"/>
        </w:numPr>
        <w:contextualSpacing w:val="0"/>
        <w:rPr>
          <w:rFonts w:cs="Arial"/>
        </w:rPr>
      </w:pPr>
      <w:r w:rsidRPr="00ED38E9">
        <w:rPr>
          <w:rFonts w:cs="Arial"/>
        </w:rPr>
        <w:t xml:space="preserve">neplnění cílů stanovených EU a z toho vyplývající </w:t>
      </w:r>
      <w:r>
        <w:rPr>
          <w:rFonts w:cs="Arial"/>
        </w:rPr>
        <w:t xml:space="preserve">hrozba </w:t>
      </w:r>
      <w:r w:rsidRPr="00ED38E9">
        <w:rPr>
          <w:rFonts w:cs="Arial"/>
        </w:rPr>
        <w:t>infri</w:t>
      </w:r>
      <w:r>
        <w:rPr>
          <w:rFonts w:cs="Arial"/>
        </w:rPr>
        <w:t>n</w:t>
      </w:r>
      <w:r w:rsidRPr="00ED38E9">
        <w:rPr>
          <w:rFonts w:cs="Arial"/>
        </w:rPr>
        <w:t>gement</w:t>
      </w:r>
      <w:r>
        <w:rPr>
          <w:rFonts w:cs="Arial"/>
        </w:rPr>
        <w:t>u</w:t>
      </w:r>
      <w:r w:rsidRPr="00ED38E9">
        <w:rPr>
          <w:rFonts w:cs="Arial"/>
        </w:rPr>
        <w:t>,</w:t>
      </w:r>
    </w:p>
    <w:p w:rsidR="00EA5F1A" w:rsidRPr="00ED38E9" w:rsidP="003C445B" w14:paraId="58052122" w14:textId="77777777">
      <w:pPr>
        <w:pStyle w:val="ListParagraph"/>
        <w:numPr>
          <w:ilvl w:val="0"/>
          <w:numId w:val="78"/>
        </w:numPr>
        <w:contextualSpacing w:val="0"/>
        <w:rPr>
          <w:rFonts w:cs="Arial"/>
        </w:rPr>
      </w:pPr>
      <w:r>
        <w:rPr>
          <w:rFonts w:cs="Arial"/>
        </w:rPr>
        <w:t>stagnace či pokles</w:t>
      </w:r>
      <w:r w:rsidRPr="00ED38E9">
        <w:rPr>
          <w:rFonts w:cs="Arial"/>
        </w:rPr>
        <w:t xml:space="preserve"> </w:t>
      </w:r>
      <w:r w:rsidRPr="00ED38E9">
        <w:rPr>
          <w:rFonts w:cs="Arial"/>
        </w:rPr>
        <w:t>množství sebraných OEEZ,</w:t>
      </w:r>
    </w:p>
    <w:p w:rsidR="00EA5F1A" w:rsidRPr="00ED38E9" w:rsidP="003C445B" w14:paraId="57D4F2DC" w14:textId="77777777">
      <w:pPr>
        <w:pStyle w:val="ListParagraph"/>
        <w:numPr>
          <w:ilvl w:val="0"/>
          <w:numId w:val="78"/>
        </w:numPr>
        <w:contextualSpacing w:val="0"/>
        <w:rPr>
          <w:rFonts w:cs="Arial"/>
        </w:rPr>
      </w:pPr>
      <w:r w:rsidRPr="00ED38E9">
        <w:rPr>
          <w:rFonts w:cs="Arial"/>
        </w:rPr>
        <w:t>nezajištění využití (recyklace) OEEZ,</w:t>
      </w:r>
    </w:p>
    <w:p w:rsidR="00EA5F1A" w:rsidRPr="00ED38E9" w:rsidP="003C445B" w14:paraId="1F75D623" w14:textId="77777777">
      <w:pPr>
        <w:pStyle w:val="ListParagraph"/>
        <w:numPr>
          <w:ilvl w:val="0"/>
          <w:numId w:val="78"/>
        </w:numPr>
        <w:contextualSpacing w:val="0"/>
        <w:rPr>
          <w:rFonts w:cs="Arial"/>
        </w:rPr>
      </w:pPr>
      <w:r>
        <w:rPr>
          <w:rFonts w:cs="Arial"/>
        </w:rPr>
        <w:t>stagnace či nárůst</w:t>
      </w:r>
      <w:r w:rsidRPr="00ED38E9">
        <w:rPr>
          <w:rFonts w:cs="Arial"/>
        </w:rPr>
        <w:t xml:space="preserve"> </w:t>
      </w:r>
      <w:r w:rsidRPr="00ED38E9">
        <w:rPr>
          <w:rFonts w:cs="Arial"/>
        </w:rPr>
        <w:t>množství OEEZ v netříděném komunálním odpadu,</w:t>
      </w:r>
    </w:p>
    <w:p w:rsidR="00EA5F1A" w:rsidP="003C445B" w14:paraId="06A4CBFE" w14:textId="77777777">
      <w:pPr>
        <w:pStyle w:val="ListParagraph"/>
        <w:numPr>
          <w:ilvl w:val="0"/>
          <w:numId w:val="78"/>
        </w:numPr>
        <w:contextualSpacing w:val="0"/>
        <w:rPr>
          <w:rFonts w:cs="Arial"/>
        </w:rPr>
      </w:pPr>
      <w:r w:rsidRPr="00ED38E9">
        <w:rPr>
          <w:rFonts w:cs="Arial"/>
        </w:rPr>
        <w:t>navýšení administrativní zátěže kontrolních subjektů.</w:t>
      </w:r>
    </w:p>
    <w:p w:rsidR="00445AB4" w:rsidP="003351D5" w14:paraId="5CD185C8" w14:textId="77777777">
      <w:pPr>
        <w:pStyle w:val="Heading2"/>
        <w:spacing w:before="360"/>
        <w:ind w:left="578" w:hanging="578"/>
      </w:pPr>
      <w:r>
        <w:t xml:space="preserve">Návrh variant </w:t>
      </w:r>
      <w:r w:rsidR="00772F84">
        <w:t>řešení</w:t>
      </w:r>
    </w:p>
    <w:p w:rsidR="00EA5F1A" w:rsidRPr="00772F84" w:rsidP="003351D5" w14:paraId="6D062FC8" w14:textId="77777777">
      <w:pPr>
        <w:pStyle w:val="Heading4"/>
        <w:numPr>
          <w:ilvl w:val="0"/>
          <w:numId w:val="0"/>
        </w:numPr>
        <w:spacing w:before="120"/>
        <w:ind w:left="862" w:hanging="862"/>
        <w:rPr>
          <w:b/>
          <w:sz w:val="24"/>
          <w:szCs w:val="24"/>
        </w:rPr>
      </w:pPr>
      <w:r w:rsidRPr="00772F84">
        <w:rPr>
          <w:b/>
          <w:sz w:val="24"/>
          <w:szCs w:val="24"/>
        </w:rPr>
        <w:t>Varianta 0</w:t>
      </w:r>
    </w:p>
    <w:p w:rsidR="00EA5F1A" w:rsidRPr="00772F84" w:rsidP="00EA5F1A" w14:paraId="2163FB9A" w14:textId="45940E1A">
      <w:pPr>
        <w:rPr>
          <w:rFonts w:cs="Arial"/>
        </w:rPr>
      </w:pPr>
      <w:r w:rsidRPr="00772F84">
        <w:rPr>
          <w:rFonts w:cs="Arial"/>
        </w:rPr>
        <w:t xml:space="preserve">Ponechání současného stavu, což znamená, že oprávněni k přebírání OEEZ jsou pouze místa </w:t>
      </w:r>
      <w:r w:rsidR="00E93420">
        <w:rPr>
          <w:rFonts w:cs="Arial"/>
        </w:rPr>
        <w:t>ZO</w:t>
      </w:r>
      <w:r w:rsidRPr="00772F84">
        <w:rPr>
          <w:rFonts w:cs="Arial"/>
        </w:rPr>
        <w:t xml:space="preserve"> nebo přímo zpracovatelé elektroodpadů, u nichž není vyžadována smlouva s výrobcem, resp. KS. Cíle sběru jsou stanoveny na ČR. </w:t>
      </w:r>
    </w:p>
    <w:p w:rsidR="00EA5F1A" w:rsidRPr="00772F84" w:rsidP="00772F84" w14:paraId="13B804CF" w14:textId="77777777">
      <w:pPr>
        <w:pStyle w:val="Heading4"/>
        <w:numPr>
          <w:ilvl w:val="0"/>
          <w:numId w:val="0"/>
        </w:numPr>
        <w:ind w:left="864" w:hanging="864"/>
        <w:rPr>
          <w:b/>
          <w:sz w:val="24"/>
          <w:szCs w:val="24"/>
        </w:rPr>
      </w:pPr>
      <w:r w:rsidRPr="00772F84">
        <w:rPr>
          <w:b/>
          <w:sz w:val="24"/>
          <w:szCs w:val="24"/>
        </w:rPr>
        <w:t>Varianta 1</w:t>
      </w:r>
    </w:p>
    <w:p w:rsidR="00EA5F1A" w:rsidP="00EA5F1A" w14:paraId="159D4614" w14:textId="50DC6381">
      <w:pPr>
        <w:rPr>
          <w:rFonts w:cs="Arial"/>
        </w:rPr>
      </w:pPr>
      <w:r w:rsidRPr="00772F84">
        <w:rPr>
          <w:rFonts w:cs="Arial"/>
        </w:rPr>
        <w:t xml:space="preserve">Ponechání současného stavu s tím, že na výrobce, resp. KS bude vztažena míra sběru OEEZ. To znamená, že oprávněni k přebírání OEEZ jsou pouze místa </w:t>
      </w:r>
      <w:r w:rsidR="00E93420">
        <w:rPr>
          <w:rFonts w:cs="Arial"/>
        </w:rPr>
        <w:t>ZO</w:t>
      </w:r>
      <w:r w:rsidRPr="00772F84">
        <w:rPr>
          <w:rFonts w:cs="Arial"/>
        </w:rPr>
        <w:t>, nebo přímo zpracovatelé elektroodpadů, u nichž není vyžadována smlouva s výrobcem/KS. Odpovědnost za plnění cílů sběru OEEZ má pouze výrobce/KS.</w:t>
      </w:r>
    </w:p>
    <w:p w:rsidR="001E3A78" w:rsidRPr="00772F84" w:rsidP="00EA5F1A" w14:paraId="6452C999" w14:textId="77777777">
      <w:pPr>
        <w:rPr>
          <w:rFonts w:cs="Arial"/>
        </w:rPr>
      </w:pPr>
    </w:p>
    <w:p w:rsidR="00772F84" w:rsidP="003B2232" w14:paraId="0AD46994" w14:textId="77777777">
      <w:pPr>
        <w:pStyle w:val="Heading2"/>
        <w:spacing w:before="360"/>
        <w:ind w:left="578" w:hanging="578"/>
      </w:pPr>
      <w:r>
        <w:t>Vyhodnocení nákladů a přínosů</w:t>
      </w:r>
    </w:p>
    <w:p w:rsidR="00EA5F1A" w:rsidRPr="006C2859" w:rsidP="00772F84" w14:paraId="11E3177A" w14:textId="77777777">
      <w:pPr>
        <w:pStyle w:val="Heading4"/>
        <w:numPr>
          <w:ilvl w:val="0"/>
          <w:numId w:val="0"/>
        </w:numPr>
        <w:spacing w:after="120"/>
        <w:ind w:left="864" w:hanging="864"/>
        <w:rPr>
          <w:b/>
          <w:i/>
          <w:sz w:val="24"/>
          <w:szCs w:val="24"/>
        </w:rPr>
      </w:pPr>
      <w:r w:rsidRPr="006C2859">
        <w:rPr>
          <w:b/>
          <w:i/>
          <w:sz w:val="24"/>
          <w:szCs w:val="24"/>
        </w:rPr>
        <w:t>Identifikace nákladů a přínosů</w:t>
      </w:r>
    </w:p>
    <w:p w:rsidR="00EA5F1A" w:rsidRPr="00221615" w:rsidP="003C445B" w14:paraId="50086C73" w14:textId="77777777">
      <w:pPr>
        <w:pStyle w:val="ListParagraph"/>
        <w:keepNext/>
        <w:numPr>
          <w:ilvl w:val="0"/>
          <w:numId w:val="65"/>
        </w:numPr>
        <w:spacing w:before="240" w:after="120"/>
        <w:contextualSpacing w:val="0"/>
        <w:rPr>
          <w:rFonts w:cs="Arial"/>
          <w:b/>
        </w:rPr>
      </w:pPr>
      <w:r w:rsidRPr="00221615">
        <w:rPr>
          <w:rFonts w:cs="Arial"/>
          <w:b/>
        </w:rPr>
        <w:t>Varianta 0</w:t>
      </w:r>
    </w:p>
    <w:p w:rsidR="00EA5F1A" w:rsidRPr="00ED38E9" w:rsidP="0008452B" w14:paraId="6E355C67" w14:textId="77777777">
      <w:pPr>
        <w:rPr>
          <w:rFonts w:cs="Arial"/>
        </w:rPr>
      </w:pPr>
      <w:r w:rsidRPr="00ED38E9">
        <w:rPr>
          <w:rFonts w:cs="Arial"/>
        </w:rPr>
        <w:t xml:space="preserve">Současný zákon o odpadech stanovuje povinnost odkládat použitá </w:t>
      </w:r>
      <w:r w:rsidR="0008452B">
        <w:rPr>
          <w:rFonts w:cs="Arial"/>
        </w:rPr>
        <w:t>OEEZ</w:t>
      </w:r>
      <w:r w:rsidRPr="00ED38E9" w:rsidR="0008452B">
        <w:rPr>
          <w:rFonts w:cs="Arial"/>
        </w:rPr>
        <w:t xml:space="preserve"> </w:t>
      </w:r>
      <w:r w:rsidR="0008452B">
        <w:rPr>
          <w:rFonts w:cs="Arial"/>
        </w:rPr>
        <w:t>z domácností:</w:t>
      </w:r>
    </w:p>
    <w:p w:rsidR="00EA5F1A" w:rsidRPr="00ED38E9" w:rsidP="003C445B" w14:paraId="1026D973" w14:textId="4FA72FB4">
      <w:pPr>
        <w:pStyle w:val="ListParagraph"/>
        <w:numPr>
          <w:ilvl w:val="0"/>
          <w:numId w:val="68"/>
        </w:numPr>
        <w:contextualSpacing w:val="0"/>
        <w:rPr>
          <w:rFonts w:cs="Arial"/>
        </w:rPr>
      </w:pPr>
      <w:r w:rsidRPr="00ED38E9">
        <w:rPr>
          <w:rFonts w:cs="Arial"/>
        </w:rPr>
        <w:t xml:space="preserve">na místa </w:t>
      </w:r>
      <w:r w:rsidR="00E93420">
        <w:rPr>
          <w:rFonts w:cs="Arial"/>
        </w:rPr>
        <w:t>ZO</w:t>
      </w:r>
      <w:r w:rsidRPr="00ED38E9">
        <w:rPr>
          <w:rFonts w:cs="Arial"/>
        </w:rPr>
        <w:t xml:space="preserve"> (místo vytvořené výrobcem), </w:t>
      </w:r>
    </w:p>
    <w:p w:rsidR="00EA5F1A" w:rsidRPr="00ED38E9" w:rsidP="003C445B" w14:paraId="3D70D856" w14:textId="77777777">
      <w:pPr>
        <w:pStyle w:val="ListParagraph"/>
        <w:numPr>
          <w:ilvl w:val="0"/>
          <w:numId w:val="68"/>
        </w:numPr>
        <w:contextualSpacing w:val="0"/>
        <w:rPr>
          <w:rFonts w:cs="Arial"/>
        </w:rPr>
      </w:pPr>
      <w:r w:rsidRPr="00ED38E9">
        <w:rPr>
          <w:rFonts w:cs="Arial"/>
        </w:rPr>
        <w:t xml:space="preserve">předáním poslednímu prodejci v případech zákonem stanovených </w:t>
      </w:r>
      <w:r w:rsidR="0008452B">
        <w:rPr>
          <w:rFonts w:cs="Arial"/>
        </w:rPr>
        <w:t>nebo</w:t>
      </w:r>
    </w:p>
    <w:p w:rsidR="00EA5F1A" w:rsidRPr="00ED38E9" w:rsidP="003C445B" w14:paraId="2D2820A1" w14:textId="6BA80DAA">
      <w:pPr>
        <w:pStyle w:val="ListParagraph"/>
        <w:numPr>
          <w:ilvl w:val="0"/>
          <w:numId w:val="68"/>
        </w:numPr>
        <w:contextualSpacing w:val="0"/>
        <w:rPr>
          <w:rFonts w:cs="Arial"/>
        </w:rPr>
      </w:pPr>
      <w:r w:rsidRPr="00ED38E9">
        <w:rPr>
          <w:rFonts w:cs="Arial"/>
        </w:rPr>
        <w:t xml:space="preserve">zpracovateli </w:t>
      </w:r>
      <w:r w:rsidR="00E93420">
        <w:rPr>
          <w:rFonts w:cs="Arial"/>
        </w:rPr>
        <w:t>OEEZ</w:t>
      </w:r>
      <w:r w:rsidRPr="00ED38E9">
        <w:rPr>
          <w:rFonts w:cs="Arial"/>
        </w:rPr>
        <w:t xml:space="preserve"> (subjekt, který disponuje souhlasem krajského úřadu </w:t>
      </w:r>
      <w:r>
        <w:rPr>
          <w:rFonts w:cs="Arial"/>
        </w:rPr>
        <w:t>k provozování zařízení ke</w:t>
      </w:r>
      <w:r w:rsidRPr="00ED38E9">
        <w:rPr>
          <w:rFonts w:cs="Arial"/>
        </w:rPr>
        <w:t xml:space="preserve"> zpracování elektroodpadů). </w:t>
      </w:r>
    </w:p>
    <w:p w:rsidR="00EA5F1A" w:rsidRPr="00ED38E9" w:rsidP="0008452B" w14:paraId="77787B9B" w14:textId="77777777">
      <w:pPr>
        <w:rPr>
          <w:rFonts w:cs="Arial"/>
        </w:rPr>
      </w:pPr>
      <w:r w:rsidRPr="00ED38E9">
        <w:rPr>
          <w:rFonts w:cs="Arial"/>
        </w:rPr>
        <w:t>OEEZ, která nejsou určena k použití v domácnosti, je možné odkládat pouze</w:t>
      </w:r>
      <w:r w:rsidR="0008452B">
        <w:rPr>
          <w:rFonts w:cs="Arial"/>
        </w:rPr>
        <w:t>:</w:t>
      </w:r>
    </w:p>
    <w:p w:rsidR="00EA5F1A" w:rsidRPr="00ED38E9" w:rsidP="003C445B" w14:paraId="642ACF36" w14:textId="77777777">
      <w:pPr>
        <w:pStyle w:val="ListParagraph"/>
        <w:numPr>
          <w:ilvl w:val="0"/>
          <w:numId w:val="69"/>
        </w:numPr>
        <w:contextualSpacing w:val="0"/>
        <w:rPr>
          <w:rFonts w:cs="Arial"/>
        </w:rPr>
      </w:pPr>
      <w:r w:rsidRPr="00ED38E9">
        <w:rPr>
          <w:rFonts w:cs="Arial"/>
        </w:rPr>
        <w:t>v místech odděleného sběru (místo vytvořené výrobcem)</w:t>
      </w:r>
      <w:r w:rsidR="0008452B">
        <w:rPr>
          <w:rFonts w:cs="Arial"/>
        </w:rPr>
        <w:t xml:space="preserve"> nebo</w:t>
      </w:r>
      <w:r w:rsidRPr="00ED38E9">
        <w:rPr>
          <w:rFonts w:cs="Arial"/>
        </w:rPr>
        <w:t xml:space="preserve"> </w:t>
      </w:r>
    </w:p>
    <w:p w:rsidR="00EA5F1A" w:rsidRPr="00ED38E9" w:rsidP="003C445B" w14:paraId="595C25A7" w14:textId="77777777">
      <w:pPr>
        <w:pStyle w:val="ListParagraph"/>
        <w:numPr>
          <w:ilvl w:val="0"/>
          <w:numId w:val="69"/>
        </w:numPr>
        <w:contextualSpacing w:val="0"/>
        <w:rPr>
          <w:rFonts w:cs="Arial"/>
        </w:rPr>
      </w:pPr>
      <w:r w:rsidRPr="00ED38E9">
        <w:rPr>
          <w:rFonts w:cs="Arial"/>
        </w:rPr>
        <w:t xml:space="preserve">u zpracovatele odpadních elektrozařízení. </w:t>
      </w:r>
    </w:p>
    <w:p w:rsidR="00EA5F1A" w:rsidRPr="00ED38E9" w:rsidP="0008452B" w14:paraId="3F1D6C1B" w14:textId="74C4B1B4">
      <w:r w:rsidRPr="00ED38E9">
        <w:rPr>
          <w:rFonts w:cs="Arial"/>
        </w:rPr>
        <w:t xml:space="preserve">V současné době tak OEEZ směřují jak do systémů výrobce (místa </w:t>
      </w:r>
      <w:r w:rsidR="00E93420">
        <w:rPr>
          <w:rFonts w:cs="Arial"/>
        </w:rPr>
        <w:t>ZO</w:t>
      </w:r>
      <w:r w:rsidRPr="00ED38E9">
        <w:rPr>
          <w:rFonts w:cs="Arial"/>
        </w:rPr>
        <w:t>, odděleného sběru, popř. poslední prodejci), tak do zařízení na zpracování elektroodpadů (tyto údaje v současnosti nejsou součástí hodnot pro výpočet cílů sběru). Cíle sběru nejsou přímo stanoveny na tyto subjekty, ale na Č</w:t>
      </w:r>
      <w:r w:rsidR="0008452B">
        <w:rPr>
          <w:rFonts w:cs="Arial"/>
        </w:rPr>
        <w:t>R</w:t>
      </w:r>
      <w:r w:rsidRPr="00ED38E9">
        <w:rPr>
          <w:rFonts w:cs="Arial"/>
        </w:rPr>
        <w:t xml:space="preserve">. </w:t>
      </w:r>
    </w:p>
    <w:p w:rsidR="00EA5F1A" w:rsidRPr="00ED38E9" w:rsidP="003B2232" w14:paraId="4EA95D21" w14:textId="77777777">
      <w:pPr>
        <w:pStyle w:val="Normlntun"/>
        <w:spacing w:before="240" w:after="0" w:line="276" w:lineRule="auto"/>
        <w:rPr>
          <w:rFonts w:cs="Arial"/>
        </w:rPr>
      </w:pPr>
      <w:r w:rsidRPr="00ED38E9">
        <w:rPr>
          <w:rFonts w:cs="Arial"/>
        </w:rPr>
        <w:t>Dopady na státní rozpočet a ostatní veřejné rozpočty</w:t>
      </w:r>
    </w:p>
    <w:p w:rsidR="00EA5F1A" w:rsidP="000C73AE" w14:paraId="52669B1F" w14:textId="57AD55BA">
      <w:pPr>
        <w:rPr>
          <w:rFonts w:cs="Arial"/>
        </w:rPr>
      </w:pPr>
      <w:r w:rsidRPr="00ED38E9">
        <w:rPr>
          <w:rFonts w:cs="Arial"/>
        </w:rPr>
        <w:t xml:space="preserve">S ohledem na v současnosti dosahovanou míru sběru </w:t>
      </w:r>
      <w:r w:rsidRPr="000C73AE">
        <w:rPr>
          <w:rFonts w:cs="Arial"/>
        </w:rPr>
        <w:t xml:space="preserve">cca </w:t>
      </w:r>
      <w:r w:rsidRPr="000C73AE" w:rsidR="000C73AE">
        <w:rPr>
          <w:rFonts w:cs="Arial"/>
        </w:rPr>
        <w:t xml:space="preserve">50 </w:t>
      </w:r>
      <w:r w:rsidRPr="000C73AE">
        <w:rPr>
          <w:rFonts w:cs="Arial"/>
        </w:rPr>
        <w:t>%</w:t>
      </w:r>
      <w:r w:rsidRPr="00ED38E9">
        <w:rPr>
          <w:rFonts w:cs="Arial"/>
        </w:rPr>
        <w:t xml:space="preserve"> hrozí riziko </w:t>
      </w:r>
      <w:r>
        <w:rPr>
          <w:rFonts w:cs="Arial"/>
        </w:rPr>
        <w:t>infringement</w:t>
      </w:r>
      <w:r w:rsidRPr="00ED38E9">
        <w:rPr>
          <w:rFonts w:cs="Arial"/>
        </w:rPr>
        <w:t>u z důvodu neplnění cílů stanovených EU</w:t>
      </w:r>
      <w:r w:rsidR="000C73AE">
        <w:rPr>
          <w:rFonts w:cs="Arial"/>
        </w:rPr>
        <w:t xml:space="preserve"> (o</w:t>
      </w:r>
      <w:r w:rsidRPr="00ED38E9" w:rsidR="000C73AE">
        <w:rPr>
          <w:rFonts w:cs="Arial"/>
        </w:rPr>
        <w:t xml:space="preserve">d 1. 1. 2019 by měly členské země </w:t>
      </w:r>
      <w:r w:rsidR="00E93420">
        <w:rPr>
          <w:rFonts w:cs="Arial"/>
        </w:rPr>
        <w:t>zpětně odebrat</w:t>
      </w:r>
      <w:r w:rsidRPr="00ED38E9" w:rsidR="000C73AE">
        <w:rPr>
          <w:rFonts w:cs="Arial"/>
        </w:rPr>
        <w:t xml:space="preserve"> 65 % průměrné hmotnosti zařízení uvedených na trh v předešlých třech letech nebo 85 % vyprodukovaných OEEZ</w:t>
      </w:r>
      <w:r w:rsidR="000C73AE">
        <w:rPr>
          <w:rFonts w:cs="Arial"/>
        </w:rPr>
        <w:t>)</w:t>
      </w:r>
      <w:r w:rsidRPr="00ED38E9">
        <w:rPr>
          <w:rFonts w:cs="Arial"/>
        </w:rPr>
        <w:t xml:space="preserve">, protože nejsou jasně stanovena pravidla plnění cílů pro výrobce či </w:t>
      </w:r>
      <w:r w:rsidR="000C73AE">
        <w:rPr>
          <w:rFonts w:cs="Arial"/>
        </w:rPr>
        <w:t>KS</w:t>
      </w:r>
      <w:r w:rsidRPr="00ED38E9">
        <w:rPr>
          <w:rFonts w:cs="Arial"/>
        </w:rPr>
        <w:t xml:space="preserve"> včetně sankcí za jejich neplnění.</w:t>
      </w:r>
    </w:p>
    <w:p w:rsidR="00EA5F1A" w:rsidRPr="00ED38E9" w:rsidP="003B2232" w14:paraId="2186AA25" w14:textId="77777777">
      <w:pPr>
        <w:pStyle w:val="Normlntun"/>
        <w:spacing w:after="0" w:line="276" w:lineRule="auto"/>
        <w:rPr>
          <w:rFonts w:cs="Arial"/>
        </w:rPr>
      </w:pPr>
      <w:r w:rsidRPr="00ED38E9">
        <w:rPr>
          <w:rFonts w:cs="Arial"/>
        </w:rPr>
        <w:t>Dopady na podnikatelské subjekty</w:t>
      </w:r>
    </w:p>
    <w:p w:rsidR="0008452B" w:rsidP="00772F84" w14:paraId="463A14C6" w14:textId="2FBE9F6E">
      <w:pPr>
        <w:rPr>
          <w:rFonts w:cs="Arial"/>
        </w:rPr>
      </w:pPr>
      <w:r w:rsidRPr="00ED38E9">
        <w:rPr>
          <w:rFonts w:cs="Arial"/>
        </w:rPr>
        <w:t xml:space="preserve">Subjekty, které nakládají s OEEZ musí disponovat smlouvou s výrobcem či KS, nebo musí disponovat souhlasem pro zpracování OEEZ vydaným </w:t>
      </w:r>
      <w:r w:rsidR="000C73AE">
        <w:rPr>
          <w:rFonts w:cs="Arial"/>
        </w:rPr>
        <w:t>krajským úřadem</w:t>
      </w:r>
      <w:r w:rsidRPr="00ED38E9">
        <w:rPr>
          <w:rFonts w:cs="Arial"/>
        </w:rPr>
        <w:t xml:space="preserve">. </w:t>
      </w:r>
    </w:p>
    <w:p w:rsidR="00EA5F1A" w:rsidRPr="00ED38E9" w:rsidP="003B2232" w14:paraId="39456169" w14:textId="77777777">
      <w:pPr>
        <w:pStyle w:val="Normlntun"/>
        <w:keepNext w:val="0"/>
        <w:spacing w:after="0" w:line="276" w:lineRule="auto"/>
        <w:rPr>
          <w:rFonts w:cs="Arial"/>
        </w:rPr>
      </w:pPr>
      <w:r w:rsidRPr="00ED38E9">
        <w:rPr>
          <w:rFonts w:cs="Arial"/>
        </w:rPr>
        <w:t>Dopady na územní samosprávné celky (obce, kraje)</w:t>
      </w:r>
    </w:p>
    <w:p w:rsidR="00EA5F1A" w:rsidRPr="000C73AE" w:rsidP="001E3A78" w14:paraId="35B6DDED" w14:textId="77777777">
      <w:r w:rsidRPr="000C73AE">
        <w:t>Současný stav nepředstavuje dopady na územní samosprávné celky.</w:t>
      </w:r>
    </w:p>
    <w:p w:rsidR="00EA5F1A" w:rsidRPr="00ED38E9" w:rsidP="003B2232" w14:paraId="3650A4C5" w14:textId="77777777">
      <w:pPr>
        <w:pStyle w:val="Normlntun"/>
        <w:keepNext w:val="0"/>
        <w:spacing w:after="0" w:line="276" w:lineRule="auto"/>
        <w:rPr>
          <w:rFonts w:cs="Arial"/>
        </w:rPr>
      </w:pPr>
      <w:r w:rsidRPr="00ED38E9">
        <w:rPr>
          <w:rFonts w:cs="Arial"/>
        </w:rPr>
        <w:t>Sociální dopady a dopady na spotřebitele</w:t>
      </w:r>
    </w:p>
    <w:p w:rsidR="00EA5F1A" w:rsidRPr="000C73AE" w:rsidP="001E3A78" w14:paraId="4ECDF820" w14:textId="77777777">
      <w:pPr>
        <w:pStyle w:val="Normlntun"/>
        <w:keepNext w:val="0"/>
        <w:spacing w:before="120" w:after="0" w:line="276" w:lineRule="auto"/>
        <w:rPr>
          <w:rFonts w:cs="Arial"/>
          <w:b w:val="0"/>
        </w:rPr>
      </w:pPr>
      <w:r w:rsidRPr="000C73AE">
        <w:rPr>
          <w:rFonts w:cs="Arial"/>
          <w:b w:val="0"/>
        </w:rPr>
        <w:t>Současný stav nepředstavuje dopady v sociální oblasti ani na spotřebitele.</w:t>
      </w:r>
    </w:p>
    <w:p w:rsidR="00EA5F1A" w:rsidRPr="00ED38E9" w:rsidP="003B2232" w14:paraId="4EB4C64E" w14:textId="77777777">
      <w:pPr>
        <w:pStyle w:val="Normlntun"/>
        <w:spacing w:before="240" w:after="0" w:line="276" w:lineRule="auto"/>
        <w:rPr>
          <w:rFonts w:cs="Arial"/>
        </w:rPr>
      </w:pPr>
      <w:r w:rsidRPr="00ED38E9">
        <w:rPr>
          <w:rFonts w:cs="Arial"/>
        </w:rPr>
        <w:t>Dopady na životní prostředí</w:t>
      </w:r>
    </w:p>
    <w:p w:rsidR="00EA5F1A" w:rsidP="00771BA6" w14:paraId="082880A5" w14:textId="77777777">
      <w:pPr>
        <w:rPr>
          <w:rFonts w:cs="Arial"/>
        </w:rPr>
      </w:pPr>
      <w:r w:rsidRPr="00ED38E9">
        <w:rPr>
          <w:rFonts w:cs="Arial"/>
        </w:rPr>
        <w:t>Současný stav představuje dopady na životní prostředí, protože je zde nízká motivace pro</w:t>
      </w:r>
      <w:r w:rsidR="0008452B">
        <w:rPr>
          <w:rFonts w:cs="Arial"/>
        </w:rPr>
        <w:t> </w:t>
      </w:r>
      <w:r w:rsidRPr="00ED38E9">
        <w:rPr>
          <w:rFonts w:cs="Arial"/>
        </w:rPr>
        <w:t xml:space="preserve">navyšování míry sběru OEEZ a je otázkou, kde </w:t>
      </w:r>
      <w:r w:rsidR="0008452B">
        <w:rPr>
          <w:rFonts w:cs="Arial"/>
        </w:rPr>
        <w:t>zbylé</w:t>
      </w:r>
      <w:r w:rsidRPr="00ED38E9" w:rsidR="0008452B">
        <w:rPr>
          <w:rFonts w:cs="Arial"/>
        </w:rPr>
        <w:t xml:space="preserve"> </w:t>
      </w:r>
      <w:r w:rsidRPr="00ED38E9">
        <w:rPr>
          <w:rFonts w:cs="Arial"/>
        </w:rPr>
        <w:t>množství OEEZ končí.</w:t>
      </w:r>
    </w:p>
    <w:p w:rsidR="00771BA6" w:rsidRPr="00ED38E9" w:rsidP="002660B2" w14:paraId="14DBF969" w14:textId="77777777">
      <w:pPr>
        <w:rPr>
          <w:rFonts w:cs="Arial"/>
        </w:rPr>
      </w:pPr>
    </w:p>
    <w:p w:rsidR="00EA5F1A" w:rsidRPr="00221615" w:rsidP="003C445B" w14:paraId="55FBDEDA" w14:textId="77777777">
      <w:pPr>
        <w:pStyle w:val="ListParagraph"/>
        <w:numPr>
          <w:ilvl w:val="0"/>
          <w:numId w:val="65"/>
        </w:numPr>
        <w:spacing w:before="0" w:after="0"/>
        <w:ind w:left="714" w:hanging="357"/>
        <w:contextualSpacing w:val="0"/>
        <w:rPr>
          <w:rFonts w:cs="Arial"/>
          <w:b/>
        </w:rPr>
      </w:pPr>
      <w:r w:rsidRPr="00221615">
        <w:rPr>
          <w:rFonts w:cs="Arial"/>
          <w:b/>
        </w:rPr>
        <w:t>Varianta 1</w:t>
      </w:r>
    </w:p>
    <w:p w:rsidR="00EA5F1A" w:rsidRPr="00ED38E9" w:rsidP="00221615" w14:paraId="3AA12364" w14:textId="611E1216">
      <w:pPr>
        <w:spacing w:before="240"/>
        <w:rPr>
          <w:rFonts w:cs="Arial"/>
        </w:rPr>
      </w:pPr>
      <w:r w:rsidRPr="00ED38E9">
        <w:rPr>
          <w:rFonts w:cs="Arial"/>
        </w:rPr>
        <w:t xml:space="preserve">Zachovává současný stav s tím, že </w:t>
      </w:r>
      <w:r w:rsidRPr="00ED38E9" w:rsidR="000C73AE">
        <w:rPr>
          <w:rFonts w:cs="Arial"/>
        </w:rPr>
        <w:t xml:space="preserve">míra sběru je vztažena </w:t>
      </w:r>
      <w:r w:rsidRPr="00ED38E9">
        <w:rPr>
          <w:rFonts w:cs="Arial"/>
        </w:rPr>
        <w:t>pouze na výrobce</w:t>
      </w:r>
      <w:r>
        <w:rPr>
          <w:rFonts w:cs="Arial"/>
        </w:rPr>
        <w:t>/</w:t>
      </w:r>
      <w:r w:rsidRPr="00ED38E9">
        <w:rPr>
          <w:rFonts w:cs="Arial"/>
        </w:rPr>
        <w:t>KS. OEEZ však mohou přebírat také zpracovatelé, na které míra sběru vztažena není. Část množství OEEZ se tak bude vyskytovat mimo systém výrobců (u zpracovatelů, kteří nejsou navázání na KS), což může způsobit obtížnější splnění požadovaných cílů sběru. Ve snaze splnění požadovaných cílů sběru budou výrobci</w:t>
      </w:r>
      <w:r w:rsidR="00F72DE3">
        <w:rPr>
          <w:rFonts w:cs="Arial"/>
        </w:rPr>
        <w:t xml:space="preserve"> částečně</w:t>
      </w:r>
      <w:r w:rsidRPr="00ED38E9">
        <w:rPr>
          <w:rFonts w:cs="Arial"/>
        </w:rPr>
        <w:t xml:space="preserve"> spolupracovat s</w:t>
      </w:r>
      <w:r w:rsidR="00F72DE3">
        <w:rPr>
          <w:rFonts w:cs="Arial"/>
        </w:rPr>
        <w:t>e</w:t>
      </w:r>
      <w:r w:rsidRPr="00ED38E9">
        <w:rPr>
          <w:rFonts w:cs="Arial"/>
        </w:rPr>
        <w:t xml:space="preserve">  zpracovateli tak, aby dosáhli požadovaných hodnot. </w:t>
      </w:r>
    </w:p>
    <w:p w:rsidR="00EA5F1A" w:rsidRPr="00ED38E9" w:rsidP="003B2232" w14:paraId="33CDCB18" w14:textId="77777777">
      <w:pPr>
        <w:pStyle w:val="Normlntun"/>
        <w:spacing w:before="240"/>
        <w:rPr>
          <w:rFonts w:cs="Arial"/>
        </w:rPr>
      </w:pPr>
      <w:r w:rsidRPr="00ED38E9">
        <w:rPr>
          <w:rFonts w:cs="Arial"/>
        </w:rPr>
        <w:t>Dopady na státní rozpočet a ostatní veřejné rozpočty</w:t>
      </w:r>
    </w:p>
    <w:p w:rsidR="00EA5F1A" w:rsidRPr="00ED38E9" w:rsidP="00EA5F1A" w14:paraId="78F52617" w14:textId="77777777">
      <w:pPr>
        <w:rPr>
          <w:rFonts w:cs="Arial"/>
        </w:rPr>
      </w:pPr>
      <w:r w:rsidRPr="00ED38E9">
        <w:rPr>
          <w:rFonts w:cs="Arial"/>
        </w:rPr>
        <w:t>Zvýšení AZ kontrolních orgánů v případech, kdy bude více subjektů sbírajících a zprac</w:t>
      </w:r>
      <w:r w:rsidR="00771BA6">
        <w:rPr>
          <w:rFonts w:cs="Arial"/>
        </w:rPr>
        <w:t>ovávaj</w:t>
      </w:r>
      <w:r w:rsidRPr="00ED38E9">
        <w:rPr>
          <w:rFonts w:cs="Arial"/>
        </w:rPr>
        <w:t>ících OEEZ samostatně.</w:t>
      </w:r>
    </w:p>
    <w:p w:rsidR="00EA5F1A" w:rsidRPr="00ED38E9" w:rsidP="003B2232" w14:paraId="308ABFF5" w14:textId="77777777">
      <w:pPr>
        <w:pStyle w:val="Normlntun"/>
        <w:spacing w:before="240"/>
        <w:rPr>
          <w:rFonts w:cs="Arial"/>
        </w:rPr>
      </w:pPr>
      <w:r w:rsidRPr="00ED38E9">
        <w:rPr>
          <w:rFonts w:cs="Arial"/>
        </w:rPr>
        <w:t>Dopady na podnikatelské subjekty</w:t>
      </w:r>
    </w:p>
    <w:p w:rsidR="00EA5F1A" w:rsidRPr="00ED38E9" w:rsidP="00EA5F1A" w14:paraId="55F2DC50" w14:textId="3C59E8CE">
      <w:pPr>
        <w:rPr>
          <w:rFonts w:cs="Arial"/>
          <w:color w:val="FF0000"/>
        </w:rPr>
      </w:pPr>
      <w:r>
        <w:rPr>
          <w:rFonts w:cs="Arial"/>
        </w:rPr>
        <w:t>Bez dopadu.</w:t>
      </w:r>
    </w:p>
    <w:p w:rsidR="00EA5F1A" w:rsidRPr="00ED38E9" w:rsidP="003B2232" w14:paraId="136697CD" w14:textId="77777777">
      <w:pPr>
        <w:pStyle w:val="Normlntun"/>
        <w:spacing w:before="240"/>
        <w:rPr>
          <w:rFonts w:cs="Arial"/>
        </w:rPr>
      </w:pPr>
      <w:r w:rsidRPr="00ED38E9">
        <w:rPr>
          <w:rFonts w:cs="Arial"/>
        </w:rPr>
        <w:t>Dopady na územní samosprávné celky (obce, kraje)</w:t>
      </w:r>
    </w:p>
    <w:p w:rsidR="00EA5F1A" w:rsidRPr="00ED38E9" w:rsidP="00EA5F1A" w14:paraId="61DA5F26" w14:textId="5621B72A">
      <w:pPr>
        <w:rPr>
          <w:rFonts w:cs="Arial"/>
          <w:color w:val="FF0000"/>
        </w:rPr>
      </w:pPr>
      <w:r w:rsidRPr="00ED38E9">
        <w:rPr>
          <w:rFonts w:cs="Arial"/>
        </w:rPr>
        <w:t xml:space="preserve">Mezi dopady na </w:t>
      </w:r>
      <w:r w:rsidR="007D766B">
        <w:rPr>
          <w:rFonts w:cs="Arial"/>
        </w:rPr>
        <w:t>obce a kraje</w:t>
      </w:r>
      <w:r w:rsidRPr="00ED38E9">
        <w:rPr>
          <w:rFonts w:cs="Arial"/>
        </w:rPr>
        <w:t xml:space="preserve"> řadíme případné vydávání souhlasů</w:t>
      </w:r>
      <w:r>
        <w:rPr>
          <w:rFonts w:cs="Arial"/>
        </w:rPr>
        <w:t>/povolení k provozu zařízení</w:t>
      </w:r>
      <w:r w:rsidRPr="00ED38E9">
        <w:rPr>
          <w:rFonts w:cs="Arial"/>
        </w:rPr>
        <w:t xml:space="preserve">, které se pohybuje </w:t>
      </w:r>
      <w:r w:rsidRPr="00067732">
        <w:rPr>
          <w:rFonts w:cs="Arial"/>
        </w:rPr>
        <w:t>v rozmězí 2 </w:t>
      </w:r>
      <w:r w:rsidRPr="00221615" w:rsidR="00067732">
        <w:rPr>
          <w:rFonts w:cs="Arial"/>
        </w:rPr>
        <w:t>5</w:t>
      </w:r>
      <w:r w:rsidRPr="00067732">
        <w:rPr>
          <w:rFonts w:cs="Arial"/>
        </w:rPr>
        <w:t>00–1</w:t>
      </w:r>
      <w:r w:rsidRPr="00221615" w:rsidR="00067732">
        <w:rPr>
          <w:rFonts w:cs="Arial"/>
        </w:rPr>
        <w:t>4</w:t>
      </w:r>
      <w:r w:rsidRPr="00067732">
        <w:rPr>
          <w:rFonts w:cs="Arial"/>
        </w:rPr>
        <w:t> </w:t>
      </w:r>
      <w:r w:rsidRPr="00221615" w:rsidR="00067732">
        <w:rPr>
          <w:rFonts w:cs="Arial"/>
        </w:rPr>
        <w:t>1</w:t>
      </w:r>
      <w:r w:rsidRPr="00067732">
        <w:rPr>
          <w:rFonts w:cs="Arial"/>
        </w:rPr>
        <w:t>00 Kč za vydání jednoho rozhodnutí (dle Metodiky MV</w:t>
      </w:r>
      <w:r>
        <w:rPr>
          <w:rStyle w:val="FootnoteReference"/>
          <w:rFonts w:cs="Arial"/>
        </w:rPr>
        <w:footnoteReference w:id="14"/>
      </w:r>
      <w:r w:rsidRPr="00067732">
        <w:rPr>
          <w:rFonts w:cs="Arial"/>
        </w:rPr>
        <w:t xml:space="preserve">, </w:t>
      </w:r>
      <w:r w:rsidR="009D6FB7">
        <w:rPr>
          <w:rFonts w:cs="Arial"/>
        </w:rPr>
        <w:t>hodinové náklady 352 Kč/hod</w:t>
      </w:r>
      <w:r w:rsidRPr="00067732">
        <w:rPr>
          <w:rFonts w:cs="Arial"/>
        </w:rPr>
        <w:t>, časová náročnost 7–40 hodin).</w:t>
      </w:r>
      <w:r w:rsidR="001535DE">
        <w:rPr>
          <w:rFonts w:cs="Arial"/>
        </w:rPr>
        <w:t xml:space="preserve"> </w:t>
      </w:r>
      <w:r w:rsidR="00601960">
        <w:rPr>
          <w:rFonts w:cs="Arial"/>
        </w:rPr>
        <w:t xml:space="preserve">Jedná se o jednorázové náklady. </w:t>
      </w:r>
      <w:r w:rsidR="001535DE">
        <w:rPr>
          <w:rFonts w:cs="Arial"/>
        </w:rPr>
        <w:t>Předpokládáme však minimální množství žádostí, protože subjekty, které chtějí přebírat a zpracovávat OEEZ už souhlas/povolení k provozu zařízení obvykle mají.</w:t>
      </w:r>
    </w:p>
    <w:p w:rsidR="00EA5F1A" w:rsidRPr="00ED38E9" w:rsidP="003B2232" w14:paraId="21BC435A" w14:textId="77777777">
      <w:pPr>
        <w:pStyle w:val="Normlntun"/>
        <w:spacing w:before="240"/>
        <w:rPr>
          <w:rFonts w:cs="Arial"/>
        </w:rPr>
      </w:pPr>
      <w:r w:rsidRPr="00ED38E9">
        <w:rPr>
          <w:rFonts w:cs="Arial"/>
        </w:rPr>
        <w:t>Sociální dopady a dopady na spotřebitele</w:t>
      </w:r>
    </w:p>
    <w:p w:rsidR="00EA5F1A" w:rsidRPr="00ED38E9" w:rsidP="00EA5F1A" w14:paraId="4E70A7D7" w14:textId="77777777">
      <w:pPr>
        <w:rPr>
          <w:rFonts w:cs="Arial"/>
        </w:rPr>
      </w:pPr>
      <w:r w:rsidRPr="00ED38E9">
        <w:rPr>
          <w:rFonts w:cs="Arial"/>
        </w:rPr>
        <w:t>Nepředpokládáme dopady v sociální oblasti nebo na spotřebitele.</w:t>
      </w:r>
    </w:p>
    <w:p w:rsidR="00EA5F1A" w:rsidRPr="00ED38E9" w:rsidP="003B2232" w14:paraId="05BA82C1" w14:textId="77777777">
      <w:pPr>
        <w:pStyle w:val="Normlntun"/>
        <w:spacing w:before="240"/>
        <w:rPr>
          <w:rFonts w:cs="Arial"/>
        </w:rPr>
      </w:pPr>
      <w:r w:rsidRPr="00ED38E9">
        <w:rPr>
          <w:rFonts w:cs="Arial"/>
        </w:rPr>
        <w:t>Dopady na životní prostředí</w:t>
      </w:r>
    </w:p>
    <w:p w:rsidR="00EA5F1A" w:rsidP="00EA5F1A" w14:paraId="78E4105B" w14:textId="3074F6EB">
      <w:pPr>
        <w:rPr>
          <w:rFonts w:cs="Arial"/>
        </w:rPr>
      </w:pPr>
      <w:r>
        <w:rPr>
          <w:rFonts w:cs="Arial"/>
        </w:rPr>
        <w:t xml:space="preserve">Tato varianat bude mít </w:t>
      </w:r>
      <w:r w:rsidRPr="00ED38E9">
        <w:rPr>
          <w:rFonts w:cs="Arial"/>
        </w:rPr>
        <w:t>pozitivní dopady na životní prostředí</w:t>
      </w:r>
      <w:r>
        <w:rPr>
          <w:rFonts w:cs="Arial"/>
        </w:rPr>
        <w:t>, neboť se p</w:t>
      </w:r>
      <w:r w:rsidRPr="00ED38E9">
        <w:rPr>
          <w:rFonts w:cs="Arial"/>
        </w:rPr>
        <w:t>ředpoklád</w:t>
      </w:r>
      <w:r>
        <w:rPr>
          <w:rFonts w:cs="Arial"/>
        </w:rPr>
        <w:t>á</w:t>
      </w:r>
      <w:r w:rsidRPr="00ED38E9">
        <w:rPr>
          <w:rFonts w:cs="Arial"/>
        </w:rPr>
        <w:t xml:space="preserve"> navýšení míry sběru OEEZ, </w:t>
      </w:r>
      <w:r>
        <w:rPr>
          <w:rFonts w:cs="Arial"/>
        </w:rPr>
        <w:t>a to z důvodu jednoznačně stanoveného cíle pro plnění povinnosti sběru</w:t>
      </w:r>
      <w:r w:rsidRPr="00ED38E9">
        <w:rPr>
          <w:rFonts w:cs="Arial"/>
        </w:rPr>
        <w:t>.</w:t>
      </w:r>
    </w:p>
    <w:p w:rsidR="00C42006" w:rsidRPr="00ED38E9" w:rsidP="00EA5F1A" w14:paraId="605478BB" w14:textId="77777777">
      <w:pPr>
        <w:rPr>
          <w:rFonts w:cs="Arial"/>
        </w:rPr>
      </w:pPr>
    </w:p>
    <w:p w:rsidR="00EA5F1A" w:rsidRPr="00ED38E9" w:rsidP="00BF16B7" w14:paraId="23A87993" w14:textId="77777777">
      <w:pPr>
        <w:pStyle w:val="Heading3"/>
      </w:pPr>
      <w:r w:rsidRPr="00ED38E9">
        <w:t>Vyhodnocení nákladů a přínosů variant</w:t>
      </w:r>
    </w:p>
    <w:p w:rsidR="00EA5F1A" w:rsidRPr="0058340D" w:rsidP="00835528" w14:paraId="114CB580" w14:textId="6CB571BE">
      <w:pPr>
        <w:pStyle w:val="Caption"/>
        <w:spacing w:before="120"/>
        <w:contextualSpacing w:val="0"/>
        <w:rPr>
          <w:sz w:val="20"/>
          <w:szCs w:val="20"/>
        </w:rPr>
      </w:pPr>
      <w:r w:rsidRPr="0058340D">
        <w:rPr>
          <w:sz w:val="20"/>
          <w:szCs w:val="20"/>
        </w:rPr>
        <w:t>Tabulka</w:t>
      </w:r>
      <w:r w:rsidRPr="0058340D" w:rsidR="00AC2006">
        <w:rPr>
          <w:sz w:val="20"/>
          <w:szCs w:val="20"/>
        </w:rPr>
        <w:t xml:space="preserve"> </w:t>
      </w:r>
      <w:r w:rsidR="00F258C8">
        <w:rPr>
          <w:sz w:val="20"/>
          <w:szCs w:val="20"/>
        </w:rPr>
        <w:t>4</w:t>
      </w:r>
      <w:r w:rsidR="00925F10">
        <w:rPr>
          <w:sz w:val="20"/>
          <w:szCs w:val="20"/>
        </w:rPr>
        <w:t>3</w:t>
      </w:r>
      <w:r w:rsidRPr="0058340D">
        <w:rPr>
          <w:sz w:val="20"/>
          <w:szCs w:val="20"/>
        </w:rPr>
        <w:t>: Porovnání nákladů a přínosů</w:t>
      </w:r>
    </w:p>
    <w:tbl>
      <w:tblPr>
        <w:tblW w:w="9004" w:type="dxa"/>
        <w:tblInd w:w="75" w:type="dxa"/>
        <w:tblCellMar>
          <w:left w:w="70" w:type="dxa"/>
          <w:right w:w="70" w:type="dxa"/>
        </w:tblCellMar>
        <w:tblLook w:val="04A0"/>
      </w:tblPr>
      <w:tblGrid>
        <w:gridCol w:w="1497"/>
        <w:gridCol w:w="1497"/>
        <w:gridCol w:w="1497"/>
        <w:gridCol w:w="1497"/>
        <w:gridCol w:w="1517"/>
        <w:gridCol w:w="1499"/>
      </w:tblGrid>
      <w:tr w14:paraId="69E5034C" w14:textId="77777777" w:rsidTr="00802DCA">
        <w:tblPrEx>
          <w:tblW w:w="9004" w:type="dxa"/>
          <w:tblInd w:w="75" w:type="dxa"/>
          <w:tblCellMar>
            <w:left w:w="70" w:type="dxa"/>
            <w:right w:w="70" w:type="dxa"/>
          </w:tblCellMar>
          <w:tblLook w:val="04A0"/>
        </w:tblPrEx>
        <w:trPr>
          <w:trHeight w:val="421"/>
        </w:trPr>
        <w:tc>
          <w:tcPr>
            <w:tcW w:w="1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D9B" w:rsidRPr="0058340D" w:rsidP="003B7D9B" w14:paraId="46DBB2B6"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Varianta</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3B7D9B" w:rsidRPr="0058340D" w:rsidP="003B7D9B" w14:paraId="7563C755"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Stručný obsah</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3B7D9B" w:rsidRPr="0058340D" w:rsidP="003B7D9B" w14:paraId="0FE2F235"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Přínosy</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3B7D9B" w:rsidRPr="0058340D" w:rsidP="003B7D9B" w14:paraId="10728524"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Hodnocení</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3B7D9B" w:rsidRPr="0058340D" w:rsidP="003B7D9B" w14:paraId="146A7E2A"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Náklady</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3B7D9B" w:rsidRPr="0058340D" w:rsidP="003B7D9B" w14:paraId="5476BAB1"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Hodnocení</w:t>
            </w:r>
          </w:p>
        </w:tc>
      </w:tr>
      <w:tr w14:paraId="560B2197" w14:textId="77777777" w:rsidTr="00802DCA">
        <w:tblPrEx>
          <w:tblW w:w="9004" w:type="dxa"/>
          <w:tblInd w:w="75" w:type="dxa"/>
          <w:tblCellMar>
            <w:left w:w="70" w:type="dxa"/>
            <w:right w:w="70" w:type="dxa"/>
          </w:tblCellMar>
          <w:tblLook w:val="04A0"/>
        </w:tblPrEx>
        <w:trPr>
          <w:trHeight w:val="501"/>
        </w:trPr>
        <w:tc>
          <w:tcPr>
            <w:tcW w:w="1497" w:type="dxa"/>
            <w:vMerge w:val="restart"/>
            <w:tcBorders>
              <w:top w:val="nil"/>
              <w:left w:val="single" w:sz="4" w:space="0" w:color="auto"/>
              <w:bottom w:val="nil"/>
              <w:right w:val="single" w:sz="4" w:space="0" w:color="auto"/>
            </w:tcBorders>
            <w:shd w:val="clear" w:color="auto" w:fill="auto"/>
            <w:noWrap/>
            <w:vAlign w:val="center"/>
            <w:hideMark/>
          </w:tcPr>
          <w:p w:rsidR="003B7D9B" w:rsidRPr="0058340D" w:rsidP="003B7D9B" w14:paraId="11BC6323"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Varianta 0</w:t>
            </w:r>
          </w:p>
        </w:tc>
        <w:tc>
          <w:tcPr>
            <w:tcW w:w="1497" w:type="dxa"/>
            <w:vMerge w:val="restart"/>
            <w:tcBorders>
              <w:top w:val="nil"/>
              <w:left w:val="single" w:sz="4" w:space="0" w:color="auto"/>
              <w:bottom w:val="nil"/>
              <w:right w:val="single" w:sz="4" w:space="0" w:color="auto"/>
            </w:tcBorders>
            <w:shd w:val="clear" w:color="auto" w:fill="auto"/>
            <w:vAlign w:val="center"/>
            <w:hideMark/>
          </w:tcPr>
          <w:p w:rsidR="003B7D9B" w:rsidRPr="0058340D" w:rsidP="003B7D9B" w14:paraId="0333F81B"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současný stav</w:t>
            </w: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7BC1D4BC"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Státní rozpočet a ostatní veřejné rozpočty</w:t>
            </w:r>
          </w:p>
        </w:tc>
      </w:tr>
      <w:tr w14:paraId="589A773E" w14:textId="77777777" w:rsidTr="00E93420">
        <w:tblPrEx>
          <w:tblW w:w="9004" w:type="dxa"/>
          <w:tblInd w:w="75" w:type="dxa"/>
          <w:tblCellMar>
            <w:left w:w="70" w:type="dxa"/>
            <w:right w:w="70" w:type="dxa"/>
          </w:tblCellMar>
          <w:tblLook w:val="04A0"/>
        </w:tblPrEx>
        <w:trPr>
          <w:trHeight w:val="823"/>
        </w:trPr>
        <w:tc>
          <w:tcPr>
            <w:tcW w:w="1497" w:type="dxa"/>
            <w:vMerge/>
            <w:tcBorders>
              <w:top w:val="nil"/>
              <w:left w:val="single" w:sz="4" w:space="0" w:color="auto"/>
              <w:bottom w:val="nil"/>
              <w:right w:val="single" w:sz="4" w:space="0" w:color="auto"/>
            </w:tcBorders>
            <w:vAlign w:val="center"/>
            <w:hideMark/>
          </w:tcPr>
          <w:p w:rsidR="003B7D9B" w:rsidRPr="0058340D" w:rsidP="003B7D9B" w14:paraId="041480FD"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21A5294D"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582E3C13"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 </w:t>
            </w: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00C37B39"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vAlign w:val="center"/>
            <w:hideMark/>
          </w:tcPr>
          <w:p w:rsidR="003B7D9B" w:rsidRPr="0058340D" w:rsidP="00E93420" w14:paraId="665AF6C6" w14:textId="284004FE">
            <w:pPr>
              <w:spacing w:line="240" w:lineRule="auto"/>
              <w:jc w:val="left"/>
              <w:rPr>
                <w:noProof w:val="0"/>
                <w:color w:val="000000"/>
                <w:sz w:val="20"/>
                <w:szCs w:val="20"/>
                <w:lang w:eastAsia="cs-CZ" w:bidi="ar-SA"/>
              </w:rPr>
            </w:pPr>
            <w:r w:rsidRPr="0058340D">
              <w:rPr>
                <w:noProof w:val="0"/>
                <w:color w:val="000000"/>
                <w:sz w:val="20"/>
                <w:szCs w:val="20"/>
                <w:lang w:eastAsia="cs-CZ" w:bidi="ar-SA"/>
              </w:rPr>
              <w:t>riziko infrigementu za</w:t>
            </w:r>
            <w:r w:rsidR="00E93420">
              <w:rPr>
                <w:noProof w:val="0"/>
                <w:color w:val="000000"/>
                <w:sz w:val="20"/>
                <w:szCs w:val="20"/>
                <w:lang w:eastAsia="cs-CZ" w:bidi="ar-SA"/>
              </w:rPr>
              <w:t> </w:t>
            </w:r>
            <w:r w:rsidRPr="0058340D">
              <w:rPr>
                <w:noProof w:val="0"/>
                <w:color w:val="000000"/>
                <w:sz w:val="20"/>
                <w:szCs w:val="20"/>
                <w:lang w:eastAsia="cs-CZ" w:bidi="ar-SA"/>
              </w:rPr>
              <w:t xml:space="preserve">neplnění cílů </w:t>
            </w:r>
          </w:p>
        </w:tc>
        <w:tc>
          <w:tcPr>
            <w:tcW w:w="1498" w:type="dxa"/>
            <w:tcBorders>
              <w:top w:val="nil"/>
              <w:left w:val="nil"/>
              <w:bottom w:val="single" w:sz="4" w:space="0" w:color="auto"/>
              <w:right w:val="single" w:sz="4" w:space="0" w:color="auto"/>
            </w:tcBorders>
            <w:shd w:val="clear" w:color="auto" w:fill="auto"/>
            <w:vAlign w:val="center"/>
            <w:hideMark/>
          </w:tcPr>
          <w:p w:rsidR="003B7D9B" w:rsidRPr="0058340D" w:rsidP="003B7D9B" w14:paraId="4AB9E531"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39562D10" w14:textId="77777777" w:rsidTr="00802DCA">
        <w:tblPrEx>
          <w:tblW w:w="9004" w:type="dxa"/>
          <w:tblInd w:w="75" w:type="dxa"/>
          <w:tblCellMar>
            <w:left w:w="70" w:type="dxa"/>
            <w:right w:w="70" w:type="dxa"/>
          </w:tblCellMar>
          <w:tblLook w:val="04A0"/>
        </w:tblPrEx>
        <w:trPr>
          <w:trHeight w:val="501"/>
        </w:trPr>
        <w:tc>
          <w:tcPr>
            <w:tcW w:w="1497" w:type="dxa"/>
            <w:vMerge/>
            <w:tcBorders>
              <w:top w:val="nil"/>
              <w:left w:val="single" w:sz="4" w:space="0" w:color="auto"/>
              <w:bottom w:val="nil"/>
              <w:right w:val="single" w:sz="4" w:space="0" w:color="auto"/>
            </w:tcBorders>
            <w:vAlign w:val="center"/>
            <w:hideMark/>
          </w:tcPr>
          <w:p w:rsidR="003B7D9B" w:rsidRPr="0058340D" w:rsidP="003B7D9B" w14:paraId="38DD7BB0"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23DED393"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36677091"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Podnikatelské subjekty</w:t>
            </w:r>
          </w:p>
        </w:tc>
      </w:tr>
      <w:tr w14:paraId="298AEF16" w14:textId="77777777" w:rsidTr="00E93420">
        <w:tblPrEx>
          <w:tblW w:w="9004" w:type="dxa"/>
          <w:tblInd w:w="75" w:type="dxa"/>
          <w:tblCellMar>
            <w:left w:w="70" w:type="dxa"/>
            <w:right w:w="70" w:type="dxa"/>
          </w:tblCellMar>
          <w:tblLook w:val="04A0"/>
        </w:tblPrEx>
        <w:trPr>
          <w:trHeight w:val="984"/>
        </w:trPr>
        <w:tc>
          <w:tcPr>
            <w:tcW w:w="1497" w:type="dxa"/>
            <w:vMerge/>
            <w:tcBorders>
              <w:top w:val="nil"/>
              <w:left w:val="single" w:sz="4" w:space="0" w:color="auto"/>
              <w:bottom w:val="nil"/>
              <w:right w:val="single" w:sz="4" w:space="0" w:color="auto"/>
            </w:tcBorders>
            <w:vAlign w:val="center"/>
            <w:hideMark/>
          </w:tcPr>
          <w:p w:rsidR="003B7D9B" w:rsidRPr="0058340D" w:rsidP="003B7D9B" w14:paraId="3A0B961B"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698A54BC"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7AE1A2B6"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 </w:t>
            </w: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3D2C07F8"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vAlign w:val="center"/>
            <w:hideMark/>
          </w:tcPr>
          <w:p w:rsidR="003B7D9B" w:rsidRPr="0058340D" w:rsidP="00E93420" w14:paraId="5D3A85A4" w14:textId="60C8FB24">
            <w:pPr>
              <w:spacing w:line="240" w:lineRule="auto"/>
              <w:jc w:val="left"/>
              <w:rPr>
                <w:noProof w:val="0"/>
                <w:color w:val="000000"/>
                <w:sz w:val="20"/>
                <w:szCs w:val="20"/>
                <w:lang w:eastAsia="cs-CZ" w:bidi="ar-SA"/>
              </w:rPr>
            </w:pPr>
            <w:r w:rsidRPr="0058340D">
              <w:rPr>
                <w:noProof w:val="0"/>
                <w:color w:val="000000"/>
                <w:sz w:val="20"/>
                <w:szCs w:val="20"/>
                <w:lang w:eastAsia="cs-CZ" w:bidi="ar-SA"/>
              </w:rPr>
              <w:t>smlouva s KS nebo souhlas dle § 14 zákona o</w:t>
            </w:r>
            <w:r w:rsidR="00E93420">
              <w:rPr>
                <w:noProof w:val="0"/>
                <w:color w:val="000000"/>
                <w:sz w:val="20"/>
                <w:szCs w:val="20"/>
                <w:lang w:eastAsia="cs-CZ" w:bidi="ar-SA"/>
              </w:rPr>
              <w:t> </w:t>
            </w:r>
            <w:r w:rsidRPr="0058340D">
              <w:rPr>
                <w:noProof w:val="0"/>
                <w:color w:val="000000"/>
                <w:sz w:val="20"/>
                <w:szCs w:val="20"/>
                <w:lang w:eastAsia="cs-CZ" w:bidi="ar-SA"/>
              </w:rPr>
              <w:t xml:space="preserve">odpadech </w:t>
            </w:r>
          </w:p>
        </w:tc>
        <w:tc>
          <w:tcPr>
            <w:tcW w:w="1498" w:type="dxa"/>
            <w:tcBorders>
              <w:top w:val="nil"/>
              <w:left w:val="nil"/>
              <w:bottom w:val="single" w:sz="4" w:space="0" w:color="auto"/>
              <w:right w:val="single" w:sz="4" w:space="0" w:color="auto"/>
            </w:tcBorders>
            <w:shd w:val="clear" w:color="auto" w:fill="auto"/>
            <w:vAlign w:val="center"/>
            <w:hideMark/>
          </w:tcPr>
          <w:p w:rsidR="003B7D9B" w:rsidRPr="0058340D" w:rsidP="003B7D9B" w14:paraId="2925C889"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až ***</w:t>
            </w:r>
          </w:p>
        </w:tc>
      </w:tr>
      <w:tr w14:paraId="72CB1A6E" w14:textId="77777777" w:rsidTr="00E93420">
        <w:tblPrEx>
          <w:tblW w:w="9004" w:type="dxa"/>
          <w:tblInd w:w="75" w:type="dxa"/>
          <w:tblCellMar>
            <w:left w:w="70" w:type="dxa"/>
            <w:right w:w="70" w:type="dxa"/>
          </w:tblCellMar>
          <w:tblLook w:val="04A0"/>
        </w:tblPrEx>
        <w:trPr>
          <w:trHeight w:val="303"/>
        </w:trPr>
        <w:tc>
          <w:tcPr>
            <w:tcW w:w="1497" w:type="dxa"/>
            <w:vMerge/>
            <w:tcBorders>
              <w:top w:val="nil"/>
              <w:left w:val="single" w:sz="4" w:space="0" w:color="auto"/>
              <w:bottom w:val="nil"/>
              <w:right w:val="single" w:sz="4" w:space="0" w:color="auto"/>
            </w:tcBorders>
            <w:vAlign w:val="center"/>
            <w:hideMark/>
          </w:tcPr>
          <w:p w:rsidR="003B7D9B" w:rsidRPr="0058340D" w:rsidP="003B7D9B" w14:paraId="5202E520"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541CD710"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717363DD"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Územní samosprávné celky (obce, kraje)</w:t>
            </w:r>
          </w:p>
        </w:tc>
      </w:tr>
      <w:tr w14:paraId="57E0F303" w14:textId="77777777" w:rsidTr="00E93420">
        <w:tblPrEx>
          <w:tblW w:w="9004" w:type="dxa"/>
          <w:tblInd w:w="75" w:type="dxa"/>
          <w:tblCellMar>
            <w:left w:w="70" w:type="dxa"/>
            <w:right w:w="70" w:type="dxa"/>
          </w:tblCellMar>
          <w:tblLook w:val="04A0"/>
        </w:tblPrEx>
        <w:trPr>
          <w:trHeight w:val="356"/>
        </w:trPr>
        <w:tc>
          <w:tcPr>
            <w:tcW w:w="1497" w:type="dxa"/>
            <w:vMerge/>
            <w:tcBorders>
              <w:top w:val="nil"/>
              <w:left w:val="single" w:sz="4" w:space="0" w:color="auto"/>
              <w:bottom w:val="nil"/>
              <w:right w:val="single" w:sz="4" w:space="0" w:color="auto"/>
            </w:tcBorders>
            <w:vAlign w:val="center"/>
            <w:hideMark/>
          </w:tcPr>
          <w:p w:rsidR="003B7D9B" w:rsidRPr="0058340D" w:rsidP="003B7D9B" w14:paraId="74C1E59E"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4D92E1BF"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16EB4643"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5AF34511"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51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41AD7704"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498"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36BBA620"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0B8DC783" w14:textId="77777777" w:rsidTr="00802DCA">
        <w:tblPrEx>
          <w:tblW w:w="9004" w:type="dxa"/>
          <w:tblInd w:w="75" w:type="dxa"/>
          <w:tblCellMar>
            <w:left w:w="70" w:type="dxa"/>
            <w:right w:w="70" w:type="dxa"/>
          </w:tblCellMar>
          <w:tblLook w:val="04A0"/>
        </w:tblPrEx>
        <w:trPr>
          <w:trHeight w:val="501"/>
        </w:trPr>
        <w:tc>
          <w:tcPr>
            <w:tcW w:w="1497" w:type="dxa"/>
            <w:vMerge/>
            <w:tcBorders>
              <w:top w:val="nil"/>
              <w:left w:val="single" w:sz="4" w:space="0" w:color="auto"/>
              <w:bottom w:val="nil"/>
              <w:right w:val="single" w:sz="4" w:space="0" w:color="auto"/>
            </w:tcBorders>
            <w:vAlign w:val="center"/>
            <w:hideMark/>
          </w:tcPr>
          <w:p w:rsidR="003B7D9B" w:rsidRPr="0058340D" w:rsidP="003B7D9B" w14:paraId="6BD7AEAD"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4C5514F7"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771213C8"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Sociální dopady</w:t>
            </w:r>
          </w:p>
        </w:tc>
      </w:tr>
      <w:tr w14:paraId="6D37B6F4" w14:textId="77777777" w:rsidTr="00802DCA">
        <w:tblPrEx>
          <w:tblW w:w="9004" w:type="dxa"/>
          <w:tblInd w:w="75" w:type="dxa"/>
          <w:tblCellMar>
            <w:left w:w="70" w:type="dxa"/>
            <w:right w:w="70" w:type="dxa"/>
          </w:tblCellMar>
          <w:tblLook w:val="04A0"/>
        </w:tblPrEx>
        <w:trPr>
          <w:trHeight w:val="457"/>
        </w:trPr>
        <w:tc>
          <w:tcPr>
            <w:tcW w:w="1497" w:type="dxa"/>
            <w:vMerge/>
            <w:tcBorders>
              <w:top w:val="nil"/>
              <w:left w:val="single" w:sz="4" w:space="0" w:color="auto"/>
              <w:bottom w:val="nil"/>
              <w:right w:val="single" w:sz="4" w:space="0" w:color="auto"/>
            </w:tcBorders>
            <w:vAlign w:val="center"/>
            <w:hideMark/>
          </w:tcPr>
          <w:p w:rsidR="003B7D9B" w:rsidRPr="0058340D" w:rsidP="003B7D9B" w14:paraId="592B96C6"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78440DE2"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65D57CC7"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4A20CADD"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51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671361B1"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498"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6D97A23C"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4C9FAF45" w14:textId="77777777" w:rsidTr="00802DCA">
        <w:tblPrEx>
          <w:tblW w:w="9004" w:type="dxa"/>
          <w:tblInd w:w="75" w:type="dxa"/>
          <w:tblCellMar>
            <w:left w:w="70" w:type="dxa"/>
            <w:right w:w="70" w:type="dxa"/>
          </w:tblCellMar>
          <w:tblLook w:val="04A0"/>
        </w:tblPrEx>
        <w:trPr>
          <w:trHeight w:val="501"/>
        </w:trPr>
        <w:tc>
          <w:tcPr>
            <w:tcW w:w="1497" w:type="dxa"/>
            <w:vMerge/>
            <w:tcBorders>
              <w:top w:val="nil"/>
              <w:left w:val="single" w:sz="4" w:space="0" w:color="auto"/>
              <w:bottom w:val="nil"/>
              <w:right w:val="single" w:sz="4" w:space="0" w:color="auto"/>
            </w:tcBorders>
            <w:vAlign w:val="center"/>
            <w:hideMark/>
          </w:tcPr>
          <w:p w:rsidR="003B7D9B" w:rsidRPr="0058340D" w:rsidP="003B7D9B" w14:paraId="0D72A2DC"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01DE7AE9"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4F1DFDD5"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Životní prostředí</w:t>
            </w:r>
          </w:p>
        </w:tc>
      </w:tr>
      <w:tr w14:paraId="70FBA0C6" w14:textId="77777777" w:rsidTr="00E93420">
        <w:tblPrEx>
          <w:tblW w:w="9004" w:type="dxa"/>
          <w:tblInd w:w="75" w:type="dxa"/>
          <w:tblCellMar>
            <w:left w:w="70" w:type="dxa"/>
            <w:right w:w="70" w:type="dxa"/>
          </w:tblCellMar>
          <w:tblLook w:val="04A0"/>
        </w:tblPrEx>
        <w:trPr>
          <w:trHeight w:val="541"/>
        </w:trPr>
        <w:tc>
          <w:tcPr>
            <w:tcW w:w="1497" w:type="dxa"/>
            <w:vMerge/>
            <w:tcBorders>
              <w:top w:val="nil"/>
              <w:left w:val="single" w:sz="4" w:space="0" w:color="auto"/>
              <w:bottom w:val="nil"/>
              <w:right w:val="single" w:sz="4" w:space="0" w:color="auto"/>
            </w:tcBorders>
            <w:vAlign w:val="center"/>
            <w:hideMark/>
          </w:tcPr>
          <w:p w:rsidR="003B7D9B" w:rsidRPr="0058340D" w:rsidP="003B7D9B" w14:paraId="2513C136" w14:textId="77777777">
            <w:pPr>
              <w:spacing w:line="240" w:lineRule="auto"/>
              <w:jc w:val="left"/>
              <w:rPr>
                <w:b/>
                <w:bCs/>
                <w:noProof w:val="0"/>
                <w:color w:val="000000"/>
                <w:sz w:val="20"/>
                <w:szCs w:val="20"/>
                <w:lang w:eastAsia="cs-CZ" w:bidi="ar-SA"/>
              </w:rPr>
            </w:pPr>
          </w:p>
        </w:tc>
        <w:tc>
          <w:tcPr>
            <w:tcW w:w="1497" w:type="dxa"/>
            <w:vMerge/>
            <w:tcBorders>
              <w:top w:val="nil"/>
              <w:left w:val="single" w:sz="4" w:space="0" w:color="auto"/>
              <w:bottom w:val="nil"/>
              <w:right w:val="single" w:sz="4" w:space="0" w:color="auto"/>
            </w:tcBorders>
            <w:vAlign w:val="center"/>
            <w:hideMark/>
          </w:tcPr>
          <w:p w:rsidR="003B7D9B" w:rsidRPr="0058340D" w:rsidP="003B7D9B" w14:paraId="01E7F19D"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3A2CC1F8"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 </w:t>
            </w: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621A07D5"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vAlign w:val="center"/>
            <w:hideMark/>
          </w:tcPr>
          <w:p w:rsidR="003B7D9B" w:rsidRPr="0058340D" w:rsidP="003B7D9B" w14:paraId="1BAB64D3"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nízká míra recyklace</w:t>
            </w:r>
          </w:p>
        </w:tc>
        <w:tc>
          <w:tcPr>
            <w:tcW w:w="1498"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1947C274"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03644079" w14:textId="77777777" w:rsidTr="00802DCA">
        <w:tblPrEx>
          <w:tblW w:w="9004" w:type="dxa"/>
          <w:tblInd w:w="75" w:type="dxa"/>
          <w:tblCellMar>
            <w:left w:w="70" w:type="dxa"/>
            <w:right w:w="70" w:type="dxa"/>
          </w:tblCellMar>
          <w:tblLook w:val="04A0"/>
        </w:tblPrEx>
        <w:trPr>
          <w:trHeight w:val="501"/>
        </w:trPr>
        <w:tc>
          <w:tcPr>
            <w:tcW w:w="1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D9B" w:rsidRPr="0058340D" w:rsidP="003B7D9B" w14:paraId="0053B475"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Varianta 1</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D9B" w:rsidRPr="0058340D" w:rsidP="003B7D9B" w14:paraId="263EAEF8"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cíle sběru budou stanoveny pro výrobce, potažmo KS</w:t>
            </w: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4DCB17FE"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Státní rozpočet a ostatní veřejné rozpočty</w:t>
            </w:r>
          </w:p>
        </w:tc>
      </w:tr>
      <w:tr w14:paraId="1ECA8B09" w14:textId="77777777" w:rsidTr="00802DCA">
        <w:tblPrEx>
          <w:tblW w:w="9004" w:type="dxa"/>
          <w:tblInd w:w="75" w:type="dxa"/>
          <w:tblCellMar>
            <w:left w:w="70" w:type="dxa"/>
            <w:right w:w="70" w:type="dxa"/>
          </w:tblCellMar>
          <w:tblLook w:val="04A0"/>
        </w:tblPrEx>
        <w:trPr>
          <w:trHeight w:val="1007"/>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380A033A"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732A946B"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438CD098" w14:textId="41615731">
            <w:pPr>
              <w:spacing w:line="240" w:lineRule="auto"/>
              <w:jc w:val="left"/>
              <w:rPr>
                <w:noProof w:val="0"/>
                <w:color w:val="000000"/>
                <w:sz w:val="20"/>
                <w:szCs w:val="20"/>
                <w:lang w:eastAsia="cs-CZ" w:bidi="ar-SA"/>
              </w:rPr>
            </w:pPr>
            <w:r w:rsidRPr="0058340D">
              <w:rPr>
                <w:noProof w:val="0"/>
                <w:color w:val="000000"/>
                <w:sz w:val="20"/>
                <w:szCs w:val="20"/>
                <w:lang w:eastAsia="cs-CZ" w:bidi="ar-SA"/>
              </w:rPr>
              <w:t>snížení rizika infri</w:t>
            </w:r>
            <w:r w:rsidR="004A02E9">
              <w:rPr>
                <w:noProof w:val="0"/>
                <w:color w:val="000000"/>
                <w:sz w:val="20"/>
                <w:szCs w:val="20"/>
                <w:lang w:eastAsia="cs-CZ" w:bidi="ar-SA"/>
              </w:rPr>
              <w:t>n</w:t>
            </w:r>
            <w:r w:rsidRPr="0058340D">
              <w:rPr>
                <w:noProof w:val="0"/>
                <w:color w:val="000000"/>
                <w:sz w:val="20"/>
                <w:szCs w:val="20"/>
                <w:lang w:eastAsia="cs-CZ" w:bidi="ar-SA"/>
              </w:rPr>
              <w:t>gementu za neplnění cílů</w:t>
            </w: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0C2B3DA6"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517" w:type="dxa"/>
            <w:tcBorders>
              <w:top w:val="nil"/>
              <w:left w:val="nil"/>
              <w:bottom w:val="single" w:sz="4" w:space="0" w:color="auto"/>
              <w:right w:val="single" w:sz="4" w:space="0" w:color="auto"/>
            </w:tcBorders>
            <w:shd w:val="clear" w:color="auto" w:fill="auto"/>
            <w:vAlign w:val="center"/>
            <w:hideMark/>
          </w:tcPr>
          <w:p w:rsidR="003B7D9B" w:rsidRPr="0058340D" w:rsidP="003B7D9B" w14:paraId="71E8C864"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zvýšení AZ kontrolních orgánů</w:t>
            </w:r>
          </w:p>
        </w:tc>
        <w:tc>
          <w:tcPr>
            <w:tcW w:w="1498" w:type="dxa"/>
            <w:tcBorders>
              <w:top w:val="nil"/>
              <w:left w:val="nil"/>
              <w:bottom w:val="single" w:sz="4" w:space="0" w:color="auto"/>
              <w:right w:val="single" w:sz="4" w:space="0" w:color="auto"/>
            </w:tcBorders>
            <w:shd w:val="clear" w:color="auto" w:fill="auto"/>
            <w:vAlign w:val="center"/>
            <w:hideMark/>
          </w:tcPr>
          <w:p w:rsidR="003B7D9B" w:rsidRPr="0058340D" w:rsidP="003B7D9B" w14:paraId="0A5CA249"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6509273C" w14:textId="77777777" w:rsidTr="00802DCA">
        <w:tblPrEx>
          <w:tblW w:w="9004" w:type="dxa"/>
          <w:tblInd w:w="75" w:type="dxa"/>
          <w:tblCellMar>
            <w:left w:w="70" w:type="dxa"/>
            <w:right w:w="70" w:type="dxa"/>
          </w:tblCellMar>
          <w:tblLook w:val="04A0"/>
        </w:tblPrEx>
        <w:trPr>
          <w:trHeight w:val="50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5B449ACE"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71F3B610"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2D9C6CDD"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Podnikatelské subjekty</w:t>
            </w:r>
          </w:p>
        </w:tc>
      </w:tr>
      <w:tr w14:paraId="3C44E500" w14:textId="77777777" w:rsidTr="00802DCA">
        <w:tblPrEx>
          <w:tblW w:w="9004" w:type="dxa"/>
          <w:tblInd w:w="75" w:type="dxa"/>
          <w:tblCellMar>
            <w:left w:w="70" w:type="dxa"/>
            <w:right w:w="70" w:type="dxa"/>
          </w:tblCellMar>
          <w:tblLook w:val="04A0"/>
        </w:tblPrEx>
        <w:trPr>
          <w:trHeight w:val="51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2B33178B"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621AF4CE"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E93420" w14:paraId="3F2E5D5A" w14:textId="1D78E9B1">
            <w:pPr>
              <w:spacing w:line="240" w:lineRule="auto"/>
              <w:jc w:val="center"/>
              <w:rPr>
                <w:noProof w:val="0"/>
                <w:color w:val="000000"/>
                <w:sz w:val="20"/>
                <w:szCs w:val="20"/>
                <w:lang w:eastAsia="cs-CZ" w:bidi="ar-SA"/>
              </w:rPr>
            </w:pPr>
            <w:r>
              <w:rPr>
                <w:noProof w:val="0"/>
                <w:color w:val="000000"/>
                <w:sz w:val="20"/>
                <w:szCs w:val="20"/>
                <w:lang w:eastAsia="cs-CZ" w:bidi="ar-SA"/>
              </w:rPr>
              <w:t>-</w:t>
            </w: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70C0095A" w14:textId="6F07E8BF">
            <w:pPr>
              <w:spacing w:line="240" w:lineRule="auto"/>
              <w:jc w:val="center"/>
              <w:rPr>
                <w:noProof w:val="0"/>
                <w:color w:val="000000"/>
                <w:sz w:val="20"/>
                <w:szCs w:val="20"/>
                <w:lang w:eastAsia="cs-CZ" w:bidi="ar-SA"/>
              </w:rPr>
            </w:pPr>
            <w:r>
              <w:rPr>
                <w:noProof w:val="0"/>
                <w:color w:val="000000"/>
                <w:sz w:val="20"/>
                <w:szCs w:val="20"/>
                <w:lang w:eastAsia="cs-CZ" w:bidi="ar-SA"/>
              </w:rPr>
              <w:t>-</w:t>
            </w: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vAlign w:val="center"/>
          </w:tcPr>
          <w:p w:rsidR="003B7D9B" w:rsidRPr="0058340D" w:rsidP="00F72DE3" w14:paraId="1233C2BA" w14:textId="15A6A6FA">
            <w:pPr>
              <w:spacing w:line="240" w:lineRule="auto"/>
              <w:jc w:val="center"/>
              <w:rPr>
                <w:noProof w:val="0"/>
                <w:color w:val="000000"/>
                <w:sz w:val="20"/>
                <w:szCs w:val="20"/>
                <w:lang w:eastAsia="cs-CZ" w:bidi="ar-SA"/>
              </w:rPr>
            </w:pPr>
            <w:r>
              <w:rPr>
                <w:noProof w:val="0"/>
                <w:color w:val="000000"/>
                <w:sz w:val="20"/>
                <w:szCs w:val="20"/>
                <w:lang w:eastAsia="cs-CZ" w:bidi="ar-SA"/>
              </w:rPr>
              <w:t>-</w:t>
            </w:r>
          </w:p>
        </w:tc>
        <w:tc>
          <w:tcPr>
            <w:tcW w:w="1498" w:type="dxa"/>
            <w:tcBorders>
              <w:top w:val="nil"/>
              <w:left w:val="nil"/>
              <w:bottom w:val="single" w:sz="4" w:space="0" w:color="auto"/>
              <w:right w:val="single" w:sz="4" w:space="0" w:color="auto"/>
            </w:tcBorders>
            <w:shd w:val="clear" w:color="auto" w:fill="auto"/>
            <w:noWrap/>
            <w:vAlign w:val="center"/>
          </w:tcPr>
          <w:p w:rsidR="003B7D9B" w:rsidRPr="0058340D" w:rsidP="003B7D9B" w14:paraId="66C204F4" w14:textId="35607FDD">
            <w:pPr>
              <w:spacing w:line="240" w:lineRule="auto"/>
              <w:jc w:val="center"/>
              <w:rPr>
                <w:noProof w:val="0"/>
                <w:color w:val="000000"/>
                <w:sz w:val="20"/>
                <w:szCs w:val="20"/>
                <w:lang w:eastAsia="cs-CZ" w:bidi="ar-SA"/>
              </w:rPr>
            </w:pPr>
            <w:r>
              <w:rPr>
                <w:noProof w:val="0"/>
                <w:color w:val="000000"/>
                <w:sz w:val="20"/>
                <w:szCs w:val="20"/>
                <w:lang w:eastAsia="cs-CZ" w:bidi="ar-SA"/>
              </w:rPr>
              <w:t>-</w:t>
            </w:r>
          </w:p>
        </w:tc>
      </w:tr>
      <w:tr w14:paraId="387268C5" w14:textId="77777777" w:rsidTr="00802DCA">
        <w:tblPrEx>
          <w:tblW w:w="9004" w:type="dxa"/>
          <w:tblInd w:w="75" w:type="dxa"/>
          <w:tblCellMar>
            <w:left w:w="70" w:type="dxa"/>
            <w:right w:w="70" w:type="dxa"/>
          </w:tblCellMar>
          <w:tblLook w:val="04A0"/>
        </w:tblPrEx>
        <w:trPr>
          <w:trHeight w:val="50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76679043"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7E165C0A"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3AD5D5A8"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Územní samosprávné celky (obce, kraje)</w:t>
            </w:r>
          </w:p>
        </w:tc>
      </w:tr>
      <w:tr w14:paraId="749C9EC6" w14:textId="77777777" w:rsidTr="00E93420">
        <w:tblPrEx>
          <w:tblW w:w="9004" w:type="dxa"/>
          <w:tblInd w:w="75" w:type="dxa"/>
          <w:tblCellMar>
            <w:left w:w="70" w:type="dxa"/>
            <w:right w:w="70" w:type="dxa"/>
          </w:tblCellMar>
          <w:tblLook w:val="04A0"/>
        </w:tblPrEx>
        <w:trPr>
          <w:trHeight w:val="900"/>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182A2622"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2405B4A7"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09F03D64"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 </w:t>
            </w:r>
          </w:p>
        </w:tc>
        <w:tc>
          <w:tcPr>
            <w:tcW w:w="149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606FED2F"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vAlign w:val="center"/>
            <w:hideMark/>
          </w:tcPr>
          <w:p w:rsidR="003B7D9B" w:rsidRPr="0058340D" w:rsidP="003B7D9B" w14:paraId="40EB0555"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KÚ - vydávání souhlasů dle § 14 (Kč/subjekt)</w:t>
            </w:r>
          </w:p>
        </w:tc>
        <w:tc>
          <w:tcPr>
            <w:tcW w:w="1498" w:type="dxa"/>
            <w:tcBorders>
              <w:top w:val="nil"/>
              <w:left w:val="nil"/>
              <w:bottom w:val="single" w:sz="4" w:space="0" w:color="auto"/>
              <w:right w:val="single" w:sz="4" w:space="0" w:color="auto"/>
            </w:tcBorders>
            <w:shd w:val="clear" w:color="auto" w:fill="auto"/>
            <w:noWrap/>
            <w:vAlign w:val="center"/>
            <w:hideMark/>
          </w:tcPr>
          <w:p w:rsidR="003B7D9B" w:rsidRPr="0058340D" w:rsidP="00C42006" w14:paraId="13385EE1"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 xml:space="preserve">cca 2 </w:t>
            </w:r>
            <w:r w:rsidRPr="0058340D" w:rsidR="00C42006">
              <w:rPr>
                <w:noProof w:val="0"/>
                <w:color w:val="000000"/>
                <w:sz w:val="20"/>
                <w:szCs w:val="20"/>
                <w:lang w:eastAsia="cs-CZ" w:bidi="ar-SA"/>
              </w:rPr>
              <w:t>5</w:t>
            </w:r>
            <w:r w:rsidRPr="0058340D">
              <w:rPr>
                <w:noProof w:val="0"/>
                <w:color w:val="000000"/>
                <w:sz w:val="20"/>
                <w:szCs w:val="20"/>
                <w:lang w:eastAsia="cs-CZ" w:bidi="ar-SA"/>
              </w:rPr>
              <w:t>00 - 1</w:t>
            </w:r>
            <w:r w:rsidRPr="0058340D" w:rsidR="00C42006">
              <w:rPr>
                <w:noProof w:val="0"/>
                <w:color w:val="000000"/>
                <w:sz w:val="20"/>
                <w:szCs w:val="20"/>
                <w:lang w:eastAsia="cs-CZ" w:bidi="ar-SA"/>
              </w:rPr>
              <w:t>4 1</w:t>
            </w:r>
            <w:r w:rsidRPr="0058340D">
              <w:rPr>
                <w:noProof w:val="0"/>
                <w:color w:val="000000"/>
                <w:sz w:val="20"/>
                <w:szCs w:val="20"/>
                <w:lang w:eastAsia="cs-CZ" w:bidi="ar-SA"/>
              </w:rPr>
              <w:t>00</w:t>
            </w:r>
            <w:r w:rsidRPr="0058340D" w:rsidR="00C42006">
              <w:rPr>
                <w:noProof w:val="0"/>
                <w:color w:val="000000"/>
                <w:sz w:val="20"/>
                <w:szCs w:val="20"/>
                <w:lang w:eastAsia="cs-CZ" w:bidi="ar-SA"/>
              </w:rPr>
              <w:t xml:space="preserve"> Kč</w:t>
            </w:r>
            <w:r w:rsidRPr="0058340D">
              <w:rPr>
                <w:noProof w:val="0"/>
                <w:color w:val="000000"/>
                <w:sz w:val="20"/>
                <w:szCs w:val="20"/>
                <w:lang w:eastAsia="cs-CZ" w:bidi="ar-SA"/>
              </w:rPr>
              <w:t xml:space="preserve"> </w:t>
            </w:r>
          </w:p>
        </w:tc>
      </w:tr>
      <w:tr w14:paraId="5AF2AD47" w14:textId="77777777" w:rsidTr="00802DCA">
        <w:tblPrEx>
          <w:tblW w:w="9004" w:type="dxa"/>
          <w:tblInd w:w="75" w:type="dxa"/>
          <w:tblCellMar>
            <w:left w:w="70" w:type="dxa"/>
            <w:right w:w="70" w:type="dxa"/>
          </w:tblCellMar>
          <w:tblLook w:val="04A0"/>
        </w:tblPrEx>
        <w:trPr>
          <w:trHeight w:val="50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3784053F"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5ECA0A57"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07FB9E40"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Sociální dopady</w:t>
            </w:r>
          </w:p>
        </w:tc>
      </w:tr>
      <w:tr w14:paraId="6048CC6A" w14:textId="77777777" w:rsidTr="00802DCA">
        <w:tblPrEx>
          <w:tblW w:w="9004" w:type="dxa"/>
          <w:tblInd w:w="75" w:type="dxa"/>
          <w:tblCellMar>
            <w:left w:w="70" w:type="dxa"/>
            <w:right w:w="70" w:type="dxa"/>
          </w:tblCellMar>
          <w:tblLook w:val="04A0"/>
        </w:tblPrEx>
        <w:trPr>
          <w:trHeight w:val="40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2AEE6731"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16F999F2"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E93420" w14:paraId="009395E9" w14:textId="1E8BE91F">
            <w:pPr>
              <w:spacing w:line="240" w:lineRule="auto"/>
              <w:jc w:val="center"/>
              <w:rPr>
                <w:noProof w:val="0"/>
                <w:color w:val="000000"/>
                <w:sz w:val="20"/>
                <w:szCs w:val="20"/>
                <w:lang w:eastAsia="cs-CZ" w:bidi="ar-SA"/>
              </w:rPr>
            </w:pPr>
            <w:r>
              <w:rPr>
                <w:noProof w:val="0"/>
                <w:color w:val="000000"/>
                <w:sz w:val="20"/>
                <w:szCs w:val="20"/>
                <w:lang w:eastAsia="cs-CZ" w:bidi="ar-SA"/>
              </w:rPr>
              <w:t>-</w:t>
            </w:r>
          </w:p>
        </w:tc>
        <w:tc>
          <w:tcPr>
            <w:tcW w:w="1497" w:type="dxa"/>
            <w:tcBorders>
              <w:top w:val="nil"/>
              <w:left w:val="nil"/>
              <w:bottom w:val="single" w:sz="4" w:space="0" w:color="auto"/>
              <w:right w:val="single" w:sz="4" w:space="0" w:color="auto"/>
            </w:tcBorders>
            <w:shd w:val="clear" w:color="auto" w:fill="auto"/>
            <w:vAlign w:val="center"/>
            <w:hideMark/>
          </w:tcPr>
          <w:p w:rsidR="003B7D9B" w:rsidRPr="0058340D" w:rsidP="003B7D9B" w14:paraId="38EAB994" w14:textId="091C523F">
            <w:pPr>
              <w:spacing w:line="240" w:lineRule="auto"/>
              <w:jc w:val="center"/>
              <w:rPr>
                <w:noProof w:val="0"/>
                <w:color w:val="000000"/>
                <w:sz w:val="20"/>
                <w:szCs w:val="20"/>
                <w:lang w:eastAsia="cs-CZ" w:bidi="ar-SA"/>
              </w:rPr>
            </w:pPr>
            <w:r>
              <w:rPr>
                <w:noProof w:val="0"/>
                <w:color w:val="000000"/>
                <w:sz w:val="20"/>
                <w:szCs w:val="20"/>
                <w:lang w:eastAsia="cs-CZ" w:bidi="ar-SA"/>
              </w:rPr>
              <w:t>-</w:t>
            </w:r>
            <w:r w:rsidRPr="0058340D">
              <w:rPr>
                <w:noProof w:val="0"/>
                <w:color w:val="000000"/>
                <w:sz w:val="20"/>
                <w:szCs w:val="20"/>
                <w:lang w:eastAsia="cs-CZ" w:bidi="ar-SA"/>
              </w:rPr>
              <w:t> </w:t>
            </w:r>
          </w:p>
        </w:tc>
        <w:tc>
          <w:tcPr>
            <w:tcW w:w="1517"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1FDE2382"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498" w:type="dxa"/>
            <w:tcBorders>
              <w:top w:val="nil"/>
              <w:left w:val="nil"/>
              <w:bottom w:val="single" w:sz="4" w:space="0" w:color="auto"/>
              <w:right w:val="single" w:sz="4" w:space="0" w:color="auto"/>
            </w:tcBorders>
            <w:shd w:val="clear" w:color="auto" w:fill="auto"/>
            <w:noWrap/>
            <w:vAlign w:val="center"/>
            <w:hideMark/>
          </w:tcPr>
          <w:p w:rsidR="003B7D9B" w:rsidRPr="0058340D" w:rsidP="003B7D9B" w14:paraId="2804EEC5" w14:textId="77777777">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r>
      <w:tr w14:paraId="0F426C54" w14:textId="77777777" w:rsidTr="00802DCA">
        <w:tblPrEx>
          <w:tblW w:w="9004" w:type="dxa"/>
          <w:tblInd w:w="75" w:type="dxa"/>
          <w:tblCellMar>
            <w:left w:w="70" w:type="dxa"/>
            <w:right w:w="70" w:type="dxa"/>
          </w:tblCellMar>
          <w:tblLook w:val="04A0"/>
        </w:tblPrEx>
        <w:trPr>
          <w:trHeight w:val="501"/>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63D6D7F8"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3B7D9B" w:rsidRPr="0058340D" w:rsidP="003B7D9B" w14:paraId="442840A7" w14:textId="77777777">
            <w:pPr>
              <w:spacing w:line="240" w:lineRule="auto"/>
              <w:jc w:val="left"/>
              <w:rPr>
                <w:noProof w:val="0"/>
                <w:color w:val="000000"/>
                <w:sz w:val="20"/>
                <w:szCs w:val="20"/>
                <w:lang w:eastAsia="cs-CZ" w:bidi="ar-SA"/>
              </w:rPr>
            </w:pPr>
          </w:p>
        </w:tc>
        <w:tc>
          <w:tcPr>
            <w:tcW w:w="6010" w:type="dxa"/>
            <w:gridSpan w:val="4"/>
            <w:tcBorders>
              <w:top w:val="single" w:sz="4" w:space="0" w:color="auto"/>
              <w:left w:val="nil"/>
              <w:bottom w:val="single" w:sz="4" w:space="0" w:color="auto"/>
              <w:right w:val="single" w:sz="4" w:space="0" w:color="auto"/>
            </w:tcBorders>
            <w:shd w:val="clear" w:color="auto" w:fill="auto"/>
            <w:vAlign w:val="center"/>
            <w:hideMark/>
          </w:tcPr>
          <w:p w:rsidR="003B7D9B" w:rsidRPr="0058340D" w:rsidP="003B7D9B" w14:paraId="57450E4C" w14:textId="77777777">
            <w:pPr>
              <w:spacing w:line="240" w:lineRule="auto"/>
              <w:jc w:val="center"/>
              <w:rPr>
                <w:b/>
                <w:bCs/>
                <w:noProof w:val="0"/>
                <w:color w:val="000000"/>
                <w:sz w:val="20"/>
                <w:szCs w:val="20"/>
                <w:lang w:eastAsia="cs-CZ" w:bidi="ar-SA"/>
              </w:rPr>
            </w:pPr>
            <w:r w:rsidRPr="0058340D">
              <w:rPr>
                <w:b/>
                <w:bCs/>
                <w:noProof w:val="0"/>
                <w:color w:val="000000"/>
                <w:sz w:val="20"/>
                <w:szCs w:val="20"/>
                <w:lang w:eastAsia="cs-CZ" w:bidi="ar-SA"/>
              </w:rPr>
              <w:t>Životní prostředí</w:t>
            </w:r>
          </w:p>
        </w:tc>
      </w:tr>
      <w:tr w14:paraId="0379F390" w14:textId="77777777" w:rsidTr="00E93420">
        <w:tblPrEx>
          <w:tblW w:w="9004" w:type="dxa"/>
          <w:tblInd w:w="75" w:type="dxa"/>
          <w:tblCellMar>
            <w:left w:w="70" w:type="dxa"/>
            <w:right w:w="70" w:type="dxa"/>
          </w:tblCellMar>
          <w:tblLook w:val="04A0"/>
        </w:tblPrEx>
        <w:trPr>
          <w:trHeight w:val="677"/>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F72DE3" w:rsidRPr="0058340D" w:rsidP="00F72DE3" w14:paraId="02428984" w14:textId="77777777">
            <w:pPr>
              <w:spacing w:line="240" w:lineRule="auto"/>
              <w:jc w:val="left"/>
              <w:rPr>
                <w:b/>
                <w:bCs/>
                <w:noProof w:val="0"/>
                <w:color w:val="000000"/>
                <w:sz w:val="20"/>
                <w:szCs w:val="20"/>
                <w:lang w:eastAsia="cs-CZ" w:bidi="ar-SA"/>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F72DE3" w:rsidRPr="0058340D" w:rsidP="00F72DE3" w14:paraId="4DA24CDE" w14:textId="77777777">
            <w:pPr>
              <w:spacing w:line="240" w:lineRule="auto"/>
              <w:jc w:val="left"/>
              <w:rPr>
                <w:noProof w:val="0"/>
                <w:color w:val="000000"/>
                <w:sz w:val="20"/>
                <w:szCs w:val="20"/>
                <w:lang w:eastAsia="cs-CZ" w:bidi="ar-SA"/>
              </w:rPr>
            </w:pPr>
          </w:p>
        </w:tc>
        <w:tc>
          <w:tcPr>
            <w:tcW w:w="1497" w:type="dxa"/>
            <w:tcBorders>
              <w:top w:val="nil"/>
              <w:left w:val="nil"/>
              <w:bottom w:val="single" w:sz="4" w:space="0" w:color="auto"/>
              <w:right w:val="single" w:sz="4" w:space="0" w:color="auto"/>
            </w:tcBorders>
            <w:shd w:val="clear" w:color="auto" w:fill="auto"/>
            <w:vAlign w:val="center"/>
            <w:hideMark/>
          </w:tcPr>
          <w:p w:rsidR="00F72DE3" w:rsidRPr="0058340D" w:rsidP="00F72DE3" w14:paraId="666BB82A" w14:textId="508C4838">
            <w:pPr>
              <w:spacing w:line="240" w:lineRule="auto"/>
              <w:jc w:val="left"/>
              <w:rPr>
                <w:noProof w:val="0"/>
                <w:color w:val="000000"/>
                <w:sz w:val="20"/>
                <w:szCs w:val="20"/>
                <w:lang w:eastAsia="cs-CZ" w:bidi="ar-SA"/>
              </w:rPr>
            </w:pPr>
            <w:r>
              <w:rPr>
                <w:noProof w:val="0"/>
                <w:color w:val="000000"/>
                <w:sz w:val="20"/>
                <w:szCs w:val="20"/>
                <w:lang w:eastAsia="cs-CZ" w:bidi="ar-SA"/>
              </w:rPr>
              <w:t>Navýšení míry sběru OEEZ a méně OEEZ mimo místa ZO</w:t>
            </w:r>
          </w:p>
        </w:tc>
        <w:tc>
          <w:tcPr>
            <w:tcW w:w="1497" w:type="dxa"/>
            <w:tcBorders>
              <w:top w:val="nil"/>
              <w:left w:val="nil"/>
              <w:bottom w:val="single" w:sz="4" w:space="0" w:color="auto"/>
              <w:right w:val="single" w:sz="4" w:space="0" w:color="auto"/>
            </w:tcBorders>
            <w:shd w:val="clear" w:color="auto" w:fill="auto"/>
            <w:vAlign w:val="center"/>
            <w:hideMark/>
          </w:tcPr>
          <w:p w:rsidR="00F72DE3" w:rsidRPr="0058340D" w:rsidP="00F72DE3" w14:paraId="4D851A18" w14:textId="3B2C65E8">
            <w:pPr>
              <w:spacing w:line="240" w:lineRule="auto"/>
              <w:jc w:val="center"/>
              <w:rPr>
                <w:noProof w:val="0"/>
                <w:color w:val="000000"/>
                <w:sz w:val="20"/>
                <w:szCs w:val="20"/>
                <w:lang w:eastAsia="cs-CZ" w:bidi="ar-SA"/>
              </w:rPr>
            </w:pPr>
            <w:r w:rsidRPr="0058340D">
              <w:rPr>
                <w:noProof w:val="0"/>
                <w:color w:val="000000"/>
                <w:sz w:val="20"/>
                <w:szCs w:val="20"/>
                <w:lang w:eastAsia="cs-CZ" w:bidi="ar-SA"/>
              </w:rPr>
              <w:t>****</w:t>
            </w:r>
          </w:p>
        </w:tc>
        <w:tc>
          <w:tcPr>
            <w:tcW w:w="1517" w:type="dxa"/>
            <w:tcBorders>
              <w:top w:val="nil"/>
              <w:left w:val="nil"/>
              <w:bottom w:val="single" w:sz="4" w:space="0" w:color="auto"/>
              <w:right w:val="single" w:sz="4" w:space="0" w:color="auto"/>
            </w:tcBorders>
            <w:shd w:val="clear" w:color="auto" w:fill="auto"/>
            <w:vAlign w:val="center"/>
          </w:tcPr>
          <w:p w:rsidR="00F72DE3" w:rsidRPr="0058340D" w:rsidP="00F72DE3" w14:paraId="0646E7B5" w14:textId="236F333F">
            <w:pPr>
              <w:spacing w:line="240" w:lineRule="auto"/>
              <w:jc w:val="left"/>
              <w:rPr>
                <w:noProof w:val="0"/>
                <w:color w:val="000000"/>
                <w:sz w:val="20"/>
                <w:szCs w:val="20"/>
                <w:lang w:eastAsia="cs-CZ" w:bidi="ar-SA"/>
              </w:rPr>
            </w:pPr>
          </w:p>
        </w:tc>
        <w:tc>
          <w:tcPr>
            <w:tcW w:w="1498" w:type="dxa"/>
            <w:tcBorders>
              <w:top w:val="nil"/>
              <w:left w:val="nil"/>
              <w:bottom w:val="single" w:sz="4" w:space="0" w:color="auto"/>
              <w:right w:val="single" w:sz="4" w:space="0" w:color="auto"/>
            </w:tcBorders>
            <w:shd w:val="clear" w:color="auto" w:fill="auto"/>
            <w:vAlign w:val="center"/>
          </w:tcPr>
          <w:p w:rsidR="00F72DE3" w:rsidRPr="0058340D" w:rsidP="00F72DE3" w14:paraId="6933CE30" w14:textId="314E49BA">
            <w:pPr>
              <w:spacing w:line="240" w:lineRule="auto"/>
              <w:jc w:val="center"/>
              <w:rPr>
                <w:noProof w:val="0"/>
                <w:color w:val="000000"/>
                <w:sz w:val="20"/>
                <w:szCs w:val="20"/>
                <w:lang w:eastAsia="cs-CZ" w:bidi="ar-SA"/>
              </w:rPr>
            </w:pPr>
          </w:p>
        </w:tc>
      </w:tr>
      <w:tr w14:paraId="2D7B0A9D" w14:textId="77777777" w:rsidTr="00802DCA">
        <w:tblPrEx>
          <w:tblW w:w="9004" w:type="dxa"/>
          <w:tblInd w:w="75" w:type="dxa"/>
          <w:tblCellMar>
            <w:left w:w="70" w:type="dxa"/>
            <w:right w:w="70" w:type="dxa"/>
          </w:tblCellMar>
          <w:tblLook w:val="04A0"/>
        </w:tblPrEx>
        <w:trPr>
          <w:trHeight w:val="255"/>
        </w:trPr>
        <w:tc>
          <w:tcPr>
            <w:tcW w:w="9004" w:type="dxa"/>
            <w:gridSpan w:val="6"/>
            <w:tcBorders>
              <w:top w:val="single" w:sz="4" w:space="0" w:color="auto"/>
              <w:left w:val="nil"/>
              <w:bottom w:val="nil"/>
              <w:right w:val="nil"/>
            </w:tcBorders>
            <w:shd w:val="clear" w:color="auto" w:fill="auto"/>
            <w:noWrap/>
            <w:vAlign w:val="center"/>
            <w:hideMark/>
          </w:tcPr>
          <w:p w:rsidR="00F72DE3" w:rsidRPr="0058340D" w:rsidP="00F72DE3" w14:paraId="6A2F23BD" w14:textId="77777777">
            <w:pPr>
              <w:spacing w:line="240" w:lineRule="auto"/>
              <w:jc w:val="left"/>
              <w:rPr>
                <w:noProof w:val="0"/>
                <w:color w:val="000000"/>
                <w:sz w:val="20"/>
                <w:szCs w:val="20"/>
                <w:lang w:eastAsia="cs-CZ" w:bidi="ar-SA"/>
              </w:rPr>
            </w:pPr>
            <w:r w:rsidRPr="0058340D">
              <w:rPr>
                <w:noProof w:val="0"/>
                <w:color w:val="000000"/>
                <w:sz w:val="20"/>
                <w:szCs w:val="20"/>
                <w:lang w:eastAsia="cs-CZ" w:bidi="ar-SA"/>
              </w:rPr>
              <w:t>- bez dopadů, * velmi nízké, ** nízké, *** střední, **** vysoké, ***** velmi vysoké</w:t>
            </w:r>
          </w:p>
        </w:tc>
      </w:tr>
    </w:tbl>
    <w:p w:rsidR="00EA5F1A" w:rsidP="001E3A78" w14:paraId="6452F3A9" w14:textId="77777777"/>
    <w:p w:rsidR="00835528" w:rsidRPr="00ED38E9" w:rsidP="00835528" w14:paraId="5D5A974C" w14:textId="77777777">
      <w:pPr>
        <w:pStyle w:val="Heading2"/>
      </w:pPr>
      <w:r>
        <w:t>Návrh řešení</w:t>
      </w:r>
    </w:p>
    <w:p w:rsidR="00EA5F1A" w:rsidRPr="006C2859" w:rsidP="00835528" w14:paraId="776B36F1" w14:textId="77777777">
      <w:pPr>
        <w:pStyle w:val="Heading4"/>
        <w:numPr>
          <w:ilvl w:val="0"/>
          <w:numId w:val="0"/>
        </w:numPr>
        <w:spacing w:before="120"/>
        <w:ind w:left="864" w:hanging="864"/>
        <w:rPr>
          <w:b/>
          <w:i/>
          <w:sz w:val="24"/>
          <w:szCs w:val="24"/>
        </w:rPr>
      </w:pPr>
      <w:r w:rsidRPr="006C2859">
        <w:rPr>
          <w:b/>
          <w:i/>
          <w:sz w:val="24"/>
          <w:szCs w:val="24"/>
        </w:rPr>
        <w:t>Stanovení pořadí variant a výběr nejvhodnějšího řešení</w:t>
      </w:r>
    </w:p>
    <w:p w:rsidR="00EA5F1A" w:rsidRPr="00ED38E9" w:rsidP="003C445B" w14:paraId="6727B0D0" w14:textId="379B709B">
      <w:pPr>
        <w:pStyle w:val="ListParagraph"/>
        <w:numPr>
          <w:ilvl w:val="0"/>
          <w:numId w:val="74"/>
        </w:numPr>
        <w:spacing w:after="0" w:line="240" w:lineRule="auto"/>
        <w:contextualSpacing w:val="0"/>
        <w:rPr>
          <w:rFonts w:cs="Arial"/>
          <w:b/>
          <w:bCs/>
        </w:rPr>
      </w:pPr>
      <w:r>
        <w:rPr>
          <w:rFonts w:cs="Arial"/>
          <w:b/>
          <w:bCs/>
        </w:rPr>
        <w:t>Varianta 1</w:t>
      </w:r>
    </w:p>
    <w:p w:rsidR="00EA5F1A" w:rsidRPr="00ED38E9" w:rsidP="003C445B" w14:paraId="78B6FFBD" w14:textId="4E452771">
      <w:pPr>
        <w:pStyle w:val="ListParagraph"/>
        <w:numPr>
          <w:ilvl w:val="0"/>
          <w:numId w:val="74"/>
        </w:numPr>
        <w:spacing w:after="0" w:line="240" w:lineRule="auto"/>
        <w:ind w:left="714" w:hanging="357"/>
        <w:contextualSpacing w:val="0"/>
        <w:rPr>
          <w:rFonts w:cs="Arial"/>
        </w:rPr>
      </w:pPr>
      <w:r w:rsidRPr="00ED38E9">
        <w:rPr>
          <w:rFonts w:cs="Arial"/>
        </w:rPr>
        <w:t xml:space="preserve">Varianta </w:t>
      </w:r>
      <w:r w:rsidR="00F72DE3">
        <w:rPr>
          <w:rFonts w:cs="Arial"/>
        </w:rPr>
        <w:t>0</w:t>
      </w:r>
    </w:p>
    <w:p w:rsidR="00EA5F1A" w:rsidP="00936929" w14:paraId="0080BA99" w14:textId="4C87AC8C">
      <w:pPr>
        <w:rPr>
          <w:rFonts w:cs="Arial"/>
        </w:rPr>
      </w:pPr>
      <w:r w:rsidRPr="00ED38E9">
        <w:rPr>
          <w:rFonts w:cs="Arial"/>
        </w:rPr>
        <w:t xml:space="preserve">Na základě porovnání nákladů a přínosů </w:t>
      </w:r>
      <w:r w:rsidR="00E93420">
        <w:rPr>
          <w:rFonts w:cs="Arial"/>
        </w:rPr>
        <w:t>hodnocených</w:t>
      </w:r>
      <w:r w:rsidRPr="00ED38E9">
        <w:rPr>
          <w:rFonts w:cs="Arial"/>
        </w:rPr>
        <w:t xml:space="preserve"> variant </w:t>
      </w:r>
      <w:r w:rsidR="00F72DE3">
        <w:rPr>
          <w:rFonts w:cs="Arial"/>
        </w:rPr>
        <w:t>doporučujeme přijmout Variantu 1</w:t>
      </w:r>
      <w:r w:rsidRPr="00ED38E9">
        <w:rPr>
          <w:rFonts w:cs="Arial"/>
        </w:rPr>
        <w:t xml:space="preserve">, která představuje snížení rizika </w:t>
      </w:r>
      <w:r>
        <w:rPr>
          <w:rFonts w:cs="Arial"/>
        </w:rPr>
        <w:t>infringement</w:t>
      </w:r>
      <w:r w:rsidRPr="00ED38E9">
        <w:rPr>
          <w:rFonts w:cs="Arial"/>
        </w:rPr>
        <w:t xml:space="preserve">u bez negativních dopadů na </w:t>
      </w:r>
      <w:r w:rsidRPr="00ED38E9" w:rsidR="001535DE">
        <w:rPr>
          <w:rFonts w:cs="Arial"/>
        </w:rPr>
        <w:t>podnikatelské subjekty</w:t>
      </w:r>
      <w:r w:rsidRPr="00ED38E9">
        <w:rPr>
          <w:rFonts w:cs="Arial"/>
        </w:rPr>
        <w:t>, spotřebitele a životní prostředí.</w:t>
      </w:r>
    </w:p>
    <w:p w:rsidR="003652A3" w:rsidP="00EA5F1A" w14:paraId="4E68DDCC" w14:textId="77777777">
      <w:pPr>
        <w:rPr>
          <w:rFonts w:cs="Arial"/>
        </w:rPr>
      </w:pPr>
    </w:p>
    <w:p w:rsidR="004853B4" w:rsidRPr="00445AB4" w:rsidP="004853B4" w14:paraId="114A72F5" w14:textId="32044530">
      <w:pPr>
        <w:pStyle w:val="Heading1"/>
        <w:widowControl w:val="0"/>
      </w:pPr>
      <w:bookmarkStart w:id="196" w:name="_Toc14942092"/>
      <w:bookmarkStart w:id="197" w:name="_Toc256000018"/>
      <w:r>
        <w:t xml:space="preserve">Omezení </w:t>
      </w:r>
      <w:r w:rsidRPr="00ED38E9">
        <w:t xml:space="preserve">plnění povinností výrobců v rámci více kolektivních systémů pro </w:t>
      </w:r>
      <w:r>
        <w:t>stejnou skupinu elektrozařízení</w:t>
      </w:r>
      <w:r w:rsidR="001535DE">
        <w:t xml:space="preserve"> (§ 46 odst. 2 písm. a)</w:t>
      </w:r>
      <w:bookmarkEnd w:id="197"/>
      <w:bookmarkEnd w:id="196"/>
    </w:p>
    <w:p w:rsidR="004853B4" w:rsidP="004853B4" w14:paraId="7028CEC8" w14:textId="77777777">
      <w:pPr>
        <w:pStyle w:val="Heading2"/>
      </w:pPr>
      <w:r>
        <w:t>Důvod předložení a cíle</w:t>
      </w:r>
    </w:p>
    <w:p w:rsidR="00CD5A7A" w:rsidRPr="00ED38E9" w:rsidP="00BF16B7" w14:paraId="6891CE2F" w14:textId="77777777">
      <w:pPr>
        <w:pStyle w:val="Heading3"/>
      </w:pPr>
      <w:r w:rsidRPr="00ED38E9">
        <w:t>Definice problému</w:t>
      </w:r>
    </w:p>
    <w:p w:rsidR="00CD5A7A" w:rsidP="00936929" w14:paraId="3C9FC0E8" w14:textId="77777777">
      <w:pPr>
        <w:rPr>
          <w:rFonts w:cs="Arial"/>
        </w:rPr>
      </w:pPr>
      <w:r w:rsidRPr="00ED38E9">
        <w:rPr>
          <w:rFonts w:cs="Arial"/>
        </w:rPr>
        <w:t xml:space="preserve">V současné době zákon o odpadech neomezuje plnění povinností výrobců </w:t>
      </w:r>
      <w:r w:rsidR="00E52875">
        <w:rPr>
          <w:rFonts w:cs="Arial"/>
        </w:rPr>
        <w:t>EEZ</w:t>
      </w:r>
      <w:r w:rsidRPr="00ED38E9" w:rsidR="00E52875">
        <w:rPr>
          <w:rFonts w:cs="Arial"/>
        </w:rPr>
        <w:t xml:space="preserve"> </w:t>
      </w:r>
      <w:r w:rsidRPr="00ED38E9">
        <w:rPr>
          <w:rFonts w:cs="Arial"/>
        </w:rPr>
        <w:t xml:space="preserve">v rámci více </w:t>
      </w:r>
      <w:r w:rsidR="00E52875">
        <w:rPr>
          <w:rFonts w:cs="Arial"/>
        </w:rPr>
        <w:t>KS</w:t>
      </w:r>
      <w:r w:rsidRPr="00ED38E9">
        <w:rPr>
          <w:rFonts w:cs="Arial"/>
        </w:rPr>
        <w:t xml:space="preserve">. V praxi tak dochází k tomu, že výrobci vykazují množství </w:t>
      </w:r>
      <w:r w:rsidR="00E52875">
        <w:rPr>
          <w:rFonts w:cs="Arial"/>
        </w:rPr>
        <w:t>EEZ</w:t>
      </w:r>
      <w:r w:rsidRPr="00ED38E9" w:rsidR="00E52875">
        <w:rPr>
          <w:rFonts w:cs="Arial"/>
        </w:rPr>
        <w:t xml:space="preserve"> </w:t>
      </w:r>
      <w:r w:rsidRPr="00ED38E9">
        <w:rPr>
          <w:rFonts w:cs="Arial"/>
        </w:rPr>
        <w:t xml:space="preserve">uvedených na trh v rámci více </w:t>
      </w:r>
      <w:r w:rsidR="00E52875">
        <w:rPr>
          <w:rFonts w:cs="Arial"/>
        </w:rPr>
        <w:t>KS</w:t>
      </w:r>
      <w:r w:rsidRPr="00ED38E9">
        <w:rPr>
          <w:rFonts w:cs="Arial"/>
        </w:rPr>
        <w:t xml:space="preserve">, a to s ohledem na to, který </w:t>
      </w:r>
      <w:r w:rsidR="00E52875">
        <w:rPr>
          <w:rFonts w:cs="Arial"/>
        </w:rPr>
        <w:t>KS</w:t>
      </w:r>
      <w:r w:rsidRPr="00ED38E9">
        <w:rPr>
          <w:rFonts w:cs="Arial"/>
        </w:rPr>
        <w:t xml:space="preserve"> nabízí pro daný výrobek v daném okamžiku výhodnější cenu. Jednotliví provozovatelé </w:t>
      </w:r>
      <w:r w:rsidR="00E52875">
        <w:rPr>
          <w:rFonts w:cs="Arial"/>
        </w:rPr>
        <w:t>KS</w:t>
      </w:r>
      <w:r w:rsidRPr="00ED38E9">
        <w:rPr>
          <w:rFonts w:cs="Arial"/>
        </w:rPr>
        <w:t xml:space="preserve"> pak mají velmi omezené možnosti kontroly jednotlivých výrobců a zároveň to má negativní dopady např. na finanční plánování daných </w:t>
      </w:r>
      <w:r w:rsidR="00E52875">
        <w:rPr>
          <w:rFonts w:cs="Arial"/>
        </w:rPr>
        <w:t>KS</w:t>
      </w:r>
      <w:r w:rsidRPr="00ED38E9">
        <w:rPr>
          <w:rFonts w:cs="Arial"/>
        </w:rPr>
        <w:t xml:space="preserve"> (variabilní výše příjmů). </w:t>
      </w:r>
    </w:p>
    <w:p w:rsidR="00CD5A7A" w:rsidRPr="00ED38E9" w:rsidP="00BF16B7" w14:paraId="57B86A55" w14:textId="77777777">
      <w:pPr>
        <w:pStyle w:val="Heading3"/>
      </w:pPr>
      <w:r w:rsidRPr="00ED38E9">
        <w:t>Popis existujícího právního stavu v dané oblasti</w:t>
      </w:r>
    </w:p>
    <w:p w:rsidR="00CD5A7A" w:rsidP="00936929" w14:paraId="58D427DA" w14:textId="77777777">
      <w:pPr>
        <w:rPr>
          <w:rFonts w:cs="Arial"/>
        </w:rPr>
      </w:pPr>
      <w:r w:rsidRPr="00ED38E9">
        <w:rPr>
          <w:rFonts w:cs="Arial"/>
        </w:rPr>
        <w:t>Zákon o odpadech tuto oblast v současné době nijak nereguluje.</w:t>
      </w:r>
    </w:p>
    <w:p w:rsidR="00CD5A7A" w:rsidRPr="00ED38E9" w:rsidP="00BF16B7" w14:paraId="37735B42" w14:textId="77777777">
      <w:pPr>
        <w:pStyle w:val="Heading3"/>
      </w:pPr>
      <w:r w:rsidRPr="00ED38E9">
        <w:t>Identifikace dotčených subjektů</w:t>
      </w:r>
    </w:p>
    <w:p w:rsidR="00CD5A7A" w:rsidRPr="00ED38E9" w:rsidP="001E3A78" w14:paraId="5F80C027" w14:textId="77777777">
      <w:pPr>
        <w:pStyle w:val="ListParagraph"/>
        <w:numPr>
          <w:ilvl w:val="0"/>
          <w:numId w:val="148"/>
        </w:numPr>
        <w:spacing w:after="0"/>
        <w:contextualSpacing w:val="0"/>
        <w:rPr>
          <w:rFonts w:cs="Arial"/>
        </w:rPr>
      </w:pPr>
      <w:r w:rsidRPr="00ED38E9">
        <w:rPr>
          <w:rFonts w:cs="Arial"/>
        </w:rPr>
        <w:t>výrobci,</w:t>
      </w:r>
    </w:p>
    <w:p w:rsidR="00CD5A7A" w:rsidP="001E3A78" w14:paraId="69587574" w14:textId="77777777">
      <w:pPr>
        <w:pStyle w:val="ListParagraph"/>
        <w:numPr>
          <w:ilvl w:val="0"/>
          <w:numId w:val="148"/>
        </w:numPr>
        <w:spacing w:after="0"/>
        <w:ind w:left="714" w:hanging="357"/>
        <w:contextualSpacing w:val="0"/>
        <w:rPr>
          <w:rFonts w:cs="Arial"/>
        </w:rPr>
      </w:pPr>
      <w:r w:rsidRPr="00ED38E9">
        <w:rPr>
          <w:rFonts w:cs="Arial"/>
        </w:rPr>
        <w:t>kolektivní systémy (KS).</w:t>
      </w:r>
    </w:p>
    <w:p w:rsidR="00CD5A7A" w:rsidRPr="00ED38E9" w:rsidP="00BF16B7" w14:paraId="019EC274" w14:textId="77777777">
      <w:pPr>
        <w:pStyle w:val="Heading3"/>
      </w:pPr>
      <w:r w:rsidRPr="00ED38E9">
        <w:t>Popis cílového stavu</w:t>
      </w:r>
    </w:p>
    <w:p w:rsidR="00CD5A7A" w:rsidP="00936929" w14:paraId="4296916A" w14:textId="77777777">
      <w:pPr>
        <w:rPr>
          <w:rFonts w:cs="Arial"/>
        </w:rPr>
      </w:pPr>
      <w:r w:rsidRPr="00ED38E9">
        <w:rPr>
          <w:rFonts w:cs="Arial"/>
        </w:rPr>
        <w:t xml:space="preserve">Výrobce bude vykazovat množství výrobků uvedených na trh v jedné výrobkové skupině vždy v rámci jednoho </w:t>
      </w:r>
      <w:r w:rsidR="00E52875">
        <w:rPr>
          <w:rFonts w:cs="Arial"/>
        </w:rPr>
        <w:t>KS</w:t>
      </w:r>
      <w:r w:rsidRPr="00ED38E9">
        <w:rPr>
          <w:rFonts w:cs="Arial"/>
        </w:rPr>
        <w:t xml:space="preserve">. Výjimka je v oblasti </w:t>
      </w:r>
      <w:r w:rsidR="00E52875">
        <w:rPr>
          <w:rFonts w:cs="Arial"/>
        </w:rPr>
        <w:t>EEZ</w:t>
      </w:r>
      <w:r w:rsidRPr="00ED38E9" w:rsidR="00E52875">
        <w:rPr>
          <w:rFonts w:cs="Arial"/>
        </w:rPr>
        <w:t xml:space="preserve"> </w:t>
      </w:r>
      <w:r w:rsidRPr="00ED38E9">
        <w:rPr>
          <w:rFonts w:cs="Arial"/>
        </w:rPr>
        <w:t>stanovena pro  solární panely.</w:t>
      </w:r>
    </w:p>
    <w:p w:rsidR="00CD5A7A" w:rsidRPr="00ED38E9" w:rsidP="00BF16B7" w14:paraId="25556EF8" w14:textId="77777777">
      <w:pPr>
        <w:pStyle w:val="Heading3"/>
      </w:pPr>
      <w:r w:rsidRPr="00ED38E9">
        <w:t>Zhodnocení rizika</w:t>
      </w:r>
    </w:p>
    <w:p w:rsidR="00CD5A7A" w:rsidRPr="00ED38E9" w:rsidP="00936929" w14:paraId="598EEEC4" w14:textId="6FACF845">
      <w:pPr>
        <w:rPr>
          <w:rFonts w:cs="Arial"/>
        </w:rPr>
      </w:pPr>
      <w:r w:rsidRPr="00ED38E9">
        <w:rPr>
          <w:rFonts w:cs="Arial"/>
        </w:rPr>
        <w:t>Mezi rizika ř</w:t>
      </w:r>
      <w:r w:rsidR="004A02E9">
        <w:rPr>
          <w:rFonts w:cs="Arial"/>
        </w:rPr>
        <w:t>adíme vysokou míru tzv. freeridi</w:t>
      </w:r>
      <w:r w:rsidRPr="00ED38E9">
        <w:rPr>
          <w:rFonts w:cs="Arial"/>
        </w:rPr>
        <w:t>ngu a riziko navýšení administrativní zátěže kontrolních subjektů.</w:t>
      </w:r>
    </w:p>
    <w:p w:rsidR="00C76F18" w:rsidP="00C76F18" w14:paraId="2AF19AD2" w14:textId="77777777">
      <w:pPr>
        <w:pStyle w:val="Heading2"/>
      </w:pPr>
      <w:r>
        <w:t>Návrh variant řešení</w:t>
      </w:r>
    </w:p>
    <w:p w:rsidR="00CD5A7A" w:rsidRPr="00C76F18" w:rsidP="00C76F18" w14:paraId="11CD270F" w14:textId="77777777">
      <w:pPr>
        <w:pStyle w:val="Heading4"/>
        <w:numPr>
          <w:ilvl w:val="0"/>
          <w:numId w:val="0"/>
        </w:numPr>
        <w:spacing w:before="120" w:after="0"/>
        <w:ind w:left="864" w:hanging="864"/>
        <w:rPr>
          <w:szCs w:val="24"/>
        </w:rPr>
      </w:pPr>
      <w:r w:rsidRPr="00C76F18">
        <w:rPr>
          <w:b/>
          <w:sz w:val="24"/>
          <w:szCs w:val="24"/>
        </w:rPr>
        <w:t>Varianta 0</w:t>
      </w:r>
    </w:p>
    <w:p w:rsidR="00CD5A7A" w:rsidRPr="00C76F18" w:rsidP="00936929" w14:paraId="066029D8" w14:textId="77777777">
      <w:pPr>
        <w:rPr>
          <w:rFonts w:cs="Arial"/>
        </w:rPr>
      </w:pPr>
      <w:r w:rsidRPr="00C76F18">
        <w:rPr>
          <w:rFonts w:cs="Arial"/>
        </w:rPr>
        <w:t>Ponechání současného stavu, tj. kdy výrobce může mít na každou podskupinu EEZ smlouvu s jiným KS.</w:t>
      </w:r>
    </w:p>
    <w:p w:rsidR="00CD5A7A" w:rsidRPr="00C76F18" w:rsidP="00C76F18" w14:paraId="3231EA35" w14:textId="77777777">
      <w:pPr>
        <w:pStyle w:val="Heading4"/>
        <w:numPr>
          <w:ilvl w:val="0"/>
          <w:numId w:val="0"/>
        </w:numPr>
        <w:spacing w:after="0"/>
        <w:ind w:left="862" w:hanging="862"/>
        <w:rPr>
          <w:szCs w:val="24"/>
        </w:rPr>
      </w:pPr>
      <w:r w:rsidRPr="00C76F18">
        <w:rPr>
          <w:b/>
          <w:sz w:val="24"/>
          <w:szCs w:val="24"/>
        </w:rPr>
        <w:t>Varianta 1</w:t>
      </w:r>
    </w:p>
    <w:p w:rsidR="00CD5A7A" w:rsidP="00936929" w14:paraId="3FF2C992" w14:textId="77777777">
      <w:pPr>
        <w:rPr>
          <w:rFonts w:cs="Arial"/>
        </w:rPr>
      </w:pPr>
      <w:r w:rsidRPr="00ED38E9">
        <w:rPr>
          <w:rFonts w:cs="Arial"/>
        </w:rPr>
        <w:t>Zavedení možnosti mít smlouvu s kolektivním systémem pouze pro celou skupinu EEZ vyjma solárních panelů.</w:t>
      </w:r>
    </w:p>
    <w:p w:rsidR="00CD5A7A" w:rsidP="00600EF4" w14:paraId="602BC978" w14:textId="77777777">
      <w:pPr>
        <w:pStyle w:val="TOC3"/>
      </w:pPr>
    </w:p>
    <w:p w:rsidR="00C76F18" w:rsidP="00C76F18" w14:paraId="0ADCDBDC" w14:textId="77777777">
      <w:pPr>
        <w:pStyle w:val="Heading2"/>
      </w:pPr>
      <w:r>
        <w:t>Vyhodnocení nákladů a přínosů</w:t>
      </w:r>
    </w:p>
    <w:p w:rsidR="00E52875" w:rsidP="00C76F18" w14:paraId="55EB438A" w14:textId="77777777">
      <w:pPr>
        <w:pStyle w:val="Heading4"/>
        <w:numPr>
          <w:ilvl w:val="0"/>
          <w:numId w:val="0"/>
        </w:numPr>
        <w:spacing w:before="120" w:after="0"/>
        <w:ind w:left="864" w:hanging="864"/>
        <w:rPr>
          <w:b/>
          <w:i/>
          <w:sz w:val="24"/>
          <w:szCs w:val="24"/>
        </w:rPr>
      </w:pPr>
      <w:r>
        <w:rPr>
          <w:b/>
          <w:i/>
          <w:sz w:val="24"/>
          <w:szCs w:val="24"/>
        </w:rPr>
        <w:t>Identifikace nákladů a přínosů</w:t>
      </w:r>
    </w:p>
    <w:p w:rsidR="00CD5A7A" w:rsidRPr="00221615" w:rsidP="000E6DE5" w14:paraId="3D8ADCF3" w14:textId="77777777">
      <w:pPr>
        <w:pStyle w:val="ListParagraph"/>
        <w:keepNext/>
        <w:numPr>
          <w:ilvl w:val="0"/>
          <w:numId w:val="146"/>
        </w:numPr>
        <w:spacing w:before="240" w:after="120"/>
        <w:contextualSpacing w:val="0"/>
        <w:rPr>
          <w:rFonts w:cs="Arial"/>
          <w:b/>
        </w:rPr>
      </w:pPr>
      <w:r w:rsidRPr="00221615">
        <w:rPr>
          <w:rFonts w:cs="Arial"/>
          <w:b/>
        </w:rPr>
        <w:t>Varianta 0</w:t>
      </w:r>
    </w:p>
    <w:p w:rsidR="00CD5A7A" w:rsidRPr="00ED38E9" w:rsidP="001E3A78" w14:paraId="134B2BA0" w14:textId="77777777">
      <w:pPr>
        <w:pStyle w:val="Normlntun"/>
        <w:spacing w:before="240" w:after="0" w:line="276" w:lineRule="auto"/>
        <w:rPr>
          <w:rFonts w:cs="Arial"/>
        </w:rPr>
      </w:pPr>
      <w:r w:rsidRPr="00ED38E9">
        <w:rPr>
          <w:rFonts w:cs="Arial"/>
        </w:rPr>
        <w:t>Dopady na státní rozpočet a ostatní veřejné rozpočty</w:t>
      </w:r>
    </w:p>
    <w:p w:rsidR="00CD5A7A" w:rsidRPr="00ED38E9" w:rsidP="00936929" w14:paraId="45D54854" w14:textId="77777777">
      <w:pPr>
        <w:rPr>
          <w:rFonts w:cs="Arial"/>
        </w:rPr>
      </w:pPr>
      <w:r w:rsidRPr="00ED38E9">
        <w:rPr>
          <w:rFonts w:cs="Arial"/>
        </w:rPr>
        <w:t>Mezi dopady řadíme administrativní zátěž spojenou se složitou kontrolní činností.</w:t>
      </w:r>
    </w:p>
    <w:p w:rsidR="00CD5A7A" w:rsidRPr="00ED38E9" w:rsidP="001E3A78" w14:paraId="3F13D005" w14:textId="77777777">
      <w:pPr>
        <w:pStyle w:val="Normlntun"/>
        <w:spacing w:before="240" w:after="0" w:line="276" w:lineRule="auto"/>
        <w:rPr>
          <w:rFonts w:cs="Arial"/>
        </w:rPr>
      </w:pPr>
      <w:r w:rsidRPr="00ED38E9">
        <w:rPr>
          <w:rFonts w:cs="Arial"/>
        </w:rPr>
        <w:t>Dopady na podnikatelské subjekty</w:t>
      </w:r>
    </w:p>
    <w:p w:rsidR="00CD5A7A" w:rsidP="00936929" w14:paraId="76202F0C" w14:textId="6DD18EF3">
      <w:pPr>
        <w:rPr>
          <w:rFonts w:cs="Arial"/>
        </w:rPr>
      </w:pPr>
      <w:r w:rsidRPr="00ED38E9">
        <w:rPr>
          <w:rFonts w:cs="Arial"/>
        </w:rPr>
        <w:t>Současný stav umožňuje subjektům plnit své povinnosti pro jednotlivé typy výrobků napříč všemi KS podle toho, který KS nabídne nejnižší cenu</w:t>
      </w:r>
      <w:r w:rsidR="00C64CC7">
        <w:rPr>
          <w:rFonts w:cs="Arial"/>
        </w:rPr>
        <w:t>,</w:t>
      </w:r>
      <w:r w:rsidRPr="00ED38E9">
        <w:rPr>
          <w:rFonts w:cs="Arial"/>
        </w:rPr>
        <w:t xml:space="preserve"> a tím pak vzniká riziko freeridingu. Navýšení nákladů na </w:t>
      </w:r>
      <w:r w:rsidR="00ED0D21">
        <w:rPr>
          <w:rFonts w:cs="Arial"/>
        </w:rPr>
        <w:t>ZO</w:t>
      </w:r>
      <w:r w:rsidRPr="00ED38E9">
        <w:rPr>
          <w:rFonts w:cs="Arial"/>
        </w:rPr>
        <w:t xml:space="preserve"> z důvodu sběru </w:t>
      </w:r>
      <w:r w:rsidR="00ED0D21">
        <w:rPr>
          <w:rFonts w:cs="Arial"/>
        </w:rPr>
        <w:t>O</w:t>
      </w:r>
      <w:r w:rsidR="00C64CC7">
        <w:rPr>
          <w:rFonts w:cs="Arial"/>
        </w:rPr>
        <w:t>EEZ</w:t>
      </w:r>
      <w:r w:rsidRPr="00ED38E9">
        <w:rPr>
          <w:rFonts w:cs="Arial"/>
        </w:rPr>
        <w:t>, za které nebyl uhrazen recyklační příspěvek.</w:t>
      </w:r>
    </w:p>
    <w:p w:rsidR="00CD5A7A" w:rsidRPr="00ED38E9" w:rsidP="0076683C" w14:paraId="33FC120F" w14:textId="77777777">
      <w:pPr>
        <w:pStyle w:val="Normlntun"/>
        <w:spacing w:before="240" w:after="0" w:line="276" w:lineRule="auto"/>
        <w:rPr>
          <w:rFonts w:cs="Arial"/>
        </w:rPr>
      </w:pPr>
      <w:r w:rsidRPr="00ED38E9">
        <w:rPr>
          <w:rFonts w:cs="Arial"/>
        </w:rPr>
        <w:t>Dopady na územní samosprávné celky (obce, kraje)</w:t>
      </w:r>
    </w:p>
    <w:p w:rsidR="00CD5A7A" w:rsidRPr="00ED38E9" w:rsidP="00936929" w14:paraId="684D9A38" w14:textId="622377BB">
      <w:pPr>
        <w:rPr>
          <w:rFonts w:cs="Arial"/>
        </w:rPr>
      </w:pPr>
      <w:r w:rsidRPr="00ED38E9">
        <w:rPr>
          <w:rFonts w:cs="Arial"/>
        </w:rPr>
        <w:t xml:space="preserve">Nepředpokládáme dopady na </w:t>
      </w:r>
      <w:r w:rsidR="007D766B">
        <w:rPr>
          <w:rFonts w:cs="Arial"/>
        </w:rPr>
        <w:t>obce ani kraje</w:t>
      </w:r>
      <w:r w:rsidRPr="00ED38E9">
        <w:rPr>
          <w:rFonts w:cs="Arial"/>
        </w:rPr>
        <w:t>.</w:t>
      </w:r>
    </w:p>
    <w:p w:rsidR="00CD5A7A" w:rsidRPr="00ED38E9" w:rsidP="0076683C" w14:paraId="33455735" w14:textId="77777777">
      <w:pPr>
        <w:pStyle w:val="Normlntun"/>
        <w:spacing w:before="240" w:after="0" w:line="276" w:lineRule="auto"/>
        <w:rPr>
          <w:rFonts w:cs="Arial"/>
        </w:rPr>
      </w:pPr>
      <w:r w:rsidRPr="00ED38E9">
        <w:rPr>
          <w:rFonts w:cs="Arial"/>
        </w:rPr>
        <w:t>Sociální dopady</w:t>
      </w:r>
    </w:p>
    <w:p w:rsidR="00CD5A7A" w:rsidRPr="00ED38E9" w:rsidP="00936929" w14:paraId="062F5384" w14:textId="77777777">
      <w:pPr>
        <w:rPr>
          <w:rFonts w:cs="Arial"/>
        </w:rPr>
      </w:pPr>
      <w:r w:rsidRPr="00ED38E9">
        <w:rPr>
          <w:rFonts w:cs="Arial"/>
        </w:rPr>
        <w:t>Nepředpokládáme dopady v sociální oblasti.</w:t>
      </w:r>
    </w:p>
    <w:p w:rsidR="00CD5A7A" w:rsidRPr="00ED38E9" w:rsidP="0076683C" w14:paraId="7F1CD8D4" w14:textId="77777777">
      <w:pPr>
        <w:pStyle w:val="Normlntun"/>
        <w:spacing w:before="240" w:after="0" w:line="276" w:lineRule="auto"/>
        <w:rPr>
          <w:rFonts w:cs="Arial"/>
        </w:rPr>
      </w:pPr>
      <w:r w:rsidRPr="00ED38E9">
        <w:rPr>
          <w:rFonts w:cs="Arial"/>
        </w:rPr>
        <w:t>Dopady na životní prostředí</w:t>
      </w:r>
    </w:p>
    <w:p w:rsidR="00CD5A7A" w:rsidP="00936929" w14:paraId="10B747C9" w14:textId="77777777">
      <w:pPr>
        <w:rPr>
          <w:rFonts w:cs="Arial"/>
        </w:rPr>
      </w:pPr>
      <w:r w:rsidRPr="00ED38E9">
        <w:rPr>
          <w:rFonts w:cs="Arial"/>
        </w:rPr>
        <w:t>Mezi dopady na životní prostředí řadíme riziko omezení sběru OEEZ.</w:t>
      </w:r>
    </w:p>
    <w:p w:rsidR="00FD56BA" w:rsidP="00936929" w14:paraId="6C49A9E6" w14:textId="77777777">
      <w:pPr>
        <w:rPr>
          <w:rFonts w:cs="Arial"/>
        </w:rPr>
      </w:pPr>
    </w:p>
    <w:p w:rsidR="00CD5A7A" w:rsidRPr="00221615" w:rsidP="000E6DE5" w14:paraId="3F76486D" w14:textId="77777777">
      <w:pPr>
        <w:pStyle w:val="ListParagraph"/>
        <w:keepNext/>
        <w:numPr>
          <w:ilvl w:val="0"/>
          <w:numId w:val="146"/>
        </w:numPr>
        <w:spacing w:before="360" w:after="120"/>
        <w:ind w:left="714" w:hanging="357"/>
        <w:contextualSpacing w:val="0"/>
        <w:rPr>
          <w:rFonts w:cs="Arial"/>
          <w:b/>
        </w:rPr>
      </w:pPr>
      <w:r w:rsidRPr="00221615">
        <w:rPr>
          <w:rFonts w:cs="Arial"/>
          <w:b/>
        </w:rPr>
        <w:t>Varianta 1</w:t>
      </w:r>
    </w:p>
    <w:p w:rsidR="00CD5A7A" w:rsidRPr="00ED38E9" w:rsidP="001E3A78" w14:paraId="37C55A49" w14:textId="77777777">
      <w:pPr>
        <w:pStyle w:val="Normlntun"/>
        <w:spacing w:before="240" w:after="0" w:line="276" w:lineRule="auto"/>
        <w:rPr>
          <w:rFonts w:cs="Arial"/>
        </w:rPr>
      </w:pPr>
      <w:r w:rsidRPr="00ED38E9">
        <w:rPr>
          <w:rFonts w:cs="Arial"/>
        </w:rPr>
        <w:t>Dopady na státní rozpočet a ostatní veřejné rozpočty</w:t>
      </w:r>
    </w:p>
    <w:p w:rsidR="00CD5A7A" w:rsidRPr="00ED38E9" w:rsidP="00936929" w14:paraId="29257072" w14:textId="77777777">
      <w:pPr>
        <w:rPr>
          <w:rFonts w:cs="Arial"/>
        </w:rPr>
      </w:pPr>
      <w:r w:rsidRPr="00ED38E9">
        <w:rPr>
          <w:rFonts w:cs="Arial"/>
        </w:rPr>
        <w:t>Předpokládáme snížení administrativní zátěže v souvislosti se zjednodušením kontrolní činnosti.</w:t>
      </w:r>
    </w:p>
    <w:p w:rsidR="00CD5A7A" w:rsidRPr="00ED38E9" w:rsidP="0076683C" w14:paraId="67FB587E" w14:textId="77777777">
      <w:pPr>
        <w:pStyle w:val="Normlntun"/>
        <w:spacing w:before="240" w:after="0" w:line="276" w:lineRule="auto"/>
        <w:rPr>
          <w:rFonts w:cs="Arial"/>
        </w:rPr>
      </w:pPr>
      <w:r w:rsidRPr="00ED38E9">
        <w:rPr>
          <w:rFonts w:cs="Arial"/>
        </w:rPr>
        <w:t>Dopady na podnikatelské subjekty</w:t>
      </w:r>
    </w:p>
    <w:p w:rsidR="00CD5A7A" w:rsidRPr="00ED38E9" w:rsidP="00936929" w14:paraId="307EB929" w14:textId="70665DAB">
      <w:pPr>
        <w:rPr>
          <w:rFonts w:cs="Arial"/>
        </w:rPr>
      </w:pPr>
      <w:r w:rsidRPr="00ED38E9">
        <w:rPr>
          <w:rFonts w:cs="Arial"/>
        </w:rPr>
        <w:t xml:space="preserve">Omezení plnění povinností </w:t>
      </w:r>
      <w:r w:rsidR="00ED0D21">
        <w:rPr>
          <w:rFonts w:cs="Arial"/>
        </w:rPr>
        <w:t>ZO</w:t>
      </w:r>
      <w:r w:rsidRPr="00ED38E9">
        <w:rPr>
          <w:rFonts w:cs="Arial"/>
        </w:rPr>
        <w:t xml:space="preserve"> pro jednotlivé skupiny </w:t>
      </w:r>
      <w:r w:rsidR="00ED0D21">
        <w:rPr>
          <w:rFonts w:cs="Arial"/>
        </w:rPr>
        <w:t>EEZ</w:t>
      </w:r>
      <w:r w:rsidRPr="00ED38E9">
        <w:rPr>
          <w:rFonts w:cs="Arial"/>
        </w:rPr>
        <w:t xml:space="preserve"> v rámci jednoho KS</w:t>
      </w:r>
      <w:r w:rsidR="00ED0D21">
        <w:rPr>
          <w:rFonts w:cs="Arial"/>
        </w:rPr>
        <w:t>,</w:t>
      </w:r>
      <w:r w:rsidRPr="00ED38E9">
        <w:rPr>
          <w:rFonts w:cs="Arial"/>
        </w:rPr>
        <w:t xml:space="preserve"> a tím </w:t>
      </w:r>
      <w:r w:rsidR="000F533C">
        <w:rPr>
          <w:rFonts w:cs="Arial"/>
        </w:rPr>
        <w:t>budou vytvořeny podmínky pro transparentní využití recyklačních příspěvků.</w:t>
      </w:r>
    </w:p>
    <w:p w:rsidR="00CD5A7A" w:rsidRPr="00ED38E9" w:rsidP="0076683C" w14:paraId="6768180D" w14:textId="77777777">
      <w:pPr>
        <w:pStyle w:val="Normlntun"/>
        <w:spacing w:before="240" w:after="0" w:line="276" w:lineRule="auto"/>
        <w:rPr>
          <w:rFonts w:cs="Arial"/>
        </w:rPr>
      </w:pPr>
      <w:r w:rsidRPr="00ED38E9">
        <w:rPr>
          <w:rFonts w:cs="Arial"/>
        </w:rPr>
        <w:t>Dopady na územní samosprávné celky (obce, kraje)</w:t>
      </w:r>
    </w:p>
    <w:p w:rsidR="00CD5A7A" w:rsidRPr="00ED38E9" w:rsidP="00936929" w14:paraId="1F6F94AC" w14:textId="129F8F46">
      <w:pPr>
        <w:rPr>
          <w:rFonts w:cs="Arial"/>
        </w:rPr>
      </w:pPr>
      <w:r>
        <w:rPr>
          <w:rFonts w:cs="Arial"/>
        </w:rPr>
        <w:t xml:space="preserve">Nepředpokládáme dopady na </w:t>
      </w:r>
      <w:r w:rsidR="007D766B">
        <w:rPr>
          <w:rFonts w:cs="Arial"/>
        </w:rPr>
        <w:t>obce ani kraje</w:t>
      </w:r>
      <w:r w:rsidRPr="00ED38E9">
        <w:rPr>
          <w:rFonts w:cs="Arial"/>
        </w:rPr>
        <w:t>.</w:t>
      </w:r>
    </w:p>
    <w:p w:rsidR="00CD5A7A" w:rsidRPr="00ED38E9" w:rsidP="0076683C" w14:paraId="2DD4E06E" w14:textId="77777777">
      <w:pPr>
        <w:pStyle w:val="Normlntun"/>
        <w:spacing w:before="240" w:after="0" w:line="276" w:lineRule="auto"/>
        <w:rPr>
          <w:rFonts w:cs="Arial"/>
        </w:rPr>
      </w:pPr>
      <w:r w:rsidRPr="00ED38E9">
        <w:rPr>
          <w:rFonts w:cs="Arial"/>
        </w:rPr>
        <w:t>Sociální dopady</w:t>
      </w:r>
    </w:p>
    <w:p w:rsidR="00CD5A7A" w:rsidRPr="00ED38E9" w:rsidP="00936929" w14:paraId="5AB2AE02" w14:textId="77777777">
      <w:pPr>
        <w:rPr>
          <w:rFonts w:cs="Arial"/>
        </w:rPr>
      </w:pPr>
      <w:r w:rsidRPr="00ED38E9">
        <w:rPr>
          <w:rFonts w:cs="Arial"/>
        </w:rPr>
        <w:t>Nepředpokládáme sociáln</w:t>
      </w:r>
      <w:r>
        <w:rPr>
          <w:rFonts w:cs="Arial"/>
        </w:rPr>
        <w:t>í</w:t>
      </w:r>
      <w:r w:rsidRPr="00ED38E9">
        <w:rPr>
          <w:rFonts w:cs="Arial"/>
        </w:rPr>
        <w:t xml:space="preserve"> dopady.</w:t>
      </w:r>
    </w:p>
    <w:p w:rsidR="00CD5A7A" w:rsidRPr="00ED38E9" w:rsidP="0076683C" w14:paraId="54B59F33" w14:textId="77777777">
      <w:pPr>
        <w:pStyle w:val="Normlntun"/>
        <w:spacing w:before="240" w:after="0" w:line="276" w:lineRule="auto"/>
        <w:rPr>
          <w:rFonts w:cs="Arial"/>
        </w:rPr>
      </w:pPr>
      <w:r w:rsidRPr="00ED38E9">
        <w:rPr>
          <w:rFonts w:cs="Arial"/>
        </w:rPr>
        <w:t>Dopady na životní prostředí</w:t>
      </w:r>
    </w:p>
    <w:p w:rsidR="00CD5A7A" w:rsidP="00936929" w14:paraId="56A95B84" w14:textId="77777777">
      <w:pPr>
        <w:rPr>
          <w:rFonts w:cs="Arial"/>
        </w:rPr>
      </w:pPr>
      <w:r w:rsidRPr="00ED38E9">
        <w:rPr>
          <w:rFonts w:cs="Arial"/>
        </w:rPr>
        <w:t>Nepředpokládáme dopady na životní prostředí.</w:t>
      </w:r>
    </w:p>
    <w:p w:rsidR="001E3A78" w:rsidP="00936929" w14:paraId="652F09F3" w14:textId="77777777">
      <w:pPr>
        <w:rPr>
          <w:rFonts w:cs="Arial"/>
        </w:rPr>
      </w:pPr>
    </w:p>
    <w:p w:rsidR="00E52875" w:rsidRPr="00C0612F" w:rsidP="00C76F18" w14:paraId="471BA185" w14:textId="77777777">
      <w:pPr>
        <w:pStyle w:val="Heading4"/>
        <w:numPr>
          <w:ilvl w:val="0"/>
          <w:numId w:val="0"/>
        </w:numPr>
        <w:spacing w:before="120" w:after="0"/>
        <w:ind w:left="864" w:hanging="864"/>
        <w:rPr>
          <w:szCs w:val="24"/>
        </w:rPr>
      </w:pPr>
      <w:r w:rsidRPr="00C961B9">
        <w:rPr>
          <w:b/>
          <w:i/>
          <w:sz w:val="24"/>
          <w:szCs w:val="24"/>
        </w:rPr>
        <w:t>V</w:t>
      </w:r>
      <w:r>
        <w:rPr>
          <w:b/>
          <w:i/>
          <w:sz w:val="24"/>
          <w:szCs w:val="24"/>
        </w:rPr>
        <w:t>yhodnocení nákladů a přínosů variant</w:t>
      </w:r>
    </w:p>
    <w:p w:rsidR="00C64CC7" w:rsidRPr="0035496A" w:rsidP="00C76F18" w14:paraId="0A104935" w14:textId="3F63CC5E">
      <w:pPr>
        <w:keepNext/>
        <w:spacing w:after="120"/>
        <w:rPr>
          <w:b/>
          <w:spacing w:val="10"/>
          <w:sz w:val="20"/>
          <w:szCs w:val="20"/>
        </w:rPr>
      </w:pPr>
      <w:r w:rsidRPr="0035496A">
        <w:rPr>
          <w:b/>
          <w:spacing w:val="10"/>
          <w:sz w:val="20"/>
          <w:szCs w:val="20"/>
        </w:rPr>
        <w:t xml:space="preserve">Tabulka </w:t>
      </w:r>
      <w:r w:rsidR="00925F10">
        <w:rPr>
          <w:b/>
          <w:spacing w:val="10"/>
          <w:sz w:val="20"/>
          <w:szCs w:val="20"/>
        </w:rPr>
        <w:t>44</w:t>
      </w:r>
      <w:r w:rsidRPr="0035496A">
        <w:rPr>
          <w:b/>
          <w:spacing w:val="10"/>
          <w:sz w:val="20"/>
          <w:szCs w:val="20"/>
        </w:rPr>
        <w:t>: Porovnání přínosů a nákladů</w:t>
      </w:r>
    </w:p>
    <w:tbl>
      <w:tblPr>
        <w:tblStyle w:val="TableGrid"/>
        <w:tblW w:w="9075" w:type="dxa"/>
        <w:tblLook w:val="04A0"/>
      </w:tblPr>
      <w:tblGrid>
        <w:gridCol w:w="1432"/>
        <w:gridCol w:w="2284"/>
        <w:gridCol w:w="1476"/>
        <w:gridCol w:w="2096"/>
        <w:gridCol w:w="1787"/>
      </w:tblGrid>
      <w:tr w14:paraId="03EBAB8A" w14:textId="77777777" w:rsidTr="00450F5C">
        <w:tblPrEx>
          <w:tblW w:w="9075" w:type="dxa"/>
          <w:tblLook w:val="04A0"/>
        </w:tblPrEx>
        <w:trPr>
          <w:trHeight w:val="455"/>
        </w:trPr>
        <w:tc>
          <w:tcPr>
            <w:tcW w:w="1432" w:type="dxa"/>
            <w:noWrap/>
            <w:vAlign w:val="center"/>
            <w:hideMark/>
          </w:tcPr>
          <w:p w:rsidR="00C22698" w:rsidRPr="0035496A" w:rsidP="004D7E53" w14:paraId="2DD51A39" w14:textId="77777777">
            <w:pPr>
              <w:keepNext/>
              <w:spacing w:before="0" w:after="0"/>
              <w:jc w:val="center"/>
              <w:rPr>
                <w:b/>
                <w:bCs/>
                <w:sz w:val="20"/>
                <w:szCs w:val="20"/>
              </w:rPr>
            </w:pPr>
            <w:r w:rsidRPr="0035496A">
              <w:rPr>
                <w:b/>
                <w:bCs/>
                <w:sz w:val="20"/>
                <w:szCs w:val="20"/>
              </w:rPr>
              <w:t>Varianta</w:t>
            </w:r>
          </w:p>
        </w:tc>
        <w:tc>
          <w:tcPr>
            <w:tcW w:w="2284" w:type="dxa"/>
            <w:noWrap/>
            <w:vAlign w:val="center"/>
            <w:hideMark/>
          </w:tcPr>
          <w:p w:rsidR="00C22698" w:rsidRPr="0035496A" w:rsidP="004D7E53" w14:paraId="5096C055" w14:textId="77777777">
            <w:pPr>
              <w:keepNext/>
              <w:spacing w:before="0" w:after="0"/>
              <w:jc w:val="center"/>
              <w:rPr>
                <w:b/>
                <w:bCs/>
                <w:sz w:val="20"/>
                <w:szCs w:val="20"/>
              </w:rPr>
            </w:pPr>
            <w:r w:rsidRPr="0035496A">
              <w:rPr>
                <w:b/>
                <w:bCs/>
                <w:sz w:val="20"/>
                <w:szCs w:val="20"/>
              </w:rPr>
              <w:t>Přínosy</w:t>
            </w:r>
          </w:p>
        </w:tc>
        <w:tc>
          <w:tcPr>
            <w:tcW w:w="1476" w:type="dxa"/>
            <w:noWrap/>
            <w:vAlign w:val="center"/>
            <w:hideMark/>
          </w:tcPr>
          <w:p w:rsidR="00C22698" w:rsidRPr="0035496A" w:rsidP="004D7E53" w14:paraId="425D4A48" w14:textId="77777777">
            <w:pPr>
              <w:keepNext/>
              <w:spacing w:before="0" w:after="0"/>
              <w:jc w:val="center"/>
              <w:rPr>
                <w:b/>
                <w:bCs/>
                <w:sz w:val="20"/>
                <w:szCs w:val="20"/>
              </w:rPr>
            </w:pPr>
            <w:r w:rsidRPr="0035496A">
              <w:rPr>
                <w:b/>
                <w:bCs/>
                <w:sz w:val="20"/>
                <w:szCs w:val="20"/>
              </w:rPr>
              <w:t>Hodnocení</w:t>
            </w:r>
          </w:p>
        </w:tc>
        <w:tc>
          <w:tcPr>
            <w:tcW w:w="2096" w:type="dxa"/>
            <w:noWrap/>
            <w:vAlign w:val="center"/>
            <w:hideMark/>
          </w:tcPr>
          <w:p w:rsidR="00C22698" w:rsidRPr="0035496A" w:rsidP="004D7E53" w14:paraId="0FF777FD" w14:textId="77777777">
            <w:pPr>
              <w:keepNext/>
              <w:spacing w:before="0" w:after="0"/>
              <w:jc w:val="center"/>
              <w:rPr>
                <w:b/>
                <w:bCs/>
                <w:sz w:val="20"/>
                <w:szCs w:val="20"/>
              </w:rPr>
            </w:pPr>
            <w:r w:rsidRPr="0035496A">
              <w:rPr>
                <w:b/>
                <w:bCs/>
                <w:sz w:val="20"/>
                <w:szCs w:val="20"/>
              </w:rPr>
              <w:t>Náklady</w:t>
            </w:r>
          </w:p>
        </w:tc>
        <w:tc>
          <w:tcPr>
            <w:tcW w:w="1785" w:type="dxa"/>
            <w:noWrap/>
            <w:vAlign w:val="center"/>
            <w:hideMark/>
          </w:tcPr>
          <w:p w:rsidR="00C22698" w:rsidRPr="0035496A" w:rsidP="004D7E53" w14:paraId="23C2D17F" w14:textId="77777777">
            <w:pPr>
              <w:keepNext/>
              <w:spacing w:before="0" w:after="0"/>
              <w:jc w:val="center"/>
              <w:rPr>
                <w:b/>
                <w:bCs/>
                <w:sz w:val="20"/>
                <w:szCs w:val="20"/>
              </w:rPr>
            </w:pPr>
            <w:r w:rsidRPr="0035496A">
              <w:rPr>
                <w:b/>
                <w:bCs/>
                <w:sz w:val="20"/>
                <w:szCs w:val="20"/>
              </w:rPr>
              <w:t>Hodnocení</w:t>
            </w:r>
          </w:p>
        </w:tc>
      </w:tr>
      <w:tr w14:paraId="41310845" w14:textId="77777777" w:rsidTr="00450F5C">
        <w:tblPrEx>
          <w:tblW w:w="9075" w:type="dxa"/>
          <w:tblLook w:val="04A0"/>
        </w:tblPrEx>
        <w:trPr>
          <w:trHeight w:val="505"/>
        </w:trPr>
        <w:tc>
          <w:tcPr>
            <w:tcW w:w="1432" w:type="dxa"/>
            <w:vMerge w:val="restart"/>
            <w:noWrap/>
            <w:vAlign w:val="center"/>
            <w:hideMark/>
          </w:tcPr>
          <w:p w:rsidR="00C22698" w:rsidRPr="0035496A" w:rsidP="004D7E53" w14:paraId="03207BAB" w14:textId="77777777">
            <w:pPr>
              <w:keepNext/>
              <w:spacing w:before="0" w:after="0"/>
              <w:jc w:val="center"/>
              <w:rPr>
                <w:b/>
                <w:bCs/>
                <w:sz w:val="20"/>
                <w:szCs w:val="20"/>
              </w:rPr>
            </w:pPr>
            <w:r w:rsidRPr="0035496A">
              <w:rPr>
                <w:b/>
                <w:bCs/>
                <w:sz w:val="20"/>
                <w:szCs w:val="20"/>
              </w:rPr>
              <w:t>Varianta 0</w:t>
            </w:r>
          </w:p>
        </w:tc>
        <w:tc>
          <w:tcPr>
            <w:tcW w:w="7643" w:type="dxa"/>
            <w:gridSpan w:val="4"/>
            <w:vAlign w:val="center"/>
            <w:hideMark/>
          </w:tcPr>
          <w:p w:rsidR="00C22698" w:rsidRPr="0035496A" w:rsidP="004D7E53" w14:paraId="5B896693" w14:textId="77777777">
            <w:pPr>
              <w:keepNext/>
              <w:spacing w:before="0" w:after="0"/>
              <w:jc w:val="center"/>
              <w:rPr>
                <w:b/>
                <w:bCs/>
                <w:sz w:val="20"/>
                <w:szCs w:val="20"/>
              </w:rPr>
            </w:pPr>
            <w:r w:rsidRPr="0035496A">
              <w:rPr>
                <w:b/>
                <w:bCs/>
                <w:sz w:val="20"/>
                <w:szCs w:val="20"/>
              </w:rPr>
              <w:t>Státní rozpočet a ostatní veřejné rozpočty</w:t>
            </w:r>
          </w:p>
        </w:tc>
      </w:tr>
      <w:tr w14:paraId="483B8BE2" w14:textId="77777777" w:rsidTr="00450F5C">
        <w:tblPrEx>
          <w:tblW w:w="9075" w:type="dxa"/>
          <w:tblLook w:val="04A0"/>
        </w:tblPrEx>
        <w:trPr>
          <w:trHeight w:val="721"/>
        </w:trPr>
        <w:tc>
          <w:tcPr>
            <w:tcW w:w="1432" w:type="dxa"/>
            <w:vMerge/>
            <w:vAlign w:val="center"/>
            <w:hideMark/>
          </w:tcPr>
          <w:p w:rsidR="00C22698" w:rsidRPr="0035496A" w:rsidP="004D7E53" w14:paraId="11170401" w14:textId="77777777">
            <w:pPr>
              <w:spacing w:before="0" w:after="0"/>
              <w:jc w:val="center"/>
              <w:rPr>
                <w:b/>
                <w:bCs/>
                <w:sz w:val="20"/>
                <w:szCs w:val="20"/>
              </w:rPr>
            </w:pPr>
          </w:p>
        </w:tc>
        <w:tc>
          <w:tcPr>
            <w:tcW w:w="2284" w:type="dxa"/>
            <w:vAlign w:val="center"/>
            <w:hideMark/>
          </w:tcPr>
          <w:p w:rsidR="00C22698" w:rsidRPr="0035496A" w:rsidP="004D7E53" w14:paraId="3CB4FB89" w14:textId="77777777">
            <w:pPr>
              <w:spacing w:before="0" w:after="0"/>
              <w:jc w:val="center"/>
              <w:rPr>
                <w:sz w:val="20"/>
                <w:szCs w:val="20"/>
              </w:rPr>
            </w:pPr>
          </w:p>
        </w:tc>
        <w:tc>
          <w:tcPr>
            <w:tcW w:w="1476" w:type="dxa"/>
            <w:vAlign w:val="center"/>
            <w:hideMark/>
          </w:tcPr>
          <w:p w:rsidR="00C22698" w:rsidRPr="0035496A" w:rsidP="004D7E53" w14:paraId="06228F90" w14:textId="77777777">
            <w:pPr>
              <w:spacing w:before="0" w:after="0"/>
              <w:jc w:val="center"/>
              <w:rPr>
                <w:sz w:val="20"/>
                <w:szCs w:val="20"/>
              </w:rPr>
            </w:pPr>
          </w:p>
        </w:tc>
        <w:tc>
          <w:tcPr>
            <w:tcW w:w="2096" w:type="dxa"/>
            <w:vAlign w:val="center"/>
            <w:hideMark/>
          </w:tcPr>
          <w:p w:rsidR="00C22698" w:rsidRPr="0035496A" w:rsidP="004D7E53" w14:paraId="76EA4427" w14:textId="77777777">
            <w:pPr>
              <w:spacing w:before="0" w:after="0"/>
              <w:jc w:val="center"/>
              <w:rPr>
                <w:sz w:val="20"/>
                <w:szCs w:val="20"/>
              </w:rPr>
            </w:pPr>
            <w:r w:rsidRPr="0035496A">
              <w:rPr>
                <w:sz w:val="20"/>
                <w:szCs w:val="20"/>
              </w:rPr>
              <w:t>AZ spojená se složitou kontrolní činností</w:t>
            </w:r>
          </w:p>
        </w:tc>
        <w:tc>
          <w:tcPr>
            <w:tcW w:w="1785" w:type="dxa"/>
            <w:vAlign w:val="center"/>
            <w:hideMark/>
          </w:tcPr>
          <w:p w:rsidR="00C22698" w:rsidRPr="0035496A" w:rsidP="004D7E53" w14:paraId="144578E4" w14:textId="77777777">
            <w:pPr>
              <w:spacing w:before="0" w:after="0"/>
              <w:jc w:val="center"/>
              <w:rPr>
                <w:sz w:val="20"/>
                <w:szCs w:val="20"/>
              </w:rPr>
            </w:pPr>
            <w:r w:rsidRPr="0035496A">
              <w:rPr>
                <w:sz w:val="20"/>
                <w:szCs w:val="20"/>
              </w:rPr>
              <w:t>****</w:t>
            </w:r>
          </w:p>
        </w:tc>
      </w:tr>
      <w:tr w14:paraId="3B2B90A6" w14:textId="77777777" w:rsidTr="00450F5C">
        <w:tblPrEx>
          <w:tblW w:w="9075" w:type="dxa"/>
          <w:tblLook w:val="04A0"/>
        </w:tblPrEx>
        <w:trPr>
          <w:trHeight w:val="505"/>
        </w:trPr>
        <w:tc>
          <w:tcPr>
            <w:tcW w:w="1432" w:type="dxa"/>
            <w:vMerge/>
            <w:vAlign w:val="center"/>
            <w:hideMark/>
          </w:tcPr>
          <w:p w:rsidR="00C22698" w:rsidRPr="0035496A" w:rsidP="004D7E53" w14:paraId="2F723AC3" w14:textId="77777777">
            <w:pPr>
              <w:spacing w:before="0" w:after="0"/>
              <w:jc w:val="center"/>
              <w:rPr>
                <w:b/>
                <w:bCs/>
                <w:sz w:val="20"/>
                <w:szCs w:val="20"/>
              </w:rPr>
            </w:pPr>
          </w:p>
        </w:tc>
        <w:tc>
          <w:tcPr>
            <w:tcW w:w="7643" w:type="dxa"/>
            <w:gridSpan w:val="4"/>
            <w:vAlign w:val="center"/>
            <w:hideMark/>
          </w:tcPr>
          <w:p w:rsidR="00C22698" w:rsidRPr="0035496A" w:rsidP="004D7E53" w14:paraId="13E7B586" w14:textId="77777777">
            <w:pPr>
              <w:spacing w:before="0" w:after="0"/>
              <w:jc w:val="center"/>
              <w:rPr>
                <w:b/>
                <w:bCs/>
                <w:sz w:val="20"/>
                <w:szCs w:val="20"/>
              </w:rPr>
            </w:pPr>
            <w:r w:rsidRPr="0035496A">
              <w:rPr>
                <w:b/>
                <w:bCs/>
                <w:sz w:val="20"/>
                <w:szCs w:val="20"/>
              </w:rPr>
              <w:t>Podnikatelské subjekty</w:t>
            </w:r>
          </w:p>
        </w:tc>
      </w:tr>
      <w:tr w14:paraId="71F568FF" w14:textId="77777777" w:rsidTr="00450F5C">
        <w:tblPrEx>
          <w:tblW w:w="9075" w:type="dxa"/>
          <w:tblLook w:val="04A0"/>
        </w:tblPrEx>
        <w:trPr>
          <w:trHeight w:val="903"/>
        </w:trPr>
        <w:tc>
          <w:tcPr>
            <w:tcW w:w="1432" w:type="dxa"/>
            <w:vMerge/>
            <w:vAlign w:val="center"/>
            <w:hideMark/>
          </w:tcPr>
          <w:p w:rsidR="00C22698" w:rsidRPr="0035496A" w:rsidP="004D7E53" w14:paraId="11590846" w14:textId="77777777">
            <w:pPr>
              <w:spacing w:before="0" w:after="0"/>
              <w:jc w:val="center"/>
              <w:rPr>
                <w:b/>
                <w:bCs/>
                <w:sz w:val="20"/>
                <w:szCs w:val="20"/>
              </w:rPr>
            </w:pPr>
          </w:p>
        </w:tc>
        <w:tc>
          <w:tcPr>
            <w:tcW w:w="2284" w:type="dxa"/>
            <w:vAlign w:val="center"/>
          </w:tcPr>
          <w:p w:rsidR="00C22698" w:rsidRPr="0035496A" w:rsidP="004D7E53" w14:paraId="36F57DA9" w14:textId="77777777">
            <w:pPr>
              <w:spacing w:before="0" w:after="0"/>
              <w:jc w:val="center"/>
              <w:rPr>
                <w:sz w:val="20"/>
                <w:szCs w:val="20"/>
              </w:rPr>
            </w:pPr>
          </w:p>
        </w:tc>
        <w:tc>
          <w:tcPr>
            <w:tcW w:w="1476" w:type="dxa"/>
            <w:noWrap/>
            <w:vAlign w:val="center"/>
          </w:tcPr>
          <w:p w:rsidR="00C22698" w:rsidRPr="0035496A" w:rsidP="004D7E53" w14:paraId="02E28142" w14:textId="77777777">
            <w:pPr>
              <w:spacing w:before="0" w:after="0"/>
              <w:jc w:val="center"/>
              <w:rPr>
                <w:sz w:val="20"/>
                <w:szCs w:val="20"/>
              </w:rPr>
            </w:pPr>
          </w:p>
        </w:tc>
        <w:tc>
          <w:tcPr>
            <w:tcW w:w="2096" w:type="dxa"/>
            <w:vAlign w:val="center"/>
            <w:hideMark/>
          </w:tcPr>
          <w:p w:rsidR="00C22698" w:rsidRPr="0035496A" w:rsidP="004D7E53" w14:paraId="468571AE" w14:textId="77777777">
            <w:pPr>
              <w:spacing w:before="0" w:after="0"/>
              <w:jc w:val="center"/>
              <w:rPr>
                <w:sz w:val="20"/>
                <w:szCs w:val="20"/>
              </w:rPr>
            </w:pPr>
            <w:r w:rsidRPr="0035496A">
              <w:rPr>
                <w:sz w:val="20"/>
                <w:szCs w:val="20"/>
              </w:rPr>
              <w:t>Riziko freeridingu, špatné finanční plánování KS</w:t>
            </w:r>
          </w:p>
        </w:tc>
        <w:tc>
          <w:tcPr>
            <w:tcW w:w="1785" w:type="dxa"/>
            <w:noWrap/>
            <w:vAlign w:val="center"/>
            <w:hideMark/>
          </w:tcPr>
          <w:p w:rsidR="00C22698" w:rsidRPr="0035496A" w:rsidP="004D7E53" w14:paraId="0866FC9B" w14:textId="77777777">
            <w:pPr>
              <w:spacing w:before="0" w:after="0"/>
              <w:jc w:val="center"/>
              <w:rPr>
                <w:sz w:val="20"/>
                <w:szCs w:val="20"/>
              </w:rPr>
            </w:pPr>
            <w:r w:rsidRPr="0035496A">
              <w:rPr>
                <w:sz w:val="20"/>
                <w:szCs w:val="20"/>
              </w:rPr>
              <w:t>****</w:t>
            </w:r>
          </w:p>
        </w:tc>
      </w:tr>
      <w:tr w14:paraId="732FDBCA" w14:textId="77777777" w:rsidTr="00450F5C">
        <w:tblPrEx>
          <w:tblW w:w="9075" w:type="dxa"/>
          <w:tblLook w:val="04A0"/>
        </w:tblPrEx>
        <w:trPr>
          <w:trHeight w:val="425"/>
        </w:trPr>
        <w:tc>
          <w:tcPr>
            <w:tcW w:w="1432" w:type="dxa"/>
            <w:vMerge/>
            <w:vAlign w:val="center"/>
          </w:tcPr>
          <w:p w:rsidR="00C22698" w:rsidRPr="0035496A" w:rsidP="004D7E53" w14:paraId="6ECA02A8" w14:textId="77777777">
            <w:pPr>
              <w:spacing w:before="0" w:after="0"/>
              <w:jc w:val="center"/>
              <w:rPr>
                <w:b/>
                <w:bCs/>
                <w:sz w:val="20"/>
                <w:szCs w:val="20"/>
              </w:rPr>
            </w:pPr>
          </w:p>
        </w:tc>
        <w:tc>
          <w:tcPr>
            <w:tcW w:w="7643" w:type="dxa"/>
            <w:gridSpan w:val="4"/>
            <w:vAlign w:val="center"/>
          </w:tcPr>
          <w:p w:rsidR="00C22698" w:rsidRPr="0035496A" w:rsidP="004D7E53" w14:paraId="410836EC" w14:textId="77777777">
            <w:pPr>
              <w:spacing w:before="0" w:after="0"/>
              <w:jc w:val="center"/>
              <w:rPr>
                <w:sz w:val="20"/>
                <w:szCs w:val="20"/>
              </w:rPr>
            </w:pPr>
            <w:r w:rsidRPr="0035496A">
              <w:rPr>
                <w:b/>
                <w:bCs/>
                <w:sz w:val="20"/>
                <w:szCs w:val="20"/>
              </w:rPr>
              <w:t>Územní samosprávné celky (obce, kraje)</w:t>
            </w:r>
          </w:p>
        </w:tc>
      </w:tr>
      <w:tr w14:paraId="7106CCE0" w14:textId="77777777" w:rsidTr="00450F5C">
        <w:tblPrEx>
          <w:tblW w:w="9075" w:type="dxa"/>
          <w:tblLook w:val="04A0"/>
        </w:tblPrEx>
        <w:trPr>
          <w:trHeight w:val="417"/>
        </w:trPr>
        <w:tc>
          <w:tcPr>
            <w:tcW w:w="1432" w:type="dxa"/>
            <w:vMerge/>
            <w:vAlign w:val="center"/>
          </w:tcPr>
          <w:p w:rsidR="00C22698" w:rsidRPr="0035496A" w:rsidP="004D7E53" w14:paraId="0E0FCF58" w14:textId="77777777">
            <w:pPr>
              <w:spacing w:before="0" w:after="0"/>
              <w:jc w:val="center"/>
              <w:rPr>
                <w:b/>
                <w:bCs/>
                <w:sz w:val="20"/>
                <w:szCs w:val="20"/>
              </w:rPr>
            </w:pPr>
          </w:p>
        </w:tc>
        <w:tc>
          <w:tcPr>
            <w:tcW w:w="2284" w:type="dxa"/>
            <w:vAlign w:val="center"/>
          </w:tcPr>
          <w:p w:rsidR="00C22698" w:rsidRPr="0035496A" w:rsidP="004D7E53" w14:paraId="72E1202B" w14:textId="77777777">
            <w:pPr>
              <w:spacing w:before="0" w:after="0"/>
              <w:jc w:val="center"/>
              <w:rPr>
                <w:sz w:val="20"/>
                <w:szCs w:val="20"/>
              </w:rPr>
            </w:pPr>
            <w:r w:rsidRPr="0035496A">
              <w:rPr>
                <w:sz w:val="20"/>
                <w:szCs w:val="20"/>
              </w:rPr>
              <w:t>-</w:t>
            </w:r>
          </w:p>
        </w:tc>
        <w:tc>
          <w:tcPr>
            <w:tcW w:w="1476" w:type="dxa"/>
            <w:noWrap/>
            <w:vAlign w:val="center"/>
          </w:tcPr>
          <w:p w:rsidR="00C22698" w:rsidRPr="0035496A" w:rsidP="004D7E53" w14:paraId="419C0E3A" w14:textId="77777777">
            <w:pPr>
              <w:spacing w:before="0" w:after="0"/>
              <w:jc w:val="center"/>
              <w:rPr>
                <w:sz w:val="20"/>
                <w:szCs w:val="20"/>
              </w:rPr>
            </w:pPr>
            <w:r w:rsidRPr="0035496A">
              <w:rPr>
                <w:sz w:val="20"/>
                <w:szCs w:val="20"/>
              </w:rPr>
              <w:t>-</w:t>
            </w:r>
          </w:p>
        </w:tc>
        <w:tc>
          <w:tcPr>
            <w:tcW w:w="2096" w:type="dxa"/>
            <w:vAlign w:val="center"/>
          </w:tcPr>
          <w:p w:rsidR="00C22698" w:rsidRPr="0035496A" w:rsidP="004D7E53" w14:paraId="1ADAA39C" w14:textId="77777777">
            <w:pPr>
              <w:spacing w:before="0" w:after="0"/>
              <w:jc w:val="center"/>
              <w:rPr>
                <w:sz w:val="20"/>
                <w:szCs w:val="20"/>
              </w:rPr>
            </w:pPr>
            <w:r w:rsidRPr="0035496A">
              <w:rPr>
                <w:sz w:val="20"/>
                <w:szCs w:val="20"/>
              </w:rPr>
              <w:t>-</w:t>
            </w:r>
          </w:p>
        </w:tc>
        <w:tc>
          <w:tcPr>
            <w:tcW w:w="1785" w:type="dxa"/>
            <w:noWrap/>
            <w:vAlign w:val="center"/>
          </w:tcPr>
          <w:p w:rsidR="00C22698" w:rsidRPr="0035496A" w:rsidP="004D7E53" w14:paraId="50C357A9" w14:textId="77777777">
            <w:pPr>
              <w:spacing w:before="0" w:after="0"/>
              <w:jc w:val="center"/>
              <w:rPr>
                <w:sz w:val="20"/>
                <w:szCs w:val="20"/>
              </w:rPr>
            </w:pPr>
            <w:r w:rsidRPr="0035496A">
              <w:rPr>
                <w:sz w:val="20"/>
                <w:szCs w:val="20"/>
              </w:rPr>
              <w:t>-</w:t>
            </w:r>
          </w:p>
        </w:tc>
      </w:tr>
      <w:tr w14:paraId="01E21490" w14:textId="77777777" w:rsidTr="00450F5C">
        <w:tblPrEx>
          <w:tblW w:w="9075" w:type="dxa"/>
          <w:tblLook w:val="04A0"/>
        </w:tblPrEx>
        <w:trPr>
          <w:trHeight w:val="423"/>
        </w:trPr>
        <w:tc>
          <w:tcPr>
            <w:tcW w:w="1432" w:type="dxa"/>
            <w:vMerge/>
            <w:vAlign w:val="center"/>
          </w:tcPr>
          <w:p w:rsidR="00C22698" w:rsidRPr="0035496A" w:rsidP="004D7E53" w14:paraId="2CEEAF74" w14:textId="77777777">
            <w:pPr>
              <w:spacing w:before="0" w:after="0"/>
              <w:jc w:val="center"/>
              <w:rPr>
                <w:b/>
                <w:bCs/>
                <w:sz w:val="20"/>
                <w:szCs w:val="20"/>
              </w:rPr>
            </w:pPr>
          </w:p>
        </w:tc>
        <w:tc>
          <w:tcPr>
            <w:tcW w:w="7643" w:type="dxa"/>
            <w:gridSpan w:val="4"/>
            <w:vAlign w:val="center"/>
          </w:tcPr>
          <w:p w:rsidR="00C22698" w:rsidRPr="0035496A" w:rsidP="004D7E53" w14:paraId="7DAD7157" w14:textId="77777777">
            <w:pPr>
              <w:spacing w:before="0" w:after="0"/>
              <w:jc w:val="center"/>
              <w:rPr>
                <w:sz w:val="20"/>
                <w:szCs w:val="20"/>
              </w:rPr>
            </w:pPr>
            <w:r w:rsidRPr="0035496A">
              <w:rPr>
                <w:b/>
                <w:bCs/>
                <w:sz w:val="20"/>
                <w:szCs w:val="20"/>
              </w:rPr>
              <w:t>Sociální dopady</w:t>
            </w:r>
          </w:p>
        </w:tc>
      </w:tr>
      <w:tr w14:paraId="7726B034" w14:textId="77777777" w:rsidTr="00450F5C">
        <w:tblPrEx>
          <w:tblW w:w="9075" w:type="dxa"/>
          <w:tblLook w:val="04A0"/>
        </w:tblPrEx>
        <w:trPr>
          <w:trHeight w:val="414"/>
        </w:trPr>
        <w:tc>
          <w:tcPr>
            <w:tcW w:w="1432" w:type="dxa"/>
            <w:vMerge/>
            <w:vAlign w:val="center"/>
          </w:tcPr>
          <w:p w:rsidR="00C22698" w:rsidRPr="0035496A" w:rsidP="004D7E53" w14:paraId="593B98D3" w14:textId="77777777">
            <w:pPr>
              <w:spacing w:before="0" w:after="0"/>
              <w:jc w:val="center"/>
              <w:rPr>
                <w:b/>
                <w:bCs/>
                <w:sz w:val="20"/>
                <w:szCs w:val="20"/>
              </w:rPr>
            </w:pPr>
          </w:p>
        </w:tc>
        <w:tc>
          <w:tcPr>
            <w:tcW w:w="2284" w:type="dxa"/>
            <w:vAlign w:val="center"/>
          </w:tcPr>
          <w:p w:rsidR="00C22698" w:rsidRPr="0035496A" w:rsidP="004D7E53" w14:paraId="0D5B8075" w14:textId="77777777">
            <w:pPr>
              <w:spacing w:before="0" w:after="0"/>
              <w:jc w:val="center"/>
              <w:rPr>
                <w:sz w:val="20"/>
                <w:szCs w:val="20"/>
              </w:rPr>
            </w:pPr>
            <w:r w:rsidRPr="0035496A">
              <w:rPr>
                <w:sz w:val="20"/>
                <w:szCs w:val="20"/>
              </w:rPr>
              <w:t>-</w:t>
            </w:r>
          </w:p>
        </w:tc>
        <w:tc>
          <w:tcPr>
            <w:tcW w:w="1476" w:type="dxa"/>
            <w:noWrap/>
            <w:vAlign w:val="center"/>
          </w:tcPr>
          <w:p w:rsidR="00C22698" w:rsidRPr="0035496A" w:rsidP="004D7E53" w14:paraId="0A5BC221" w14:textId="77777777">
            <w:pPr>
              <w:spacing w:before="0" w:after="0"/>
              <w:jc w:val="center"/>
              <w:rPr>
                <w:sz w:val="20"/>
                <w:szCs w:val="20"/>
              </w:rPr>
            </w:pPr>
            <w:r w:rsidRPr="0035496A">
              <w:rPr>
                <w:sz w:val="20"/>
                <w:szCs w:val="20"/>
              </w:rPr>
              <w:t>-</w:t>
            </w:r>
          </w:p>
        </w:tc>
        <w:tc>
          <w:tcPr>
            <w:tcW w:w="2096" w:type="dxa"/>
            <w:vAlign w:val="center"/>
          </w:tcPr>
          <w:p w:rsidR="00C22698" w:rsidRPr="0035496A" w:rsidP="004D7E53" w14:paraId="7D33133F" w14:textId="77777777">
            <w:pPr>
              <w:spacing w:before="0" w:after="0"/>
              <w:jc w:val="center"/>
              <w:rPr>
                <w:sz w:val="20"/>
                <w:szCs w:val="20"/>
              </w:rPr>
            </w:pPr>
            <w:r w:rsidRPr="0035496A">
              <w:rPr>
                <w:sz w:val="20"/>
                <w:szCs w:val="20"/>
              </w:rPr>
              <w:t>-</w:t>
            </w:r>
          </w:p>
        </w:tc>
        <w:tc>
          <w:tcPr>
            <w:tcW w:w="1785" w:type="dxa"/>
            <w:noWrap/>
            <w:vAlign w:val="center"/>
          </w:tcPr>
          <w:p w:rsidR="00C22698" w:rsidRPr="0035496A" w:rsidP="004D7E53" w14:paraId="2B765EFC" w14:textId="77777777">
            <w:pPr>
              <w:spacing w:before="0" w:after="0"/>
              <w:jc w:val="center"/>
              <w:rPr>
                <w:sz w:val="20"/>
                <w:szCs w:val="20"/>
              </w:rPr>
            </w:pPr>
            <w:r w:rsidRPr="0035496A">
              <w:rPr>
                <w:sz w:val="20"/>
                <w:szCs w:val="20"/>
              </w:rPr>
              <w:t>-</w:t>
            </w:r>
          </w:p>
        </w:tc>
      </w:tr>
      <w:tr w14:paraId="212C1CFE" w14:textId="77777777" w:rsidTr="00450F5C">
        <w:tblPrEx>
          <w:tblW w:w="9075" w:type="dxa"/>
          <w:tblLook w:val="04A0"/>
        </w:tblPrEx>
        <w:trPr>
          <w:trHeight w:val="505"/>
        </w:trPr>
        <w:tc>
          <w:tcPr>
            <w:tcW w:w="1432" w:type="dxa"/>
            <w:vMerge/>
            <w:vAlign w:val="center"/>
            <w:hideMark/>
          </w:tcPr>
          <w:p w:rsidR="00C22698" w:rsidRPr="0035496A" w:rsidP="004D7E53" w14:paraId="22429FBF" w14:textId="77777777">
            <w:pPr>
              <w:spacing w:before="0" w:after="0"/>
              <w:jc w:val="center"/>
              <w:rPr>
                <w:b/>
                <w:bCs/>
                <w:sz w:val="20"/>
                <w:szCs w:val="20"/>
              </w:rPr>
            </w:pPr>
          </w:p>
        </w:tc>
        <w:tc>
          <w:tcPr>
            <w:tcW w:w="7643" w:type="dxa"/>
            <w:gridSpan w:val="4"/>
            <w:vAlign w:val="center"/>
            <w:hideMark/>
          </w:tcPr>
          <w:p w:rsidR="00C22698" w:rsidRPr="0035496A" w:rsidP="004D7E53" w14:paraId="54E2F05E" w14:textId="77777777">
            <w:pPr>
              <w:spacing w:before="0" w:after="0"/>
              <w:jc w:val="center"/>
              <w:rPr>
                <w:b/>
                <w:bCs/>
                <w:sz w:val="20"/>
                <w:szCs w:val="20"/>
              </w:rPr>
            </w:pPr>
            <w:r w:rsidRPr="0035496A">
              <w:rPr>
                <w:b/>
                <w:bCs/>
                <w:sz w:val="20"/>
                <w:szCs w:val="20"/>
              </w:rPr>
              <w:t>Životní prostředí</w:t>
            </w:r>
          </w:p>
        </w:tc>
      </w:tr>
      <w:tr w14:paraId="797ADB3C" w14:textId="77777777" w:rsidTr="00450F5C">
        <w:tblPrEx>
          <w:tblW w:w="9075" w:type="dxa"/>
          <w:tblLook w:val="04A0"/>
        </w:tblPrEx>
        <w:trPr>
          <w:trHeight w:val="619"/>
        </w:trPr>
        <w:tc>
          <w:tcPr>
            <w:tcW w:w="1432" w:type="dxa"/>
            <w:vMerge/>
            <w:vAlign w:val="center"/>
            <w:hideMark/>
          </w:tcPr>
          <w:p w:rsidR="00C22698" w:rsidRPr="0035496A" w:rsidP="004D7E53" w14:paraId="346103C2" w14:textId="77777777">
            <w:pPr>
              <w:spacing w:before="0" w:after="0"/>
              <w:jc w:val="center"/>
              <w:rPr>
                <w:b/>
                <w:bCs/>
                <w:sz w:val="20"/>
                <w:szCs w:val="20"/>
              </w:rPr>
            </w:pPr>
          </w:p>
        </w:tc>
        <w:tc>
          <w:tcPr>
            <w:tcW w:w="2284" w:type="dxa"/>
            <w:vAlign w:val="center"/>
            <w:hideMark/>
          </w:tcPr>
          <w:p w:rsidR="00C22698" w:rsidRPr="0035496A" w:rsidP="004D7E53" w14:paraId="2AA1FB6F" w14:textId="77777777">
            <w:pPr>
              <w:spacing w:before="0" w:after="0"/>
              <w:jc w:val="center"/>
              <w:rPr>
                <w:sz w:val="20"/>
                <w:szCs w:val="20"/>
              </w:rPr>
            </w:pPr>
          </w:p>
        </w:tc>
        <w:tc>
          <w:tcPr>
            <w:tcW w:w="1476" w:type="dxa"/>
            <w:vAlign w:val="center"/>
            <w:hideMark/>
          </w:tcPr>
          <w:p w:rsidR="00C22698" w:rsidRPr="0035496A" w:rsidP="004D7E53" w14:paraId="2337907E" w14:textId="77777777">
            <w:pPr>
              <w:spacing w:before="0" w:after="0"/>
              <w:jc w:val="center"/>
              <w:rPr>
                <w:sz w:val="20"/>
                <w:szCs w:val="20"/>
              </w:rPr>
            </w:pPr>
          </w:p>
        </w:tc>
        <w:tc>
          <w:tcPr>
            <w:tcW w:w="2096" w:type="dxa"/>
            <w:vAlign w:val="center"/>
            <w:hideMark/>
          </w:tcPr>
          <w:p w:rsidR="00C22698" w:rsidRPr="0035496A" w:rsidP="004D7E53" w14:paraId="25AEE9F9" w14:textId="77777777">
            <w:pPr>
              <w:spacing w:before="0" w:after="0"/>
              <w:jc w:val="center"/>
              <w:rPr>
                <w:sz w:val="20"/>
                <w:szCs w:val="20"/>
              </w:rPr>
            </w:pPr>
            <w:r w:rsidRPr="0035496A">
              <w:rPr>
                <w:sz w:val="20"/>
                <w:szCs w:val="20"/>
              </w:rPr>
              <w:t xml:space="preserve">Riziko omezení sběru OEEZ </w:t>
            </w:r>
          </w:p>
        </w:tc>
        <w:tc>
          <w:tcPr>
            <w:tcW w:w="1785" w:type="dxa"/>
            <w:vAlign w:val="center"/>
            <w:hideMark/>
          </w:tcPr>
          <w:p w:rsidR="00C22698" w:rsidRPr="0035496A" w:rsidP="004D7E53" w14:paraId="4252B1C6" w14:textId="77777777">
            <w:pPr>
              <w:spacing w:before="0" w:after="0"/>
              <w:jc w:val="center"/>
              <w:rPr>
                <w:sz w:val="20"/>
                <w:szCs w:val="20"/>
              </w:rPr>
            </w:pPr>
            <w:r w:rsidRPr="0035496A">
              <w:rPr>
                <w:sz w:val="20"/>
                <w:szCs w:val="20"/>
              </w:rPr>
              <w:t>**</w:t>
            </w:r>
          </w:p>
        </w:tc>
      </w:tr>
      <w:tr w14:paraId="46CFFEFD" w14:textId="77777777" w:rsidTr="00450F5C">
        <w:tblPrEx>
          <w:tblW w:w="9075" w:type="dxa"/>
          <w:tblLook w:val="04A0"/>
        </w:tblPrEx>
        <w:trPr>
          <w:trHeight w:val="571"/>
        </w:trPr>
        <w:tc>
          <w:tcPr>
            <w:tcW w:w="1432" w:type="dxa"/>
            <w:vMerge w:val="restart"/>
            <w:noWrap/>
            <w:vAlign w:val="center"/>
            <w:hideMark/>
          </w:tcPr>
          <w:p w:rsidR="00C22698" w:rsidRPr="0035496A" w:rsidP="004D7E53" w14:paraId="7939729F" w14:textId="77777777">
            <w:pPr>
              <w:spacing w:before="0" w:after="0"/>
              <w:jc w:val="center"/>
              <w:rPr>
                <w:b/>
                <w:bCs/>
                <w:sz w:val="20"/>
                <w:szCs w:val="20"/>
              </w:rPr>
            </w:pPr>
            <w:r w:rsidRPr="0035496A">
              <w:rPr>
                <w:b/>
                <w:bCs/>
                <w:sz w:val="20"/>
                <w:szCs w:val="20"/>
              </w:rPr>
              <w:t>Varianta 1</w:t>
            </w:r>
          </w:p>
        </w:tc>
        <w:tc>
          <w:tcPr>
            <w:tcW w:w="7643" w:type="dxa"/>
            <w:gridSpan w:val="4"/>
            <w:vAlign w:val="center"/>
            <w:hideMark/>
          </w:tcPr>
          <w:p w:rsidR="00C22698" w:rsidRPr="0035496A" w:rsidP="004D7E53" w14:paraId="134E884F" w14:textId="77777777">
            <w:pPr>
              <w:spacing w:before="0" w:after="0"/>
              <w:jc w:val="center"/>
              <w:rPr>
                <w:b/>
                <w:bCs/>
                <w:sz w:val="20"/>
                <w:szCs w:val="20"/>
              </w:rPr>
            </w:pPr>
            <w:r w:rsidRPr="0035496A">
              <w:rPr>
                <w:b/>
                <w:bCs/>
                <w:sz w:val="20"/>
                <w:szCs w:val="20"/>
              </w:rPr>
              <w:t>Státní rozpočet a ostatní veřejné rozpočty</w:t>
            </w:r>
          </w:p>
        </w:tc>
      </w:tr>
      <w:tr w14:paraId="43B36FF3" w14:textId="77777777" w:rsidTr="00450F5C">
        <w:tblPrEx>
          <w:tblW w:w="9075" w:type="dxa"/>
          <w:tblLook w:val="04A0"/>
        </w:tblPrEx>
        <w:trPr>
          <w:trHeight w:val="421"/>
        </w:trPr>
        <w:tc>
          <w:tcPr>
            <w:tcW w:w="1432" w:type="dxa"/>
            <w:vMerge/>
            <w:vAlign w:val="center"/>
            <w:hideMark/>
          </w:tcPr>
          <w:p w:rsidR="00C22698" w:rsidRPr="0035496A" w:rsidP="004D7E53" w14:paraId="347603E8" w14:textId="77777777">
            <w:pPr>
              <w:spacing w:before="0" w:after="0"/>
              <w:jc w:val="center"/>
              <w:rPr>
                <w:b/>
                <w:bCs/>
                <w:sz w:val="20"/>
                <w:szCs w:val="20"/>
              </w:rPr>
            </w:pPr>
          </w:p>
        </w:tc>
        <w:tc>
          <w:tcPr>
            <w:tcW w:w="2284" w:type="dxa"/>
            <w:vAlign w:val="center"/>
          </w:tcPr>
          <w:p w:rsidR="00C22698" w:rsidRPr="0035496A" w:rsidP="004D7E53" w14:paraId="1880B128" w14:textId="77777777">
            <w:pPr>
              <w:spacing w:before="0" w:after="0"/>
              <w:jc w:val="center"/>
              <w:rPr>
                <w:sz w:val="20"/>
                <w:szCs w:val="20"/>
              </w:rPr>
            </w:pPr>
            <w:r w:rsidRPr="0035496A">
              <w:rPr>
                <w:sz w:val="20"/>
                <w:szCs w:val="20"/>
              </w:rPr>
              <w:t>Snížení AZ kontrolních orgánů</w:t>
            </w:r>
          </w:p>
        </w:tc>
        <w:tc>
          <w:tcPr>
            <w:tcW w:w="1476" w:type="dxa"/>
            <w:vAlign w:val="center"/>
          </w:tcPr>
          <w:p w:rsidR="00C22698" w:rsidRPr="0035496A" w:rsidP="004D7E53" w14:paraId="1C18FC89" w14:textId="77777777">
            <w:pPr>
              <w:spacing w:before="0" w:after="0"/>
              <w:jc w:val="center"/>
              <w:rPr>
                <w:sz w:val="20"/>
                <w:szCs w:val="20"/>
              </w:rPr>
            </w:pPr>
            <w:r w:rsidRPr="0035496A">
              <w:rPr>
                <w:sz w:val="20"/>
                <w:szCs w:val="20"/>
              </w:rPr>
              <w:t>***</w:t>
            </w:r>
          </w:p>
        </w:tc>
        <w:tc>
          <w:tcPr>
            <w:tcW w:w="2096" w:type="dxa"/>
            <w:vAlign w:val="center"/>
            <w:hideMark/>
          </w:tcPr>
          <w:p w:rsidR="00C22698" w:rsidRPr="0035496A" w:rsidP="004D7E53" w14:paraId="059CE5AC" w14:textId="77777777">
            <w:pPr>
              <w:spacing w:before="0" w:after="0"/>
              <w:jc w:val="center"/>
              <w:rPr>
                <w:sz w:val="20"/>
                <w:szCs w:val="20"/>
              </w:rPr>
            </w:pPr>
          </w:p>
        </w:tc>
        <w:tc>
          <w:tcPr>
            <w:tcW w:w="1785" w:type="dxa"/>
            <w:vAlign w:val="center"/>
            <w:hideMark/>
          </w:tcPr>
          <w:p w:rsidR="00C22698" w:rsidRPr="0035496A" w:rsidP="004D7E53" w14:paraId="6F23990D" w14:textId="77777777">
            <w:pPr>
              <w:spacing w:before="0" w:after="0"/>
              <w:jc w:val="center"/>
              <w:rPr>
                <w:sz w:val="20"/>
                <w:szCs w:val="20"/>
              </w:rPr>
            </w:pPr>
          </w:p>
        </w:tc>
      </w:tr>
      <w:tr w14:paraId="07F5BC50" w14:textId="77777777" w:rsidTr="00450F5C">
        <w:tblPrEx>
          <w:tblW w:w="9075" w:type="dxa"/>
          <w:tblLook w:val="04A0"/>
        </w:tblPrEx>
        <w:trPr>
          <w:trHeight w:val="505"/>
        </w:trPr>
        <w:tc>
          <w:tcPr>
            <w:tcW w:w="1432" w:type="dxa"/>
            <w:vMerge/>
            <w:vAlign w:val="center"/>
            <w:hideMark/>
          </w:tcPr>
          <w:p w:rsidR="00C22698" w:rsidRPr="0035496A" w:rsidP="004D7E53" w14:paraId="55DA8A3A" w14:textId="77777777">
            <w:pPr>
              <w:spacing w:before="0" w:after="0"/>
              <w:jc w:val="center"/>
              <w:rPr>
                <w:b/>
                <w:bCs/>
                <w:sz w:val="20"/>
                <w:szCs w:val="20"/>
              </w:rPr>
            </w:pPr>
          </w:p>
        </w:tc>
        <w:tc>
          <w:tcPr>
            <w:tcW w:w="7643" w:type="dxa"/>
            <w:gridSpan w:val="4"/>
            <w:vAlign w:val="center"/>
            <w:hideMark/>
          </w:tcPr>
          <w:p w:rsidR="00C22698" w:rsidRPr="0035496A" w:rsidP="004D7E53" w14:paraId="5E19343C" w14:textId="77777777">
            <w:pPr>
              <w:spacing w:before="0" w:after="0"/>
              <w:jc w:val="center"/>
              <w:rPr>
                <w:b/>
                <w:bCs/>
                <w:sz w:val="20"/>
                <w:szCs w:val="20"/>
              </w:rPr>
            </w:pPr>
            <w:r w:rsidRPr="0035496A">
              <w:rPr>
                <w:b/>
                <w:bCs/>
                <w:sz w:val="20"/>
                <w:szCs w:val="20"/>
              </w:rPr>
              <w:t>Podnikatelské subjekty</w:t>
            </w:r>
          </w:p>
        </w:tc>
      </w:tr>
      <w:tr w14:paraId="734EA1D2" w14:textId="77777777" w:rsidTr="00450F5C">
        <w:tblPrEx>
          <w:tblW w:w="9075" w:type="dxa"/>
          <w:tblLook w:val="04A0"/>
        </w:tblPrEx>
        <w:trPr>
          <w:trHeight w:val="1139"/>
        </w:trPr>
        <w:tc>
          <w:tcPr>
            <w:tcW w:w="1432" w:type="dxa"/>
            <w:vMerge/>
            <w:vAlign w:val="center"/>
            <w:hideMark/>
          </w:tcPr>
          <w:p w:rsidR="00C22698" w:rsidRPr="0035496A" w:rsidP="004D7E53" w14:paraId="79460CB8" w14:textId="77777777">
            <w:pPr>
              <w:spacing w:before="0" w:after="0"/>
              <w:jc w:val="center"/>
              <w:rPr>
                <w:b/>
                <w:bCs/>
                <w:sz w:val="20"/>
                <w:szCs w:val="20"/>
              </w:rPr>
            </w:pPr>
          </w:p>
        </w:tc>
        <w:tc>
          <w:tcPr>
            <w:tcW w:w="2284" w:type="dxa"/>
            <w:vAlign w:val="center"/>
          </w:tcPr>
          <w:p w:rsidR="00C22698" w:rsidRPr="0035496A" w:rsidP="004D7E53" w14:paraId="61990FC2" w14:textId="77777777">
            <w:pPr>
              <w:spacing w:before="0" w:after="0"/>
              <w:jc w:val="center"/>
              <w:rPr>
                <w:sz w:val="20"/>
                <w:szCs w:val="20"/>
              </w:rPr>
            </w:pPr>
            <w:r w:rsidRPr="0035496A">
              <w:rPr>
                <w:sz w:val="20"/>
                <w:szCs w:val="20"/>
              </w:rPr>
              <w:t>Zamezení freeridingu, špatného finančního plánování KS</w:t>
            </w:r>
          </w:p>
        </w:tc>
        <w:tc>
          <w:tcPr>
            <w:tcW w:w="1476" w:type="dxa"/>
            <w:noWrap/>
            <w:vAlign w:val="center"/>
          </w:tcPr>
          <w:p w:rsidR="00C22698" w:rsidRPr="0035496A" w:rsidP="004D7E53" w14:paraId="47FE65D6" w14:textId="77777777">
            <w:pPr>
              <w:spacing w:before="0" w:after="0"/>
              <w:jc w:val="center"/>
              <w:rPr>
                <w:sz w:val="20"/>
                <w:szCs w:val="20"/>
              </w:rPr>
            </w:pPr>
            <w:r w:rsidRPr="0035496A">
              <w:rPr>
                <w:sz w:val="20"/>
                <w:szCs w:val="20"/>
              </w:rPr>
              <w:t>****</w:t>
            </w:r>
          </w:p>
        </w:tc>
        <w:tc>
          <w:tcPr>
            <w:tcW w:w="2096" w:type="dxa"/>
            <w:vAlign w:val="center"/>
          </w:tcPr>
          <w:p w:rsidR="00C22698" w:rsidRPr="0035496A" w:rsidP="004D7E53" w14:paraId="05958CDA" w14:textId="77777777">
            <w:pPr>
              <w:spacing w:before="0" w:after="0"/>
              <w:jc w:val="center"/>
              <w:rPr>
                <w:sz w:val="20"/>
                <w:szCs w:val="20"/>
              </w:rPr>
            </w:pPr>
            <w:r w:rsidRPr="0035496A">
              <w:rPr>
                <w:sz w:val="20"/>
                <w:szCs w:val="20"/>
              </w:rPr>
              <w:t>Omezení plnění povinností ZO</w:t>
            </w:r>
          </w:p>
        </w:tc>
        <w:tc>
          <w:tcPr>
            <w:tcW w:w="1785" w:type="dxa"/>
            <w:noWrap/>
            <w:vAlign w:val="center"/>
          </w:tcPr>
          <w:p w:rsidR="00C22698" w:rsidRPr="0035496A" w:rsidP="004D7E53" w14:paraId="55492CF5" w14:textId="77777777">
            <w:pPr>
              <w:spacing w:before="0" w:after="0"/>
              <w:jc w:val="center"/>
              <w:rPr>
                <w:sz w:val="20"/>
                <w:szCs w:val="20"/>
              </w:rPr>
            </w:pPr>
            <w:r w:rsidRPr="0035496A">
              <w:rPr>
                <w:sz w:val="20"/>
                <w:szCs w:val="20"/>
              </w:rPr>
              <w:t>**</w:t>
            </w:r>
          </w:p>
        </w:tc>
      </w:tr>
      <w:tr w14:paraId="41989624" w14:textId="77777777" w:rsidTr="00450F5C">
        <w:tblPrEx>
          <w:tblW w:w="9075" w:type="dxa"/>
          <w:tblLook w:val="04A0"/>
        </w:tblPrEx>
        <w:trPr>
          <w:trHeight w:val="505"/>
        </w:trPr>
        <w:tc>
          <w:tcPr>
            <w:tcW w:w="1432" w:type="dxa"/>
            <w:vMerge/>
            <w:vAlign w:val="center"/>
            <w:hideMark/>
          </w:tcPr>
          <w:p w:rsidR="00C22698" w:rsidRPr="0035496A" w:rsidP="004D7E53" w14:paraId="2AA2E7EE" w14:textId="77777777">
            <w:pPr>
              <w:spacing w:before="0" w:after="0"/>
              <w:jc w:val="center"/>
              <w:rPr>
                <w:b/>
                <w:bCs/>
                <w:sz w:val="20"/>
                <w:szCs w:val="20"/>
              </w:rPr>
            </w:pPr>
          </w:p>
        </w:tc>
        <w:tc>
          <w:tcPr>
            <w:tcW w:w="7643" w:type="dxa"/>
            <w:gridSpan w:val="4"/>
            <w:vAlign w:val="center"/>
            <w:hideMark/>
          </w:tcPr>
          <w:p w:rsidR="00C22698" w:rsidRPr="0035496A" w:rsidP="004D7E53" w14:paraId="46443456" w14:textId="77777777">
            <w:pPr>
              <w:spacing w:before="0" w:after="0"/>
              <w:jc w:val="center"/>
              <w:rPr>
                <w:b/>
                <w:bCs/>
                <w:sz w:val="20"/>
                <w:szCs w:val="20"/>
              </w:rPr>
            </w:pPr>
            <w:r w:rsidRPr="0035496A">
              <w:rPr>
                <w:b/>
                <w:bCs/>
                <w:sz w:val="20"/>
                <w:szCs w:val="20"/>
              </w:rPr>
              <w:t>Územní samosprávné celky (obce, kraje)</w:t>
            </w:r>
          </w:p>
        </w:tc>
      </w:tr>
      <w:tr w14:paraId="6DBA405A" w14:textId="77777777" w:rsidTr="00450F5C">
        <w:tblPrEx>
          <w:tblW w:w="9075" w:type="dxa"/>
          <w:tblLook w:val="04A0"/>
        </w:tblPrEx>
        <w:trPr>
          <w:trHeight w:val="481"/>
        </w:trPr>
        <w:tc>
          <w:tcPr>
            <w:tcW w:w="1432" w:type="dxa"/>
            <w:vMerge/>
            <w:vAlign w:val="center"/>
            <w:hideMark/>
          </w:tcPr>
          <w:p w:rsidR="00C22698" w:rsidRPr="0035496A" w:rsidP="004D7E53" w14:paraId="15C4C72F" w14:textId="77777777">
            <w:pPr>
              <w:spacing w:before="0" w:after="0"/>
              <w:jc w:val="center"/>
              <w:rPr>
                <w:b/>
                <w:bCs/>
                <w:sz w:val="20"/>
                <w:szCs w:val="20"/>
              </w:rPr>
            </w:pPr>
          </w:p>
        </w:tc>
        <w:tc>
          <w:tcPr>
            <w:tcW w:w="2284" w:type="dxa"/>
            <w:vAlign w:val="center"/>
          </w:tcPr>
          <w:p w:rsidR="00C22698" w:rsidRPr="0035496A" w:rsidP="004D7E53" w14:paraId="3ACA0B68" w14:textId="77777777">
            <w:pPr>
              <w:spacing w:before="0" w:after="0"/>
              <w:jc w:val="center"/>
              <w:rPr>
                <w:sz w:val="20"/>
                <w:szCs w:val="20"/>
              </w:rPr>
            </w:pPr>
            <w:r w:rsidRPr="0035496A">
              <w:rPr>
                <w:sz w:val="20"/>
                <w:szCs w:val="20"/>
              </w:rPr>
              <w:t>-</w:t>
            </w:r>
          </w:p>
        </w:tc>
        <w:tc>
          <w:tcPr>
            <w:tcW w:w="1476" w:type="dxa"/>
            <w:noWrap/>
            <w:vAlign w:val="center"/>
          </w:tcPr>
          <w:p w:rsidR="00C22698" w:rsidRPr="0035496A" w:rsidP="004D7E53" w14:paraId="74246FF7" w14:textId="77777777">
            <w:pPr>
              <w:spacing w:before="0" w:after="0"/>
              <w:jc w:val="center"/>
              <w:rPr>
                <w:sz w:val="20"/>
                <w:szCs w:val="20"/>
              </w:rPr>
            </w:pPr>
            <w:r w:rsidRPr="0035496A">
              <w:rPr>
                <w:sz w:val="20"/>
                <w:szCs w:val="20"/>
              </w:rPr>
              <w:t>-</w:t>
            </w:r>
          </w:p>
        </w:tc>
        <w:tc>
          <w:tcPr>
            <w:tcW w:w="2096" w:type="dxa"/>
            <w:noWrap/>
            <w:vAlign w:val="center"/>
            <w:hideMark/>
          </w:tcPr>
          <w:p w:rsidR="00C22698" w:rsidRPr="0035496A" w:rsidP="004D7E53" w14:paraId="34E8591B" w14:textId="77777777">
            <w:pPr>
              <w:spacing w:before="0" w:after="0"/>
              <w:jc w:val="center"/>
              <w:rPr>
                <w:sz w:val="20"/>
                <w:szCs w:val="20"/>
              </w:rPr>
            </w:pPr>
            <w:r w:rsidRPr="0035496A">
              <w:rPr>
                <w:sz w:val="20"/>
                <w:szCs w:val="20"/>
              </w:rPr>
              <w:t>-</w:t>
            </w:r>
          </w:p>
        </w:tc>
        <w:tc>
          <w:tcPr>
            <w:tcW w:w="1785" w:type="dxa"/>
            <w:noWrap/>
            <w:vAlign w:val="center"/>
            <w:hideMark/>
          </w:tcPr>
          <w:p w:rsidR="00C22698" w:rsidRPr="0035496A" w:rsidP="004D7E53" w14:paraId="50AF3CBF" w14:textId="77777777">
            <w:pPr>
              <w:spacing w:before="0" w:after="0"/>
              <w:jc w:val="center"/>
              <w:rPr>
                <w:sz w:val="20"/>
                <w:szCs w:val="20"/>
              </w:rPr>
            </w:pPr>
            <w:r w:rsidRPr="0035496A">
              <w:rPr>
                <w:sz w:val="20"/>
                <w:szCs w:val="20"/>
              </w:rPr>
              <w:t>-</w:t>
            </w:r>
          </w:p>
        </w:tc>
      </w:tr>
      <w:tr w14:paraId="1AF0E3F5" w14:textId="77777777" w:rsidTr="00450F5C">
        <w:tblPrEx>
          <w:tblW w:w="9075" w:type="dxa"/>
          <w:tblLook w:val="04A0"/>
        </w:tblPrEx>
        <w:trPr>
          <w:trHeight w:val="505"/>
        </w:trPr>
        <w:tc>
          <w:tcPr>
            <w:tcW w:w="1432" w:type="dxa"/>
            <w:vMerge/>
            <w:vAlign w:val="center"/>
            <w:hideMark/>
          </w:tcPr>
          <w:p w:rsidR="00C22698" w:rsidRPr="0035496A" w:rsidP="004D7E53" w14:paraId="1D43BC27" w14:textId="77777777">
            <w:pPr>
              <w:spacing w:before="0" w:after="0"/>
              <w:jc w:val="center"/>
              <w:rPr>
                <w:b/>
                <w:bCs/>
                <w:sz w:val="20"/>
                <w:szCs w:val="20"/>
              </w:rPr>
            </w:pPr>
          </w:p>
        </w:tc>
        <w:tc>
          <w:tcPr>
            <w:tcW w:w="7643" w:type="dxa"/>
            <w:gridSpan w:val="4"/>
            <w:vAlign w:val="center"/>
            <w:hideMark/>
          </w:tcPr>
          <w:p w:rsidR="00C22698" w:rsidRPr="0035496A" w:rsidP="004D7E53" w14:paraId="7156686C" w14:textId="77777777">
            <w:pPr>
              <w:spacing w:before="0" w:after="0"/>
              <w:jc w:val="center"/>
              <w:rPr>
                <w:b/>
                <w:bCs/>
                <w:sz w:val="20"/>
                <w:szCs w:val="20"/>
              </w:rPr>
            </w:pPr>
            <w:r w:rsidRPr="0035496A">
              <w:rPr>
                <w:b/>
                <w:bCs/>
                <w:sz w:val="20"/>
                <w:szCs w:val="20"/>
              </w:rPr>
              <w:t>Sociální dopady</w:t>
            </w:r>
          </w:p>
        </w:tc>
      </w:tr>
      <w:tr w14:paraId="53393534" w14:textId="77777777" w:rsidTr="00450F5C">
        <w:tblPrEx>
          <w:tblW w:w="9075" w:type="dxa"/>
          <w:tblLook w:val="04A0"/>
        </w:tblPrEx>
        <w:trPr>
          <w:trHeight w:val="480"/>
        </w:trPr>
        <w:tc>
          <w:tcPr>
            <w:tcW w:w="1432" w:type="dxa"/>
            <w:vMerge/>
            <w:vAlign w:val="center"/>
            <w:hideMark/>
          </w:tcPr>
          <w:p w:rsidR="00C22698" w:rsidRPr="0035496A" w:rsidP="004D7E53" w14:paraId="2665F710" w14:textId="77777777">
            <w:pPr>
              <w:spacing w:before="0" w:after="0"/>
              <w:jc w:val="center"/>
              <w:rPr>
                <w:b/>
                <w:bCs/>
                <w:sz w:val="20"/>
                <w:szCs w:val="20"/>
              </w:rPr>
            </w:pPr>
          </w:p>
        </w:tc>
        <w:tc>
          <w:tcPr>
            <w:tcW w:w="2284" w:type="dxa"/>
            <w:vAlign w:val="center"/>
          </w:tcPr>
          <w:p w:rsidR="00C22698" w:rsidRPr="0035496A" w:rsidP="004D7E53" w14:paraId="644685F5" w14:textId="77777777">
            <w:pPr>
              <w:spacing w:before="0" w:after="0"/>
              <w:jc w:val="center"/>
              <w:rPr>
                <w:sz w:val="20"/>
                <w:szCs w:val="20"/>
              </w:rPr>
            </w:pPr>
            <w:r w:rsidRPr="0035496A">
              <w:rPr>
                <w:sz w:val="20"/>
                <w:szCs w:val="20"/>
              </w:rPr>
              <w:t>-</w:t>
            </w:r>
          </w:p>
        </w:tc>
        <w:tc>
          <w:tcPr>
            <w:tcW w:w="1476" w:type="dxa"/>
            <w:vAlign w:val="center"/>
          </w:tcPr>
          <w:p w:rsidR="00C22698" w:rsidRPr="0035496A" w:rsidP="004D7E53" w14:paraId="008DF567" w14:textId="77777777">
            <w:pPr>
              <w:spacing w:before="0" w:after="0"/>
              <w:jc w:val="center"/>
              <w:rPr>
                <w:sz w:val="20"/>
                <w:szCs w:val="20"/>
              </w:rPr>
            </w:pPr>
            <w:r w:rsidRPr="0035496A">
              <w:rPr>
                <w:sz w:val="20"/>
                <w:szCs w:val="20"/>
              </w:rPr>
              <w:t>-</w:t>
            </w:r>
          </w:p>
        </w:tc>
        <w:tc>
          <w:tcPr>
            <w:tcW w:w="2096" w:type="dxa"/>
            <w:vAlign w:val="center"/>
          </w:tcPr>
          <w:p w:rsidR="00C22698" w:rsidRPr="0035496A" w:rsidP="004D7E53" w14:paraId="610C2B63" w14:textId="77777777">
            <w:pPr>
              <w:spacing w:before="0" w:after="0"/>
              <w:jc w:val="center"/>
              <w:rPr>
                <w:sz w:val="20"/>
                <w:szCs w:val="20"/>
              </w:rPr>
            </w:pPr>
            <w:r w:rsidRPr="0035496A">
              <w:rPr>
                <w:sz w:val="20"/>
                <w:szCs w:val="20"/>
              </w:rPr>
              <w:t>-</w:t>
            </w:r>
          </w:p>
        </w:tc>
        <w:tc>
          <w:tcPr>
            <w:tcW w:w="1785" w:type="dxa"/>
            <w:vAlign w:val="center"/>
          </w:tcPr>
          <w:p w:rsidR="00C22698" w:rsidRPr="0035496A" w:rsidP="004D7E53" w14:paraId="2AE94CEF" w14:textId="77777777">
            <w:pPr>
              <w:spacing w:before="0" w:after="0"/>
              <w:jc w:val="center"/>
              <w:rPr>
                <w:sz w:val="20"/>
                <w:szCs w:val="20"/>
              </w:rPr>
            </w:pPr>
            <w:r w:rsidRPr="0035496A">
              <w:rPr>
                <w:sz w:val="20"/>
                <w:szCs w:val="20"/>
              </w:rPr>
              <w:t>-</w:t>
            </w:r>
          </w:p>
        </w:tc>
      </w:tr>
      <w:tr w14:paraId="2F616083" w14:textId="77777777" w:rsidTr="00450F5C">
        <w:tblPrEx>
          <w:tblW w:w="9075" w:type="dxa"/>
          <w:tblLook w:val="04A0"/>
        </w:tblPrEx>
        <w:trPr>
          <w:trHeight w:val="505"/>
        </w:trPr>
        <w:tc>
          <w:tcPr>
            <w:tcW w:w="1432" w:type="dxa"/>
            <w:vMerge/>
            <w:vAlign w:val="center"/>
            <w:hideMark/>
          </w:tcPr>
          <w:p w:rsidR="00C22698" w:rsidRPr="0035496A" w:rsidP="004D7E53" w14:paraId="54BAF790" w14:textId="77777777">
            <w:pPr>
              <w:spacing w:before="0" w:after="0"/>
              <w:jc w:val="center"/>
              <w:rPr>
                <w:b/>
                <w:bCs/>
                <w:sz w:val="20"/>
                <w:szCs w:val="20"/>
              </w:rPr>
            </w:pPr>
          </w:p>
        </w:tc>
        <w:tc>
          <w:tcPr>
            <w:tcW w:w="7643" w:type="dxa"/>
            <w:gridSpan w:val="4"/>
            <w:vAlign w:val="center"/>
            <w:hideMark/>
          </w:tcPr>
          <w:p w:rsidR="00C22698" w:rsidRPr="0035496A" w:rsidP="004D7E53" w14:paraId="6B296DAC" w14:textId="77777777">
            <w:pPr>
              <w:spacing w:before="0" w:after="0"/>
              <w:jc w:val="center"/>
              <w:rPr>
                <w:b/>
                <w:bCs/>
                <w:sz w:val="20"/>
                <w:szCs w:val="20"/>
              </w:rPr>
            </w:pPr>
            <w:r w:rsidRPr="0035496A">
              <w:rPr>
                <w:b/>
                <w:bCs/>
                <w:sz w:val="20"/>
                <w:szCs w:val="20"/>
              </w:rPr>
              <w:t>Životní prostředí</w:t>
            </w:r>
          </w:p>
        </w:tc>
      </w:tr>
      <w:tr w14:paraId="72DCFF66" w14:textId="77777777" w:rsidTr="00450F5C">
        <w:tblPrEx>
          <w:tblW w:w="9075" w:type="dxa"/>
          <w:tblLook w:val="04A0"/>
        </w:tblPrEx>
        <w:trPr>
          <w:trHeight w:val="689"/>
        </w:trPr>
        <w:tc>
          <w:tcPr>
            <w:tcW w:w="1432" w:type="dxa"/>
            <w:vMerge/>
            <w:vAlign w:val="center"/>
            <w:hideMark/>
          </w:tcPr>
          <w:p w:rsidR="00C22698" w:rsidRPr="0035496A" w:rsidP="004D7E53" w14:paraId="45C05356" w14:textId="77777777">
            <w:pPr>
              <w:spacing w:before="0" w:after="0"/>
              <w:jc w:val="center"/>
              <w:rPr>
                <w:b/>
                <w:bCs/>
                <w:sz w:val="20"/>
                <w:szCs w:val="20"/>
              </w:rPr>
            </w:pPr>
          </w:p>
        </w:tc>
        <w:tc>
          <w:tcPr>
            <w:tcW w:w="2284" w:type="dxa"/>
            <w:vAlign w:val="center"/>
          </w:tcPr>
          <w:p w:rsidR="00C22698" w:rsidRPr="0035496A" w:rsidP="004D7E53" w14:paraId="74B9E00C" w14:textId="77777777">
            <w:pPr>
              <w:spacing w:before="0" w:after="0"/>
              <w:jc w:val="center"/>
              <w:rPr>
                <w:sz w:val="20"/>
                <w:szCs w:val="20"/>
              </w:rPr>
            </w:pPr>
            <w:r w:rsidRPr="0035496A">
              <w:rPr>
                <w:sz w:val="20"/>
                <w:szCs w:val="20"/>
              </w:rPr>
              <w:t>Snížení rizika omezení sběru OEEZ</w:t>
            </w:r>
          </w:p>
        </w:tc>
        <w:tc>
          <w:tcPr>
            <w:tcW w:w="1476" w:type="dxa"/>
            <w:vAlign w:val="center"/>
          </w:tcPr>
          <w:p w:rsidR="00C22698" w:rsidRPr="0035496A" w:rsidP="004D7E53" w14:paraId="19D51EED" w14:textId="77777777">
            <w:pPr>
              <w:spacing w:before="0" w:after="0"/>
              <w:jc w:val="center"/>
              <w:rPr>
                <w:sz w:val="20"/>
                <w:szCs w:val="20"/>
              </w:rPr>
            </w:pPr>
            <w:r w:rsidRPr="0035496A">
              <w:rPr>
                <w:sz w:val="20"/>
                <w:szCs w:val="20"/>
              </w:rPr>
              <w:t>**</w:t>
            </w:r>
          </w:p>
        </w:tc>
        <w:tc>
          <w:tcPr>
            <w:tcW w:w="2096" w:type="dxa"/>
            <w:vAlign w:val="center"/>
            <w:hideMark/>
          </w:tcPr>
          <w:p w:rsidR="00C22698" w:rsidRPr="0035496A" w:rsidP="004D7E53" w14:paraId="20103999" w14:textId="77777777">
            <w:pPr>
              <w:spacing w:before="0" w:after="0"/>
              <w:jc w:val="center"/>
              <w:rPr>
                <w:sz w:val="20"/>
                <w:szCs w:val="20"/>
              </w:rPr>
            </w:pPr>
          </w:p>
        </w:tc>
        <w:tc>
          <w:tcPr>
            <w:tcW w:w="1785" w:type="dxa"/>
            <w:vAlign w:val="center"/>
            <w:hideMark/>
          </w:tcPr>
          <w:p w:rsidR="00C22698" w:rsidRPr="0035496A" w:rsidP="004D7E53" w14:paraId="297E71B5" w14:textId="77777777">
            <w:pPr>
              <w:spacing w:before="0" w:after="0"/>
              <w:jc w:val="center"/>
              <w:rPr>
                <w:sz w:val="20"/>
                <w:szCs w:val="20"/>
              </w:rPr>
            </w:pPr>
          </w:p>
        </w:tc>
      </w:tr>
    </w:tbl>
    <w:p w:rsidR="00C64CC7" w:rsidP="00CD5A7A" w14:paraId="233ED34F" w14:textId="77777777">
      <w:pPr>
        <w:rPr>
          <w:sz w:val="20"/>
          <w:szCs w:val="20"/>
        </w:rPr>
      </w:pPr>
      <w:r w:rsidRPr="00AD71B0">
        <w:rPr>
          <w:sz w:val="20"/>
          <w:szCs w:val="20"/>
        </w:rPr>
        <w:t>- bez dopadů, * velmi nízké, ** nízké, *** střední, **** vysoké, ***** velmi vysoké</w:t>
      </w:r>
    </w:p>
    <w:p w:rsidR="001E3A78" w:rsidP="00BF16B7" w14:paraId="589D8B96" w14:textId="77777777">
      <w:pPr>
        <w:spacing w:before="0"/>
      </w:pPr>
    </w:p>
    <w:p w:rsidR="00C76F18" w:rsidP="00C76F18" w14:paraId="1454C8D9" w14:textId="77777777">
      <w:pPr>
        <w:pStyle w:val="Heading2"/>
      </w:pPr>
      <w:r>
        <w:t>Návrh řešení</w:t>
      </w:r>
    </w:p>
    <w:p w:rsidR="002B3F70" w:rsidRPr="00221615" w:rsidP="005853C3" w14:paraId="13A9E927" w14:textId="77777777">
      <w:pPr>
        <w:pStyle w:val="Heading4"/>
        <w:numPr>
          <w:ilvl w:val="0"/>
          <w:numId w:val="0"/>
        </w:numPr>
        <w:spacing w:before="120" w:after="0"/>
        <w:ind w:left="864" w:hanging="864"/>
        <w:rPr>
          <w:b/>
          <w:i/>
          <w:sz w:val="24"/>
          <w:szCs w:val="24"/>
        </w:rPr>
      </w:pPr>
      <w:r>
        <w:rPr>
          <w:b/>
          <w:i/>
          <w:sz w:val="24"/>
          <w:szCs w:val="24"/>
        </w:rPr>
        <w:t xml:space="preserve">Stanovení </w:t>
      </w:r>
      <w:r w:rsidRPr="00221615">
        <w:rPr>
          <w:b/>
          <w:i/>
          <w:sz w:val="24"/>
          <w:szCs w:val="24"/>
        </w:rPr>
        <w:t>pořadí variant a výběr nejvhodnějšího řešení</w:t>
      </w:r>
    </w:p>
    <w:p w:rsidR="00CD5A7A" w:rsidRPr="00ED38E9" w:rsidP="000E6DE5" w14:paraId="7862391C" w14:textId="77777777">
      <w:pPr>
        <w:pStyle w:val="ListParagraph"/>
        <w:numPr>
          <w:ilvl w:val="0"/>
          <w:numId w:val="145"/>
        </w:numPr>
        <w:spacing w:after="0" w:line="240" w:lineRule="auto"/>
        <w:contextualSpacing w:val="0"/>
        <w:rPr>
          <w:rFonts w:cs="Arial"/>
          <w:b/>
          <w:bCs/>
        </w:rPr>
      </w:pPr>
      <w:r w:rsidRPr="00ED38E9">
        <w:rPr>
          <w:rFonts w:cs="Arial"/>
          <w:b/>
          <w:bCs/>
        </w:rPr>
        <w:t>Varianta 1</w:t>
      </w:r>
    </w:p>
    <w:p w:rsidR="00CD5A7A" w:rsidRPr="00ED38E9" w:rsidP="000E6DE5" w14:paraId="6B35CCFF" w14:textId="77777777">
      <w:pPr>
        <w:pStyle w:val="ListParagraph"/>
        <w:numPr>
          <w:ilvl w:val="0"/>
          <w:numId w:val="145"/>
        </w:numPr>
        <w:spacing w:after="0" w:line="240" w:lineRule="auto"/>
        <w:ind w:left="714" w:hanging="357"/>
        <w:contextualSpacing w:val="0"/>
        <w:rPr>
          <w:rFonts w:cs="Arial"/>
        </w:rPr>
      </w:pPr>
      <w:r w:rsidRPr="00ED38E9">
        <w:rPr>
          <w:rFonts w:cs="Arial"/>
        </w:rPr>
        <w:t>Varianta 0</w:t>
      </w:r>
    </w:p>
    <w:p w:rsidR="00CD5A7A" w:rsidP="00936929" w14:paraId="0A064D26" w14:textId="77777777">
      <w:pPr>
        <w:rPr>
          <w:rFonts w:cs="Arial"/>
        </w:rPr>
      </w:pPr>
      <w:r w:rsidRPr="00ED38E9">
        <w:rPr>
          <w:rFonts w:cs="Arial"/>
        </w:rPr>
        <w:t>Dopo</w:t>
      </w:r>
      <w:r>
        <w:rPr>
          <w:rFonts w:cs="Arial"/>
        </w:rPr>
        <w:t>r</w:t>
      </w:r>
      <w:r w:rsidRPr="00ED38E9">
        <w:rPr>
          <w:rFonts w:cs="Arial"/>
        </w:rPr>
        <w:t>učujeme přijmout Variantu 1, protože představuje snížení administrativní zátěže kontrolních subjektů a dále pak lepší pozici KS na trhu v oblasti plánování financování nakládání s </w:t>
      </w:r>
      <w:r w:rsidR="002B3F70">
        <w:rPr>
          <w:rFonts w:cs="Arial"/>
        </w:rPr>
        <w:t>EEZ</w:t>
      </w:r>
      <w:r w:rsidRPr="00ED38E9" w:rsidR="002B3F70">
        <w:rPr>
          <w:rFonts w:cs="Arial"/>
        </w:rPr>
        <w:t xml:space="preserve"> </w:t>
      </w:r>
      <w:r w:rsidRPr="00ED38E9">
        <w:rPr>
          <w:rFonts w:cs="Arial"/>
        </w:rPr>
        <w:t>s ukončenou životností.</w:t>
      </w:r>
    </w:p>
    <w:p w:rsidR="00CF75FD" w:rsidP="00CF75FD" w14:paraId="12CE3B61" w14:textId="77777777">
      <w:pPr>
        <w:rPr>
          <w:rFonts w:cs="Arial"/>
        </w:rPr>
      </w:pPr>
    </w:p>
    <w:p w:rsidR="00CF75FD" w:rsidRPr="00F038D7" w:rsidP="00CF75FD" w14:paraId="0CC8C259" w14:textId="77777777">
      <w:pPr>
        <w:pStyle w:val="Heading1"/>
        <w:widowControl w:val="0"/>
      </w:pPr>
      <w:bookmarkStart w:id="198" w:name="_Toc14942093"/>
      <w:bookmarkStart w:id="199" w:name="_Toc256000019"/>
      <w:r w:rsidRPr="00F038D7">
        <w:t>Hustota sběrné sítě pro OEEZ pocházející z domácností (§ 65 odst. 2)</w:t>
      </w:r>
      <w:bookmarkEnd w:id="199"/>
      <w:bookmarkEnd w:id="198"/>
    </w:p>
    <w:p w:rsidR="00CF75FD" w:rsidP="00CF75FD" w14:paraId="0CD47619" w14:textId="77777777">
      <w:pPr>
        <w:pStyle w:val="Heading2"/>
      </w:pPr>
      <w:r>
        <w:t>Důvod předložení a cíle</w:t>
      </w:r>
    </w:p>
    <w:p w:rsidR="00CF75FD" w:rsidRPr="00ED38E9" w:rsidP="00BF16B7" w14:paraId="4DC3658A" w14:textId="77777777">
      <w:pPr>
        <w:pStyle w:val="Heading3"/>
      </w:pPr>
      <w:r w:rsidRPr="00ED38E9">
        <w:t>Definice problému</w:t>
      </w:r>
    </w:p>
    <w:p w:rsidR="002F40B7" w:rsidRPr="002F40B7" w:rsidP="002F40B7" w14:paraId="04B052F3" w14:textId="523601D2">
      <w:pPr>
        <w:rPr>
          <w:rFonts w:cs="Arial"/>
        </w:rPr>
      </w:pPr>
      <w:r w:rsidRPr="002F40B7">
        <w:t>Jedná se o transpozici článku 8a odst. 3 písm. a) a b) rámcové směrnice 98/2008 ES o</w:t>
      </w:r>
      <w:r w:rsidR="001E3A78">
        <w:t> </w:t>
      </w:r>
      <w:r w:rsidRPr="002F40B7">
        <w:t>odpadech, kde je mj. stanoveno, že systémy rozšířené odpovědnosti výrobce musí mít jednoznačně definovanou sběrnou síť z hlediska územínho a materiálového pokrytí.</w:t>
      </w:r>
      <w:r w:rsidRPr="002F40B7">
        <w:rPr>
          <w:rFonts w:eastAsia="Calibri" w:cs="Arial"/>
          <w:noProof w:val="0"/>
          <w:szCs w:val="22"/>
          <w:lang w:bidi="ar-SA"/>
        </w:rPr>
        <w:t xml:space="preserve"> </w:t>
      </w:r>
      <w:r w:rsidRPr="002F40B7">
        <w:rPr>
          <w:rFonts w:cs="Arial"/>
        </w:rPr>
        <w:t>Nastavení hustoty sběrné sítě je základním předpokladem fungování systémů rozšířené odpovědnosti výrobce, a</w:t>
      </w:r>
      <w:r>
        <w:rPr>
          <w:rFonts w:cs="Arial"/>
        </w:rPr>
        <w:t> </w:t>
      </w:r>
      <w:r w:rsidRPr="002F40B7">
        <w:rPr>
          <w:rFonts w:cs="Arial"/>
        </w:rPr>
        <w:t xml:space="preserve">tedy i procesu nakládání s odpadními </w:t>
      </w:r>
      <w:r w:rsidR="007A304B">
        <w:rPr>
          <w:rFonts w:cs="Arial"/>
        </w:rPr>
        <w:t>EEZ</w:t>
      </w:r>
      <w:r w:rsidRPr="002F40B7">
        <w:rPr>
          <w:rFonts w:cs="Arial"/>
        </w:rPr>
        <w:t xml:space="preserve">. Bez jejího jednoznačného vymezení není možné zajistit správné fungování zpětného odběru (ZO), </w:t>
      </w:r>
      <w:r>
        <w:rPr>
          <w:rFonts w:cs="Arial"/>
        </w:rPr>
        <w:t>zapojit maximální počet občanů do sběru</w:t>
      </w:r>
      <w:r w:rsidRPr="002F40B7">
        <w:rPr>
          <w:rFonts w:cs="Arial"/>
        </w:rPr>
        <w:t xml:space="preserve"> </w:t>
      </w:r>
      <w:r w:rsidR="007A304B">
        <w:rPr>
          <w:rFonts w:cs="Arial"/>
        </w:rPr>
        <w:t>odpadních EEZ</w:t>
      </w:r>
      <w:r w:rsidRPr="002F40B7">
        <w:rPr>
          <w:rFonts w:cs="Arial"/>
        </w:rPr>
        <w:t xml:space="preserve"> a</w:t>
      </w:r>
      <w:r>
        <w:rPr>
          <w:rFonts w:cs="Arial"/>
        </w:rPr>
        <w:t> </w:t>
      </w:r>
      <w:r w:rsidRPr="002F40B7">
        <w:rPr>
          <w:rFonts w:cs="Arial"/>
        </w:rPr>
        <w:t xml:space="preserve">minimalizovat odkládání </w:t>
      </w:r>
      <w:r w:rsidR="007A304B">
        <w:rPr>
          <w:rFonts w:cs="Arial"/>
        </w:rPr>
        <w:t>EEZ</w:t>
      </w:r>
      <w:r w:rsidRPr="002F40B7">
        <w:rPr>
          <w:rFonts w:cs="Arial"/>
        </w:rPr>
        <w:t xml:space="preserve"> mimo místa k to</w:t>
      </w:r>
      <w:r>
        <w:rPr>
          <w:rFonts w:cs="Arial"/>
        </w:rPr>
        <w:t>m</w:t>
      </w:r>
      <w:r w:rsidRPr="002F40B7">
        <w:rPr>
          <w:rFonts w:cs="Arial"/>
        </w:rPr>
        <w:t>u určená.</w:t>
      </w:r>
    </w:p>
    <w:p w:rsidR="00CF75FD" w:rsidRPr="00ED38E9" w:rsidP="00BF16B7" w14:paraId="195D318A" w14:textId="77777777">
      <w:pPr>
        <w:pStyle w:val="Heading3"/>
      </w:pPr>
      <w:r w:rsidRPr="00ED38E9">
        <w:t>Popis existujícího právního stavu v dané oblasti</w:t>
      </w:r>
    </w:p>
    <w:p w:rsidR="00CF75FD" w:rsidRPr="00ED38E9" w:rsidP="00CF75FD" w14:paraId="27423F2B" w14:textId="77777777">
      <w:pPr>
        <w:rPr>
          <w:rFonts w:cs="Arial"/>
        </w:rPr>
      </w:pPr>
      <w:r w:rsidRPr="00ED38E9">
        <w:rPr>
          <w:rFonts w:cs="Arial"/>
        </w:rPr>
        <w:t xml:space="preserve">Zákon o odpadech do nabytí účinnosti zákona č. 184/2014 Sb., kterým se mění zákon o odpadech, nestanovoval požadavky na hustotu sběrné sítě. Tento požadavek obsahovala pouze vyhláška č. 237/2002 Sb., o podrobnostech způsobu provedení </w:t>
      </w:r>
      <w:r>
        <w:rPr>
          <w:rFonts w:cs="Arial"/>
        </w:rPr>
        <w:t>ZO</w:t>
      </w:r>
      <w:r w:rsidRPr="00ED38E9">
        <w:rPr>
          <w:rFonts w:cs="Arial"/>
        </w:rPr>
        <w:t xml:space="preserve"> některých výrobků, kde § 3 v odst. 4 stanovoval, že místa </w:t>
      </w:r>
      <w:r>
        <w:rPr>
          <w:rFonts w:cs="Arial"/>
        </w:rPr>
        <w:t>ZO</w:t>
      </w:r>
      <w:r w:rsidRPr="00ED38E9">
        <w:rPr>
          <w:rFonts w:cs="Arial"/>
        </w:rPr>
        <w:t xml:space="preserve"> výrobků se považují za stejně dostupná jako místa prodeje, pokud je stanoveno minimálně jedno místo </w:t>
      </w:r>
      <w:r>
        <w:rPr>
          <w:rFonts w:cs="Arial"/>
        </w:rPr>
        <w:t>ZO</w:t>
      </w:r>
      <w:r w:rsidRPr="00ED38E9">
        <w:rPr>
          <w:rFonts w:cs="Arial"/>
        </w:rPr>
        <w:t xml:space="preserve"> v každé obci nebo v každém městském obvodě nebo městské části (pokud jsou zřízeny), kde se nachází prodejny těchto výrobků. V požadavcích uvedených v příloze č. 2 vyhlášky č.</w:t>
      </w:r>
      <w:r>
        <w:rPr>
          <w:rFonts w:cs="Arial"/>
        </w:rPr>
        <w:t> </w:t>
      </w:r>
      <w:r w:rsidRPr="00ED38E9">
        <w:rPr>
          <w:rFonts w:cs="Arial"/>
        </w:rPr>
        <w:t xml:space="preserve">352/2005 Sb., o nakládání s elektrozařízeními a elektroodpady pro zápis </w:t>
      </w:r>
      <w:r>
        <w:rPr>
          <w:rFonts w:cs="Arial"/>
        </w:rPr>
        <w:t>KS</w:t>
      </w:r>
      <w:r w:rsidRPr="00ED38E9">
        <w:rPr>
          <w:rFonts w:cs="Arial"/>
        </w:rPr>
        <w:t xml:space="preserve"> do Seznamu výrobců </w:t>
      </w:r>
      <w:r>
        <w:rPr>
          <w:rFonts w:cs="Arial"/>
        </w:rPr>
        <w:t>EEZ</w:t>
      </w:r>
      <w:r w:rsidRPr="00ED38E9">
        <w:rPr>
          <w:rFonts w:cs="Arial"/>
        </w:rPr>
        <w:t xml:space="preserve"> bylo zároveň stanoveno, že subjekty doloží předpokládaný seznam míst </w:t>
      </w:r>
      <w:r>
        <w:rPr>
          <w:rFonts w:cs="Arial"/>
        </w:rPr>
        <w:t>ZO</w:t>
      </w:r>
      <w:r w:rsidRPr="00ED38E9">
        <w:rPr>
          <w:rFonts w:cs="Arial"/>
        </w:rPr>
        <w:t xml:space="preserve">. </w:t>
      </w:r>
    </w:p>
    <w:p w:rsidR="00CF75FD" w:rsidP="00CF75FD" w14:paraId="337E2BC4" w14:textId="77777777">
      <w:pPr>
        <w:rPr>
          <w:rFonts w:cs="Arial"/>
        </w:rPr>
      </w:pPr>
      <w:r w:rsidRPr="00ED38E9">
        <w:rPr>
          <w:rFonts w:cs="Arial"/>
        </w:rPr>
        <w:t xml:space="preserve">Výše uvedený stav do nabytí účinnosti zákona č. 184/2014 Sb., dal vzniknout řadě </w:t>
      </w:r>
      <w:r>
        <w:rPr>
          <w:rFonts w:cs="Arial"/>
        </w:rPr>
        <w:t>KS</w:t>
      </w:r>
      <w:r w:rsidRPr="00ED38E9">
        <w:rPr>
          <w:rFonts w:cs="Arial"/>
        </w:rPr>
        <w:t xml:space="preserve"> bez</w:t>
      </w:r>
      <w:r>
        <w:rPr>
          <w:rFonts w:cs="Arial"/>
        </w:rPr>
        <w:t> </w:t>
      </w:r>
      <w:r w:rsidRPr="00ED38E9">
        <w:rPr>
          <w:rFonts w:cs="Arial"/>
        </w:rPr>
        <w:t xml:space="preserve">fungující sběrné sítě. Sběrná síť těchto subjektů buď vůbec neexistovala, nebo byla tvořena jen místy </w:t>
      </w:r>
      <w:r>
        <w:rPr>
          <w:rFonts w:cs="Arial"/>
        </w:rPr>
        <w:t>ZO</w:t>
      </w:r>
      <w:r w:rsidRPr="00ED38E9">
        <w:rPr>
          <w:rFonts w:cs="Arial"/>
        </w:rPr>
        <w:t xml:space="preserve"> v lokalitách s dobrou dostupností a možností sběru velkého množství odpadních </w:t>
      </w:r>
      <w:r>
        <w:rPr>
          <w:rFonts w:cs="Arial"/>
        </w:rPr>
        <w:t>EEZ</w:t>
      </w:r>
      <w:r w:rsidRPr="00ED38E9">
        <w:rPr>
          <w:rFonts w:cs="Arial"/>
        </w:rPr>
        <w:t xml:space="preserve">. Takováto sběrná síť zároveň vykazovala potřebu nižších nákladů na jejich provoz, čímž jednotlivé </w:t>
      </w:r>
      <w:r>
        <w:rPr>
          <w:rFonts w:cs="Arial"/>
        </w:rPr>
        <w:t>KS</w:t>
      </w:r>
      <w:r w:rsidRPr="00ED38E9">
        <w:rPr>
          <w:rFonts w:cs="Arial"/>
        </w:rPr>
        <w:t xml:space="preserve"> mohl</w:t>
      </w:r>
      <w:r>
        <w:rPr>
          <w:rFonts w:cs="Arial"/>
        </w:rPr>
        <w:t>y</w:t>
      </w:r>
      <w:r w:rsidRPr="00ED38E9">
        <w:rPr>
          <w:rFonts w:cs="Arial"/>
        </w:rPr>
        <w:t xml:space="preserve"> získáv</w:t>
      </w:r>
      <w:r>
        <w:rPr>
          <w:rFonts w:cs="Arial"/>
        </w:rPr>
        <w:t>a</w:t>
      </w:r>
      <w:r w:rsidRPr="00ED38E9">
        <w:rPr>
          <w:rFonts w:cs="Arial"/>
        </w:rPr>
        <w:t>t konkureční výhodu.</w:t>
      </w:r>
    </w:p>
    <w:p w:rsidR="00CF75FD" w:rsidRPr="004F2CF7" w:rsidP="00411BD4" w14:paraId="0A61BB33" w14:textId="77777777">
      <w:pPr>
        <w:spacing w:before="240"/>
        <w:rPr>
          <w:b/>
        </w:rPr>
      </w:pPr>
      <w:r w:rsidRPr="004F2CF7">
        <w:rPr>
          <w:b/>
        </w:rPr>
        <w:t>Identifikace dotčených subjektů</w:t>
      </w:r>
    </w:p>
    <w:p w:rsidR="00CF75FD" w:rsidRPr="00ED38E9" w:rsidP="00CF75FD" w14:paraId="62574175" w14:textId="77777777">
      <w:pPr>
        <w:pStyle w:val="ListParagraph"/>
        <w:numPr>
          <w:ilvl w:val="0"/>
          <w:numId w:val="53"/>
        </w:numPr>
        <w:contextualSpacing w:val="0"/>
        <w:rPr>
          <w:rFonts w:cs="Arial"/>
        </w:rPr>
      </w:pPr>
      <w:r w:rsidRPr="00ED38E9">
        <w:rPr>
          <w:rFonts w:cs="Arial"/>
        </w:rPr>
        <w:t xml:space="preserve">výrobci, </w:t>
      </w:r>
      <w:r>
        <w:rPr>
          <w:rFonts w:cs="Arial"/>
        </w:rPr>
        <w:t>KS</w:t>
      </w:r>
      <w:r w:rsidRPr="00ED38E9">
        <w:rPr>
          <w:rFonts w:cs="Arial"/>
        </w:rPr>
        <w:t>,</w:t>
      </w:r>
    </w:p>
    <w:p w:rsidR="00CF75FD" w:rsidRPr="00ED38E9" w:rsidP="00CF75FD" w14:paraId="48770C9B" w14:textId="77777777">
      <w:pPr>
        <w:pStyle w:val="ListParagraph"/>
        <w:numPr>
          <w:ilvl w:val="0"/>
          <w:numId w:val="53"/>
        </w:numPr>
        <w:contextualSpacing w:val="0"/>
        <w:rPr>
          <w:rFonts w:cs="Arial"/>
        </w:rPr>
      </w:pPr>
      <w:r w:rsidRPr="00ED38E9">
        <w:rPr>
          <w:rFonts w:cs="Arial"/>
        </w:rPr>
        <w:t>obce,</w:t>
      </w:r>
    </w:p>
    <w:p w:rsidR="00CF75FD" w:rsidP="00CF75FD" w14:paraId="4B8F3BEA" w14:textId="77777777">
      <w:pPr>
        <w:pStyle w:val="ListParagraph"/>
        <w:numPr>
          <w:ilvl w:val="0"/>
          <w:numId w:val="53"/>
        </w:numPr>
        <w:ind w:left="714" w:hanging="357"/>
        <w:contextualSpacing w:val="0"/>
        <w:rPr>
          <w:rFonts w:cs="Arial"/>
        </w:rPr>
      </w:pPr>
      <w:r>
        <w:rPr>
          <w:rFonts w:cs="Arial"/>
        </w:rPr>
        <w:t>občané</w:t>
      </w:r>
      <w:r w:rsidRPr="00ED38E9">
        <w:rPr>
          <w:rFonts w:cs="Arial"/>
        </w:rPr>
        <w:t>.</w:t>
      </w:r>
    </w:p>
    <w:p w:rsidR="00CF75FD" w:rsidRPr="00ED38E9" w:rsidP="00BF16B7" w14:paraId="50FA532D" w14:textId="77777777">
      <w:pPr>
        <w:pStyle w:val="Heading3"/>
      </w:pPr>
      <w:r w:rsidRPr="00ED38E9">
        <w:t>Popis cílového stavu</w:t>
      </w:r>
    </w:p>
    <w:p w:rsidR="00CF75FD" w:rsidRPr="00ED38E9" w:rsidP="00CF75FD" w14:paraId="2E55D704" w14:textId="77777777">
      <w:pPr>
        <w:rPr>
          <w:rFonts w:cs="Arial"/>
        </w:rPr>
      </w:pPr>
      <w:r w:rsidRPr="00ED38E9">
        <w:rPr>
          <w:rFonts w:cs="Arial"/>
        </w:rPr>
        <w:t>Nastavení funkční sběrné sítě tak, aby byla pro konečné uživatele co nejvíce dostupná a zákon</w:t>
      </w:r>
      <w:r>
        <w:rPr>
          <w:rFonts w:cs="Arial"/>
        </w:rPr>
        <w:t xml:space="preserve"> nadále</w:t>
      </w:r>
      <w:r w:rsidRPr="00ED38E9">
        <w:rPr>
          <w:rFonts w:cs="Arial"/>
        </w:rPr>
        <w:t xml:space="preserve"> neum</w:t>
      </w:r>
      <w:r>
        <w:rPr>
          <w:rFonts w:cs="Arial"/>
        </w:rPr>
        <w:t>o</w:t>
      </w:r>
      <w:r w:rsidRPr="00ED38E9">
        <w:rPr>
          <w:rFonts w:cs="Arial"/>
        </w:rPr>
        <w:t xml:space="preserve">žňoval poskytování konkurenční výhody těm výrobcům, kteří síť míst </w:t>
      </w:r>
      <w:r>
        <w:rPr>
          <w:rFonts w:cs="Arial"/>
        </w:rPr>
        <w:t>ZO</w:t>
      </w:r>
      <w:r w:rsidRPr="00ED38E9">
        <w:rPr>
          <w:rFonts w:cs="Arial"/>
        </w:rPr>
        <w:t xml:space="preserve"> nevytváří, nebo ji provozují pouze v pro ně finančně výhodných lokalitách.</w:t>
      </w:r>
    </w:p>
    <w:p w:rsidR="00CF75FD" w:rsidRPr="00ED38E9" w:rsidP="00411BD4" w14:paraId="2E267CFC" w14:textId="77777777">
      <w:pPr>
        <w:pStyle w:val="Heading3"/>
        <w:spacing w:before="240"/>
      </w:pPr>
      <w:r w:rsidRPr="00ED38E9">
        <w:t>Zhodnocení rizika</w:t>
      </w:r>
    </w:p>
    <w:p w:rsidR="00CF75FD" w:rsidRPr="00ED38E9" w:rsidP="00CF75FD" w14:paraId="1595A2CC" w14:textId="77777777">
      <w:pPr>
        <w:rPr>
          <w:rFonts w:cs="Arial"/>
        </w:rPr>
      </w:pPr>
      <w:r w:rsidRPr="00ED38E9">
        <w:rPr>
          <w:rFonts w:cs="Arial"/>
        </w:rPr>
        <w:t>Současný stav představuje tato rizika:</w:t>
      </w:r>
    </w:p>
    <w:p w:rsidR="00CF75FD" w:rsidRPr="00ED38E9" w:rsidP="00CF75FD" w14:paraId="28931805" w14:textId="77777777">
      <w:pPr>
        <w:pStyle w:val="ListParagraph"/>
        <w:numPr>
          <w:ilvl w:val="0"/>
          <w:numId w:val="79"/>
        </w:numPr>
        <w:rPr>
          <w:rFonts w:cs="Arial"/>
        </w:rPr>
      </w:pPr>
      <w:r w:rsidRPr="00ED38E9">
        <w:rPr>
          <w:rFonts w:cs="Arial"/>
        </w:rPr>
        <w:t>nesnižování množství OEEZ v netříděném komunálním odpadu,</w:t>
      </w:r>
    </w:p>
    <w:p w:rsidR="00CF75FD" w:rsidRPr="00ED38E9" w:rsidP="00CF75FD" w14:paraId="2E0D3C3A" w14:textId="77777777">
      <w:pPr>
        <w:pStyle w:val="ListParagraph"/>
        <w:numPr>
          <w:ilvl w:val="0"/>
          <w:numId w:val="79"/>
        </w:numPr>
        <w:rPr>
          <w:rFonts w:cs="Arial"/>
        </w:rPr>
      </w:pPr>
      <w:r w:rsidRPr="00ED38E9">
        <w:rPr>
          <w:rFonts w:cs="Arial"/>
        </w:rPr>
        <w:t>riziko navýšení nákladů spojených se zajištěním sběru na straně měst a obcí,</w:t>
      </w:r>
    </w:p>
    <w:p w:rsidR="00CF75FD" w:rsidP="00CF75FD" w14:paraId="4CCC50B1" w14:textId="77777777">
      <w:pPr>
        <w:pStyle w:val="ListParagraph"/>
        <w:numPr>
          <w:ilvl w:val="0"/>
          <w:numId w:val="79"/>
        </w:numPr>
        <w:rPr>
          <w:rFonts w:cs="Arial"/>
        </w:rPr>
      </w:pPr>
      <w:r w:rsidRPr="00ED38E9">
        <w:rPr>
          <w:rFonts w:cs="Arial"/>
        </w:rPr>
        <w:t xml:space="preserve">poskytování konkurenční výhody </w:t>
      </w:r>
      <w:r>
        <w:rPr>
          <w:rFonts w:cs="Arial"/>
        </w:rPr>
        <w:t>KS</w:t>
      </w:r>
      <w:r w:rsidRPr="00ED38E9">
        <w:rPr>
          <w:rFonts w:cs="Arial"/>
        </w:rPr>
        <w:t xml:space="preserve">, kteří sběrnou sítí nedisponují a sbírají </w:t>
      </w:r>
      <w:r>
        <w:rPr>
          <w:rFonts w:cs="Arial"/>
        </w:rPr>
        <w:t>EEZ</w:t>
      </w:r>
      <w:r w:rsidRPr="00ED38E9">
        <w:rPr>
          <w:rFonts w:cs="Arial"/>
        </w:rPr>
        <w:t xml:space="preserve"> pouze v pro ně výhodných lokalitách s nízkými náklady s cílem zvýhodnění svého postavení na trhu.</w:t>
      </w:r>
    </w:p>
    <w:p w:rsidR="00CF75FD" w:rsidP="00CF75FD" w14:paraId="5540650D" w14:textId="77777777">
      <w:pPr>
        <w:rPr>
          <w:rFonts w:cs="Arial"/>
        </w:rPr>
      </w:pPr>
    </w:p>
    <w:p w:rsidR="00CF75FD" w:rsidP="00CF75FD" w14:paraId="227179E4" w14:textId="77777777">
      <w:pPr>
        <w:pStyle w:val="Heading2"/>
      </w:pPr>
      <w:r>
        <w:t>Návrh variant řešení</w:t>
      </w:r>
    </w:p>
    <w:p w:rsidR="00CF75FD" w:rsidRPr="00E4631E" w:rsidP="00CF75FD" w14:paraId="765DF551" w14:textId="77777777">
      <w:pPr>
        <w:pStyle w:val="Heading4"/>
        <w:numPr>
          <w:ilvl w:val="0"/>
          <w:numId w:val="0"/>
        </w:numPr>
        <w:spacing w:before="120" w:after="0"/>
        <w:ind w:left="864" w:hanging="864"/>
        <w:rPr>
          <w:szCs w:val="24"/>
        </w:rPr>
      </w:pPr>
      <w:r w:rsidRPr="00E4631E">
        <w:rPr>
          <w:b/>
          <w:sz w:val="24"/>
          <w:szCs w:val="24"/>
        </w:rPr>
        <w:t>Varianta 0</w:t>
      </w:r>
    </w:p>
    <w:p w:rsidR="00CF75FD" w:rsidRPr="00ED38E9" w:rsidP="00CF75FD" w14:paraId="0D992E4C" w14:textId="77777777">
      <w:pPr>
        <w:rPr>
          <w:rFonts w:cs="Arial"/>
        </w:rPr>
      </w:pPr>
      <w:r w:rsidRPr="00ED38E9">
        <w:rPr>
          <w:rFonts w:cs="Arial"/>
        </w:rPr>
        <w:t xml:space="preserve">Ponechání současného stavu, kdy výrobce </w:t>
      </w:r>
      <w:r>
        <w:rPr>
          <w:rFonts w:cs="Arial"/>
        </w:rPr>
        <w:t>EEZ</w:t>
      </w:r>
      <w:r w:rsidRPr="00ED38E9">
        <w:rPr>
          <w:rFonts w:cs="Arial"/>
        </w:rPr>
        <w:t xml:space="preserve"> určených k použití v domácnosti je povinen zřídit minimálně jedno místo </w:t>
      </w:r>
      <w:r>
        <w:rPr>
          <w:rFonts w:cs="Arial"/>
        </w:rPr>
        <w:t>ZO</w:t>
      </w:r>
      <w:r w:rsidRPr="00ED38E9">
        <w:rPr>
          <w:rFonts w:cs="Arial"/>
        </w:rPr>
        <w:t xml:space="preserve"> v každé obci, městském obvodě nebo městské části s počtem více než 2 000 obyvatel, kde se nachází prodejna </w:t>
      </w:r>
      <w:r>
        <w:rPr>
          <w:rFonts w:cs="Arial"/>
        </w:rPr>
        <w:t>EEZ</w:t>
      </w:r>
      <w:r w:rsidRPr="00ED38E9">
        <w:rPr>
          <w:rFonts w:cs="Arial"/>
        </w:rPr>
        <w:t xml:space="preserve"> nebo v nichž jsou </w:t>
      </w:r>
      <w:r>
        <w:rPr>
          <w:rFonts w:cs="Arial"/>
        </w:rPr>
        <w:t>EEZ</w:t>
      </w:r>
      <w:r w:rsidRPr="00ED38E9">
        <w:rPr>
          <w:rFonts w:cs="Arial"/>
        </w:rPr>
        <w:t>, která uvádí na</w:t>
      </w:r>
      <w:r>
        <w:rPr>
          <w:rFonts w:cs="Arial"/>
        </w:rPr>
        <w:t> </w:t>
      </w:r>
      <w:r w:rsidRPr="00ED38E9">
        <w:rPr>
          <w:rFonts w:cs="Arial"/>
        </w:rPr>
        <w:t>trh, dodávána konečnému uživateli při prodeji prostřednictvím prostředků komunikace na</w:t>
      </w:r>
      <w:r>
        <w:rPr>
          <w:rFonts w:cs="Arial"/>
        </w:rPr>
        <w:t> </w:t>
      </w:r>
      <w:r w:rsidRPr="00ED38E9">
        <w:rPr>
          <w:rFonts w:cs="Arial"/>
        </w:rPr>
        <w:t>dálku</w:t>
      </w:r>
      <w:r>
        <w:rPr>
          <w:rFonts w:cs="Arial"/>
        </w:rPr>
        <w:t>,</w:t>
      </w:r>
      <w:r w:rsidRPr="00ED38E9">
        <w:rPr>
          <w:rFonts w:cs="Arial"/>
        </w:rPr>
        <w:t xml:space="preserve"> a dále uzavřít smlouvu o využití systému sběru a třídění komunálních odpadů stanovených obcí s každou obcí, která o její uzavření projeví zájem</w:t>
      </w:r>
      <w:r>
        <w:rPr>
          <w:rFonts w:cs="Arial"/>
        </w:rPr>
        <w:t>,</w:t>
      </w:r>
      <w:r w:rsidRPr="00ED38E9">
        <w:rPr>
          <w:rFonts w:cs="Arial"/>
        </w:rPr>
        <w:t xml:space="preserve"> a</w:t>
      </w:r>
      <w:r>
        <w:rPr>
          <w:rFonts w:cs="Arial"/>
        </w:rPr>
        <w:t> </w:t>
      </w:r>
      <w:r w:rsidRPr="00ED38E9">
        <w:rPr>
          <w:rFonts w:cs="Arial"/>
        </w:rPr>
        <w:t>ve</w:t>
      </w:r>
      <w:r>
        <w:rPr>
          <w:rFonts w:cs="Arial"/>
        </w:rPr>
        <w:t> </w:t>
      </w:r>
      <w:r w:rsidRPr="00ED38E9">
        <w:rPr>
          <w:rFonts w:cs="Arial"/>
        </w:rPr>
        <w:t xml:space="preserve">které jsou </w:t>
      </w:r>
      <w:r>
        <w:rPr>
          <w:rFonts w:cs="Arial"/>
        </w:rPr>
        <w:t>EEZ</w:t>
      </w:r>
      <w:r w:rsidRPr="00ED38E9">
        <w:rPr>
          <w:rFonts w:cs="Arial"/>
        </w:rPr>
        <w:t xml:space="preserve"> určená k použití v domácnostech, která uvádí na trh, prodávána, za</w:t>
      </w:r>
      <w:r>
        <w:rPr>
          <w:rFonts w:cs="Arial"/>
        </w:rPr>
        <w:t> </w:t>
      </w:r>
      <w:r w:rsidRPr="00ED38E9">
        <w:rPr>
          <w:rFonts w:cs="Arial"/>
        </w:rPr>
        <w:t>podmínek obdobných jako s</w:t>
      </w:r>
      <w:r>
        <w:rPr>
          <w:rFonts w:cs="Arial"/>
        </w:rPr>
        <w:t> </w:t>
      </w:r>
      <w:r w:rsidRPr="00ED38E9">
        <w:rPr>
          <w:rFonts w:cs="Arial"/>
        </w:rPr>
        <w:t>ostatními obcemi.</w:t>
      </w:r>
    </w:p>
    <w:p w:rsidR="00CF75FD" w:rsidRPr="00E4631E" w:rsidP="00CF75FD" w14:paraId="4891D57A" w14:textId="77777777">
      <w:pPr>
        <w:pStyle w:val="Heading4"/>
        <w:numPr>
          <w:ilvl w:val="0"/>
          <w:numId w:val="0"/>
        </w:numPr>
        <w:spacing w:before="360" w:after="0"/>
        <w:ind w:left="862" w:hanging="862"/>
        <w:rPr>
          <w:szCs w:val="24"/>
        </w:rPr>
      </w:pPr>
      <w:r w:rsidRPr="00E4631E">
        <w:rPr>
          <w:b/>
          <w:sz w:val="24"/>
          <w:szCs w:val="24"/>
        </w:rPr>
        <w:t>Varianta 1</w:t>
      </w:r>
    </w:p>
    <w:p w:rsidR="00CF75FD" w:rsidRPr="00F038D7" w:rsidP="00CF75FD" w14:paraId="1DB7882F" w14:textId="77777777">
      <w:pPr>
        <w:rPr>
          <w:rFonts w:cs="Arial"/>
        </w:rPr>
      </w:pPr>
      <w:r w:rsidRPr="00E4631E">
        <w:rPr>
          <w:rFonts w:cs="Arial"/>
        </w:rPr>
        <w:t xml:space="preserve">Zachování současného stavu s tím, že výrobce EEZ určených k použití v domácnosti je povinen zřídit minimálně jedno místo </w:t>
      </w:r>
      <w:r>
        <w:rPr>
          <w:rFonts w:cs="Arial"/>
        </w:rPr>
        <w:t>ZO</w:t>
      </w:r>
      <w:r w:rsidRPr="00E4631E">
        <w:rPr>
          <w:rFonts w:cs="Arial"/>
        </w:rPr>
        <w:t xml:space="preserve"> v každé obci, městském obvodě nebo městské části s počtem více než 2 000 obyvatel</w:t>
      </w:r>
      <w:r>
        <w:rPr>
          <w:rFonts w:cs="Arial"/>
        </w:rPr>
        <w:t>. J</w:t>
      </w:r>
      <w:r w:rsidRPr="00F038D7">
        <w:rPr>
          <w:rFonts w:cs="Arial"/>
        </w:rPr>
        <w:t xml:space="preserve">estliže tam již je zřízeno místo </w:t>
      </w:r>
      <w:r>
        <w:rPr>
          <w:rFonts w:cs="Arial"/>
        </w:rPr>
        <w:t>ZO</w:t>
      </w:r>
      <w:r w:rsidRPr="00F038D7">
        <w:rPr>
          <w:rFonts w:cs="Arial"/>
        </w:rPr>
        <w:t xml:space="preserve"> pro</w:t>
      </w:r>
      <w:r>
        <w:rPr>
          <w:rFonts w:cs="Arial"/>
        </w:rPr>
        <w:t> </w:t>
      </w:r>
      <w:r w:rsidRPr="00F038D7">
        <w:rPr>
          <w:rFonts w:cs="Arial"/>
        </w:rPr>
        <w:t xml:space="preserve">danou </w:t>
      </w:r>
      <w:r>
        <w:rPr>
          <w:rFonts w:cs="Arial"/>
        </w:rPr>
        <w:t>skupinu</w:t>
      </w:r>
      <w:r w:rsidRPr="00F038D7">
        <w:rPr>
          <w:rFonts w:cs="Arial"/>
        </w:rPr>
        <w:t xml:space="preserve"> EEZ jiným výrobcem, může výrobce zřídit místo </w:t>
      </w:r>
      <w:r>
        <w:rPr>
          <w:rFonts w:cs="Arial"/>
        </w:rPr>
        <w:t>ZO</w:t>
      </w:r>
      <w:r w:rsidRPr="00F038D7">
        <w:rPr>
          <w:rFonts w:cs="Arial"/>
        </w:rPr>
        <w:t xml:space="preserve"> v jiných obcích, městských obvodech nebo městských částech s počtem menším než 2000 obyvatel, za</w:t>
      </w:r>
      <w:r>
        <w:rPr>
          <w:rFonts w:cs="Arial"/>
        </w:rPr>
        <w:t> </w:t>
      </w:r>
      <w:r w:rsidRPr="00F038D7">
        <w:rPr>
          <w:rFonts w:cs="Arial"/>
        </w:rPr>
        <w:t xml:space="preserve">podmínky, že místo </w:t>
      </w:r>
      <w:r>
        <w:rPr>
          <w:rFonts w:cs="Arial"/>
        </w:rPr>
        <w:t>ZO</w:t>
      </w:r>
      <w:r w:rsidRPr="00F038D7">
        <w:rPr>
          <w:rFonts w:cs="Arial"/>
        </w:rPr>
        <w:t xml:space="preserve"> je zřízeno v součtu alespoň pro 2000 obyvatel.</w:t>
      </w:r>
    </w:p>
    <w:p w:rsidR="00CF75FD" w:rsidRPr="00E4631E" w:rsidP="00CF75FD" w14:paraId="24F024E7" w14:textId="77777777">
      <w:pPr>
        <w:rPr>
          <w:rFonts w:cs="Arial"/>
        </w:rPr>
      </w:pPr>
      <w:r>
        <w:rPr>
          <w:rFonts w:cs="Arial"/>
        </w:rPr>
        <w:t>D</w:t>
      </w:r>
      <w:r w:rsidRPr="00E4631E">
        <w:rPr>
          <w:rFonts w:cs="Arial"/>
        </w:rPr>
        <w:t>ále</w:t>
      </w:r>
      <w:r>
        <w:rPr>
          <w:rFonts w:cs="Arial"/>
        </w:rPr>
        <w:t xml:space="preserve"> výrobce EEZ zřídí místo ZO</w:t>
      </w:r>
      <w:r w:rsidRPr="00E4631E">
        <w:rPr>
          <w:rFonts w:cs="Arial"/>
        </w:rPr>
        <w:t xml:space="preserve"> v každé obci, která o </w:t>
      </w:r>
      <w:r>
        <w:rPr>
          <w:rFonts w:cs="Arial"/>
        </w:rPr>
        <w:t>to</w:t>
      </w:r>
      <w:r w:rsidRPr="00E4631E">
        <w:rPr>
          <w:rFonts w:cs="Arial"/>
        </w:rPr>
        <w:t xml:space="preserve"> projeví zájem, a to za podmínek ob</w:t>
      </w:r>
      <w:r>
        <w:rPr>
          <w:rFonts w:cs="Arial"/>
        </w:rPr>
        <w:t xml:space="preserve">dobných jako pro ostatní obce. Toto rovněž platí pro </w:t>
      </w:r>
      <w:r w:rsidRPr="00E4631E">
        <w:rPr>
          <w:rFonts w:cs="Arial"/>
        </w:rPr>
        <w:t xml:space="preserve">vytváření míst </w:t>
      </w:r>
      <w:r>
        <w:rPr>
          <w:rFonts w:cs="Arial"/>
        </w:rPr>
        <w:t>ZO</w:t>
      </w:r>
      <w:r w:rsidRPr="00E4631E">
        <w:rPr>
          <w:rFonts w:cs="Arial"/>
        </w:rPr>
        <w:t xml:space="preserve"> </w:t>
      </w:r>
      <w:r>
        <w:rPr>
          <w:rFonts w:cs="Arial"/>
        </w:rPr>
        <w:t xml:space="preserve">ve vazbě </w:t>
      </w:r>
      <w:r w:rsidRPr="00E4631E">
        <w:rPr>
          <w:rFonts w:cs="Arial"/>
        </w:rPr>
        <w:t xml:space="preserve">na místa prodeje </w:t>
      </w:r>
      <w:r>
        <w:rPr>
          <w:rFonts w:cs="Arial"/>
        </w:rPr>
        <w:t>(</w:t>
      </w:r>
      <w:r w:rsidRPr="00F038D7">
        <w:rPr>
          <w:rFonts w:cs="Arial"/>
        </w:rPr>
        <w:t xml:space="preserve">pokud poslední prodejce projeví o zřízení místa </w:t>
      </w:r>
      <w:r>
        <w:rPr>
          <w:rFonts w:cs="Arial"/>
        </w:rPr>
        <w:t>ZO</w:t>
      </w:r>
      <w:r w:rsidRPr="00F038D7">
        <w:rPr>
          <w:rFonts w:cs="Arial"/>
        </w:rPr>
        <w:t xml:space="preserve"> zájem</w:t>
      </w:r>
      <w:r>
        <w:rPr>
          <w:rFonts w:cs="Arial"/>
        </w:rPr>
        <w:t>)</w:t>
      </w:r>
      <w:r w:rsidRPr="00E4631E">
        <w:rPr>
          <w:rFonts w:cs="Arial"/>
        </w:rPr>
        <w:t>.</w:t>
      </w:r>
    </w:p>
    <w:p w:rsidR="00CF75FD" w:rsidRPr="00E4631E" w:rsidP="00CF75FD" w14:paraId="2BC483BE" w14:textId="77777777">
      <w:pPr>
        <w:pStyle w:val="Heading4"/>
        <w:numPr>
          <w:ilvl w:val="0"/>
          <w:numId w:val="0"/>
        </w:numPr>
        <w:spacing w:before="360" w:after="0"/>
        <w:ind w:left="862" w:hanging="862"/>
        <w:rPr>
          <w:szCs w:val="24"/>
        </w:rPr>
      </w:pPr>
      <w:r w:rsidRPr="00E4631E">
        <w:rPr>
          <w:b/>
          <w:sz w:val="24"/>
          <w:szCs w:val="24"/>
        </w:rPr>
        <w:t>Varianta 2</w:t>
      </w:r>
    </w:p>
    <w:p w:rsidR="00CF75FD" w:rsidP="00CF75FD" w14:paraId="2CFED0FD" w14:textId="77777777">
      <w:pPr>
        <w:rPr>
          <w:rFonts w:cs="Arial"/>
        </w:rPr>
      </w:pPr>
      <w:r>
        <w:rPr>
          <w:rFonts w:cs="Arial"/>
        </w:rPr>
        <w:t>V</w:t>
      </w:r>
      <w:r w:rsidRPr="00E4631E">
        <w:rPr>
          <w:rFonts w:cs="Arial"/>
        </w:rPr>
        <w:t xml:space="preserve">ýrobce EEZ určených k použití v domácnosti je povinen zřídit </w:t>
      </w:r>
      <w:r w:rsidRPr="00C06411">
        <w:rPr>
          <w:rFonts w:cs="Arial"/>
        </w:rPr>
        <w:t xml:space="preserve">na vlastní náklady </w:t>
      </w:r>
      <w:r w:rsidRPr="00E4631E">
        <w:rPr>
          <w:rFonts w:cs="Arial"/>
        </w:rPr>
        <w:t xml:space="preserve">minimálně jedno </w:t>
      </w:r>
      <w:r>
        <w:rPr>
          <w:rFonts w:cs="Arial"/>
        </w:rPr>
        <w:t xml:space="preserve">veřejné </w:t>
      </w:r>
      <w:r w:rsidRPr="00E4631E">
        <w:rPr>
          <w:rFonts w:cs="Arial"/>
        </w:rPr>
        <w:t xml:space="preserve">místo </w:t>
      </w:r>
      <w:r>
        <w:rPr>
          <w:rFonts w:cs="Arial"/>
        </w:rPr>
        <w:t xml:space="preserve">ZO </w:t>
      </w:r>
      <w:r w:rsidRPr="00C06411">
        <w:rPr>
          <w:rFonts w:cs="Arial"/>
        </w:rPr>
        <w:t xml:space="preserve">v každém vyšším územně samosprávném celku na 10 000 obyvatel tohoto vyššího územně samosprávného celku pro každou skupinu </w:t>
      </w:r>
      <w:r>
        <w:rPr>
          <w:rFonts w:cs="Arial"/>
        </w:rPr>
        <w:t>EEZ</w:t>
      </w:r>
      <w:r w:rsidRPr="00C06411">
        <w:rPr>
          <w:rFonts w:cs="Arial"/>
        </w:rPr>
        <w:t xml:space="preserve">, kterou uvádí na trh, přičemž místa </w:t>
      </w:r>
      <w:r>
        <w:rPr>
          <w:rFonts w:cs="Arial"/>
        </w:rPr>
        <w:t>ZO</w:t>
      </w:r>
      <w:r w:rsidRPr="00C06411">
        <w:rPr>
          <w:rFonts w:cs="Arial"/>
        </w:rPr>
        <w:t xml:space="preserve"> musí být v rámci každého vyššího územně samosprávn</w:t>
      </w:r>
      <w:r>
        <w:rPr>
          <w:rFonts w:cs="Arial"/>
        </w:rPr>
        <w:t>ého celku rovnoměrně rozmístěna.</w:t>
      </w:r>
    </w:p>
    <w:p w:rsidR="00CF75FD" w:rsidRPr="00ED38E9" w:rsidP="00CF75FD" w14:paraId="46A43FE5" w14:textId="77777777">
      <w:pPr>
        <w:rPr>
          <w:rFonts w:cs="Arial"/>
        </w:rPr>
      </w:pPr>
      <w:r w:rsidRPr="00E4631E">
        <w:rPr>
          <w:rFonts w:cs="Arial"/>
        </w:rPr>
        <w:t xml:space="preserve"> </w:t>
      </w:r>
    </w:p>
    <w:p w:rsidR="00CF75FD" w:rsidP="00CF75FD" w14:paraId="263400B2" w14:textId="77777777">
      <w:pPr>
        <w:pStyle w:val="Heading2"/>
      </w:pPr>
      <w:r>
        <w:t>Vyhodnocení</w:t>
      </w:r>
      <w:r w:rsidRPr="00E4631E">
        <w:t xml:space="preserve"> </w:t>
      </w:r>
      <w:r>
        <w:t>nákladů a přínosů</w:t>
      </w:r>
    </w:p>
    <w:p w:rsidR="00CF75FD" w:rsidP="00CF75FD" w14:paraId="340B7199" w14:textId="77777777">
      <w:pPr>
        <w:pStyle w:val="Heading4"/>
        <w:numPr>
          <w:ilvl w:val="0"/>
          <w:numId w:val="0"/>
        </w:numPr>
        <w:spacing w:before="120" w:after="0"/>
        <w:ind w:left="864" w:hanging="864"/>
        <w:rPr>
          <w:b/>
          <w:i/>
          <w:sz w:val="24"/>
          <w:szCs w:val="24"/>
        </w:rPr>
      </w:pPr>
      <w:r>
        <w:rPr>
          <w:b/>
          <w:i/>
          <w:sz w:val="24"/>
          <w:szCs w:val="24"/>
        </w:rPr>
        <w:t>Identifikace nákladů a přínosů</w:t>
      </w:r>
    </w:p>
    <w:p w:rsidR="00CF75FD" w:rsidRPr="00E4631E" w:rsidP="00CF75FD" w14:paraId="3611D89E" w14:textId="77777777">
      <w:pPr>
        <w:pStyle w:val="ListParagraph"/>
        <w:keepNext/>
        <w:numPr>
          <w:ilvl w:val="0"/>
          <w:numId w:val="52"/>
        </w:numPr>
        <w:spacing w:before="240" w:after="120"/>
        <w:contextualSpacing w:val="0"/>
        <w:rPr>
          <w:rFonts w:cs="Arial"/>
          <w:b/>
        </w:rPr>
      </w:pPr>
      <w:r w:rsidRPr="00E4631E">
        <w:rPr>
          <w:rFonts w:cs="Arial"/>
          <w:b/>
        </w:rPr>
        <w:t>Varianta 0</w:t>
      </w:r>
    </w:p>
    <w:p w:rsidR="00CF75FD" w:rsidRPr="00CF75FD" w:rsidP="00770B26" w14:paraId="65AFFDA9" w14:textId="77777777">
      <w:pPr>
        <w:pStyle w:val="Normlntun"/>
        <w:spacing w:before="240" w:line="276" w:lineRule="auto"/>
        <w:rPr>
          <w:rFonts w:cs="Arial"/>
          <w:b w:val="0"/>
          <w:bCs w:val="0"/>
          <w:noProof/>
          <w:szCs w:val="24"/>
          <w:lang w:eastAsia="en-US" w:bidi="en-US"/>
        </w:rPr>
      </w:pPr>
      <w:r w:rsidRPr="00CF75FD">
        <w:rPr>
          <w:rFonts w:cs="Arial"/>
          <w:b w:val="0"/>
          <w:bCs w:val="0"/>
          <w:noProof/>
          <w:szCs w:val="24"/>
          <w:lang w:eastAsia="en-US" w:bidi="en-US"/>
        </w:rPr>
        <w:t>V současnosti mají výrobci EEZ, potažmo KS povinnost zřídit místo ZO v každé obci, městském obvodě nebo městské části s počtem více než 2 000 obyvatel, kde se nachází prodejna EEZ nebo v nichž jsou EEZ, která uvádí na trh, dodávána konečnému uživateli při prodeji prostřednictvím prostředků komunikace na dálku.</w:t>
      </w:r>
    </w:p>
    <w:p w:rsidR="00CF75FD" w:rsidRPr="00ED38E9" w:rsidP="004F2CF7" w14:paraId="2BA33B8D" w14:textId="77777777">
      <w:pPr>
        <w:pStyle w:val="Normlntun"/>
        <w:spacing w:before="240"/>
        <w:rPr>
          <w:rFonts w:cs="Arial"/>
        </w:rPr>
      </w:pPr>
      <w:r w:rsidRPr="00ED38E9">
        <w:rPr>
          <w:rFonts w:cs="Arial"/>
        </w:rPr>
        <w:t>Dopady na státní rozpočet a ostatní veřejné rozpočty</w:t>
      </w:r>
    </w:p>
    <w:p w:rsidR="00CF75FD" w:rsidP="00CF75FD" w14:paraId="30304D11" w14:textId="77777777">
      <w:pPr>
        <w:rPr>
          <w:rFonts w:cs="Arial"/>
        </w:rPr>
      </w:pPr>
      <w:r w:rsidRPr="00ED38E9">
        <w:rPr>
          <w:rFonts w:cs="Arial"/>
        </w:rPr>
        <w:t>Současný stav nepředstavuje dopady na státní rozpočet a ostatní veřejné rozpočty.</w:t>
      </w:r>
      <w:r>
        <w:rPr>
          <w:rFonts w:cs="Arial"/>
        </w:rPr>
        <w:t xml:space="preserve"> </w:t>
      </w:r>
      <w:r w:rsidRPr="00CF75FD">
        <w:rPr>
          <w:rFonts w:cs="Arial"/>
        </w:rPr>
        <w:t xml:space="preserve">Problémem současného stavu je však nepřehlednost a špatná kontrola </w:t>
      </w:r>
      <w:r>
        <w:rPr>
          <w:rFonts w:cs="Arial"/>
        </w:rPr>
        <w:t xml:space="preserve">ze strany kontrolních orgánů ohledně </w:t>
      </w:r>
      <w:r w:rsidRPr="00CF75FD">
        <w:rPr>
          <w:rFonts w:cs="Arial"/>
        </w:rPr>
        <w:t xml:space="preserve">splnění podmínek nastavené hustoty sítě míst ZO </w:t>
      </w:r>
      <w:r>
        <w:rPr>
          <w:rFonts w:cs="Arial"/>
        </w:rPr>
        <w:t xml:space="preserve">výrobci, potažmo </w:t>
      </w:r>
      <w:r w:rsidRPr="00CF75FD">
        <w:rPr>
          <w:rFonts w:cs="Arial"/>
        </w:rPr>
        <w:t>kolektivními systémy.</w:t>
      </w:r>
      <w:r>
        <w:rPr>
          <w:rFonts w:cs="Arial"/>
        </w:rPr>
        <w:t xml:space="preserve"> Zákon stanovuje povinnost výrobci zřídit místo ZO pouze tam, kde se nachází prodejna EEZ, nebo tam kde jsou EEZ dodávána konečným uživatelům prostřednictvím prostředků komunikace na dálku. Stávající ustanovení bylo mnohdy zneužíváno ve prostěch těch KS, které nechtěly zřizovat místa ZO s tím, že se v obci nenachází prodejna EEZ, nebo že EEZ nejsou konečným uživatelům dodávána, kdy tato tvrzení byla mnohdy vyvrácena ze strany kontrolních orgánů.</w:t>
      </w:r>
    </w:p>
    <w:p w:rsidR="00CF75FD" w:rsidRPr="00ED38E9" w:rsidP="004F2CF7" w14:paraId="48094B89" w14:textId="77777777">
      <w:pPr>
        <w:pStyle w:val="Normlntun"/>
        <w:spacing w:before="240"/>
        <w:rPr>
          <w:rFonts w:cs="Arial"/>
        </w:rPr>
      </w:pPr>
      <w:r w:rsidRPr="00ED38E9">
        <w:rPr>
          <w:rFonts w:cs="Arial"/>
        </w:rPr>
        <w:t>Dopady na podnikatelské subjekty</w:t>
      </w:r>
    </w:p>
    <w:p w:rsidR="00CF75FD" w:rsidRPr="00F95507" w:rsidP="00CF75FD" w14:paraId="27A38FC0" w14:textId="77777777">
      <w:pPr>
        <w:rPr>
          <w:rFonts w:cs="Arial"/>
        </w:rPr>
      </w:pPr>
      <w:r w:rsidRPr="00F95507">
        <w:rPr>
          <w:rFonts w:cs="Arial"/>
        </w:rPr>
        <w:t xml:space="preserve">Současný požadavek na zřízení místa ZO v obci nad 2000 obyvatel odpovídá zhruba 700 místům ZO a zřízení místa ZO v městských částech či obvodech nad 2000 obyvatel </w:t>
      </w:r>
      <w:r>
        <w:rPr>
          <w:rFonts w:cs="Arial"/>
        </w:rPr>
        <w:t>znamená</w:t>
      </w:r>
      <w:r w:rsidRPr="00F95507">
        <w:rPr>
          <w:rFonts w:cs="Arial"/>
        </w:rPr>
        <w:t xml:space="preserve"> dalších cca 100 míst ZO. Celkem </w:t>
      </w:r>
      <w:r>
        <w:rPr>
          <w:rFonts w:cs="Arial"/>
        </w:rPr>
        <w:t xml:space="preserve">by tedy sběrná síť měla obsahovat </w:t>
      </w:r>
      <w:r w:rsidRPr="00F95507">
        <w:rPr>
          <w:rFonts w:cs="Arial"/>
        </w:rPr>
        <w:t>minimálně 800 míst ZO jako minimální hustota sběrné sítě dle současného zákona.</w:t>
      </w:r>
      <w:r>
        <w:rPr>
          <w:rFonts w:cs="Arial"/>
        </w:rPr>
        <w:t xml:space="preserve"> Skutečná hustota sběrné sítě jednotlivých kolektivních systémů je však mnohonásobně vyšší (viz následující tabulka).</w:t>
      </w:r>
    </w:p>
    <w:p w:rsidR="00BF16B7" w:rsidP="00CF75FD" w14:paraId="206F4E54" w14:textId="77777777">
      <w:pPr>
        <w:spacing w:before="240" w:after="120"/>
        <w:rPr>
          <w:rFonts w:cs="Arial"/>
          <w:b/>
          <w:sz w:val="20"/>
          <w:szCs w:val="20"/>
        </w:rPr>
      </w:pPr>
    </w:p>
    <w:p w:rsidR="00CF75FD" w:rsidRPr="00B75FC6" w:rsidP="00BF16B7" w14:paraId="48CE8F71" w14:textId="1813F59D">
      <w:pPr>
        <w:keepNext/>
        <w:spacing w:before="240" w:after="120"/>
        <w:rPr>
          <w:rFonts w:cs="Arial"/>
          <w:b/>
          <w:sz w:val="20"/>
          <w:szCs w:val="20"/>
        </w:rPr>
      </w:pPr>
      <w:r>
        <w:rPr>
          <w:rFonts w:cs="Arial"/>
          <w:b/>
          <w:sz w:val="20"/>
          <w:szCs w:val="20"/>
        </w:rPr>
        <w:t>Tabulka 45</w:t>
      </w:r>
      <w:r w:rsidRPr="00994CCC">
        <w:rPr>
          <w:rFonts w:cs="Arial"/>
          <w:b/>
          <w:sz w:val="20"/>
          <w:szCs w:val="20"/>
        </w:rPr>
        <w:t>:  Počet</w:t>
      </w:r>
      <w:r w:rsidRPr="00B75FC6">
        <w:rPr>
          <w:rFonts w:cs="Arial"/>
          <w:b/>
          <w:sz w:val="20"/>
          <w:szCs w:val="20"/>
        </w:rPr>
        <w:t xml:space="preserve"> sběrných míst EEZ</w:t>
      </w:r>
      <w:r>
        <w:rPr>
          <w:rFonts w:cs="Arial"/>
          <w:b/>
          <w:sz w:val="20"/>
          <w:szCs w:val="20"/>
        </w:rPr>
        <w:t xml:space="preserve"> u jednotlivých kolektivních systémů</w:t>
      </w:r>
    </w:p>
    <w:tbl>
      <w:tblPr>
        <w:tblStyle w:val="TableGrid"/>
        <w:tblW w:w="0" w:type="auto"/>
        <w:tblLook w:val="04A0"/>
      </w:tblPr>
      <w:tblGrid>
        <w:gridCol w:w="3328"/>
        <w:gridCol w:w="3810"/>
      </w:tblGrid>
      <w:tr w14:paraId="00ABE80A" w14:textId="77777777" w:rsidTr="004F2CF7">
        <w:tblPrEx>
          <w:tblW w:w="0" w:type="auto"/>
          <w:tblLook w:val="04A0"/>
        </w:tblPrEx>
        <w:trPr>
          <w:trHeight w:val="443"/>
        </w:trPr>
        <w:tc>
          <w:tcPr>
            <w:tcW w:w="3328" w:type="dxa"/>
          </w:tcPr>
          <w:p w:rsidR="00CF75FD" w:rsidRPr="004F2CF7" w:rsidP="00CF75FD" w14:paraId="3761C1F6" w14:textId="77777777">
            <w:pPr>
              <w:jc w:val="center"/>
              <w:rPr>
                <w:rFonts w:cs="Arial"/>
                <w:b/>
                <w:sz w:val="20"/>
                <w:szCs w:val="20"/>
              </w:rPr>
            </w:pPr>
            <w:r w:rsidRPr="004F2CF7">
              <w:rPr>
                <w:rFonts w:cs="Arial"/>
                <w:b/>
                <w:sz w:val="20"/>
                <w:szCs w:val="20"/>
              </w:rPr>
              <w:t>Kolektivní systém</w:t>
            </w:r>
          </w:p>
        </w:tc>
        <w:tc>
          <w:tcPr>
            <w:tcW w:w="3810" w:type="dxa"/>
          </w:tcPr>
          <w:p w:rsidR="00CF75FD" w:rsidRPr="004F2CF7" w:rsidP="00CF75FD" w14:paraId="3C5AC106" w14:textId="77777777">
            <w:pPr>
              <w:jc w:val="center"/>
              <w:rPr>
                <w:rFonts w:cs="Arial"/>
                <w:b/>
                <w:sz w:val="20"/>
                <w:szCs w:val="20"/>
              </w:rPr>
            </w:pPr>
            <w:r w:rsidRPr="004F2CF7">
              <w:rPr>
                <w:rFonts w:cs="Arial"/>
                <w:b/>
                <w:sz w:val="20"/>
                <w:szCs w:val="20"/>
              </w:rPr>
              <w:t>Počet sběrných míst EEZ*</w:t>
            </w:r>
          </w:p>
        </w:tc>
      </w:tr>
      <w:tr w14:paraId="6A258DF7" w14:textId="77777777" w:rsidTr="004F2CF7">
        <w:tblPrEx>
          <w:tblW w:w="0" w:type="auto"/>
          <w:tblLook w:val="04A0"/>
        </w:tblPrEx>
        <w:trPr>
          <w:trHeight w:val="458"/>
        </w:trPr>
        <w:tc>
          <w:tcPr>
            <w:tcW w:w="3328" w:type="dxa"/>
          </w:tcPr>
          <w:p w:rsidR="00CF75FD" w:rsidRPr="004F2CF7" w:rsidP="00CF75FD" w14:paraId="5DF1677A" w14:textId="77777777">
            <w:pPr>
              <w:rPr>
                <w:rFonts w:cs="Arial"/>
                <w:sz w:val="20"/>
                <w:szCs w:val="20"/>
              </w:rPr>
            </w:pPr>
            <w:r w:rsidRPr="004F2CF7">
              <w:rPr>
                <w:rFonts w:cs="Arial"/>
                <w:sz w:val="20"/>
                <w:szCs w:val="20"/>
              </w:rPr>
              <w:t>Asekol</w:t>
            </w:r>
          </w:p>
        </w:tc>
        <w:tc>
          <w:tcPr>
            <w:tcW w:w="3810" w:type="dxa"/>
          </w:tcPr>
          <w:p w:rsidR="00CF75FD" w:rsidRPr="004F2CF7" w:rsidP="00CF75FD" w14:paraId="111B94BB" w14:textId="77777777">
            <w:pPr>
              <w:jc w:val="center"/>
              <w:rPr>
                <w:rFonts w:cs="Arial"/>
                <w:sz w:val="20"/>
                <w:szCs w:val="20"/>
              </w:rPr>
            </w:pPr>
            <w:r w:rsidRPr="004F2CF7">
              <w:rPr>
                <w:rFonts w:cs="Arial"/>
                <w:sz w:val="20"/>
                <w:szCs w:val="20"/>
              </w:rPr>
              <w:t>17 200</w:t>
            </w:r>
          </w:p>
        </w:tc>
      </w:tr>
      <w:tr w14:paraId="554EF376" w14:textId="77777777" w:rsidTr="004F2CF7">
        <w:tblPrEx>
          <w:tblW w:w="0" w:type="auto"/>
          <w:tblLook w:val="04A0"/>
        </w:tblPrEx>
        <w:trPr>
          <w:trHeight w:val="443"/>
        </w:trPr>
        <w:tc>
          <w:tcPr>
            <w:tcW w:w="3328" w:type="dxa"/>
          </w:tcPr>
          <w:p w:rsidR="00CF75FD" w:rsidRPr="004F2CF7" w:rsidP="00CF75FD" w14:paraId="3DC43A3C" w14:textId="77777777">
            <w:pPr>
              <w:rPr>
                <w:rFonts w:cs="Arial"/>
                <w:sz w:val="20"/>
                <w:szCs w:val="20"/>
              </w:rPr>
            </w:pPr>
            <w:r w:rsidRPr="004F2CF7">
              <w:rPr>
                <w:rFonts w:cs="Arial"/>
                <w:sz w:val="20"/>
                <w:szCs w:val="20"/>
              </w:rPr>
              <w:t>Elektrowin</w:t>
            </w:r>
          </w:p>
        </w:tc>
        <w:tc>
          <w:tcPr>
            <w:tcW w:w="3810" w:type="dxa"/>
          </w:tcPr>
          <w:p w:rsidR="00CF75FD" w:rsidRPr="004F2CF7" w:rsidP="00CF75FD" w14:paraId="2BFAF327" w14:textId="77777777">
            <w:pPr>
              <w:jc w:val="center"/>
              <w:rPr>
                <w:rFonts w:cs="Arial"/>
                <w:sz w:val="20"/>
                <w:szCs w:val="20"/>
              </w:rPr>
            </w:pPr>
            <w:r w:rsidRPr="004F2CF7">
              <w:rPr>
                <w:rFonts w:cs="Arial"/>
                <w:sz w:val="20"/>
                <w:szCs w:val="20"/>
              </w:rPr>
              <w:t>14 000</w:t>
            </w:r>
          </w:p>
        </w:tc>
      </w:tr>
      <w:tr w14:paraId="13D879A3" w14:textId="77777777" w:rsidTr="004F2CF7">
        <w:tblPrEx>
          <w:tblW w:w="0" w:type="auto"/>
          <w:tblLook w:val="04A0"/>
        </w:tblPrEx>
        <w:trPr>
          <w:trHeight w:val="443"/>
        </w:trPr>
        <w:tc>
          <w:tcPr>
            <w:tcW w:w="3328" w:type="dxa"/>
          </w:tcPr>
          <w:p w:rsidR="00CF75FD" w:rsidRPr="004F2CF7" w:rsidP="00CF75FD" w14:paraId="50DEDCF8" w14:textId="77777777">
            <w:pPr>
              <w:rPr>
                <w:rFonts w:cs="Arial"/>
                <w:sz w:val="20"/>
                <w:szCs w:val="20"/>
              </w:rPr>
            </w:pPr>
            <w:r w:rsidRPr="004F2CF7">
              <w:rPr>
                <w:rFonts w:cs="Arial"/>
                <w:sz w:val="20"/>
                <w:szCs w:val="20"/>
              </w:rPr>
              <w:t>Ekolamp</w:t>
            </w:r>
          </w:p>
        </w:tc>
        <w:tc>
          <w:tcPr>
            <w:tcW w:w="3810" w:type="dxa"/>
          </w:tcPr>
          <w:p w:rsidR="00CF75FD" w:rsidRPr="004F2CF7" w:rsidP="00CF75FD" w14:paraId="10CFED8A" w14:textId="77777777">
            <w:pPr>
              <w:jc w:val="center"/>
              <w:rPr>
                <w:rFonts w:cs="Arial"/>
                <w:sz w:val="20"/>
                <w:szCs w:val="20"/>
              </w:rPr>
            </w:pPr>
            <w:r w:rsidRPr="004F2CF7">
              <w:rPr>
                <w:rFonts w:cs="Arial"/>
                <w:sz w:val="20"/>
                <w:szCs w:val="20"/>
              </w:rPr>
              <w:t>4 400</w:t>
            </w:r>
          </w:p>
        </w:tc>
      </w:tr>
      <w:tr w14:paraId="0CE56E04" w14:textId="77777777" w:rsidTr="004F2CF7">
        <w:tblPrEx>
          <w:tblW w:w="0" w:type="auto"/>
          <w:tblLook w:val="04A0"/>
        </w:tblPrEx>
        <w:trPr>
          <w:trHeight w:val="443"/>
        </w:trPr>
        <w:tc>
          <w:tcPr>
            <w:tcW w:w="3328" w:type="dxa"/>
          </w:tcPr>
          <w:p w:rsidR="00CF75FD" w:rsidRPr="004F2CF7" w:rsidP="00CF75FD" w14:paraId="72BF2606" w14:textId="77777777">
            <w:pPr>
              <w:rPr>
                <w:rFonts w:cs="Arial"/>
                <w:sz w:val="20"/>
                <w:szCs w:val="20"/>
              </w:rPr>
            </w:pPr>
            <w:r w:rsidRPr="004F2CF7">
              <w:rPr>
                <w:rFonts w:cs="Arial"/>
                <w:sz w:val="20"/>
                <w:szCs w:val="20"/>
              </w:rPr>
              <w:t>Rema</w:t>
            </w:r>
          </w:p>
        </w:tc>
        <w:tc>
          <w:tcPr>
            <w:tcW w:w="3810" w:type="dxa"/>
          </w:tcPr>
          <w:p w:rsidR="00CF75FD" w:rsidRPr="004F2CF7" w:rsidP="00CF75FD" w14:paraId="2A229CC8" w14:textId="77777777">
            <w:pPr>
              <w:jc w:val="center"/>
              <w:rPr>
                <w:rFonts w:cs="Arial"/>
                <w:sz w:val="20"/>
                <w:szCs w:val="20"/>
              </w:rPr>
            </w:pPr>
            <w:r w:rsidRPr="004F2CF7">
              <w:rPr>
                <w:rFonts w:cs="Arial"/>
                <w:sz w:val="20"/>
                <w:szCs w:val="20"/>
              </w:rPr>
              <w:t>22 400</w:t>
            </w:r>
          </w:p>
        </w:tc>
      </w:tr>
    </w:tbl>
    <w:p w:rsidR="00CF75FD" w:rsidRPr="00C06411" w:rsidP="00CF75FD" w14:paraId="58BA3C42" w14:textId="77777777">
      <w:pPr>
        <w:rPr>
          <w:rFonts w:cs="Arial"/>
          <w:sz w:val="20"/>
          <w:szCs w:val="20"/>
        </w:rPr>
      </w:pPr>
      <w:r w:rsidRPr="00C06411">
        <w:rPr>
          <w:rFonts w:cs="Arial"/>
          <w:sz w:val="20"/>
          <w:szCs w:val="20"/>
        </w:rPr>
        <w:t>* Počet sběrných míst EEZ pochází z výročních zpráv KS (z roku 2018, popř. 2017, pokud nebyla dostupná zpráva z roku 2018) uváděných na vlastních webových stránkách. Údaje jsou zaokrouhleny.</w:t>
      </w:r>
    </w:p>
    <w:p w:rsidR="00CF75FD" w:rsidP="00CF75FD" w14:paraId="7BA6A1A4" w14:textId="77777777">
      <w:pPr>
        <w:spacing w:before="240"/>
        <w:rPr>
          <w:rFonts w:cs="Arial"/>
        </w:rPr>
      </w:pPr>
      <w:r w:rsidRPr="00ED38E9">
        <w:rPr>
          <w:rFonts w:cs="Arial"/>
        </w:rPr>
        <w:t xml:space="preserve">Současný stav představuje náklady spojené s uzavřením smlouvy s obcí, která o místo </w:t>
      </w:r>
      <w:r>
        <w:rPr>
          <w:rFonts w:cs="Arial"/>
        </w:rPr>
        <w:t>ZO</w:t>
      </w:r>
      <w:r w:rsidRPr="00ED38E9">
        <w:rPr>
          <w:rFonts w:cs="Arial"/>
        </w:rPr>
        <w:t xml:space="preserve"> projeví zájem. Celkové náklady </w:t>
      </w:r>
      <w:r>
        <w:rPr>
          <w:rFonts w:cs="Arial"/>
        </w:rPr>
        <w:t>na vybudování sběrné sítě</w:t>
      </w:r>
      <w:r w:rsidRPr="00ED38E9">
        <w:rPr>
          <w:rFonts w:cs="Arial"/>
        </w:rPr>
        <w:t xml:space="preserve"> nejsme schopni odhadnout, protože záleží na</w:t>
      </w:r>
      <w:r>
        <w:rPr>
          <w:rFonts w:cs="Arial"/>
        </w:rPr>
        <w:t> </w:t>
      </w:r>
      <w:r w:rsidRPr="00ED38E9">
        <w:rPr>
          <w:rFonts w:cs="Arial"/>
        </w:rPr>
        <w:t>způsobu plnění, jestli se jedná o kontejner na</w:t>
      </w:r>
      <w:r>
        <w:rPr>
          <w:rFonts w:cs="Arial"/>
        </w:rPr>
        <w:t xml:space="preserve"> veřejně dostupném místě, </w:t>
      </w:r>
      <w:r w:rsidRPr="00ED38E9">
        <w:rPr>
          <w:rFonts w:cs="Arial"/>
        </w:rPr>
        <w:t>kontejner ve</w:t>
      </w:r>
      <w:r>
        <w:rPr>
          <w:rFonts w:cs="Arial"/>
        </w:rPr>
        <w:t> </w:t>
      </w:r>
      <w:r w:rsidRPr="00ED38E9">
        <w:rPr>
          <w:rFonts w:cs="Arial"/>
        </w:rPr>
        <w:t xml:space="preserve">sběrném </w:t>
      </w:r>
      <w:r>
        <w:rPr>
          <w:rFonts w:cs="Arial"/>
        </w:rPr>
        <w:t>dvoře nebo o nádobu umístěnou u </w:t>
      </w:r>
      <w:r w:rsidRPr="00ED38E9">
        <w:rPr>
          <w:rFonts w:cs="Arial"/>
        </w:rPr>
        <w:t>konečného prodejce apod.</w:t>
      </w:r>
      <w:r w:rsidRPr="00F95507">
        <w:rPr>
          <w:rFonts w:cs="Arial"/>
        </w:rPr>
        <w:t xml:space="preserve"> </w:t>
      </w:r>
    </w:p>
    <w:p w:rsidR="00CF75FD" w:rsidP="00770B26" w14:paraId="4293FF79" w14:textId="77777777">
      <w:pPr>
        <w:rPr>
          <w:rFonts w:cs="Arial"/>
        </w:rPr>
      </w:pPr>
      <w:r>
        <w:rPr>
          <w:rFonts w:cs="Arial"/>
        </w:rPr>
        <w:t>Hlavním problémem současného stavu je, že pokud je v dané obci již zřízeno místo ZO od jednoho KS, ostatní KS mohou mít problém zřídit další místo ZO, pokud o to obec neprojeví zájem.</w:t>
      </w:r>
    </w:p>
    <w:p w:rsidR="00CF75FD" w:rsidRPr="00ED38E9" w:rsidP="0039543B" w14:paraId="42BC9834" w14:textId="77777777">
      <w:pPr>
        <w:pStyle w:val="Normlntun"/>
        <w:rPr>
          <w:rFonts w:cs="Arial"/>
        </w:rPr>
      </w:pPr>
      <w:r w:rsidRPr="00ED38E9">
        <w:rPr>
          <w:rFonts w:cs="Arial"/>
        </w:rPr>
        <w:t>Dopady na územní samosprávné celky (obce, kraje)</w:t>
      </w:r>
      <w:r w:rsidRPr="00912A11">
        <w:rPr>
          <w:rFonts w:cs="Arial"/>
        </w:rPr>
        <w:t xml:space="preserve"> </w:t>
      </w:r>
    </w:p>
    <w:p w:rsidR="00CF75FD" w:rsidRPr="00ED38E9" w:rsidP="00770B26" w14:paraId="5827D529" w14:textId="77777777">
      <w:r w:rsidRPr="00ED38E9">
        <w:t xml:space="preserve">V případě, že nebude tato oblast regulována, dojde k znevýhodnění obcí s menším počtem obyvatel, kde je to pro </w:t>
      </w:r>
      <w:r>
        <w:t>KS</w:t>
      </w:r>
      <w:r w:rsidRPr="00ED38E9">
        <w:t xml:space="preserve"> neekonomické</w:t>
      </w:r>
      <w:r>
        <w:t>. Dochází tak k</w:t>
      </w:r>
      <w:r w:rsidRPr="00ED38E9">
        <w:t xml:space="preserve"> nav</w:t>
      </w:r>
      <w:r>
        <w:t>yšování</w:t>
      </w:r>
      <w:r w:rsidRPr="00ED38E9">
        <w:t xml:space="preserve"> nákladů </w:t>
      </w:r>
      <w:r>
        <w:t>malých</w:t>
      </w:r>
      <w:r w:rsidRPr="00ED38E9">
        <w:t xml:space="preserve"> obcí</w:t>
      </w:r>
      <w:r>
        <w:t xml:space="preserve"> na zajištění</w:t>
      </w:r>
      <w:r w:rsidRPr="00ED38E9">
        <w:t xml:space="preserve"> sběr</w:t>
      </w:r>
      <w:r>
        <w:t>u</w:t>
      </w:r>
      <w:r w:rsidRPr="00ED38E9">
        <w:t xml:space="preserve"> OEEZ.</w:t>
      </w:r>
    </w:p>
    <w:p w:rsidR="00CF75FD" w:rsidRPr="00ED38E9" w:rsidP="0039543B" w14:paraId="0B2970AC" w14:textId="77777777">
      <w:pPr>
        <w:pStyle w:val="Normlntun"/>
        <w:rPr>
          <w:rFonts w:cs="Arial"/>
        </w:rPr>
      </w:pPr>
      <w:r w:rsidRPr="00ED38E9">
        <w:rPr>
          <w:rFonts w:cs="Arial"/>
        </w:rPr>
        <w:t>Sociální dopady</w:t>
      </w:r>
    </w:p>
    <w:p w:rsidR="00CF75FD" w:rsidP="00CF75FD" w14:paraId="4FD423BE" w14:textId="77777777">
      <w:pPr>
        <w:rPr>
          <w:rFonts w:cs="Arial"/>
        </w:rPr>
      </w:pPr>
      <w:r>
        <w:rPr>
          <w:rFonts w:cs="Arial"/>
        </w:rPr>
        <w:t xml:space="preserve">V současnosti je hlavním problémem nerovnoměrnost sběrné sítě, </w:t>
      </w:r>
      <w:r w:rsidRPr="00ED38E9">
        <w:rPr>
          <w:rFonts w:cs="Arial"/>
        </w:rPr>
        <w:t>a tím horší dostupnost pro</w:t>
      </w:r>
      <w:r>
        <w:rPr>
          <w:rFonts w:cs="Arial"/>
        </w:rPr>
        <w:t> </w:t>
      </w:r>
      <w:r w:rsidRPr="00ED38E9">
        <w:rPr>
          <w:rFonts w:cs="Arial"/>
        </w:rPr>
        <w:t>občany</w:t>
      </w:r>
      <w:r>
        <w:rPr>
          <w:rFonts w:cs="Arial"/>
        </w:rPr>
        <w:t xml:space="preserve"> v malých obcích. Obcí nad 2000 obyvatel je pouze 700, zatímco obcí venkovského typu (pod 2000 obyvatel) je přes 5 550, </w:t>
      </w:r>
      <w:r w:rsidRPr="00B1740A">
        <w:rPr>
          <w:rFonts w:cs="Arial"/>
        </w:rPr>
        <w:t xml:space="preserve">tedy </w:t>
      </w:r>
      <w:r>
        <w:rPr>
          <w:rFonts w:cs="Arial"/>
        </w:rPr>
        <w:t>90</w:t>
      </w:r>
      <w:r w:rsidRPr="00B1740A">
        <w:rPr>
          <w:rFonts w:cs="Arial"/>
        </w:rPr>
        <w:t> % z celkového počtu. Ve venkovských obcích žije 2 678 tis. obyvatel, tj. 26,2 % obyvatel ČR.</w:t>
      </w:r>
      <w:r>
        <w:rPr>
          <w:rFonts w:cs="Arial"/>
        </w:rPr>
        <w:t xml:space="preserve"> Z toho vyplývá, že pokud by KS plnily pouze podmínku týkající se hustoty sběrné sítě, zhruba čtvrtina obyvatel ČR by neměla místo ZO pro EEZ ve své obci.</w:t>
      </w:r>
    </w:p>
    <w:p w:rsidR="00CF75FD" w:rsidRPr="00ED38E9" w:rsidP="0039543B" w14:paraId="186BFEC7" w14:textId="77777777">
      <w:pPr>
        <w:pStyle w:val="Normlntun"/>
        <w:rPr>
          <w:rFonts w:cs="Arial"/>
        </w:rPr>
      </w:pPr>
      <w:r w:rsidRPr="00ED38E9">
        <w:rPr>
          <w:rFonts w:cs="Arial"/>
        </w:rPr>
        <w:t>Dopady na životní prostředí</w:t>
      </w:r>
    </w:p>
    <w:p w:rsidR="00CF75FD" w:rsidP="00CF75FD" w14:paraId="0219C81A" w14:textId="77777777">
      <w:pPr>
        <w:rPr>
          <w:rFonts w:cs="Arial"/>
        </w:rPr>
      </w:pPr>
      <w:r w:rsidRPr="00ED38E9">
        <w:rPr>
          <w:rFonts w:cs="Arial"/>
        </w:rPr>
        <w:t xml:space="preserve">S nižší dostupností míst </w:t>
      </w:r>
      <w:r>
        <w:rPr>
          <w:rFonts w:cs="Arial"/>
        </w:rPr>
        <w:t>ZO</w:t>
      </w:r>
      <w:r w:rsidRPr="00ED38E9">
        <w:rPr>
          <w:rFonts w:cs="Arial"/>
        </w:rPr>
        <w:t xml:space="preserve"> </w:t>
      </w:r>
      <w:r>
        <w:rPr>
          <w:rFonts w:cs="Arial"/>
        </w:rPr>
        <w:t xml:space="preserve">v malých obcích </w:t>
      </w:r>
      <w:r w:rsidRPr="00ED38E9">
        <w:rPr>
          <w:rFonts w:cs="Arial"/>
        </w:rPr>
        <w:t xml:space="preserve">může vzrůstat množství OEEZ mimo režim </w:t>
      </w:r>
      <w:r>
        <w:rPr>
          <w:rFonts w:cs="Arial"/>
        </w:rPr>
        <w:t>ZO (v komunálním odpadu aj.)</w:t>
      </w:r>
      <w:r w:rsidRPr="00ED38E9">
        <w:rPr>
          <w:rFonts w:cs="Arial"/>
        </w:rPr>
        <w:t>.</w:t>
      </w:r>
    </w:p>
    <w:p w:rsidR="00CF75FD" w:rsidP="00CF75FD" w14:paraId="321E3C94" w14:textId="77777777">
      <w:pPr>
        <w:rPr>
          <w:rFonts w:cs="Arial"/>
        </w:rPr>
      </w:pPr>
    </w:p>
    <w:p w:rsidR="00CF75FD" w:rsidRPr="00E4631E" w:rsidP="00CF75FD" w14:paraId="4D06B6E9" w14:textId="77777777">
      <w:pPr>
        <w:pStyle w:val="ListParagraph"/>
        <w:keepNext/>
        <w:numPr>
          <w:ilvl w:val="0"/>
          <w:numId w:val="52"/>
        </w:numPr>
        <w:spacing w:before="240" w:after="120"/>
        <w:ind w:left="714" w:hanging="357"/>
        <w:contextualSpacing w:val="0"/>
        <w:rPr>
          <w:rFonts w:cs="Arial"/>
          <w:b/>
        </w:rPr>
      </w:pPr>
      <w:r w:rsidRPr="00E4631E">
        <w:rPr>
          <w:rFonts w:cs="Arial"/>
          <w:b/>
        </w:rPr>
        <w:t>Varianta 1</w:t>
      </w:r>
    </w:p>
    <w:p w:rsidR="00CF75FD" w:rsidP="0039543B" w14:paraId="15A3DB85" w14:textId="77777777">
      <w:pPr>
        <w:pStyle w:val="Normlntun"/>
        <w:spacing w:before="240" w:line="276" w:lineRule="auto"/>
        <w:rPr>
          <w:rFonts w:cs="Arial"/>
          <w:b w:val="0"/>
          <w:bCs w:val="0"/>
          <w:noProof/>
          <w:szCs w:val="24"/>
          <w:lang w:eastAsia="en-US" w:bidi="en-US"/>
        </w:rPr>
      </w:pPr>
      <w:r w:rsidRPr="00CF75FD">
        <w:rPr>
          <w:rFonts w:cs="Arial"/>
          <w:b w:val="0"/>
          <w:bCs w:val="0"/>
          <w:noProof/>
          <w:szCs w:val="24"/>
          <w:lang w:eastAsia="en-US" w:bidi="en-US"/>
        </w:rPr>
        <w:t>Zachování současného stavu s tím, že výrobce EEZ určených k použití v domácnosti je povinen zřídit minimálně jedno místo ZO v každé obci, městském obvodě nebo městské části s počtem více než 2 000 obyvatel.</w:t>
      </w:r>
      <w:r>
        <w:rPr>
          <w:rFonts w:cs="Arial"/>
          <w:b w:val="0"/>
          <w:bCs w:val="0"/>
          <w:noProof/>
          <w:szCs w:val="24"/>
          <w:lang w:eastAsia="en-US" w:bidi="en-US"/>
        </w:rPr>
        <w:t xml:space="preserve"> Odstraňuje se vazba na místa prodeje EEZ.</w:t>
      </w:r>
    </w:p>
    <w:p w:rsidR="00CF75FD" w:rsidRPr="00ED38E9" w:rsidP="00CF75FD" w14:paraId="4A292CBF" w14:textId="77777777">
      <w:pPr>
        <w:pStyle w:val="Normlntun"/>
        <w:rPr>
          <w:rFonts w:cs="Arial"/>
        </w:rPr>
      </w:pPr>
      <w:r w:rsidRPr="00ED38E9">
        <w:rPr>
          <w:rFonts w:cs="Arial"/>
        </w:rPr>
        <w:t>Dopady na státní rozpočet a ostatní veřejné rozpočty</w:t>
      </w:r>
    </w:p>
    <w:p w:rsidR="00CF75FD" w:rsidP="00CF75FD" w14:paraId="28A67467" w14:textId="77777777">
      <w:pPr>
        <w:rPr>
          <w:rFonts w:cs="Arial"/>
        </w:rPr>
      </w:pPr>
      <w:r w:rsidRPr="00ED38E9">
        <w:rPr>
          <w:rFonts w:cs="Arial"/>
        </w:rPr>
        <w:t>Nepředpokládáme dopady na státní rozpočet a územní samosprávné celky.</w:t>
      </w:r>
      <w:r>
        <w:rPr>
          <w:rFonts w:cs="Arial"/>
        </w:rPr>
        <w:t xml:space="preserve"> </w:t>
      </w:r>
      <w:r w:rsidRPr="00B1740A">
        <w:rPr>
          <w:rFonts w:cs="Arial"/>
        </w:rPr>
        <w:t>Jedná se o</w:t>
      </w:r>
      <w:r>
        <w:rPr>
          <w:rFonts w:cs="Arial"/>
        </w:rPr>
        <w:t> </w:t>
      </w:r>
      <w:r w:rsidRPr="00B1740A">
        <w:rPr>
          <w:rFonts w:cs="Arial"/>
        </w:rPr>
        <w:t xml:space="preserve">zjednodušení </w:t>
      </w:r>
      <w:r>
        <w:rPr>
          <w:rFonts w:cs="Arial"/>
        </w:rPr>
        <w:t xml:space="preserve">a zpřehlednění </w:t>
      </w:r>
      <w:r w:rsidRPr="00B1740A">
        <w:rPr>
          <w:rFonts w:cs="Arial"/>
        </w:rPr>
        <w:t>současného systému</w:t>
      </w:r>
      <w:r>
        <w:rPr>
          <w:rFonts w:cs="Arial"/>
        </w:rPr>
        <w:t xml:space="preserve">, čímž se zjednodušuje možnost </w:t>
      </w:r>
      <w:r w:rsidRPr="00B1740A">
        <w:rPr>
          <w:rFonts w:cs="Arial"/>
        </w:rPr>
        <w:t>kontrol</w:t>
      </w:r>
      <w:r>
        <w:rPr>
          <w:rFonts w:cs="Arial"/>
        </w:rPr>
        <w:t>y</w:t>
      </w:r>
      <w:r w:rsidRPr="00B1740A">
        <w:rPr>
          <w:rFonts w:cs="Arial"/>
        </w:rPr>
        <w:t xml:space="preserve"> </w:t>
      </w:r>
      <w:r>
        <w:rPr>
          <w:rFonts w:cs="Arial"/>
        </w:rPr>
        <w:t xml:space="preserve">ze strany kontrolních orgánů ohledně </w:t>
      </w:r>
      <w:r w:rsidRPr="00B1740A">
        <w:rPr>
          <w:rFonts w:cs="Arial"/>
        </w:rPr>
        <w:t>splnění podmínek nastavené hustoty sítě míst ZO</w:t>
      </w:r>
      <w:r>
        <w:rPr>
          <w:rFonts w:cs="Arial"/>
        </w:rPr>
        <w:t xml:space="preserve">. </w:t>
      </w:r>
    </w:p>
    <w:p w:rsidR="00CF75FD" w:rsidRPr="00ED38E9" w:rsidP="00CF75FD" w14:paraId="14CC652B" w14:textId="77777777">
      <w:pPr>
        <w:pStyle w:val="Normlntun"/>
        <w:rPr>
          <w:rFonts w:cs="Arial"/>
        </w:rPr>
      </w:pPr>
      <w:r w:rsidRPr="00ED38E9">
        <w:rPr>
          <w:rFonts w:cs="Arial"/>
        </w:rPr>
        <w:t>Dopady na podnikatelské subjekty</w:t>
      </w:r>
    </w:p>
    <w:p w:rsidR="00CF75FD" w:rsidP="00CF75FD" w14:paraId="0051DC9F" w14:textId="3E06BCC8">
      <w:pPr>
        <w:rPr>
          <w:rFonts w:cs="Arial"/>
        </w:rPr>
      </w:pPr>
      <w:r>
        <w:rPr>
          <w:rFonts w:cs="Arial"/>
        </w:rPr>
        <w:t xml:space="preserve">Zřízení nových míst ZO </w:t>
      </w:r>
      <w:r w:rsidRPr="00F038D7">
        <w:rPr>
          <w:rFonts w:cs="Arial"/>
        </w:rPr>
        <w:t>v jiných obcích, městských obvodech nebo městských částech s</w:t>
      </w:r>
      <w:r w:rsidR="00BF16B7">
        <w:rPr>
          <w:rFonts w:cs="Arial"/>
        </w:rPr>
        <w:t> </w:t>
      </w:r>
      <w:r w:rsidRPr="00F038D7">
        <w:rPr>
          <w:rFonts w:cs="Arial"/>
        </w:rPr>
        <w:t>počtem obyvatel menším než 2</w:t>
      </w:r>
      <w:r>
        <w:rPr>
          <w:rFonts w:cs="Arial"/>
        </w:rPr>
        <w:t> </w:t>
      </w:r>
      <w:r w:rsidRPr="00F038D7">
        <w:rPr>
          <w:rFonts w:cs="Arial"/>
        </w:rPr>
        <w:t>000, za</w:t>
      </w:r>
      <w:r>
        <w:rPr>
          <w:rFonts w:cs="Arial"/>
        </w:rPr>
        <w:t> </w:t>
      </w:r>
      <w:r w:rsidRPr="00F038D7">
        <w:rPr>
          <w:rFonts w:cs="Arial"/>
        </w:rPr>
        <w:t xml:space="preserve">podmínky, že místo </w:t>
      </w:r>
      <w:r>
        <w:rPr>
          <w:rFonts w:cs="Arial"/>
        </w:rPr>
        <w:t>ZO</w:t>
      </w:r>
      <w:r w:rsidRPr="00F038D7">
        <w:rPr>
          <w:rFonts w:cs="Arial"/>
        </w:rPr>
        <w:t xml:space="preserve"> je zřízeno v součtu alespoň pro 2</w:t>
      </w:r>
      <w:r>
        <w:rPr>
          <w:rFonts w:cs="Arial"/>
        </w:rPr>
        <w:t> </w:t>
      </w:r>
      <w:r w:rsidRPr="00F038D7">
        <w:rPr>
          <w:rFonts w:cs="Arial"/>
        </w:rPr>
        <w:t>000 obyvatel</w:t>
      </w:r>
      <w:r>
        <w:rPr>
          <w:rFonts w:cs="Arial"/>
        </w:rPr>
        <w:t xml:space="preserve">, může znamenat pro některé výrobce/KS zvýšení nákladů. </w:t>
      </w:r>
      <w:r w:rsidRPr="00ED38E9">
        <w:rPr>
          <w:rFonts w:cs="Arial"/>
        </w:rPr>
        <w:t xml:space="preserve">Celkové náklady </w:t>
      </w:r>
      <w:r>
        <w:rPr>
          <w:rFonts w:cs="Arial"/>
        </w:rPr>
        <w:t xml:space="preserve">však není možné </w:t>
      </w:r>
      <w:r w:rsidRPr="00ED38E9">
        <w:rPr>
          <w:rFonts w:cs="Arial"/>
        </w:rPr>
        <w:t xml:space="preserve">odhadnout, </w:t>
      </w:r>
      <w:r>
        <w:rPr>
          <w:rFonts w:cs="Arial"/>
        </w:rPr>
        <w:t>neboť</w:t>
      </w:r>
      <w:r w:rsidRPr="00ED38E9">
        <w:rPr>
          <w:rFonts w:cs="Arial"/>
        </w:rPr>
        <w:t xml:space="preserve"> záleží na </w:t>
      </w:r>
      <w:r>
        <w:rPr>
          <w:rFonts w:cs="Arial"/>
        </w:rPr>
        <w:t>současné hustotě sběrné sítě daného KS</w:t>
      </w:r>
      <w:r w:rsidRPr="00ED38E9">
        <w:rPr>
          <w:rFonts w:cs="Arial"/>
        </w:rPr>
        <w:t xml:space="preserve"> </w:t>
      </w:r>
      <w:r>
        <w:rPr>
          <w:rFonts w:cs="Arial"/>
        </w:rPr>
        <w:t>a na </w:t>
      </w:r>
      <w:r w:rsidRPr="00ED38E9">
        <w:rPr>
          <w:rFonts w:cs="Arial"/>
        </w:rPr>
        <w:t xml:space="preserve"> způsobu plnění</w:t>
      </w:r>
      <w:r>
        <w:rPr>
          <w:rFonts w:cs="Arial"/>
        </w:rPr>
        <w:t xml:space="preserve"> (jedná-li se</w:t>
      </w:r>
      <w:r w:rsidRPr="00ED38E9">
        <w:rPr>
          <w:rFonts w:cs="Arial"/>
        </w:rPr>
        <w:t xml:space="preserve"> o kontejner na</w:t>
      </w:r>
      <w:r>
        <w:rPr>
          <w:rFonts w:cs="Arial"/>
        </w:rPr>
        <w:t> veřejně dostupném místě</w:t>
      </w:r>
      <w:r w:rsidRPr="00ED38E9">
        <w:rPr>
          <w:rFonts w:cs="Arial"/>
        </w:rPr>
        <w:t xml:space="preserve"> nebo o kontejner ve</w:t>
      </w:r>
      <w:r w:rsidR="00BF16B7">
        <w:rPr>
          <w:rFonts w:cs="Arial"/>
        </w:rPr>
        <w:t> </w:t>
      </w:r>
      <w:r w:rsidRPr="00ED38E9">
        <w:rPr>
          <w:rFonts w:cs="Arial"/>
        </w:rPr>
        <w:t xml:space="preserve">sběrném </w:t>
      </w:r>
      <w:r>
        <w:rPr>
          <w:rFonts w:cs="Arial"/>
        </w:rPr>
        <w:t>dvoře nebo o nádobu umístěnou u </w:t>
      </w:r>
      <w:r w:rsidRPr="00ED38E9">
        <w:rPr>
          <w:rFonts w:cs="Arial"/>
        </w:rPr>
        <w:t>konečného prodejce apod.</w:t>
      </w:r>
      <w:r>
        <w:rPr>
          <w:rFonts w:cs="Arial"/>
        </w:rPr>
        <w:t>). Na druhou stranu se jedná o zjednodušení současného systému, přičemž celkový počet obyvatel, které musí výrobce/KS pokrýt místy ZO zůstává nezměněn.</w:t>
      </w:r>
    </w:p>
    <w:p w:rsidR="00CF75FD" w:rsidP="00CF75FD" w14:paraId="5F896380" w14:textId="77777777">
      <w:pPr>
        <w:rPr>
          <w:rFonts w:cs="Arial"/>
        </w:rPr>
      </w:pPr>
      <w:r>
        <w:rPr>
          <w:rFonts w:cs="Arial"/>
        </w:rPr>
        <w:t>Nevýhodou této varianty je, že zde přetrvává problém se zřízením místa ZO v obci nad 2 000 obyvatel, pokud je v obci již místo ZO jiného KS a obec nemá zájem o další místi ZO. Zároveň tato varianta blíže neřeší rovnoměrnost rozložení míst ZO EEZ.</w:t>
      </w:r>
    </w:p>
    <w:p w:rsidR="00CF75FD" w:rsidRPr="00ED38E9" w:rsidP="00CF75FD" w14:paraId="34BB17FE" w14:textId="77777777">
      <w:pPr>
        <w:pStyle w:val="Normlntun"/>
        <w:rPr>
          <w:rFonts w:cs="Arial"/>
        </w:rPr>
      </w:pPr>
      <w:r w:rsidRPr="00ED38E9">
        <w:rPr>
          <w:rFonts w:cs="Arial"/>
        </w:rPr>
        <w:t>Dopady na územní samosprávné celky (obce, kraje)</w:t>
      </w:r>
    </w:p>
    <w:p w:rsidR="00CF75FD" w:rsidP="00CF75FD" w14:paraId="0894421E" w14:textId="77777777">
      <w:pPr>
        <w:rPr>
          <w:rFonts w:cs="Arial"/>
        </w:rPr>
      </w:pPr>
      <w:r>
        <w:rPr>
          <w:rFonts w:cs="Arial"/>
        </w:rPr>
        <w:t xml:space="preserve">Tato varianta neřeší rovnoměrnost rozložení míst ZO v rámci sběrné sítě, </w:t>
      </w:r>
      <w:r w:rsidRPr="00ED38E9">
        <w:rPr>
          <w:rFonts w:cs="Arial"/>
        </w:rPr>
        <w:t xml:space="preserve">a tím </w:t>
      </w:r>
      <w:r>
        <w:rPr>
          <w:rFonts w:cs="Arial"/>
        </w:rPr>
        <w:t xml:space="preserve">přetrvává </w:t>
      </w:r>
      <w:r w:rsidRPr="00ED38E9">
        <w:rPr>
          <w:rFonts w:cs="Arial"/>
        </w:rPr>
        <w:t xml:space="preserve">znevýhodnění obcí s menším počtem obyvatel, kde </w:t>
      </w:r>
      <w:r>
        <w:rPr>
          <w:rFonts w:cs="Arial"/>
        </w:rPr>
        <w:t>pak dochází k</w:t>
      </w:r>
      <w:r w:rsidRPr="00ED38E9">
        <w:rPr>
          <w:rFonts w:cs="Arial"/>
        </w:rPr>
        <w:t xml:space="preserve"> nav</w:t>
      </w:r>
      <w:r>
        <w:rPr>
          <w:rFonts w:cs="Arial"/>
        </w:rPr>
        <w:t>yšování</w:t>
      </w:r>
      <w:r w:rsidRPr="00ED38E9">
        <w:rPr>
          <w:rFonts w:cs="Arial"/>
        </w:rPr>
        <w:t xml:space="preserve"> nákladů </w:t>
      </w:r>
      <w:r>
        <w:rPr>
          <w:rFonts w:cs="Arial"/>
        </w:rPr>
        <w:t>na zajištění</w:t>
      </w:r>
      <w:r w:rsidRPr="00ED38E9">
        <w:rPr>
          <w:rFonts w:cs="Arial"/>
        </w:rPr>
        <w:t xml:space="preserve"> sběr</w:t>
      </w:r>
      <w:r>
        <w:rPr>
          <w:rFonts w:cs="Arial"/>
        </w:rPr>
        <w:t>u</w:t>
      </w:r>
      <w:r w:rsidRPr="00ED38E9">
        <w:rPr>
          <w:rFonts w:cs="Arial"/>
        </w:rPr>
        <w:t xml:space="preserve"> OEEZ.</w:t>
      </w:r>
    </w:p>
    <w:p w:rsidR="00CF75FD" w:rsidRPr="00ED38E9" w:rsidP="00CF75FD" w14:paraId="3AB94061" w14:textId="77777777">
      <w:pPr>
        <w:pStyle w:val="Normlntun"/>
        <w:rPr>
          <w:rFonts w:cs="Arial"/>
        </w:rPr>
      </w:pPr>
      <w:r w:rsidRPr="00ED38E9">
        <w:rPr>
          <w:rFonts w:cs="Arial"/>
        </w:rPr>
        <w:t>Sociální dopady</w:t>
      </w:r>
    </w:p>
    <w:p w:rsidR="00CF75FD" w:rsidRPr="0077419F" w:rsidP="00CF75FD" w14:paraId="6FE7AE04" w14:textId="77777777">
      <w:pPr>
        <w:rPr>
          <w:rFonts w:cs="Arial"/>
        </w:rPr>
      </w:pPr>
      <w:r>
        <w:rPr>
          <w:rFonts w:cs="Arial"/>
        </w:rPr>
        <w:t xml:space="preserve">Tato varianta neřeší rovnoměrnost rozložení míst ZO v rámci sběrné sítě, </w:t>
      </w:r>
      <w:r w:rsidRPr="00ED38E9">
        <w:rPr>
          <w:rFonts w:cs="Arial"/>
        </w:rPr>
        <w:t xml:space="preserve">a tím </w:t>
      </w:r>
      <w:r>
        <w:rPr>
          <w:rFonts w:cs="Arial"/>
        </w:rPr>
        <w:t xml:space="preserve">přetrvává problém </w:t>
      </w:r>
      <w:r w:rsidRPr="00ED38E9">
        <w:rPr>
          <w:rFonts w:cs="Arial"/>
        </w:rPr>
        <w:t>horší dostupnost</w:t>
      </w:r>
      <w:r>
        <w:rPr>
          <w:rFonts w:cs="Arial"/>
        </w:rPr>
        <w:t>i</w:t>
      </w:r>
      <w:r w:rsidRPr="00ED38E9">
        <w:rPr>
          <w:rFonts w:cs="Arial"/>
        </w:rPr>
        <w:t xml:space="preserve"> </w:t>
      </w:r>
      <w:r>
        <w:rPr>
          <w:rFonts w:cs="Arial"/>
        </w:rPr>
        <w:t xml:space="preserve">míst ZO </w:t>
      </w:r>
      <w:r w:rsidRPr="00ED38E9">
        <w:rPr>
          <w:rFonts w:cs="Arial"/>
        </w:rPr>
        <w:t>pro</w:t>
      </w:r>
      <w:r>
        <w:rPr>
          <w:rFonts w:cs="Arial"/>
        </w:rPr>
        <w:t> </w:t>
      </w:r>
      <w:r w:rsidRPr="00ED38E9">
        <w:rPr>
          <w:rFonts w:cs="Arial"/>
        </w:rPr>
        <w:t>občany</w:t>
      </w:r>
      <w:r>
        <w:rPr>
          <w:rFonts w:cs="Arial"/>
        </w:rPr>
        <w:t xml:space="preserve"> v malých obcích.</w:t>
      </w:r>
    </w:p>
    <w:p w:rsidR="00CF75FD" w:rsidRPr="00ED38E9" w:rsidP="00CF75FD" w14:paraId="260BB50F" w14:textId="77777777">
      <w:pPr>
        <w:pStyle w:val="Normlntun"/>
        <w:rPr>
          <w:rFonts w:cs="Arial"/>
        </w:rPr>
      </w:pPr>
      <w:r w:rsidRPr="00ED38E9">
        <w:rPr>
          <w:rFonts w:cs="Arial"/>
        </w:rPr>
        <w:t>Dopady na životní prostředí</w:t>
      </w:r>
    </w:p>
    <w:p w:rsidR="00CF75FD" w:rsidP="00CF75FD" w14:paraId="2A2DBF9E" w14:textId="77777777">
      <w:pPr>
        <w:rPr>
          <w:rFonts w:cs="Arial"/>
        </w:rPr>
      </w:pPr>
      <w:r w:rsidRPr="00ED38E9">
        <w:rPr>
          <w:rFonts w:cs="Arial"/>
        </w:rPr>
        <w:t xml:space="preserve">S nižší dostupností míst </w:t>
      </w:r>
      <w:r>
        <w:rPr>
          <w:rFonts w:cs="Arial"/>
        </w:rPr>
        <w:t>ZO</w:t>
      </w:r>
      <w:r w:rsidRPr="00ED38E9">
        <w:rPr>
          <w:rFonts w:cs="Arial"/>
        </w:rPr>
        <w:t xml:space="preserve"> </w:t>
      </w:r>
      <w:r>
        <w:rPr>
          <w:rFonts w:cs="Arial"/>
        </w:rPr>
        <w:t xml:space="preserve">v malých obcích </w:t>
      </w:r>
      <w:r w:rsidRPr="00ED38E9">
        <w:rPr>
          <w:rFonts w:cs="Arial"/>
        </w:rPr>
        <w:t xml:space="preserve">může vzrůstat množství OEEZ, které bude končit ve směsném komunálním odpadu, to znamená mimo režim </w:t>
      </w:r>
      <w:r>
        <w:rPr>
          <w:rFonts w:cs="Arial"/>
        </w:rPr>
        <w:t>ZO</w:t>
      </w:r>
      <w:r w:rsidRPr="00ED38E9">
        <w:rPr>
          <w:rFonts w:cs="Arial"/>
        </w:rPr>
        <w:t>, a nedojde k jeho recyklaci.</w:t>
      </w:r>
    </w:p>
    <w:p w:rsidR="00CF75FD" w:rsidP="00CF75FD" w14:paraId="381CC898" w14:textId="77777777">
      <w:pPr>
        <w:rPr>
          <w:rFonts w:cs="Arial"/>
        </w:rPr>
      </w:pPr>
    </w:p>
    <w:p w:rsidR="00CF75FD" w:rsidRPr="00E4631E" w:rsidP="00CF75FD" w14:paraId="434851E6" w14:textId="77777777">
      <w:pPr>
        <w:keepNext/>
        <w:spacing w:before="240" w:after="120"/>
        <w:ind w:left="360"/>
        <w:rPr>
          <w:rFonts w:cs="Arial"/>
          <w:b/>
        </w:rPr>
      </w:pPr>
      <w:r w:rsidRPr="00E4631E">
        <w:rPr>
          <w:rFonts w:cs="Arial"/>
          <w:b/>
        </w:rPr>
        <w:t>c)  Varianta 2</w:t>
      </w:r>
    </w:p>
    <w:p w:rsidR="00CF75FD" w:rsidP="00CF75FD" w14:paraId="487AC6DC" w14:textId="77777777">
      <w:pPr>
        <w:spacing w:after="120"/>
        <w:rPr>
          <w:rFonts w:cs="Arial"/>
        </w:rPr>
      </w:pPr>
      <w:r>
        <w:rPr>
          <w:rFonts w:cs="Arial"/>
        </w:rPr>
        <w:t>V</w:t>
      </w:r>
      <w:r w:rsidRPr="00E4631E">
        <w:rPr>
          <w:rFonts w:cs="Arial"/>
        </w:rPr>
        <w:t xml:space="preserve">ýrobce EEZ určených k použití v domácnosti je povinen zřídit </w:t>
      </w:r>
      <w:r w:rsidRPr="00C06411">
        <w:rPr>
          <w:rFonts w:cs="Arial"/>
        </w:rPr>
        <w:t xml:space="preserve">na vlastní náklady </w:t>
      </w:r>
      <w:r w:rsidRPr="00E4631E">
        <w:rPr>
          <w:rFonts w:cs="Arial"/>
        </w:rPr>
        <w:t xml:space="preserve">minimálně jedno </w:t>
      </w:r>
      <w:r>
        <w:rPr>
          <w:rFonts w:cs="Arial"/>
        </w:rPr>
        <w:t xml:space="preserve">veřejné </w:t>
      </w:r>
      <w:r w:rsidRPr="00E4631E">
        <w:rPr>
          <w:rFonts w:cs="Arial"/>
        </w:rPr>
        <w:t xml:space="preserve">místo </w:t>
      </w:r>
      <w:r>
        <w:rPr>
          <w:rFonts w:cs="Arial"/>
        </w:rPr>
        <w:t>ZO na každých 10 tis. obyvatel </w:t>
      </w:r>
      <w:r w:rsidRPr="00CF75FD">
        <w:rPr>
          <w:rFonts w:cs="Arial"/>
        </w:rPr>
        <w:t>vyššího územně samosprávného celku</w:t>
      </w:r>
      <w:r>
        <w:rPr>
          <w:rFonts w:cs="Arial"/>
        </w:rPr>
        <w:t xml:space="preserve"> (v krajích), </w:t>
      </w:r>
      <w:r w:rsidRPr="00CF75FD">
        <w:rPr>
          <w:rFonts w:cs="Arial"/>
        </w:rPr>
        <w:t>přičemž místa ZO musí být v rámci každého vyššího územně samosprávného celku</w:t>
      </w:r>
      <w:r w:rsidRPr="00B1740A">
        <w:rPr>
          <w:rFonts w:cs="Arial"/>
          <w:u w:val="single"/>
        </w:rPr>
        <w:t xml:space="preserve"> </w:t>
      </w:r>
      <w:r w:rsidRPr="00CF75FD">
        <w:rPr>
          <w:rFonts w:cs="Arial"/>
        </w:rPr>
        <w:t>rovnoměrně rozmístěna</w:t>
      </w:r>
      <w:r>
        <w:rPr>
          <w:rFonts w:cs="Arial"/>
        </w:rPr>
        <w:t xml:space="preserve">. </w:t>
      </w:r>
      <w:r w:rsidRPr="00CF75FD">
        <w:rPr>
          <w:rFonts w:cs="Arial"/>
        </w:rPr>
        <w:t>Jedná se o zjednodušení současného systému, a zároveň  rovnoměrněji rozprostírá místa ZO EEZ.</w:t>
      </w:r>
    </w:p>
    <w:p w:rsidR="00CF75FD" w:rsidRPr="00ED38E9" w:rsidP="00CF75FD" w14:paraId="292BCBC0" w14:textId="77777777">
      <w:pPr>
        <w:pStyle w:val="Normlntun"/>
        <w:rPr>
          <w:rFonts w:cs="Arial"/>
        </w:rPr>
      </w:pPr>
      <w:r w:rsidRPr="00ED38E9">
        <w:rPr>
          <w:rFonts w:cs="Arial"/>
        </w:rPr>
        <w:t>Dopady na státní rozpočet a ostatní veřejné rozpočty</w:t>
      </w:r>
    </w:p>
    <w:p w:rsidR="00CF75FD" w:rsidRPr="00ED38E9" w:rsidP="00CF75FD" w14:paraId="103458D3" w14:textId="77777777">
      <w:pPr>
        <w:rPr>
          <w:rFonts w:cs="Arial"/>
        </w:rPr>
      </w:pPr>
      <w:r w:rsidRPr="00ED38E9">
        <w:rPr>
          <w:rFonts w:cs="Arial"/>
        </w:rPr>
        <w:t>Nepředpokládáme dopad na státní rozpočet a ostatní veřejné rozpočty.</w:t>
      </w:r>
      <w:r>
        <w:rPr>
          <w:rFonts w:cs="Arial"/>
        </w:rPr>
        <w:t xml:space="preserve"> J</w:t>
      </w:r>
      <w:r w:rsidRPr="00B1740A">
        <w:rPr>
          <w:rFonts w:cs="Arial"/>
        </w:rPr>
        <w:t xml:space="preserve">edná </w:t>
      </w:r>
      <w:r>
        <w:rPr>
          <w:rFonts w:cs="Arial"/>
        </w:rPr>
        <w:t xml:space="preserve">se </w:t>
      </w:r>
      <w:r w:rsidRPr="00B1740A">
        <w:rPr>
          <w:rFonts w:cs="Arial"/>
        </w:rPr>
        <w:t>o</w:t>
      </w:r>
      <w:r>
        <w:rPr>
          <w:rFonts w:cs="Arial"/>
        </w:rPr>
        <w:t> </w:t>
      </w:r>
      <w:r w:rsidRPr="00B1740A">
        <w:rPr>
          <w:rFonts w:cs="Arial"/>
        </w:rPr>
        <w:t xml:space="preserve">zjednodušení </w:t>
      </w:r>
      <w:r>
        <w:rPr>
          <w:rFonts w:cs="Arial"/>
        </w:rPr>
        <w:t xml:space="preserve">a zpřehlednění </w:t>
      </w:r>
      <w:r w:rsidRPr="00B1740A">
        <w:rPr>
          <w:rFonts w:cs="Arial"/>
        </w:rPr>
        <w:t>současného systému</w:t>
      </w:r>
      <w:r>
        <w:rPr>
          <w:rFonts w:cs="Arial"/>
        </w:rPr>
        <w:t xml:space="preserve">, čímž se zjednodušuje možnost </w:t>
      </w:r>
      <w:r w:rsidRPr="00B1740A">
        <w:rPr>
          <w:rFonts w:cs="Arial"/>
        </w:rPr>
        <w:t>kontrol</w:t>
      </w:r>
      <w:r>
        <w:rPr>
          <w:rFonts w:cs="Arial"/>
        </w:rPr>
        <w:t>y</w:t>
      </w:r>
      <w:r w:rsidRPr="00B1740A">
        <w:rPr>
          <w:rFonts w:cs="Arial"/>
        </w:rPr>
        <w:t xml:space="preserve"> </w:t>
      </w:r>
      <w:r>
        <w:rPr>
          <w:rFonts w:cs="Arial"/>
        </w:rPr>
        <w:t xml:space="preserve">ze strany kontrolních orgánů ohledně </w:t>
      </w:r>
      <w:r w:rsidRPr="00B1740A">
        <w:rPr>
          <w:rFonts w:cs="Arial"/>
        </w:rPr>
        <w:t>splnění podmínek nastavené hustoty sítě míst ZO</w:t>
      </w:r>
      <w:r>
        <w:rPr>
          <w:rFonts w:cs="Arial"/>
        </w:rPr>
        <w:t>.</w:t>
      </w:r>
    </w:p>
    <w:p w:rsidR="00CF75FD" w:rsidP="00CF75FD" w14:paraId="4340427C" w14:textId="77777777">
      <w:pPr>
        <w:pStyle w:val="Normlntun"/>
        <w:rPr>
          <w:rFonts w:cs="Arial"/>
        </w:rPr>
      </w:pPr>
      <w:r w:rsidRPr="00ED38E9">
        <w:rPr>
          <w:rFonts w:cs="Arial"/>
        </w:rPr>
        <w:t>Dopady na podnikatelské subjekty</w:t>
      </w:r>
    </w:p>
    <w:p w:rsidR="00CF75FD" w:rsidP="0039543B" w14:paraId="134372DB" w14:textId="77777777">
      <w:pPr>
        <w:pStyle w:val="Normlntun"/>
        <w:keepNext w:val="0"/>
        <w:widowControl w:val="0"/>
        <w:spacing w:before="120" w:line="276" w:lineRule="auto"/>
        <w:rPr>
          <w:rFonts w:cs="Arial"/>
          <w:b w:val="0"/>
        </w:rPr>
      </w:pPr>
      <w:r>
        <w:rPr>
          <w:rFonts w:cs="Arial"/>
          <w:b w:val="0"/>
        </w:rPr>
        <w:t xml:space="preserve">Tato varianta řeší současný problém </w:t>
      </w:r>
      <w:r w:rsidRPr="005F1159">
        <w:rPr>
          <w:rFonts w:cs="Arial"/>
          <w:b w:val="0"/>
        </w:rPr>
        <w:t xml:space="preserve">KS </w:t>
      </w:r>
      <w:r>
        <w:rPr>
          <w:rFonts w:cs="Arial"/>
          <w:b w:val="0"/>
        </w:rPr>
        <w:t xml:space="preserve">se zřizováním nových míst ZO, pokud v obci je zřízeno místo ZO jiným KS a obec nemá zájem uzavřít </w:t>
      </w:r>
      <w:r w:rsidRPr="005F1159">
        <w:rPr>
          <w:rFonts w:cs="Arial"/>
          <w:b w:val="0"/>
        </w:rPr>
        <w:t>smlouvu s další</w:t>
      </w:r>
      <w:r>
        <w:rPr>
          <w:rFonts w:cs="Arial"/>
          <w:b w:val="0"/>
        </w:rPr>
        <w:t>m subjektem. Na</w:t>
      </w:r>
      <w:r w:rsidRPr="005F1159">
        <w:rPr>
          <w:rFonts w:cs="Arial"/>
          <w:b w:val="0"/>
        </w:rPr>
        <w:t>v</w:t>
      </w:r>
      <w:r>
        <w:rPr>
          <w:rFonts w:cs="Arial"/>
          <w:b w:val="0"/>
        </w:rPr>
        <w:t>r</w:t>
      </w:r>
      <w:r w:rsidRPr="005F1159">
        <w:rPr>
          <w:rFonts w:cs="Arial"/>
          <w:b w:val="0"/>
        </w:rPr>
        <w:t>hovaná změna dává výrobcům</w:t>
      </w:r>
      <w:r>
        <w:rPr>
          <w:rFonts w:cs="Arial"/>
          <w:b w:val="0"/>
        </w:rPr>
        <w:t xml:space="preserve"> EEZ, potažmo </w:t>
      </w:r>
      <w:r w:rsidRPr="005F1159">
        <w:rPr>
          <w:rFonts w:cs="Arial"/>
          <w:b w:val="0"/>
        </w:rPr>
        <w:t xml:space="preserve">KS větší volnost, kde vytvářet místa ZO, přičemž celkový </w:t>
      </w:r>
      <w:r>
        <w:rPr>
          <w:rFonts w:cs="Arial"/>
          <w:b w:val="0"/>
        </w:rPr>
        <w:t>p</w:t>
      </w:r>
      <w:r w:rsidRPr="005F1159">
        <w:rPr>
          <w:rFonts w:cs="Arial"/>
          <w:b w:val="0"/>
        </w:rPr>
        <w:t>očet obyvatel, které mu</w:t>
      </w:r>
      <w:r>
        <w:rPr>
          <w:rFonts w:cs="Arial"/>
          <w:b w:val="0"/>
        </w:rPr>
        <w:t>sí výrobce/KS pokrýt místy ZO zůstává přibližně stejný, a zároveň  rovnoměrněji rozprostírá místa ZO EEZ.</w:t>
      </w:r>
    </w:p>
    <w:p w:rsidR="00CF75FD" w:rsidP="00CF75FD" w14:paraId="1D99ECF0" w14:textId="77777777">
      <w:pPr>
        <w:pStyle w:val="Normlntun"/>
        <w:keepNext w:val="0"/>
        <w:widowControl w:val="0"/>
        <w:spacing w:line="276" w:lineRule="auto"/>
        <w:rPr>
          <w:rFonts w:cs="Arial"/>
          <w:b w:val="0"/>
        </w:rPr>
      </w:pPr>
      <w:r>
        <w:rPr>
          <w:rFonts w:cs="Arial"/>
          <w:b w:val="0"/>
        </w:rPr>
        <w:t xml:space="preserve">Dle varianty 2 je hustota sběrné sítě definována jako 1 </w:t>
      </w:r>
      <w:r w:rsidRPr="00CF75FD">
        <w:rPr>
          <w:rFonts w:cs="Arial"/>
          <w:b w:val="0"/>
        </w:rPr>
        <w:t>místo ZO na každých 10 tis. obyvatel v každém kraji.</w:t>
      </w:r>
      <w:r>
        <w:rPr>
          <w:rFonts w:cs="Arial"/>
          <w:b w:val="0"/>
        </w:rPr>
        <w:t xml:space="preserve"> Počet míst ZO v jednotlivých krajích a celkovou hustotu sběrné sítě ukazuje následující tabulka.</w:t>
      </w:r>
    </w:p>
    <w:p w:rsidR="00CF75FD" w:rsidRPr="006B1BF3" w:rsidP="004F2CF7" w14:paraId="35238190" w14:textId="48FB8509">
      <w:pPr>
        <w:pStyle w:val="Normlntun"/>
        <w:spacing w:before="240"/>
        <w:rPr>
          <w:rFonts w:cs="Arial"/>
          <w:sz w:val="20"/>
        </w:rPr>
      </w:pPr>
      <w:r>
        <w:rPr>
          <w:rFonts w:cs="Arial"/>
          <w:sz w:val="20"/>
        </w:rPr>
        <w:t>Tabulka 46</w:t>
      </w:r>
      <w:r w:rsidRPr="00994CCC">
        <w:rPr>
          <w:rFonts w:cs="Arial"/>
          <w:sz w:val="20"/>
        </w:rPr>
        <w:t>:</w:t>
      </w:r>
      <w:r w:rsidRPr="006B1BF3">
        <w:rPr>
          <w:rFonts w:cs="Arial"/>
          <w:sz w:val="20"/>
        </w:rPr>
        <w:t xml:space="preserve"> Minimální počet sběrných míst u EEZ při požadavku zřízení 1 místa ZO na každých 10 tis. obyvatel v kraji</w:t>
      </w:r>
    </w:p>
    <w:tbl>
      <w:tblPr>
        <w:tblW w:w="6374" w:type="dxa"/>
        <w:tblCellMar>
          <w:left w:w="70" w:type="dxa"/>
          <w:right w:w="70" w:type="dxa"/>
        </w:tblCellMar>
        <w:tblLook w:val="04A0"/>
      </w:tblPr>
      <w:tblGrid>
        <w:gridCol w:w="2740"/>
        <w:gridCol w:w="1915"/>
        <w:gridCol w:w="1719"/>
      </w:tblGrid>
      <w:tr w14:paraId="41002919" w14:textId="77777777" w:rsidTr="00CF75FD">
        <w:tblPrEx>
          <w:tblW w:w="6374" w:type="dxa"/>
          <w:tblCellMar>
            <w:left w:w="70" w:type="dxa"/>
            <w:right w:w="70" w:type="dxa"/>
          </w:tblCellMar>
          <w:tblLook w:val="04A0"/>
        </w:tblPrEx>
        <w:trPr>
          <w:trHeight w:val="313"/>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F75FD" w:rsidRPr="006B1BF3" w:rsidP="00CF75FD" w14:paraId="2E2E4B01" w14:textId="77777777">
            <w:pPr>
              <w:spacing w:before="40" w:after="40" w:line="240" w:lineRule="auto"/>
              <w:jc w:val="center"/>
              <w:rPr>
                <w:b/>
                <w:bCs/>
                <w:noProof w:val="0"/>
                <w:color w:val="000000"/>
                <w:lang w:eastAsia="cs-CZ" w:bidi="ar-SA"/>
              </w:rPr>
            </w:pPr>
            <w:r w:rsidRPr="006B1BF3">
              <w:rPr>
                <w:b/>
              </w:rPr>
              <w:t>Hustota sběrné sítě u elektrozařízení</w:t>
            </w:r>
          </w:p>
        </w:tc>
      </w:tr>
      <w:tr w14:paraId="081DA64D" w14:textId="77777777" w:rsidTr="00CF75FD">
        <w:tblPrEx>
          <w:tblW w:w="6374" w:type="dxa"/>
          <w:tblCellMar>
            <w:left w:w="70" w:type="dxa"/>
            <w:right w:w="70" w:type="dxa"/>
          </w:tblCellMar>
          <w:tblLook w:val="04A0"/>
        </w:tblPrEx>
        <w:trPr>
          <w:trHeight w:val="313"/>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5FD" w:rsidRPr="006B1BF3" w:rsidP="00CF75FD" w14:paraId="3E3585B7" w14:textId="77777777">
            <w:pPr>
              <w:spacing w:before="40" w:after="40" w:line="240" w:lineRule="auto"/>
              <w:jc w:val="center"/>
              <w:rPr>
                <w:b/>
                <w:noProof w:val="0"/>
                <w:lang w:eastAsia="cs-CZ" w:bidi="ar-SA"/>
              </w:rPr>
            </w:pPr>
            <w:r w:rsidRPr="006B1BF3">
              <w:rPr>
                <w:b/>
                <w:noProof w:val="0"/>
                <w:lang w:eastAsia="cs-CZ" w:bidi="ar-SA"/>
              </w:rPr>
              <w:t>Kraj</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CF75FD" w:rsidRPr="006B1BF3" w:rsidP="00CF75FD" w14:paraId="26578AF5" w14:textId="77777777">
            <w:pPr>
              <w:spacing w:before="40" w:after="40" w:line="240" w:lineRule="auto"/>
              <w:jc w:val="center"/>
              <w:rPr>
                <w:b/>
                <w:noProof w:val="0"/>
                <w:lang w:eastAsia="cs-CZ" w:bidi="ar-SA"/>
              </w:rPr>
            </w:pPr>
            <w:r w:rsidRPr="006B1BF3">
              <w:rPr>
                <w:b/>
                <w:noProof w:val="0"/>
                <w:lang w:eastAsia="cs-CZ" w:bidi="ar-SA"/>
              </w:rPr>
              <w:t>Počet obyvatel</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CF75FD" w:rsidRPr="006B1BF3" w:rsidP="00CF75FD" w14:paraId="077AABCE" w14:textId="77777777">
            <w:pPr>
              <w:spacing w:before="40" w:after="40" w:line="240" w:lineRule="auto"/>
              <w:jc w:val="center"/>
              <w:rPr>
                <w:b/>
                <w:bCs/>
                <w:noProof w:val="0"/>
                <w:color w:val="000000"/>
                <w:lang w:eastAsia="cs-CZ" w:bidi="ar-SA"/>
              </w:rPr>
            </w:pPr>
            <w:r w:rsidRPr="006B1BF3">
              <w:rPr>
                <w:b/>
                <w:bCs/>
                <w:noProof w:val="0"/>
                <w:color w:val="000000"/>
                <w:lang w:eastAsia="cs-CZ" w:bidi="ar-SA"/>
              </w:rPr>
              <w:t>Počet míst ZO</w:t>
            </w:r>
          </w:p>
        </w:tc>
      </w:tr>
      <w:tr w14:paraId="36935583"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74818EBE" w14:textId="77777777">
            <w:pPr>
              <w:spacing w:before="40" w:after="40" w:line="240" w:lineRule="auto"/>
              <w:jc w:val="left"/>
              <w:rPr>
                <w:noProof w:val="0"/>
                <w:lang w:eastAsia="cs-CZ" w:bidi="ar-SA"/>
              </w:rPr>
            </w:pPr>
            <w:r w:rsidRPr="00C700DA">
              <w:rPr>
                <w:noProof w:val="0"/>
                <w:lang w:eastAsia="cs-CZ" w:bidi="ar-SA"/>
              </w:rPr>
              <w:t>Hlavní město Praha</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294E06C3" w14:textId="77777777">
            <w:pPr>
              <w:spacing w:before="40" w:after="40" w:line="240" w:lineRule="auto"/>
              <w:jc w:val="center"/>
              <w:rPr>
                <w:noProof w:val="0"/>
                <w:lang w:eastAsia="cs-CZ" w:bidi="ar-SA"/>
              </w:rPr>
            </w:pPr>
            <w:r w:rsidRPr="00C700DA">
              <w:rPr>
                <w:noProof w:val="0"/>
                <w:lang w:eastAsia="cs-CZ" w:bidi="ar-SA"/>
              </w:rPr>
              <w:t>1 308 632</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1662482" w14:textId="77777777">
            <w:pPr>
              <w:spacing w:before="40" w:after="40" w:line="240" w:lineRule="auto"/>
              <w:jc w:val="center"/>
              <w:rPr>
                <w:noProof w:val="0"/>
                <w:color w:val="000000"/>
                <w:lang w:eastAsia="cs-CZ" w:bidi="ar-SA"/>
              </w:rPr>
            </w:pPr>
            <w:r w:rsidRPr="00C700DA">
              <w:rPr>
                <w:noProof w:val="0"/>
                <w:color w:val="000000"/>
                <w:lang w:eastAsia="cs-CZ" w:bidi="ar-SA"/>
              </w:rPr>
              <w:t>131</w:t>
            </w:r>
          </w:p>
        </w:tc>
      </w:tr>
      <w:tr w14:paraId="7E975944"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D44449A" w14:textId="77777777">
            <w:pPr>
              <w:spacing w:before="40" w:after="40" w:line="240" w:lineRule="auto"/>
              <w:jc w:val="left"/>
              <w:rPr>
                <w:noProof w:val="0"/>
                <w:lang w:eastAsia="cs-CZ" w:bidi="ar-SA"/>
              </w:rPr>
            </w:pPr>
            <w:r w:rsidRPr="00C700DA">
              <w:rPr>
                <w:noProof w:val="0"/>
                <w:lang w:eastAsia="cs-CZ" w:bidi="ar-SA"/>
              </w:rPr>
              <w:t>Středočeský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F08A2C2" w14:textId="77777777">
            <w:pPr>
              <w:spacing w:before="40" w:after="40" w:line="240" w:lineRule="auto"/>
              <w:jc w:val="center"/>
              <w:rPr>
                <w:noProof w:val="0"/>
                <w:lang w:eastAsia="cs-CZ" w:bidi="ar-SA"/>
              </w:rPr>
            </w:pPr>
            <w:r w:rsidRPr="00C700DA">
              <w:rPr>
                <w:noProof w:val="0"/>
                <w:lang w:eastAsia="cs-CZ" w:bidi="ar-SA"/>
              </w:rPr>
              <w:t>1 369 332</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958CC03" w14:textId="77777777">
            <w:pPr>
              <w:spacing w:before="40" w:after="40" w:line="240" w:lineRule="auto"/>
              <w:jc w:val="center"/>
              <w:rPr>
                <w:noProof w:val="0"/>
                <w:color w:val="000000"/>
                <w:lang w:eastAsia="cs-CZ" w:bidi="ar-SA"/>
              </w:rPr>
            </w:pPr>
            <w:r w:rsidRPr="00C700DA">
              <w:rPr>
                <w:noProof w:val="0"/>
                <w:color w:val="000000"/>
                <w:lang w:eastAsia="cs-CZ" w:bidi="ar-SA"/>
              </w:rPr>
              <w:t>137</w:t>
            </w:r>
          </w:p>
        </w:tc>
      </w:tr>
      <w:tr w14:paraId="4EDF50C6"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0F487F2A" w14:textId="77777777">
            <w:pPr>
              <w:spacing w:before="40" w:after="40" w:line="240" w:lineRule="auto"/>
              <w:jc w:val="left"/>
              <w:rPr>
                <w:noProof w:val="0"/>
                <w:lang w:eastAsia="cs-CZ" w:bidi="ar-SA"/>
              </w:rPr>
            </w:pPr>
            <w:r w:rsidRPr="00C700DA">
              <w:rPr>
                <w:noProof w:val="0"/>
                <w:lang w:eastAsia="cs-CZ" w:bidi="ar-SA"/>
              </w:rPr>
              <w:t>Jihočeský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6B4332AA" w14:textId="77777777">
            <w:pPr>
              <w:spacing w:before="40" w:after="40" w:line="240" w:lineRule="auto"/>
              <w:jc w:val="center"/>
              <w:rPr>
                <w:noProof w:val="0"/>
                <w:lang w:eastAsia="cs-CZ" w:bidi="ar-SA"/>
              </w:rPr>
            </w:pPr>
            <w:r w:rsidRPr="00C700DA">
              <w:rPr>
                <w:noProof w:val="0"/>
                <w:lang w:eastAsia="cs-CZ" w:bidi="ar-SA"/>
              </w:rPr>
              <w:t>642 133</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BFB9DBF" w14:textId="77777777">
            <w:pPr>
              <w:spacing w:before="40" w:after="40" w:line="240" w:lineRule="auto"/>
              <w:jc w:val="center"/>
              <w:rPr>
                <w:noProof w:val="0"/>
                <w:color w:val="000000"/>
                <w:lang w:eastAsia="cs-CZ" w:bidi="ar-SA"/>
              </w:rPr>
            </w:pPr>
            <w:r w:rsidRPr="00C700DA">
              <w:rPr>
                <w:noProof w:val="0"/>
                <w:color w:val="000000"/>
                <w:lang w:eastAsia="cs-CZ" w:bidi="ar-SA"/>
              </w:rPr>
              <w:t>64</w:t>
            </w:r>
          </w:p>
        </w:tc>
      </w:tr>
      <w:tr w14:paraId="2FC7B683"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82A9218" w14:textId="77777777">
            <w:pPr>
              <w:spacing w:before="40" w:after="40" w:line="240" w:lineRule="auto"/>
              <w:jc w:val="left"/>
              <w:rPr>
                <w:noProof w:val="0"/>
                <w:lang w:eastAsia="cs-CZ" w:bidi="ar-SA"/>
              </w:rPr>
            </w:pPr>
            <w:r w:rsidRPr="00C700DA">
              <w:rPr>
                <w:noProof w:val="0"/>
                <w:lang w:eastAsia="cs-CZ" w:bidi="ar-SA"/>
              </w:rPr>
              <w:t>Plzeňský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4339E93" w14:textId="77777777">
            <w:pPr>
              <w:spacing w:before="40" w:after="40" w:line="240" w:lineRule="auto"/>
              <w:jc w:val="center"/>
              <w:rPr>
                <w:noProof w:val="0"/>
                <w:lang w:eastAsia="cs-CZ" w:bidi="ar-SA"/>
              </w:rPr>
            </w:pPr>
            <w:r w:rsidRPr="00C700DA">
              <w:rPr>
                <w:noProof w:val="0"/>
                <w:lang w:eastAsia="cs-CZ" w:bidi="ar-SA"/>
              </w:rPr>
              <w:t>584 672</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B5750E9" w14:textId="77777777">
            <w:pPr>
              <w:spacing w:before="40" w:after="40" w:line="240" w:lineRule="auto"/>
              <w:jc w:val="center"/>
              <w:rPr>
                <w:noProof w:val="0"/>
                <w:color w:val="000000"/>
                <w:lang w:eastAsia="cs-CZ" w:bidi="ar-SA"/>
              </w:rPr>
            </w:pPr>
            <w:r w:rsidRPr="00C700DA">
              <w:rPr>
                <w:noProof w:val="0"/>
                <w:color w:val="000000"/>
                <w:lang w:eastAsia="cs-CZ" w:bidi="ar-SA"/>
              </w:rPr>
              <w:t>58</w:t>
            </w:r>
          </w:p>
        </w:tc>
      </w:tr>
      <w:tr w14:paraId="1B262856"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1BB19E74" w14:textId="77777777">
            <w:pPr>
              <w:spacing w:before="40" w:after="40" w:line="240" w:lineRule="auto"/>
              <w:jc w:val="left"/>
              <w:rPr>
                <w:noProof w:val="0"/>
                <w:lang w:eastAsia="cs-CZ" w:bidi="ar-SA"/>
              </w:rPr>
            </w:pPr>
            <w:r w:rsidRPr="00C700DA">
              <w:rPr>
                <w:noProof w:val="0"/>
                <w:lang w:eastAsia="cs-CZ" w:bidi="ar-SA"/>
              </w:rPr>
              <w:t xml:space="preserve">Karlovarský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81879F9" w14:textId="77777777">
            <w:pPr>
              <w:spacing w:before="40" w:after="40" w:line="240" w:lineRule="auto"/>
              <w:jc w:val="center"/>
              <w:rPr>
                <w:noProof w:val="0"/>
                <w:lang w:eastAsia="cs-CZ" w:bidi="ar-SA"/>
              </w:rPr>
            </w:pPr>
            <w:r w:rsidRPr="00C700DA">
              <w:rPr>
                <w:noProof w:val="0"/>
                <w:lang w:eastAsia="cs-CZ" w:bidi="ar-SA"/>
              </w:rPr>
              <w:t>294 896</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2E0BF0EB" w14:textId="77777777">
            <w:pPr>
              <w:spacing w:before="40" w:after="40" w:line="240" w:lineRule="auto"/>
              <w:jc w:val="center"/>
              <w:rPr>
                <w:noProof w:val="0"/>
                <w:color w:val="000000"/>
                <w:lang w:eastAsia="cs-CZ" w:bidi="ar-SA"/>
              </w:rPr>
            </w:pPr>
            <w:r w:rsidRPr="00C700DA">
              <w:rPr>
                <w:noProof w:val="0"/>
                <w:color w:val="000000"/>
                <w:lang w:eastAsia="cs-CZ" w:bidi="ar-SA"/>
              </w:rPr>
              <w:t>29</w:t>
            </w:r>
          </w:p>
        </w:tc>
      </w:tr>
      <w:tr w14:paraId="67F4F746"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21E6313A" w14:textId="77777777">
            <w:pPr>
              <w:spacing w:before="40" w:after="40" w:line="240" w:lineRule="auto"/>
              <w:jc w:val="left"/>
              <w:rPr>
                <w:noProof w:val="0"/>
                <w:lang w:eastAsia="cs-CZ" w:bidi="ar-SA"/>
              </w:rPr>
            </w:pPr>
            <w:r w:rsidRPr="00C700DA">
              <w:rPr>
                <w:noProof w:val="0"/>
                <w:lang w:eastAsia="cs-CZ" w:bidi="ar-SA"/>
              </w:rPr>
              <w:t xml:space="preserve">Ústecký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6FB4A93" w14:textId="77777777">
            <w:pPr>
              <w:spacing w:before="40" w:after="40" w:line="240" w:lineRule="auto"/>
              <w:jc w:val="center"/>
              <w:rPr>
                <w:noProof w:val="0"/>
                <w:lang w:eastAsia="cs-CZ" w:bidi="ar-SA"/>
              </w:rPr>
            </w:pPr>
            <w:r w:rsidRPr="00C700DA">
              <w:rPr>
                <w:noProof w:val="0"/>
                <w:lang w:eastAsia="cs-CZ" w:bidi="ar-SA"/>
              </w:rPr>
              <w:t>820 789</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168AE56" w14:textId="77777777">
            <w:pPr>
              <w:spacing w:before="40" w:after="40" w:line="240" w:lineRule="auto"/>
              <w:jc w:val="center"/>
              <w:rPr>
                <w:noProof w:val="0"/>
                <w:color w:val="000000"/>
                <w:lang w:eastAsia="cs-CZ" w:bidi="ar-SA"/>
              </w:rPr>
            </w:pPr>
            <w:r w:rsidRPr="00C700DA">
              <w:rPr>
                <w:noProof w:val="0"/>
                <w:color w:val="000000"/>
                <w:lang w:eastAsia="cs-CZ" w:bidi="ar-SA"/>
              </w:rPr>
              <w:t>82</w:t>
            </w:r>
          </w:p>
        </w:tc>
      </w:tr>
      <w:tr w14:paraId="656B5281"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3BBF370F" w14:textId="77777777">
            <w:pPr>
              <w:spacing w:before="40" w:after="40" w:line="240" w:lineRule="auto"/>
              <w:jc w:val="left"/>
              <w:rPr>
                <w:noProof w:val="0"/>
                <w:lang w:eastAsia="cs-CZ" w:bidi="ar-SA"/>
              </w:rPr>
            </w:pPr>
            <w:r w:rsidRPr="00C700DA">
              <w:rPr>
                <w:noProof w:val="0"/>
                <w:lang w:eastAsia="cs-CZ" w:bidi="ar-SA"/>
              </w:rPr>
              <w:t xml:space="preserve">Liberecký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1B0133E" w14:textId="77777777">
            <w:pPr>
              <w:spacing w:before="40" w:after="40" w:line="240" w:lineRule="auto"/>
              <w:jc w:val="center"/>
              <w:rPr>
                <w:noProof w:val="0"/>
                <w:lang w:eastAsia="cs-CZ" w:bidi="ar-SA"/>
              </w:rPr>
            </w:pPr>
            <w:r w:rsidRPr="00C700DA">
              <w:rPr>
                <w:noProof w:val="0"/>
                <w:lang w:eastAsia="cs-CZ" w:bidi="ar-SA"/>
              </w:rPr>
              <w:t>442 356</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ADEEE5D" w14:textId="77777777">
            <w:pPr>
              <w:spacing w:before="40" w:after="40" w:line="240" w:lineRule="auto"/>
              <w:jc w:val="center"/>
              <w:rPr>
                <w:noProof w:val="0"/>
                <w:color w:val="000000"/>
                <w:lang w:eastAsia="cs-CZ" w:bidi="ar-SA"/>
              </w:rPr>
            </w:pPr>
            <w:r w:rsidRPr="00C700DA">
              <w:rPr>
                <w:noProof w:val="0"/>
                <w:color w:val="000000"/>
                <w:lang w:eastAsia="cs-CZ" w:bidi="ar-SA"/>
              </w:rPr>
              <w:t>44</w:t>
            </w:r>
          </w:p>
        </w:tc>
      </w:tr>
      <w:tr w14:paraId="5DD0A14F"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1490E34" w14:textId="77777777">
            <w:pPr>
              <w:spacing w:before="40" w:after="40" w:line="240" w:lineRule="auto"/>
              <w:jc w:val="left"/>
              <w:rPr>
                <w:noProof w:val="0"/>
                <w:lang w:eastAsia="cs-CZ" w:bidi="ar-SA"/>
              </w:rPr>
            </w:pPr>
            <w:r w:rsidRPr="00C700DA">
              <w:rPr>
                <w:noProof w:val="0"/>
                <w:lang w:eastAsia="cs-CZ" w:bidi="ar-SA"/>
              </w:rPr>
              <w:t xml:space="preserve">Královéhradecký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AB2DDF2" w14:textId="77777777">
            <w:pPr>
              <w:spacing w:before="40" w:after="40" w:line="240" w:lineRule="auto"/>
              <w:jc w:val="center"/>
              <w:rPr>
                <w:noProof w:val="0"/>
                <w:lang w:eastAsia="cs-CZ" w:bidi="ar-SA"/>
              </w:rPr>
            </w:pPr>
            <w:r w:rsidRPr="00C700DA">
              <w:rPr>
                <w:noProof w:val="0"/>
                <w:lang w:eastAsia="cs-CZ" w:bidi="ar-SA"/>
              </w:rPr>
              <w:t>551 021</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AF96CD2" w14:textId="77777777">
            <w:pPr>
              <w:spacing w:before="40" w:after="40" w:line="240" w:lineRule="auto"/>
              <w:jc w:val="center"/>
              <w:rPr>
                <w:noProof w:val="0"/>
                <w:color w:val="000000"/>
                <w:lang w:eastAsia="cs-CZ" w:bidi="ar-SA"/>
              </w:rPr>
            </w:pPr>
            <w:r w:rsidRPr="00C700DA">
              <w:rPr>
                <w:noProof w:val="0"/>
                <w:color w:val="000000"/>
                <w:lang w:eastAsia="cs-CZ" w:bidi="ar-SA"/>
              </w:rPr>
              <w:t>55</w:t>
            </w:r>
          </w:p>
        </w:tc>
      </w:tr>
      <w:tr w14:paraId="2E3EFD1B"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27C9388E" w14:textId="77777777">
            <w:pPr>
              <w:spacing w:before="40" w:after="40" w:line="240" w:lineRule="auto"/>
              <w:jc w:val="left"/>
              <w:rPr>
                <w:noProof w:val="0"/>
                <w:lang w:eastAsia="cs-CZ" w:bidi="ar-SA"/>
              </w:rPr>
            </w:pPr>
            <w:r w:rsidRPr="00C700DA">
              <w:rPr>
                <w:noProof w:val="0"/>
                <w:lang w:eastAsia="cs-CZ" w:bidi="ar-SA"/>
              </w:rPr>
              <w:t xml:space="preserve">Pardubický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6D8B65CB" w14:textId="77777777">
            <w:pPr>
              <w:spacing w:before="40" w:after="40" w:line="240" w:lineRule="auto"/>
              <w:jc w:val="center"/>
              <w:rPr>
                <w:noProof w:val="0"/>
                <w:lang w:eastAsia="cs-CZ" w:bidi="ar-SA"/>
              </w:rPr>
            </w:pPr>
            <w:r w:rsidRPr="00C700DA">
              <w:rPr>
                <w:noProof w:val="0"/>
                <w:lang w:eastAsia="cs-CZ" w:bidi="ar-SA"/>
              </w:rPr>
              <w:t>520 316</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7CCFE28" w14:textId="77777777">
            <w:pPr>
              <w:spacing w:before="40" w:after="40" w:line="240" w:lineRule="auto"/>
              <w:jc w:val="center"/>
              <w:rPr>
                <w:noProof w:val="0"/>
                <w:color w:val="000000"/>
                <w:lang w:eastAsia="cs-CZ" w:bidi="ar-SA"/>
              </w:rPr>
            </w:pPr>
            <w:r w:rsidRPr="00C700DA">
              <w:rPr>
                <w:noProof w:val="0"/>
                <w:color w:val="000000"/>
                <w:lang w:eastAsia="cs-CZ" w:bidi="ar-SA"/>
              </w:rPr>
              <w:t>52</w:t>
            </w:r>
          </w:p>
        </w:tc>
      </w:tr>
      <w:tr w14:paraId="2B7ECB6D"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180AD9B" w14:textId="77777777">
            <w:pPr>
              <w:spacing w:before="40" w:after="40" w:line="240" w:lineRule="auto"/>
              <w:jc w:val="left"/>
              <w:rPr>
                <w:noProof w:val="0"/>
                <w:lang w:eastAsia="cs-CZ" w:bidi="ar-SA"/>
              </w:rPr>
            </w:pPr>
            <w:r w:rsidRPr="00C700DA">
              <w:rPr>
                <w:noProof w:val="0"/>
                <w:lang w:eastAsia="cs-CZ" w:bidi="ar-SA"/>
              </w:rPr>
              <w:t>Vysočina</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090E103" w14:textId="77777777">
            <w:pPr>
              <w:spacing w:before="40" w:after="40" w:line="240" w:lineRule="auto"/>
              <w:jc w:val="center"/>
              <w:rPr>
                <w:noProof w:val="0"/>
                <w:lang w:eastAsia="cs-CZ" w:bidi="ar-SA"/>
              </w:rPr>
            </w:pPr>
            <w:r w:rsidRPr="00C700DA">
              <w:rPr>
                <w:noProof w:val="0"/>
                <w:lang w:eastAsia="cs-CZ" w:bidi="ar-SA"/>
              </w:rPr>
              <w:t>509 274</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5114F16D" w14:textId="77777777">
            <w:pPr>
              <w:spacing w:before="40" w:after="40" w:line="240" w:lineRule="auto"/>
              <w:jc w:val="center"/>
              <w:rPr>
                <w:noProof w:val="0"/>
                <w:color w:val="000000"/>
                <w:lang w:eastAsia="cs-CZ" w:bidi="ar-SA"/>
              </w:rPr>
            </w:pPr>
            <w:r w:rsidRPr="00C700DA">
              <w:rPr>
                <w:noProof w:val="0"/>
                <w:color w:val="000000"/>
                <w:lang w:eastAsia="cs-CZ" w:bidi="ar-SA"/>
              </w:rPr>
              <w:t>51</w:t>
            </w:r>
          </w:p>
        </w:tc>
      </w:tr>
      <w:tr w14:paraId="0CE16709"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3A4ED7F5" w14:textId="77777777">
            <w:pPr>
              <w:spacing w:before="40" w:after="40" w:line="240" w:lineRule="auto"/>
              <w:jc w:val="left"/>
              <w:rPr>
                <w:noProof w:val="0"/>
                <w:lang w:eastAsia="cs-CZ" w:bidi="ar-SA"/>
              </w:rPr>
            </w:pPr>
            <w:r w:rsidRPr="00C700DA">
              <w:rPr>
                <w:noProof w:val="0"/>
                <w:lang w:eastAsia="cs-CZ" w:bidi="ar-SA"/>
              </w:rPr>
              <w:t xml:space="preserve">Jihomoravský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7DBFB727" w14:textId="77777777">
            <w:pPr>
              <w:spacing w:before="40" w:after="40" w:line="240" w:lineRule="auto"/>
              <w:jc w:val="center"/>
              <w:rPr>
                <w:noProof w:val="0"/>
                <w:lang w:eastAsia="cs-CZ" w:bidi="ar-SA"/>
              </w:rPr>
            </w:pPr>
            <w:r w:rsidRPr="00C700DA">
              <w:rPr>
                <w:noProof w:val="0"/>
                <w:lang w:eastAsia="cs-CZ" w:bidi="ar-SA"/>
              </w:rPr>
              <w:t>1 187 667</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EE25B9D" w14:textId="77777777">
            <w:pPr>
              <w:spacing w:before="40" w:after="40" w:line="240" w:lineRule="auto"/>
              <w:jc w:val="center"/>
              <w:rPr>
                <w:noProof w:val="0"/>
                <w:color w:val="000000"/>
                <w:lang w:eastAsia="cs-CZ" w:bidi="ar-SA"/>
              </w:rPr>
            </w:pPr>
            <w:r w:rsidRPr="00C700DA">
              <w:rPr>
                <w:noProof w:val="0"/>
                <w:color w:val="000000"/>
                <w:lang w:eastAsia="cs-CZ" w:bidi="ar-SA"/>
              </w:rPr>
              <w:t>119</w:t>
            </w:r>
          </w:p>
        </w:tc>
      </w:tr>
      <w:tr w14:paraId="36407F08"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3E3A854F" w14:textId="77777777">
            <w:pPr>
              <w:spacing w:before="40" w:after="40" w:line="240" w:lineRule="auto"/>
              <w:jc w:val="left"/>
              <w:rPr>
                <w:noProof w:val="0"/>
                <w:lang w:eastAsia="cs-CZ" w:bidi="ar-SA"/>
              </w:rPr>
            </w:pPr>
            <w:r w:rsidRPr="00C700DA">
              <w:rPr>
                <w:noProof w:val="0"/>
                <w:lang w:eastAsia="cs-CZ" w:bidi="ar-SA"/>
              </w:rPr>
              <w:t xml:space="preserve">Olomoucký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6618F4A6" w14:textId="77777777">
            <w:pPr>
              <w:spacing w:before="40" w:after="40" w:line="240" w:lineRule="auto"/>
              <w:jc w:val="center"/>
              <w:rPr>
                <w:noProof w:val="0"/>
                <w:lang w:eastAsia="cs-CZ" w:bidi="ar-SA"/>
              </w:rPr>
            </w:pPr>
            <w:r w:rsidRPr="00C700DA">
              <w:rPr>
                <w:noProof w:val="0"/>
                <w:lang w:eastAsia="cs-CZ" w:bidi="ar-SA"/>
              </w:rPr>
              <w:t>632 492</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666E730C" w14:textId="77777777">
            <w:pPr>
              <w:spacing w:before="40" w:after="40" w:line="240" w:lineRule="auto"/>
              <w:jc w:val="center"/>
              <w:rPr>
                <w:noProof w:val="0"/>
                <w:color w:val="000000"/>
                <w:lang w:eastAsia="cs-CZ" w:bidi="ar-SA"/>
              </w:rPr>
            </w:pPr>
            <w:r w:rsidRPr="00C700DA">
              <w:rPr>
                <w:noProof w:val="0"/>
                <w:color w:val="000000"/>
                <w:lang w:eastAsia="cs-CZ" w:bidi="ar-SA"/>
              </w:rPr>
              <w:t>63</w:t>
            </w:r>
          </w:p>
        </w:tc>
      </w:tr>
      <w:tr w14:paraId="0845344F"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356306B" w14:textId="77777777">
            <w:pPr>
              <w:spacing w:before="40" w:after="40" w:line="240" w:lineRule="auto"/>
              <w:jc w:val="left"/>
              <w:rPr>
                <w:noProof w:val="0"/>
                <w:lang w:eastAsia="cs-CZ" w:bidi="ar-SA"/>
              </w:rPr>
            </w:pPr>
            <w:r w:rsidRPr="00C700DA">
              <w:rPr>
                <w:noProof w:val="0"/>
                <w:lang w:eastAsia="cs-CZ" w:bidi="ar-SA"/>
              </w:rPr>
              <w:t xml:space="preserve">Zlínský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7C8C62E4" w14:textId="77777777">
            <w:pPr>
              <w:spacing w:before="40" w:after="40" w:line="240" w:lineRule="auto"/>
              <w:jc w:val="center"/>
              <w:rPr>
                <w:noProof w:val="0"/>
                <w:lang w:eastAsia="cs-CZ" w:bidi="ar-SA"/>
              </w:rPr>
            </w:pPr>
            <w:r w:rsidRPr="00C700DA">
              <w:rPr>
                <w:noProof w:val="0"/>
                <w:lang w:eastAsia="cs-CZ" w:bidi="ar-SA"/>
              </w:rPr>
              <w:t>582 921</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0BAC5DB" w14:textId="77777777">
            <w:pPr>
              <w:spacing w:before="40" w:after="40" w:line="240" w:lineRule="auto"/>
              <w:jc w:val="center"/>
              <w:rPr>
                <w:noProof w:val="0"/>
                <w:color w:val="000000"/>
                <w:lang w:eastAsia="cs-CZ" w:bidi="ar-SA"/>
              </w:rPr>
            </w:pPr>
            <w:r w:rsidRPr="00C700DA">
              <w:rPr>
                <w:noProof w:val="0"/>
                <w:color w:val="000000"/>
                <w:lang w:eastAsia="cs-CZ" w:bidi="ar-SA"/>
              </w:rPr>
              <w:t>58</w:t>
            </w:r>
          </w:p>
        </w:tc>
      </w:tr>
      <w:tr w14:paraId="400CCC1F"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1F474B1" w14:textId="77777777">
            <w:pPr>
              <w:spacing w:before="40" w:after="40" w:line="240" w:lineRule="auto"/>
              <w:jc w:val="left"/>
              <w:rPr>
                <w:noProof w:val="0"/>
                <w:lang w:eastAsia="cs-CZ" w:bidi="ar-SA"/>
              </w:rPr>
            </w:pPr>
            <w:r w:rsidRPr="00C700DA">
              <w:rPr>
                <w:noProof w:val="0"/>
                <w:lang w:eastAsia="cs-CZ" w:bidi="ar-SA"/>
              </w:rPr>
              <w:t xml:space="preserve">Moravskoslezský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7A2D9AC4" w14:textId="77777777">
            <w:pPr>
              <w:spacing w:before="40" w:after="40" w:line="240" w:lineRule="auto"/>
              <w:jc w:val="center"/>
              <w:rPr>
                <w:noProof w:val="0"/>
                <w:lang w:eastAsia="cs-CZ" w:bidi="ar-SA"/>
              </w:rPr>
            </w:pPr>
            <w:r w:rsidRPr="00C700DA">
              <w:rPr>
                <w:noProof w:val="0"/>
                <w:lang w:eastAsia="cs-CZ" w:bidi="ar-SA"/>
              </w:rPr>
              <w:t>1 203 299</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29743B2" w14:textId="77777777">
            <w:pPr>
              <w:spacing w:before="40" w:after="40" w:line="240" w:lineRule="auto"/>
              <w:jc w:val="center"/>
              <w:rPr>
                <w:noProof w:val="0"/>
                <w:color w:val="000000"/>
                <w:lang w:eastAsia="cs-CZ" w:bidi="ar-SA"/>
              </w:rPr>
            </w:pPr>
            <w:r w:rsidRPr="00C700DA">
              <w:rPr>
                <w:noProof w:val="0"/>
                <w:color w:val="000000"/>
                <w:lang w:eastAsia="cs-CZ" w:bidi="ar-SA"/>
              </w:rPr>
              <w:t>120</w:t>
            </w:r>
          </w:p>
        </w:tc>
      </w:tr>
      <w:tr w14:paraId="1ED0DE69"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5FF8D8A" w14:textId="77777777">
            <w:pPr>
              <w:spacing w:before="40" w:after="40" w:line="240" w:lineRule="auto"/>
              <w:jc w:val="left"/>
              <w:rPr>
                <w:b/>
                <w:bCs/>
                <w:noProof w:val="0"/>
                <w:lang w:eastAsia="cs-CZ" w:bidi="ar-SA"/>
              </w:rPr>
            </w:pPr>
            <w:r>
              <w:rPr>
                <w:b/>
                <w:bCs/>
                <w:noProof w:val="0"/>
                <w:lang w:eastAsia="cs-CZ" w:bidi="ar-SA"/>
              </w:rPr>
              <w:t>Celkem</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77E5BD86" w14:textId="77777777">
            <w:pPr>
              <w:spacing w:before="40" w:after="40" w:line="240" w:lineRule="auto"/>
              <w:jc w:val="center"/>
              <w:rPr>
                <w:b/>
                <w:bCs/>
                <w:noProof w:val="0"/>
                <w:color w:val="000000"/>
                <w:lang w:eastAsia="cs-CZ" w:bidi="ar-SA"/>
              </w:rPr>
            </w:pPr>
            <w:r w:rsidRPr="00C700DA">
              <w:rPr>
                <w:b/>
                <w:bCs/>
                <w:noProof w:val="0"/>
                <w:color w:val="000000"/>
                <w:lang w:eastAsia="cs-CZ" w:bidi="ar-SA"/>
              </w:rPr>
              <w:t>10 649 800</w:t>
            </w:r>
          </w:p>
        </w:tc>
        <w:tc>
          <w:tcPr>
            <w:tcW w:w="1719"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3A4A814" w14:textId="77777777">
            <w:pPr>
              <w:spacing w:before="40" w:after="40" w:line="240" w:lineRule="auto"/>
              <w:jc w:val="center"/>
              <w:rPr>
                <w:b/>
                <w:bCs/>
                <w:noProof w:val="0"/>
                <w:color w:val="000000"/>
                <w:lang w:eastAsia="cs-CZ" w:bidi="ar-SA"/>
              </w:rPr>
            </w:pPr>
            <w:r w:rsidRPr="00C700DA">
              <w:rPr>
                <w:b/>
                <w:bCs/>
                <w:noProof w:val="0"/>
                <w:color w:val="000000"/>
                <w:lang w:eastAsia="cs-CZ" w:bidi="ar-SA"/>
              </w:rPr>
              <w:t>1 065</w:t>
            </w:r>
          </w:p>
        </w:tc>
      </w:tr>
    </w:tbl>
    <w:p w:rsidR="00CF75FD" w:rsidRPr="0039543B" w:rsidP="0039543B" w14:paraId="4DF11F23" w14:textId="652719DF">
      <w:pPr>
        <w:spacing w:before="240"/>
        <w:rPr>
          <w:rFonts w:cs="Arial"/>
        </w:rPr>
      </w:pPr>
      <w:r w:rsidRPr="0039543B">
        <w:rPr>
          <w:rFonts w:cs="Arial"/>
        </w:rPr>
        <w:t xml:space="preserve">Z tabulky 44 </w:t>
      </w:r>
      <w:r w:rsidRPr="0039543B">
        <w:t>vyplývá, že minimální počet míst ZO v celé ČR jako požadovaná hustota sběrné sítě, kterou musí KS zřídit dle této varianty je 1 065. Požadavek dle současně platného zákona odpovídá zhruba 800 míst ZO. Z tabulky 43 však vyplývá, že současná sběrná síť jednotlivých KS mnohonásobně převyšuje minimální požadavek na sběrnou síť, co do počtu míst. Z toho vyplývá, že tato změna požadavku na</w:t>
      </w:r>
      <w:r w:rsidRPr="0039543B">
        <w:rPr>
          <w:rFonts w:cs="Arial"/>
        </w:rPr>
        <w:t xml:space="preserve"> hustotu sběrné sítě by neměla mít pro současné KS na</w:t>
      </w:r>
      <w:r w:rsidRPr="0039543B" w:rsidR="00D81F64">
        <w:rPr>
          <w:rFonts w:cs="Arial"/>
        </w:rPr>
        <w:t> </w:t>
      </w:r>
      <w:r w:rsidRPr="0039543B">
        <w:rPr>
          <w:rFonts w:cs="Arial"/>
        </w:rPr>
        <w:t>EEZ žádné dopady. Údaje ohledně rozmístění jednotlivých sběrných míst nejsou dostupné, ale dle požadavků současného zákona sběrná místa pokrývají minimálně všechna větší města (nad 2000 obyvatel). Lze předpokládat, že aby KS dosáhly minimální požadované míry ZO EEZ, je třeba mít sběrnou síť rovnoměrněji rozloženou.</w:t>
      </w:r>
    </w:p>
    <w:p w:rsidR="00CF75FD" w:rsidRPr="00ED38E9" w:rsidP="00CF75FD" w14:paraId="36445603" w14:textId="77777777">
      <w:pPr>
        <w:pStyle w:val="Normlntun"/>
        <w:keepNext w:val="0"/>
        <w:widowControl w:val="0"/>
        <w:rPr>
          <w:rFonts w:cs="Arial"/>
        </w:rPr>
      </w:pPr>
      <w:r w:rsidRPr="00ED38E9">
        <w:rPr>
          <w:rFonts w:cs="Arial"/>
        </w:rPr>
        <w:t>Dopady na územní samosprávné celky (obce, kraje)</w:t>
      </w:r>
    </w:p>
    <w:p w:rsidR="00CF75FD" w:rsidRPr="003D652F" w:rsidP="0039543B" w14:paraId="76A471D3" w14:textId="77777777">
      <w:pPr>
        <w:pStyle w:val="Normlntun"/>
        <w:keepNext w:val="0"/>
        <w:widowControl w:val="0"/>
        <w:spacing w:before="120" w:line="276" w:lineRule="auto"/>
        <w:rPr>
          <w:rFonts w:cs="Arial"/>
          <w:b w:val="0"/>
        </w:rPr>
      </w:pPr>
      <w:r w:rsidRPr="003D652F">
        <w:rPr>
          <w:rFonts w:cs="Arial"/>
          <w:b w:val="0"/>
        </w:rPr>
        <w:t>Tato úprava by měla zajistit rovnoměrnější rozmístění sběrné sítě i v menších obcích, a tím i zlepšení dostupnosti míst ZO občanům především menších obcí a měst</w:t>
      </w:r>
      <w:r>
        <w:rPr>
          <w:rFonts w:cs="Arial"/>
          <w:b w:val="0"/>
        </w:rPr>
        <w:t xml:space="preserve">, a </w:t>
      </w:r>
      <w:r w:rsidRPr="00CF75FD">
        <w:rPr>
          <w:rFonts w:cs="Arial"/>
          <w:b w:val="0"/>
        </w:rPr>
        <w:t>snížení množství OEEZ končících v nádobách na komunální odpad</w:t>
      </w:r>
      <w:r w:rsidRPr="003D652F">
        <w:rPr>
          <w:rFonts w:cs="Arial"/>
          <w:b w:val="0"/>
        </w:rPr>
        <w:t>.</w:t>
      </w:r>
    </w:p>
    <w:p w:rsidR="00CF75FD" w:rsidRPr="00ED38E9" w:rsidP="00CF75FD" w14:paraId="1DAFA976" w14:textId="77777777">
      <w:pPr>
        <w:pStyle w:val="Normlntun"/>
        <w:keepNext w:val="0"/>
        <w:widowControl w:val="0"/>
        <w:rPr>
          <w:rFonts w:cs="Arial"/>
        </w:rPr>
      </w:pPr>
      <w:r w:rsidRPr="00ED38E9">
        <w:rPr>
          <w:rFonts w:cs="Arial"/>
        </w:rPr>
        <w:t>Sociální dopady</w:t>
      </w:r>
    </w:p>
    <w:p w:rsidR="00CF75FD" w:rsidRPr="0077419F" w:rsidP="0039543B" w14:paraId="7704C671" w14:textId="77777777">
      <w:pPr>
        <w:pStyle w:val="Normlntun"/>
        <w:keepNext w:val="0"/>
        <w:widowControl w:val="0"/>
        <w:spacing w:before="120" w:line="276" w:lineRule="auto"/>
        <w:rPr>
          <w:rFonts w:cs="Arial"/>
        </w:rPr>
      </w:pPr>
      <w:r>
        <w:rPr>
          <w:rFonts w:cs="Arial"/>
          <w:b w:val="0"/>
        </w:rPr>
        <w:t>Z</w:t>
      </w:r>
      <w:r w:rsidRPr="00CF75FD">
        <w:rPr>
          <w:rFonts w:cs="Arial"/>
          <w:b w:val="0"/>
        </w:rPr>
        <w:t>lepšení dostupnosti míst ZO občanům především menších obcí a měst.</w:t>
      </w:r>
    </w:p>
    <w:p w:rsidR="00CF75FD" w:rsidRPr="00ED38E9" w:rsidP="00CF75FD" w14:paraId="0D3DCE32" w14:textId="77777777">
      <w:pPr>
        <w:pStyle w:val="Normlntun"/>
        <w:keepNext w:val="0"/>
        <w:widowControl w:val="0"/>
        <w:rPr>
          <w:rFonts w:cs="Arial"/>
        </w:rPr>
      </w:pPr>
      <w:r w:rsidRPr="00ED38E9">
        <w:rPr>
          <w:rFonts w:cs="Arial"/>
        </w:rPr>
        <w:t>Dopady na životní prostředí</w:t>
      </w:r>
    </w:p>
    <w:p w:rsidR="00CF75FD" w:rsidP="00CF75FD" w14:paraId="171C126F" w14:textId="77777777">
      <w:pPr>
        <w:widowControl w:val="0"/>
        <w:rPr>
          <w:rFonts w:cs="Arial"/>
        </w:rPr>
      </w:pPr>
      <w:r>
        <w:rPr>
          <w:rFonts w:cs="Arial"/>
        </w:rPr>
        <w:t>V případě vybudování kvalitní sběrné sítě,</w:t>
      </w:r>
      <w:r w:rsidRPr="00ED38E9">
        <w:rPr>
          <w:rFonts w:cs="Arial"/>
        </w:rPr>
        <w:t xml:space="preserve"> a tím zjednodušení odevzdání OEEZ občanům </w:t>
      </w:r>
      <w:r>
        <w:rPr>
          <w:rFonts w:cs="Arial"/>
        </w:rPr>
        <w:t xml:space="preserve">lze očekávat zvýšení množství zpětně odebraných OEEZ a snížení množství OEEZ </w:t>
      </w:r>
      <w:r w:rsidRPr="00ED38E9">
        <w:rPr>
          <w:rFonts w:cs="Arial"/>
        </w:rPr>
        <w:t>konč</w:t>
      </w:r>
      <w:r>
        <w:rPr>
          <w:rFonts w:cs="Arial"/>
        </w:rPr>
        <w:t>ících</w:t>
      </w:r>
      <w:r w:rsidRPr="00ED38E9">
        <w:rPr>
          <w:rFonts w:cs="Arial"/>
        </w:rPr>
        <w:t xml:space="preserve"> v nádobách na komunální odpad, ale v místech </w:t>
      </w:r>
      <w:r>
        <w:rPr>
          <w:rFonts w:cs="Arial"/>
        </w:rPr>
        <w:t>ZO</w:t>
      </w:r>
      <w:r w:rsidRPr="00ED38E9">
        <w:rPr>
          <w:rFonts w:cs="Arial"/>
        </w:rPr>
        <w:t xml:space="preserve"> a bude provedena jejich recyklace.</w:t>
      </w:r>
    </w:p>
    <w:p w:rsidR="00CF75FD" w:rsidRPr="00ED38E9" w:rsidP="00CF75FD" w14:paraId="2AFBDDA1" w14:textId="77777777">
      <w:pPr>
        <w:rPr>
          <w:rFonts w:cs="Arial"/>
        </w:rPr>
      </w:pPr>
    </w:p>
    <w:p w:rsidR="00CF75FD" w:rsidRPr="008A1ED2" w:rsidP="00BF16B7" w14:paraId="1B7230E6" w14:textId="77777777">
      <w:pPr>
        <w:pStyle w:val="Heading3"/>
      </w:pPr>
      <w:r w:rsidRPr="008A1ED2">
        <w:t>Vyhodnocení nákladů a přínosů variant</w:t>
      </w:r>
    </w:p>
    <w:p w:rsidR="00CF75FD" w:rsidP="00CF75FD" w14:paraId="06CA9F01" w14:textId="42CE8AFC">
      <w:pPr>
        <w:pStyle w:val="Caption"/>
        <w:spacing w:before="120"/>
        <w:contextualSpacing w:val="0"/>
        <w:rPr>
          <w:rFonts w:cs="Arial"/>
          <w:sz w:val="20"/>
          <w:szCs w:val="20"/>
        </w:rPr>
      </w:pPr>
      <w:r w:rsidRPr="008A1ED2">
        <w:rPr>
          <w:rFonts w:cs="Arial"/>
          <w:sz w:val="20"/>
          <w:szCs w:val="20"/>
        </w:rPr>
        <w:t>Tabulka 4</w:t>
      </w:r>
      <w:r w:rsidR="00925F10">
        <w:rPr>
          <w:rFonts w:cs="Arial"/>
          <w:sz w:val="20"/>
          <w:szCs w:val="20"/>
        </w:rPr>
        <w:t>7</w:t>
      </w:r>
      <w:r w:rsidRPr="008A1ED2">
        <w:rPr>
          <w:rFonts w:cs="Arial"/>
          <w:sz w:val="20"/>
          <w:szCs w:val="20"/>
        </w:rPr>
        <w:t>: Porovnání nákladů a přínosů</w:t>
      </w:r>
    </w:p>
    <w:tbl>
      <w:tblPr>
        <w:tblStyle w:val="TableGrid"/>
        <w:tblW w:w="0" w:type="auto"/>
        <w:tblLook w:val="04A0"/>
      </w:tblPr>
      <w:tblGrid>
        <w:gridCol w:w="1219"/>
        <w:gridCol w:w="2275"/>
        <w:gridCol w:w="1250"/>
        <w:gridCol w:w="2780"/>
        <w:gridCol w:w="1538"/>
      </w:tblGrid>
      <w:tr w14:paraId="5A067436" w14:textId="77777777" w:rsidTr="00CF75FD">
        <w:tblPrEx>
          <w:tblW w:w="0" w:type="auto"/>
          <w:tblLook w:val="04A0"/>
        </w:tblPrEx>
        <w:tc>
          <w:tcPr>
            <w:tcW w:w="1230" w:type="dxa"/>
            <w:vAlign w:val="center"/>
          </w:tcPr>
          <w:p w:rsidR="00CF75FD" w:rsidRPr="00B777C9" w:rsidP="00CF75FD" w14:paraId="2642ACBA" w14:textId="77777777">
            <w:pPr>
              <w:jc w:val="center"/>
              <w:rPr>
                <w:sz w:val="20"/>
                <w:szCs w:val="20"/>
              </w:rPr>
            </w:pPr>
            <w:r w:rsidRPr="00B777C9">
              <w:rPr>
                <w:b/>
                <w:bCs/>
                <w:sz w:val="20"/>
                <w:szCs w:val="20"/>
              </w:rPr>
              <w:t>Varianta</w:t>
            </w:r>
          </w:p>
        </w:tc>
        <w:tc>
          <w:tcPr>
            <w:tcW w:w="2304" w:type="dxa"/>
            <w:vAlign w:val="center"/>
          </w:tcPr>
          <w:p w:rsidR="00CF75FD" w:rsidRPr="00B777C9" w:rsidP="00CF75FD" w14:paraId="66E91A5C" w14:textId="77777777">
            <w:pPr>
              <w:jc w:val="center"/>
              <w:rPr>
                <w:sz w:val="20"/>
                <w:szCs w:val="20"/>
              </w:rPr>
            </w:pPr>
            <w:r w:rsidRPr="00B777C9">
              <w:rPr>
                <w:b/>
                <w:bCs/>
                <w:sz w:val="20"/>
                <w:szCs w:val="20"/>
              </w:rPr>
              <w:t>Přínosy</w:t>
            </w:r>
          </w:p>
        </w:tc>
        <w:tc>
          <w:tcPr>
            <w:tcW w:w="1139" w:type="dxa"/>
            <w:vAlign w:val="center"/>
          </w:tcPr>
          <w:p w:rsidR="00CF75FD" w:rsidRPr="00B777C9" w:rsidP="00CF75FD" w14:paraId="17A51D81" w14:textId="77777777">
            <w:pPr>
              <w:jc w:val="center"/>
              <w:rPr>
                <w:sz w:val="20"/>
                <w:szCs w:val="20"/>
              </w:rPr>
            </w:pPr>
            <w:r w:rsidRPr="00B777C9">
              <w:rPr>
                <w:b/>
                <w:bCs/>
                <w:sz w:val="20"/>
                <w:szCs w:val="20"/>
              </w:rPr>
              <w:t>Hodnocení</w:t>
            </w:r>
          </w:p>
        </w:tc>
        <w:tc>
          <w:tcPr>
            <w:tcW w:w="2835" w:type="dxa"/>
            <w:vAlign w:val="center"/>
          </w:tcPr>
          <w:p w:rsidR="00CF75FD" w:rsidRPr="00B777C9" w:rsidP="00CF75FD" w14:paraId="3469AEC9" w14:textId="77777777">
            <w:pPr>
              <w:jc w:val="center"/>
              <w:rPr>
                <w:sz w:val="20"/>
                <w:szCs w:val="20"/>
              </w:rPr>
            </w:pPr>
            <w:r w:rsidRPr="00B777C9">
              <w:rPr>
                <w:b/>
                <w:bCs/>
                <w:sz w:val="20"/>
                <w:szCs w:val="20"/>
              </w:rPr>
              <w:t>Náklady</w:t>
            </w:r>
          </w:p>
        </w:tc>
        <w:tc>
          <w:tcPr>
            <w:tcW w:w="1554" w:type="dxa"/>
            <w:vAlign w:val="center"/>
          </w:tcPr>
          <w:p w:rsidR="00CF75FD" w:rsidRPr="00B777C9" w:rsidP="00CF75FD" w14:paraId="55633574" w14:textId="77777777">
            <w:pPr>
              <w:jc w:val="center"/>
              <w:rPr>
                <w:sz w:val="20"/>
                <w:szCs w:val="20"/>
              </w:rPr>
            </w:pPr>
            <w:r w:rsidRPr="00B777C9">
              <w:rPr>
                <w:b/>
                <w:bCs/>
                <w:sz w:val="20"/>
                <w:szCs w:val="20"/>
              </w:rPr>
              <w:t>Hodnocení</w:t>
            </w:r>
          </w:p>
        </w:tc>
      </w:tr>
      <w:tr w14:paraId="6EF21CC7" w14:textId="77777777" w:rsidTr="00CF75FD">
        <w:tblPrEx>
          <w:tblW w:w="0" w:type="auto"/>
          <w:tblLook w:val="04A0"/>
        </w:tblPrEx>
        <w:tc>
          <w:tcPr>
            <w:tcW w:w="1230" w:type="dxa"/>
            <w:vMerge w:val="restart"/>
            <w:vAlign w:val="center"/>
          </w:tcPr>
          <w:p w:rsidR="00CF75FD" w:rsidRPr="00B777C9" w:rsidP="00CF75FD" w14:paraId="44A529FD" w14:textId="77777777">
            <w:pPr>
              <w:rPr>
                <w:b/>
                <w:sz w:val="20"/>
                <w:szCs w:val="20"/>
              </w:rPr>
            </w:pPr>
            <w:r w:rsidRPr="00B777C9">
              <w:rPr>
                <w:b/>
                <w:sz w:val="20"/>
                <w:szCs w:val="20"/>
              </w:rPr>
              <w:t>Varianta 0</w:t>
            </w:r>
          </w:p>
        </w:tc>
        <w:tc>
          <w:tcPr>
            <w:tcW w:w="7832" w:type="dxa"/>
            <w:gridSpan w:val="4"/>
            <w:vAlign w:val="center"/>
          </w:tcPr>
          <w:p w:rsidR="00CF75FD" w:rsidRPr="00B777C9" w:rsidP="00CF75FD" w14:paraId="0F4897BE" w14:textId="77777777">
            <w:pPr>
              <w:jc w:val="center"/>
              <w:rPr>
                <w:sz w:val="20"/>
                <w:szCs w:val="20"/>
              </w:rPr>
            </w:pPr>
            <w:r w:rsidRPr="00B777C9">
              <w:rPr>
                <w:b/>
                <w:bCs/>
                <w:sz w:val="20"/>
                <w:szCs w:val="20"/>
              </w:rPr>
              <w:t>Státní rozpočet a ostatní veřejné rozpočty</w:t>
            </w:r>
          </w:p>
        </w:tc>
      </w:tr>
      <w:tr w14:paraId="25577E4C" w14:textId="77777777" w:rsidTr="00CF75FD">
        <w:tblPrEx>
          <w:tblW w:w="0" w:type="auto"/>
          <w:tblLook w:val="04A0"/>
        </w:tblPrEx>
        <w:tc>
          <w:tcPr>
            <w:tcW w:w="1230" w:type="dxa"/>
            <w:vMerge/>
            <w:vAlign w:val="center"/>
          </w:tcPr>
          <w:p w:rsidR="00CF75FD" w:rsidRPr="00B777C9" w:rsidP="00CF75FD" w14:paraId="5946E671" w14:textId="77777777">
            <w:pPr>
              <w:rPr>
                <w:sz w:val="20"/>
                <w:szCs w:val="20"/>
              </w:rPr>
            </w:pPr>
          </w:p>
        </w:tc>
        <w:tc>
          <w:tcPr>
            <w:tcW w:w="2304" w:type="dxa"/>
            <w:vAlign w:val="center"/>
          </w:tcPr>
          <w:p w:rsidR="00CF75FD" w:rsidRPr="00B777C9" w:rsidP="00CF75FD" w14:paraId="1003697A" w14:textId="77777777">
            <w:pPr>
              <w:jc w:val="center"/>
              <w:rPr>
                <w:sz w:val="20"/>
                <w:szCs w:val="20"/>
              </w:rPr>
            </w:pPr>
            <w:r w:rsidRPr="00B777C9">
              <w:rPr>
                <w:sz w:val="20"/>
                <w:szCs w:val="20"/>
              </w:rPr>
              <w:t>-</w:t>
            </w:r>
          </w:p>
        </w:tc>
        <w:tc>
          <w:tcPr>
            <w:tcW w:w="1139" w:type="dxa"/>
            <w:vAlign w:val="center"/>
          </w:tcPr>
          <w:p w:rsidR="00CF75FD" w:rsidRPr="00B777C9" w:rsidP="00CF75FD" w14:paraId="6DF21A6D" w14:textId="77777777">
            <w:pPr>
              <w:jc w:val="center"/>
              <w:rPr>
                <w:sz w:val="20"/>
                <w:szCs w:val="20"/>
              </w:rPr>
            </w:pPr>
            <w:r w:rsidRPr="00B777C9">
              <w:rPr>
                <w:sz w:val="20"/>
                <w:szCs w:val="20"/>
              </w:rPr>
              <w:t>-</w:t>
            </w:r>
          </w:p>
        </w:tc>
        <w:tc>
          <w:tcPr>
            <w:tcW w:w="2835" w:type="dxa"/>
            <w:vAlign w:val="center"/>
          </w:tcPr>
          <w:p w:rsidR="00CF75FD" w:rsidRPr="00B777C9" w:rsidP="00CF75FD" w14:paraId="7BECAEC5" w14:textId="77777777">
            <w:pPr>
              <w:jc w:val="center"/>
              <w:rPr>
                <w:sz w:val="20"/>
                <w:szCs w:val="20"/>
              </w:rPr>
            </w:pPr>
            <w:r>
              <w:rPr>
                <w:sz w:val="20"/>
                <w:szCs w:val="20"/>
              </w:rPr>
              <w:t>Nepřehlednost a špatná kontrola splnění podmínek nastavené hustoty sítě míst ZO</w:t>
            </w:r>
          </w:p>
        </w:tc>
        <w:tc>
          <w:tcPr>
            <w:tcW w:w="1554" w:type="dxa"/>
            <w:vAlign w:val="center"/>
          </w:tcPr>
          <w:p w:rsidR="00CF75FD" w:rsidRPr="00B777C9" w:rsidP="00CF75FD" w14:paraId="41F9C06A" w14:textId="77777777">
            <w:pPr>
              <w:jc w:val="center"/>
              <w:rPr>
                <w:sz w:val="20"/>
                <w:szCs w:val="20"/>
              </w:rPr>
            </w:pPr>
            <w:r>
              <w:rPr>
                <w:sz w:val="20"/>
                <w:szCs w:val="20"/>
              </w:rPr>
              <w:t>****</w:t>
            </w:r>
          </w:p>
        </w:tc>
      </w:tr>
      <w:tr w14:paraId="6923569C" w14:textId="77777777" w:rsidTr="00CF75FD">
        <w:tblPrEx>
          <w:tblW w:w="0" w:type="auto"/>
          <w:tblLook w:val="04A0"/>
        </w:tblPrEx>
        <w:tc>
          <w:tcPr>
            <w:tcW w:w="1230" w:type="dxa"/>
            <w:vMerge/>
            <w:vAlign w:val="center"/>
          </w:tcPr>
          <w:p w:rsidR="00CF75FD" w:rsidRPr="00B777C9" w:rsidP="00CF75FD" w14:paraId="2894F0A5" w14:textId="77777777">
            <w:pPr>
              <w:rPr>
                <w:sz w:val="20"/>
                <w:szCs w:val="20"/>
              </w:rPr>
            </w:pPr>
          </w:p>
        </w:tc>
        <w:tc>
          <w:tcPr>
            <w:tcW w:w="7832" w:type="dxa"/>
            <w:gridSpan w:val="4"/>
            <w:vAlign w:val="center"/>
          </w:tcPr>
          <w:p w:rsidR="00CF75FD" w:rsidRPr="00B777C9" w:rsidP="00CF75FD" w14:paraId="74E0A4E8" w14:textId="77777777">
            <w:pPr>
              <w:jc w:val="center"/>
              <w:rPr>
                <w:sz w:val="20"/>
                <w:szCs w:val="20"/>
              </w:rPr>
            </w:pPr>
            <w:r w:rsidRPr="00B777C9">
              <w:rPr>
                <w:b/>
                <w:bCs/>
                <w:sz w:val="20"/>
                <w:szCs w:val="20"/>
              </w:rPr>
              <w:t>Podnikatelské subjekty</w:t>
            </w:r>
          </w:p>
        </w:tc>
      </w:tr>
      <w:tr w14:paraId="7C5D2E61" w14:textId="77777777" w:rsidTr="00CF75FD">
        <w:tblPrEx>
          <w:tblW w:w="0" w:type="auto"/>
          <w:tblLook w:val="04A0"/>
        </w:tblPrEx>
        <w:tc>
          <w:tcPr>
            <w:tcW w:w="1230" w:type="dxa"/>
            <w:vMerge/>
            <w:vAlign w:val="center"/>
          </w:tcPr>
          <w:p w:rsidR="00CF75FD" w:rsidRPr="00B777C9" w:rsidP="00CF75FD" w14:paraId="0BBE821B" w14:textId="77777777">
            <w:pPr>
              <w:rPr>
                <w:sz w:val="20"/>
                <w:szCs w:val="20"/>
              </w:rPr>
            </w:pPr>
          </w:p>
        </w:tc>
        <w:tc>
          <w:tcPr>
            <w:tcW w:w="2304" w:type="dxa"/>
            <w:vAlign w:val="center"/>
          </w:tcPr>
          <w:p w:rsidR="00CF75FD" w:rsidRPr="00B777C9" w:rsidP="00CF75FD" w14:paraId="2691FAB6" w14:textId="77777777">
            <w:pPr>
              <w:jc w:val="center"/>
              <w:rPr>
                <w:sz w:val="20"/>
                <w:szCs w:val="20"/>
              </w:rPr>
            </w:pPr>
          </w:p>
        </w:tc>
        <w:tc>
          <w:tcPr>
            <w:tcW w:w="1139" w:type="dxa"/>
            <w:vAlign w:val="center"/>
          </w:tcPr>
          <w:p w:rsidR="00CF75FD" w:rsidRPr="00B777C9" w:rsidP="00CF75FD" w14:paraId="494BD4BC" w14:textId="77777777">
            <w:pPr>
              <w:jc w:val="center"/>
              <w:rPr>
                <w:sz w:val="20"/>
                <w:szCs w:val="20"/>
              </w:rPr>
            </w:pPr>
          </w:p>
        </w:tc>
        <w:tc>
          <w:tcPr>
            <w:tcW w:w="2835" w:type="dxa"/>
            <w:vAlign w:val="center"/>
          </w:tcPr>
          <w:p w:rsidR="00CF75FD" w:rsidRPr="00B777C9" w:rsidP="00CF75FD" w14:paraId="7D2D081C" w14:textId="77777777">
            <w:pPr>
              <w:jc w:val="center"/>
              <w:rPr>
                <w:sz w:val="20"/>
                <w:szCs w:val="20"/>
              </w:rPr>
            </w:pPr>
            <w:r>
              <w:rPr>
                <w:sz w:val="20"/>
                <w:szCs w:val="20"/>
              </w:rPr>
              <w:t>P</w:t>
            </w:r>
            <w:r w:rsidRPr="00CF75FD">
              <w:rPr>
                <w:sz w:val="20"/>
                <w:szCs w:val="20"/>
              </w:rPr>
              <w:t>roblém</w:t>
            </w:r>
            <w:r>
              <w:rPr>
                <w:sz w:val="20"/>
                <w:szCs w:val="20"/>
              </w:rPr>
              <w:t>y</w:t>
            </w:r>
            <w:r w:rsidRPr="00CF75FD">
              <w:rPr>
                <w:sz w:val="20"/>
                <w:szCs w:val="20"/>
              </w:rPr>
              <w:t xml:space="preserve"> se zřízením místa ZO v obci nad 2 000 obyvatel, pokud je v obci již místo ZO jiného KS</w:t>
            </w:r>
            <w:r>
              <w:rPr>
                <w:sz w:val="20"/>
                <w:szCs w:val="20"/>
              </w:rPr>
              <w:t xml:space="preserve"> </w:t>
            </w:r>
          </w:p>
        </w:tc>
        <w:tc>
          <w:tcPr>
            <w:tcW w:w="1554" w:type="dxa"/>
            <w:vAlign w:val="center"/>
          </w:tcPr>
          <w:p w:rsidR="00CF75FD" w:rsidRPr="00B777C9" w:rsidP="00CF75FD" w14:paraId="439D15E1" w14:textId="77777777">
            <w:pPr>
              <w:jc w:val="center"/>
              <w:rPr>
                <w:sz w:val="20"/>
                <w:szCs w:val="20"/>
              </w:rPr>
            </w:pPr>
            <w:r>
              <w:rPr>
                <w:sz w:val="20"/>
                <w:szCs w:val="20"/>
              </w:rPr>
              <w:t>***</w:t>
            </w:r>
          </w:p>
        </w:tc>
      </w:tr>
      <w:tr w14:paraId="7AD30CE0" w14:textId="77777777" w:rsidTr="00CF75FD">
        <w:tblPrEx>
          <w:tblW w:w="0" w:type="auto"/>
          <w:tblLook w:val="04A0"/>
        </w:tblPrEx>
        <w:tc>
          <w:tcPr>
            <w:tcW w:w="1230" w:type="dxa"/>
            <w:vMerge/>
            <w:vAlign w:val="center"/>
          </w:tcPr>
          <w:p w:rsidR="00CF75FD" w:rsidRPr="00B777C9" w:rsidP="00CF75FD" w14:paraId="1DC930AF" w14:textId="77777777">
            <w:pPr>
              <w:rPr>
                <w:sz w:val="20"/>
                <w:szCs w:val="20"/>
              </w:rPr>
            </w:pPr>
          </w:p>
        </w:tc>
        <w:tc>
          <w:tcPr>
            <w:tcW w:w="7832" w:type="dxa"/>
            <w:gridSpan w:val="4"/>
            <w:vAlign w:val="center"/>
          </w:tcPr>
          <w:p w:rsidR="00CF75FD" w:rsidRPr="00B777C9" w:rsidP="00CF75FD" w14:paraId="4A5D5D59" w14:textId="77777777">
            <w:pPr>
              <w:jc w:val="center"/>
              <w:rPr>
                <w:sz w:val="20"/>
                <w:szCs w:val="20"/>
              </w:rPr>
            </w:pPr>
            <w:r w:rsidRPr="0035496A">
              <w:rPr>
                <w:b/>
                <w:bCs/>
                <w:sz w:val="20"/>
                <w:szCs w:val="20"/>
              </w:rPr>
              <w:t>Územní samosprávné celky (obce, kraje)</w:t>
            </w:r>
          </w:p>
        </w:tc>
      </w:tr>
      <w:tr w14:paraId="11AF5D89" w14:textId="77777777" w:rsidTr="00CF75FD">
        <w:tblPrEx>
          <w:tblW w:w="0" w:type="auto"/>
          <w:tblLook w:val="04A0"/>
        </w:tblPrEx>
        <w:trPr>
          <w:trHeight w:val="567"/>
        </w:trPr>
        <w:tc>
          <w:tcPr>
            <w:tcW w:w="1230" w:type="dxa"/>
            <w:vMerge/>
            <w:vAlign w:val="center"/>
          </w:tcPr>
          <w:p w:rsidR="00CF75FD" w:rsidRPr="00B777C9" w:rsidP="00CF75FD" w14:paraId="0DA1DCA6" w14:textId="77777777">
            <w:pPr>
              <w:rPr>
                <w:sz w:val="20"/>
                <w:szCs w:val="20"/>
              </w:rPr>
            </w:pPr>
          </w:p>
        </w:tc>
        <w:tc>
          <w:tcPr>
            <w:tcW w:w="2304" w:type="dxa"/>
            <w:vAlign w:val="center"/>
          </w:tcPr>
          <w:p w:rsidR="00CF75FD" w:rsidRPr="00B777C9" w:rsidP="00CF75FD" w14:paraId="159A75BE" w14:textId="77777777">
            <w:pPr>
              <w:jc w:val="center"/>
              <w:rPr>
                <w:sz w:val="20"/>
                <w:szCs w:val="20"/>
              </w:rPr>
            </w:pPr>
          </w:p>
        </w:tc>
        <w:tc>
          <w:tcPr>
            <w:tcW w:w="1139" w:type="dxa"/>
            <w:vAlign w:val="center"/>
          </w:tcPr>
          <w:p w:rsidR="00CF75FD" w:rsidRPr="00B777C9" w:rsidP="00CF75FD" w14:paraId="61A3BEA8" w14:textId="77777777">
            <w:pPr>
              <w:jc w:val="center"/>
              <w:rPr>
                <w:sz w:val="20"/>
                <w:szCs w:val="20"/>
              </w:rPr>
            </w:pPr>
          </w:p>
        </w:tc>
        <w:tc>
          <w:tcPr>
            <w:tcW w:w="2835" w:type="dxa"/>
            <w:vAlign w:val="center"/>
          </w:tcPr>
          <w:p w:rsidR="00CF75FD" w:rsidRPr="009C5BE0" w:rsidP="00CF75FD" w14:paraId="61D61B8E" w14:textId="77777777">
            <w:pPr>
              <w:jc w:val="center"/>
              <w:rPr>
                <w:sz w:val="20"/>
                <w:szCs w:val="20"/>
              </w:rPr>
            </w:pPr>
            <w:r w:rsidRPr="00CF75FD">
              <w:rPr>
                <w:rFonts w:cs="Arial"/>
                <w:sz w:val="20"/>
                <w:szCs w:val="20"/>
              </w:rPr>
              <w:t xml:space="preserve">Znevýhodnění malých obcí, kde není zřízeno místo ZO - zvyšování nákladů za nakládání s odpady </w:t>
            </w:r>
          </w:p>
        </w:tc>
        <w:tc>
          <w:tcPr>
            <w:tcW w:w="1554" w:type="dxa"/>
            <w:vAlign w:val="center"/>
          </w:tcPr>
          <w:p w:rsidR="00CF75FD" w:rsidRPr="00B777C9" w:rsidP="00CF75FD" w14:paraId="6DEBFF55" w14:textId="77777777">
            <w:pPr>
              <w:jc w:val="center"/>
              <w:rPr>
                <w:sz w:val="20"/>
                <w:szCs w:val="20"/>
              </w:rPr>
            </w:pPr>
            <w:r>
              <w:rPr>
                <w:sz w:val="20"/>
                <w:szCs w:val="20"/>
              </w:rPr>
              <w:t>***</w:t>
            </w:r>
          </w:p>
        </w:tc>
      </w:tr>
      <w:tr w14:paraId="5D1D4701" w14:textId="77777777" w:rsidTr="00CF75FD">
        <w:tblPrEx>
          <w:tblW w:w="0" w:type="auto"/>
          <w:tblLook w:val="04A0"/>
        </w:tblPrEx>
        <w:tc>
          <w:tcPr>
            <w:tcW w:w="1230" w:type="dxa"/>
            <w:vMerge/>
            <w:vAlign w:val="center"/>
          </w:tcPr>
          <w:p w:rsidR="00CF75FD" w:rsidRPr="00B777C9" w:rsidP="00CF75FD" w14:paraId="0FA41BC7" w14:textId="77777777">
            <w:pPr>
              <w:rPr>
                <w:sz w:val="20"/>
                <w:szCs w:val="20"/>
              </w:rPr>
            </w:pPr>
          </w:p>
        </w:tc>
        <w:tc>
          <w:tcPr>
            <w:tcW w:w="7832" w:type="dxa"/>
            <w:gridSpan w:val="4"/>
            <w:vAlign w:val="center"/>
          </w:tcPr>
          <w:p w:rsidR="00CF75FD" w:rsidRPr="00B777C9" w:rsidP="00CF75FD" w14:paraId="25CA4DF4" w14:textId="77777777">
            <w:pPr>
              <w:jc w:val="center"/>
              <w:rPr>
                <w:b/>
                <w:sz w:val="20"/>
                <w:szCs w:val="20"/>
              </w:rPr>
            </w:pPr>
            <w:r w:rsidRPr="00B777C9">
              <w:rPr>
                <w:b/>
                <w:sz w:val="20"/>
                <w:szCs w:val="20"/>
              </w:rPr>
              <w:t>Sociální dopady</w:t>
            </w:r>
          </w:p>
        </w:tc>
      </w:tr>
      <w:tr w14:paraId="24A25470" w14:textId="77777777" w:rsidTr="00CF75FD">
        <w:tblPrEx>
          <w:tblW w:w="0" w:type="auto"/>
          <w:tblLook w:val="04A0"/>
        </w:tblPrEx>
        <w:trPr>
          <w:trHeight w:val="528"/>
        </w:trPr>
        <w:tc>
          <w:tcPr>
            <w:tcW w:w="1230" w:type="dxa"/>
            <w:vMerge/>
            <w:vAlign w:val="center"/>
          </w:tcPr>
          <w:p w:rsidR="00CF75FD" w:rsidRPr="00B777C9" w:rsidP="00CF75FD" w14:paraId="4739E880" w14:textId="77777777">
            <w:pPr>
              <w:rPr>
                <w:sz w:val="20"/>
                <w:szCs w:val="20"/>
              </w:rPr>
            </w:pPr>
          </w:p>
        </w:tc>
        <w:tc>
          <w:tcPr>
            <w:tcW w:w="2304" w:type="dxa"/>
            <w:vAlign w:val="center"/>
          </w:tcPr>
          <w:p w:rsidR="00CF75FD" w:rsidRPr="00B777C9" w:rsidP="00CF75FD" w14:paraId="13994900" w14:textId="77777777">
            <w:pPr>
              <w:jc w:val="center"/>
              <w:rPr>
                <w:sz w:val="20"/>
                <w:szCs w:val="20"/>
              </w:rPr>
            </w:pPr>
          </w:p>
        </w:tc>
        <w:tc>
          <w:tcPr>
            <w:tcW w:w="1139" w:type="dxa"/>
            <w:vAlign w:val="center"/>
          </w:tcPr>
          <w:p w:rsidR="00CF75FD" w:rsidRPr="00B777C9" w:rsidP="00CF75FD" w14:paraId="7A9237F3" w14:textId="77777777">
            <w:pPr>
              <w:jc w:val="center"/>
              <w:rPr>
                <w:sz w:val="20"/>
                <w:szCs w:val="20"/>
              </w:rPr>
            </w:pPr>
          </w:p>
        </w:tc>
        <w:tc>
          <w:tcPr>
            <w:tcW w:w="2835" w:type="dxa"/>
            <w:vAlign w:val="center"/>
          </w:tcPr>
          <w:p w:rsidR="00CF75FD" w:rsidRPr="00B777C9" w:rsidP="00CF75FD" w14:paraId="567952E5" w14:textId="77777777">
            <w:pPr>
              <w:jc w:val="center"/>
              <w:rPr>
                <w:sz w:val="20"/>
                <w:szCs w:val="20"/>
              </w:rPr>
            </w:pPr>
            <w:r>
              <w:rPr>
                <w:sz w:val="20"/>
                <w:szCs w:val="20"/>
              </w:rPr>
              <w:t>Horší dostupnost míst ZO pro obyvatele malých obcích</w:t>
            </w:r>
          </w:p>
        </w:tc>
        <w:tc>
          <w:tcPr>
            <w:tcW w:w="1554" w:type="dxa"/>
            <w:vAlign w:val="center"/>
          </w:tcPr>
          <w:p w:rsidR="00CF75FD" w:rsidRPr="00B777C9" w:rsidP="00CF75FD" w14:paraId="076E1182" w14:textId="77777777">
            <w:pPr>
              <w:jc w:val="center"/>
              <w:rPr>
                <w:sz w:val="20"/>
                <w:szCs w:val="20"/>
              </w:rPr>
            </w:pPr>
            <w:r>
              <w:rPr>
                <w:sz w:val="20"/>
                <w:szCs w:val="20"/>
              </w:rPr>
              <w:t>***</w:t>
            </w:r>
          </w:p>
        </w:tc>
      </w:tr>
      <w:tr w14:paraId="2A6F4274" w14:textId="77777777" w:rsidTr="00CF75FD">
        <w:tblPrEx>
          <w:tblW w:w="0" w:type="auto"/>
          <w:tblLook w:val="04A0"/>
        </w:tblPrEx>
        <w:tc>
          <w:tcPr>
            <w:tcW w:w="1230" w:type="dxa"/>
            <w:vMerge/>
            <w:vAlign w:val="center"/>
          </w:tcPr>
          <w:p w:rsidR="00CF75FD" w:rsidRPr="00B777C9" w:rsidP="00CF75FD" w14:paraId="028E069C" w14:textId="77777777">
            <w:pPr>
              <w:rPr>
                <w:sz w:val="20"/>
                <w:szCs w:val="20"/>
              </w:rPr>
            </w:pPr>
          </w:p>
        </w:tc>
        <w:tc>
          <w:tcPr>
            <w:tcW w:w="7832" w:type="dxa"/>
            <w:gridSpan w:val="4"/>
            <w:vAlign w:val="center"/>
          </w:tcPr>
          <w:p w:rsidR="00CF75FD" w:rsidRPr="00B777C9" w:rsidP="00CF75FD" w14:paraId="1DA051CF" w14:textId="77777777">
            <w:pPr>
              <w:jc w:val="center"/>
              <w:rPr>
                <w:b/>
                <w:sz w:val="20"/>
                <w:szCs w:val="20"/>
              </w:rPr>
            </w:pPr>
            <w:r w:rsidRPr="00B777C9">
              <w:rPr>
                <w:b/>
                <w:sz w:val="20"/>
                <w:szCs w:val="20"/>
              </w:rPr>
              <w:t>Životní prostředí</w:t>
            </w:r>
          </w:p>
        </w:tc>
      </w:tr>
      <w:tr w14:paraId="7FEDBDBA" w14:textId="77777777" w:rsidTr="00CF75FD">
        <w:tblPrEx>
          <w:tblW w:w="0" w:type="auto"/>
          <w:tblLook w:val="04A0"/>
        </w:tblPrEx>
        <w:tc>
          <w:tcPr>
            <w:tcW w:w="1230" w:type="dxa"/>
            <w:vMerge/>
            <w:vAlign w:val="center"/>
          </w:tcPr>
          <w:p w:rsidR="00CF75FD" w:rsidRPr="00B777C9" w:rsidP="00CF75FD" w14:paraId="095514DD" w14:textId="77777777">
            <w:pPr>
              <w:rPr>
                <w:sz w:val="20"/>
                <w:szCs w:val="20"/>
              </w:rPr>
            </w:pPr>
          </w:p>
        </w:tc>
        <w:tc>
          <w:tcPr>
            <w:tcW w:w="2304" w:type="dxa"/>
            <w:vAlign w:val="center"/>
          </w:tcPr>
          <w:p w:rsidR="00CF75FD" w:rsidRPr="00B777C9" w:rsidP="00CF75FD" w14:paraId="200E2905" w14:textId="77777777">
            <w:pPr>
              <w:jc w:val="center"/>
              <w:rPr>
                <w:sz w:val="20"/>
                <w:szCs w:val="20"/>
              </w:rPr>
            </w:pPr>
          </w:p>
        </w:tc>
        <w:tc>
          <w:tcPr>
            <w:tcW w:w="1139" w:type="dxa"/>
            <w:vAlign w:val="center"/>
          </w:tcPr>
          <w:p w:rsidR="00CF75FD" w:rsidRPr="00B777C9" w:rsidP="00CF75FD" w14:paraId="5A486A46" w14:textId="77777777">
            <w:pPr>
              <w:jc w:val="center"/>
              <w:rPr>
                <w:sz w:val="20"/>
                <w:szCs w:val="20"/>
              </w:rPr>
            </w:pPr>
          </w:p>
        </w:tc>
        <w:tc>
          <w:tcPr>
            <w:tcW w:w="2835" w:type="dxa"/>
            <w:vAlign w:val="center"/>
          </w:tcPr>
          <w:p w:rsidR="00CF75FD" w:rsidRPr="00B777C9" w:rsidP="00CF75FD" w14:paraId="2721E7E2" w14:textId="77777777">
            <w:pPr>
              <w:jc w:val="center"/>
              <w:rPr>
                <w:sz w:val="20"/>
                <w:szCs w:val="20"/>
              </w:rPr>
            </w:pPr>
            <w:r>
              <w:rPr>
                <w:sz w:val="20"/>
                <w:szCs w:val="20"/>
              </w:rPr>
              <w:t>Horší dostupnost míst ZO – více OEEZ mimo místa k tomu určená</w:t>
            </w:r>
          </w:p>
        </w:tc>
        <w:tc>
          <w:tcPr>
            <w:tcW w:w="1554" w:type="dxa"/>
            <w:vAlign w:val="center"/>
          </w:tcPr>
          <w:p w:rsidR="00CF75FD" w:rsidRPr="00B777C9" w:rsidP="00CF75FD" w14:paraId="5AC98485" w14:textId="77777777">
            <w:pPr>
              <w:jc w:val="center"/>
              <w:rPr>
                <w:sz w:val="20"/>
                <w:szCs w:val="20"/>
              </w:rPr>
            </w:pPr>
            <w:r>
              <w:rPr>
                <w:sz w:val="20"/>
                <w:szCs w:val="20"/>
              </w:rPr>
              <w:t>***</w:t>
            </w:r>
          </w:p>
        </w:tc>
      </w:tr>
      <w:tr w14:paraId="4B0E9C83" w14:textId="77777777" w:rsidTr="00CF75FD">
        <w:tblPrEx>
          <w:tblW w:w="0" w:type="auto"/>
          <w:tblLook w:val="04A0"/>
        </w:tblPrEx>
        <w:tc>
          <w:tcPr>
            <w:tcW w:w="1230" w:type="dxa"/>
            <w:vMerge w:val="restart"/>
            <w:vAlign w:val="center"/>
          </w:tcPr>
          <w:p w:rsidR="00CF75FD" w:rsidRPr="00B777C9" w:rsidP="00CF75FD" w14:paraId="5E94797C" w14:textId="77777777">
            <w:pPr>
              <w:rPr>
                <w:b/>
                <w:sz w:val="20"/>
                <w:szCs w:val="20"/>
              </w:rPr>
            </w:pPr>
            <w:r w:rsidRPr="00B777C9">
              <w:rPr>
                <w:b/>
                <w:sz w:val="20"/>
                <w:szCs w:val="20"/>
              </w:rPr>
              <w:t>Varianta 1</w:t>
            </w:r>
          </w:p>
        </w:tc>
        <w:tc>
          <w:tcPr>
            <w:tcW w:w="7832" w:type="dxa"/>
            <w:gridSpan w:val="4"/>
            <w:vAlign w:val="center"/>
          </w:tcPr>
          <w:p w:rsidR="00CF75FD" w:rsidRPr="00B777C9" w:rsidP="00CF75FD" w14:paraId="01058010" w14:textId="77777777">
            <w:pPr>
              <w:jc w:val="center"/>
              <w:rPr>
                <w:sz w:val="20"/>
                <w:szCs w:val="20"/>
              </w:rPr>
            </w:pPr>
            <w:r w:rsidRPr="00B777C9">
              <w:rPr>
                <w:b/>
                <w:bCs/>
                <w:sz w:val="20"/>
                <w:szCs w:val="20"/>
              </w:rPr>
              <w:t>Státní rozpočet a ostatní veřejné rozpočty</w:t>
            </w:r>
          </w:p>
        </w:tc>
      </w:tr>
      <w:tr w14:paraId="1ADB1E93" w14:textId="77777777" w:rsidTr="00CF75FD">
        <w:tblPrEx>
          <w:tblW w:w="0" w:type="auto"/>
          <w:tblLook w:val="04A0"/>
        </w:tblPrEx>
        <w:tc>
          <w:tcPr>
            <w:tcW w:w="1230" w:type="dxa"/>
            <w:vMerge/>
            <w:vAlign w:val="center"/>
          </w:tcPr>
          <w:p w:rsidR="00CF75FD" w:rsidRPr="00B777C9" w:rsidP="00CF75FD" w14:paraId="0A971800" w14:textId="77777777">
            <w:pPr>
              <w:rPr>
                <w:sz w:val="20"/>
                <w:szCs w:val="20"/>
              </w:rPr>
            </w:pPr>
          </w:p>
        </w:tc>
        <w:tc>
          <w:tcPr>
            <w:tcW w:w="2304" w:type="dxa"/>
            <w:vAlign w:val="center"/>
          </w:tcPr>
          <w:p w:rsidR="00CF75FD" w:rsidRPr="00B777C9" w:rsidP="00CF75FD" w14:paraId="61805EBC" w14:textId="514F36E7">
            <w:pPr>
              <w:jc w:val="center"/>
              <w:rPr>
                <w:sz w:val="20"/>
                <w:szCs w:val="20"/>
              </w:rPr>
            </w:pPr>
            <w:r>
              <w:rPr>
                <w:sz w:val="20"/>
                <w:szCs w:val="20"/>
              </w:rPr>
              <w:t>Snadnější kontrolovatelnost splnění podmínek nastavené hustoty sítě míst ZO</w:t>
            </w:r>
            <w:r w:rsidR="00CB4229">
              <w:rPr>
                <w:sz w:val="20"/>
                <w:szCs w:val="20"/>
              </w:rPr>
              <w:t xml:space="preserve"> OEEZ</w:t>
            </w:r>
          </w:p>
        </w:tc>
        <w:tc>
          <w:tcPr>
            <w:tcW w:w="1139" w:type="dxa"/>
            <w:vAlign w:val="center"/>
          </w:tcPr>
          <w:p w:rsidR="00CF75FD" w:rsidRPr="00B777C9" w:rsidP="00CF75FD" w14:paraId="14BF4EFB" w14:textId="77777777">
            <w:pPr>
              <w:jc w:val="center"/>
              <w:rPr>
                <w:sz w:val="20"/>
                <w:szCs w:val="20"/>
              </w:rPr>
            </w:pPr>
            <w:r>
              <w:rPr>
                <w:sz w:val="20"/>
                <w:szCs w:val="20"/>
              </w:rPr>
              <w:t>***</w:t>
            </w:r>
          </w:p>
        </w:tc>
        <w:tc>
          <w:tcPr>
            <w:tcW w:w="2835" w:type="dxa"/>
            <w:vAlign w:val="center"/>
          </w:tcPr>
          <w:p w:rsidR="00CF75FD" w:rsidRPr="00B777C9" w:rsidP="00CF75FD" w14:paraId="0A45B041" w14:textId="77777777">
            <w:pPr>
              <w:jc w:val="center"/>
              <w:rPr>
                <w:sz w:val="20"/>
                <w:szCs w:val="20"/>
              </w:rPr>
            </w:pPr>
          </w:p>
        </w:tc>
        <w:tc>
          <w:tcPr>
            <w:tcW w:w="1554" w:type="dxa"/>
            <w:vAlign w:val="center"/>
          </w:tcPr>
          <w:p w:rsidR="00CF75FD" w:rsidRPr="00B777C9" w:rsidP="00CF75FD" w14:paraId="2E876284" w14:textId="77777777">
            <w:pPr>
              <w:jc w:val="center"/>
              <w:rPr>
                <w:sz w:val="20"/>
                <w:szCs w:val="20"/>
              </w:rPr>
            </w:pPr>
          </w:p>
        </w:tc>
      </w:tr>
      <w:tr w14:paraId="693ACF7C" w14:textId="77777777" w:rsidTr="00CF75FD">
        <w:tblPrEx>
          <w:tblW w:w="0" w:type="auto"/>
          <w:tblLook w:val="04A0"/>
        </w:tblPrEx>
        <w:tc>
          <w:tcPr>
            <w:tcW w:w="1230" w:type="dxa"/>
            <w:vMerge/>
            <w:vAlign w:val="center"/>
          </w:tcPr>
          <w:p w:rsidR="00CF75FD" w:rsidRPr="00B777C9" w:rsidP="00CF75FD" w14:paraId="63309EDA" w14:textId="77777777">
            <w:pPr>
              <w:rPr>
                <w:sz w:val="20"/>
                <w:szCs w:val="20"/>
              </w:rPr>
            </w:pPr>
          </w:p>
        </w:tc>
        <w:tc>
          <w:tcPr>
            <w:tcW w:w="7832" w:type="dxa"/>
            <w:gridSpan w:val="4"/>
            <w:vAlign w:val="center"/>
          </w:tcPr>
          <w:p w:rsidR="00CF75FD" w:rsidRPr="00B777C9" w:rsidP="00CF75FD" w14:paraId="5B4B0CE7" w14:textId="77777777">
            <w:pPr>
              <w:jc w:val="center"/>
              <w:rPr>
                <w:sz w:val="20"/>
                <w:szCs w:val="20"/>
              </w:rPr>
            </w:pPr>
            <w:r w:rsidRPr="00B777C9">
              <w:rPr>
                <w:b/>
                <w:bCs/>
                <w:sz w:val="20"/>
                <w:szCs w:val="20"/>
              </w:rPr>
              <w:t>Podnikatelské subjekty</w:t>
            </w:r>
          </w:p>
        </w:tc>
      </w:tr>
      <w:tr w14:paraId="72CA8D62" w14:textId="77777777" w:rsidTr="00CF75FD">
        <w:tblPrEx>
          <w:tblW w:w="0" w:type="auto"/>
          <w:tblLook w:val="04A0"/>
        </w:tblPrEx>
        <w:trPr>
          <w:trHeight w:val="1093"/>
        </w:trPr>
        <w:tc>
          <w:tcPr>
            <w:tcW w:w="1230" w:type="dxa"/>
            <w:vMerge/>
            <w:vAlign w:val="center"/>
          </w:tcPr>
          <w:p w:rsidR="00CF75FD" w:rsidRPr="00B777C9" w:rsidP="00CF75FD" w14:paraId="1036B286" w14:textId="77777777">
            <w:pPr>
              <w:rPr>
                <w:sz w:val="20"/>
                <w:szCs w:val="20"/>
              </w:rPr>
            </w:pPr>
          </w:p>
        </w:tc>
        <w:tc>
          <w:tcPr>
            <w:tcW w:w="2304" w:type="dxa"/>
            <w:vAlign w:val="center"/>
          </w:tcPr>
          <w:p w:rsidR="00CF75FD" w:rsidP="00CF75FD" w14:paraId="1D6B766E" w14:textId="77777777">
            <w:pPr>
              <w:jc w:val="center"/>
              <w:rPr>
                <w:sz w:val="20"/>
                <w:szCs w:val="20"/>
              </w:rPr>
            </w:pPr>
          </w:p>
        </w:tc>
        <w:tc>
          <w:tcPr>
            <w:tcW w:w="1139" w:type="dxa"/>
            <w:vAlign w:val="center"/>
          </w:tcPr>
          <w:p w:rsidR="00CF75FD" w:rsidP="00CF75FD" w14:paraId="3EAB12D5" w14:textId="77777777">
            <w:pPr>
              <w:jc w:val="center"/>
              <w:rPr>
                <w:sz w:val="20"/>
                <w:szCs w:val="20"/>
              </w:rPr>
            </w:pPr>
          </w:p>
        </w:tc>
        <w:tc>
          <w:tcPr>
            <w:tcW w:w="2835" w:type="dxa"/>
            <w:vAlign w:val="center"/>
          </w:tcPr>
          <w:p w:rsidR="00CF75FD" w:rsidP="00CF75FD" w14:paraId="43FE4A0C" w14:textId="77777777">
            <w:pPr>
              <w:jc w:val="center"/>
              <w:rPr>
                <w:sz w:val="20"/>
                <w:szCs w:val="20"/>
              </w:rPr>
            </w:pPr>
            <w:r w:rsidRPr="00B1740A">
              <w:rPr>
                <w:sz w:val="20"/>
                <w:szCs w:val="20"/>
              </w:rPr>
              <w:t>Problém</w:t>
            </w:r>
            <w:r>
              <w:rPr>
                <w:sz w:val="20"/>
                <w:szCs w:val="20"/>
              </w:rPr>
              <w:t>y</w:t>
            </w:r>
            <w:r w:rsidRPr="00B1740A">
              <w:rPr>
                <w:sz w:val="20"/>
                <w:szCs w:val="20"/>
              </w:rPr>
              <w:t xml:space="preserve"> se zřízením místa ZO v obci nad 2 000 obyvatel, pokud je v obci již místo ZO jiného KS</w:t>
            </w:r>
            <w:r>
              <w:rPr>
                <w:sz w:val="20"/>
                <w:szCs w:val="20"/>
              </w:rPr>
              <w:t xml:space="preserve"> </w:t>
            </w:r>
          </w:p>
        </w:tc>
        <w:tc>
          <w:tcPr>
            <w:tcW w:w="1554" w:type="dxa"/>
            <w:vAlign w:val="center"/>
          </w:tcPr>
          <w:p w:rsidR="00CF75FD" w:rsidP="00CF75FD" w14:paraId="0D6B91F1" w14:textId="77777777">
            <w:pPr>
              <w:jc w:val="center"/>
              <w:rPr>
                <w:sz w:val="20"/>
                <w:szCs w:val="20"/>
              </w:rPr>
            </w:pPr>
            <w:r>
              <w:rPr>
                <w:sz w:val="20"/>
                <w:szCs w:val="20"/>
              </w:rPr>
              <w:t>***</w:t>
            </w:r>
          </w:p>
        </w:tc>
      </w:tr>
      <w:tr w14:paraId="1E7B432D" w14:textId="77777777" w:rsidTr="00CF75FD">
        <w:tblPrEx>
          <w:tblW w:w="0" w:type="auto"/>
          <w:tblLook w:val="04A0"/>
        </w:tblPrEx>
        <w:tc>
          <w:tcPr>
            <w:tcW w:w="1230" w:type="dxa"/>
            <w:vMerge/>
            <w:vAlign w:val="center"/>
          </w:tcPr>
          <w:p w:rsidR="00CF75FD" w:rsidRPr="00B777C9" w:rsidP="00CF75FD" w14:paraId="5F9EE9B4" w14:textId="77777777">
            <w:pPr>
              <w:rPr>
                <w:sz w:val="20"/>
                <w:szCs w:val="20"/>
              </w:rPr>
            </w:pPr>
          </w:p>
        </w:tc>
        <w:tc>
          <w:tcPr>
            <w:tcW w:w="7832" w:type="dxa"/>
            <w:gridSpan w:val="4"/>
            <w:vAlign w:val="center"/>
          </w:tcPr>
          <w:p w:rsidR="00CF75FD" w:rsidRPr="00B777C9" w:rsidP="00CF75FD" w14:paraId="6E787707" w14:textId="77777777">
            <w:pPr>
              <w:jc w:val="center"/>
              <w:rPr>
                <w:sz w:val="20"/>
                <w:szCs w:val="20"/>
              </w:rPr>
            </w:pPr>
            <w:r w:rsidRPr="0035496A">
              <w:rPr>
                <w:b/>
                <w:bCs/>
                <w:sz w:val="20"/>
                <w:szCs w:val="20"/>
              </w:rPr>
              <w:t>Územní samosprávné celky (obce, kraje)</w:t>
            </w:r>
          </w:p>
        </w:tc>
      </w:tr>
      <w:tr w14:paraId="0DD696B3" w14:textId="77777777" w:rsidTr="00CF75FD">
        <w:tblPrEx>
          <w:tblW w:w="0" w:type="auto"/>
          <w:tblLook w:val="04A0"/>
        </w:tblPrEx>
        <w:tc>
          <w:tcPr>
            <w:tcW w:w="1230" w:type="dxa"/>
            <w:vMerge/>
            <w:vAlign w:val="center"/>
          </w:tcPr>
          <w:p w:rsidR="00CF75FD" w:rsidRPr="00B777C9" w:rsidP="00CF75FD" w14:paraId="79CCE418" w14:textId="77777777">
            <w:pPr>
              <w:rPr>
                <w:sz w:val="20"/>
                <w:szCs w:val="20"/>
              </w:rPr>
            </w:pPr>
          </w:p>
        </w:tc>
        <w:tc>
          <w:tcPr>
            <w:tcW w:w="2304" w:type="dxa"/>
            <w:vAlign w:val="center"/>
          </w:tcPr>
          <w:p w:rsidR="00CF75FD" w:rsidRPr="00B777C9" w:rsidP="00CF75FD" w14:paraId="44576940" w14:textId="77777777">
            <w:pPr>
              <w:jc w:val="center"/>
              <w:rPr>
                <w:sz w:val="20"/>
                <w:szCs w:val="20"/>
              </w:rPr>
            </w:pPr>
          </w:p>
        </w:tc>
        <w:tc>
          <w:tcPr>
            <w:tcW w:w="1139" w:type="dxa"/>
            <w:vAlign w:val="center"/>
          </w:tcPr>
          <w:p w:rsidR="00CF75FD" w:rsidRPr="00B777C9" w:rsidP="00CF75FD" w14:paraId="686D91E4" w14:textId="77777777">
            <w:pPr>
              <w:jc w:val="center"/>
              <w:rPr>
                <w:sz w:val="20"/>
                <w:szCs w:val="20"/>
              </w:rPr>
            </w:pPr>
          </w:p>
        </w:tc>
        <w:tc>
          <w:tcPr>
            <w:tcW w:w="2835" w:type="dxa"/>
            <w:vAlign w:val="center"/>
          </w:tcPr>
          <w:p w:rsidR="00CF75FD" w:rsidRPr="00B777C9" w:rsidP="00CF75FD" w14:paraId="4E82C945" w14:textId="77777777">
            <w:pPr>
              <w:jc w:val="center"/>
              <w:rPr>
                <w:sz w:val="20"/>
                <w:szCs w:val="20"/>
              </w:rPr>
            </w:pPr>
            <w:r w:rsidRPr="00B1740A">
              <w:rPr>
                <w:rFonts w:cs="Arial"/>
                <w:sz w:val="20"/>
                <w:szCs w:val="20"/>
              </w:rPr>
              <w:t xml:space="preserve">Znevýhodnění malých obcí, kde není zřízeno místo ZO - zvyšování nákladů za nakládání s odpady </w:t>
            </w:r>
          </w:p>
        </w:tc>
        <w:tc>
          <w:tcPr>
            <w:tcW w:w="1554" w:type="dxa"/>
            <w:vAlign w:val="center"/>
          </w:tcPr>
          <w:p w:rsidR="00CF75FD" w:rsidRPr="00B777C9" w:rsidP="00CF75FD" w14:paraId="0A70360F" w14:textId="77777777">
            <w:pPr>
              <w:jc w:val="center"/>
              <w:rPr>
                <w:sz w:val="20"/>
                <w:szCs w:val="20"/>
              </w:rPr>
            </w:pPr>
            <w:r>
              <w:rPr>
                <w:sz w:val="20"/>
                <w:szCs w:val="20"/>
              </w:rPr>
              <w:t>***</w:t>
            </w:r>
          </w:p>
        </w:tc>
      </w:tr>
      <w:tr w14:paraId="49E257FE" w14:textId="77777777" w:rsidTr="00CF75FD">
        <w:tblPrEx>
          <w:tblW w:w="0" w:type="auto"/>
          <w:tblLook w:val="04A0"/>
        </w:tblPrEx>
        <w:tc>
          <w:tcPr>
            <w:tcW w:w="1230" w:type="dxa"/>
            <w:vMerge/>
            <w:vAlign w:val="center"/>
          </w:tcPr>
          <w:p w:rsidR="00CF75FD" w:rsidRPr="00B777C9" w:rsidP="00CF75FD" w14:paraId="7C5FFBCF" w14:textId="77777777">
            <w:pPr>
              <w:rPr>
                <w:sz w:val="20"/>
                <w:szCs w:val="20"/>
              </w:rPr>
            </w:pPr>
          </w:p>
        </w:tc>
        <w:tc>
          <w:tcPr>
            <w:tcW w:w="7832" w:type="dxa"/>
            <w:gridSpan w:val="4"/>
            <w:vAlign w:val="center"/>
          </w:tcPr>
          <w:p w:rsidR="00CF75FD" w:rsidRPr="00B777C9" w:rsidP="00CF75FD" w14:paraId="094C298A" w14:textId="77777777">
            <w:pPr>
              <w:jc w:val="center"/>
              <w:rPr>
                <w:sz w:val="20"/>
                <w:szCs w:val="20"/>
              </w:rPr>
            </w:pPr>
            <w:r w:rsidRPr="00B777C9">
              <w:rPr>
                <w:b/>
                <w:sz w:val="20"/>
                <w:szCs w:val="20"/>
              </w:rPr>
              <w:t>Sociální dopady</w:t>
            </w:r>
          </w:p>
        </w:tc>
      </w:tr>
      <w:tr w14:paraId="4624D150" w14:textId="77777777" w:rsidTr="00CF75FD">
        <w:tblPrEx>
          <w:tblW w:w="0" w:type="auto"/>
          <w:tblLook w:val="04A0"/>
        </w:tblPrEx>
        <w:tc>
          <w:tcPr>
            <w:tcW w:w="1230" w:type="dxa"/>
            <w:vMerge/>
            <w:vAlign w:val="center"/>
          </w:tcPr>
          <w:p w:rsidR="00CF75FD" w:rsidRPr="00B777C9" w:rsidP="00CF75FD" w14:paraId="0B568258" w14:textId="77777777">
            <w:pPr>
              <w:rPr>
                <w:sz w:val="20"/>
                <w:szCs w:val="20"/>
              </w:rPr>
            </w:pPr>
          </w:p>
        </w:tc>
        <w:tc>
          <w:tcPr>
            <w:tcW w:w="2304" w:type="dxa"/>
            <w:vAlign w:val="center"/>
          </w:tcPr>
          <w:p w:rsidR="00CF75FD" w:rsidRPr="00B777C9" w:rsidP="00CF75FD" w14:paraId="10D31FFF" w14:textId="77777777">
            <w:pPr>
              <w:jc w:val="center"/>
              <w:rPr>
                <w:sz w:val="20"/>
                <w:szCs w:val="20"/>
              </w:rPr>
            </w:pPr>
          </w:p>
        </w:tc>
        <w:tc>
          <w:tcPr>
            <w:tcW w:w="1139" w:type="dxa"/>
            <w:vAlign w:val="center"/>
          </w:tcPr>
          <w:p w:rsidR="00CF75FD" w:rsidRPr="00B777C9" w:rsidP="00CF75FD" w14:paraId="0E7F2BB1" w14:textId="77777777">
            <w:pPr>
              <w:jc w:val="center"/>
              <w:rPr>
                <w:sz w:val="20"/>
                <w:szCs w:val="20"/>
              </w:rPr>
            </w:pPr>
          </w:p>
        </w:tc>
        <w:tc>
          <w:tcPr>
            <w:tcW w:w="2835" w:type="dxa"/>
            <w:vAlign w:val="center"/>
          </w:tcPr>
          <w:p w:rsidR="00CF75FD" w:rsidRPr="00B777C9" w:rsidP="00CF75FD" w14:paraId="3FBBE5AA" w14:textId="77777777">
            <w:pPr>
              <w:jc w:val="center"/>
              <w:rPr>
                <w:sz w:val="20"/>
                <w:szCs w:val="20"/>
              </w:rPr>
            </w:pPr>
            <w:r>
              <w:rPr>
                <w:sz w:val="20"/>
                <w:szCs w:val="20"/>
              </w:rPr>
              <w:t>Horší dostupnost míst ZO v malých obcích</w:t>
            </w:r>
          </w:p>
        </w:tc>
        <w:tc>
          <w:tcPr>
            <w:tcW w:w="1554" w:type="dxa"/>
            <w:vAlign w:val="center"/>
          </w:tcPr>
          <w:p w:rsidR="00CF75FD" w:rsidRPr="00B777C9" w:rsidP="00CF75FD" w14:paraId="266685B9" w14:textId="77777777">
            <w:pPr>
              <w:jc w:val="center"/>
              <w:rPr>
                <w:sz w:val="20"/>
                <w:szCs w:val="20"/>
              </w:rPr>
            </w:pPr>
            <w:r>
              <w:rPr>
                <w:sz w:val="20"/>
                <w:szCs w:val="20"/>
              </w:rPr>
              <w:t>***</w:t>
            </w:r>
          </w:p>
        </w:tc>
      </w:tr>
      <w:tr w14:paraId="546CBD24" w14:textId="77777777" w:rsidTr="00CF75FD">
        <w:tblPrEx>
          <w:tblW w:w="0" w:type="auto"/>
          <w:tblLook w:val="04A0"/>
        </w:tblPrEx>
        <w:tc>
          <w:tcPr>
            <w:tcW w:w="1230" w:type="dxa"/>
            <w:vMerge/>
            <w:vAlign w:val="center"/>
          </w:tcPr>
          <w:p w:rsidR="00CF75FD" w:rsidRPr="00B777C9" w:rsidP="00CF75FD" w14:paraId="0D7ED25E" w14:textId="77777777">
            <w:pPr>
              <w:rPr>
                <w:sz w:val="20"/>
                <w:szCs w:val="20"/>
              </w:rPr>
            </w:pPr>
          </w:p>
        </w:tc>
        <w:tc>
          <w:tcPr>
            <w:tcW w:w="7832" w:type="dxa"/>
            <w:gridSpan w:val="4"/>
            <w:vAlign w:val="center"/>
          </w:tcPr>
          <w:p w:rsidR="00CF75FD" w:rsidRPr="00B777C9" w:rsidP="00CF75FD" w14:paraId="55590DA1" w14:textId="77777777">
            <w:pPr>
              <w:jc w:val="center"/>
              <w:rPr>
                <w:sz w:val="20"/>
                <w:szCs w:val="20"/>
              </w:rPr>
            </w:pPr>
            <w:r w:rsidRPr="00B777C9">
              <w:rPr>
                <w:b/>
                <w:sz w:val="20"/>
                <w:szCs w:val="20"/>
              </w:rPr>
              <w:t>Životní prostředí</w:t>
            </w:r>
          </w:p>
        </w:tc>
      </w:tr>
      <w:tr w14:paraId="52671FAF" w14:textId="77777777" w:rsidTr="00CF75FD">
        <w:tblPrEx>
          <w:tblW w:w="0" w:type="auto"/>
          <w:tblLook w:val="04A0"/>
        </w:tblPrEx>
        <w:tc>
          <w:tcPr>
            <w:tcW w:w="1230" w:type="dxa"/>
            <w:vMerge/>
            <w:vAlign w:val="center"/>
          </w:tcPr>
          <w:p w:rsidR="00CF75FD" w:rsidRPr="00B777C9" w:rsidP="00CF75FD" w14:paraId="6AA0FE3E" w14:textId="77777777">
            <w:pPr>
              <w:rPr>
                <w:sz w:val="20"/>
                <w:szCs w:val="20"/>
              </w:rPr>
            </w:pPr>
          </w:p>
        </w:tc>
        <w:tc>
          <w:tcPr>
            <w:tcW w:w="2304" w:type="dxa"/>
            <w:vAlign w:val="center"/>
          </w:tcPr>
          <w:p w:rsidR="00CF75FD" w:rsidRPr="00B777C9" w:rsidP="00CF75FD" w14:paraId="3D468D81" w14:textId="77777777">
            <w:pPr>
              <w:jc w:val="center"/>
              <w:rPr>
                <w:sz w:val="20"/>
                <w:szCs w:val="20"/>
              </w:rPr>
            </w:pPr>
          </w:p>
        </w:tc>
        <w:tc>
          <w:tcPr>
            <w:tcW w:w="1139" w:type="dxa"/>
            <w:vAlign w:val="center"/>
          </w:tcPr>
          <w:p w:rsidR="00CF75FD" w:rsidRPr="00B777C9" w:rsidP="00CF75FD" w14:paraId="56AF66CD" w14:textId="77777777">
            <w:pPr>
              <w:jc w:val="center"/>
              <w:rPr>
                <w:sz w:val="20"/>
                <w:szCs w:val="20"/>
              </w:rPr>
            </w:pPr>
          </w:p>
        </w:tc>
        <w:tc>
          <w:tcPr>
            <w:tcW w:w="2835" w:type="dxa"/>
            <w:vAlign w:val="center"/>
          </w:tcPr>
          <w:p w:rsidR="00CF75FD" w:rsidRPr="00B777C9" w:rsidP="00CF75FD" w14:paraId="2207B79E" w14:textId="77777777">
            <w:pPr>
              <w:jc w:val="center"/>
              <w:rPr>
                <w:sz w:val="20"/>
                <w:szCs w:val="20"/>
              </w:rPr>
            </w:pPr>
            <w:r>
              <w:rPr>
                <w:sz w:val="20"/>
                <w:szCs w:val="20"/>
              </w:rPr>
              <w:t>Horší dostupnost míst ZO – více OEEZ mimo místa k tomu určená</w:t>
            </w:r>
          </w:p>
        </w:tc>
        <w:tc>
          <w:tcPr>
            <w:tcW w:w="1554" w:type="dxa"/>
            <w:vAlign w:val="center"/>
          </w:tcPr>
          <w:p w:rsidR="00CF75FD" w:rsidRPr="00B777C9" w:rsidP="00CF75FD" w14:paraId="1D1BE684" w14:textId="77777777">
            <w:pPr>
              <w:jc w:val="center"/>
              <w:rPr>
                <w:sz w:val="20"/>
                <w:szCs w:val="20"/>
              </w:rPr>
            </w:pPr>
            <w:r>
              <w:rPr>
                <w:sz w:val="20"/>
                <w:szCs w:val="20"/>
              </w:rPr>
              <w:t>***</w:t>
            </w:r>
          </w:p>
        </w:tc>
      </w:tr>
      <w:tr w14:paraId="32C166F9" w14:textId="77777777" w:rsidTr="00CF75FD">
        <w:tblPrEx>
          <w:tblW w:w="0" w:type="auto"/>
          <w:tblLook w:val="04A0"/>
        </w:tblPrEx>
        <w:tc>
          <w:tcPr>
            <w:tcW w:w="1230" w:type="dxa"/>
            <w:vMerge w:val="restart"/>
            <w:vAlign w:val="center"/>
          </w:tcPr>
          <w:p w:rsidR="00CF75FD" w:rsidRPr="00257690" w:rsidP="00CF75FD" w14:paraId="59374C39" w14:textId="77777777">
            <w:pPr>
              <w:rPr>
                <w:b/>
                <w:sz w:val="20"/>
                <w:szCs w:val="20"/>
              </w:rPr>
            </w:pPr>
            <w:r w:rsidRPr="00257690">
              <w:rPr>
                <w:b/>
                <w:sz w:val="20"/>
                <w:szCs w:val="20"/>
              </w:rPr>
              <w:t>Varianta 2</w:t>
            </w:r>
          </w:p>
        </w:tc>
        <w:tc>
          <w:tcPr>
            <w:tcW w:w="7832" w:type="dxa"/>
            <w:gridSpan w:val="4"/>
            <w:vAlign w:val="center"/>
          </w:tcPr>
          <w:p w:rsidR="00CF75FD" w:rsidRPr="00B777C9" w:rsidP="00CF75FD" w14:paraId="397403C5" w14:textId="77777777">
            <w:pPr>
              <w:jc w:val="center"/>
              <w:rPr>
                <w:sz w:val="20"/>
                <w:szCs w:val="20"/>
              </w:rPr>
            </w:pPr>
            <w:r w:rsidRPr="00B777C9">
              <w:rPr>
                <w:b/>
                <w:bCs/>
                <w:sz w:val="20"/>
                <w:szCs w:val="20"/>
              </w:rPr>
              <w:t>Státní rozpočet a ostatní veřejné rozpočty</w:t>
            </w:r>
          </w:p>
        </w:tc>
      </w:tr>
      <w:tr w14:paraId="2A417896" w14:textId="77777777" w:rsidTr="00CF75FD">
        <w:tblPrEx>
          <w:tblW w:w="0" w:type="auto"/>
          <w:tblLook w:val="04A0"/>
        </w:tblPrEx>
        <w:tc>
          <w:tcPr>
            <w:tcW w:w="1230" w:type="dxa"/>
            <w:vMerge/>
            <w:vAlign w:val="center"/>
          </w:tcPr>
          <w:p w:rsidR="00CF75FD" w:rsidRPr="00B777C9" w:rsidP="00CF75FD" w14:paraId="40982018" w14:textId="77777777">
            <w:pPr>
              <w:rPr>
                <w:sz w:val="20"/>
                <w:szCs w:val="20"/>
              </w:rPr>
            </w:pPr>
          </w:p>
        </w:tc>
        <w:tc>
          <w:tcPr>
            <w:tcW w:w="2304" w:type="dxa"/>
            <w:vAlign w:val="center"/>
          </w:tcPr>
          <w:p w:rsidR="00CF75FD" w:rsidRPr="00B777C9" w:rsidP="00CF75FD" w14:paraId="2714170E" w14:textId="77777777">
            <w:pPr>
              <w:jc w:val="center"/>
              <w:rPr>
                <w:sz w:val="20"/>
                <w:szCs w:val="20"/>
              </w:rPr>
            </w:pPr>
            <w:r>
              <w:rPr>
                <w:sz w:val="20"/>
                <w:szCs w:val="20"/>
              </w:rPr>
              <w:t>Snadnější kontrolovatelnost splnění podmínek nastavené hustoty sítě míst ZO</w:t>
            </w:r>
          </w:p>
        </w:tc>
        <w:tc>
          <w:tcPr>
            <w:tcW w:w="1139" w:type="dxa"/>
            <w:vAlign w:val="center"/>
          </w:tcPr>
          <w:p w:rsidR="00CF75FD" w:rsidRPr="00B777C9" w:rsidP="00CF75FD" w14:paraId="48C541DC" w14:textId="77777777">
            <w:pPr>
              <w:jc w:val="center"/>
              <w:rPr>
                <w:sz w:val="20"/>
                <w:szCs w:val="20"/>
              </w:rPr>
            </w:pPr>
            <w:r>
              <w:rPr>
                <w:sz w:val="20"/>
                <w:szCs w:val="20"/>
              </w:rPr>
              <w:t>***</w:t>
            </w:r>
          </w:p>
        </w:tc>
        <w:tc>
          <w:tcPr>
            <w:tcW w:w="2835" w:type="dxa"/>
            <w:vAlign w:val="center"/>
          </w:tcPr>
          <w:p w:rsidR="00CF75FD" w:rsidRPr="00B777C9" w:rsidP="00CF75FD" w14:paraId="527C8397" w14:textId="77777777">
            <w:pPr>
              <w:jc w:val="center"/>
              <w:rPr>
                <w:sz w:val="20"/>
                <w:szCs w:val="20"/>
              </w:rPr>
            </w:pPr>
            <w:r>
              <w:rPr>
                <w:sz w:val="20"/>
                <w:szCs w:val="20"/>
              </w:rPr>
              <w:t>-</w:t>
            </w:r>
          </w:p>
        </w:tc>
        <w:tc>
          <w:tcPr>
            <w:tcW w:w="1554" w:type="dxa"/>
            <w:vAlign w:val="center"/>
          </w:tcPr>
          <w:p w:rsidR="00CF75FD" w:rsidRPr="00B777C9" w:rsidP="00CF75FD" w14:paraId="0DD11C90" w14:textId="77777777">
            <w:pPr>
              <w:jc w:val="center"/>
              <w:rPr>
                <w:sz w:val="20"/>
                <w:szCs w:val="20"/>
              </w:rPr>
            </w:pPr>
            <w:r>
              <w:rPr>
                <w:sz w:val="20"/>
                <w:szCs w:val="20"/>
              </w:rPr>
              <w:t>-</w:t>
            </w:r>
          </w:p>
        </w:tc>
      </w:tr>
      <w:tr w14:paraId="067C5B87" w14:textId="77777777" w:rsidTr="00CF75FD">
        <w:tblPrEx>
          <w:tblW w:w="0" w:type="auto"/>
          <w:tblLook w:val="04A0"/>
        </w:tblPrEx>
        <w:tc>
          <w:tcPr>
            <w:tcW w:w="1230" w:type="dxa"/>
            <w:vMerge/>
            <w:vAlign w:val="center"/>
          </w:tcPr>
          <w:p w:rsidR="00CF75FD" w:rsidRPr="00B777C9" w:rsidP="00CF75FD" w14:paraId="2CBBD5C8" w14:textId="77777777">
            <w:pPr>
              <w:rPr>
                <w:sz w:val="20"/>
                <w:szCs w:val="20"/>
              </w:rPr>
            </w:pPr>
          </w:p>
        </w:tc>
        <w:tc>
          <w:tcPr>
            <w:tcW w:w="7832" w:type="dxa"/>
            <w:gridSpan w:val="4"/>
            <w:vAlign w:val="center"/>
          </w:tcPr>
          <w:p w:rsidR="00CF75FD" w:rsidRPr="00B777C9" w:rsidP="00CF75FD" w14:paraId="3D05117A" w14:textId="77777777">
            <w:pPr>
              <w:jc w:val="center"/>
              <w:rPr>
                <w:sz w:val="20"/>
                <w:szCs w:val="20"/>
              </w:rPr>
            </w:pPr>
            <w:r w:rsidRPr="00B777C9">
              <w:rPr>
                <w:b/>
                <w:bCs/>
                <w:sz w:val="20"/>
                <w:szCs w:val="20"/>
              </w:rPr>
              <w:t>Podnikatelské subjekty</w:t>
            </w:r>
          </w:p>
        </w:tc>
      </w:tr>
      <w:tr w14:paraId="758D8D23" w14:textId="77777777" w:rsidTr="00CF75FD">
        <w:tblPrEx>
          <w:tblW w:w="0" w:type="auto"/>
          <w:tblLook w:val="04A0"/>
        </w:tblPrEx>
        <w:tc>
          <w:tcPr>
            <w:tcW w:w="1230" w:type="dxa"/>
            <w:vMerge/>
            <w:vAlign w:val="center"/>
          </w:tcPr>
          <w:p w:rsidR="00CF75FD" w:rsidRPr="00B777C9" w:rsidP="00CF75FD" w14:paraId="6BCFF43A" w14:textId="77777777">
            <w:pPr>
              <w:rPr>
                <w:sz w:val="20"/>
                <w:szCs w:val="20"/>
              </w:rPr>
            </w:pPr>
          </w:p>
        </w:tc>
        <w:tc>
          <w:tcPr>
            <w:tcW w:w="2304" w:type="dxa"/>
            <w:vAlign w:val="center"/>
          </w:tcPr>
          <w:p w:rsidR="00CF75FD" w:rsidRPr="00B777C9" w:rsidP="00CF75FD" w14:paraId="23D93907" w14:textId="77777777">
            <w:pPr>
              <w:jc w:val="center"/>
              <w:rPr>
                <w:sz w:val="20"/>
                <w:szCs w:val="20"/>
              </w:rPr>
            </w:pPr>
            <w:r>
              <w:rPr>
                <w:sz w:val="20"/>
                <w:szCs w:val="20"/>
              </w:rPr>
              <w:t>Snadnější zřízení nových míst</w:t>
            </w:r>
            <w:r w:rsidRPr="00B1740A">
              <w:rPr>
                <w:sz w:val="20"/>
                <w:szCs w:val="20"/>
              </w:rPr>
              <w:t xml:space="preserve"> ZO</w:t>
            </w:r>
            <w:r>
              <w:rPr>
                <w:sz w:val="20"/>
                <w:szCs w:val="20"/>
              </w:rPr>
              <w:t xml:space="preserve"> v menších obcích</w:t>
            </w:r>
          </w:p>
        </w:tc>
        <w:tc>
          <w:tcPr>
            <w:tcW w:w="1139" w:type="dxa"/>
            <w:vAlign w:val="center"/>
          </w:tcPr>
          <w:p w:rsidR="00CF75FD" w:rsidRPr="00B777C9" w:rsidP="00CF75FD" w14:paraId="5F6D8101" w14:textId="77777777">
            <w:pPr>
              <w:jc w:val="center"/>
              <w:rPr>
                <w:sz w:val="20"/>
                <w:szCs w:val="20"/>
              </w:rPr>
            </w:pPr>
            <w:r>
              <w:rPr>
                <w:sz w:val="20"/>
                <w:szCs w:val="20"/>
              </w:rPr>
              <w:t>***</w:t>
            </w:r>
          </w:p>
        </w:tc>
        <w:tc>
          <w:tcPr>
            <w:tcW w:w="2835" w:type="dxa"/>
            <w:vAlign w:val="center"/>
          </w:tcPr>
          <w:p w:rsidR="00CF75FD" w:rsidRPr="00B777C9" w:rsidP="00CF75FD" w14:paraId="06FAFDCD" w14:textId="77777777">
            <w:pPr>
              <w:jc w:val="center"/>
              <w:rPr>
                <w:sz w:val="20"/>
                <w:szCs w:val="20"/>
              </w:rPr>
            </w:pPr>
            <w:r>
              <w:rPr>
                <w:sz w:val="20"/>
                <w:szCs w:val="20"/>
              </w:rPr>
              <w:t>-</w:t>
            </w:r>
          </w:p>
        </w:tc>
        <w:tc>
          <w:tcPr>
            <w:tcW w:w="1554" w:type="dxa"/>
            <w:vAlign w:val="center"/>
          </w:tcPr>
          <w:p w:rsidR="00CF75FD" w:rsidRPr="00B777C9" w:rsidP="00CF75FD" w14:paraId="65E74D4E" w14:textId="77777777">
            <w:pPr>
              <w:jc w:val="center"/>
              <w:rPr>
                <w:sz w:val="20"/>
                <w:szCs w:val="20"/>
              </w:rPr>
            </w:pPr>
            <w:r>
              <w:rPr>
                <w:sz w:val="20"/>
                <w:szCs w:val="20"/>
              </w:rPr>
              <w:t>-</w:t>
            </w:r>
          </w:p>
        </w:tc>
      </w:tr>
      <w:tr w14:paraId="212B7E52" w14:textId="77777777" w:rsidTr="00CF75FD">
        <w:tblPrEx>
          <w:tblW w:w="0" w:type="auto"/>
          <w:tblLook w:val="04A0"/>
        </w:tblPrEx>
        <w:tc>
          <w:tcPr>
            <w:tcW w:w="1230" w:type="dxa"/>
            <w:vMerge/>
            <w:vAlign w:val="center"/>
          </w:tcPr>
          <w:p w:rsidR="00CF75FD" w:rsidRPr="00B777C9" w:rsidP="00CF75FD" w14:paraId="526C75D2" w14:textId="77777777">
            <w:pPr>
              <w:rPr>
                <w:sz w:val="20"/>
                <w:szCs w:val="20"/>
              </w:rPr>
            </w:pPr>
          </w:p>
        </w:tc>
        <w:tc>
          <w:tcPr>
            <w:tcW w:w="7832" w:type="dxa"/>
            <w:gridSpan w:val="4"/>
            <w:vAlign w:val="center"/>
          </w:tcPr>
          <w:p w:rsidR="00CF75FD" w:rsidRPr="00B777C9" w:rsidP="00CF75FD" w14:paraId="25F0C7BE" w14:textId="77777777">
            <w:pPr>
              <w:jc w:val="center"/>
              <w:rPr>
                <w:sz w:val="20"/>
                <w:szCs w:val="20"/>
              </w:rPr>
            </w:pPr>
            <w:r w:rsidRPr="0035496A">
              <w:rPr>
                <w:b/>
                <w:bCs/>
                <w:sz w:val="20"/>
                <w:szCs w:val="20"/>
              </w:rPr>
              <w:t>Územní samosprávné celky (obce, kraje)</w:t>
            </w:r>
          </w:p>
        </w:tc>
      </w:tr>
      <w:tr w14:paraId="100A01CE" w14:textId="77777777" w:rsidTr="00CF75FD">
        <w:tblPrEx>
          <w:tblW w:w="0" w:type="auto"/>
          <w:tblLook w:val="04A0"/>
        </w:tblPrEx>
        <w:tc>
          <w:tcPr>
            <w:tcW w:w="1230" w:type="dxa"/>
            <w:vMerge/>
            <w:vAlign w:val="center"/>
          </w:tcPr>
          <w:p w:rsidR="00CF75FD" w:rsidRPr="00B777C9" w:rsidP="00CF75FD" w14:paraId="1C99CF68" w14:textId="77777777">
            <w:pPr>
              <w:rPr>
                <w:sz w:val="20"/>
                <w:szCs w:val="20"/>
              </w:rPr>
            </w:pPr>
          </w:p>
        </w:tc>
        <w:tc>
          <w:tcPr>
            <w:tcW w:w="2304" w:type="dxa"/>
            <w:vAlign w:val="center"/>
          </w:tcPr>
          <w:p w:rsidR="00CF75FD" w:rsidRPr="00B777C9" w:rsidP="00CF75FD" w14:paraId="53B6846C" w14:textId="77777777">
            <w:pPr>
              <w:jc w:val="center"/>
              <w:rPr>
                <w:sz w:val="20"/>
                <w:szCs w:val="20"/>
              </w:rPr>
            </w:pPr>
            <w:r>
              <w:rPr>
                <w:rFonts w:cs="Arial"/>
                <w:sz w:val="20"/>
                <w:szCs w:val="20"/>
              </w:rPr>
              <w:t xml:space="preserve">Zlepšení možnosti zřízení míst ZO v </w:t>
            </w:r>
            <w:r w:rsidRPr="00B1740A">
              <w:rPr>
                <w:rFonts w:cs="Arial"/>
                <w:sz w:val="20"/>
                <w:szCs w:val="20"/>
              </w:rPr>
              <w:t xml:space="preserve">malých obcí - </w:t>
            </w:r>
            <w:r>
              <w:rPr>
                <w:rFonts w:cs="Arial"/>
                <w:sz w:val="20"/>
                <w:szCs w:val="20"/>
              </w:rPr>
              <w:t>snížení</w:t>
            </w:r>
            <w:r w:rsidRPr="00B1740A">
              <w:rPr>
                <w:rFonts w:cs="Arial"/>
                <w:sz w:val="20"/>
                <w:szCs w:val="20"/>
              </w:rPr>
              <w:t xml:space="preserve"> nákladů za nakládání s odpady </w:t>
            </w:r>
          </w:p>
        </w:tc>
        <w:tc>
          <w:tcPr>
            <w:tcW w:w="1139" w:type="dxa"/>
            <w:vAlign w:val="center"/>
          </w:tcPr>
          <w:p w:rsidR="00CF75FD" w:rsidRPr="00B777C9" w:rsidP="00CF75FD" w14:paraId="1C03138E" w14:textId="77777777">
            <w:pPr>
              <w:jc w:val="center"/>
              <w:rPr>
                <w:sz w:val="20"/>
                <w:szCs w:val="20"/>
              </w:rPr>
            </w:pPr>
            <w:r>
              <w:rPr>
                <w:sz w:val="20"/>
                <w:szCs w:val="20"/>
              </w:rPr>
              <w:t>***</w:t>
            </w:r>
          </w:p>
        </w:tc>
        <w:tc>
          <w:tcPr>
            <w:tcW w:w="2835" w:type="dxa"/>
            <w:vAlign w:val="center"/>
          </w:tcPr>
          <w:p w:rsidR="00CF75FD" w:rsidRPr="00B777C9" w:rsidP="00CF75FD" w14:paraId="3D11ECC7" w14:textId="77777777">
            <w:pPr>
              <w:jc w:val="center"/>
              <w:rPr>
                <w:sz w:val="20"/>
                <w:szCs w:val="20"/>
              </w:rPr>
            </w:pPr>
            <w:r>
              <w:rPr>
                <w:sz w:val="20"/>
                <w:szCs w:val="20"/>
              </w:rPr>
              <w:t>-</w:t>
            </w:r>
          </w:p>
        </w:tc>
        <w:tc>
          <w:tcPr>
            <w:tcW w:w="1554" w:type="dxa"/>
            <w:vAlign w:val="center"/>
          </w:tcPr>
          <w:p w:rsidR="00CF75FD" w:rsidRPr="00B777C9" w:rsidP="00CF75FD" w14:paraId="73B55EFD" w14:textId="77777777">
            <w:pPr>
              <w:jc w:val="center"/>
              <w:rPr>
                <w:sz w:val="20"/>
                <w:szCs w:val="20"/>
              </w:rPr>
            </w:pPr>
            <w:r>
              <w:rPr>
                <w:sz w:val="20"/>
                <w:szCs w:val="20"/>
              </w:rPr>
              <w:t>-</w:t>
            </w:r>
          </w:p>
        </w:tc>
      </w:tr>
      <w:tr w14:paraId="30ED5D97" w14:textId="77777777" w:rsidTr="00CF75FD">
        <w:tblPrEx>
          <w:tblW w:w="0" w:type="auto"/>
          <w:tblLook w:val="04A0"/>
        </w:tblPrEx>
        <w:tc>
          <w:tcPr>
            <w:tcW w:w="1230" w:type="dxa"/>
            <w:vMerge/>
            <w:vAlign w:val="center"/>
          </w:tcPr>
          <w:p w:rsidR="00CF75FD" w:rsidRPr="00B777C9" w:rsidP="00CF75FD" w14:paraId="6AF3F2E8" w14:textId="77777777">
            <w:pPr>
              <w:rPr>
                <w:sz w:val="20"/>
                <w:szCs w:val="20"/>
              </w:rPr>
            </w:pPr>
          </w:p>
        </w:tc>
        <w:tc>
          <w:tcPr>
            <w:tcW w:w="7832" w:type="dxa"/>
            <w:gridSpan w:val="4"/>
            <w:vAlign w:val="center"/>
          </w:tcPr>
          <w:p w:rsidR="00CF75FD" w:rsidRPr="00B777C9" w:rsidP="00CF75FD" w14:paraId="2BBA9B87" w14:textId="77777777">
            <w:pPr>
              <w:jc w:val="center"/>
              <w:rPr>
                <w:sz w:val="20"/>
                <w:szCs w:val="20"/>
              </w:rPr>
            </w:pPr>
            <w:r w:rsidRPr="00B777C9">
              <w:rPr>
                <w:b/>
                <w:sz w:val="20"/>
                <w:szCs w:val="20"/>
              </w:rPr>
              <w:t>Sociální dopady</w:t>
            </w:r>
          </w:p>
        </w:tc>
      </w:tr>
      <w:tr w14:paraId="6DC45C57" w14:textId="77777777" w:rsidTr="00CF75FD">
        <w:tblPrEx>
          <w:tblW w:w="0" w:type="auto"/>
          <w:tblLook w:val="04A0"/>
        </w:tblPrEx>
        <w:tc>
          <w:tcPr>
            <w:tcW w:w="1230" w:type="dxa"/>
            <w:vMerge/>
            <w:vAlign w:val="center"/>
          </w:tcPr>
          <w:p w:rsidR="00CF75FD" w:rsidRPr="00B777C9" w:rsidP="00CF75FD" w14:paraId="1D2C31A4" w14:textId="77777777">
            <w:pPr>
              <w:rPr>
                <w:sz w:val="20"/>
                <w:szCs w:val="20"/>
              </w:rPr>
            </w:pPr>
          </w:p>
        </w:tc>
        <w:tc>
          <w:tcPr>
            <w:tcW w:w="2304" w:type="dxa"/>
            <w:vAlign w:val="center"/>
          </w:tcPr>
          <w:p w:rsidR="00CF75FD" w:rsidRPr="00B777C9" w:rsidP="00CF75FD" w14:paraId="43791481" w14:textId="77777777">
            <w:pPr>
              <w:jc w:val="center"/>
              <w:rPr>
                <w:sz w:val="20"/>
                <w:szCs w:val="20"/>
              </w:rPr>
            </w:pPr>
            <w:r>
              <w:rPr>
                <w:sz w:val="20"/>
                <w:szCs w:val="20"/>
              </w:rPr>
              <w:t>Větší dostupnost míst ZO v malých obcích</w:t>
            </w:r>
          </w:p>
        </w:tc>
        <w:tc>
          <w:tcPr>
            <w:tcW w:w="1139" w:type="dxa"/>
            <w:vAlign w:val="center"/>
          </w:tcPr>
          <w:p w:rsidR="00CF75FD" w:rsidRPr="00B777C9" w:rsidP="00CF75FD" w14:paraId="17146DFC" w14:textId="77777777">
            <w:pPr>
              <w:jc w:val="center"/>
              <w:rPr>
                <w:sz w:val="20"/>
                <w:szCs w:val="20"/>
              </w:rPr>
            </w:pPr>
            <w:r>
              <w:rPr>
                <w:sz w:val="20"/>
                <w:szCs w:val="20"/>
              </w:rPr>
              <w:t>***</w:t>
            </w:r>
          </w:p>
        </w:tc>
        <w:tc>
          <w:tcPr>
            <w:tcW w:w="2835" w:type="dxa"/>
            <w:vAlign w:val="center"/>
          </w:tcPr>
          <w:p w:rsidR="00CF75FD" w:rsidRPr="00B777C9" w:rsidP="00CF75FD" w14:paraId="05CC1D37" w14:textId="77777777">
            <w:pPr>
              <w:jc w:val="center"/>
              <w:rPr>
                <w:sz w:val="20"/>
                <w:szCs w:val="20"/>
              </w:rPr>
            </w:pPr>
            <w:r>
              <w:rPr>
                <w:sz w:val="20"/>
                <w:szCs w:val="20"/>
              </w:rPr>
              <w:t>-</w:t>
            </w:r>
          </w:p>
        </w:tc>
        <w:tc>
          <w:tcPr>
            <w:tcW w:w="1554" w:type="dxa"/>
            <w:vAlign w:val="center"/>
          </w:tcPr>
          <w:p w:rsidR="00CF75FD" w:rsidRPr="00B777C9" w:rsidP="00CF75FD" w14:paraId="02897118" w14:textId="77777777">
            <w:pPr>
              <w:jc w:val="center"/>
              <w:rPr>
                <w:sz w:val="20"/>
                <w:szCs w:val="20"/>
              </w:rPr>
            </w:pPr>
            <w:r>
              <w:rPr>
                <w:sz w:val="20"/>
                <w:szCs w:val="20"/>
              </w:rPr>
              <w:t>-</w:t>
            </w:r>
          </w:p>
        </w:tc>
      </w:tr>
      <w:tr w14:paraId="4AE28A43" w14:textId="77777777" w:rsidTr="00CF75FD">
        <w:tblPrEx>
          <w:tblW w:w="0" w:type="auto"/>
          <w:tblLook w:val="04A0"/>
        </w:tblPrEx>
        <w:tc>
          <w:tcPr>
            <w:tcW w:w="1230" w:type="dxa"/>
            <w:vMerge/>
            <w:vAlign w:val="center"/>
          </w:tcPr>
          <w:p w:rsidR="00CF75FD" w:rsidRPr="00B777C9" w:rsidP="00CF75FD" w14:paraId="21175F69" w14:textId="77777777">
            <w:pPr>
              <w:rPr>
                <w:sz w:val="20"/>
                <w:szCs w:val="20"/>
              </w:rPr>
            </w:pPr>
          </w:p>
        </w:tc>
        <w:tc>
          <w:tcPr>
            <w:tcW w:w="7832" w:type="dxa"/>
            <w:gridSpan w:val="4"/>
            <w:vAlign w:val="center"/>
          </w:tcPr>
          <w:p w:rsidR="00CF75FD" w:rsidRPr="00B777C9" w:rsidP="00CF75FD" w14:paraId="18B3F59F" w14:textId="77777777">
            <w:pPr>
              <w:jc w:val="center"/>
              <w:rPr>
                <w:sz w:val="20"/>
                <w:szCs w:val="20"/>
              </w:rPr>
            </w:pPr>
            <w:r w:rsidRPr="00B777C9">
              <w:rPr>
                <w:b/>
                <w:sz w:val="20"/>
                <w:szCs w:val="20"/>
              </w:rPr>
              <w:t>Životní prostředí</w:t>
            </w:r>
          </w:p>
        </w:tc>
      </w:tr>
      <w:tr w14:paraId="69852A72" w14:textId="77777777" w:rsidTr="00CF75FD">
        <w:tblPrEx>
          <w:tblW w:w="0" w:type="auto"/>
          <w:tblLook w:val="04A0"/>
        </w:tblPrEx>
        <w:tc>
          <w:tcPr>
            <w:tcW w:w="1230" w:type="dxa"/>
            <w:vMerge/>
            <w:vAlign w:val="center"/>
          </w:tcPr>
          <w:p w:rsidR="00CF75FD" w:rsidRPr="00B777C9" w:rsidP="00CF75FD" w14:paraId="6FDEFA56" w14:textId="77777777">
            <w:pPr>
              <w:rPr>
                <w:sz w:val="20"/>
                <w:szCs w:val="20"/>
              </w:rPr>
            </w:pPr>
          </w:p>
        </w:tc>
        <w:tc>
          <w:tcPr>
            <w:tcW w:w="2304" w:type="dxa"/>
            <w:vAlign w:val="center"/>
          </w:tcPr>
          <w:p w:rsidR="00CF75FD" w:rsidRPr="00B777C9" w:rsidP="00CF75FD" w14:paraId="5836B8D1" w14:textId="77777777">
            <w:pPr>
              <w:jc w:val="center"/>
              <w:rPr>
                <w:sz w:val="20"/>
                <w:szCs w:val="20"/>
              </w:rPr>
            </w:pPr>
            <w:r>
              <w:rPr>
                <w:sz w:val="20"/>
                <w:szCs w:val="20"/>
              </w:rPr>
              <w:t>Vyšší dostupnost míst ZO – méně OEEZ mimo místa k tomu určená</w:t>
            </w:r>
          </w:p>
        </w:tc>
        <w:tc>
          <w:tcPr>
            <w:tcW w:w="1139" w:type="dxa"/>
            <w:vAlign w:val="center"/>
          </w:tcPr>
          <w:p w:rsidR="00CF75FD" w:rsidRPr="00B777C9" w:rsidP="00CF75FD" w14:paraId="465D0244" w14:textId="77777777">
            <w:pPr>
              <w:jc w:val="center"/>
              <w:rPr>
                <w:sz w:val="20"/>
                <w:szCs w:val="20"/>
              </w:rPr>
            </w:pPr>
            <w:r>
              <w:rPr>
                <w:sz w:val="20"/>
                <w:szCs w:val="20"/>
              </w:rPr>
              <w:t>***</w:t>
            </w:r>
          </w:p>
        </w:tc>
        <w:tc>
          <w:tcPr>
            <w:tcW w:w="2835" w:type="dxa"/>
            <w:vAlign w:val="center"/>
          </w:tcPr>
          <w:p w:rsidR="00CF75FD" w:rsidRPr="00B777C9" w:rsidP="00CF75FD" w14:paraId="792CCA75" w14:textId="77777777">
            <w:pPr>
              <w:jc w:val="center"/>
              <w:rPr>
                <w:sz w:val="20"/>
                <w:szCs w:val="20"/>
              </w:rPr>
            </w:pPr>
            <w:r>
              <w:rPr>
                <w:sz w:val="20"/>
                <w:szCs w:val="20"/>
              </w:rPr>
              <w:t>-</w:t>
            </w:r>
          </w:p>
        </w:tc>
        <w:tc>
          <w:tcPr>
            <w:tcW w:w="1554" w:type="dxa"/>
            <w:vAlign w:val="center"/>
          </w:tcPr>
          <w:p w:rsidR="00CF75FD" w:rsidRPr="00B777C9" w:rsidP="00CF75FD" w14:paraId="465FEFF3" w14:textId="77777777">
            <w:pPr>
              <w:jc w:val="center"/>
              <w:rPr>
                <w:sz w:val="20"/>
                <w:szCs w:val="20"/>
              </w:rPr>
            </w:pPr>
            <w:r>
              <w:rPr>
                <w:sz w:val="20"/>
                <w:szCs w:val="20"/>
              </w:rPr>
              <w:t>-</w:t>
            </w:r>
          </w:p>
        </w:tc>
      </w:tr>
    </w:tbl>
    <w:p w:rsidR="0039543B" w:rsidP="0039543B" w14:paraId="08085FF2" w14:textId="77777777"/>
    <w:p w:rsidR="00CF75FD" w:rsidP="00CF75FD" w14:paraId="34BA4A35" w14:textId="77777777">
      <w:pPr>
        <w:pStyle w:val="Heading2"/>
        <w:spacing w:before="360"/>
        <w:ind w:left="578" w:hanging="578"/>
      </w:pPr>
      <w:r>
        <w:t>Návrh řešení</w:t>
      </w:r>
    </w:p>
    <w:p w:rsidR="00CF75FD" w:rsidRPr="00AD71B0" w:rsidP="00CF75FD" w14:paraId="69BD9138" w14:textId="77777777">
      <w:pPr>
        <w:pStyle w:val="Heading4"/>
        <w:numPr>
          <w:ilvl w:val="0"/>
          <w:numId w:val="0"/>
        </w:numPr>
        <w:spacing w:before="120" w:after="0"/>
        <w:ind w:left="864" w:hanging="864"/>
        <w:rPr>
          <w:b/>
          <w:i/>
          <w:sz w:val="24"/>
          <w:szCs w:val="24"/>
        </w:rPr>
      </w:pPr>
      <w:r>
        <w:rPr>
          <w:b/>
          <w:i/>
          <w:sz w:val="24"/>
          <w:szCs w:val="24"/>
        </w:rPr>
        <w:t xml:space="preserve">Stanovení </w:t>
      </w:r>
      <w:r w:rsidRPr="00AD71B0">
        <w:rPr>
          <w:b/>
          <w:i/>
          <w:sz w:val="24"/>
          <w:szCs w:val="24"/>
        </w:rPr>
        <w:t>pořadí variant a výběr nejvhodnějšího řešení</w:t>
      </w:r>
    </w:p>
    <w:p w:rsidR="00CF75FD" w:rsidRPr="00ED38E9" w:rsidP="00CF75FD" w14:paraId="2878F380" w14:textId="77777777">
      <w:pPr>
        <w:pStyle w:val="ListParagraph"/>
        <w:numPr>
          <w:ilvl w:val="0"/>
          <w:numId w:val="51"/>
        </w:numPr>
        <w:spacing w:after="0" w:line="240" w:lineRule="auto"/>
        <w:ind w:left="714" w:hanging="357"/>
        <w:contextualSpacing w:val="0"/>
        <w:rPr>
          <w:rFonts w:cs="Arial"/>
          <w:b/>
          <w:bCs/>
        </w:rPr>
      </w:pPr>
      <w:r w:rsidRPr="00ED38E9">
        <w:rPr>
          <w:rFonts w:cs="Arial"/>
          <w:b/>
          <w:bCs/>
        </w:rPr>
        <w:t xml:space="preserve">Varianta </w:t>
      </w:r>
      <w:r>
        <w:rPr>
          <w:rFonts w:cs="Arial"/>
          <w:b/>
          <w:bCs/>
        </w:rPr>
        <w:t>2</w:t>
      </w:r>
    </w:p>
    <w:p w:rsidR="00CF75FD" w:rsidRPr="00ED38E9" w:rsidP="00CF75FD" w14:paraId="43224D64" w14:textId="77777777">
      <w:pPr>
        <w:pStyle w:val="ListParagraph"/>
        <w:numPr>
          <w:ilvl w:val="0"/>
          <w:numId w:val="51"/>
        </w:numPr>
        <w:spacing w:after="0" w:line="240" w:lineRule="auto"/>
        <w:ind w:left="714" w:hanging="357"/>
        <w:contextualSpacing w:val="0"/>
        <w:rPr>
          <w:rFonts w:cs="Arial"/>
        </w:rPr>
      </w:pPr>
      <w:r w:rsidRPr="00ED38E9">
        <w:rPr>
          <w:rFonts w:cs="Arial"/>
        </w:rPr>
        <w:t xml:space="preserve">Varianta </w:t>
      </w:r>
      <w:r>
        <w:rPr>
          <w:rFonts w:cs="Arial"/>
        </w:rPr>
        <w:t>1</w:t>
      </w:r>
    </w:p>
    <w:p w:rsidR="00CF75FD" w:rsidP="00CF75FD" w14:paraId="15FFD1A5" w14:textId="77777777">
      <w:pPr>
        <w:pStyle w:val="ListParagraph"/>
        <w:numPr>
          <w:ilvl w:val="0"/>
          <w:numId w:val="51"/>
        </w:numPr>
        <w:spacing w:after="0" w:line="240" w:lineRule="auto"/>
        <w:ind w:left="714" w:hanging="357"/>
        <w:contextualSpacing w:val="0"/>
        <w:rPr>
          <w:rFonts w:cs="Arial"/>
        </w:rPr>
      </w:pPr>
      <w:r w:rsidRPr="00ED38E9">
        <w:rPr>
          <w:rFonts w:cs="Arial"/>
        </w:rPr>
        <w:t xml:space="preserve">Varianta </w:t>
      </w:r>
      <w:r>
        <w:rPr>
          <w:rFonts w:cs="Arial"/>
        </w:rPr>
        <w:t>0</w:t>
      </w:r>
    </w:p>
    <w:p w:rsidR="00CF75FD" w:rsidP="00CF75FD" w14:paraId="121A5207" w14:textId="77777777">
      <w:r w:rsidRPr="00ED38E9">
        <w:t>V souvislosti s potřebou vyšší míry sběru a recyklace OEEZ</w:t>
      </w:r>
      <w:r>
        <w:t xml:space="preserve"> a s ohledem na lepší </w:t>
      </w:r>
      <w:r>
        <w:rPr>
          <w:rFonts w:cs="Arial"/>
        </w:rPr>
        <w:t xml:space="preserve">možnost </w:t>
      </w:r>
      <w:r w:rsidRPr="00B1740A">
        <w:rPr>
          <w:rFonts w:cs="Arial"/>
        </w:rPr>
        <w:t>kontrol</w:t>
      </w:r>
      <w:r>
        <w:rPr>
          <w:rFonts w:cs="Arial"/>
        </w:rPr>
        <w:t>y</w:t>
      </w:r>
      <w:r w:rsidRPr="00B1740A">
        <w:rPr>
          <w:rFonts w:cs="Arial"/>
        </w:rPr>
        <w:t xml:space="preserve"> </w:t>
      </w:r>
      <w:r>
        <w:rPr>
          <w:rFonts w:cs="Arial"/>
        </w:rPr>
        <w:t>ze strany kontrolních orgánů</w:t>
      </w:r>
      <w:r>
        <w:t xml:space="preserve"> </w:t>
      </w:r>
      <w:r w:rsidRPr="00ED38E9">
        <w:t>doporučujeme přijmout Varian</w:t>
      </w:r>
      <w:r>
        <w:t>tu 2, která představuje povinnost pro výrobce EEZ určených k použití v domácnosti vytvoření</w:t>
      </w:r>
      <w:r w:rsidRPr="00ED38E9">
        <w:t xml:space="preserve"> </w:t>
      </w:r>
      <w:r>
        <w:t>rovnoměrně rozmístěné sběrné sítě (i v menších obcích),</w:t>
      </w:r>
      <w:r w:rsidRPr="00ED38E9">
        <w:t xml:space="preserve"> a tím i zlepšení dostupnosti míst </w:t>
      </w:r>
      <w:r>
        <w:t xml:space="preserve">ZO pro OEEZ </w:t>
      </w:r>
      <w:r w:rsidRPr="00ED38E9">
        <w:t>více obyvatelům a</w:t>
      </w:r>
      <w:r>
        <w:t> </w:t>
      </w:r>
      <w:r w:rsidRPr="00ED38E9">
        <w:t>zamezení odkládání OEEZ v lepším případě do</w:t>
      </w:r>
      <w:r>
        <w:t> směsného komunálního odpadu</w:t>
      </w:r>
      <w:r w:rsidRPr="00ED38E9">
        <w:t>, v tom horším mimo místa určená ke sběru odpadů (příkopy, lesy apod.).</w:t>
      </w:r>
      <w:r>
        <w:t xml:space="preserve"> </w:t>
      </w:r>
    </w:p>
    <w:p w:rsidR="00CF75FD" w:rsidP="00CF75FD" w14:paraId="4F4D3621" w14:textId="77777777"/>
    <w:p w:rsidR="00CF75FD" w:rsidRPr="0046292D" w:rsidP="00CF75FD" w14:paraId="602280FA" w14:textId="77777777">
      <w:pPr>
        <w:keepNext/>
        <w:jc w:val="center"/>
        <w:rPr>
          <w:b/>
          <w:sz w:val="32"/>
          <w:szCs w:val="32"/>
          <w:u w:val="single"/>
        </w:rPr>
      </w:pPr>
      <w:r>
        <w:rPr>
          <w:b/>
          <w:sz w:val="32"/>
          <w:szCs w:val="32"/>
          <w:u w:val="single"/>
        </w:rPr>
        <w:t xml:space="preserve">IV. </w:t>
      </w:r>
      <w:r w:rsidRPr="0046292D">
        <w:rPr>
          <w:b/>
          <w:sz w:val="32"/>
          <w:szCs w:val="32"/>
          <w:u w:val="single"/>
        </w:rPr>
        <w:t>Baterie a akumulátory</w:t>
      </w:r>
    </w:p>
    <w:p w:rsidR="00CF75FD" w:rsidRPr="001D602A" w:rsidP="00CF75FD" w14:paraId="26BAF3BA" w14:textId="77777777">
      <w:pPr>
        <w:pStyle w:val="Heading1"/>
        <w:widowControl w:val="0"/>
      </w:pPr>
      <w:bookmarkStart w:id="200" w:name="_Toc14942094"/>
      <w:bookmarkStart w:id="201" w:name="_Toc256000020"/>
      <w:r w:rsidRPr="001D602A">
        <w:t xml:space="preserve">Hustota sběrné sítě pro </w:t>
      </w:r>
      <w:r w:rsidRPr="00CF75FD">
        <w:t>přenosné baterie a akumulátory (§ 83</w:t>
      </w:r>
      <w:r w:rsidRPr="001D602A">
        <w:t xml:space="preserve"> odst. 2)</w:t>
      </w:r>
      <w:bookmarkEnd w:id="201"/>
      <w:bookmarkEnd w:id="200"/>
    </w:p>
    <w:p w:rsidR="00CF75FD" w:rsidRPr="001D602A" w:rsidP="00CF75FD" w14:paraId="6D24F88A" w14:textId="77777777">
      <w:pPr>
        <w:pStyle w:val="Heading2"/>
      </w:pPr>
      <w:r w:rsidRPr="001D602A">
        <w:t>Důvod předložení a cíle</w:t>
      </w:r>
    </w:p>
    <w:p w:rsidR="00CF75FD" w:rsidRPr="001D602A" w:rsidP="00BF16B7" w14:paraId="3E5FBB65" w14:textId="77777777">
      <w:pPr>
        <w:pStyle w:val="Heading3"/>
      </w:pPr>
      <w:r w:rsidRPr="001D602A">
        <w:t>Definice problému</w:t>
      </w:r>
    </w:p>
    <w:p w:rsidR="00CF75FD" w:rsidRPr="002F40B7" w:rsidP="00CF75FD" w14:paraId="79A4F5DE" w14:textId="0D52B0EC">
      <w:pPr>
        <w:rPr>
          <w:rFonts w:cs="Arial"/>
        </w:rPr>
      </w:pPr>
      <w:r w:rsidRPr="002F40B7">
        <w:t>Jedná se o transpozici článku 8a odst. 3 písm</w:t>
      </w:r>
      <w:r w:rsidRPr="002F40B7" w:rsidR="006B4A85">
        <w:t>.</w:t>
      </w:r>
      <w:r w:rsidRPr="002F40B7">
        <w:t xml:space="preserve"> a</w:t>
      </w:r>
      <w:r w:rsidRPr="002F40B7" w:rsidR="006B4A85">
        <w:t>)</w:t>
      </w:r>
      <w:r w:rsidRPr="002F40B7">
        <w:t xml:space="preserve"> a b</w:t>
      </w:r>
      <w:r w:rsidRPr="002F40B7" w:rsidR="006B4A85">
        <w:t>)</w:t>
      </w:r>
      <w:r w:rsidRPr="002F40B7">
        <w:t xml:space="preserve"> rámcové směrnice 98/2008 ES o</w:t>
      </w:r>
      <w:r w:rsidR="0039543B">
        <w:t> </w:t>
      </w:r>
      <w:r w:rsidRPr="002F40B7">
        <w:t>odpadech</w:t>
      </w:r>
      <w:r w:rsidRPr="002F40B7" w:rsidR="006B4A85">
        <w:t>, kde je mj. stanoveno, že systémy rozšířené odpovědnosti výrobce musí mít jednoznačně definovanou sběrnou síť z hlediska územínho a materiálového pokrytí</w:t>
      </w:r>
      <w:r w:rsidRPr="002F40B7">
        <w:t>.</w:t>
      </w:r>
      <w:r w:rsidRPr="002F40B7">
        <w:rPr>
          <w:rFonts w:eastAsia="Calibri" w:cs="Arial"/>
          <w:noProof w:val="0"/>
          <w:szCs w:val="22"/>
          <w:lang w:bidi="ar-SA"/>
        </w:rPr>
        <w:t xml:space="preserve"> </w:t>
      </w:r>
      <w:r w:rsidRPr="002F40B7">
        <w:rPr>
          <w:rFonts w:cs="Arial"/>
        </w:rPr>
        <w:t xml:space="preserve">Nastavení hustoty sběrné sítě </w:t>
      </w:r>
      <w:r w:rsidRPr="002F40B7" w:rsidR="002F40B7">
        <w:rPr>
          <w:rFonts w:cs="Arial"/>
        </w:rPr>
        <w:t>je základním předpokladem fungování systémů rozšířené odpovědnosti výrobce, a</w:t>
      </w:r>
      <w:r w:rsidR="002F40B7">
        <w:rPr>
          <w:rFonts w:cs="Arial"/>
        </w:rPr>
        <w:t> </w:t>
      </w:r>
      <w:r w:rsidRPr="002F40B7" w:rsidR="002F40B7">
        <w:rPr>
          <w:rFonts w:cs="Arial"/>
        </w:rPr>
        <w:t xml:space="preserve">tedy i </w:t>
      </w:r>
      <w:r w:rsidRPr="002F40B7">
        <w:rPr>
          <w:rFonts w:cs="Arial"/>
        </w:rPr>
        <w:t xml:space="preserve">procesu nakládání s odpadními </w:t>
      </w:r>
      <w:r w:rsidRPr="002F40B7" w:rsidR="002F40B7">
        <w:rPr>
          <w:rFonts w:cs="Arial"/>
        </w:rPr>
        <w:t>BA</w:t>
      </w:r>
      <w:r w:rsidRPr="002F40B7">
        <w:rPr>
          <w:rFonts w:cs="Arial"/>
        </w:rPr>
        <w:t>. Bez jejího j</w:t>
      </w:r>
      <w:r w:rsidRPr="002F40B7" w:rsidR="002F40B7">
        <w:rPr>
          <w:rFonts w:cs="Arial"/>
        </w:rPr>
        <w:t>ednoznačného</w:t>
      </w:r>
      <w:r w:rsidRPr="002F40B7">
        <w:rPr>
          <w:rFonts w:cs="Arial"/>
        </w:rPr>
        <w:t xml:space="preserve"> </w:t>
      </w:r>
      <w:r w:rsidRPr="002F40B7" w:rsidR="002F40B7">
        <w:rPr>
          <w:rFonts w:cs="Arial"/>
        </w:rPr>
        <w:t>vymezení</w:t>
      </w:r>
      <w:r w:rsidRPr="002F40B7">
        <w:rPr>
          <w:rFonts w:cs="Arial"/>
        </w:rPr>
        <w:t xml:space="preserve"> není možné zajistit správné fungování zpětného odběru (ZO),</w:t>
      </w:r>
      <w:r w:rsidRPr="002F40B7" w:rsidR="002F40B7">
        <w:rPr>
          <w:rFonts w:cs="Arial"/>
        </w:rPr>
        <w:t xml:space="preserve"> </w:t>
      </w:r>
      <w:r w:rsidR="002F40B7">
        <w:rPr>
          <w:rFonts w:cs="Arial"/>
        </w:rPr>
        <w:t>zapojit maximální počet občanů do</w:t>
      </w:r>
      <w:r w:rsidR="0039543B">
        <w:rPr>
          <w:rFonts w:cs="Arial"/>
        </w:rPr>
        <w:t> </w:t>
      </w:r>
      <w:r w:rsidR="002F40B7">
        <w:rPr>
          <w:rFonts w:cs="Arial"/>
        </w:rPr>
        <w:t>sběru</w:t>
      </w:r>
      <w:r w:rsidRPr="002F40B7">
        <w:rPr>
          <w:rFonts w:cs="Arial"/>
        </w:rPr>
        <w:t xml:space="preserve"> přenosných BA a</w:t>
      </w:r>
      <w:r w:rsidR="002F40B7">
        <w:rPr>
          <w:rFonts w:cs="Arial"/>
        </w:rPr>
        <w:t> </w:t>
      </w:r>
      <w:r w:rsidRPr="002F40B7">
        <w:rPr>
          <w:rFonts w:cs="Arial"/>
        </w:rPr>
        <w:t xml:space="preserve">minimalizovat odkládání přenosných BA mimo </w:t>
      </w:r>
      <w:r w:rsidRPr="002F40B7" w:rsidR="002F40B7">
        <w:rPr>
          <w:rFonts w:cs="Arial"/>
        </w:rPr>
        <w:t>místa k to</w:t>
      </w:r>
      <w:r w:rsidR="002F40B7">
        <w:rPr>
          <w:rFonts w:cs="Arial"/>
        </w:rPr>
        <w:t>m</w:t>
      </w:r>
      <w:r w:rsidRPr="002F40B7" w:rsidR="002F40B7">
        <w:rPr>
          <w:rFonts w:cs="Arial"/>
        </w:rPr>
        <w:t>u určená</w:t>
      </w:r>
      <w:r w:rsidRPr="002F40B7">
        <w:rPr>
          <w:rFonts w:cs="Arial"/>
        </w:rPr>
        <w:t>.</w:t>
      </w:r>
    </w:p>
    <w:p w:rsidR="00CF75FD" w:rsidRPr="004F2CF7" w:rsidP="00CF75FD" w14:paraId="527069CD" w14:textId="77777777">
      <w:pPr>
        <w:spacing w:before="360"/>
        <w:rPr>
          <w:b/>
        </w:rPr>
      </w:pPr>
      <w:r w:rsidRPr="004F2CF7">
        <w:rPr>
          <w:b/>
        </w:rPr>
        <w:t>Identifikace dotčených subjektů</w:t>
      </w:r>
    </w:p>
    <w:p w:rsidR="00CF75FD" w:rsidRPr="001D602A" w:rsidP="0039543B" w14:paraId="3D97B2BE" w14:textId="77777777">
      <w:pPr>
        <w:pStyle w:val="ListParagraph"/>
        <w:numPr>
          <w:ilvl w:val="0"/>
          <w:numId w:val="133"/>
        </w:numPr>
        <w:contextualSpacing w:val="0"/>
        <w:rPr>
          <w:rFonts w:cs="Arial"/>
        </w:rPr>
      </w:pPr>
      <w:r w:rsidRPr="001D602A">
        <w:rPr>
          <w:rFonts w:cs="Arial"/>
        </w:rPr>
        <w:t>Výrobci</w:t>
      </w:r>
      <w:r>
        <w:rPr>
          <w:rFonts w:cs="Arial"/>
        </w:rPr>
        <w:t xml:space="preserve"> přenosných BA</w:t>
      </w:r>
      <w:r w:rsidRPr="001D602A">
        <w:rPr>
          <w:rFonts w:cs="Arial"/>
        </w:rPr>
        <w:t xml:space="preserve">, </w:t>
      </w:r>
      <w:r>
        <w:rPr>
          <w:rFonts w:cs="Arial"/>
        </w:rPr>
        <w:t xml:space="preserve">potažmo </w:t>
      </w:r>
      <w:r w:rsidRPr="001D602A">
        <w:rPr>
          <w:rFonts w:cs="Arial"/>
        </w:rPr>
        <w:t>KS,</w:t>
      </w:r>
    </w:p>
    <w:p w:rsidR="00CF75FD" w:rsidRPr="001D602A" w:rsidP="0039543B" w14:paraId="7FB0F19F" w14:textId="77777777">
      <w:pPr>
        <w:pStyle w:val="ListParagraph"/>
        <w:numPr>
          <w:ilvl w:val="0"/>
          <w:numId w:val="133"/>
        </w:numPr>
        <w:contextualSpacing w:val="0"/>
        <w:rPr>
          <w:rFonts w:cs="Arial"/>
        </w:rPr>
      </w:pPr>
      <w:r w:rsidRPr="001D602A">
        <w:rPr>
          <w:rFonts w:cs="Arial"/>
        </w:rPr>
        <w:t>obce,</w:t>
      </w:r>
    </w:p>
    <w:p w:rsidR="00CF75FD" w:rsidRPr="001D602A" w:rsidP="0039543B" w14:paraId="1F1B33CC" w14:textId="77777777">
      <w:pPr>
        <w:pStyle w:val="ListParagraph"/>
        <w:numPr>
          <w:ilvl w:val="0"/>
          <w:numId w:val="133"/>
        </w:numPr>
        <w:ind w:left="714" w:hanging="357"/>
        <w:contextualSpacing w:val="0"/>
        <w:rPr>
          <w:rFonts w:cs="Arial"/>
        </w:rPr>
      </w:pPr>
      <w:r>
        <w:rPr>
          <w:rFonts w:cs="Arial"/>
        </w:rPr>
        <w:t>občané.</w:t>
      </w:r>
    </w:p>
    <w:p w:rsidR="00CF75FD" w:rsidRPr="001D602A" w:rsidP="00BF16B7" w14:paraId="719ED580" w14:textId="77777777">
      <w:pPr>
        <w:pStyle w:val="Heading3"/>
      </w:pPr>
      <w:r w:rsidRPr="001D602A">
        <w:t>Popis cílového stavu</w:t>
      </w:r>
    </w:p>
    <w:p w:rsidR="00CF75FD" w:rsidRPr="001D602A" w:rsidP="00CF75FD" w14:paraId="757178C5" w14:textId="77777777">
      <w:pPr>
        <w:rPr>
          <w:rFonts w:cs="Arial"/>
        </w:rPr>
      </w:pPr>
      <w:r w:rsidRPr="001D602A">
        <w:rPr>
          <w:rFonts w:cs="Arial"/>
        </w:rPr>
        <w:t>Nastavení funkční sběrné sítě tak, aby byla pro konečné uživatel</w:t>
      </w:r>
      <w:r>
        <w:rPr>
          <w:rFonts w:cs="Arial"/>
        </w:rPr>
        <w:t>e co nejvíce dostupná a odstranění konkurenční výhody těch výrobců</w:t>
      </w:r>
      <w:r w:rsidRPr="001D602A">
        <w:rPr>
          <w:rFonts w:cs="Arial"/>
        </w:rPr>
        <w:t>, kteří síť míst ZO nevytvář</w:t>
      </w:r>
      <w:r>
        <w:rPr>
          <w:rFonts w:cs="Arial"/>
        </w:rPr>
        <w:t>í, nebo ji provozují</w:t>
      </w:r>
      <w:r w:rsidRPr="001D602A">
        <w:rPr>
          <w:rFonts w:cs="Arial"/>
        </w:rPr>
        <w:t xml:space="preserve"> pouze v</w:t>
      </w:r>
      <w:r>
        <w:rPr>
          <w:rFonts w:cs="Arial"/>
        </w:rPr>
        <w:t xml:space="preserve"> těch </w:t>
      </w:r>
      <w:r w:rsidRPr="001D602A">
        <w:rPr>
          <w:rFonts w:cs="Arial"/>
        </w:rPr>
        <w:t>lokalitách</w:t>
      </w:r>
      <w:r>
        <w:rPr>
          <w:rFonts w:cs="Arial"/>
        </w:rPr>
        <w:t>, které jsou</w:t>
      </w:r>
      <w:r w:rsidRPr="001D602A">
        <w:rPr>
          <w:rFonts w:cs="Arial"/>
        </w:rPr>
        <w:t xml:space="preserve"> </w:t>
      </w:r>
      <w:r>
        <w:rPr>
          <w:rFonts w:cs="Arial"/>
        </w:rPr>
        <w:t>pro ně finančně výhodné</w:t>
      </w:r>
      <w:r w:rsidRPr="001D602A">
        <w:rPr>
          <w:rFonts w:cs="Arial"/>
        </w:rPr>
        <w:t>.</w:t>
      </w:r>
    </w:p>
    <w:p w:rsidR="00CF75FD" w:rsidRPr="00CF75FD" w:rsidP="00BF16B7" w14:paraId="1D3325B7" w14:textId="77777777">
      <w:pPr>
        <w:pStyle w:val="Heading3"/>
      </w:pPr>
      <w:r w:rsidRPr="00CF75FD">
        <w:t>Zhodnocení rizika</w:t>
      </w:r>
    </w:p>
    <w:p w:rsidR="00CF75FD" w:rsidRPr="00016C5C" w:rsidP="00016C5C" w14:paraId="4E3A929B" w14:textId="77777777">
      <w:pPr>
        <w:rPr>
          <w:color w:val="000000"/>
        </w:rPr>
      </w:pPr>
      <w:bookmarkStart w:id="202" w:name="_Toc13746060"/>
      <w:r w:rsidRPr="00016C5C">
        <w:t>V současnosti je hlavním problémem nerovnoměrnost sběrné sítě, a tím vyšší riziko odhazování přenosných BA do směsného komunálního odpadu, čímž se zvyšuje riziko úniku nebezpečných látek obsažených v přenosných BA do životního prostředí</w:t>
      </w:r>
      <w:r w:rsidRPr="00016C5C">
        <w:rPr>
          <w:color w:val="000000"/>
        </w:rPr>
        <w:t>.</w:t>
      </w:r>
      <w:bookmarkEnd w:id="202"/>
    </w:p>
    <w:p w:rsidR="00CF75FD" w:rsidP="00CF75FD" w14:paraId="381715D5" w14:textId="77777777">
      <w:pPr>
        <w:spacing w:before="0" w:after="0" w:line="240" w:lineRule="auto"/>
        <w:rPr>
          <w:rFonts w:cs="Arial"/>
        </w:rPr>
      </w:pPr>
    </w:p>
    <w:p w:rsidR="00CF75FD" w:rsidP="00CF75FD" w14:paraId="68AD57D4" w14:textId="77777777">
      <w:pPr>
        <w:pStyle w:val="Heading2"/>
      </w:pPr>
      <w:r>
        <w:t>Návrh variant řešení</w:t>
      </w:r>
    </w:p>
    <w:p w:rsidR="00CF75FD" w:rsidRPr="00E4631E" w:rsidP="00CF75FD" w14:paraId="5D0F5CD8" w14:textId="77777777">
      <w:pPr>
        <w:pStyle w:val="Heading4"/>
        <w:numPr>
          <w:ilvl w:val="0"/>
          <w:numId w:val="0"/>
        </w:numPr>
        <w:spacing w:before="120" w:after="0"/>
        <w:ind w:left="864" w:hanging="864"/>
        <w:rPr>
          <w:szCs w:val="24"/>
        </w:rPr>
      </w:pPr>
      <w:r w:rsidRPr="00E4631E">
        <w:rPr>
          <w:b/>
          <w:sz w:val="24"/>
          <w:szCs w:val="24"/>
        </w:rPr>
        <w:t>Varianta 0</w:t>
      </w:r>
    </w:p>
    <w:p w:rsidR="00CF75FD" w:rsidRPr="00C76426" w:rsidP="00CF75FD" w14:paraId="3169BBD6" w14:textId="54A20BEC">
      <w:pPr>
        <w:rPr>
          <w:rFonts w:cs="Arial"/>
        </w:rPr>
      </w:pPr>
      <w:r w:rsidRPr="00ED38E9">
        <w:rPr>
          <w:rFonts w:cs="Arial"/>
        </w:rPr>
        <w:t xml:space="preserve">Ponechání současného stavu, kdy výrobce </w:t>
      </w:r>
      <w:r>
        <w:rPr>
          <w:rFonts w:cs="Arial"/>
        </w:rPr>
        <w:t>přenosných</w:t>
      </w:r>
      <w:r w:rsidRPr="00C76426">
        <w:rPr>
          <w:rFonts w:cs="Arial"/>
        </w:rPr>
        <w:t xml:space="preserve"> </w:t>
      </w:r>
      <w:r>
        <w:rPr>
          <w:rFonts w:cs="Arial"/>
        </w:rPr>
        <w:t xml:space="preserve">baterií a akumulátorů (BA) </w:t>
      </w:r>
      <w:r w:rsidRPr="00C76426">
        <w:rPr>
          <w:rFonts w:cs="Arial"/>
        </w:rPr>
        <w:t>je povinen</w:t>
      </w:r>
      <w:r>
        <w:rPr>
          <w:rFonts w:cs="Arial"/>
        </w:rPr>
        <w:t xml:space="preserve"> zřídit </w:t>
      </w:r>
      <w:r w:rsidRPr="00C76426">
        <w:rPr>
          <w:rFonts w:cs="Arial"/>
        </w:rPr>
        <w:t xml:space="preserve">na vlastní náklady </w:t>
      </w:r>
      <w:r>
        <w:rPr>
          <w:rFonts w:cs="Arial"/>
        </w:rPr>
        <w:t>místo</w:t>
      </w:r>
      <w:r w:rsidRPr="00C76426">
        <w:rPr>
          <w:rFonts w:cs="Arial"/>
        </w:rPr>
        <w:t xml:space="preserve"> </w:t>
      </w:r>
      <w:r>
        <w:rPr>
          <w:rFonts w:cs="Arial"/>
        </w:rPr>
        <w:t>ZO</w:t>
      </w:r>
      <w:r w:rsidRPr="00C76426">
        <w:rPr>
          <w:rFonts w:cs="Arial"/>
        </w:rPr>
        <w:t xml:space="preserve"> v každé obci, městském obvodě nebo městské části s</w:t>
      </w:r>
      <w:r w:rsidR="0039543B">
        <w:rPr>
          <w:rFonts w:cs="Arial"/>
        </w:rPr>
        <w:t> </w:t>
      </w:r>
      <w:r w:rsidRPr="00C76426">
        <w:rPr>
          <w:rFonts w:cs="Arial"/>
        </w:rPr>
        <w:t>počtem více než 1500 obyvatel</w:t>
      </w:r>
      <w:r>
        <w:rPr>
          <w:rFonts w:cs="Arial"/>
        </w:rPr>
        <w:t xml:space="preserve"> a </w:t>
      </w:r>
      <w:r w:rsidRPr="00C76426">
        <w:rPr>
          <w:rFonts w:cs="Arial"/>
        </w:rPr>
        <w:t>v každém prodejním místě</w:t>
      </w:r>
      <w:r>
        <w:rPr>
          <w:rFonts w:cs="Arial"/>
        </w:rPr>
        <w:t xml:space="preserve">, kde jsou přenosné BA, které uvádí na trh, prodávány, a dále </w:t>
      </w:r>
      <w:r w:rsidRPr="00C76426">
        <w:rPr>
          <w:rFonts w:cs="Arial"/>
        </w:rPr>
        <w:t xml:space="preserve">s každou obcí, která o její uzavření projeví zájem a ve které jsou přenosné </w:t>
      </w:r>
      <w:r>
        <w:rPr>
          <w:rFonts w:cs="Arial"/>
        </w:rPr>
        <w:t>BA</w:t>
      </w:r>
      <w:r w:rsidRPr="00C76426">
        <w:rPr>
          <w:rFonts w:cs="Arial"/>
        </w:rPr>
        <w:t>,</w:t>
      </w:r>
      <w:r>
        <w:rPr>
          <w:rFonts w:cs="Arial"/>
        </w:rPr>
        <w:t xml:space="preserve"> které uvádí na trh, prodávány.</w:t>
      </w:r>
    </w:p>
    <w:p w:rsidR="00CF75FD" w:rsidRPr="00E4631E" w:rsidP="00CF75FD" w14:paraId="4057D3C3" w14:textId="77777777">
      <w:pPr>
        <w:pStyle w:val="Heading4"/>
        <w:numPr>
          <w:ilvl w:val="0"/>
          <w:numId w:val="0"/>
        </w:numPr>
        <w:spacing w:before="360" w:after="0"/>
        <w:ind w:left="862" w:hanging="862"/>
        <w:rPr>
          <w:szCs w:val="24"/>
        </w:rPr>
      </w:pPr>
      <w:r w:rsidRPr="00E4631E">
        <w:rPr>
          <w:b/>
          <w:sz w:val="24"/>
          <w:szCs w:val="24"/>
        </w:rPr>
        <w:t>Varianta 1</w:t>
      </w:r>
    </w:p>
    <w:p w:rsidR="00CF75FD" w:rsidRPr="00CF75FD" w:rsidP="00CF75FD" w14:paraId="0463C393" w14:textId="77777777">
      <w:pPr>
        <w:rPr>
          <w:rFonts w:cs="Arial"/>
        </w:rPr>
      </w:pPr>
      <w:r>
        <w:rPr>
          <w:rFonts w:cs="Arial"/>
        </w:rPr>
        <w:t>V</w:t>
      </w:r>
      <w:r w:rsidRPr="00ED38E9">
        <w:rPr>
          <w:rFonts w:cs="Arial"/>
        </w:rPr>
        <w:t xml:space="preserve">ýrobce </w:t>
      </w:r>
      <w:r>
        <w:rPr>
          <w:rFonts w:cs="Arial"/>
        </w:rPr>
        <w:t>přenosných</w:t>
      </w:r>
      <w:r w:rsidRPr="00C76426">
        <w:rPr>
          <w:rFonts w:cs="Arial"/>
        </w:rPr>
        <w:t xml:space="preserve"> </w:t>
      </w:r>
      <w:r>
        <w:rPr>
          <w:rFonts w:cs="Arial"/>
        </w:rPr>
        <w:t xml:space="preserve">BA </w:t>
      </w:r>
      <w:r w:rsidRPr="00C76426">
        <w:rPr>
          <w:rFonts w:cs="Arial"/>
        </w:rPr>
        <w:t>je povinen</w:t>
      </w:r>
      <w:r>
        <w:rPr>
          <w:rFonts w:cs="Arial"/>
        </w:rPr>
        <w:t xml:space="preserve"> zřídit </w:t>
      </w:r>
      <w:r w:rsidRPr="00C76426">
        <w:rPr>
          <w:rFonts w:cs="Arial"/>
        </w:rPr>
        <w:t xml:space="preserve">na vlastní náklady </w:t>
      </w:r>
      <w:r>
        <w:rPr>
          <w:rFonts w:cs="Arial"/>
        </w:rPr>
        <w:t>místo</w:t>
      </w:r>
      <w:r w:rsidRPr="00C76426">
        <w:rPr>
          <w:rFonts w:cs="Arial"/>
        </w:rPr>
        <w:t xml:space="preserve"> </w:t>
      </w:r>
      <w:r>
        <w:rPr>
          <w:rFonts w:cs="Arial"/>
        </w:rPr>
        <w:t>ZO</w:t>
      </w:r>
      <w:r w:rsidRPr="00C76426">
        <w:rPr>
          <w:rFonts w:cs="Arial"/>
        </w:rPr>
        <w:t xml:space="preserve"> v </w:t>
      </w:r>
      <w:r w:rsidRPr="00CF75FD">
        <w:rPr>
          <w:rFonts w:cs="Arial"/>
        </w:rPr>
        <w:t xml:space="preserve">každém vyšším územně samosprávném celku na 8000 obyvatel tohoto vyššího územně samosprávného celku, přičemž místa ZO musí být v rámci něho rovnoměrně rozmístěna. </w:t>
      </w:r>
    </w:p>
    <w:p w:rsidR="00CF75FD" w:rsidP="00CF75FD" w14:paraId="025288D1" w14:textId="77777777">
      <w:pPr>
        <w:rPr>
          <w:rFonts w:cs="Arial"/>
        </w:rPr>
      </w:pPr>
      <w:r w:rsidRPr="00CF75FD">
        <w:rPr>
          <w:rFonts w:cs="Arial"/>
        </w:rPr>
        <w:t xml:space="preserve">Podmínka ohledně zřízení místa ZO </w:t>
      </w:r>
      <w:r w:rsidRPr="00C76426">
        <w:rPr>
          <w:rFonts w:cs="Arial"/>
        </w:rPr>
        <w:t>v každém prodejním místě</w:t>
      </w:r>
      <w:r>
        <w:rPr>
          <w:rFonts w:cs="Arial"/>
        </w:rPr>
        <w:t xml:space="preserve">, </w:t>
      </w:r>
      <w:r w:rsidRPr="00C76426">
        <w:rPr>
          <w:rFonts w:cs="Arial"/>
        </w:rPr>
        <w:t xml:space="preserve">ve které jsou přenosné </w:t>
      </w:r>
      <w:r>
        <w:rPr>
          <w:rFonts w:cs="Arial"/>
        </w:rPr>
        <w:t>BA</w:t>
      </w:r>
      <w:r w:rsidRPr="00C76426">
        <w:rPr>
          <w:rFonts w:cs="Arial"/>
        </w:rPr>
        <w:t>,</w:t>
      </w:r>
      <w:r>
        <w:rPr>
          <w:rFonts w:cs="Arial"/>
        </w:rPr>
        <w:t xml:space="preserve"> které uvádí na trh, prodávány, a v </w:t>
      </w:r>
      <w:r w:rsidRPr="00CF75FD">
        <w:rPr>
          <w:rFonts w:cs="Arial"/>
        </w:rPr>
        <w:t>každé obci, která o zřízení veřejného místa ZO projeví zájem</w:t>
      </w:r>
      <w:r>
        <w:rPr>
          <w:rFonts w:cs="Arial"/>
        </w:rPr>
        <w:t xml:space="preserve"> zůstává zachována.</w:t>
      </w:r>
    </w:p>
    <w:p w:rsidR="00CF75FD" w:rsidRPr="00ED38E9" w:rsidP="00CF75FD" w14:paraId="3357660F" w14:textId="77777777">
      <w:pPr>
        <w:rPr>
          <w:rFonts w:cs="Arial"/>
        </w:rPr>
      </w:pPr>
      <w:r w:rsidRPr="00E4631E">
        <w:rPr>
          <w:rFonts w:cs="Arial"/>
        </w:rPr>
        <w:t xml:space="preserve"> </w:t>
      </w:r>
    </w:p>
    <w:p w:rsidR="00CF75FD" w:rsidP="00CF75FD" w14:paraId="3AF326C4" w14:textId="77777777">
      <w:pPr>
        <w:pStyle w:val="Heading2"/>
      </w:pPr>
      <w:r>
        <w:t>Vyhodnocení</w:t>
      </w:r>
      <w:r w:rsidRPr="00E4631E">
        <w:t xml:space="preserve"> </w:t>
      </w:r>
      <w:r>
        <w:t>nákladů a přínosů</w:t>
      </w:r>
    </w:p>
    <w:p w:rsidR="00CF75FD" w:rsidP="00CF75FD" w14:paraId="1D230B77" w14:textId="77777777">
      <w:pPr>
        <w:pStyle w:val="Heading4"/>
        <w:numPr>
          <w:ilvl w:val="0"/>
          <w:numId w:val="0"/>
        </w:numPr>
        <w:spacing w:before="120" w:after="0"/>
        <w:ind w:left="864" w:hanging="864"/>
        <w:rPr>
          <w:b/>
          <w:i/>
          <w:sz w:val="24"/>
          <w:szCs w:val="24"/>
        </w:rPr>
      </w:pPr>
      <w:r>
        <w:rPr>
          <w:b/>
          <w:i/>
          <w:sz w:val="24"/>
          <w:szCs w:val="24"/>
        </w:rPr>
        <w:t>Identifikace nákladů a přínosů</w:t>
      </w:r>
    </w:p>
    <w:p w:rsidR="00CF75FD" w:rsidRPr="00E4631E" w:rsidP="00CF75FD" w14:paraId="647B9B09" w14:textId="77777777">
      <w:pPr>
        <w:pStyle w:val="ListParagraph"/>
        <w:keepNext/>
        <w:numPr>
          <w:ilvl w:val="0"/>
          <w:numId w:val="132"/>
        </w:numPr>
        <w:spacing w:before="240" w:after="120"/>
        <w:contextualSpacing w:val="0"/>
        <w:rPr>
          <w:rFonts w:cs="Arial"/>
          <w:b/>
        </w:rPr>
      </w:pPr>
      <w:r w:rsidRPr="00E4631E">
        <w:rPr>
          <w:rFonts w:cs="Arial"/>
          <w:b/>
        </w:rPr>
        <w:t>Varianta 0</w:t>
      </w:r>
    </w:p>
    <w:p w:rsidR="00CF75FD" w:rsidRPr="00CF75FD" w:rsidP="0039543B" w14:paraId="74F79B0F" w14:textId="77777777">
      <w:pPr>
        <w:pStyle w:val="Normlntun"/>
        <w:spacing w:before="120" w:line="276" w:lineRule="auto"/>
        <w:rPr>
          <w:rFonts w:cs="Arial"/>
          <w:b w:val="0"/>
          <w:bCs w:val="0"/>
          <w:noProof/>
          <w:szCs w:val="24"/>
          <w:lang w:eastAsia="en-US" w:bidi="en-US"/>
        </w:rPr>
      </w:pPr>
      <w:r w:rsidRPr="00CF75FD">
        <w:rPr>
          <w:rFonts w:cs="Arial"/>
          <w:b w:val="0"/>
          <w:bCs w:val="0"/>
          <w:noProof/>
          <w:szCs w:val="24"/>
          <w:lang w:eastAsia="en-US" w:bidi="en-US"/>
        </w:rPr>
        <w:t>Výrobce přenosných BA je povinen zřídit na vlastní náklady místo ZO v každé obci, městském obvodě nebo městské části s počtem více než 1500 obyvatel, ve kterých jsou přenosné BA, které uvádí na trh, prodávány</w:t>
      </w:r>
      <w:r>
        <w:rPr>
          <w:rFonts w:cs="Arial"/>
          <w:b w:val="0"/>
          <w:bCs w:val="0"/>
          <w:noProof/>
          <w:szCs w:val="24"/>
          <w:lang w:eastAsia="en-US" w:bidi="en-US"/>
        </w:rPr>
        <w:t>.</w:t>
      </w:r>
    </w:p>
    <w:p w:rsidR="00CF75FD" w:rsidRPr="00ED38E9" w:rsidP="00CF75FD" w14:paraId="5A0472C7" w14:textId="77777777">
      <w:pPr>
        <w:pStyle w:val="Normlntun"/>
        <w:spacing w:before="240"/>
        <w:rPr>
          <w:rFonts w:cs="Arial"/>
        </w:rPr>
      </w:pPr>
      <w:r w:rsidRPr="00ED38E9">
        <w:rPr>
          <w:rFonts w:cs="Arial"/>
        </w:rPr>
        <w:t>Dopady na státní rozpočet a ostatní veřejné rozpočty</w:t>
      </w:r>
    </w:p>
    <w:p w:rsidR="00CF75FD" w:rsidP="00CF75FD" w14:paraId="77B41E85" w14:textId="77777777">
      <w:pPr>
        <w:rPr>
          <w:rFonts w:cs="Arial"/>
        </w:rPr>
      </w:pPr>
      <w:r w:rsidRPr="00ED38E9">
        <w:rPr>
          <w:rFonts w:cs="Arial"/>
        </w:rPr>
        <w:t>Současný stav nepředstavuje dopady na státní rozpočet a ostatní veřejné rozpočty.</w:t>
      </w:r>
      <w:r>
        <w:rPr>
          <w:rFonts w:cs="Arial"/>
        </w:rPr>
        <w:t xml:space="preserve"> </w:t>
      </w:r>
      <w:r w:rsidRPr="00B1740A">
        <w:rPr>
          <w:rFonts w:cs="Arial"/>
        </w:rPr>
        <w:t xml:space="preserve">Problémem současného stavu je však nepřehlednost a špatná kontrola </w:t>
      </w:r>
      <w:r>
        <w:rPr>
          <w:rFonts w:cs="Arial"/>
        </w:rPr>
        <w:t xml:space="preserve">ze strany kontrolních orgánů ohledně </w:t>
      </w:r>
      <w:r w:rsidRPr="00B1740A">
        <w:rPr>
          <w:rFonts w:cs="Arial"/>
        </w:rPr>
        <w:t xml:space="preserve">splnění podmínek nastavené hustoty sítě míst ZO </w:t>
      </w:r>
      <w:r>
        <w:rPr>
          <w:rFonts w:cs="Arial"/>
        </w:rPr>
        <w:t>výrobci, potažmo KS</w:t>
      </w:r>
      <w:r w:rsidRPr="00B1740A">
        <w:rPr>
          <w:rFonts w:cs="Arial"/>
        </w:rPr>
        <w:t>.</w:t>
      </w:r>
      <w:r>
        <w:rPr>
          <w:rFonts w:cs="Arial"/>
        </w:rPr>
        <w:t xml:space="preserve"> Zákon stanovuje povinnost výrobci zřídit místo ZO pouze v těch obcích, </w:t>
      </w:r>
      <w:r w:rsidRPr="00CF75FD">
        <w:rPr>
          <w:rFonts w:cs="Arial"/>
        </w:rPr>
        <w:t xml:space="preserve">ve kterých jsou </w:t>
      </w:r>
      <w:r>
        <w:rPr>
          <w:rFonts w:cs="Arial"/>
        </w:rPr>
        <w:t xml:space="preserve">jeho </w:t>
      </w:r>
      <w:r w:rsidRPr="00CF75FD">
        <w:rPr>
          <w:rFonts w:cs="Arial"/>
        </w:rPr>
        <w:t>přenosné BA</w:t>
      </w:r>
      <w:r>
        <w:rPr>
          <w:rFonts w:cs="Arial"/>
        </w:rPr>
        <w:t xml:space="preserve"> </w:t>
      </w:r>
      <w:r w:rsidRPr="00CF75FD">
        <w:rPr>
          <w:rFonts w:cs="Arial"/>
        </w:rPr>
        <w:t>prodávány</w:t>
      </w:r>
      <w:r>
        <w:rPr>
          <w:rFonts w:cs="Arial"/>
        </w:rPr>
        <w:t>.</w:t>
      </w:r>
    </w:p>
    <w:p w:rsidR="00CF75FD" w:rsidRPr="00ED38E9" w:rsidP="00CF75FD" w14:paraId="5403D98A" w14:textId="77777777">
      <w:pPr>
        <w:pStyle w:val="Normlntun"/>
        <w:spacing w:before="240"/>
        <w:rPr>
          <w:rFonts w:cs="Arial"/>
        </w:rPr>
      </w:pPr>
      <w:r w:rsidRPr="00ED38E9">
        <w:rPr>
          <w:rFonts w:cs="Arial"/>
        </w:rPr>
        <w:t>Dopady na podnikatelské subjekty</w:t>
      </w:r>
    </w:p>
    <w:p w:rsidR="00CF75FD" w:rsidRPr="00F95507" w:rsidP="00CF75FD" w14:paraId="32BD5B79" w14:textId="77777777">
      <w:pPr>
        <w:rPr>
          <w:rFonts w:cs="Arial"/>
        </w:rPr>
      </w:pPr>
      <w:r w:rsidRPr="00F95507">
        <w:rPr>
          <w:rFonts w:cs="Arial"/>
        </w:rPr>
        <w:t xml:space="preserve">Současný požadavek </w:t>
      </w:r>
      <w:r>
        <w:rPr>
          <w:rFonts w:cs="Arial"/>
        </w:rPr>
        <w:t xml:space="preserve">na zřízení místa ZO </w:t>
      </w:r>
      <w:r w:rsidRPr="00CF75FD">
        <w:rPr>
          <w:rFonts w:cs="Arial"/>
        </w:rPr>
        <w:t>přenosných BA</w:t>
      </w:r>
      <w:r>
        <w:rPr>
          <w:rFonts w:cs="Arial"/>
        </w:rPr>
        <w:t xml:space="preserve"> v obci nad 1 5</w:t>
      </w:r>
      <w:r w:rsidRPr="00F95507">
        <w:rPr>
          <w:rFonts w:cs="Arial"/>
        </w:rPr>
        <w:t xml:space="preserve">00 obyvatel odpovídá zhruba </w:t>
      </w:r>
      <w:r>
        <w:rPr>
          <w:rFonts w:cs="Arial"/>
        </w:rPr>
        <w:t>94</w:t>
      </w:r>
      <w:r w:rsidRPr="00F95507">
        <w:rPr>
          <w:rFonts w:cs="Arial"/>
        </w:rPr>
        <w:t xml:space="preserve">0 místům ZO a zřízení místa ZO v městských částech či obvodech nad </w:t>
      </w:r>
      <w:r>
        <w:rPr>
          <w:rFonts w:cs="Arial"/>
        </w:rPr>
        <w:t>1 5</w:t>
      </w:r>
      <w:r w:rsidRPr="00F95507">
        <w:rPr>
          <w:rFonts w:cs="Arial"/>
        </w:rPr>
        <w:t xml:space="preserve">00 obyvatel </w:t>
      </w:r>
      <w:r>
        <w:rPr>
          <w:rFonts w:cs="Arial"/>
        </w:rPr>
        <w:t>znamená dalších cca 11</w:t>
      </w:r>
      <w:r w:rsidRPr="00F95507">
        <w:rPr>
          <w:rFonts w:cs="Arial"/>
        </w:rPr>
        <w:t xml:space="preserve">0 míst ZO. </w:t>
      </w:r>
      <w:r>
        <w:rPr>
          <w:rFonts w:cs="Arial"/>
        </w:rPr>
        <w:t>D</w:t>
      </w:r>
      <w:r w:rsidRPr="00F95507">
        <w:rPr>
          <w:rFonts w:cs="Arial"/>
        </w:rPr>
        <w:t xml:space="preserve">le současného zákona </w:t>
      </w:r>
      <w:r>
        <w:rPr>
          <w:rFonts w:cs="Arial"/>
        </w:rPr>
        <w:t xml:space="preserve">tedy </w:t>
      </w:r>
      <w:r w:rsidRPr="00F95507">
        <w:rPr>
          <w:rFonts w:cs="Arial"/>
        </w:rPr>
        <w:t xml:space="preserve">minimální hustota sběrné sítě </w:t>
      </w:r>
      <w:r>
        <w:rPr>
          <w:rFonts w:cs="Arial"/>
        </w:rPr>
        <w:t>odpovídá c</w:t>
      </w:r>
      <w:r w:rsidRPr="00F95507">
        <w:rPr>
          <w:rFonts w:cs="Arial"/>
        </w:rPr>
        <w:t xml:space="preserve">elkem minimálně </w:t>
      </w:r>
      <w:r>
        <w:rPr>
          <w:rFonts w:cs="Arial"/>
        </w:rPr>
        <w:t>1 </w:t>
      </w:r>
      <w:r w:rsidRPr="00F95507">
        <w:rPr>
          <w:rFonts w:cs="Arial"/>
        </w:rPr>
        <w:t>0</w:t>
      </w:r>
      <w:r>
        <w:rPr>
          <w:rFonts w:cs="Arial"/>
        </w:rPr>
        <w:t>5</w:t>
      </w:r>
      <w:r w:rsidRPr="00F95507">
        <w:rPr>
          <w:rFonts w:cs="Arial"/>
        </w:rPr>
        <w:t>0 míst ZO.</w:t>
      </w:r>
      <w:r>
        <w:rPr>
          <w:rFonts w:cs="Arial"/>
        </w:rPr>
        <w:t xml:space="preserve"> Skutečná hustota sběrné sítě jednotlivých KS je však mnohonásobně vyšší (viz následující tabulka).</w:t>
      </w:r>
    </w:p>
    <w:p w:rsidR="00CF75FD" w:rsidRPr="00B75FC6" w:rsidP="00CF75FD" w14:paraId="256B10B8" w14:textId="653811E1">
      <w:pPr>
        <w:spacing w:before="240" w:after="120"/>
        <w:rPr>
          <w:rFonts w:cs="Arial"/>
          <w:b/>
          <w:sz w:val="20"/>
          <w:szCs w:val="20"/>
        </w:rPr>
      </w:pPr>
      <w:r>
        <w:rPr>
          <w:rFonts w:cs="Arial"/>
          <w:b/>
          <w:sz w:val="20"/>
          <w:szCs w:val="20"/>
        </w:rPr>
        <w:t>Tabulka 48</w:t>
      </w:r>
      <w:r w:rsidRPr="00994CCC">
        <w:rPr>
          <w:rFonts w:cs="Arial"/>
          <w:b/>
          <w:sz w:val="20"/>
          <w:szCs w:val="20"/>
        </w:rPr>
        <w:t>:  Počet</w:t>
      </w:r>
      <w:r w:rsidRPr="00B75FC6">
        <w:rPr>
          <w:rFonts w:cs="Arial"/>
          <w:b/>
          <w:sz w:val="20"/>
          <w:szCs w:val="20"/>
        </w:rPr>
        <w:t xml:space="preserve"> sběrných míst </w:t>
      </w:r>
      <w:r w:rsidR="00D70111">
        <w:rPr>
          <w:rFonts w:cs="Arial"/>
          <w:b/>
          <w:sz w:val="20"/>
          <w:szCs w:val="20"/>
        </w:rPr>
        <w:t>přenosných BA</w:t>
      </w:r>
      <w:r>
        <w:rPr>
          <w:rFonts w:cs="Arial"/>
          <w:b/>
          <w:sz w:val="20"/>
          <w:szCs w:val="20"/>
        </w:rPr>
        <w:t xml:space="preserve"> u jednotlivých kolektivních systémů</w:t>
      </w:r>
    </w:p>
    <w:tbl>
      <w:tblPr>
        <w:tblStyle w:val="TableGrid"/>
        <w:tblW w:w="0" w:type="auto"/>
        <w:tblLook w:val="04A0"/>
      </w:tblPr>
      <w:tblGrid>
        <w:gridCol w:w="2972"/>
        <w:gridCol w:w="3402"/>
      </w:tblGrid>
      <w:tr w14:paraId="2C64919B" w14:textId="77777777" w:rsidTr="00CF75FD">
        <w:tblPrEx>
          <w:tblW w:w="0" w:type="auto"/>
          <w:tblLook w:val="04A0"/>
        </w:tblPrEx>
        <w:tc>
          <w:tcPr>
            <w:tcW w:w="2972" w:type="dxa"/>
          </w:tcPr>
          <w:p w:rsidR="00CF75FD" w:rsidRPr="006B1BF3" w:rsidP="00CF75FD" w14:paraId="176D1B91" w14:textId="77777777">
            <w:pPr>
              <w:jc w:val="center"/>
              <w:rPr>
                <w:rFonts w:cs="Arial"/>
                <w:b/>
              </w:rPr>
            </w:pPr>
            <w:r w:rsidRPr="006B1BF3">
              <w:rPr>
                <w:rFonts w:cs="Arial"/>
                <w:b/>
              </w:rPr>
              <w:t>Kolektivní systém</w:t>
            </w:r>
          </w:p>
        </w:tc>
        <w:tc>
          <w:tcPr>
            <w:tcW w:w="3402" w:type="dxa"/>
          </w:tcPr>
          <w:p w:rsidR="00CF75FD" w:rsidRPr="006B1BF3" w:rsidP="00CF75FD" w14:paraId="4FC75068" w14:textId="77777777">
            <w:pPr>
              <w:jc w:val="center"/>
              <w:rPr>
                <w:rFonts w:cs="Arial"/>
                <w:b/>
              </w:rPr>
            </w:pPr>
            <w:r w:rsidRPr="006B1BF3">
              <w:rPr>
                <w:rFonts w:cs="Arial"/>
                <w:b/>
              </w:rPr>
              <w:t>Počet sběrných míst EEZ*</w:t>
            </w:r>
          </w:p>
        </w:tc>
      </w:tr>
      <w:tr w14:paraId="7370225E" w14:textId="77777777" w:rsidTr="00CF75FD">
        <w:tblPrEx>
          <w:tblW w:w="0" w:type="auto"/>
          <w:tblLook w:val="04A0"/>
        </w:tblPrEx>
        <w:tc>
          <w:tcPr>
            <w:tcW w:w="2972" w:type="dxa"/>
          </w:tcPr>
          <w:p w:rsidR="00CF75FD" w:rsidP="00CF75FD" w14:paraId="2932A966" w14:textId="77777777">
            <w:pPr>
              <w:rPr>
                <w:rFonts w:cs="Arial"/>
              </w:rPr>
            </w:pPr>
            <w:r>
              <w:rPr>
                <w:rFonts w:cs="Arial"/>
              </w:rPr>
              <w:t>ECOBAT</w:t>
            </w:r>
          </w:p>
        </w:tc>
        <w:tc>
          <w:tcPr>
            <w:tcW w:w="3402" w:type="dxa"/>
          </w:tcPr>
          <w:p w:rsidR="00CF75FD" w:rsidP="00CF75FD" w14:paraId="1799697A" w14:textId="77777777">
            <w:pPr>
              <w:jc w:val="center"/>
              <w:rPr>
                <w:rFonts w:cs="Arial"/>
              </w:rPr>
            </w:pPr>
            <w:r>
              <w:rPr>
                <w:rFonts w:cs="Arial"/>
              </w:rPr>
              <w:t>22 700</w:t>
            </w:r>
          </w:p>
        </w:tc>
      </w:tr>
      <w:tr w14:paraId="0E66B3B7" w14:textId="77777777" w:rsidTr="00CF75FD">
        <w:tblPrEx>
          <w:tblW w:w="0" w:type="auto"/>
          <w:tblLook w:val="04A0"/>
        </w:tblPrEx>
        <w:tc>
          <w:tcPr>
            <w:tcW w:w="2972" w:type="dxa"/>
          </w:tcPr>
          <w:p w:rsidR="00CF75FD" w:rsidP="00CF75FD" w14:paraId="2FE36111" w14:textId="77777777">
            <w:pPr>
              <w:rPr>
                <w:rFonts w:cs="Arial"/>
              </w:rPr>
            </w:pPr>
            <w:r>
              <w:rPr>
                <w:rFonts w:cs="Arial"/>
              </w:rPr>
              <w:t>Rema Battery</w:t>
            </w:r>
          </w:p>
        </w:tc>
        <w:tc>
          <w:tcPr>
            <w:tcW w:w="3402" w:type="dxa"/>
          </w:tcPr>
          <w:p w:rsidR="00CF75FD" w:rsidP="00CF75FD" w14:paraId="410F98D3" w14:textId="77777777">
            <w:pPr>
              <w:jc w:val="center"/>
              <w:rPr>
                <w:rFonts w:cs="Arial"/>
              </w:rPr>
            </w:pPr>
            <w:r>
              <w:rPr>
                <w:rFonts w:cs="Arial"/>
              </w:rPr>
              <w:t>22 400</w:t>
            </w:r>
          </w:p>
        </w:tc>
      </w:tr>
    </w:tbl>
    <w:p w:rsidR="00CF75FD" w:rsidRPr="00C06411" w:rsidP="00CF75FD" w14:paraId="15093DE3" w14:textId="77777777">
      <w:pPr>
        <w:rPr>
          <w:rFonts w:cs="Arial"/>
          <w:sz w:val="20"/>
          <w:szCs w:val="20"/>
        </w:rPr>
      </w:pPr>
      <w:r w:rsidRPr="00C06411">
        <w:rPr>
          <w:rFonts w:cs="Arial"/>
          <w:sz w:val="20"/>
          <w:szCs w:val="20"/>
        </w:rPr>
        <w:t xml:space="preserve">* Počet sběrných míst </w:t>
      </w:r>
      <w:r>
        <w:rPr>
          <w:rFonts w:cs="Arial"/>
          <w:sz w:val="20"/>
          <w:szCs w:val="20"/>
        </w:rPr>
        <w:t>přenosných BA</w:t>
      </w:r>
      <w:r w:rsidRPr="00C06411">
        <w:rPr>
          <w:rFonts w:cs="Arial"/>
          <w:sz w:val="20"/>
          <w:szCs w:val="20"/>
        </w:rPr>
        <w:t xml:space="preserve"> pochází z výročních zpráv KS (z roku 2018</w:t>
      </w:r>
      <w:r>
        <w:rPr>
          <w:rFonts w:cs="Arial"/>
          <w:sz w:val="20"/>
          <w:szCs w:val="20"/>
        </w:rPr>
        <w:t xml:space="preserve"> a 2017</w:t>
      </w:r>
      <w:r w:rsidRPr="00C06411">
        <w:rPr>
          <w:rFonts w:cs="Arial"/>
          <w:sz w:val="20"/>
          <w:szCs w:val="20"/>
        </w:rPr>
        <w:t>) uváděných na</w:t>
      </w:r>
      <w:r>
        <w:rPr>
          <w:rFonts w:cs="Arial"/>
          <w:sz w:val="20"/>
          <w:szCs w:val="20"/>
        </w:rPr>
        <w:t> internetových</w:t>
      </w:r>
      <w:r w:rsidRPr="00C06411">
        <w:rPr>
          <w:rFonts w:cs="Arial"/>
          <w:sz w:val="20"/>
          <w:szCs w:val="20"/>
        </w:rPr>
        <w:t xml:space="preserve"> stránkách. Údaje jsou zaokrouhleny.</w:t>
      </w:r>
    </w:p>
    <w:p w:rsidR="00CF75FD" w:rsidRPr="00ED38E9" w:rsidP="00CF75FD" w14:paraId="1E97EF1B" w14:textId="77777777">
      <w:pPr>
        <w:pStyle w:val="Normlntun"/>
        <w:spacing w:before="240"/>
        <w:rPr>
          <w:rFonts w:cs="Arial"/>
        </w:rPr>
      </w:pPr>
      <w:r w:rsidRPr="00ED38E9">
        <w:rPr>
          <w:rFonts w:cs="Arial"/>
        </w:rPr>
        <w:t>Dopady na územní samosprávné celky (obce, kraje)</w:t>
      </w:r>
      <w:r w:rsidRPr="00912A11">
        <w:rPr>
          <w:rFonts w:cs="Arial"/>
        </w:rPr>
        <w:t xml:space="preserve"> </w:t>
      </w:r>
    </w:p>
    <w:p w:rsidR="00CF75FD" w:rsidRPr="00ED38E9" w:rsidP="00CF75FD" w14:paraId="45BC96C8" w14:textId="77777777">
      <w:pPr>
        <w:rPr>
          <w:rFonts w:cs="Arial"/>
        </w:rPr>
      </w:pPr>
      <w:r w:rsidRPr="00ED38E9">
        <w:rPr>
          <w:rFonts w:cs="Arial"/>
        </w:rPr>
        <w:t xml:space="preserve">V případě, že nebude tato oblast regulována, </w:t>
      </w:r>
      <w:r>
        <w:rPr>
          <w:rFonts w:cs="Arial"/>
        </w:rPr>
        <w:t>může dojít</w:t>
      </w:r>
      <w:r w:rsidRPr="00ED38E9">
        <w:rPr>
          <w:rFonts w:cs="Arial"/>
        </w:rPr>
        <w:t xml:space="preserve"> k znevýhodnění obcí s menším počtem obyvatel, kde je to pro </w:t>
      </w:r>
      <w:r>
        <w:rPr>
          <w:rFonts w:cs="Arial"/>
        </w:rPr>
        <w:t>KS</w:t>
      </w:r>
      <w:r w:rsidRPr="00ED38E9">
        <w:rPr>
          <w:rFonts w:cs="Arial"/>
        </w:rPr>
        <w:t xml:space="preserve"> neekonomické</w:t>
      </w:r>
      <w:r>
        <w:rPr>
          <w:rFonts w:cs="Arial"/>
        </w:rPr>
        <w:t xml:space="preserve"> zřídit místa ZO. </w:t>
      </w:r>
    </w:p>
    <w:p w:rsidR="00CF75FD" w:rsidRPr="00ED38E9" w:rsidP="00CF75FD" w14:paraId="6EF1446E" w14:textId="77777777">
      <w:pPr>
        <w:pStyle w:val="Normlntun"/>
        <w:keepNext w:val="0"/>
        <w:widowControl w:val="0"/>
        <w:spacing w:before="240"/>
        <w:rPr>
          <w:rFonts w:cs="Arial"/>
        </w:rPr>
      </w:pPr>
      <w:r w:rsidRPr="00ED38E9">
        <w:rPr>
          <w:rFonts w:cs="Arial"/>
        </w:rPr>
        <w:t>Sociální dopady</w:t>
      </w:r>
    </w:p>
    <w:p w:rsidR="00CF75FD" w:rsidP="00CF75FD" w14:paraId="38DB1EA1" w14:textId="77777777">
      <w:pPr>
        <w:widowControl w:val="0"/>
        <w:rPr>
          <w:rFonts w:cs="Arial"/>
        </w:rPr>
      </w:pPr>
      <w:r>
        <w:rPr>
          <w:rFonts w:cs="Arial"/>
        </w:rPr>
        <w:t xml:space="preserve">V současnosti je hlavním problémem nerovnoměrnost sběrné sítě, </w:t>
      </w:r>
      <w:r w:rsidRPr="00ED38E9">
        <w:rPr>
          <w:rFonts w:cs="Arial"/>
        </w:rPr>
        <w:t>a tím horší dostupnost pro</w:t>
      </w:r>
      <w:r>
        <w:rPr>
          <w:rFonts w:cs="Arial"/>
        </w:rPr>
        <w:t> </w:t>
      </w:r>
      <w:r w:rsidRPr="00ED38E9">
        <w:rPr>
          <w:rFonts w:cs="Arial"/>
        </w:rPr>
        <w:t>občany</w:t>
      </w:r>
      <w:r>
        <w:rPr>
          <w:rFonts w:cs="Arial"/>
        </w:rPr>
        <w:t xml:space="preserve"> v malých obcích.</w:t>
      </w:r>
    </w:p>
    <w:p w:rsidR="00CF75FD" w:rsidRPr="00ED38E9" w:rsidP="00CF75FD" w14:paraId="4932EB44" w14:textId="77777777">
      <w:pPr>
        <w:pStyle w:val="Normlntun"/>
        <w:keepNext w:val="0"/>
        <w:widowControl w:val="0"/>
        <w:spacing w:before="240"/>
        <w:rPr>
          <w:rFonts w:cs="Arial"/>
        </w:rPr>
      </w:pPr>
      <w:r w:rsidRPr="00ED38E9">
        <w:rPr>
          <w:rFonts w:cs="Arial"/>
        </w:rPr>
        <w:t>Dopady na životní prostředí</w:t>
      </w:r>
    </w:p>
    <w:p w:rsidR="00CF75FD" w:rsidP="00CF75FD" w14:paraId="4178754E" w14:textId="77777777">
      <w:pPr>
        <w:widowControl w:val="0"/>
        <w:rPr>
          <w:rFonts w:cs="Arial"/>
        </w:rPr>
      </w:pPr>
      <w:r w:rsidRPr="00ED38E9">
        <w:rPr>
          <w:rFonts w:cs="Arial"/>
        </w:rPr>
        <w:t xml:space="preserve">S nižší dostupností míst </w:t>
      </w:r>
      <w:r>
        <w:rPr>
          <w:rFonts w:cs="Arial"/>
        </w:rPr>
        <w:t>ZO</w:t>
      </w:r>
      <w:r w:rsidRPr="00ED38E9">
        <w:rPr>
          <w:rFonts w:cs="Arial"/>
        </w:rPr>
        <w:t xml:space="preserve"> </w:t>
      </w:r>
      <w:r>
        <w:rPr>
          <w:rFonts w:cs="Arial"/>
        </w:rPr>
        <w:t xml:space="preserve">v malých obcích </w:t>
      </w:r>
      <w:r w:rsidRPr="00ED38E9">
        <w:rPr>
          <w:rFonts w:cs="Arial"/>
        </w:rPr>
        <w:t xml:space="preserve">může vzrůstat množství </w:t>
      </w:r>
      <w:r>
        <w:rPr>
          <w:rFonts w:cs="Arial"/>
        </w:rPr>
        <w:t>přenosných BA</w:t>
      </w:r>
      <w:r w:rsidRPr="00ED38E9">
        <w:rPr>
          <w:rFonts w:cs="Arial"/>
        </w:rPr>
        <w:t xml:space="preserve"> mimo režim </w:t>
      </w:r>
      <w:r>
        <w:rPr>
          <w:rFonts w:cs="Arial"/>
        </w:rPr>
        <w:t>ZO (v komunálním odpadu aj.)</w:t>
      </w:r>
      <w:r w:rsidRPr="00ED38E9">
        <w:rPr>
          <w:rFonts w:cs="Arial"/>
        </w:rPr>
        <w:t>.</w:t>
      </w:r>
    </w:p>
    <w:p w:rsidR="00D81F64" w:rsidP="00CF75FD" w14:paraId="6A25A04B" w14:textId="77777777">
      <w:pPr>
        <w:widowControl w:val="0"/>
        <w:rPr>
          <w:rFonts w:cs="Arial"/>
        </w:rPr>
      </w:pPr>
    </w:p>
    <w:p w:rsidR="00CF75FD" w:rsidRPr="00E4631E" w:rsidP="00CF75FD" w14:paraId="453916DD" w14:textId="77777777">
      <w:pPr>
        <w:keepNext/>
        <w:spacing w:after="120"/>
        <w:ind w:left="357"/>
        <w:rPr>
          <w:rFonts w:cs="Arial"/>
          <w:b/>
        </w:rPr>
      </w:pPr>
      <w:r>
        <w:rPr>
          <w:rFonts w:cs="Arial"/>
          <w:b/>
        </w:rPr>
        <w:t>b)  Varianta 1</w:t>
      </w:r>
    </w:p>
    <w:p w:rsidR="00CF75FD" w:rsidP="00CF75FD" w14:paraId="3A2EFAD8" w14:textId="77777777">
      <w:pPr>
        <w:spacing w:after="120"/>
        <w:rPr>
          <w:rFonts w:cs="Arial"/>
        </w:rPr>
      </w:pPr>
      <w:r>
        <w:rPr>
          <w:rFonts w:cs="Arial"/>
        </w:rPr>
        <w:t>V</w:t>
      </w:r>
      <w:r w:rsidRPr="00E4631E">
        <w:rPr>
          <w:rFonts w:cs="Arial"/>
        </w:rPr>
        <w:t xml:space="preserve">ýrobce </w:t>
      </w:r>
      <w:r>
        <w:rPr>
          <w:rFonts w:cs="Arial"/>
        </w:rPr>
        <w:t>přenosných BA</w:t>
      </w:r>
      <w:r w:rsidRPr="00E4631E">
        <w:rPr>
          <w:rFonts w:cs="Arial"/>
        </w:rPr>
        <w:t xml:space="preserve"> je povinen zřídit </w:t>
      </w:r>
      <w:r w:rsidRPr="00C06411">
        <w:rPr>
          <w:rFonts w:cs="Arial"/>
        </w:rPr>
        <w:t xml:space="preserve">na vlastní náklady </w:t>
      </w:r>
      <w:r w:rsidRPr="00E4631E">
        <w:rPr>
          <w:rFonts w:cs="Arial"/>
        </w:rPr>
        <w:t xml:space="preserve">místo </w:t>
      </w:r>
      <w:r>
        <w:rPr>
          <w:rFonts w:cs="Arial"/>
        </w:rPr>
        <w:t>ZO na každých 8 tis. obyvatel </w:t>
      </w:r>
      <w:r w:rsidRPr="00B1740A">
        <w:rPr>
          <w:rFonts w:cs="Arial"/>
        </w:rPr>
        <w:t>vyššího územně samosprávného celku</w:t>
      </w:r>
      <w:r>
        <w:rPr>
          <w:rFonts w:cs="Arial"/>
        </w:rPr>
        <w:t xml:space="preserve"> (v krajích), </w:t>
      </w:r>
      <w:r w:rsidRPr="00B1740A">
        <w:rPr>
          <w:rFonts w:cs="Arial"/>
        </w:rPr>
        <w:t>přičemž místa ZO musí být v rámci každého vyššího územně samosprávného celku</w:t>
      </w:r>
      <w:r w:rsidRPr="00B1740A">
        <w:rPr>
          <w:rFonts w:cs="Arial"/>
          <w:u w:val="single"/>
        </w:rPr>
        <w:t xml:space="preserve"> </w:t>
      </w:r>
      <w:r w:rsidRPr="00B1740A">
        <w:rPr>
          <w:rFonts w:cs="Arial"/>
        </w:rPr>
        <w:t>rovnoměrně rozmístěna</w:t>
      </w:r>
      <w:r>
        <w:rPr>
          <w:rFonts w:cs="Arial"/>
        </w:rPr>
        <w:t xml:space="preserve">. </w:t>
      </w:r>
      <w:r w:rsidRPr="00B1740A">
        <w:rPr>
          <w:rFonts w:cs="Arial"/>
        </w:rPr>
        <w:t>Jedná se o</w:t>
      </w:r>
      <w:r>
        <w:rPr>
          <w:rFonts w:cs="Arial"/>
        </w:rPr>
        <w:t> </w:t>
      </w:r>
      <w:r w:rsidRPr="00B1740A">
        <w:rPr>
          <w:rFonts w:cs="Arial"/>
        </w:rPr>
        <w:t>zjednodušení současného systému, a zároveň  rovnoměrněji rozprostírá místa ZO</w:t>
      </w:r>
      <w:r>
        <w:rPr>
          <w:rFonts w:cs="Arial"/>
        </w:rPr>
        <w:t xml:space="preserve"> přenosných BA</w:t>
      </w:r>
      <w:r w:rsidRPr="00B1740A">
        <w:rPr>
          <w:rFonts w:cs="Arial"/>
        </w:rPr>
        <w:t>.</w:t>
      </w:r>
    </w:p>
    <w:p w:rsidR="00CF75FD" w:rsidRPr="00ED38E9" w:rsidP="00CF75FD" w14:paraId="375A1326" w14:textId="77777777">
      <w:pPr>
        <w:pStyle w:val="Normlntun"/>
        <w:spacing w:before="240"/>
        <w:rPr>
          <w:rFonts w:cs="Arial"/>
        </w:rPr>
      </w:pPr>
      <w:r w:rsidRPr="00ED38E9">
        <w:rPr>
          <w:rFonts w:cs="Arial"/>
        </w:rPr>
        <w:t>Dopady na státní rozpočet a ostatní veřejné rozpočty</w:t>
      </w:r>
    </w:p>
    <w:p w:rsidR="00CF75FD" w:rsidRPr="00ED38E9" w:rsidP="00CF75FD" w14:paraId="159D7B1D" w14:textId="77777777">
      <w:pPr>
        <w:rPr>
          <w:rFonts w:cs="Arial"/>
        </w:rPr>
      </w:pPr>
      <w:r w:rsidRPr="00ED38E9">
        <w:rPr>
          <w:rFonts w:cs="Arial"/>
        </w:rPr>
        <w:t>Nepředpokládáme dopad na státní rozpočet a ostatní veřejné rozpočty.</w:t>
      </w:r>
      <w:r>
        <w:rPr>
          <w:rFonts w:cs="Arial"/>
        </w:rPr>
        <w:t xml:space="preserve"> J</w:t>
      </w:r>
      <w:r w:rsidRPr="00B1740A">
        <w:rPr>
          <w:rFonts w:cs="Arial"/>
        </w:rPr>
        <w:t xml:space="preserve">edná </w:t>
      </w:r>
      <w:r>
        <w:rPr>
          <w:rFonts w:cs="Arial"/>
        </w:rPr>
        <w:t xml:space="preserve">se </w:t>
      </w:r>
      <w:r w:rsidRPr="00B1740A">
        <w:rPr>
          <w:rFonts w:cs="Arial"/>
        </w:rPr>
        <w:t>o</w:t>
      </w:r>
      <w:r>
        <w:rPr>
          <w:rFonts w:cs="Arial"/>
        </w:rPr>
        <w:t> </w:t>
      </w:r>
      <w:r w:rsidRPr="00B1740A">
        <w:rPr>
          <w:rFonts w:cs="Arial"/>
        </w:rPr>
        <w:t xml:space="preserve">zjednodušení </w:t>
      </w:r>
      <w:r>
        <w:rPr>
          <w:rFonts w:cs="Arial"/>
        </w:rPr>
        <w:t xml:space="preserve">a zpřehlednění </w:t>
      </w:r>
      <w:r w:rsidRPr="00B1740A">
        <w:rPr>
          <w:rFonts w:cs="Arial"/>
        </w:rPr>
        <w:t>současného systému</w:t>
      </w:r>
      <w:r>
        <w:rPr>
          <w:rFonts w:cs="Arial"/>
        </w:rPr>
        <w:t xml:space="preserve">, čímž se zjednodušuje možnost </w:t>
      </w:r>
      <w:r w:rsidRPr="00B1740A">
        <w:rPr>
          <w:rFonts w:cs="Arial"/>
        </w:rPr>
        <w:t>kontrol</w:t>
      </w:r>
      <w:r>
        <w:rPr>
          <w:rFonts w:cs="Arial"/>
        </w:rPr>
        <w:t>y</w:t>
      </w:r>
      <w:r w:rsidRPr="00B1740A">
        <w:rPr>
          <w:rFonts w:cs="Arial"/>
        </w:rPr>
        <w:t xml:space="preserve"> </w:t>
      </w:r>
      <w:r>
        <w:rPr>
          <w:rFonts w:cs="Arial"/>
        </w:rPr>
        <w:t xml:space="preserve">ze strany kontrolních orgánů ohledně </w:t>
      </w:r>
      <w:r w:rsidRPr="00B1740A">
        <w:rPr>
          <w:rFonts w:cs="Arial"/>
        </w:rPr>
        <w:t>splnění podmínek nastavené hustoty sítě míst ZO</w:t>
      </w:r>
      <w:r>
        <w:rPr>
          <w:rFonts w:cs="Arial"/>
        </w:rPr>
        <w:t>.</w:t>
      </w:r>
    </w:p>
    <w:p w:rsidR="00CF75FD" w:rsidP="00CF75FD" w14:paraId="5588C700" w14:textId="77777777">
      <w:pPr>
        <w:pStyle w:val="Normlntun"/>
        <w:spacing w:before="240"/>
        <w:rPr>
          <w:rFonts w:cs="Arial"/>
        </w:rPr>
      </w:pPr>
      <w:r w:rsidRPr="00ED38E9">
        <w:rPr>
          <w:rFonts w:cs="Arial"/>
        </w:rPr>
        <w:t>Dopady na podnikatelské subjekty</w:t>
      </w:r>
    </w:p>
    <w:p w:rsidR="00CF75FD" w:rsidP="00CF75FD" w14:paraId="7B471F11" w14:textId="77777777">
      <w:pPr>
        <w:pStyle w:val="Normlntun"/>
        <w:keepNext w:val="0"/>
        <w:widowControl w:val="0"/>
        <w:spacing w:line="276" w:lineRule="auto"/>
        <w:rPr>
          <w:rFonts w:cs="Arial"/>
          <w:b w:val="0"/>
        </w:rPr>
      </w:pPr>
      <w:r>
        <w:rPr>
          <w:rFonts w:cs="Arial"/>
          <w:b w:val="0"/>
        </w:rPr>
        <w:t>Dle varianty 1 je hustota sběrné sítě definována jako 1 místo ZO na každých 8</w:t>
      </w:r>
      <w:r w:rsidRPr="00B1740A">
        <w:rPr>
          <w:rFonts w:cs="Arial"/>
          <w:b w:val="0"/>
        </w:rPr>
        <w:t xml:space="preserve"> tis. obyvatel v každém kraji.</w:t>
      </w:r>
      <w:r>
        <w:rPr>
          <w:rFonts w:cs="Arial"/>
          <w:b w:val="0"/>
        </w:rPr>
        <w:t xml:space="preserve"> Počet míst ZO v jednotlivých krajích a celkovou hustotu sběrné sítě ukazuje následující tabulka.</w:t>
      </w:r>
    </w:p>
    <w:p w:rsidR="00CF75FD" w:rsidRPr="006B1BF3" w:rsidP="00CF75FD" w14:paraId="727FC7BC" w14:textId="712BC52D">
      <w:pPr>
        <w:pStyle w:val="Normlntun"/>
        <w:rPr>
          <w:rFonts w:cs="Arial"/>
          <w:sz w:val="20"/>
        </w:rPr>
      </w:pPr>
      <w:r>
        <w:rPr>
          <w:rFonts w:cs="Arial"/>
          <w:sz w:val="20"/>
        </w:rPr>
        <w:t>Tabulka 49</w:t>
      </w:r>
      <w:r w:rsidRPr="00CF75FD">
        <w:rPr>
          <w:rFonts w:cs="Arial"/>
          <w:sz w:val="20"/>
        </w:rPr>
        <w:t>:</w:t>
      </w:r>
      <w:r w:rsidRPr="006B1BF3">
        <w:rPr>
          <w:rFonts w:cs="Arial"/>
          <w:sz w:val="20"/>
        </w:rPr>
        <w:t xml:space="preserve"> Minimální počet sběrných míst u </w:t>
      </w:r>
      <w:r>
        <w:rPr>
          <w:rFonts w:cs="Arial"/>
          <w:sz w:val="20"/>
        </w:rPr>
        <w:t>přenosných BA</w:t>
      </w:r>
      <w:r w:rsidRPr="006B1BF3">
        <w:rPr>
          <w:rFonts w:cs="Arial"/>
          <w:sz w:val="20"/>
        </w:rPr>
        <w:t xml:space="preserve"> při požadavku </w:t>
      </w:r>
      <w:r>
        <w:rPr>
          <w:rFonts w:cs="Arial"/>
          <w:sz w:val="20"/>
        </w:rPr>
        <w:t>zřízení 1 místa ZO na každých 8</w:t>
      </w:r>
      <w:r w:rsidRPr="006B1BF3">
        <w:rPr>
          <w:rFonts w:cs="Arial"/>
          <w:sz w:val="20"/>
        </w:rPr>
        <w:t xml:space="preserve"> tis. obyvatel v kraji</w:t>
      </w:r>
    </w:p>
    <w:tbl>
      <w:tblPr>
        <w:tblW w:w="6374" w:type="dxa"/>
        <w:tblCellMar>
          <w:left w:w="70" w:type="dxa"/>
          <w:right w:w="70" w:type="dxa"/>
        </w:tblCellMar>
        <w:tblLook w:val="04A0"/>
      </w:tblPr>
      <w:tblGrid>
        <w:gridCol w:w="2740"/>
        <w:gridCol w:w="1915"/>
        <w:gridCol w:w="1719"/>
      </w:tblGrid>
      <w:tr w14:paraId="469CAC22" w14:textId="77777777" w:rsidTr="00CF75FD">
        <w:tblPrEx>
          <w:tblW w:w="6374" w:type="dxa"/>
          <w:tblCellMar>
            <w:left w:w="70" w:type="dxa"/>
            <w:right w:w="70" w:type="dxa"/>
          </w:tblCellMar>
          <w:tblLook w:val="04A0"/>
        </w:tblPrEx>
        <w:trPr>
          <w:trHeight w:val="313"/>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F75FD" w:rsidRPr="006B1BF3" w:rsidP="00CF75FD" w14:paraId="2B1E5B2E" w14:textId="77777777">
            <w:pPr>
              <w:spacing w:before="40" w:after="40"/>
              <w:jc w:val="center"/>
              <w:rPr>
                <w:b/>
                <w:bCs/>
                <w:noProof w:val="0"/>
                <w:color w:val="000000"/>
                <w:lang w:eastAsia="cs-CZ" w:bidi="ar-SA"/>
              </w:rPr>
            </w:pPr>
            <w:r w:rsidRPr="006B1BF3">
              <w:rPr>
                <w:b/>
              </w:rPr>
              <w:t xml:space="preserve">Hustota sběrné sítě u </w:t>
            </w:r>
            <w:r>
              <w:rPr>
                <w:b/>
              </w:rPr>
              <w:t>přenosných BA</w:t>
            </w:r>
          </w:p>
        </w:tc>
      </w:tr>
      <w:tr w14:paraId="00F4A33E" w14:textId="77777777" w:rsidTr="00CF75FD">
        <w:tblPrEx>
          <w:tblW w:w="6374" w:type="dxa"/>
          <w:tblCellMar>
            <w:left w:w="70" w:type="dxa"/>
            <w:right w:w="70" w:type="dxa"/>
          </w:tblCellMar>
          <w:tblLook w:val="04A0"/>
        </w:tblPrEx>
        <w:trPr>
          <w:trHeight w:val="313"/>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5FD" w:rsidRPr="006B1BF3" w:rsidP="00CF75FD" w14:paraId="03846594" w14:textId="77777777">
            <w:pPr>
              <w:spacing w:before="40" w:after="40"/>
              <w:jc w:val="center"/>
              <w:rPr>
                <w:b/>
                <w:noProof w:val="0"/>
                <w:lang w:eastAsia="cs-CZ" w:bidi="ar-SA"/>
              </w:rPr>
            </w:pPr>
            <w:r w:rsidRPr="006B1BF3">
              <w:rPr>
                <w:b/>
                <w:noProof w:val="0"/>
                <w:lang w:eastAsia="cs-CZ" w:bidi="ar-SA"/>
              </w:rPr>
              <w:t>Kraj</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CF75FD" w:rsidRPr="006B1BF3" w:rsidP="00CF75FD" w14:paraId="09398E59" w14:textId="77777777">
            <w:pPr>
              <w:spacing w:before="40" w:after="40"/>
              <w:jc w:val="center"/>
              <w:rPr>
                <w:b/>
                <w:noProof w:val="0"/>
                <w:lang w:eastAsia="cs-CZ" w:bidi="ar-SA"/>
              </w:rPr>
            </w:pPr>
            <w:r w:rsidRPr="006B1BF3">
              <w:rPr>
                <w:b/>
                <w:noProof w:val="0"/>
                <w:lang w:eastAsia="cs-CZ" w:bidi="ar-SA"/>
              </w:rPr>
              <w:t>Počet obyvatel</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CF75FD" w:rsidRPr="006B1BF3" w:rsidP="00CF75FD" w14:paraId="0016ACED" w14:textId="77777777">
            <w:pPr>
              <w:spacing w:before="40" w:after="40"/>
              <w:jc w:val="center"/>
              <w:rPr>
                <w:b/>
                <w:bCs/>
                <w:noProof w:val="0"/>
                <w:color w:val="000000"/>
                <w:lang w:eastAsia="cs-CZ" w:bidi="ar-SA"/>
              </w:rPr>
            </w:pPr>
            <w:r w:rsidRPr="006B1BF3">
              <w:rPr>
                <w:b/>
                <w:bCs/>
                <w:noProof w:val="0"/>
                <w:color w:val="000000"/>
                <w:lang w:eastAsia="cs-CZ" w:bidi="ar-SA"/>
              </w:rPr>
              <w:t>Počet míst ZO</w:t>
            </w:r>
          </w:p>
        </w:tc>
      </w:tr>
      <w:tr w14:paraId="3B2C06A9"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4273C45" w14:textId="77777777">
            <w:pPr>
              <w:spacing w:before="40" w:after="40"/>
              <w:jc w:val="left"/>
              <w:rPr>
                <w:noProof w:val="0"/>
                <w:lang w:eastAsia="cs-CZ" w:bidi="ar-SA"/>
              </w:rPr>
            </w:pPr>
            <w:r w:rsidRPr="00C700DA">
              <w:rPr>
                <w:noProof w:val="0"/>
                <w:lang w:eastAsia="cs-CZ" w:bidi="ar-SA"/>
              </w:rPr>
              <w:t>Hlavní město Praha</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03FF3C8" w14:textId="77777777">
            <w:pPr>
              <w:spacing w:before="40" w:after="40"/>
              <w:jc w:val="center"/>
              <w:rPr>
                <w:noProof w:val="0"/>
                <w:lang w:eastAsia="cs-CZ" w:bidi="ar-SA"/>
              </w:rPr>
            </w:pPr>
            <w:r w:rsidRPr="00C700DA">
              <w:rPr>
                <w:noProof w:val="0"/>
                <w:lang w:eastAsia="cs-CZ" w:bidi="ar-SA"/>
              </w:rPr>
              <w:t>1 308 632</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20781E38" w14:textId="77777777">
            <w:pPr>
              <w:spacing w:before="40" w:after="40"/>
              <w:jc w:val="center"/>
              <w:rPr>
                <w:noProof w:val="0"/>
                <w:color w:val="000000"/>
                <w:lang w:eastAsia="cs-CZ" w:bidi="ar-SA"/>
              </w:rPr>
            </w:pPr>
            <w:r w:rsidRPr="00CF75FD">
              <w:rPr>
                <w:color w:val="000000"/>
              </w:rPr>
              <w:t>164</w:t>
            </w:r>
          </w:p>
        </w:tc>
      </w:tr>
      <w:tr w14:paraId="03C14AB0"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230863B4" w14:textId="77777777">
            <w:pPr>
              <w:spacing w:before="40" w:after="40"/>
              <w:jc w:val="left"/>
              <w:rPr>
                <w:noProof w:val="0"/>
                <w:lang w:eastAsia="cs-CZ" w:bidi="ar-SA"/>
              </w:rPr>
            </w:pPr>
            <w:r w:rsidRPr="00C700DA">
              <w:rPr>
                <w:noProof w:val="0"/>
                <w:lang w:eastAsia="cs-CZ" w:bidi="ar-SA"/>
              </w:rPr>
              <w:t>Středočeský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3E5AFDC" w14:textId="77777777">
            <w:pPr>
              <w:spacing w:before="40" w:after="40"/>
              <w:jc w:val="center"/>
              <w:rPr>
                <w:noProof w:val="0"/>
                <w:lang w:eastAsia="cs-CZ" w:bidi="ar-SA"/>
              </w:rPr>
            </w:pPr>
            <w:r w:rsidRPr="00C700DA">
              <w:rPr>
                <w:noProof w:val="0"/>
                <w:lang w:eastAsia="cs-CZ" w:bidi="ar-SA"/>
              </w:rPr>
              <w:t>1 369 332</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6D9838A0" w14:textId="77777777">
            <w:pPr>
              <w:spacing w:before="40" w:after="40"/>
              <w:jc w:val="center"/>
              <w:rPr>
                <w:noProof w:val="0"/>
                <w:color w:val="000000"/>
                <w:lang w:eastAsia="cs-CZ" w:bidi="ar-SA"/>
              </w:rPr>
            </w:pPr>
            <w:r w:rsidRPr="00CF75FD">
              <w:rPr>
                <w:color w:val="000000"/>
              </w:rPr>
              <w:t>171</w:t>
            </w:r>
          </w:p>
        </w:tc>
      </w:tr>
      <w:tr w14:paraId="2CFED1D8"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295AFF75" w14:textId="77777777">
            <w:pPr>
              <w:spacing w:before="40" w:after="40"/>
              <w:jc w:val="left"/>
              <w:rPr>
                <w:noProof w:val="0"/>
                <w:lang w:eastAsia="cs-CZ" w:bidi="ar-SA"/>
              </w:rPr>
            </w:pPr>
            <w:r w:rsidRPr="00C700DA">
              <w:rPr>
                <w:noProof w:val="0"/>
                <w:lang w:eastAsia="cs-CZ" w:bidi="ar-SA"/>
              </w:rPr>
              <w:t>Jihočeský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2306E3DA" w14:textId="77777777">
            <w:pPr>
              <w:spacing w:before="40" w:after="40"/>
              <w:jc w:val="center"/>
              <w:rPr>
                <w:noProof w:val="0"/>
                <w:lang w:eastAsia="cs-CZ" w:bidi="ar-SA"/>
              </w:rPr>
            </w:pPr>
            <w:r w:rsidRPr="00C700DA">
              <w:rPr>
                <w:noProof w:val="0"/>
                <w:lang w:eastAsia="cs-CZ" w:bidi="ar-SA"/>
              </w:rPr>
              <w:t>642 133</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5A5FEC73" w14:textId="77777777">
            <w:pPr>
              <w:spacing w:before="40" w:after="40"/>
              <w:jc w:val="center"/>
              <w:rPr>
                <w:noProof w:val="0"/>
                <w:color w:val="000000"/>
                <w:lang w:eastAsia="cs-CZ" w:bidi="ar-SA"/>
              </w:rPr>
            </w:pPr>
            <w:r w:rsidRPr="00CF75FD">
              <w:rPr>
                <w:color w:val="000000"/>
              </w:rPr>
              <w:t>80</w:t>
            </w:r>
          </w:p>
        </w:tc>
      </w:tr>
      <w:tr w14:paraId="495688CC"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6C50BAF" w14:textId="77777777">
            <w:pPr>
              <w:spacing w:before="40" w:after="40"/>
              <w:jc w:val="left"/>
              <w:rPr>
                <w:noProof w:val="0"/>
                <w:lang w:eastAsia="cs-CZ" w:bidi="ar-SA"/>
              </w:rPr>
            </w:pPr>
            <w:r w:rsidRPr="00C700DA">
              <w:rPr>
                <w:noProof w:val="0"/>
                <w:lang w:eastAsia="cs-CZ" w:bidi="ar-SA"/>
              </w:rPr>
              <w:t>Plzeňský</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05E059B" w14:textId="77777777">
            <w:pPr>
              <w:spacing w:before="40" w:after="40"/>
              <w:jc w:val="center"/>
              <w:rPr>
                <w:noProof w:val="0"/>
                <w:lang w:eastAsia="cs-CZ" w:bidi="ar-SA"/>
              </w:rPr>
            </w:pPr>
            <w:r w:rsidRPr="00C700DA">
              <w:rPr>
                <w:noProof w:val="0"/>
                <w:lang w:eastAsia="cs-CZ" w:bidi="ar-SA"/>
              </w:rPr>
              <w:t>584 672</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0209B44C" w14:textId="77777777">
            <w:pPr>
              <w:spacing w:before="40" w:after="40"/>
              <w:jc w:val="center"/>
              <w:rPr>
                <w:noProof w:val="0"/>
                <w:color w:val="000000"/>
                <w:lang w:eastAsia="cs-CZ" w:bidi="ar-SA"/>
              </w:rPr>
            </w:pPr>
            <w:r w:rsidRPr="00CF75FD">
              <w:rPr>
                <w:color w:val="000000"/>
              </w:rPr>
              <w:t>73</w:t>
            </w:r>
          </w:p>
        </w:tc>
      </w:tr>
      <w:tr w14:paraId="449F969E"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17CAD501" w14:textId="77777777">
            <w:pPr>
              <w:spacing w:before="40" w:after="40"/>
              <w:jc w:val="left"/>
              <w:rPr>
                <w:noProof w:val="0"/>
                <w:lang w:eastAsia="cs-CZ" w:bidi="ar-SA"/>
              </w:rPr>
            </w:pPr>
            <w:r w:rsidRPr="00C700DA">
              <w:rPr>
                <w:noProof w:val="0"/>
                <w:lang w:eastAsia="cs-CZ" w:bidi="ar-SA"/>
              </w:rPr>
              <w:t xml:space="preserve">Karlovarský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5B5A3824" w14:textId="77777777">
            <w:pPr>
              <w:spacing w:before="40" w:after="40"/>
              <w:jc w:val="center"/>
              <w:rPr>
                <w:noProof w:val="0"/>
                <w:lang w:eastAsia="cs-CZ" w:bidi="ar-SA"/>
              </w:rPr>
            </w:pPr>
            <w:r w:rsidRPr="00C700DA">
              <w:rPr>
                <w:noProof w:val="0"/>
                <w:lang w:eastAsia="cs-CZ" w:bidi="ar-SA"/>
              </w:rPr>
              <w:t>294 896</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2F28A06F" w14:textId="77777777">
            <w:pPr>
              <w:spacing w:before="40" w:after="40"/>
              <w:jc w:val="center"/>
              <w:rPr>
                <w:noProof w:val="0"/>
                <w:color w:val="000000"/>
                <w:lang w:eastAsia="cs-CZ" w:bidi="ar-SA"/>
              </w:rPr>
            </w:pPr>
            <w:r w:rsidRPr="00CF75FD">
              <w:rPr>
                <w:color w:val="000000"/>
              </w:rPr>
              <w:t>37</w:t>
            </w:r>
          </w:p>
        </w:tc>
      </w:tr>
      <w:tr w14:paraId="7E3971AE"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39621280" w14:textId="77777777">
            <w:pPr>
              <w:spacing w:before="40" w:after="40"/>
              <w:jc w:val="left"/>
              <w:rPr>
                <w:noProof w:val="0"/>
                <w:lang w:eastAsia="cs-CZ" w:bidi="ar-SA"/>
              </w:rPr>
            </w:pPr>
            <w:r w:rsidRPr="00C700DA">
              <w:rPr>
                <w:noProof w:val="0"/>
                <w:lang w:eastAsia="cs-CZ" w:bidi="ar-SA"/>
              </w:rPr>
              <w:t xml:space="preserve">Ústecký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26C8FF2" w14:textId="77777777">
            <w:pPr>
              <w:spacing w:before="40" w:after="40"/>
              <w:jc w:val="center"/>
              <w:rPr>
                <w:noProof w:val="0"/>
                <w:lang w:eastAsia="cs-CZ" w:bidi="ar-SA"/>
              </w:rPr>
            </w:pPr>
            <w:r w:rsidRPr="00C700DA">
              <w:rPr>
                <w:noProof w:val="0"/>
                <w:lang w:eastAsia="cs-CZ" w:bidi="ar-SA"/>
              </w:rPr>
              <w:t>820 789</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19DAE96B" w14:textId="77777777">
            <w:pPr>
              <w:spacing w:before="40" w:after="40"/>
              <w:jc w:val="center"/>
              <w:rPr>
                <w:noProof w:val="0"/>
                <w:color w:val="000000"/>
                <w:lang w:eastAsia="cs-CZ" w:bidi="ar-SA"/>
              </w:rPr>
            </w:pPr>
            <w:r w:rsidRPr="00CF75FD">
              <w:rPr>
                <w:color w:val="000000"/>
              </w:rPr>
              <w:t>103</w:t>
            </w:r>
          </w:p>
        </w:tc>
      </w:tr>
      <w:tr w14:paraId="7ABC75CE"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7CCB1FCF" w14:textId="77777777">
            <w:pPr>
              <w:spacing w:before="40" w:after="40"/>
              <w:jc w:val="left"/>
              <w:rPr>
                <w:noProof w:val="0"/>
                <w:lang w:eastAsia="cs-CZ" w:bidi="ar-SA"/>
              </w:rPr>
            </w:pPr>
            <w:r w:rsidRPr="00C700DA">
              <w:rPr>
                <w:noProof w:val="0"/>
                <w:lang w:eastAsia="cs-CZ" w:bidi="ar-SA"/>
              </w:rPr>
              <w:t xml:space="preserve">Liberecký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1790554B" w14:textId="77777777">
            <w:pPr>
              <w:spacing w:before="40" w:after="40"/>
              <w:jc w:val="center"/>
              <w:rPr>
                <w:noProof w:val="0"/>
                <w:lang w:eastAsia="cs-CZ" w:bidi="ar-SA"/>
              </w:rPr>
            </w:pPr>
            <w:r w:rsidRPr="00C700DA">
              <w:rPr>
                <w:noProof w:val="0"/>
                <w:lang w:eastAsia="cs-CZ" w:bidi="ar-SA"/>
              </w:rPr>
              <w:t>442 356</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1724D2EC" w14:textId="77777777">
            <w:pPr>
              <w:spacing w:before="40" w:after="40"/>
              <w:jc w:val="center"/>
              <w:rPr>
                <w:noProof w:val="0"/>
                <w:color w:val="000000"/>
                <w:lang w:eastAsia="cs-CZ" w:bidi="ar-SA"/>
              </w:rPr>
            </w:pPr>
            <w:r w:rsidRPr="00CF75FD">
              <w:rPr>
                <w:color w:val="000000"/>
              </w:rPr>
              <w:t>55</w:t>
            </w:r>
          </w:p>
        </w:tc>
      </w:tr>
      <w:tr w14:paraId="4DDE91AB"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2B006A61" w14:textId="77777777">
            <w:pPr>
              <w:spacing w:before="40" w:after="40"/>
              <w:jc w:val="left"/>
              <w:rPr>
                <w:noProof w:val="0"/>
                <w:lang w:eastAsia="cs-CZ" w:bidi="ar-SA"/>
              </w:rPr>
            </w:pPr>
            <w:r w:rsidRPr="00C700DA">
              <w:rPr>
                <w:noProof w:val="0"/>
                <w:lang w:eastAsia="cs-CZ" w:bidi="ar-SA"/>
              </w:rPr>
              <w:t xml:space="preserve">Královéhradecký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9FDDF88" w14:textId="77777777">
            <w:pPr>
              <w:spacing w:before="40" w:after="40"/>
              <w:jc w:val="center"/>
              <w:rPr>
                <w:noProof w:val="0"/>
                <w:lang w:eastAsia="cs-CZ" w:bidi="ar-SA"/>
              </w:rPr>
            </w:pPr>
            <w:r w:rsidRPr="00C700DA">
              <w:rPr>
                <w:noProof w:val="0"/>
                <w:lang w:eastAsia="cs-CZ" w:bidi="ar-SA"/>
              </w:rPr>
              <w:t>551 021</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2B754B82" w14:textId="77777777">
            <w:pPr>
              <w:spacing w:before="40" w:after="40"/>
              <w:jc w:val="center"/>
              <w:rPr>
                <w:noProof w:val="0"/>
                <w:color w:val="000000"/>
                <w:lang w:eastAsia="cs-CZ" w:bidi="ar-SA"/>
              </w:rPr>
            </w:pPr>
            <w:r w:rsidRPr="00CF75FD">
              <w:rPr>
                <w:color w:val="000000"/>
              </w:rPr>
              <w:t>69</w:t>
            </w:r>
          </w:p>
        </w:tc>
      </w:tr>
      <w:tr w14:paraId="0F25FBA5"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E8725FC" w14:textId="77777777">
            <w:pPr>
              <w:spacing w:before="40" w:after="40"/>
              <w:jc w:val="left"/>
              <w:rPr>
                <w:noProof w:val="0"/>
                <w:lang w:eastAsia="cs-CZ" w:bidi="ar-SA"/>
              </w:rPr>
            </w:pPr>
            <w:r w:rsidRPr="00C700DA">
              <w:rPr>
                <w:noProof w:val="0"/>
                <w:lang w:eastAsia="cs-CZ" w:bidi="ar-SA"/>
              </w:rPr>
              <w:t xml:space="preserve">Pardubický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51C91EB8" w14:textId="77777777">
            <w:pPr>
              <w:spacing w:before="40" w:after="40"/>
              <w:jc w:val="center"/>
              <w:rPr>
                <w:noProof w:val="0"/>
                <w:lang w:eastAsia="cs-CZ" w:bidi="ar-SA"/>
              </w:rPr>
            </w:pPr>
            <w:r w:rsidRPr="00C700DA">
              <w:rPr>
                <w:noProof w:val="0"/>
                <w:lang w:eastAsia="cs-CZ" w:bidi="ar-SA"/>
              </w:rPr>
              <w:t>520 316</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2BAC6185" w14:textId="77777777">
            <w:pPr>
              <w:spacing w:before="40" w:after="40"/>
              <w:jc w:val="center"/>
              <w:rPr>
                <w:noProof w:val="0"/>
                <w:color w:val="000000"/>
                <w:lang w:eastAsia="cs-CZ" w:bidi="ar-SA"/>
              </w:rPr>
            </w:pPr>
            <w:r w:rsidRPr="00CF75FD">
              <w:rPr>
                <w:color w:val="000000"/>
              </w:rPr>
              <w:t>65</w:t>
            </w:r>
          </w:p>
        </w:tc>
      </w:tr>
      <w:tr w14:paraId="79A6C47D"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3F3391A1" w14:textId="77777777">
            <w:pPr>
              <w:spacing w:before="40" w:after="40"/>
              <w:jc w:val="left"/>
              <w:rPr>
                <w:noProof w:val="0"/>
                <w:lang w:eastAsia="cs-CZ" w:bidi="ar-SA"/>
              </w:rPr>
            </w:pPr>
            <w:r w:rsidRPr="00C700DA">
              <w:rPr>
                <w:noProof w:val="0"/>
                <w:lang w:eastAsia="cs-CZ" w:bidi="ar-SA"/>
              </w:rPr>
              <w:t>Vysočina</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3866992B" w14:textId="77777777">
            <w:pPr>
              <w:spacing w:before="40" w:after="40"/>
              <w:jc w:val="center"/>
              <w:rPr>
                <w:noProof w:val="0"/>
                <w:lang w:eastAsia="cs-CZ" w:bidi="ar-SA"/>
              </w:rPr>
            </w:pPr>
            <w:r w:rsidRPr="00C700DA">
              <w:rPr>
                <w:noProof w:val="0"/>
                <w:lang w:eastAsia="cs-CZ" w:bidi="ar-SA"/>
              </w:rPr>
              <w:t>509 274</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530ECBA1" w14:textId="77777777">
            <w:pPr>
              <w:spacing w:before="40" w:after="40"/>
              <w:jc w:val="center"/>
              <w:rPr>
                <w:noProof w:val="0"/>
                <w:color w:val="000000"/>
                <w:lang w:eastAsia="cs-CZ" w:bidi="ar-SA"/>
              </w:rPr>
            </w:pPr>
            <w:r w:rsidRPr="00CF75FD">
              <w:rPr>
                <w:color w:val="000000"/>
              </w:rPr>
              <w:t>64</w:t>
            </w:r>
          </w:p>
        </w:tc>
      </w:tr>
      <w:tr w14:paraId="04662C27"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0DCCE9EC" w14:textId="77777777">
            <w:pPr>
              <w:spacing w:before="40" w:after="40"/>
              <w:jc w:val="left"/>
              <w:rPr>
                <w:noProof w:val="0"/>
                <w:lang w:eastAsia="cs-CZ" w:bidi="ar-SA"/>
              </w:rPr>
            </w:pPr>
            <w:r w:rsidRPr="00C700DA">
              <w:rPr>
                <w:noProof w:val="0"/>
                <w:lang w:eastAsia="cs-CZ" w:bidi="ar-SA"/>
              </w:rPr>
              <w:t xml:space="preserve">Jihomoravský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936B59D" w14:textId="77777777">
            <w:pPr>
              <w:spacing w:before="40" w:after="40"/>
              <w:jc w:val="center"/>
              <w:rPr>
                <w:noProof w:val="0"/>
                <w:lang w:eastAsia="cs-CZ" w:bidi="ar-SA"/>
              </w:rPr>
            </w:pPr>
            <w:r w:rsidRPr="00C700DA">
              <w:rPr>
                <w:noProof w:val="0"/>
                <w:lang w:eastAsia="cs-CZ" w:bidi="ar-SA"/>
              </w:rPr>
              <w:t>1 187 667</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12E20854" w14:textId="77777777">
            <w:pPr>
              <w:spacing w:before="40" w:after="40"/>
              <w:jc w:val="center"/>
              <w:rPr>
                <w:noProof w:val="0"/>
                <w:color w:val="000000"/>
                <w:lang w:eastAsia="cs-CZ" w:bidi="ar-SA"/>
              </w:rPr>
            </w:pPr>
            <w:r w:rsidRPr="00CF75FD">
              <w:rPr>
                <w:color w:val="000000"/>
              </w:rPr>
              <w:t>148</w:t>
            </w:r>
          </w:p>
        </w:tc>
      </w:tr>
      <w:tr w14:paraId="5F9EB248"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5EB87908" w14:textId="77777777">
            <w:pPr>
              <w:spacing w:before="40" w:after="40"/>
              <w:jc w:val="left"/>
              <w:rPr>
                <w:noProof w:val="0"/>
                <w:lang w:eastAsia="cs-CZ" w:bidi="ar-SA"/>
              </w:rPr>
            </w:pPr>
            <w:r w:rsidRPr="00C700DA">
              <w:rPr>
                <w:noProof w:val="0"/>
                <w:lang w:eastAsia="cs-CZ" w:bidi="ar-SA"/>
              </w:rPr>
              <w:t xml:space="preserve">Olomoucký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66080FD4" w14:textId="77777777">
            <w:pPr>
              <w:spacing w:before="40" w:after="40"/>
              <w:jc w:val="center"/>
              <w:rPr>
                <w:noProof w:val="0"/>
                <w:lang w:eastAsia="cs-CZ" w:bidi="ar-SA"/>
              </w:rPr>
            </w:pPr>
            <w:r w:rsidRPr="00C700DA">
              <w:rPr>
                <w:noProof w:val="0"/>
                <w:lang w:eastAsia="cs-CZ" w:bidi="ar-SA"/>
              </w:rPr>
              <w:t>632 492</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5E5435BE" w14:textId="77777777">
            <w:pPr>
              <w:spacing w:before="40" w:after="40"/>
              <w:jc w:val="center"/>
              <w:rPr>
                <w:noProof w:val="0"/>
                <w:color w:val="000000"/>
                <w:lang w:eastAsia="cs-CZ" w:bidi="ar-SA"/>
              </w:rPr>
            </w:pPr>
            <w:r w:rsidRPr="00CF75FD">
              <w:rPr>
                <w:color w:val="000000"/>
              </w:rPr>
              <w:t>79</w:t>
            </w:r>
          </w:p>
        </w:tc>
      </w:tr>
      <w:tr w14:paraId="237E80F1"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662A6273" w14:textId="77777777">
            <w:pPr>
              <w:spacing w:before="40" w:after="40"/>
              <w:jc w:val="left"/>
              <w:rPr>
                <w:noProof w:val="0"/>
                <w:lang w:eastAsia="cs-CZ" w:bidi="ar-SA"/>
              </w:rPr>
            </w:pPr>
            <w:r w:rsidRPr="00C700DA">
              <w:rPr>
                <w:noProof w:val="0"/>
                <w:lang w:eastAsia="cs-CZ" w:bidi="ar-SA"/>
              </w:rPr>
              <w:t xml:space="preserve">Zlínský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030FBE02" w14:textId="77777777">
            <w:pPr>
              <w:spacing w:before="40" w:after="40"/>
              <w:jc w:val="center"/>
              <w:rPr>
                <w:noProof w:val="0"/>
                <w:lang w:eastAsia="cs-CZ" w:bidi="ar-SA"/>
              </w:rPr>
            </w:pPr>
            <w:r w:rsidRPr="00C700DA">
              <w:rPr>
                <w:noProof w:val="0"/>
                <w:lang w:eastAsia="cs-CZ" w:bidi="ar-SA"/>
              </w:rPr>
              <w:t>582 921</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0DF8F93E" w14:textId="77777777">
            <w:pPr>
              <w:spacing w:before="40" w:after="40"/>
              <w:jc w:val="center"/>
              <w:rPr>
                <w:noProof w:val="0"/>
                <w:color w:val="000000"/>
                <w:lang w:eastAsia="cs-CZ" w:bidi="ar-SA"/>
              </w:rPr>
            </w:pPr>
            <w:r w:rsidRPr="00CF75FD">
              <w:rPr>
                <w:color w:val="000000"/>
              </w:rPr>
              <w:t>73</w:t>
            </w:r>
          </w:p>
        </w:tc>
      </w:tr>
      <w:tr w14:paraId="2035DAA8"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725579F" w14:textId="77777777">
            <w:pPr>
              <w:spacing w:before="40" w:after="40"/>
              <w:jc w:val="left"/>
              <w:rPr>
                <w:noProof w:val="0"/>
                <w:lang w:eastAsia="cs-CZ" w:bidi="ar-SA"/>
              </w:rPr>
            </w:pPr>
            <w:r w:rsidRPr="00C700DA">
              <w:rPr>
                <w:noProof w:val="0"/>
                <w:lang w:eastAsia="cs-CZ" w:bidi="ar-SA"/>
              </w:rPr>
              <w:t xml:space="preserve">Moravskoslezský </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7E9F3FD5" w14:textId="77777777">
            <w:pPr>
              <w:spacing w:before="40" w:after="40"/>
              <w:jc w:val="center"/>
              <w:rPr>
                <w:noProof w:val="0"/>
                <w:lang w:eastAsia="cs-CZ" w:bidi="ar-SA"/>
              </w:rPr>
            </w:pPr>
            <w:r w:rsidRPr="00C700DA">
              <w:rPr>
                <w:noProof w:val="0"/>
                <w:lang w:eastAsia="cs-CZ" w:bidi="ar-SA"/>
              </w:rPr>
              <w:t>1 203 299</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3E60BCC0" w14:textId="77777777">
            <w:pPr>
              <w:spacing w:before="40" w:after="40"/>
              <w:jc w:val="center"/>
              <w:rPr>
                <w:noProof w:val="0"/>
                <w:color w:val="000000"/>
                <w:lang w:eastAsia="cs-CZ" w:bidi="ar-SA"/>
              </w:rPr>
            </w:pPr>
            <w:r w:rsidRPr="00CF75FD">
              <w:rPr>
                <w:color w:val="000000"/>
              </w:rPr>
              <w:t>150</w:t>
            </w:r>
          </w:p>
        </w:tc>
      </w:tr>
      <w:tr w14:paraId="2A854495" w14:textId="77777777" w:rsidTr="00CF75FD">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CF75FD" w:rsidRPr="00C700DA" w:rsidP="00CF75FD" w14:paraId="4D122EC1" w14:textId="77777777">
            <w:pPr>
              <w:spacing w:before="40" w:after="40"/>
              <w:jc w:val="left"/>
              <w:rPr>
                <w:b/>
                <w:bCs/>
                <w:noProof w:val="0"/>
                <w:lang w:eastAsia="cs-CZ" w:bidi="ar-SA"/>
              </w:rPr>
            </w:pPr>
            <w:r>
              <w:rPr>
                <w:b/>
                <w:bCs/>
                <w:noProof w:val="0"/>
                <w:lang w:eastAsia="cs-CZ" w:bidi="ar-SA"/>
              </w:rPr>
              <w:t>Celkem</w:t>
            </w:r>
          </w:p>
        </w:tc>
        <w:tc>
          <w:tcPr>
            <w:tcW w:w="1915" w:type="dxa"/>
            <w:tcBorders>
              <w:top w:val="nil"/>
              <w:left w:val="nil"/>
              <w:bottom w:val="single" w:sz="4" w:space="0" w:color="auto"/>
              <w:right w:val="single" w:sz="4" w:space="0" w:color="auto"/>
            </w:tcBorders>
            <w:shd w:val="clear" w:color="auto" w:fill="auto"/>
            <w:noWrap/>
            <w:vAlign w:val="bottom"/>
            <w:hideMark/>
          </w:tcPr>
          <w:p w:rsidR="00CF75FD" w:rsidRPr="00C700DA" w:rsidP="00CF75FD" w14:paraId="4D988624" w14:textId="77777777">
            <w:pPr>
              <w:spacing w:before="40" w:after="40"/>
              <w:jc w:val="center"/>
              <w:rPr>
                <w:b/>
                <w:bCs/>
                <w:noProof w:val="0"/>
                <w:color w:val="000000"/>
                <w:lang w:eastAsia="cs-CZ" w:bidi="ar-SA"/>
              </w:rPr>
            </w:pPr>
            <w:r w:rsidRPr="00C700DA">
              <w:rPr>
                <w:b/>
                <w:bCs/>
                <w:noProof w:val="0"/>
                <w:color w:val="000000"/>
                <w:lang w:eastAsia="cs-CZ" w:bidi="ar-SA"/>
              </w:rPr>
              <w:t>10 649 800</w:t>
            </w:r>
          </w:p>
        </w:tc>
        <w:tc>
          <w:tcPr>
            <w:tcW w:w="1719" w:type="dxa"/>
            <w:tcBorders>
              <w:top w:val="nil"/>
              <w:left w:val="nil"/>
              <w:bottom w:val="single" w:sz="4" w:space="0" w:color="auto"/>
              <w:right w:val="single" w:sz="4" w:space="0" w:color="auto"/>
            </w:tcBorders>
            <w:shd w:val="clear" w:color="auto" w:fill="auto"/>
            <w:noWrap/>
            <w:vAlign w:val="bottom"/>
          </w:tcPr>
          <w:p w:rsidR="00CF75FD" w:rsidRPr="00CF75FD" w:rsidP="00CF75FD" w14:paraId="6F5EFFB9" w14:textId="77777777">
            <w:pPr>
              <w:spacing w:before="40" w:after="40"/>
              <w:jc w:val="center"/>
              <w:rPr>
                <w:b/>
                <w:bCs/>
                <w:noProof w:val="0"/>
                <w:color w:val="000000"/>
                <w:lang w:eastAsia="cs-CZ" w:bidi="ar-SA"/>
              </w:rPr>
            </w:pPr>
            <w:r w:rsidRPr="00CF75FD">
              <w:rPr>
                <w:b/>
                <w:bCs/>
                <w:color w:val="000000"/>
              </w:rPr>
              <w:t>1 331</w:t>
            </w:r>
          </w:p>
        </w:tc>
      </w:tr>
    </w:tbl>
    <w:p w:rsidR="00CF75FD" w:rsidRPr="00CF75FD" w:rsidP="00CF75FD" w14:paraId="55A4E304" w14:textId="4A6E4ACC">
      <w:pPr>
        <w:pStyle w:val="Normlntun"/>
        <w:keepNext w:val="0"/>
        <w:widowControl w:val="0"/>
        <w:spacing w:before="240" w:line="276" w:lineRule="auto"/>
        <w:rPr>
          <w:rFonts w:cs="Arial"/>
          <w:b w:val="0"/>
        </w:rPr>
      </w:pPr>
      <w:r w:rsidRPr="00CF75FD">
        <w:rPr>
          <w:rFonts w:cs="Arial"/>
          <w:b w:val="0"/>
        </w:rPr>
        <w:t>Z předchozí tabulky vyplývá, že minimální počet míst ZO v celé ČR jako požadovaná hustota sběrné sítě</w:t>
      </w:r>
      <w:r>
        <w:rPr>
          <w:rFonts w:cs="Arial"/>
          <w:b w:val="0"/>
        </w:rPr>
        <w:t xml:space="preserve"> na přenosné BA</w:t>
      </w:r>
      <w:r w:rsidRPr="00CF75FD">
        <w:rPr>
          <w:rFonts w:cs="Arial"/>
          <w:b w:val="0"/>
        </w:rPr>
        <w:t>, kterou musí KS zřídit dle této varianty je 1 331. Požadavek dle současně platného zákona odpovídá zh</w:t>
      </w:r>
      <w:r w:rsidR="008853F0">
        <w:rPr>
          <w:rFonts w:cs="Arial"/>
          <w:b w:val="0"/>
        </w:rPr>
        <w:t>ruba 1 050 míst ZO. Z tabulky 49</w:t>
      </w:r>
      <w:r w:rsidRPr="00CF75FD">
        <w:rPr>
          <w:rFonts w:cs="Arial"/>
          <w:b w:val="0"/>
        </w:rPr>
        <w:t xml:space="preserve"> však vyplývá, že současná sběrná síť jednotlivých KS mnohonásobně převyšuje minimální požadavek n</w:t>
      </w:r>
      <w:r>
        <w:rPr>
          <w:rFonts w:cs="Arial"/>
          <w:b w:val="0"/>
        </w:rPr>
        <w:t>a </w:t>
      </w:r>
      <w:r w:rsidRPr="00CF75FD">
        <w:rPr>
          <w:rFonts w:cs="Arial"/>
          <w:b w:val="0"/>
        </w:rPr>
        <w:t xml:space="preserve"> sběrnou síť, co do počtu míst. Z toho vyplývá, že tato změna požadavku na hustotu sběrné sítě by neměla mít pro současné KS na </w:t>
      </w:r>
      <w:r>
        <w:rPr>
          <w:rFonts w:cs="Arial"/>
          <w:b w:val="0"/>
        </w:rPr>
        <w:t>přenosné BA</w:t>
      </w:r>
      <w:r w:rsidRPr="00CF75FD">
        <w:rPr>
          <w:rFonts w:cs="Arial"/>
          <w:b w:val="0"/>
        </w:rPr>
        <w:t xml:space="preserve"> žádné dopady. Údaje ohledně rozmístění jednotlivých sběrných míst nejsou dostupné, ale </w:t>
      </w:r>
      <w:r>
        <w:rPr>
          <w:rFonts w:cs="Arial"/>
          <w:b w:val="0"/>
        </w:rPr>
        <w:t>l</w:t>
      </w:r>
      <w:r w:rsidRPr="00CF75FD">
        <w:rPr>
          <w:rFonts w:cs="Arial"/>
          <w:b w:val="0"/>
        </w:rPr>
        <w:t xml:space="preserve">ze předpokládat, že aby KS dosáhly minimální požadované míry ZO </w:t>
      </w:r>
      <w:r>
        <w:rPr>
          <w:rFonts w:cs="Arial"/>
          <w:b w:val="0"/>
        </w:rPr>
        <w:t>přenosných BA</w:t>
      </w:r>
      <w:r w:rsidRPr="00CF75FD">
        <w:rPr>
          <w:rFonts w:cs="Arial"/>
          <w:b w:val="0"/>
        </w:rPr>
        <w:t>, je třeba mít sběrnou síť rovnoměrněji rozloženou.</w:t>
      </w:r>
    </w:p>
    <w:p w:rsidR="00CF75FD" w:rsidRPr="00CF75FD" w:rsidP="00CF75FD" w14:paraId="31A5F6F5" w14:textId="77777777">
      <w:pPr>
        <w:pStyle w:val="Normlntun"/>
        <w:keepNext w:val="0"/>
        <w:widowControl w:val="0"/>
        <w:spacing w:before="240"/>
        <w:rPr>
          <w:rFonts w:cs="Arial"/>
        </w:rPr>
      </w:pPr>
      <w:r w:rsidRPr="00CF75FD">
        <w:rPr>
          <w:rFonts w:cs="Arial"/>
        </w:rPr>
        <w:t>Dopady na územní samosprávné celky (obce, kraje)</w:t>
      </w:r>
    </w:p>
    <w:p w:rsidR="00CF75FD" w:rsidRPr="00CF75FD" w:rsidP="0039543B" w14:paraId="46FFDB10" w14:textId="77777777">
      <w:pPr>
        <w:pStyle w:val="Normlntun"/>
        <w:keepNext w:val="0"/>
        <w:widowControl w:val="0"/>
        <w:spacing w:before="120" w:line="276" w:lineRule="auto"/>
        <w:rPr>
          <w:rFonts w:cs="Arial"/>
          <w:b w:val="0"/>
        </w:rPr>
      </w:pPr>
      <w:r w:rsidRPr="00CF75FD">
        <w:rPr>
          <w:rFonts w:cs="Arial"/>
          <w:b w:val="0"/>
        </w:rPr>
        <w:t>Tato úprava by měla zajistit rovnoměrnější rozmístění sběrné sítě i v menších obcích, a tím i zlepšení dostupnosti míst ZO občanům především menších obcí a měst, a snížení množství přenosných BA končících v komunálním odpadu</w:t>
      </w:r>
      <w:r>
        <w:rPr>
          <w:rFonts w:cs="Arial"/>
          <w:b w:val="0"/>
        </w:rPr>
        <w:t>, kde představují riziko pro životní prostředí</w:t>
      </w:r>
      <w:r w:rsidRPr="00CF75FD">
        <w:rPr>
          <w:rFonts w:cs="Arial"/>
          <w:b w:val="0"/>
        </w:rPr>
        <w:t>.</w:t>
      </w:r>
    </w:p>
    <w:p w:rsidR="00CF75FD" w:rsidRPr="00CF75FD" w:rsidP="00CF75FD" w14:paraId="6083C848" w14:textId="77777777">
      <w:pPr>
        <w:pStyle w:val="Normlntun"/>
        <w:keepNext w:val="0"/>
        <w:widowControl w:val="0"/>
        <w:spacing w:before="240"/>
        <w:rPr>
          <w:rFonts w:cs="Arial"/>
        </w:rPr>
      </w:pPr>
      <w:r w:rsidRPr="00CF75FD">
        <w:rPr>
          <w:rFonts w:cs="Arial"/>
        </w:rPr>
        <w:t>Sociální dopady</w:t>
      </w:r>
    </w:p>
    <w:p w:rsidR="00CF75FD" w:rsidRPr="00CF75FD" w:rsidP="0039543B" w14:paraId="3AA75955" w14:textId="77777777">
      <w:pPr>
        <w:pStyle w:val="Normlntun"/>
        <w:keepNext w:val="0"/>
        <w:widowControl w:val="0"/>
        <w:spacing w:before="120" w:line="276" w:lineRule="auto"/>
        <w:rPr>
          <w:rFonts w:cs="Arial"/>
        </w:rPr>
      </w:pPr>
      <w:r w:rsidRPr="00CF75FD">
        <w:rPr>
          <w:rFonts w:cs="Arial"/>
          <w:b w:val="0"/>
        </w:rPr>
        <w:t xml:space="preserve">Zlepšení dostupnosti míst ZO občanům </w:t>
      </w:r>
      <w:r>
        <w:rPr>
          <w:rFonts w:cs="Arial"/>
          <w:b w:val="0"/>
        </w:rPr>
        <w:t>malých</w:t>
      </w:r>
      <w:r w:rsidRPr="00CF75FD">
        <w:rPr>
          <w:rFonts w:cs="Arial"/>
          <w:b w:val="0"/>
        </w:rPr>
        <w:t xml:space="preserve"> obcí.</w:t>
      </w:r>
    </w:p>
    <w:p w:rsidR="00CF75FD" w:rsidRPr="00CF75FD" w:rsidP="00CF75FD" w14:paraId="411AF04A" w14:textId="77777777">
      <w:pPr>
        <w:pStyle w:val="Normlntun"/>
        <w:keepNext w:val="0"/>
        <w:widowControl w:val="0"/>
        <w:spacing w:before="240"/>
        <w:rPr>
          <w:rFonts w:cs="Arial"/>
        </w:rPr>
      </w:pPr>
      <w:r w:rsidRPr="00CF75FD">
        <w:rPr>
          <w:rFonts w:cs="Arial"/>
        </w:rPr>
        <w:t>Dopady na životní prostředí</w:t>
      </w:r>
    </w:p>
    <w:p w:rsidR="00CF75FD" w:rsidP="00CF75FD" w14:paraId="41811BA0" w14:textId="77777777">
      <w:pPr>
        <w:widowControl w:val="0"/>
        <w:rPr>
          <w:rFonts w:cs="Arial"/>
        </w:rPr>
      </w:pPr>
      <w:r w:rsidRPr="00CF75FD">
        <w:rPr>
          <w:rFonts w:cs="Arial"/>
        </w:rPr>
        <w:t xml:space="preserve">V případě vybudování kvalitní sběrné sítě, a tím zjednodušení odevzdání přenosných BA občanům lze očekávat zvýšení množství zpětně </w:t>
      </w:r>
      <w:r>
        <w:rPr>
          <w:rFonts w:cs="Arial"/>
        </w:rPr>
        <w:t xml:space="preserve">odebraných </w:t>
      </w:r>
      <w:r w:rsidRPr="00CF75FD">
        <w:rPr>
          <w:rFonts w:cs="Arial"/>
        </w:rPr>
        <w:t>přenosných BA</w:t>
      </w:r>
      <w:r>
        <w:rPr>
          <w:rFonts w:cs="Arial"/>
        </w:rPr>
        <w:t>, které budou následně zrecyklovány</w:t>
      </w:r>
      <w:r w:rsidRPr="00CF75FD">
        <w:rPr>
          <w:rFonts w:cs="Arial"/>
        </w:rPr>
        <w:t xml:space="preserve"> a snížení množství přenosných BA končících v komunálním odpadu.</w:t>
      </w:r>
    </w:p>
    <w:p w:rsidR="0039543B" w:rsidRPr="00CF75FD" w:rsidP="00CF75FD" w14:paraId="62709314" w14:textId="77777777">
      <w:pPr>
        <w:widowControl w:val="0"/>
        <w:rPr>
          <w:rFonts w:cs="Arial"/>
        </w:rPr>
      </w:pPr>
    </w:p>
    <w:p w:rsidR="00CF75FD" w:rsidRPr="003652A3" w:rsidP="00BF16B7" w14:paraId="55B2B290" w14:textId="77777777">
      <w:pPr>
        <w:pStyle w:val="Heading3"/>
      </w:pPr>
      <w:r w:rsidRPr="003652A3">
        <w:t>Vyhodnocení nákladů a přínosů variant</w:t>
      </w:r>
    </w:p>
    <w:p w:rsidR="00CF75FD" w:rsidRPr="00CF75FD" w:rsidP="00CF75FD" w14:paraId="4379196D" w14:textId="050334FA">
      <w:pPr>
        <w:pStyle w:val="Caption"/>
        <w:spacing w:before="120"/>
        <w:contextualSpacing w:val="0"/>
        <w:rPr>
          <w:rFonts w:cs="Arial"/>
          <w:sz w:val="20"/>
          <w:szCs w:val="20"/>
        </w:rPr>
      </w:pPr>
      <w:r>
        <w:rPr>
          <w:rFonts w:cs="Arial"/>
          <w:sz w:val="20"/>
          <w:szCs w:val="20"/>
        </w:rPr>
        <w:t>Tabulka 50</w:t>
      </w:r>
      <w:r w:rsidRPr="00CF75FD">
        <w:rPr>
          <w:rFonts w:cs="Arial"/>
          <w:sz w:val="20"/>
          <w:szCs w:val="20"/>
        </w:rPr>
        <w:t>: Porovnání nákladů a přínosů</w:t>
      </w:r>
    </w:p>
    <w:tbl>
      <w:tblPr>
        <w:tblStyle w:val="TableGrid"/>
        <w:tblW w:w="0" w:type="auto"/>
        <w:tblLayout w:type="fixed"/>
        <w:tblLook w:val="04A0"/>
      </w:tblPr>
      <w:tblGrid>
        <w:gridCol w:w="1185"/>
        <w:gridCol w:w="2394"/>
        <w:gridCol w:w="1260"/>
        <w:gridCol w:w="2685"/>
        <w:gridCol w:w="1538"/>
      </w:tblGrid>
      <w:tr w14:paraId="72E9D6AD" w14:textId="77777777" w:rsidTr="00016C5C">
        <w:tblPrEx>
          <w:tblW w:w="0" w:type="auto"/>
          <w:tblLayout w:type="fixed"/>
          <w:tblLook w:val="04A0"/>
        </w:tblPrEx>
        <w:tc>
          <w:tcPr>
            <w:tcW w:w="1185" w:type="dxa"/>
            <w:vAlign w:val="center"/>
          </w:tcPr>
          <w:p w:rsidR="00CF75FD" w:rsidRPr="00CF75FD" w:rsidP="00CF75FD" w14:paraId="17D13FA5" w14:textId="77777777">
            <w:pPr>
              <w:jc w:val="center"/>
              <w:rPr>
                <w:sz w:val="20"/>
                <w:szCs w:val="20"/>
              </w:rPr>
            </w:pPr>
            <w:r w:rsidRPr="00CF75FD">
              <w:rPr>
                <w:b/>
                <w:bCs/>
                <w:sz w:val="20"/>
                <w:szCs w:val="20"/>
              </w:rPr>
              <w:t>Varianta</w:t>
            </w:r>
          </w:p>
        </w:tc>
        <w:tc>
          <w:tcPr>
            <w:tcW w:w="2394" w:type="dxa"/>
            <w:vAlign w:val="center"/>
          </w:tcPr>
          <w:p w:rsidR="00CF75FD" w:rsidRPr="00CF75FD" w:rsidP="00CF75FD" w14:paraId="518356A3" w14:textId="77777777">
            <w:pPr>
              <w:jc w:val="center"/>
              <w:rPr>
                <w:sz w:val="20"/>
                <w:szCs w:val="20"/>
              </w:rPr>
            </w:pPr>
            <w:r w:rsidRPr="00CF75FD">
              <w:rPr>
                <w:b/>
                <w:bCs/>
                <w:sz w:val="20"/>
                <w:szCs w:val="20"/>
              </w:rPr>
              <w:t>Přínosy</w:t>
            </w:r>
          </w:p>
        </w:tc>
        <w:tc>
          <w:tcPr>
            <w:tcW w:w="1260" w:type="dxa"/>
            <w:vAlign w:val="center"/>
          </w:tcPr>
          <w:p w:rsidR="00CF75FD" w:rsidRPr="00CF75FD" w:rsidP="00CF75FD" w14:paraId="369F7FCF" w14:textId="77777777">
            <w:pPr>
              <w:jc w:val="center"/>
              <w:rPr>
                <w:sz w:val="20"/>
                <w:szCs w:val="20"/>
              </w:rPr>
            </w:pPr>
            <w:r w:rsidRPr="00CF75FD">
              <w:rPr>
                <w:b/>
                <w:bCs/>
                <w:sz w:val="20"/>
                <w:szCs w:val="20"/>
              </w:rPr>
              <w:t>Hodnocení</w:t>
            </w:r>
          </w:p>
        </w:tc>
        <w:tc>
          <w:tcPr>
            <w:tcW w:w="2685" w:type="dxa"/>
            <w:vAlign w:val="center"/>
          </w:tcPr>
          <w:p w:rsidR="00CF75FD" w:rsidRPr="00CF75FD" w:rsidP="00CF75FD" w14:paraId="1FF704D0" w14:textId="77777777">
            <w:pPr>
              <w:jc w:val="center"/>
              <w:rPr>
                <w:sz w:val="20"/>
                <w:szCs w:val="20"/>
              </w:rPr>
            </w:pPr>
            <w:r w:rsidRPr="00CF75FD">
              <w:rPr>
                <w:b/>
                <w:bCs/>
                <w:sz w:val="20"/>
                <w:szCs w:val="20"/>
              </w:rPr>
              <w:t>Náklady</w:t>
            </w:r>
          </w:p>
        </w:tc>
        <w:tc>
          <w:tcPr>
            <w:tcW w:w="1538" w:type="dxa"/>
            <w:vAlign w:val="center"/>
          </w:tcPr>
          <w:p w:rsidR="00CF75FD" w:rsidRPr="00CF75FD" w:rsidP="00CF75FD" w14:paraId="62806685" w14:textId="77777777">
            <w:pPr>
              <w:jc w:val="center"/>
              <w:rPr>
                <w:sz w:val="20"/>
                <w:szCs w:val="20"/>
              </w:rPr>
            </w:pPr>
            <w:r w:rsidRPr="00CF75FD">
              <w:rPr>
                <w:b/>
                <w:bCs/>
                <w:sz w:val="20"/>
                <w:szCs w:val="20"/>
              </w:rPr>
              <w:t>Hodnocení</w:t>
            </w:r>
          </w:p>
        </w:tc>
      </w:tr>
      <w:tr w14:paraId="3E1EBBAC" w14:textId="77777777" w:rsidTr="00016C5C">
        <w:tblPrEx>
          <w:tblW w:w="0" w:type="auto"/>
          <w:tblLayout w:type="fixed"/>
          <w:tblLook w:val="04A0"/>
        </w:tblPrEx>
        <w:tc>
          <w:tcPr>
            <w:tcW w:w="1185" w:type="dxa"/>
            <w:vMerge w:val="restart"/>
            <w:vAlign w:val="center"/>
          </w:tcPr>
          <w:p w:rsidR="00CF75FD" w:rsidRPr="00CF75FD" w:rsidP="00CF75FD" w14:paraId="0FDDAD4D" w14:textId="77777777">
            <w:pPr>
              <w:rPr>
                <w:b/>
                <w:sz w:val="20"/>
                <w:szCs w:val="20"/>
              </w:rPr>
            </w:pPr>
            <w:r w:rsidRPr="00CF75FD">
              <w:rPr>
                <w:b/>
                <w:sz w:val="20"/>
                <w:szCs w:val="20"/>
              </w:rPr>
              <w:t>Varianta 0</w:t>
            </w:r>
          </w:p>
        </w:tc>
        <w:tc>
          <w:tcPr>
            <w:tcW w:w="7877" w:type="dxa"/>
            <w:gridSpan w:val="4"/>
            <w:vAlign w:val="center"/>
          </w:tcPr>
          <w:p w:rsidR="00CF75FD" w:rsidRPr="00CF75FD" w:rsidP="00CF75FD" w14:paraId="464E1F97" w14:textId="77777777">
            <w:pPr>
              <w:jc w:val="center"/>
              <w:rPr>
                <w:sz w:val="20"/>
                <w:szCs w:val="20"/>
              </w:rPr>
            </w:pPr>
            <w:r w:rsidRPr="00CF75FD">
              <w:rPr>
                <w:b/>
                <w:bCs/>
                <w:sz w:val="20"/>
                <w:szCs w:val="20"/>
              </w:rPr>
              <w:t>Státní rozpočet a ostatní veřejné rozpočty</w:t>
            </w:r>
          </w:p>
        </w:tc>
      </w:tr>
      <w:tr w14:paraId="213DEA76" w14:textId="77777777" w:rsidTr="00016C5C">
        <w:tblPrEx>
          <w:tblW w:w="0" w:type="auto"/>
          <w:tblLayout w:type="fixed"/>
          <w:tblLook w:val="04A0"/>
        </w:tblPrEx>
        <w:tc>
          <w:tcPr>
            <w:tcW w:w="1185" w:type="dxa"/>
            <w:vMerge/>
            <w:vAlign w:val="center"/>
          </w:tcPr>
          <w:p w:rsidR="00CF75FD" w:rsidRPr="00CF75FD" w:rsidP="00CF75FD" w14:paraId="3C128AD4" w14:textId="77777777">
            <w:pPr>
              <w:rPr>
                <w:sz w:val="20"/>
                <w:szCs w:val="20"/>
              </w:rPr>
            </w:pPr>
          </w:p>
        </w:tc>
        <w:tc>
          <w:tcPr>
            <w:tcW w:w="2394" w:type="dxa"/>
            <w:vAlign w:val="center"/>
          </w:tcPr>
          <w:p w:rsidR="00CF75FD" w:rsidRPr="00CF75FD" w:rsidP="00CF75FD" w14:paraId="2E64BC96" w14:textId="77777777">
            <w:pPr>
              <w:jc w:val="center"/>
              <w:rPr>
                <w:sz w:val="20"/>
                <w:szCs w:val="20"/>
              </w:rPr>
            </w:pPr>
            <w:r w:rsidRPr="00CF75FD">
              <w:rPr>
                <w:sz w:val="20"/>
                <w:szCs w:val="20"/>
              </w:rPr>
              <w:t>-</w:t>
            </w:r>
          </w:p>
        </w:tc>
        <w:tc>
          <w:tcPr>
            <w:tcW w:w="1260" w:type="dxa"/>
            <w:vAlign w:val="center"/>
          </w:tcPr>
          <w:p w:rsidR="00CF75FD" w:rsidRPr="00CF75FD" w:rsidP="00CF75FD" w14:paraId="69A38A9A" w14:textId="77777777">
            <w:pPr>
              <w:jc w:val="center"/>
              <w:rPr>
                <w:sz w:val="20"/>
                <w:szCs w:val="20"/>
              </w:rPr>
            </w:pPr>
            <w:r w:rsidRPr="00CF75FD">
              <w:rPr>
                <w:sz w:val="20"/>
                <w:szCs w:val="20"/>
              </w:rPr>
              <w:t>-</w:t>
            </w:r>
          </w:p>
        </w:tc>
        <w:tc>
          <w:tcPr>
            <w:tcW w:w="2685" w:type="dxa"/>
            <w:vAlign w:val="center"/>
          </w:tcPr>
          <w:p w:rsidR="00CF75FD" w:rsidRPr="00CF75FD" w:rsidP="00CF75FD" w14:paraId="4209140E" w14:textId="77777777">
            <w:pPr>
              <w:jc w:val="center"/>
              <w:rPr>
                <w:sz w:val="20"/>
                <w:szCs w:val="20"/>
              </w:rPr>
            </w:pPr>
            <w:r w:rsidRPr="00CF75FD">
              <w:rPr>
                <w:sz w:val="20"/>
                <w:szCs w:val="20"/>
              </w:rPr>
              <w:t>Nepřehlednost a špatná kontrola splnění podmínek nastavené hustoty sítě míst ZO</w:t>
            </w:r>
          </w:p>
        </w:tc>
        <w:tc>
          <w:tcPr>
            <w:tcW w:w="1538" w:type="dxa"/>
            <w:vAlign w:val="center"/>
          </w:tcPr>
          <w:p w:rsidR="00CF75FD" w:rsidRPr="00CF75FD" w:rsidP="00CF75FD" w14:paraId="71533C51" w14:textId="77777777">
            <w:pPr>
              <w:jc w:val="center"/>
              <w:rPr>
                <w:sz w:val="20"/>
                <w:szCs w:val="20"/>
              </w:rPr>
            </w:pPr>
            <w:r w:rsidRPr="00CF75FD">
              <w:rPr>
                <w:sz w:val="20"/>
                <w:szCs w:val="20"/>
              </w:rPr>
              <w:t>**</w:t>
            </w:r>
          </w:p>
        </w:tc>
      </w:tr>
      <w:tr w14:paraId="6646E788" w14:textId="77777777" w:rsidTr="00016C5C">
        <w:tblPrEx>
          <w:tblW w:w="0" w:type="auto"/>
          <w:tblLayout w:type="fixed"/>
          <w:tblLook w:val="04A0"/>
        </w:tblPrEx>
        <w:tc>
          <w:tcPr>
            <w:tcW w:w="1185" w:type="dxa"/>
            <w:vMerge/>
            <w:vAlign w:val="center"/>
          </w:tcPr>
          <w:p w:rsidR="00CF75FD" w:rsidRPr="00CF75FD" w:rsidP="00CF75FD" w14:paraId="5F586E3B" w14:textId="77777777">
            <w:pPr>
              <w:rPr>
                <w:sz w:val="20"/>
                <w:szCs w:val="20"/>
              </w:rPr>
            </w:pPr>
          </w:p>
        </w:tc>
        <w:tc>
          <w:tcPr>
            <w:tcW w:w="7877" w:type="dxa"/>
            <w:gridSpan w:val="4"/>
            <w:vAlign w:val="center"/>
          </w:tcPr>
          <w:p w:rsidR="00CF75FD" w:rsidRPr="00CF75FD" w:rsidP="00CF75FD" w14:paraId="5E89C491" w14:textId="77777777">
            <w:pPr>
              <w:jc w:val="center"/>
              <w:rPr>
                <w:sz w:val="20"/>
                <w:szCs w:val="20"/>
              </w:rPr>
            </w:pPr>
            <w:r w:rsidRPr="00CF75FD">
              <w:rPr>
                <w:b/>
                <w:bCs/>
                <w:sz w:val="20"/>
                <w:szCs w:val="20"/>
              </w:rPr>
              <w:t>Podnikatelské subjekty</w:t>
            </w:r>
          </w:p>
        </w:tc>
      </w:tr>
      <w:tr w14:paraId="13CD7CF5" w14:textId="77777777" w:rsidTr="00016C5C">
        <w:tblPrEx>
          <w:tblW w:w="0" w:type="auto"/>
          <w:tblLayout w:type="fixed"/>
          <w:tblLook w:val="04A0"/>
        </w:tblPrEx>
        <w:tc>
          <w:tcPr>
            <w:tcW w:w="1185" w:type="dxa"/>
            <w:vMerge/>
            <w:vAlign w:val="center"/>
          </w:tcPr>
          <w:p w:rsidR="00CF75FD" w:rsidRPr="00CF75FD" w:rsidP="00CF75FD" w14:paraId="492D4C15" w14:textId="77777777">
            <w:pPr>
              <w:rPr>
                <w:sz w:val="20"/>
                <w:szCs w:val="20"/>
              </w:rPr>
            </w:pPr>
          </w:p>
        </w:tc>
        <w:tc>
          <w:tcPr>
            <w:tcW w:w="2394" w:type="dxa"/>
            <w:vAlign w:val="center"/>
          </w:tcPr>
          <w:p w:rsidR="00CF75FD" w:rsidRPr="00CF75FD" w:rsidP="00CF75FD" w14:paraId="69CCAF3F" w14:textId="77777777">
            <w:pPr>
              <w:jc w:val="center"/>
              <w:rPr>
                <w:sz w:val="20"/>
                <w:szCs w:val="20"/>
              </w:rPr>
            </w:pPr>
            <w:r w:rsidRPr="00CF75FD">
              <w:rPr>
                <w:sz w:val="20"/>
                <w:szCs w:val="20"/>
              </w:rPr>
              <w:t>-</w:t>
            </w:r>
          </w:p>
        </w:tc>
        <w:tc>
          <w:tcPr>
            <w:tcW w:w="1260" w:type="dxa"/>
            <w:vAlign w:val="center"/>
          </w:tcPr>
          <w:p w:rsidR="00CF75FD" w:rsidRPr="00CF75FD" w:rsidP="00CF75FD" w14:paraId="6C6BFA1F" w14:textId="77777777">
            <w:pPr>
              <w:jc w:val="center"/>
              <w:rPr>
                <w:sz w:val="20"/>
                <w:szCs w:val="20"/>
              </w:rPr>
            </w:pPr>
            <w:r w:rsidRPr="00CF75FD">
              <w:rPr>
                <w:sz w:val="20"/>
                <w:szCs w:val="20"/>
              </w:rPr>
              <w:t>-</w:t>
            </w:r>
          </w:p>
        </w:tc>
        <w:tc>
          <w:tcPr>
            <w:tcW w:w="2685" w:type="dxa"/>
            <w:vAlign w:val="center"/>
          </w:tcPr>
          <w:p w:rsidR="00CF75FD" w:rsidRPr="00CF75FD" w:rsidP="00CF75FD" w14:paraId="0567693B" w14:textId="77777777">
            <w:pPr>
              <w:jc w:val="center"/>
              <w:rPr>
                <w:sz w:val="20"/>
                <w:szCs w:val="20"/>
              </w:rPr>
            </w:pPr>
            <w:r w:rsidRPr="00CF75FD">
              <w:rPr>
                <w:sz w:val="20"/>
                <w:szCs w:val="20"/>
              </w:rPr>
              <w:t>-</w:t>
            </w:r>
          </w:p>
        </w:tc>
        <w:tc>
          <w:tcPr>
            <w:tcW w:w="1538" w:type="dxa"/>
            <w:vAlign w:val="center"/>
          </w:tcPr>
          <w:p w:rsidR="00CF75FD" w:rsidRPr="00CF75FD" w:rsidP="00CF75FD" w14:paraId="6B3CBA8C" w14:textId="77777777">
            <w:pPr>
              <w:jc w:val="center"/>
              <w:rPr>
                <w:sz w:val="20"/>
                <w:szCs w:val="20"/>
              </w:rPr>
            </w:pPr>
            <w:r w:rsidRPr="00CF75FD">
              <w:rPr>
                <w:sz w:val="20"/>
                <w:szCs w:val="20"/>
              </w:rPr>
              <w:t>-</w:t>
            </w:r>
          </w:p>
        </w:tc>
      </w:tr>
      <w:tr w14:paraId="0E7E2152" w14:textId="77777777" w:rsidTr="00016C5C">
        <w:tblPrEx>
          <w:tblW w:w="0" w:type="auto"/>
          <w:tblLayout w:type="fixed"/>
          <w:tblLook w:val="04A0"/>
        </w:tblPrEx>
        <w:tc>
          <w:tcPr>
            <w:tcW w:w="1185" w:type="dxa"/>
            <w:vMerge/>
            <w:vAlign w:val="center"/>
          </w:tcPr>
          <w:p w:rsidR="00CF75FD" w:rsidRPr="00CF75FD" w:rsidP="00CF75FD" w14:paraId="4D3F6C4A" w14:textId="77777777">
            <w:pPr>
              <w:rPr>
                <w:sz w:val="20"/>
                <w:szCs w:val="20"/>
              </w:rPr>
            </w:pPr>
          </w:p>
        </w:tc>
        <w:tc>
          <w:tcPr>
            <w:tcW w:w="7877" w:type="dxa"/>
            <w:gridSpan w:val="4"/>
            <w:vAlign w:val="center"/>
          </w:tcPr>
          <w:p w:rsidR="00CF75FD" w:rsidRPr="00CF75FD" w:rsidP="00CF75FD" w14:paraId="152A2FF2" w14:textId="77777777">
            <w:pPr>
              <w:jc w:val="center"/>
              <w:rPr>
                <w:sz w:val="20"/>
                <w:szCs w:val="20"/>
              </w:rPr>
            </w:pPr>
            <w:r w:rsidRPr="00CF75FD">
              <w:rPr>
                <w:b/>
                <w:bCs/>
                <w:sz w:val="20"/>
                <w:szCs w:val="20"/>
              </w:rPr>
              <w:t>Územní samosprávné celky (obce, kraje)</w:t>
            </w:r>
          </w:p>
        </w:tc>
      </w:tr>
      <w:tr w14:paraId="3354FB47" w14:textId="77777777" w:rsidTr="00016C5C">
        <w:tblPrEx>
          <w:tblW w:w="0" w:type="auto"/>
          <w:tblLayout w:type="fixed"/>
          <w:tblLook w:val="04A0"/>
        </w:tblPrEx>
        <w:trPr>
          <w:trHeight w:val="567"/>
        </w:trPr>
        <w:tc>
          <w:tcPr>
            <w:tcW w:w="1185" w:type="dxa"/>
            <w:vMerge/>
            <w:vAlign w:val="center"/>
          </w:tcPr>
          <w:p w:rsidR="00CF75FD" w:rsidRPr="00CF75FD" w:rsidP="00CF75FD" w14:paraId="17D1086E" w14:textId="77777777">
            <w:pPr>
              <w:rPr>
                <w:sz w:val="20"/>
                <w:szCs w:val="20"/>
              </w:rPr>
            </w:pPr>
          </w:p>
        </w:tc>
        <w:tc>
          <w:tcPr>
            <w:tcW w:w="2394" w:type="dxa"/>
            <w:vAlign w:val="center"/>
          </w:tcPr>
          <w:p w:rsidR="00CF75FD" w:rsidRPr="00CF75FD" w:rsidP="00CF75FD" w14:paraId="493D1BEF" w14:textId="77777777">
            <w:pPr>
              <w:jc w:val="center"/>
              <w:rPr>
                <w:sz w:val="20"/>
                <w:szCs w:val="20"/>
              </w:rPr>
            </w:pPr>
            <w:r>
              <w:rPr>
                <w:sz w:val="20"/>
                <w:szCs w:val="20"/>
              </w:rPr>
              <w:t>-</w:t>
            </w:r>
          </w:p>
        </w:tc>
        <w:tc>
          <w:tcPr>
            <w:tcW w:w="1260" w:type="dxa"/>
            <w:vAlign w:val="center"/>
          </w:tcPr>
          <w:p w:rsidR="00CF75FD" w:rsidRPr="00CF75FD" w:rsidP="00CF75FD" w14:paraId="48656D99" w14:textId="77777777">
            <w:pPr>
              <w:jc w:val="center"/>
              <w:rPr>
                <w:sz w:val="20"/>
                <w:szCs w:val="20"/>
              </w:rPr>
            </w:pPr>
            <w:r>
              <w:rPr>
                <w:sz w:val="20"/>
                <w:szCs w:val="20"/>
              </w:rPr>
              <w:t>-</w:t>
            </w:r>
          </w:p>
        </w:tc>
        <w:tc>
          <w:tcPr>
            <w:tcW w:w="2685" w:type="dxa"/>
            <w:vAlign w:val="center"/>
          </w:tcPr>
          <w:p w:rsidR="00CF75FD" w:rsidRPr="00CF75FD" w:rsidP="00CF75FD" w14:paraId="762A7540" w14:textId="77777777">
            <w:pPr>
              <w:jc w:val="center"/>
              <w:rPr>
                <w:sz w:val="20"/>
                <w:szCs w:val="20"/>
              </w:rPr>
            </w:pPr>
            <w:r w:rsidRPr="00CF75FD">
              <w:rPr>
                <w:rFonts w:cs="Arial"/>
                <w:sz w:val="20"/>
                <w:szCs w:val="20"/>
              </w:rPr>
              <w:t>Znevýhodnění malých obcí, kde není zřízeno místo ZO</w:t>
            </w:r>
          </w:p>
        </w:tc>
        <w:tc>
          <w:tcPr>
            <w:tcW w:w="1538" w:type="dxa"/>
            <w:vAlign w:val="center"/>
          </w:tcPr>
          <w:p w:rsidR="00CF75FD" w:rsidRPr="00CF75FD" w:rsidP="00CF75FD" w14:paraId="55E0FCF4" w14:textId="77777777">
            <w:pPr>
              <w:jc w:val="center"/>
              <w:rPr>
                <w:sz w:val="20"/>
                <w:szCs w:val="20"/>
              </w:rPr>
            </w:pPr>
            <w:r w:rsidRPr="00CF75FD">
              <w:rPr>
                <w:sz w:val="20"/>
                <w:szCs w:val="20"/>
              </w:rPr>
              <w:t>*</w:t>
            </w:r>
          </w:p>
        </w:tc>
      </w:tr>
      <w:tr w14:paraId="75DB30FA" w14:textId="77777777" w:rsidTr="00016C5C">
        <w:tblPrEx>
          <w:tblW w:w="0" w:type="auto"/>
          <w:tblLayout w:type="fixed"/>
          <w:tblLook w:val="04A0"/>
        </w:tblPrEx>
        <w:tc>
          <w:tcPr>
            <w:tcW w:w="1185" w:type="dxa"/>
            <w:vMerge/>
            <w:vAlign w:val="center"/>
          </w:tcPr>
          <w:p w:rsidR="00CF75FD" w:rsidRPr="00CF75FD" w:rsidP="00CF75FD" w14:paraId="5E389614" w14:textId="77777777">
            <w:pPr>
              <w:rPr>
                <w:sz w:val="20"/>
                <w:szCs w:val="20"/>
              </w:rPr>
            </w:pPr>
          </w:p>
        </w:tc>
        <w:tc>
          <w:tcPr>
            <w:tcW w:w="7877" w:type="dxa"/>
            <w:gridSpan w:val="4"/>
            <w:vAlign w:val="center"/>
          </w:tcPr>
          <w:p w:rsidR="00CF75FD" w:rsidRPr="00CF75FD" w:rsidP="00CF75FD" w14:paraId="3BE25B73" w14:textId="77777777">
            <w:pPr>
              <w:jc w:val="center"/>
              <w:rPr>
                <w:b/>
                <w:sz w:val="20"/>
                <w:szCs w:val="20"/>
              </w:rPr>
            </w:pPr>
            <w:r w:rsidRPr="00CF75FD">
              <w:rPr>
                <w:b/>
                <w:sz w:val="20"/>
                <w:szCs w:val="20"/>
              </w:rPr>
              <w:t>Sociální dopady</w:t>
            </w:r>
          </w:p>
        </w:tc>
      </w:tr>
      <w:tr w14:paraId="085CFCBC" w14:textId="77777777" w:rsidTr="00016C5C">
        <w:tblPrEx>
          <w:tblW w:w="0" w:type="auto"/>
          <w:tblLayout w:type="fixed"/>
          <w:tblLook w:val="04A0"/>
        </w:tblPrEx>
        <w:trPr>
          <w:trHeight w:val="528"/>
        </w:trPr>
        <w:tc>
          <w:tcPr>
            <w:tcW w:w="1185" w:type="dxa"/>
            <w:vMerge/>
            <w:vAlign w:val="center"/>
          </w:tcPr>
          <w:p w:rsidR="00CF75FD" w:rsidRPr="00CF75FD" w:rsidP="00CF75FD" w14:paraId="74F2DDBB" w14:textId="77777777">
            <w:pPr>
              <w:rPr>
                <w:sz w:val="20"/>
                <w:szCs w:val="20"/>
              </w:rPr>
            </w:pPr>
          </w:p>
        </w:tc>
        <w:tc>
          <w:tcPr>
            <w:tcW w:w="2394" w:type="dxa"/>
            <w:vAlign w:val="center"/>
          </w:tcPr>
          <w:p w:rsidR="00CF75FD" w:rsidRPr="00CF75FD" w:rsidP="00CF75FD" w14:paraId="243132F7" w14:textId="77777777">
            <w:pPr>
              <w:jc w:val="center"/>
              <w:rPr>
                <w:sz w:val="20"/>
                <w:szCs w:val="20"/>
              </w:rPr>
            </w:pPr>
            <w:r>
              <w:rPr>
                <w:sz w:val="20"/>
                <w:szCs w:val="20"/>
              </w:rPr>
              <w:t>-</w:t>
            </w:r>
          </w:p>
        </w:tc>
        <w:tc>
          <w:tcPr>
            <w:tcW w:w="1260" w:type="dxa"/>
            <w:vAlign w:val="center"/>
          </w:tcPr>
          <w:p w:rsidR="00CF75FD" w:rsidRPr="00CF75FD" w:rsidP="00CF75FD" w14:paraId="0E7CF417" w14:textId="77777777">
            <w:pPr>
              <w:jc w:val="center"/>
              <w:rPr>
                <w:sz w:val="20"/>
                <w:szCs w:val="20"/>
              </w:rPr>
            </w:pPr>
            <w:r>
              <w:rPr>
                <w:sz w:val="20"/>
                <w:szCs w:val="20"/>
              </w:rPr>
              <w:t>-</w:t>
            </w:r>
          </w:p>
        </w:tc>
        <w:tc>
          <w:tcPr>
            <w:tcW w:w="2685" w:type="dxa"/>
            <w:vAlign w:val="center"/>
          </w:tcPr>
          <w:p w:rsidR="00CF75FD" w:rsidRPr="00CF75FD" w:rsidP="00CF75FD" w14:paraId="6AACDF55" w14:textId="77777777">
            <w:pPr>
              <w:jc w:val="center"/>
              <w:rPr>
                <w:sz w:val="20"/>
                <w:szCs w:val="20"/>
              </w:rPr>
            </w:pPr>
            <w:r w:rsidRPr="00CF75FD">
              <w:rPr>
                <w:sz w:val="20"/>
                <w:szCs w:val="20"/>
              </w:rPr>
              <w:t>Horší dostupnost míst ZO pro obyvatele malých obcích</w:t>
            </w:r>
          </w:p>
        </w:tc>
        <w:tc>
          <w:tcPr>
            <w:tcW w:w="1538" w:type="dxa"/>
            <w:vAlign w:val="center"/>
          </w:tcPr>
          <w:p w:rsidR="00CF75FD" w:rsidRPr="00CF75FD" w:rsidP="00CF75FD" w14:paraId="0500BCF0" w14:textId="77777777">
            <w:pPr>
              <w:jc w:val="center"/>
              <w:rPr>
                <w:sz w:val="20"/>
                <w:szCs w:val="20"/>
              </w:rPr>
            </w:pPr>
            <w:r w:rsidRPr="00CF75FD">
              <w:rPr>
                <w:sz w:val="20"/>
                <w:szCs w:val="20"/>
              </w:rPr>
              <w:t>*</w:t>
            </w:r>
          </w:p>
        </w:tc>
      </w:tr>
      <w:tr w14:paraId="71F63D7E" w14:textId="77777777" w:rsidTr="00016C5C">
        <w:tblPrEx>
          <w:tblW w:w="0" w:type="auto"/>
          <w:tblLayout w:type="fixed"/>
          <w:tblLook w:val="04A0"/>
        </w:tblPrEx>
        <w:tc>
          <w:tcPr>
            <w:tcW w:w="1185" w:type="dxa"/>
            <w:vMerge/>
            <w:vAlign w:val="center"/>
          </w:tcPr>
          <w:p w:rsidR="00CF75FD" w:rsidRPr="00CF75FD" w:rsidP="00CF75FD" w14:paraId="72587EF4" w14:textId="77777777">
            <w:pPr>
              <w:rPr>
                <w:sz w:val="20"/>
                <w:szCs w:val="20"/>
              </w:rPr>
            </w:pPr>
          </w:p>
        </w:tc>
        <w:tc>
          <w:tcPr>
            <w:tcW w:w="7877" w:type="dxa"/>
            <w:gridSpan w:val="4"/>
            <w:vAlign w:val="center"/>
          </w:tcPr>
          <w:p w:rsidR="00CF75FD" w:rsidRPr="00CF75FD" w:rsidP="00CF75FD" w14:paraId="480B3B7E" w14:textId="77777777">
            <w:pPr>
              <w:jc w:val="center"/>
              <w:rPr>
                <w:b/>
                <w:sz w:val="20"/>
                <w:szCs w:val="20"/>
              </w:rPr>
            </w:pPr>
            <w:r w:rsidRPr="00CF75FD">
              <w:rPr>
                <w:b/>
                <w:sz w:val="20"/>
                <w:szCs w:val="20"/>
              </w:rPr>
              <w:t>Životní prostředí</w:t>
            </w:r>
          </w:p>
        </w:tc>
      </w:tr>
      <w:tr w14:paraId="21496B2C" w14:textId="77777777" w:rsidTr="00016C5C">
        <w:tblPrEx>
          <w:tblW w:w="0" w:type="auto"/>
          <w:tblLayout w:type="fixed"/>
          <w:tblLook w:val="04A0"/>
        </w:tblPrEx>
        <w:tc>
          <w:tcPr>
            <w:tcW w:w="1185" w:type="dxa"/>
            <w:vMerge/>
            <w:vAlign w:val="center"/>
          </w:tcPr>
          <w:p w:rsidR="00CF75FD" w:rsidRPr="00CF75FD" w:rsidP="00CF75FD" w14:paraId="0EA1FA1F" w14:textId="77777777">
            <w:pPr>
              <w:rPr>
                <w:sz w:val="20"/>
                <w:szCs w:val="20"/>
              </w:rPr>
            </w:pPr>
          </w:p>
        </w:tc>
        <w:tc>
          <w:tcPr>
            <w:tcW w:w="2394" w:type="dxa"/>
            <w:vAlign w:val="center"/>
          </w:tcPr>
          <w:p w:rsidR="00CF75FD" w:rsidRPr="00CF75FD" w:rsidP="00CF75FD" w14:paraId="770527BD" w14:textId="77777777">
            <w:pPr>
              <w:jc w:val="center"/>
              <w:rPr>
                <w:sz w:val="20"/>
                <w:szCs w:val="20"/>
              </w:rPr>
            </w:pPr>
            <w:r>
              <w:rPr>
                <w:sz w:val="20"/>
                <w:szCs w:val="20"/>
              </w:rPr>
              <w:t>-</w:t>
            </w:r>
          </w:p>
        </w:tc>
        <w:tc>
          <w:tcPr>
            <w:tcW w:w="1260" w:type="dxa"/>
            <w:vAlign w:val="center"/>
          </w:tcPr>
          <w:p w:rsidR="00CF75FD" w:rsidRPr="00CF75FD" w:rsidP="00CF75FD" w14:paraId="1BD26B82" w14:textId="77777777">
            <w:pPr>
              <w:jc w:val="center"/>
              <w:rPr>
                <w:sz w:val="20"/>
                <w:szCs w:val="20"/>
              </w:rPr>
            </w:pPr>
            <w:r>
              <w:rPr>
                <w:sz w:val="20"/>
                <w:szCs w:val="20"/>
              </w:rPr>
              <w:t>-</w:t>
            </w:r>
          </w:p>
        </w:tc>
        <w:tc>
          <w:tcPr>
            <w:tcW w:w="2685" w:type="dxa"/>
            <w:vAlign w:val="center"/>
          </w:tcPr>
          <w:p w:rsidR="00CF75FD" w:rsidRPr="00CF75FD" w:rsidP="00CF75FD" w14:paraId="727318CA" w14:textId="77777777">
            <w:pPr>
              <w:jc w:val="center"/>
              <w:rPr>
                <w:sz w:val="20"/>
                <w:szCs w:val="20"/>
              </w:rPr>
            </w:pPr>
            <w:r w:rsidRPr="00CF75FD">
              <w:rPr>
                <w:sz w:val="20"/>
                <w:szCs w:val="20"/>
              </w:rPr>
              <w:t xml:space="preserve">Horší dostupnost míst ZO – více </w:t>
            </w:r>
            <w:r>
              <w:rPr>
                <w:sz w:val="20"/>
                <w:szCs w:val="20"/>
              </w:rPr>
              <w:t>přenosných BA</w:t>
            </w:r>
            <w:r w:rsidRPr="00CF75FD">
              <w:rPr>
                <w:sz w:val="20"/>
                <w:szCs w:val="20"/>
              </w:rPr>
              <w:t xml:space="preserve"> </w:t>
            </w:r>
            <w:r>
              <w:rPr>
                <w:sz w:val="20"/>
                <w:szCs w:val="20"/>
              </w:rPr>
              <w:t>v komunálním odpadu s rizikem úniku nebezpečných látek z přenosných BA do ŽP</w:t>
            </w:r>
          </w:p>
        </w:tc>
        <w:tc>
          <w:tcPr>
            <w:tcW w:w="1538" w:type="dxa"/>
            <w:vAlign w:val="center"/>
          </w:tcPr>
          <w:p w:rsidR="00CF75FD" w:rsidRPr="00CF75FD" w:rsidP="00CF75FD" w14:paraId="448AF0EC" w14:textId="77777777">
            <w:pPr>
              <w:jc w:val="center"/>
              <w:rPr>
                <w:sz w:val="20"/>
                <w:szCs w:val="20"/>
              </w:rPr>
            </w:pPr>
            <w:r w:rsidRPr="00CF75FD">
              <w:rPr>
                <w:sz w:val="20"/>
                <w:szCs w:val="20"/>
              </w:rPr>
              <w:t>***</w:t>
            </w:r>
            <w:r>
              <w:rPr>
                <w:sz w:val="20"/>
                <w:szCs w:val="20"/>
              </w:rPr>
              <w:t>*</w:t>
            </w:r>
          </w:p>
        </w:tc>
      </w:tr>
      <w:tr w14:paraId="35FF2334" w14:textId="77777777" w:rsidTr="00016C5C">
        <w:tblPrEx>
          <w:tblW w:w="0" w:type="auto"/>
          <w:tblLayout w:type="fixed"/>
          <w:tblLook w:val="04A0"/>
        </w:tblPrEx>
        <w:tc>
          <w:tcPr>
            <w:tcW w:w="1185" w:type="dxa"/>
            <w:vMerge w:val="restart"/>
            <w:vAlign w:val="center"/>
          </w:tcPr>
          <w:p w:rsidR="00CF75FD" w:rsidRPr="00CF75FD" w:rsidP="00CF75FD" w14:paraId="18A13DDF" w14:textId="77777777">
            <w:pPr>
              <w:rPr>
                <w:b/>
                <w:sz w:val="20"/>
                <w:szCs w:val="20"/>
              </w:rPr>
            </w:pPr>
            <w:r w:rsidRPr="00CF75FD">
              <w:rPr>
                <w:b/>
                <w:sz w:val="20"/>
                <w:szCs w:val="20"/>
              </w:rPr>
              <w:t>Varianta 1</w:t>
            </w:r>
          </w:p>
        </w:tc>
        <w:tc>
          <w:tcPr>
            <w:tcW w:w="7877" w:type="dxa"/>
            <w:gridSpan w:val="4"/>
            <w:vAlign w:val="center"/>
          </w:tcPr>
          <w:p w:rsidR="00CF75FD" w:rsidRPr="00CF75FD" w:rsidP="00CF75FD" w14:paraId="7CCF410A" w14:textId="77777777">
            <w:pPr>
              <w:jc w:val="center"/>
              <w:rPr>
                <w:sz w:val="20"/>
                <w:szCs w:val="20"/>
              </w:rPr>
            </w:pPr>
            <w:r w:rsidRPr="00CF75FD">
              <w:rPr>
                <w:b/>
                <w:bCs/>
                <w:sz w:val="20"/>
                <w:szCs w:val="20"/>
              </w:rPr>
              <w:t>Státní rozpočet a ostatní veřejné rozpočty</w:t>
            </w:r>
          </w:p>
        </w:tc>
      </w:tr>
      <w:tr w14:paraId="1A3C8647" w14:textId="77777777" w:rsidTr="00016C5C">
        <w:tblPrEx>
          <w:tblW w:w="0" w:type="auto"/>
          <w:tblLayout w:type="fixed"/>
          <w:tblLook w:val="04A0"/>
        </w:tblPrEx>
        <w:tc>
          <w:tcPr>
            <w:tcW w:w="1185" w:type="dxa"/>
            <w:vMerge/>
            <w:vAlign w:val="center"/>
          </w:tcPr>
          <w:p w:rsidR="00CF75FD" w:rsidRPr="00CF75FD" w:rsidP="00CF75FD" w14:paraId="17F6646D" w14:textId="77777777">
            <w:pPr>
              <w:rPr>
                <w:sz w:val="20"/>
                <w:szCs w:val="20"/>
              </w:rPr>
            </w:pPr>
          </w:p>
        </w:tc>
        <w:tc>
          <w:tcPr>
            <w:tcW w:w="2394" w:type="dxa"/>
            <w:vAlign w:val="center"/>
          </w:tcPr>
          <w:p w:rsidR="00CF75FD" w:rsidRPr="00CF75FD" w:rsidP="00CF75FD" w14:paraId="6277579A" w14:textId="77777777">
            <w:pPr>
              <w:jc w:val="center"/>
              <w:rPr>
                <w:sz w:val="20"/>
                <w:szCs w:val="20"/>
              </w:rPr>
            </w:pPr>
            <w:r w:rsidRPr="00CF75FD">
              <w:rPr>
                <w:sz w:val="20"/>
                <w:szCs w:val="20"/>
              </w:rPr>
              <w:t>Snadnější kontrolovatelnost splnění podmínek nastavené hustoty sítě míst ZO</w:t>
            </w:r>
          </w:p>
        </w:tc>
        <w:tc>
          <w:tcPr>
            <w:tcW w:w="1260" w:type="dxa"/>
            <w:vAlign w:val="center"/>
          </w:tcPr>
          <w:p w:rsidR="00CF75FD" w:rsidRPr="00CF75FD" w:rsidP="00CF75FD" w14:paraId="17689D05" w14:textId="77777777">
            <w:pPr>
              <w:jc w:val="center"/>
              <w:rPr>
                <w:sz w:val="20"/>
                <w:szCs w:val="20"/>
              </w:rPr>
            </w:pPr>
            <w:r w:rsidRPr="00CF75FD">
              <w:rPr>
                <w:sz w:val="20"/>
                <w:szCs w:val="20"/>
              </w:rPr>
              <w:t>**</w:t>
            </w:r>
          </w:p>
        </w:tc>
        <w:tc>
          <w:tcPr>
            <w:tcW w:w="2685" w:type="dxa"/>
            <w:vAlign w:val="center"/>
          </w:tcPr>
          <w:p w:rsidR="00CF75FD" w:rsidRPr="00CF75FD" w:rsidP="00CF75FD" w14:paraId="235C75C7" w14:textId="77777777">
            <w:pPr>
              <w:jc w:val="center"/>
              <w:rPr>
                <w:sz w:val="20"/>
                <w:szCs w:val="20"/>
              </w:rPr>
            </w:pPr>
            <w:r>
              <w:rPr>
                <w:sz w:val="20"/>
                <w:szCs w:val="20"/>
              </w:rPr>
              <w:t>-</w:t>
            </w:r>
          </w:p>
        </w:tc>
        <w:tc>
          <w:tcPr>
            <w:tcW w:w="1538" w:type="dxa"/>
            <w:vAlign w:val="center"/>
          </w:tcPr>
          <w:p w:rsidR="00CF75FD" w:rsidRPr="00CF75FD" w:rsidP="00CF75FD" w14:paraId="2D1F062C" w14:textId="77777777">
            <w:pPr>
              <w:jc w:val="center"/>
              <w:rPr>
                <w:sz w:val="20"/>
                <w:szCs w:val="20"/>
              </w:rPr>
            </w:pPr>
            <w:r>
              <w:rPr>
                <w:sz w:val="20"/>
                <w:szCs w:val="20"/>
              </w:rPr>
              <w:t>-</w:t>
            </w:r>
          </w:p>
        </w:tc>
      </w:tr>
      <w:tr w14:paraId="707B5D93" w14:textId="77777777" w:rsidTr="00016C5C">
        <w:tblPrEx>
          <w:tblW w:w="0" w:type="auto"/>
          <w:tblLayout w:type="fixed"/>
          <w:tblLook w:val="04A0"/>
        </w:tblPrEx>
        <w:tc>
          <w:tcPr>
            <w:tcW w:w="1185" w:type="dxa"/>
            <w:vMerge/>
            <w:vAlign w:val="center"/>
          </w:tcPr>
          <w:p w:rsidR="00CF75FD" w:rsidRPr="00CF75FD" w:rsidP="00CF75FD" w14:paraId="1EF7FF6D" w14:textId="77777777">
            <w:pPr>
              <w:rPr>
                <w:sz w:val="20"/>
                <w:szCs w:val="20"/>
              </w:rPr>
            </w:pPr>
          </w:p>
        </w:tc>
        <w:tc>
          <w:tcPr>
            <w:tcW w:w="7877" w:type="dxa"/>
            <w:gridSpan w:val="4"/>
            <w:vAlign w:val="center"/>
          </w:tcPr>
          <w:p w:rsidR="00CF75FD" w:rsidRPr="00CF75FD" w:rsidP="00CF75FD" w14:paraId="2B0EC3D4" w14:textId="77777777">
            <w:pPr>
              <w:jc w:val="center"/>
              <w:rPr>
                <w:sz w:val="20"/>
                <w:szCs w:val="20"/>
              </w:rPr>
            </w:pPr>
            <w:r w:rsidRPr="00CF75FD">
              <w:rPr>
                <w:b/>
                <w:bCs/>
                <w:sz w:val="20"/>
                <w:szCs w:val="20"/>
              </w:rPr>
              <w:t>Podnikatelské subjekty</w:t>
            </w:r>
          </w:p>
        </w:tc>
      </w:tr>
      <w:tr w14:paraId="59F5CB1B" w14:textId="77777777" w:rsidTr="00016C5C">
        <w:tblPrEx>
          <w:tblW w:w="0" w:type="auto"/>
          <w:tblLayout w:type="fixed"/>
          <w:tblLook w:val="04A0"/>
        </w:tblPrEx>
        <w:trPr>
          <w:trHeight w:val="350"/>
        </w:trPr>
        <w:tc>
          <w:tcPr>
            <w:tcW w:w="1185" w:type="dxa"/>
            <w:vMerge/>
            <w:vAlign w:val="center"/>
          </w:tcPr>
          <w:p w:rsidR="00CF75FD" w:rsidRPr="00CF75FD" w:rsidP="00CF75FD" w14:paraId="47C1CE22" w14:textId="77777777">
            <w:pPr>
              <w:rPr>
                <w:sz w:val="20"/>
                <w:szCs w:val="20"/>
              </w:rPr>
            </w:pPr>
          </w:p>
        </w:tc>
        <w:tc>
          <w:tcPr>
            <w:tcW w:w="2394" w:type="dxa"/>
            <w:vAlign w:val="center"/>
          </w:tcPr>
          <w:p w:rsidR="00CF75FD" w:rsidRPr="00CF75FD" w:rsidP="00CF75FD" w14:paraId="710DC065" w14:textId="77777777">
            <w:pPr>
              <w:jc w:val="center"/>
              <w:rPr>
                <w:sz w:val="20"/>
                <w:szCs w:val="20"/>
              </w:rPr>
            </w:pPr>
            <w:r>
              <w:rPr>
                <w:sz w:val="20"/>
                <w:szCs w:val="20"/>
              </w:rPr>
              <w:t>-</w:t>
            </w:r>
          </w:p>
        </w:tc>
        <w:tc>
          <w:tcPr>
            <w:tcW w:w="1260" w:type="dxa"/>
            <w:vAlign w:val="center"/>
          </w:tcPr>
          <w:p w:rsidR="00CF75FD" w:rsidRPr="00CF75FD" w:rsidP="00CF75FD" w14:paraId="379ADEEC" w14:textId="77777777">
            <w:pPr>
              <w:jc w:val="center"/>
              <w:rPr>
                <w:sz w:val="20"/>
                <w:szCs w:val="20"/>
              </w:rPr>
            </w:pPr>
            <w:r>
              <w:rPr>
                <w:sz w:val="20"/>
                <w:szCs w:val="20"/>
              </w:rPr>
              <w:t>-</w:t>
            </w:r>
          </w:p>
        </w:tc>
        <w:tc>
          <w:tcPr>
            <w:tcW w:w="2685" w:type="dxa"/>
            <w:vAlign w:val="center"/>
          </w:tcPr>
          <w:p w:rsidR="00CF75FD" w:rsidRPr="00CF75FD" w:rsidP="00CF75FD" w14:paraId="4B66E3DE" w14:textId="77777777">
            <w:pPr>
              <w:jc w:val="center"/>
              <w:rPr>
                <w:sz w:val="20"/>
                <w:szCs w:val="20"/>
              </w:rPr>
            </w:pPr>
            <w:r>
              <w:rPr>
                <w:sz w:val="20"/>
                <w:szCs w:val="20"/>
              </w:rPr>
              <w:t>-</w:t>
            </w:r>
          </w:p>
        </w:tc>
        <w:tc>
          <w:tcPr>
            <w:tcW w:w="1538" w:type="dxa"/>
            <w:vAlign w:val="center"/>
          </w:tcPr>
          <w:p w:rsidR="00CF75FD" w:rsidRPr="00CF75FD" w:rsidP="00CF75FD" w14:paraId="45409736" w14:textId="77777777">
            <w:pPr>
              <w:jc w:val="center"/>
              <w:rPr>
                <w:sz w:val="20"/>
                <w:szCs w:val="20"/>
              </w:rPr>
            </w:pPr>
            <w:r>
              <w:rPr>
                <w:sz w:val="20"/>
                <w:szCs w:val="20"/>
              </w:rPr>
              <w:t>-</w:t>
            </w:r>
          </w:p>
        </w:tc>
      </w:tr>
      <w:tr w14:paraId="64C6FE3C" w14:textId="77777777" w:rsidTr="00016C5C">
        <w:tblPrEx>
          <w:tblW w:w="0" w:type="auto"/>
          <w:tblLayout w:type="fixed"/>
          <w:tblLook w:val="04A0"/>
        </w:tblPrEx>
        <w:tc>
          <w:tcPr>
            <w:tcW w:w="1185" w:type="dxa"/>
            <w:vMerge/>
            <w:vAlign w:val="center"/>
          </w:tcPr>
          <w:p w:rsidR="00CF75FD" w:rsidRPr="00CF75FD" w:rsidP="00CF75FD" w14:paraId="457DB881" w14:textId="77777777">
            <w:pPr>
              <w:rPr>
                <w:sz w:val="20"/>
                <w:szCs w:val="20"/>
              </w:rPr>
            </w:pPr>
          </w:p>
        </w:tc>
        <w:tc>
          <w:tcPr>
            <w:tcW w:w="7877" w:type="dxa"/>
            <w:gridSpan w:val="4"/>
            <w:vAlign w:val="center"/>
          </w:tcPr>
          <w:p w:rsidR="00CF75FD" w:rsidRPr="00CF75FD" w:rsidP="00CF75FD" w14:paraId="031C03B6" w14:textId="77777777">
            <w:pPr>
              <w:jc w:val="center"/>
              <w:rPr>
                <w:sz w:val="20"/>
                <w:szCs w:val="20"/>
              </w:rPr>
            </w:pPr>
            <w:r w:rsidRPr="00CF75FD">
              <w:rPr>
                <w:b/>
                <w:bCs/>
                <w:sz w:val="20"/>
                <w:szCs w:val="20"/>
              </w:rPr>
              <w:t>Územní samosprávné celky (obce, kraje)</w:t>
            </w:r>
          </w:p>
        </w:tc>
      </w:tr>
      <w:tr w14:paraId="27C06767" w14:textId="77777777" w:rsidTr="00016C5C">
        <w:tblPrEx>
          <w:tblW w:w="0" w:type="auto"/>
          <w:tblLayout w:type="fixed"/>
          <w:tblLook w:val="04A0"/>
        </w:tblPrEx>
        <w:tc>
          <w:tcPr>
            <w:tcW w:w="1185" w:type="dxa"/>
            <w:vMerge/>
            <w:vAlign w:val="center"/>
          </w:tcPr>
          <w:p w:rsidR="00CF75FD" w:rsidRPr="00CF75FD" w:rsidP="00CF75FD" w14:paraId="41142894" w14:textId="77777777">
            <w:pPr>
              <w:rPr>
                <w:sz w:val="20"/>
                <w:szCs w:val="20"/>
              </w:rPr>
            </w:pPr>
          </w:p>
        </w:tc>
        <w:tc>
          <w:tcPr>
            <w:tcW w:w="2394" w:type="dxa"/>
            <w:vAlign w:val="center"/>
          </w:tcPr>
          <w:p w:rsidR="00CF75FD" w:rsidRPr="00CF75FD" w:rsidP="00CF75FD" w14:paraId="3D658C02" w14:textId="77777777">
            <w:pPr>
              <w:jc w:val="center"/>
              <w:rPr>
                <w:sz w:val="20"/>
                <w:szCs w:val="20"/>
              </w:rPr>
            </w:pPr>
            <w:r w:rsidRPr="006234D8">
              <w:rPr>
                <w:rFonts w:cs="Arial"/>
                <w:sz w:val="20"/>
                <w:szCs w:val="20"/>
              </w:rPr>
              <w:t>Zlepšení možnosti zřízení míst ZO v malých obcí</w:t>
            </w:r>
          </w:p>
        </w:tc>
        <w:tc>
          <w:tcPr>
            <w:tcW w:w="1260" w:type="dxa"/>
            <w:vAlign w:val="center"/>
          </w:tcPr>
          <w:p w:rsidR="00CF75FD" w:rsidRPr="00CF75FD" w:rsidP="00CF75FD" w14:paraId="7BB9052F" w14:textId="77777777">
            <w:pPr>
              <w:jc w:val="center"/>
              <w:rPr>
                <w:sz w:val="20"/>
                <w:szCs w:val="20"/>
              </w:rPr>
            </w:pPr>
            <w:r>
              <w:rPr>
                <w:sz w:val="20"/>
                <w:szCs w:val="20"/>
              </w:rPr>
              <w:t>*</w:t>
            </w:r>
          </w:p>
        </w:tc>
        <w:tc>
          <w:tcPr>
            <w:tcW w:w="2685" w:type="dxa"/>
            <w:vAlign w:val="center"/>
          </w:tcPr>
          <w:p w:rsidR="00CF75FD" w:rsidRPr="00CF75FD" w:rsidP="00CF75FD" w14:paraId="0408E1D3" w14:textId="77777777">
            <w:pPr>
              <w:jc w:val="center"/>
              <w:rPr>
                <w:sz w:val="20"/>
                <w:szCs w:val="20"/>
              </w:rPr>
            </w:pPr>
            <w:r>
              <w:rPr>
                <w:sz w:val="20"/>
                <w:szCs w:val="20"/>
              </w:rPr>
              <w:t>-</w:t>
            </w:r>
          </w:p>
        </w:tc>
        <w:tc>
          <w:tcPr>
            <w:tcW w:w="1538" w:type="dxa"/>
            <w:vAlign w:val="center"/>
          </w:tcPr>
          <w:p w:rsidR="00CF75FD" w:rsidRPr="00CF75FD" w:rsidP="00CF75FD" w14:paraId="63CC17F8" w14:textId="77777777">
            <w:pPr>
              <w:jc w:val="center"/>
              <w:rPr>
                <w:sz w:val="20"/>
                <w:szCs w:val="20"/>
              </w:rPr>
            </w:pPr>
            <w:r>
              <w:rPr>
                <w:sz w:val="20"/>
                <w:szCs w:val="20"/>
              </w:rPr>
              <w:t>-</w:t>
            </w:r>
          </w:p>
        </w:tc>
      </w:tr>
      <w:tr w14:paraId="4EC6352E" w14:textId="77777777" w:rsidTr="00016C5C">
        <w:tblPrEx>
          <w:tblW w:w="0" w:type="auto"/>
          <w:tblLayout w:type="fixed"/>
          <w:tblLook w:val="04A0"/>
        </w:tblPrEx>
        <w:tc>
          <w:tcPr>
            <w:tcW w:w="1185" w:type="dxa"/>
            <w:vMerge/>
            <w:vAlign w:val="center"/>
          </w:tcPr>
          <w:p w:rsidR="00CF75FD" w:rsidRPr="00CF75FD" w:rsidP="00CF75FD" w14:paraId="1B4B99E3" w14:textId="77777777">
            <w:pPr>
              <w:rPr>
                <w:sz w:val="20"/>
                <w:szCs w:val="20"/>
              </w:rPr>
            </w:pPr>
          </w:p>
        </w:tc>
        <w:tc>
          <w:tcPr>
            <w:tcW w:w="7877" w:type="dxa"/>
            <w:gridSpan w:val="4"/>
            <w:vAlign w:val="center"/>
          </w:tcPr>
          <w:p w:rsidR="00CF75FD" w:rsidRPr="00CF75FD" w:rsidP="00CF75FD" w14:paraId="3E5B472C" w14:textId="77777777">
            <w:pPr>
              <w:jc w:val="center"/>
              <w:rPr>
                <w:sz w:val="20"/>
                <w:szCs w:val="20"/>
              </w:rPr>
            </w:pPr>
            <w:r w:rsidRPr="00CF75FD">
              <w:rPr>
                <w:b/>
                <w:sz w:val="20"/>
                <w:szCs w:val="20"/>
              </w:rPr>
              <w:t>Sociální dopady</w:t>
            </w:r>
          </w:p>
        </w:tc>
      </w:tr>
      <w:tr w14:paraId="21F7B8F8" w14:textId="77777777" w:rsidTr="00016C5C">
        <w:tblPrEx>
          <w:tblW w:w="0" w:type="auto"/>
          <w:tblLayout w:type="fixed"/>
          <w:tblLook w:val="04A0"/>
        </w:tblPrEx>
        <w:tc>
          <w:tcPr>
            <w:tcW w:w="1185" w:type="dxa"/>
            <w:vMerge/>
            <w:vAlign w:val="center"/>
          </w:tcPr>
          <w:p w:rsidR="00CF75FD" w:rsidRPr="00CF75FD" w:rsidP="00CF75FD" w14:paraId="24F30984" w14:textId="77777777">
            <w:pPr>
              <w:rPr>
                <w:sz w:val="20"/>
                <w:szCs w:val="20"/>
              </w:rPr>
            </w:pPr>
          </w:p>
        </w:tc>
        <w:tc>
          <w:tcPr>
            <w:tcW w:w="2394" w:type="dxa"/>
            <w:vAlign w:val="center"/>
          </w:tcPr>
          <w:p w:rsidR="00CF75FD" w:rsidRPr="00CF75FD" w:rsidP="00CF75FD" w14:paraId="1AC0E4B2" w14:textId="77777777">
            <w:pPr>
              <w:jc w:val="center"/>
              <w:rPr>
                <w:sz w:val="20"/>
                <w:szCs w:val="20"/>
              </w:rPr>
            </w:pPr>
            <w:r w:rsidRPr="006234D8">
              <w:rPr>
                <w:sz w:val="20"/>
                <w:szCs w:val="20"/>
              </w:rPr>
              <w:t>Větší dostupnost míst ZO v malých obcích</w:t>
            </w:r>
          </w:p>
        </w:tc>
        <w:tc>
          <w:tcPr>
            <w:tcW w:w="1260" w:type="dxa"/>
            <w:vAlign w:val="center"/>
          </w:tcPr>
          <w:p w:rsidR="00CF75FD" w:rsidRPr="00CF75FD" w:rsidP="00CF75FD" w14:paraId="75124F09" w14:textId="77777777">
            <w:pPr>
              <w:jc w:val="center"/>
              <w:rPr>
                <w:sz w:val="20"/>
                <w:szCs w:val="20"/>
              </w:rPr>
            </w:pPr>
            <w:r>
              <w:rPr>
                <w:sz w:val="20"/>
                <w:szCs w:val="20"/>
              </w:rPr>
              <w:t>*</w:t>
            </w:r>
          </w:p>
        </w:tc>
        <w:tc>
          <w:tcPr>
            <w:tcW w:w="2685" w:type="dxa"/>
            <w:vAlign w:val="center"/>
          </w:tcPr>
          <w:p w:rsidR="00CF75FD" w:rsidRPr="00CF75FD" w:rsidP="00CF75FD" w14:paraId="5A6F0C52" w14:textId="77777777">
            <w:pPr>
              <w:jc w:val="center"/>
              <w:rPr>
                <w:sz w:val="20"/>
                <w:szCs w:val="20"/>
              </w:rPr>
            </w:pPr>
            <w:r>
              <w:rPr>
                <w:sz w:val="20"/>
                <w:szCs w:val="20"/>
              </w:rPr>
              <w:t>-</w:t>
            </w:r>
          </w:p>
        </w:tc>
        <w:tc>
          <w:tcPr>
            <w:tcW w:w="1538" w:type="dxa"/>
            <w:vAlign w:val="center"/>
          </w:tcPr>
          <w:p w:rsidR="00CF75FD" w:rsidRPr="00CF75FD" w:rsidP="00CF75FD" w14:paraId="71388FF6" w14:textId="77777777">
            <w:pPr>
              <w:jc w:val="center"/>
              <w:rPr>
                <w:sz w:val="20"/>
                <w:szCs w:val="20"/>
              </w:rPr>
            </w:pPr>
            <w:r>
              <w:rPr>
                <w:sz w:val="20"/>
                <w:szCs w:val="20"/>
              </w:rPr>
              <w:t>-</w:t>
            </w:r>
          </w:p>
        </w:tc>
      </w:tr>
      <w:tr w14:paraId="4C65AE94" w14:textId="77777777" w:rsidTr="00016C5C">
        <w:tblPrEx>
          <w:tblW w:w="0" w:type="auto"/>
          <w:tblLayout w:type="fixed"/>
          <w:tblLook w:val="04A0"/>
        </w:tblPrEx>
        <w:tc>
          <w:tcPr>
            <w:tcW w:w="1185" w:type="dxa"/>
            <w:vMerge/>
            <w:vAlign w:val="center"/>
          </w:tcPr>
          <w:p w:rsidR="00CF75FD" w:rsidRPr="00CF75FD" w:rsidP="00CF75FD" w14:paraId="377FCB73" w14:textId="77777777">
            <w:pPr>
              <w:rPr>
                <w:sz w:val="20"/>
                <w:szCs w:val="20"/>
              </w:rPr>
            </w:pPr>
          </w:p>
        </w:tc>
        <w:tc>
          <w:tcPr>
            <w:tcW w:w="7877" w:type="dxa"/>
            <w:gridSpan w:val="4"/>
            <w:vAlign w:val="center"/>
          </w:tcPr>
          <w:p w:rsidR="00CF75FD" w:rsidRPr="00CF75FD" w:rsidP="00CF75FD" w14:paraId="3CACCDF3" w14:textId="77777777">
            <w:pPr>
              <w:jc w:val="center"/>
              <w:rPr>
                <w:sz w:val="20"/>
                <w:szCs w:val="20"/>
              </w:rPr>
            </w:pPr>
            <w:r w:rsidRPr="00CF75FD">
              <w:rPr>
                <w:b/>
                <w:sz w:val="20"/>
                <w:szCs w:val="20"/>
              </w:rPr>
              <w:t>Životní prostředí</w:t>
            </w:r>
          </w:p>
        </w:tc>
      </w:tr>
      <w:tr w14:paraId="3193927D" w14:textId="77777777" w:rsidTr="00016C5C">
        <w:tblPrEx>
          <w:tblW w:w="0" w:type="auto"/>
          <w:tblLayout w:type="fixed"/>
          <w:tblLook w:val="04A0"/>
        </w:tblPrEx>
        <w:tc>
          <w:tcPr>
            <w:tcW w:w="1185" w:type="dxa"/>
            <w:vMerge/>
            <w:vAlign w:val="center"/>
          </w:tcPr>
          <w:p w:rsidR="00CF75FD" w:rsidRPr="00CF75FD" w:rsidP="00CF75FD" w14:paraId="73E752A8" w14:textId="77777777">
            <w:pPr>
              <w:rPr>
                <w:sz w:val="20"/>
                <w:szCs w:val="20"/>
              </w:rPr>
            </w:pPr>
          </w:p>
        </w:tc>
        <w:tc>
          <w:tcPr>
            <w:tcW w:w="2394" w:type="dxa"/>
            <w:vAlign w:val="center"/>
          </w:tcPr>
          <w:p w:rsidR="00CF75FD" w:rsidRPr="00CF75FD" w:rsidP="00CF75FD" w14:paraId="0C5AF0A5" w14:textId="77777777">
            <w:pPr>
              <w:jc w:val="center"/>
              <w:rPr>
                <w:sz w:val="20"/>
                <w:szCs w:val="20"/>
              </w:rPr>
            </w:pPr>
            <w:r w:rsidRPr="006234D8">
              <w:rPr>
                <w:sz w:val="20"/>
                <w:szCs w:val="20"/>
              </w:rPr>
              <w:t xml:space="preserve">Vyšší dostupnost míst ZO – </w:t>
            </w:r>
            <w:r>
              <w:rPr>
                <w:sz w:val="20"/>
                <w:szCs w:val="20"/>
              </w:rPr>
              <w:t>nižší riziko úniku nebezpečných látek z přenosných BA do ŽP</w:t>
            </w:r>
          </w:p>
        </w:tc>
        <w:tc>
          <w:tcPr>
            <w:tcW w:w="1260" w:type="dxa"/>
            <w:vAlign w:val="center"/>
          </w:tcPr>
          <w:p w:rsidR="00CF75FD" w:rsidRPr="00CF75FD" w:rsidP="00CF75FD" w14:paraId="17CE95ED" w14:textId="77777777">
            <w:pPr>
              <w:jc w:val="center"/>
              <w:rPr>
                <w:sz w:val="20"/>
                <w:szCs w:val="20"/>
              </w:rPr>
            </w:pPr>
            <w:r>
              <w:rPr>
                <w:sz w:val="20"/>
                <w:szCs w:val="20"/>
              </w:rPr>
              <w:t>****</w:t>
            </w:r>
          </w:p>
        </w:tc>
        <w:tc>
          <w:tcPr>
            <w:tcW w:w="2685" w:type="dxa"/>
            <w:vAlign w:val="center"/>
          </w:tcPr>
          <w:p w:rsidR="00CF75FD" w:rsidRPr="00CF75FD" w:rsidP="00CF75FD" w14:paraId="6B5A7079" w14:textId="77777777">
            <w:pPr>
              <w:jc w:val="center"/>
              <w:rPr>
                <w:sz w:val="20"/>
                <w:szCs w:val="20"/>
              </w:rPr>
            </w:pPr>
            <w:r>
              <w:rPr>
                <w:sz w:val="20"/>
                <w:szCs w:val="20"/>
              </w:rPr>
              <w:t>-</w:t>
            </w:r>
          </w:p>
        </w:tc>
        <w:tc>
          <w:tcPr>
            <w:tcW w:w="1538" w:type="dxa"/>
            <w:vAlign w:val="center"/>
          </w:tcPr>
          <w:p w:rsidR="00CF75FD" w:rsidRPr="00CF75FD" w:rsidP="00CF75FD" w14:paraId="0799C7D3" w14:textId="77777777">
            <w:pPr>
              <w:jc w:val="center"/>
              <w:rPr>
                <w:sz w:val="20"/>
                <w:szCs w:val="20"/>
              </w:rPr>
            </w:pPr>
            <w:r>
              <w:rPr>
                <w:sz w:val="20"/>
                <w:szCs w:val="20"/>
              </w:rPr>
              <w:t>-</w:t>
            </w:r>
          </w:p>
        </w:tc>
      </w:tr>
    </w:tbl>
    <w:p w:rsidR="00CF75FD" w:rsidRPr="00CF75FD" w:rsidP="00CF75FD" w14:paraId="05679F07" w14:textId="77777777">
      <w:pPr>
        <w:pStyle w:val="Heading2"/>
        <w:spacing w:before="360"/>
        <w:ind w:left="578" w:hanging="578"/>
      </w:pPr>
      <w:r w:rsidRPr="00CF75FD">
        <w:t>Návrh řešení</w:t>
      </w:r>
    </w:p>
    <w:p w:rsidR="00CF75FD" w:rsidRPr="00CF75FD" w:rsidP="00CF75FD" w14:paraId="734C8C4F" w14:textId="77777777">
      <w:pPr>
        <w:pStyle w:val="Heading4"/>
        <w:numPr>
          <w:ilvl w:val="0"/>
          <w:numId w:val="0"/>
        </w:numPr>
        <w:spacing w:before="120" w:after="0"/>
        <w:ind w:left="864" w:hanging="864"/>
        <w:rPr>
          <w:b/>
          <w:i/>
          <w:sz w:val="24"/>
          <w:szCs w:val="24"/>
        </w:rPr>
      </w:pPr>
      <w:r w:rsidRPr="00CF75FD">
        <w:rPr>
          <w:b/>
          <w:i/>
          <w:sz w:val="24"/>
          <w:szCs w:val="24"/>
        </w:rPr>
        <w:t>Stanovení pořadí variant a výběr nejvhodnějšího řešení</w:t>
      </w:r>
    </w:p>
    <w:p w:rsidR="00CF75FD" w:rsidRPr="00CF75FD" w:rsidP="00CF75FD" w14:paraId="5AAF9873" w14:textId="77777777">
      <w:pPr>
        <w:pStyle w:val="ListParagraph"/>
        <w:numPr>
          <w:ilvl w:val="0"/>
          <w:numId w:val="131"/>
        </w:numPr>
        <w:spacing w:after="0" w:line="240" w:lineRule="auto"/>
        <w:contextualSpacing w:val="0"/>
        <w:rPr>
          <w:rFonts w:cs="Arial"/>
          <w:b/>
          <w:bCs/>
        </w:rPr>
      </w:pPr>
      <w:r w:rsidRPr="00CF75FD">
        <w:rPr>
          <w:rFonts w:cs="Arial"/>
          <w:b/>
          <w:bCs/>
        </w:rPr>
        <w:t>Varianta 1</w:t>
      </w:r>
    </w:p>
    <w:p w:rsidR="00CF75FD" w:rsidRPr="00CF75FD" w:rsidP="00CF75FD" w14:paraId="1D786765" w14:textId="77777777">
      <w:pPr>
        <w:pStyle w:val="ListParagraph"/>
        <w:numPr>
          <w:ilvl w:val="0"/>
          <w:numId w:val="131"/>
        </w:numPr>
        <w:spacing w:after="0" w:line="240" w:lineRule="auto"/>
        <w:ind w:left="714" w:hanging="357"/>
        <w:contextualSpacing w:val="0"/>
        <w:rPr>
          <w:rFonts w:cs="Arial"/>
        </w:rPr>
      </w:pPr>
      <w:r w:rsidRPr="00CF75FD">
        <w:rPr>
          <w:rFonts w:cs="Arial"/>
        </w:rPr>
        <w:t>Varianta 0</w:t>
      </w:r>
    </w:p>
    <w:p w:rsidR="00CF75FD" w:rsidP="00442C7B" w14:paraId="2F234B95" w14:textId="77777777">
      <w:bookmarkStart w:id="203" w:name="_Toc13746061"/>
      <w:r w:rsidRPr="00CF75FD">
        <w:t>V souvislosti s potřebou vyšší míry sběru a recyklace přenosných BA a s ohledem na lepší možnost kontroly ze strany kontrolních orgánů doporučujeme přijmout Variantu 1, která představuje povinnost pro výrobce přenosných BA vytvoření rovnoměrně rozmístěné sběrné sítě (i v menších obcích), a tím i zlepšení dostupnosti míst ZO pro přenosné BA více obyvatelům a </w:t>
      </w:r>
      <w:r>
        <w:t>snížení</w:t>
      </w:r>
      <w:r w:rsidRPr="00CF75FD">
        <w:t xml:space="preserve"> odkládání přenosných BA</w:t>
      </w:r>
      <w:r w:rsidRPr="006234D8">
        <w:t xml:space="preserve"> </w:t>
      </w:r>
      <w:r w:rsidRPr="00CF75FD">
        <w:t xml:space="preserve">do směsného komunálního odpadu, </w:t>
      </w:r>
      <w:r>
        <w:t xml:space="preserve">a tím i snížení rizika úniku nebezpečných látek obsažených v </w:t>
      </w:r>
      <w:r w:rsidRPr="00CF75FD">
        <w:t>přenosných BA do životního prostředí.</w:t>
      </w:r>
      <w:bookmarkEnd w:id="203"/>
    </w:p>
    <w:p w:rsidR="0039543B" w:rsidP="00442C7B" w14:paraId="69725695" w14:textId="77777777"/>
    <w:p w:rsidR="00BF16B7" w:rsidP="00442C7B" w14:paraId="238515F5" w14:textId="77777777"/>
    <w:p w:rsidR="001C24F5" w:rsidRPr="001D602A" w:rsidP="00BF16B7" w14:paraId="1557D940" w14:textId="77777777">
      <w:pPr>
        <w:pStyle w:val="Heading1"/>
        <w:ind w:left="431" w:hanging="431"/>
      </w:pPr>
      <w:bookmarkStart w:id="204" w:name="_Toc14942095"/>
      <w:bookmarkStart w:id="205" w:name="_Toc256000021"/>
      <w:r w:rsidRPr="001D602A">
        <w:t xml:space="preserve">Hustota sběrné sítě </w:t>
      </w:r>
      <w:r>
        <w:t>automobilových baterií</w:t>
      </w:r>
      <w:r w:rsidRPr="00CF75FD">
        <w:t xml:space="preserve"> a ak</w:t>
      </w:r>
      <w:r>
        <w:t>umulátorů (§ 84</w:t>
      </w:r>
      <w:r w:rsidRPr="001D602A">
        <w:t xml:space="preserve"> odst. 2)</w:t>
      </w:r>
      <w:bookmarkEnd w:id="205"/>
      <w:bookmarkEnd w:id="204"/>
    </w:p>
    <w:p w:rsidR="001C24F5" w:rsidRPr="001D602A" w:rsidP="001C24F5" w14:paraId="663623EB" w14:textId="77777777">
      <w:pPr>
        <w:pStyle w:val="Heading2"/>
      </w:pPr>
      <w:r w:rsidRPr="001D602A">
        <w:t>Důvod předložení a cíle</w:t>
      </w:r>
    </w:p>
    <w:p w:rsidR="001C24F5" w:rsidRPr="001D602A" w:rsidP="00BF16B7" w14:paraId="460CED00" w14:textId="77777777">
      <w:pPr>
        <w:pStyle w:val="Heading3"/>
      </w:pPr>
      <w:r w:rsidRPr="001D602A">
        <w:t>Definice problému</w:t>
      </w:r>
    </w:p>
    <w:p w:rsidR="001C24F5" w:rsidRPr="00D81F64" w:rsidP="00442C7B" w14:paraId="78ECF1C9" w14:textId="77777777">
      <w:r w:rsidRPr="00D81F64">
        <w:t>V současnosti je zpětný odběr použitých (odpadních) automobilových BA z důvodu kladné hodnoty těchto BA ekonomický, a tudíž může probíhat i bez zákonných požadavků na hustotu sběrné sítě. Automobilové BA lze prodat firmám, které se zabývají jejich výkupem a recyklací. Výkupní cena autobaterie se liší dle hmotnosti, ale u klasických baterií z osobních automobilů se cena pohybuje mezi 200 - 250 Kč/kus.</w:t>
      </w:r>
    </w:p>
    <w:p w:rsidR="001C24F5" w:rsidRPr="001D602A" w:rsidP="00BF16B7" w14:paraId="3504B597" w14:textId="77777777">
      <w:pPr>
        <w:spacing w:before="240"/>
        <w:rPr>
          <w:b/>
          <w:i/>
        </w:rPr>
      </w:pPr>
      <w:r w:rsidRPr="001D602A">
        <w:rPr>
          <w:b/>
          <w:i/>
        </w:rPr>
        <w:t>Identifikace dotčených subjektů</w:t>
      </w:r>
    </w:p>
    <w:p w:rsidR="001C24F5" w:rsidRPr="001D602A" w:rsidP="0039543B" w14:paraId="10B72837" w14:textId="77777777">
      <w:pPr>
        <w:pStyle w:val="ListParagraph"/>
        <w:numPr>
          <w:ilvl w:val="0"/>
          <w:numId w:val="134"/>
        </w:numPr>
        <w:contextualSpacing w:val="0"/>
        <w:rPr>
          <w:rFonts w:cs="Arial"/>
        </w:rPr>
      </w:pPr>
      <w:r w:rsidRPr="001D602A">
        <w:rPr>
          <w:rFonts w:cs="Arial"/>
        </w:rPr>
        <w:t>Výrobci</w:t>
      </w:r>
      <w:r>
        <w:rPr>
          <w:rFonts w:cs="Arial"/>
        </w:rPr>
        <w:t xml:space="preserve"> automobilových BA,</w:t>
      </w:r>
    </w:p>
    <w:p w:rsidR="001C24F5" w:rsidP="0039543B" w14:paraId="5D8E8EF6" w14:textId="77777777">
      <w:pPr>
        <w:pStyle w:val="ListParagraph"/>
        <w:numPr>
          <w:ilvl w:val="0"/>
          <w:numId w:val="134"/>
        </w:numPr>
        <w:contextualSpacing w:val="0"/>
        <w:rPr>
          <w:rFonts w:cs="Arial"/>
        </w:rPr>
      </w:pPr>
      <w:r>
        <w:rPr>
          <w:rFonts w:cs="Arial"/>
        </w:rPr>
        <w:t>firmy zabývající se výkupem a recyklací automobilových BA</w:t>
      </w:r>
      <w:r w:rsidRPr="001D602A">
        <w:rPr>
          <w:rFonts w:cs="Arial"/>
        </w:rPr>
        <w:t>,</w:t>
      </w:r>
    </w:p>
    <w:p w:rsidR="001C24F5" w:rsidRPr="001D602A" w:rsidP="0039543B" w14:paraId="410F4A0F" w14:textId="77777777">
      <w:pPr>
        <w:pStyle w:val="ListParagraph"/>
        <w:numPr>
          <w:ilvl w:val="0"/>
          <w:numId w:val="134"/>
        </w:numPr>
        <w:ind w:left="714" w:hanging="357"/>
        <w:contextualSpacing w:val="0"/>
        <w:rPr>
          <w:rFonts w:cs="Arial"/>
        </w:rPr>
      </w:pPr>
      <w:r>
        <w:rPr>
          <w:rFonts w:cs="Arial"/>
        </w:rPr>
        <w:t>občané.</w:t>
      </w:r>
    </w:p>
    <w:p w:rsidR="001C24F5" w:rsidRPr="001D602A" w:rsidP="00BF16B7" w14:paraId="0299015D" w14:textId="77777777">
      <w:pPr>
        <w:pStyle w:val="Heading3"/>
        <w:spacing w:before="240"/>
      </w:pPr>
      <w:r w:rsidRPr="001D602A">
        <w:t>Popis cílového stavu</w:t>
      </w:r>
    </w:p>
    <w:p w:rsidR="001C24F5" w:rsidRPr="001D602A" w:rsidP="001C24F5" w14:paraId="42D5ED14" w14:textId="77777777">
      <w:pPr>
        <w:rPr>
          <w:rFonts w:cs="Arial"/>
        </w:rPr>
      </w:pPr>
      <w:r w:rsidRPr="001D602A">
        <w:rPr>
          <w:rFonts w:cs="Arial"/>
        </w:rPr>
        <w:t xml:space="preserve">Nastavení funkční sběrné sítě </w:t>
      </w:r>
      <w:r>
        <w:rPr>
          <w:rFonts w:cs="Arial"/>
        </w:rPr>
        <w:t xml:space="preserve">použitých automobilových </w:t>
      </w:r>
      <w:r w:rsidRPr="005409F9">
        <w:rPr>
          <w:rFonts w:cs="Arial"/>
        </w:rPr>
        <w:t>BA</w:t>
      </w:r>
      <w:r w:rsidRPr="001D602A">
        <w:rPr>
          <w:rFonts w:cs="Arial"/>
        </w:rPr>
        <w:t xml:space="preserve"> tak, aby byla pro konečné uživatel</w:t>
      </w:r>
      <w:r>
        <w:rPr>
          <w:rFonts w:cs="Arial"/>
        </w:rPr>
        <w:t>e co nejvíce dostupná</w:t>
      </w:r>
      <w:r w:rsidRPr="001D602A">
        <w:rPr>
          <w:rFonts w:cs="Arial"/>
        </w:rPr>
        <w:t>.</w:t>
      </w:r>
      <w:r>
        <w:rPr>
          <w:rFonts w:cs="Arial"/>
        </w:rPr>
        <w:t xml:space="preserve"> Hustotu sběrné sítě je třeba nadefinovat pro případ, kdyby došlo k ekonomické neziskovosti výkupu automobilových </w:t>
      </w:r>
      <w:r w:rsidRPr="005409F9">
        <w:rPr>
          <w:rFonts w:cs="Arial"/>
        </w:rPr>
        <w:t>BA</w:t>
      </w:r>
      <w:r>
        <w:rPr>
          <w:rFonts w:cs="Arial"/>
        </w:rPr>
        <w:t>, neboť v současnosti probíhá ZO automobilových BA (z důvodu jeho ziskovosti) i bez legislativního rámce.</w:t>
      </w:r>
    </w:p>
    <w:p w:rsidR="001C24F5" w:rsidRPr="00CF75FD" w:rsidP="00BF16B7" w14:paraId="23F4FD20" w14:textId="77777777">
      <w:pPr>
        <w:pStyle w:val="Heading3"/>
      </w:pPr>
      <w:r w:rsidRPr="00CF75FD">
        <w:t>Zhodnocení rizika</w:t>
      </w:r>
    </w:p>
    <w:p w:rsidR="001C24F5" w:rsidP="00E82C35" w14:paraId="089F6B7A" w14:textId="77777777">
      <w:pPr>
        <w:rPr>
          <w:color w:val="000000"/>
        </w:rPr>
      </w:pPr>
      <w:bookmarkStart w:id="206" w:name="_Toc13746063"/>
      <w:r>
        <w:t xml:space="preserve">V případě, že by došlo </w:t>
      </w:r>
      <w:r w:rsidRPr="00A67A8E">
        <w:t>k ekonomické neziskovosti výkupu automobilových BA</w:t>
      </w:r>
      <w:r w:rsidRPr="001C24F5">
        <w:t xml:space="preserve">, mohlo by docházet k odkládání použitých </w:t>
      </w:r>
      <w:r w:rsidRPr="00A67A8E">
        <w:t>automobilových BA</w:t>
      </w:r>
      <w:r>
        <w:t xml:space="preserve"> do komunálního odpadu, </w:t>
      </w:r>
      <w:r w:rsidRPr="00CF75FD">
        <w:t xml:space="preserve">čímž </w:t>
      </w:r>
      <w:r>
        <w:t>by hrozilo</w:t>
      </w:r>
      <w:r w:rsidRPr="00CF75FD">
        <w:t xml:space="preserve"> riziko úniku nebezpečných látek obsažených v </w:t>
      </w:r>
      <w:r w:rsidRPr="006234D8">
        <w:t xml:space="preserve">automobilových </w:t>
      </w:r>
      <w:r w:rsidRPr="00CF75FD">
        <w:t>BA do životního prostředí</w:t>
      </w:r>
      <w:r w:rsidRPr="006234D8">
        <w:rPr>
          <w:color w:val="000000"/>
        </w:rPr>
        <w:t>.</w:t>
      </w:r>
      <w:bookmarkEnd w:id="206"/>
    </w:p>
    <w:p w:rsidR="001C24F5" w:rsidRPr="001C24F5" w:rsidP="00E82C35" w14:paraId="66EAD94C" w14:textId="77777777"/>
    <w:p w:rsidR="001C24F5" w:rsidP="001C24F5" w14:paraId="5A9F185E" w14:textId="77777777">
      <w:pPr>
        <w:pStyle w:val="Heading2"/>
      </w:pPr>
      <w:r>
        <w:t>Návrh variant řešení</w:t>
      </w:r>
    </w:p>
    <w:p w:rsidR="001C24F5" w:rsidRPr="00E4631E" w:rsidP="001C24F5" w14:paraId="2476AD3C" w14:textId="77777777">
      <w:pPr>
        <w:pStyle w:val="Heading4"/>
        <w:numPr>
          <w:ilvl w:val="0"/>
          <w:numId w:val="0"/>
        </w:numPr>
        <w:spacing w:before="120" w:after="0"/>
        <w:ind w:left="864" w:hanging="864"/>
        <w:rPr>
          <w:szCs w:val="24"/>
        </w:rPr>
      </w:pPr>
      <w:r w:rsidRPr="00E4631E">
        <w:rPr>
          <w:b/>
          <w:sz w:val="24"/>
          <w:szCs w:val="24"/>
        </w:rPr>
        <w:t>Varianta 0</w:t>
      </w:r>
    </w:p>
    <w:p w:rsidR="001C24F5" w:rsidP="001C24F5" w14:paraId="77E09D87" w14:textId="77777777">
      <w:pPr>
        <w:rPr>
          <w:rFonts w:cs="Arial"/>
        </w:rPr>
      </w:pPr>
      <w:r w:rsidRPr="00ED38E9">
        <w:rPr>
          <w:rFonts w:cs="Arial"/>
        </w:rPr>
        <w:t xml:space="preserve">Ponechání současného stavu, kdy výrobce </w:t>
      </w:r>
      <w:r w:rsidRPr="001C24F5">
        <w:rPr>
          <w:rFonts w:cs="Arial"/>
        </w:rPr>
        <w:t>automobilových</w:t>
      </w:r>
      <w:r>
        <w:rPr>
          <w:rFonts w:cs="Arial"/>
        </w:rPr>
        <w:t xml:space="preserve"> baterií a akumulátorů (BA) </w:t>
      </w:r>
      <w:r w:rsidRPr="00C76426">
        <w:rPr>
          <w:rFonts w:cs="Arial"/>
        </w:rPr>
        <w:t>je povinen</w:t>
      </w:r>
      <w:r>
        <w:rPr>
          <w:rFonts w:cs="Arial"/>
        </w:rPr>
        <w:t xml:space="preserve"> zřídit </w:t>
      </w:r>
      <w:r w:rsidRPr="00C76426">
        <w:rPr>
          <w:rFonts w:cs="Arial"/>
        </w:rPr>
        <w:t xml:space="preserve">na vlastní náklady </w:t>
      </w:r>
      <w:r>
        <w:rPr>
          <w:rFonts w:cs="Arial"/>
        </w:rPr>
        <w:t>místo</w:t>
      </w:r>
      <w:r w:rsidRPr="00C76426">
        <w:rPr>
          <w:rFonts w:cs="Arial"/>
        </w:rPr>
        <w:t xml:space="preserve"> </w:t>
      </w:r>
      <w:r>
        <w:rPr>
          <w:rFonts w:cs="Arial"/>
        </w:rPr>
        <w:t>ZO</w:t>
      </w:r>
      <w:r w:rsidRPr="00C76426">
        <w:rPr>
          <w:rFonts w:cs="Arial"/>
        </w:rPr>
        <w:t xml:space="preserve"> </w:t>
      </w:r>
      <w:r w:rsidRPr="00BA4559">
        <w:rPr>
          <w:rFonts w:cs="Arial"/>
        </w:rPr>
        <w:t xml:space="preserve">v každé obci, městském obvodě nebo městské části, kde jsou automobilové </w:t>
      </w:r>
      <w:r>
        <w:rPr>
          <w:rFonts w:cs="Arial"/>
        </w:rPr>
        <w:t>BA</w:t>
      </w:r>
      <w:r w:rsidRPr="00BA4559">
        <w:rPr>
          <w:rFonts w:cs="Arial"/>
        </w:rPr>
        <w:t>, které uvádí na trh, prodávány. Ke splnění této povinnosti může výrobce na základě písemné dohody s obcí využít systém sběru a třídění komunálních odpadů stanovený touto obcí.</w:t>
      </w:r>
    </w:p>
    <w:p w:rsidR="001C24F5" w:rsidRPr="00E4631E" w:rsidP="001C24F5" w14:paraId="7F082FDC" w14:textId="77777777">
      <w:pPr>
        <w:pStyle w:val="Heading4"/>
        <w:numPr>
          <w:ilvl w:val="0"/>
          <w:numId w:val="0"/>
        </w:numPr>
        <w:spacing w:before="360" w:after="0"/>
        <w:ind w:left="862" w:hanging="862"/>
        <w:rPr>
          <w:szCs w:val="24"/>
        </w:rPr>
      </w:pPr>
      <w:r w:rsidRPr="00E4631E">
        <w:rPr>
          <w:b/>
          <w:sz w:val="24"/>
          <w:szCs w:val="24"/>
        </w:rPr>
        <w:t>Varianta 1</w:t>
      </w:r>
    </w:p>
    <w:p w:rsidR="001C24F5" w:rsidRPr="00CF75FD" w:rsidP="001C24F5" w14:paraId="782119CF" w14:textId="77777777">
      <w:pPr>
        <w:rPr>
          <w:rFonts w:cs="Arial"/>
        </w:rPr>
      </w:pPr>
      <w:r>
        <w:rPr>
          <w:rFonts w:cs="Arial"/>
        </w:rPr>
        <w:t>V</w:t>
      </w:r>
      <w:r w:rsidRPr="00ED38E9">
        <w:rPr>
          <w:rFonts w:cs="Arial"/>
        </w:rPr>
        <w:t xml:space="preserve">ýrobce </w:t>
      </w:r>
      <w:r w:rsidRPr="006234D8">
        <w:rPr>
          <w:rFonts w:cs="Arial"/>
        </w:rPr>
        <w:t>automobilových</w:t>
      </w:r>
      <w:r>
        <w:rPr>
          <w:rFonts w:cs="Arial"/>
        </w:rPr>
        <w:t xml:space="preserve"> BA </w:t>
      </w:r>
      <w:r w:rsidRPr="00C76426">
        <w:rPr>
          <w:rFonts w:cs="Arial"/>
        </w:rPr>
        <w:t>je povinen</w:t>
      </w:r>
      <w:r>
        <w:rPr>
          <w:rFonts w:cs="Arial"/>
        </w:rPr>
        <w:t xml:space="preserve"> zřídit </w:t>
      </w:r>
      <w:r w:rsidRPr="00C76426">
        <w:rPr>
          <w:rFonts w:cs="Arial"/>
        </w:rPr>
        <w:t xml:space="preserve">na vlastní náklady </w:t>
      </w:r>
      <w:r>
        <w:rPr>
          <w:rFonts w:cs="Arial"/>
        </w:rPr>
        <w:t>místo</w:t>
      </w:r>
      <w:r w:rsidRPr="00C76426">
        <w:rPr>
          <w:rFonts w:cs="Arial"/>
        </w:rPr>
        <w:t xml:space="preserve"> </w:t>
      </w:r>
      <w:r>
        <w:rPr>
          <w:rFonts w:cs="Arial"/>
        </w:rPr>
        <w:t>ZO</w:t>
      </w:r>
      <w:r w:rsidRPr="00C76426">
        <w:rPr>
          <w:rFonts w:cs="Arial"/>
        </w:rPr>
        <w:t xml:space="preserve"> v </w:t>
      </w:r>
      <w:r w:rsidRPr="00CF75FD">
        <w:rPr>
          <w:rFonts w:cs="Arial"/>
        </w:rPr>
        <w:t>každém vyšším územn</w:t>
      </w:r>
      <w:r>
        <w:rPr>
          <w:rFonts w:cs="Arial"/>
        </w:rPr>
        <w:t xml:space="preserve">ě samosprávném celku na každých 25 </w:t>
      </w:r>
      <w:r w:rsidRPr="00CF75FD">
        <w:rPr>
          <w:rFonts w:cs="Arial"/>
        </w:rPr>
        <w:t xml:space="preserve">000 obyvatel, přičemž místa ZO musí být v rámci něho rovnoměrně rozmístěna. </w:t>
      </w:r>
    </w:p>
    <w:p w:rsidR="001C24F5" w:rsidP="001C24F5" w14:paraId="67C8DB83" w14:textId="77777777">
      <w:pPr>
        <w:pStyle w:val="Heading2"/>
      </w:pPr>
      <w:r>
        <w:t>Vyhodnocení</w:t>
      </w:r>
      <w:r w:rsidRPr="00E4631E">
        <w:t xml:space="preserve"> </w:t>
      </w:r>
      <w:r>
        <w:t>nákladů a přínosů</w:t>
      </w:r>
    </w:p>
    <w:p w:rsidR="001C24F5" w:rsidP="001C24F5" w14:paraId="1F9A24BB" w14:textId="77777777">
      <w:pPr>
        <w:pStyle w:val="Heading4"/>
        <w:numPr>
          <w:ilvl w:val="0"/>
          <w:numId w:val="0"/>
        </w:numPr>
        <w:spacing w:before="120" w:after="0"/>
        <w:ind w:left="864" w:hanging="864"/>
        <w:rPr>
          <w:b/>
          <w:i/>
          <w:sz w:val="24"/>
          <w:szCs w:val="24"/>
        </w:rPr>
      </w:pPr>
      <w:r>
        <w:rPr>
          <w:b/>
          <w:i/>
          <w:sz w:val="24"/>
          <w:szCs w:val="24"/>
        </w:rPr>
        <w:t>Identifikace nákladů a přínosů</w:t>
      </w:r>
    </w:p>
    <w:p w:rsidR="001C24F5" w:rsidRPr="00E4631E" w:rsidP="001C24F5" w14:paraId="777FE23D" w14:textId="77777777">
      <w:pPr>
        <w:pStyle w:val="ListParagraph"/>
        <w:keepNext/>
        <w:numPr>
          <w:ilvl w:val="0"/>
          <w:numId w:val="132"/>
        </w:numPr>
        <w:spacing w:before="240" w:after="120"/>
        <w:contextualSpacing w:val="0"/>
        <w:rPr>
          <w:rFonts w:cs="Arial"/>
          <w:b/>
        </w:rPr>
      </w:pPr>
      <w:r w:rsidRPr="00E4631E">
        <w:rPr>
          <w:rFonts w:cs="Arial"/>
          <w:b/>
        </w:rPr>
        <w:t>Varianta 0</w:t>
      </w:r>
    </w:p>
    <w:p w:rsidR="001C24F5" w:rsidRPr="00ED38E9" w:rsidP="001C24F5" w14:paraId="001722DE" w14:textId="77777777">
      <w:pPr>
        <w:pStyle w:val="Normlntun"/>
        <w:spacing w:before="240"/>
        <w:rPr>
          <w:rFonts w:cs="Arial"/>
        </w:rPr>
      </w:pPr>
      <w:r w:rsidRPr="00ED38E9">
        <w:rPr>
          <w:rFonts w:cs="Arial"/>
        </w:rPr>
        <w:t>Dopady na státní rozpočet a ostatní veřejné rozpočty</w:t>
      </w:r>
    </w:p>
    <w:p w:rsidR="001C24F5" w:rsidP="001C24F5" w14:paraId="12A156EC" w14:textId="77777777">
      <w:pPr>
        <w:rPr>
          <w:rFonts w:cs="Arial"/>
        </w:rPr>
      </w:pPr>
      <w:r w:rsidRPr="00ED38E9">
        <w:rPr>
          <w:rFonts w:cs="Arial"/>
        </w:rPr>
        <w:t>Současný stav nepředstavuje dopady na státní rozpočet a ostatní veřejné rozpočty.</w:t>
      </w:r>
    </w:p>
    <w:p w:rsidR="001C24F5" w:rsidRPr="00ED38E9" w:rsidP="001C24F5" w14:paraId="52905F05" w14:textId="77777777">
      <w:pPr>
        <w:pStyle w:val="Normlntun"/>
        <w:spacing w:before="240"/>
        <w:rPr>
          <w:rFonts w:cs="Arial"/>
        </w:rPr>
      </w:pPr>
      <w:r w:rsidRPr="00ED38E9">
        <w:rPr>
          <w:rFonts w:cs="Arial"/>
        </w:rPr>
        <w:t>Dopady na podnikatelské subjekty</w:t>
      </w:r>
    </w:p>
    <w:p w:rsidR="001C24F5" w:rsidP="0039543B" w14:paraId="079A2EA9" w14:textId="77777777">
      <w:pPr>
        <w:pStyle w:val="Normlntun"/>
        <w:spacing w:before="120" w:line="276" w:lineRule="auto"/>
        <w:rPr>
          <w:b w:val="0"/>
          <w:bCs w:val="0"/>
          <w:lang w:bidi="en-US"/>
        </w:rPr>
      </w:pPr>
      <w:r>
        <w:rPr>
          <w:b w:val="0"/>
          <w:bCs w:val="0"/>
          <w:lang w:bidi="en-US"/>
        </w:rPr>
        <w:t>V současnosti je ZO použitých (odpadních)</w:t>
      </w:r>
      <w:r w:rsidRPr="00897FA1">
        <w:rPr>
          <w:b w:val="0"/>
          <w:bCs w:val="0"/>
          <w:lang w:bidi="en-US"/>
        </w:rPr>
        <w:t xml:space="preserve"> </w:t>
      </w:r>
      <w:r>
        <w:rPr>
          <w:b w:val="0"/>
          <w:bCs w:val="0"/>
          <w:lang w:bidi="en-US"/>
        </w:rPr>
        <w:t>automobilových BA z důvodu kladné hodnoty těchto BA ekonomický, a tudíž probíhá i bez nutnosti regulace legislativou. V</w:t>
      </w:r>
      <w:r w:rsidRPr="006234D8">
        <w:rPr>
          <w:b w:val="0"/>
          <w:bCs w:val="0"/>
          <w:lang w:bidi="en-US"/>
        </w:rPr>
        <w:t>ýkupem a</w:t>
      </w:r>
      <w:r>
        <w:rPr>
          <w:b w:val="0"/>
          <w:bCs w:val="0"/>
          <w:lang w:bidi="en-US"/>
        </w:rPr>
        <w:t> </w:t>
      </w:r>
      <w:r w:rsidRPr="006234D8">
        <w:rPr>
          <w:b w:val="0"/>
          <w:bCs w:val="0"/>
          <w:lang w:bidi="en-US"/>
        </w:rPr>
        <w:t xml:space="preserve">recyklací </w:t>
      </w:r>
      <w:r>
        <w:rPr>
          <w:b w:val="0"/>
          <w:bCs w:val="0"/>
          <w:lang w:bidi="en-US"/>
        </w:rPr>
        <w:t xml:space="preserve">automobilových BA se zabývá řada </w:t>
      </w:r>
      <w:r w:rsidRPr="006234D8">
        <w:rPr>
          <w:b w:val="0"/>
          <w:bCs w:val="0"/>
          <w:lang w:bidi="en-US"/>
        </w:rPr>
        <w:t>fir</w:t>
      </w:r>
      <w:r>
        <w:rPr>
          <w:b w:val="0"/>
          <w:bCs w:val="0"/>
          <w:lang w:bidi="en-US"/>
        </w:rPr>
        <w:t>e</w:t>
      </w:r>
      <w:r w:rsidRPr="006234D8">
        <w:rPr>
          <w:b w:val="0"/>
          <w:bCs w:val="0"/>
          <w:lang w:bidi="en-US"/>
        </w:rPr>
        <w:t>m.</w:t>
      </w:r>
      <w:r>
        <w:rPr>
          <w:b w:val="0"/>
          <w:bCs w:val="0"/>
          <w:lang w:bidi="en-US"/>
        </w:rPr>
        <w:t xml:space="preserve"> </w:t>
      </w:r>
      <w:r w:rsidRPr="00CF75FD">
        <w:rPr>
          <w:rFonts w:cs="Arial"/>
          <w:b w:val="0"/>
        </w:rPr>
        <w:t>Údaje ohledně rozmístění jednotlivých sběrných míst nejsou dostupné, ale</w:t>
      </w:r>
      <w:r>
        <w:rPr>
          <w:rFonts w:cs="Arial"/>
          <w:b w:val="0"/>
        </w:rPr>
        <w:t xml:space="preserve"> lze předpokládat, že hustota sběrné sítě je výrazně vyšší než ukládá zákon.</w:t>
      </w:r>
    </w:p>
    <w:p w:rsidR="001C24F5" w:rsidRPr="00ED38E9" w:rsidP="001C24F5" w14:paraId="40FCC39D" w14:textId="77777777">
      <w:pPr>
        <w:pStyle w:val="Normlntun"/>
        <w:spacing w:before="240"/>
        <w:rPr>
          <w:rFonts w:cs="Arial"/>
        </w:rPr>
      </w:pPr>
      <w:r w:rsidRPr="00ED38E9">
        <w:rPr>
          <w:rFonts w:cs="Arial"/>
        </w:rPr>
        <w:t>Dopady na územní samosprávné celky (obce, kraje)</w:t>
      </w:r>
      <w:r w:rsidRPr="00912A11">
        <w:rPr>
          <w:rFonts w:cs="Arial"/>
        </w:rPr>
        <w:t xml:space="preserve"> </w:t>
      </w:r>
    </w:p>
    <w:p w:rsidR="001C24F5" w:rsidRPr="00ED38E9" w:rsidP="001C24F5" w14:paraId="3BE93D0B" w14:textId="77777777">
      <w:pPr>
        <w:rPr>
          <w:rFonts w:cs="Arial"/>
        </w:rPr>
      </w:pPr>
      <w:r w:rsidRPr="00ED38E9">
        <w:rPr>
          <w:rFonts w:cs="Arial"/>
        </w:rPr>
        <w:t>Současný stav nepředstavuje dopady na</w:t>
      </w:r>
      <w:r>
        <w:rPr>
          <w:rFonts w:cs="Arial"/>
        </w:rPr>
        <w:t xml:space="preserve"> obce a kraje.</w:t>
      </w:r>
    </w:p>
    <w:p w:rsidR="001C24F5" w:rsidRPr="00ED38E9" w:rsidP="001C24F5" w14:paraId="7DD7B51F" w14:textId="77777777">
      <w:pPr>
        <w:pStyle w:val="Normlntun"/>
        <w:keepNext w:val="0"/>
        <w:widowControl w:val="0"/>
        <w:spacing w:before="240"/>
        <w:rPr>
          <w:rFonts w:cs="Arial"/>
        </w:rPr>
      </w:pPr>
      <w:r w:rsidRPr="00ED38E9">
        <w:rPr>
          <w:rFonts w:cs="Arial"/>
        </w:rPr>
        <w:t>Sociální dopady</w:t>
      </w:r>
    </w:p>
    <w:p w:rsidR="001C24F5" w:rsidRPr="001C24F5" w:rsidP="0039543B" w14:paraId="574C5634" w14:textId="77777777">
      <w:pPr>
        <w:pStyle w:val="Normlntun"/>
        <w:keepNext w:val="0"/>
        <w:widowControl w:val="0"/>
        <w:spacing w:before="120" w:line="276" w:lineRule="auto"/>
        <w:rPr>
          <w:b w:val="0"/>
          <w:bCs w:val="0"/>
          <w:lang w:bidi="en-US"/>
        </w:rPr>
      </w:pPr>
      <w:r w:rsidRPr="001C24F5">
        <w:rPr>
          <w:b w:val="0"/>
          <w:bCs w:val="0"/>
          <w:lang w:bidi="en-US"/>
        </w:rPr>
        <w:t xml:space="preserve">Současný stav nemá žádné </w:t>
      </w:r>
      <w:r>
        <w:rPr>
          <w:b w:val="0"/>
          <w:bCs w:val="0"/>
          <w:lang w:bidi="en-US"/>
        </w:rPr>
        <w:t xml:space="preserve">negativní </w:t>
      </w:r>
      <w:r w:rsidRPr="001C24F5">
        <w:rPr>
          <w:b w:val="0"/>
          <w:bCs w:val="0"/>
          <w:lang w:bidi="en-US"/>
        </w:rPr>
        <w:t>sociální dopady.</w:t>
      </w:r>
      <w:r>
        <w:rPr>
          <w:b w:val="0"/>
          <w:bCs w:val="0"/>
          <w:lang w:bidi="en-US"/>
        </w:rPr>
        <w:t xml:space="preserve"> Občané mohou použité automobilové BA ponechat přímo v autoservisu při výměně staré automobilové BA za novou nebo v jiných místech, buď zdarma, nebo za výkupní cenu, která se </w:t>
      </w:r>
      <w:r w:rsidRPr="006234D8">
        <w:rPr>
          <w:b w:val="0"/>
          <w:bCs w:val="0"/>
          <w:lang w:bidi="en-US"/>
        </w:rPr>
        <w:t xml:space="preserve">u klasických baterií z osobních automobilů pohybuje mezi 200 </w:t>
      </w:r>
      <w:r>
        <w:rPr>
          <w:b w:val="0"/>
          <w:bCs w:val="0"/>
          <w:lang w:bidi="en-US"/>
        </w:rPr>
        <w:t>–</w:t>
      </w:r>
      <w:r w:rsidRPr="006234D8">
        <w:rPr>
          <w:b w:val="0"/>
          <w:bCs w:val="0"/>
          <w:lang w:bidi="en-US"/>
        </w:rPr>
        <w:t xml:space="preserve"> 250</w:t>
      </w:r>
      <w:r>
        <w:rPr>
          <w:b w:val="0"/>
          <w:bCs w:val="0"/>
          <w:lang w:bidi="en-US"/>
        </w:rPr>
        <w:t> </w:t>
      </w:r>
      <w:r w:rsidRPr="006234D8">
        <w:rPr>
          <w:b w:val="0"/>
          <w:bCs w:val="0"/>
          <w:lang w:bidi="en-US"/>
        </w:rPr>
        <w:t>Kč/kus.</w:t>
      </w:r>
    </w:p>
    <w:p w:rsidR="001C24F5" w:rsidRPr="00ED38E9" w:rsidP="001C24F5" w14:paraId="2693F11E" w14:textId="77777777">
      <w:pPr>
        <w:pStyle w:val="Normlntun"/>
        <w:keepNext w:val="0"/>
        <w:widowControl w:val="0"/>
        <w:spacing w:before="240"/>
        <w:rPr>
          <w:rFonts w:cs="Arial"/>
        </w:rPr>
      </w:pPr>
      <w:r w:rsidRPr="00ED38E9">
        <w:rPr>
          <w:rFonts w:cs="Arial"/>
        </w:rPr>
        <w:t>Dopady na životní prostředí</w:t>
      </w:r>
    </w:p>
    <w:p w:rsidR="001C24F5" w:rsidRPr="001C24F5" w:rsidP="001C24F5" w14:paraId="1495D8C7" w14:textId="77777777">
      <w:pPr>
        <w:widowControl w:val="0"/>
        <w:rPr>
          <w:noProof w:val="0"/>
          <w:szCs w:val="20"/>
          <w:lang w:eastAsia="cs-CZ"/>
        </w:rPr>
      </w:pPr>
      <w:r w:rsidRPr="001C24F5">
        <w:rPr>
          <w:noProof w:val="0"/>
          <w:szCs w:val="20"/>
          <w:lang w:eastAsia="cs-CZ"/>
        </w:rPr>
        <w:t>V případě, že by došlo k ekonomické neziskovosti výkupu automobilových BA, mohlo by docházet k odkládání použitých automobilových BA do komunálního odpadu</w:t>
      </w:r>
      <w:r>
        <w:rPr>
          <w:noProof w:val="0"/>
          <w:szCs w:val="20"/>
          <w:lang w:eastAsia="cs-CZ"/>
        </w:rPr>
        <w:t xml:space="preserve"> a na jiná nevhodná místa</w:t>
      </w:r>
      <w:r w:rsidRPr="001C24F5">
        <w:rPr>
          <w:noProof w:val="0"/>
          <w:szCs w:val="20"/>
          <w:lang w:eastAsia="cs-CZ"/>
        </w:rPr>
        <w:t>, čímž by hrozilo riziko úniku nebezpečných látek obsažených v</w:t>
      </w:r>
      <w:r>
        <w:rPr>
          <w:noProof w:val="0"/>
          <w:szCs w:val="20"/>
          <w:lang w:eastAsia="cs-CZ"/>
        </w:rPr>
        <w:t> </w:t>
      </w:r>
      <w:r w:rsidRPr="001C24F5">
        <w:rPr>
          <w:noProof w:val="0"/>
          <w:szCs w:val="20"/>
          <w:lang w:eastAsia="cs-CZ"/>
        </w:rPr>
        <w:t>automobilových BA do životního prostředí.</w:t>
      </w:r>
    </w:p>
    <w:p w:rsidR="001C24F5" w:rsidP="001C24F5" w14:paraId="53AA0BB4" w14:textId="77777777">
      <w:pPr>
        <w:widowControl w:val="0"/>
        <w:rPr>
          <w:rFonts w:cs="Arial"/>
        </w:rPr>
      </w:pPr>
    </w:p>
    <w:p w:rsidR="001C24F5" w:rsidRPr="00E4631E" w:rsidP="001C24F5" w14:paraId="3D8FE82F" w14:textId="77777777">
      <w:pPr>
        <w:keepNext/>
        <w:spacing w:after="120"/>
        <w:ind w:left="357"/>
        <w:rPr>
          <w:rFonts w:cs="Arial"/>
          <w:b/>
        </w:rPr>
      </w:pPr>
      <w:r>
        <w:rPr>
          <w:rFonts w:cs="Arial"/>
          <w:b/>
        </w:rPr>
        <w:t>b)  Varianta 1</w:t>
      </w:r>
    </w:p>
    <w:p w:rsidR="001C24F5" w:rsidRPr="00ED38E9" w:rsidP="001C24F5" w14:paraId="54CB2D36" w14:textId="77777777">
      <w:pPr>
        <w:pStyle w:val="Normlntun"/>
        <w:spacing w:before="240"/>
        <w:rPr>
          <w:rFonts w:cs="Arial"/>
        </w:rPr>
      </w:pPr>
      <w:r w:rsidRPr="00ED38E9">
        <w:rPr>
          <w:rFonts w:cs="Arial"/>
        </w:rPr>
        <w:t>Dopady na státní rozpočet a ostatní veřejné rozpočty</w:t>
      </w:r>
    </w:p>
    <w:p w:rsidR="001C24F5" w:rsidRPr="00ED38E9" w:rsidP="001C24F5" w14:paraId="11925E2A" w14:textId="77777777">
      <w:pPr>
        <w:rPr>
          <w:rFonts w:cs="Arial"/>
        </w:rPr>
      </w:pPr>
      <w:r w:rsidRPr="00ED38E9">
        <w:rPr>
          <w:rFonts w:cs="Arial"/>
        </w:rPr>
        <w:t>Nepředpokládáme dopad na státní rozpočet a ostatní veřejné rozpočty.</w:t>
      </w:r>
    </w:p>
    <w:p w:rsidR="001C24F5" w:rsidP="001C24F5" w14:paraId="37333A2A" w14:textId="77777777">
      <w:pPr>
        <w:pStyle w:val="Normlntun"/>
        <w:spacing w:before="240"/>
        <w:rPr>
          <w:rFonts w:cs="Arial"/>
        </w:rPr>
      </w:pPr>
      <w:r w:rsidRPr="00ED38E9">
        <w:rPr>
          <w:rFonts w:cs="Arial"/>
        </w:rPr>
        <w:t>Dopady na podnikatelské subjekty</w:t>
      </w:r>
    </w:p>
    <w:p w:rsidR="001C24F5" w:rsidRPr="001C24F5" w:rsidP="001C24F5" w14:paraId="434B2CFB" w14:textId="77777777">
      <w:pPr>
        <w:rPr>
          <w:rFonts w:cs="Arial"/>
          <w:b/>
        </w:rPr>
      </w:pPr>
      <w:r w:rsidRPr="001C24F5">
        <w:rPr>
          <w:rFonts w:cs="Arial"/>
        </w:rPr>
        <w:t xml:space="preserve">Dle varianty 1 je hustota sběrné sítě </w:t>
      </w:r>
      <w:r w:rsidRPr="006234D8">
        <w:rPr>
          <w:noProof w:val="0"/>
          <w:szCs w:val="20"/>
          <w:lang w:eastAsia="cs-CZ"/>
        </w:rPr>
        <w:t>automobilových BA</w:t>
      </w:r>
      <w:r w:rsidRPr="00A72AB9">
        <w:rPr>
          <w:rFonts w:cs="Arial"/>
        </w:rPr>
        <w:t xml:space="preserve"> </w:t>
      </w:r>
      <w:r w:rsidRPr="001C24F5">
        <w:rPr>
          <w:rFonts w:cs="Arial"/>
        </w:rPr>
        <w:t>definována jako 1 místo ZO na každých 25 tis. obyvatel v každém kraji. Počet míst ZO v jednotlivých krajích a celkovou hustotu sběrné sítě ukazuje následující tabulka.</w:t>
      </w:r>
    </w:p>
    <w:p w:rsidR="00BF16B7" w14:paraId="3C0EFEAF" w14:textId="77777777">
      <w:pPr>
        <w:rPr>
          <w:rFonts w:cs="Arial"/>
          <w:b/>
          <w:bCs/>
          <w:noProof w:val="0"/>
          <w:sz w:val="20"/>
          <w:szCs w:val="20"/>
          <w:lang w:eastAsia="cs-CZ" w:bidi="ar-SA"/>
        </w:rPr>
      </w:pPr>
      <w:r>
        <w:rPr>
          <w:rFonts w:cs="Arial"/>
          <w:sz w:val="20"/>
        </w:rPr>
        <w:br w:type="page"/>
      </w:r>
    </w:p>
    <w:p w:rsidR="001C24F5" w:rsidRPr="006B1BF3" w:rsidP="00BF16B7" w14:paraId="36097D37" w14:textId="76FF528E">
      <w:pPr>
        <w:pStyle w:val="Normlntun"/>
        <w:spacing w:before="240"/>
        <w:rPr>
          <w:rFonts w:cs="Arial"/>
          <w:sz w:val="20"/>
        </w:rPr>
      </w:pPr>
      <w:r w:rsidRPr="00CF75FD">
        <w:rPr>
          <w:rFonts w:cs="Arial"/>
          <w:sz w:val="20"/>
        </w:rPr>
        <w:t>T</w:t>
      </w:r>
      <w:r w:rsidR="00925F10">
        <w:rPr>
          <w:rFonts w:cs="Arial"/>
          <w:sz w:val="20"/>
        </w:rPr>
        <w:t>abulka 51</w:t>
      </w:r>
      <w:r w:rsidRPr="00CF75FD">
        <w:rPr>
          <w:rFonts w:cs="Arial"/>
          <w:sz w:val="20"/>
        </w:rPr>
        <w:t>:</w:t>
      </w:r>
      <w:r w:rsidRPr="006B1BF3">
        <w:rPr>
          <w:rFonts w:cs="Arial"/>
          <w:sz w:val="20"/>
        </w:rPr>
        <w:t xml:space="preserve"> Minimální počet sběrných míst u </w:t>
      </w:r>
      <w:r>
        <w:rPr>
          <w:rFonts w:cs="Arial"/>
          <w:sz w:val="20"/>
        </w:rPr>
        <w:t>automobilových BA</w:t>
      </w:r>
      <w:r w:rsidRPr="006B1BF3">
        <w:rPr>
          <w:rFonts w:cs="Arial"/>
          <w:sz w:val="20"/>
        </w:rPr>
        <w:t xml:space="preserve"> při požadavku </w:t>
      </w:r>
      <w:r>
        <w:rPr>
          <w:rFonts w:cs="Arial"/>
          <w:sz w:val="20"/>
        </w:rPr>
        <w:t>zřízení 1 místa ZO na každých 25</w:t>
      </w:r>
      <w:r w:rsidRPr="006B1BF3">
        <w:rPr>
          <w:rFonts w:cs="Arial"/>
          <w:sz w:val="20"/>
        </w:rPr>
        <w:t xml:space="preserve"> tis. obyvatel v kraji</w:t>
      </w:r>
    </w:p>
    <w:tbl>
      <w:tblPr>
        <w:tblW w:w="6374" w:type="dxa"/>
        <w:tblCellMar>
          <w:left w:w="70" w:type="dxa"/>
          <w:right w:w="70" w:type="dxa"/>
        </w:tblCellMar>
        <w:tblLook w:val="04A0"/>
      </w:tblPr>
      <w:tblGrid>
        <w:gridCol w:w="2740"/>
        <w:gridCol w:w="1915"/>
        <w:gridCol w:w="1719"/>
      </w:tblGrid>
      <w:tr w14:paraId="420D8BB7" w14:textId="77777777" w:rsidTr="001C24F5">
        <w:tblPrEx>
          <w:tblW w:w="6374" w:type="dxa"/>
          <w:tblCellMar>
            <w:left w:w="70" w:type="dxa"/>
            <w:right w:w="70" w:type="dxa"/>
          </w:tblCellMar>
          <w:tblLook w:val="04A0"/>
        </w:tblPrEx>
        <w:trPr>
          <w:trHeight w:val="313"/>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24F5" w:rsidRPr="006B1BF3" w:rsidP="00BF16B7" w14:paraId="25156D44" w14:textId="77777777">
            <w:pPr>
              <w:keepNext/>
              <w:spacing w:before="40" w:after="40"/>
              <w:jc w:val="center"/>
              <w:rPr>
                <w:b/>
                <w:bCs/>
                <w:noProof w:val="0"/>
                <w:color w:val="000000"/>
                <w:lang w:eastAsia="cs-CZ" w:bidi="ar-SA"/>
              </w:rPr>
            </w:pPr>
            <w:r w:rsidRPr="006B1BF3">
              <w:rPr>
                <w:b/>
              </w:rPr>
              <w:t xml:space="preserve">Hustota sběrné sítě u </w:t>
            </w:r>
            <w:r>
              <w:rPr>
                <w:b/>
              </w:rPr>
              <w:t>automobilových BA</w:t>
            </w:r>
          </w:p>
        </w:tc>
      </w:tr>
      <w:tr w14:paraId="0D5838D7" w14:textId="77777777" w:rsidTr="001C24F5">
        <w:tblPrEx>
          <w:tblW w:w="6374" w:type="dxa"/>
          <w:tblCellMar>
            <w:left w:w="70" w:type="dxa"/>
            <w:right w:w="70" w:type="dxa"/>
          </w:tblCellMar>
          <w:tblLook w:val="04A0"/>
        </w:tblPrEx>
        <w:trPr>
          <w:trHeight w:val="313"/>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4F5" w:rsidRPr="006B1BF3" w:rsidP="001C24F5" w14:paraId="1CB5C64C" w14:textId="77777777">
            <w:pPr>
              <w:spacing w:before="40" w:after="40"/>
              <w:jc w:val="center"/>
              <w:rPr>
                <w:b/>
                <w:noProof w:val="0"/>
                <w:lang w:eastAsia="cs-CZ" w:bidi="ar-SA"/>
              </w:rPr>
            </w:pPr>
            <w:r w:rsidRPr="006B1BF3">
              <w:rPr>
                <w:b/>
                <w:noProof w:val="0"/>
                <w:lang w:eastAsia="cs-CZ" w:bidi="ar-SA"/>
              </w:rPr>
              <w:t>Kraj</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1C24F5" w:rsidRPr="006B1BF3" w:rsidP="001C24F5" w14:paraId="04850AC9" w14:textId="77777777">
            <w:pPr>
              <w:spacing w:before="40" w:after="40"/>
              <w:jc w:val="center"/>
              <w:rPr>
                <w:b/>
                <w:noProof w:val="0"/>
                <w:lang w:eastAsia="cs-CZ" w:bidi="ar-SA"/>
              </w:rPr>
            </w:pPr>
            <w:r w:rsidRPr="006B1BF3">
              <w:rPr>
                <w:b/>
                <w:noProof w:val="0"/>
                <w:lang w:eastAsia="cs-CZ" w:bidi="ar-SA"/>
              </w:rPr>
              <w:t>Počet obyvatel</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1C24F5" w:rsidRPr="006B1BF3" w:rsidP="001C24F5" w14:paraId="7EFB64D5" w14:textId="77777777">
            <w:pPr>
              <w:spacing w:before="40" w:after="40"/>
              <w:jc w:val="center"/>
              <w:rPr>
                <w:b/>
                <w:bCs/>
                <w:noProof w:val="0"/>
                <w:color w:val="000000"/>
                <w:lang w:eastAsia="cs-CZ" w:bidi="ar-SA"/>
              </w:rPr>
            </w:pPr>
            <w:r w:rsidRPr="006B1BF3">
              <w:rPr>
                <w:b/>
                <w:bCs/>
                <w:noProof w:val="0"/>
                <w:color w:val="000000"/>
                <w:lang w:eastAsia="cs-CZ" w:bidi="ar-SA"/>
              </w:rPr>
              <w:t>Počet míst ZO</w:t>
            </w:r>
          </w:p>
        </w:tc>
      </w:tr>
      <w:tr w14:paraId="6AD5C355"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0C895485" w14:textId="77777777">
            <w:pPr>
              <w:spacing w:before="40" w:after="40"/>
              <w:jc w:val="left"/>
              <w:rPr>
                <w:noProof w:val="0"/>
                <w:lang w:eastAsia="cs-CZ" w:bidi="ar-SA"/>
              </w:rPr>
            </w:pPr>
            <w:r w:rsidRPr="00C700DA">
              <w:rPr>
                <w:noProof w:val="0"/>
                <w:lang w:eastAsia="cs-CZ" w:bidi="ar-SA"/>
              </w:rPr>
              <w:t>Hlavní město Praha</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0B7C1F94" w14:textId="77777777">
            <w:pPr>
              <w:spacing w:before="40" w:after="40"/>
              <w:jc w:val="center"/>
              <w:rPr>
                <w:noProof w:val="0"/>
                <w:lang w:eastAsia="cs-CZ" w:bidi="ar-SA"/>
              </w:rPr>
            </w:pPr>
            <w:r w:rsidRPr="00C700DA">
              <w:rPr>
                <w:noProof w:val="0"/>
                <w:lang w:eastAsia="cs-CZ" w:bidi="ar-SA"/>
              </w:rPr>
              <w:t>1 308 632</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33D41927" w14:textId="77777777">
            <w:pPr>
              <w:spacing w:before="40" w:after="40"/>
              <w:jc w:val="center"/>
              <w:rPr>
                <w:noProof w:val="0"/>
                <w:color w:val="000000"/>
                <w:lang w:eastAsia="cs-CZ" w:bidi="ar-SA"/>
              </w:rPr>
            </w:pPr>
            <w:r w:rsidRPr="001C24F5">
              <w:rPr>
                <w:color w:val="000000"/>
              </w:rPr>
              <w:t>52</w:t>
            </w:r>
          </w:p>
        </w:tc>
      </w:tr>
      <w:tr w14:paraId="16AAC625"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25B38FBD" w14:textId="77777777">
            <w:pPr>
              <w:spacing w:before="40" w:after="40"/>
              <w:jc w:val="left"/>
              <w:rPr>
                <w:noProof w:val="0"/>
                <w:lang w:eastAsia="cs-CZ" w:bidi="ar-SA"/>
              </w:rPr>
            </w:pPr>
            <w:r w:rsidRPr="00C700DA">
              <w:rPr>
                <w:noProof w:val="0"/>
                <w:lang w:eastAsia="cs-CZ" w:bidi="ar-SA"/>
              </w:rPr>
              <w:t>Středočeský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749E02E0" w14:textId="77777777">
            <w:pPr>
              <w:spacing w:before="40" w:after="40"/>
              <w:jc w:val="center"/>
              <w:rPr>
                <w:noProof w:val="0"/>
                <w:lang w:eastAsia="cs-CZ" w:bidi="ar-SA"/>
              </w:rPr>
            </w:pPr>
            <w:r w:rsidRPr="00C700DA">
              <w:rPr>
                <w:noProof w:val="0"/>
                <w:lang w:eastAsia="cs-CZ" w:bidi="ar-SA"/>
              </w:rPr>
              <w:t>1 369 332</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6CE13492" w14:textId="77777777">
            <w:pPr>
              <w:spacing w:before="40" w:after="40"/>
              <w:jc w:val="center"/>
              <w:rPr>
                <w:noProof w:val="0"/>
                <w:color w:val="000000"/>
                <w:lang w:eastAsia="cs-CZ" w:bidi="ar-SA"/>
              </w:rPr>
            </w:pPr>
            <w:r w:rsidRPr="001C24F5">
              <w:rPr>
                <w:color w:val="000000"/>
              </w:rPr>
              <w:t>55</w:t>
            </w:r>
          </w:p>
        </w:tc>
      </w:tr>
      <w:tr w14:paraId="40B1B0F2"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30802BB8" w14:textId="77777777">
            <w:pPr>
              <w:spacing w:before="40" w:after="40"/>
              <w:jc w:val="left"/>
              <w:rPr>
                <w:noProof w:val="0"/>
                <w:lang w:eastAsia="cs-CZ" w:bidi="ar-SA"/>
              </w:rPr>
            </w:pPr>
            <w:r w:rsidRPr="00C700DA">
              <w:rPr>
                <w:noProof w:val="0"/>
                <w:lang w:eastAsia="cs-CZ" w:bidi="ar-SA"/>
              </w:rPr>
              <w:t>Jihočeský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401A071D" w14:textId="77777777">
            <w:pPr>
              <w:spacing w:before="40" w:after="40"/>
              <w:jc w:val="center"/>
              <w:rPr>
                <w:noProof w:val="0"/>
                <w:lang w:eastAsia="cs-CZ" w:bidi="ar-SA"/>
              </w:rPr>
            </w:pPr>
            <w:r w:rsidRPr="00C700DA">
              <w:rPr>
                <w:noProof w:val="0"/>
                <w:lang w:eastAsia="cs-CZ" w:bidi="ar-SA"/>
              </w:rPr>
              <w:t>642 133</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418FB223" w14:textId="77777777">
            <w:pPr>
              <w:spacing w:before="40" w:after="40"/>
              <w:jc w:val="center"/>
              <w:rPr>
                <w:noProof w:val="0"/>
                <w:color w:val="000000"/>
                <w:lang w:eastAsia="cs-CZ" w:bidi="ar-SA"/>
              </w:rPr>
            </w:pPr>
            <w:r w:rsidRPr="001C24F5">
              <w:rPr>
                <w:color w:val="000000"/>
              </w:rPr>
              <w:t>26</w:t>
            </w:r>
          </w:p>
        </w:tc>
      </w:tr>
      <w:tr w14:paraId="49DB52A8"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7BDE11A5" w14:textId="77777777">
            <w:pPr>
              <w:spacing w:before="40" w:after="40"/>
              <w:jc w:val="left"/>
              <w:rPr>
                <w:noProof w:val="0"/>
                <w:lang w:eastAsia="cs-CZ" w:bidi="ar-SA"/>
              </w:rPr>
            </w:pPr>
            <w:r w:rsidRPr="00C700DA">
              <w:rPr>
                <w:noProof w:val="0"/>
                <w:lang w:eastAsia="cs-CZ" w:bidi="ar-SA"/>
              </w:rPr>
              <w:t>Plzeňský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1157F010" w14:textId="77777777">
            <w:pPr>
              <w:spacing w:before="40" w:after="40"/>
              <w:jc w:val="center"/>
              <w:rPr>
                <w:noProof w:val="0"/>
                <w:lang w:eastAsia="cs-CZ" w:bidi="ar-SA"/>
              </w:rPr>
            </w:pPr>
            <w:r w:rsidRPr="00C700DA">
              <w:rPr>
                <w:noProof w:val="0"/>
                <w:lang w:eastAsia="cs-CZ" w:bidi="ar-SA"/>
              </w:rPr>
              <w:t>584 672</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75A158DF" w14:textId="77777777">
            <w:pPr>
              <w:spacing w:before="40" w:after="40"/>
              <w:jc w:val="center"/>
              <w:rPr>
                <w:noProof w:val="0"/>
                <w:color w:val="000000"/>
                <w:lang w:eastAsia="cs-CZ" w:bidi="ar-SA"/>
              </w:rPr>
            </w:pPr>
            <w:r w:rsidRPr="001C24F5">
              <w:rPr>
                <w:color w:val="000000"/>
              </w:rPr>
              <w:t>23</w:t>
            </w:r>
          </w:p>
        </w:tc>
      </w:tr>
      <w:tr w14:paraId="297FE333"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7DFEC361" w14:textId="77777777">
            <w:pPr>
              <w:spacing w:before="40" w:after="40"/>
              <w:jc w:val="left"/>
              <w:rPr>
                <w:noProof w:val="0"/>
                <w:lang w:eastAsia="cs-CZ" w:bidi="ar-SA"/>
              </w:rPr>
            </w:pPr>
            <w:r w:rsidRPr="00C700DA">
              <w:rPr>
                <w:noProof w:val="0"/>
                <w:lang w:eastAsia="cs-CZ" w:bidi="ar-SA"/>
              </w:rPr>
              <w:t xml:space="preserve">Karlovarský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319A63F7" w14:textId="77777777">
            <w:pPr>
              <w:spacing w:before="40" w:after="40"/>
              <w:jc w:val="center"/>
              <w:rPr>
                <w:noProof w:val="0"/>
                <w:lang w:eastAsia="cs-CZ" w:bidi="ar-SA"/>
              </w:rPr>
            </w:pPr>
            <w:r w:rsidRPr="00C700DA">
              <w:rPr>
                <w:noProof w:val="0"/>
                <w:lang w:eastAsia="cs-CZ" w:bidi="ar-SA"/>
              </w:rPr>
              <w:t>294 896</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0AF9BACC" w14:textId="77777777">
            <w:pPr>
              <w:spacing w:before="40" w:after="40"/>
              <w:jc w:val="center"/>
              <w:rPr>
                <w:noProof w:val="0"/>
                <w:color w:val="000000"/>
                <w:lang w:eastAsia="cs-CZ" w:bidi="ar-SA"/>
              </w:rPr>
            </w:pPr>
            <w:r w:rsidRPr="001C24F5">
              <w:rPr>
                <w:color w:val="000000"/>
              </w:rPr>
              <w:t>12</w:t>
            </w:r>
          </w:p>
        </w:tc>
      </w:tr>
      <w:tr w14:paraId="4293105A"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2A3BF31F" w14:textId="77777777">
            <w:pPr>
              <w:spacing w:before="40" w:after="40"/>
              <w:jc w:val="left"/>
              <w:rPr>
                <w:noProof w:val="0"/>
                <w:lang w:eastAsia="cs-CZ" w:bidi="ar-SA"/>
              </w:rPr>
            </w:pPr>
            <w:r w:rsidRPr="00C700DA">
              <w:rPr>
                <w:noProof w:val="0"/>
                <w:lang w:eastAsia="cs-CZ" w:bidi="ar-SA"/>
              </w:rPr>
              <w:t xml:space="preserve">Ústecký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58EAACB3" w14:textId="77777777">
            <w:pPr>
              <w:spacing w:before="40" w:after="40"/>
              <w:jc w:val="center"/>
              <w:rPr>
                <w:noProof w:val="0"/>
                <w:lang w:eastAsia="cs-CZ" w:bidi="ar-SA"/>
              </w:rPr>
            </w:pPr>
            <w:r w:rsidRPr="00C700DA">
              <w:rPr>
                <w:noProof w:val="0"/>
                <w:lang w:eastAsia="cs-CZ" w:bidi="ar-SA"/>
              </w:rPr>
              <w:t>820 789</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3DF030F6" w14:textId="77777777">
            <w:pPr>
              <w:spacing w:before="40" w:after="40"/>
              <w:jc w:val="center"/>
              <w:rPr>
                <w:noProof w:val="0"/>
                <w:color w:val="000000"/>
                <w:lang w:eastAsia="cs-CZ" w:bidi="ar-SA"/>
              </w:rPr>
            </w:pPr>
            <w:r w:rsidRPr="001C24F5">
              <w:rPr>
                <w:color w:val="000000"/>
              </w:rPr>
              <w:t>33</w:t>
            </w:r>
          </w:p>
        </w:tc>
      </w:tr>
      <w:tr w14:paraId="42BD0C6D"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1EE7355F" w14:textId="77777777">
            <w:pPr>
              <w:spacing w:before="40" w:after="40"/>
              <w:jc w:val="left"/>
              <w:rPr>
                <w:noProof w:val="0"/>
                <w:lang w:eastAsia="cs-CZ" w:bidi="ar-SA"/>
              </w:rPr>
            </w:pPr>
            <w:r w:rsidRPr="00C700DA">
              <w:rPr>
                <w:noProof w:val="0"/>
                <w:lang w:eastAsia="cs-CZ" w:bidi="ar-SA"/>
              </w:rPr>
              <w:t xml:space="preserve">Liberecký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26F74DD6" w14:textId="77777777">
            <w:pPr>
              <w:spacing w:before="40" w:after="40"/>
              <w:jc w:val="center"/>
              <w:rPr>
                <w:noProof w:val="0"/>
                <w:lang w:eastAsia="cs-CZ" w:bidi="ar-SA"/>
              </w:rPr>
            </w:pPr>
            <w:r w:rsidRPr="00C700DA">
              <w:rPr>
                <w:noProof w:val="0"/>
                <w:lang w:eastAsia="cs-CZ" w:bidi="ar-SA"/>
              </w:rPr>
              <w:t>442 356</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7871D9CA" w14:textId="77777777">
            <w:pPr>
              <w:spacing w:before="40" w:after="40"/>
              <w:jc w:val="center"/>
              <w:rPr>
                <w:noProof w:val="0"/>
                <w:color w:val="000000"/>
                <w:lang w:eastAsia="cs-CZ" w:bidi="ar-SA"/>
              </w:rPr>
            </w:pPr>
            <w:r w:rsidRPr="001C24F5">
              <w:rPr>
                <w:color w:val="000000"/>
              </w:rPr>
              <w:t>18</w:t>
            </w:r>
          </w:p>
        </w:tc>
      </w:tr>
      <w:tr w14:paraId="0202FCD4"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699276C1" w14:textId="77777777">
            <w:pPr>
              <w:spacing w:before="40" w:after="40"/>
              <w:jc w:val="left"/>
              <w:rPr>
                <w:noProof w:val="0"/>
                <w:lang w:eastAsia="cs-CZ" w:bidi="ar-SA"/>
              </w:rPr>
            </w:pPr>
            <w:r w:rsidRPr="00C700DA">
              <w:rPr>
                <w:noProof w:val="0"/>
                <w:lang w:eastAsia="cs-CZ" w:bidi="ar-SA"/>
              </w:rPr>
              <w:t xml:space="preserve">Královéhradecký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32E2BD0E" w14:textId="77777777">
            <w:pPr>
              <w:spacing w:before="40" w:after="40"/>
              <w:jc w:val="center"/>
              <w:rPr>
                <w:noProof w:val="0"/>
                <w:lang w:eastAsia="cs-CZ" w:bidi="ar-SA"/>
              </w:rPr>
            </w:pPr>
            <w:r w:rsidRPr="00C700DA">
              <w:rPr>
                <w:noProof w:val="0"/>
                <w:lang w:eastAsia="cs-CZ" w:bidi="ar-SA"/>
              </w:rPr>
              <w:t>551 021</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3F7B8DFD" w14:textId="77777777">
            <w:pPr>
              <w:spacing w:before="40" w:after="40"/>
              <w:jc w:val="center"/>
              <w:rPr>
                <w:noProof w:val="0"/>
                <w:color w:val="000000"/>
                <w:lang w:eastAsia="cs-CZ" w:bidi="ar-SA"/>
              </w:rPr>
            </w:pPr>
            <w:r w:rsidRPr="001C24F5">
              <w:rPr>
                <w:color w:val="000000"/>
              </w:rPr>
              <w:t>22</w:t>
            </w:r>
          </w:p>
        </w:tc>
      </w:tr>
      <w:tr w14:paraId="7A89371C"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47AA034B" w14:textId="77777777">
            <w:pPr>
              <w:spacing w:before="40" w:after="40"/>
              <w:jc w:val="left"/>
              <w:rPr>
                <w:noProof w:val="0"/>
                <w:lang w:eastAsia="cs-CZ" w:bidi="ar-SA"/>
              </w:rPr>
            </w:pPr>
            <w:r w:rsidRPr="00C700DA">
              <w:rPr>
                <w:noProof w:val="0"/>
                <w:lang w:eastAsia="cs-CZ" w:bidi="ar-SA"/>
              </w:rPr>
              <w:t xml:space="preserve">Pardubický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604D2984" w14:textId="77777777">
            <w:pPr>
              <w:spacing w:before="40" w:after="40"/>
              <w:jc w:val="center"/>
              <w:rPr>
                <w:noProof w:val="0"/>
                <w:lang w:eastAsia="cs-CZ" w:bidi="ar-SA"/>
              </w:rPr>
            </w:pPr>
            <w:r w:rsidRPr="00C700DA">
              <w:rPr>
                <w:noProof w:val="0"/>
                <w:lang w:eastAsia="cs-CZ" w:bidi="ar-SA"/>
              </w:rPr>
              <w:t>520 316</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0B3E928F" w14:textId="77777777">
            <w:pPr>
              <w:spacing w:before="40" w:after="40"/>
              <w:jc w:val="center"/>
              <w:rPr>
                <w:noProof w:val="0"/>
                <w:color w:val="000000"/>
                <w:lang w:eastAsia="cs-CZ" w:bidi="ar-SA"/>
              </w:rPr>
            </w:pPr>
            <w:r w:rsidRPr="001C24F5">
              <w:rPr>
                <w:color w:val="000000"/>
              </w:rPr>
              <w:t>21</w:t>
            </w:r>
          </w:p>
        </w:tc>
      </w:tr>
      <w:tr w14:paraId="1D7C8EE7"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7D143217" w14:textId="77777777">
            <w:pPr>
              <w:spacing w:before="40" w:after="40"/>
              <w:jc w:val="left"/>
              <w:rPr>
                <w:noProof w:val="0"/>
                <w:lang w:eastAsia="cs-CZ" w:bidi="ar-SA"/>
              </w:rPr>
            </w:pPr>
            <w:r w:rsidRPr="00C700DA">
              <w:rPr>
                <w:noProof w:val="0"/>
                <w:lang w:eastAsia="cs-CZ" w:bidi="ar-SA"/>
              </w:rPr>
              <w:t>Vysočina</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0AD2A58E" w14:textId="77777777">
            <w:pPr>
              <w:spacing w:before="40" w:after="40"/>
              <w:jc w:val="center"/>
              <w:rPr>
                <w:noProof w:val="0"/>
                <w:lang w:eastAsia="cs-CZ" w:bidi="ar-SA"/>
              </w:rPr>
            </w:pPr>
            <w:r w:rsidRPr="00C700DA">
              <w:rPr>
                <w:noProof w:val="0"/>
                <w:lang w:eastAsia="cs-CZ" w:bidi="ar-SA"/>
              </w:rPr>
              <w:t>509 274</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4E25DC2D" w14:textId="77777777">
            <w:pPr>
              <w:spacing w:before="40" w:after="40"/>
              <w:jc w:val="center"/>
              <w:rPr>
                <w:noProof w:val="0"/>
                <w:color w:val="000000"/>
                <w:lang w:eastAsia="cs-CZ" w:bidi="ar-SA"/>
              </w:rPr>
            </w:pPr>
            <w:r w:rsidRPr="001C24F5">
              <w:rPr>
                <w:color w:val="000000"/>
              </w:rPr>
              <w:t>20</w:t>
            </w:r>
          </w:p>
        </w:tc>
      </w:tr>
      <w:tr w14:paraId="1E03D7A7"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4E83049D" w14:textId="77777777">
            <w:pPr>
              <w:spacing w:before="40" w:after="40"/>
              <w:jc w:val="left"/>
              <w:rPr>
                <w:noProof w:val="0"/>
                <w:lang w:eastAsia="cs-CZ" w:bidi="ar-SA"/>
              </w:rPr>
            </w:pPr>
            <w:r w:rsidRPr="00C700DA">
              <w:rPr>
                <w:noProof w:val="0"/>
                <w:lang w:eastAsia="cs-CZ" w:bidi="ar-SA"/>
              </w:rPr>
              <w:t xml:space="preserve">Jihomoravský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1354ECEE" w14:textId="77777777">
            <w:pPr>
              <w:spacing w:before="40" w:after="40"/>
              <w:jc w:val="center"/>
              <w:rPr>
                <w:noProof w:val="0"/>
                <w:lang w:eastAsia="cs-CZ" w:bidi="ar-SA"/>
              </w:rPr>
            </w:pPr>
            <w:r w:rsidRPr="00C700DA">
              <w:rPr>
                <w:noProof w:val="0"/>
                <w:lang w:eastAsia="cs-CZ" w:bidi="ar-SA"/>
              </w:rPr>
              <w:t>1 187 667</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3C121D89" w14:textId="77777777">
            <w:pPr>
              <w:spacing w:before="40" w:after="40"/>
              <w:jc w:val="center"/>
              <w:rPr>
                <w:noProof w:val="0"/>
                <w:color w:val="000000"/>
                <w:lang w:eastAsia="cs-CZ" w:bidi="ar-SA"/>
              </w:rPr>
            </w:pPr>
            <w:r w:rsidRPr="001C24F5">
              <w:rPr>
                <w:color w:val="000000"/>
              </w:rPr>
              <w:t>48</w:t>
            </w:r>
          </w:p>
        </w:tc>
      </w:tr>
      <w:tr w14:paraId="6976C3B3"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1474F511" w14:textId="77777777">
            <w:pPr>
              <w:spacing w:before="40" w:after="40"/>
              <w:jc w:val="left"/>
              <w:rPr>
                <w:noProof w:val="0"/>
                <w:lang w:eastAsia="cs-CZ" w:bidi="ar-SA"/>
              </w:rPr>
            </w:pPr>
            <w:r w:rsidRPr="00C700DA">
              <w:rPr>
                <w:noProof w:val="0"/>
                <w:lang w:eastAsia="cs-CZ" w:bidi="ar-SA"/>
              </w:rPr>
              <w:t xml:space="preserve">Olomoucký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65EA4705" w14:textId="77777777">
            <w:pPr>
              <w:spacing w:before="40" w:after="40"/>
              <w:jc w:val="center"/>
              <w:rPr>
                <w:noProof w:val="0"/>
                <w:lang w:eastAsia="cs-CZ" w:bidi="ar-SA"/>
              </w:rPr>
            </w:pPr>
            <w:r w:rsidRPr="00C700DA">
              <w:rPr>
                <w:noProof w:val="0"/>
                <w:lang w:eastAsia="cs-CZ" w:bidi="ar-SA"/>
              </w:rPr>
              <w:t>632 492</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67B36D58" w14:textId="77777777">
            <w:pPr>
              <w:spacing w:before="40" w:after="40"/>
              <w:jc w:val="center"/>
              <w:rPr>
                <w:noProof w:val="0"/>
                <w:color w:val="000000"/>
                <w:lang w:eastAsia="cs-CZ" w:bidi="ar-SA"/>
              </w:rPr>
            </w:pPr>
            <w:r w:rsidRPr="001C24F5">
              <w:rPr>
                <w:color w:val="000000"/>
              </w:rPr>
              <w:t>25</w:t>
            </w:r>
          </w:p>
        </w:tc>
      </w:tr>
      <w:tr w14:paraId="7CE1D5AE"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0C3E981A" w14:textId="77777777">
            <w:pPr>
              <w:spacing w:before="40" w:after="40"/>
              <w:jc w:val="left"/>
              <w:rPr>
                <w:noProof w:val="0"/>
                <w:lang w:eastAsia="cs-CZ" w:bidi="ar-SA"/>
              </w:rPr>
            </w:pPr>
            <w:r w:rsidRPr="00C700DA">
              <w:rPr>
                <w:noProof w:val="0"/>
                <w:lang w:eastAsia="cs-CZ" w:bidi="ar-SA"/>
              </w:rPr>
              <w:t xml:space="preserve">Zlínský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585DCA67" w14:textId="77777777">
            <w:pPr>
              <w:spacing w:before="40" w:after="40"/>
              <w:jc w:val="center"/>
              <w:rPr>
                <w:noProof w:val="0"/>
                <w:lang w:eastAsia="cs-CZ" w:bidi="ar-SA"/>
              </w:rPr>
            </w:pPr>
            <w:r w:rsidRPr="00C700DA">
              <w:rPr>
                <w:noProof w:val="0"/>
                <w:lang w:eastAsia="cs-CZ" w:bidi="ar-SA"/>
              </w:rPr>
              <w:t>582 921</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212AAAA9" w14:textId="77777777">
            <w:pPr>
              <w:spacing w:before="40" w:after="40"/>
              <w:jc w:val="center"/>
              <w:rPr>
                <w:noProof w:val="0"/>
                <w:color w:val="000000"/>
                <w:lang w:eastAsia="cs-CZ" w:bidi="ar-SA"/>
              </w:rPr>
            </w:pPr>
            <w:r w:rsidRPr="001C24F5">
              <w:rPr>
                <w:color w:val="000000"/>
              </w:rPr>
              <w:t>23</w:t>
            </w:r>
          </w:p>
        </w:tc>
      </w:tr>
      <w:tr w14:paraId="3B942BB1"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7ECF6E91" w14:textId="77777777">
            <w:pPr>
              <w:spacing w:before="40" w:after="40"/>
              <w:jc w:val="left"/>
              <w:rPr>
                <w:noProof w:val="0"/>
                <w:lang w:eastAsia="cs-CZ" w:bidi="ar-SA"/>
              </w:rPr>
            </w:pPr>
            <w:r w:rsidRPr="00C700DA">
              <w:rPr>
                <w:noProof w:val="0"/>
                <w:lang w:eastAsia="cs-CZ" w:bidi="ar-SA"/>
              </w:rPr>
              <w:t xml:space="preserve">Moravskoslezský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76D1A257" w14:textId="77777777">
            <w:pPr>
              <w:spacing w:before="40" w:after="40"/>
              <w:jc w:val="center"/>
              <w:rPr>
                <w:noProof w:val="0"/>
                <w:lang w:eastAsia="cs-CZ" w:bidi="ar-SA"/>
              </w:rPr>
            </w:pPr>
            <w:r w:rsidRPr="00C700DA">
              <w:rPr>
                <w:noProof w:val="0"/>
                <w:lang w:eastAsia="cs-CZ" w:bidi="ar-SA"/>
              </w:rPr>
              <w:t>1 203 299</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634DD293" w14:textId="77777777">
            <w:pPr>
              <w:spacing w:before="40" w:after="40"/>
              <w:jc w:val="center"/>
              <w:rPr>
                <w:noProof w:val="0"/>
                <w:color w:val="000000"/>
                <w:lang w:eastAsia="cs-CZ" w:bidi="ar-SA"/>
              </w:rPr>
            </w:pPr>
            <w:r w:rsidRPr="001C24F5">
              <w:rPr>
                <w:color w:val="000000"/>
              </w:rPr>
              <w:t>48</w:t>
            </w:r>
          </w:p>
        </w:tc>
      </w:tr>
      <w:tr w14:paraId="60369A87"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C700DA" w:rsidP="001C24F5" w14:paraId="3E5CFA6B" w14:textId="77777777">
            <w:pPr>
              <w:spacing w:before="40" w:after="40"/>
              <w:jc w:val="left"/>
              <w:rPr>
                <w:b/>
                <w:bCs/>
                <w:noProof w:val="0"/>
                <w:lang w:eastAsia="cs-CZ" w:bidi="ar-SA"/>
              </w:rPr>
            </w:pPr>
            <w:r>
              <w:rPr>
                <w:b/>
                <w:bCs/>
                <w:noProof w:val="0"/>
                <w:lang w:eastAsia="cs-CZ" w:bidi="ar-SA"/>
              </w:rPr>
              <w:t>Celkem</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C700DA" w:rsidP="001C24F5" w14:paraId="0FFFC1E7" w14:textId="77777777">
            <w:pPr>
              <w:spacing w:before="40" w:after="40"/>
              <w:jc w:val="center"/>
              <w:rPr>
                <w:b/>
                <w:bCs/>
                <w:noProof w:val="0"/>
                <w:color w:val="000000"/>
                <w:lang w:eastAsia="cs-CZ" w:bidi="ar-SA"/>
              </w:rPr>
            </w:pPr>
            <w:r w:rsidRPr="00C700DA">
              <w:rPr>
                <w:b/>
                <w:bCs/>
                <w:noProof w:val="0"/>
                <w:color w:val="000000"/>
                <w:lang w:eastAsia="cs-CZ" w:bidi="ar-SA"/>
              </w:rPr>
              <w:t>10 649 800</w:t>
            </w:r>
          </w:p>
        </w:tc>
        <w:tc>
          <w:tcPr>
            <w:tcW w:w="1719" w:type="dxa"/>
            <w:tcBorders>
              <w:top w:val="nil"/>
              <w:left w:val="nil"/>
              <w:bottom w:val="single" w:sz="4" w:space="0" w:color="auto"/>
              <w:right w:val="single" w:sz="4" w:space="0" w:color="auto"/>
            </w:tcBorders>
            <w:shd w:val="clear" w:color="auto" w:fill="auto"/>
            <w:noWrap/>
            <w:vAlign w:val="bottom"/>
          </w:tcPr>
          <w:p w:rsidR="001C24F5" w:rsidRPr="00E72E1E" w:rsidP="001C24F5" w14:paraId="61BE6507" w14:textId="77777777">
            <w:pPr>
              <w:spacing w:before="40" w:after="40"/>
              <w:jc w:val="center"/>
              <w:rPr>
                <w:b/>
                <w:bCs/>
                <w:noProof w:val="0"/>
                <w:color w:val="000000"/>
                <w:lang w:eastAsia="cs-CZ" w:bidi="ar-SA"/>
              </w:rPr>
            </w:pPr>
            <w:r w:rsidRPr="001C24F5">
              <w:rPr>
                <w:b/>
                <w:bCs/>
                <w:color w:val="000000"/>
              </w:rPr>
              <w:t>426</w:t>
            </w:r>
          </w:p>
        </w:tc>
      </w:tr>
    </w:tbl>
    <w:p w:rsidR="001C24F5" w:rsidRPr="00CF75FD" w:rsidP="001C24F5" w14:paraId="29D316D8" w14:textId="77777777">
      <w:pPr>
        <w:pStyle w:val="Normlntun"/>
        <w:keepNext w:val="0"/>
        <w:widowControl w:val="0"/>
        <w:spacing w:before="240" w:line="276" w:lineRule="auto"/>
        <w:rPr>
          <w:rFonts w:cs="Arial"/>
          <w:b w:val="0"/>
        </w:rPr>
      </w:pPr>
      <w:r>
        <w:rPr>
          <w:rFonts w:cs="Arial"/>
          <w:b w:val="0"/>
        </w:rPr>
        <w:t>Údaje o současné</w:t>
      </w:r>
      <w:r w:rsidRPr="00CF75FD">
        <w:rPr>
          <w:rFonts w:cs="Arial"/>
          <w:b w:val="0"/>
        </w:rPr>
        <w:t xml:space="preserve"> </w:t>
      </w:r>
      <w:r>
        <w:rPr>
          <w:rFonts w:cs="Arial"/>
          <w:b w:val="0"/>
        </w:rPr>
        <w:t xml:space="preserve">hustotě a rozmístění sběrné sítě automobilových BA </w:t>
      </w:r>
      <w:r w:rsidRPr="00CF75FD">
        <w:rPr>
          <w:rFonts w:cs="Arial"/>
          <w:b w:val="0"/>
        </w:rPr>
        <w:t>nejsou dostupné, ale</w:t>
      </w:r>
      <w:r>
        <w:rPr>
          <w:rFonts w:cs="Arial"/>
          <w:b w:val="0"/>
        </w:rPr>
        <w:t xml:space="preserve"> lze předpokládat, že hustota sběrné sítě výrazně </w:t>
      </w:r>
      <w:r w:rsidRPr="00CF75FD">
        <w:rPr>
          <w:rFonts w:cs="Arial"/>
          <w:b w:val="0"/>
        </w:rPr>
        <w:t>převyšuje minimální požadavek n</w:t>
      </w:r>
      <w:r>
        <w:rPr>
          <w:rFonts w:cs="Arial"/>
          <w:b w:val="0"/>
        </w:rPr>
        <w:t>a </w:t>
      </w:r>
      <w:r w:rsidRPr="00CF75FD">
        <w:rPr>
          <w:rFonts w:cs="Arial"/>
          <w:b w:val="0"/>
        </w:rPr>
        <w:t xml:space="preserve"> sběrnou síť, co do počtu míst. Z toho vyplývá, že tato změna požadavku na hustotu sběrné sítě by neměla mít pro současné </w:t>
      </w:r>
      <w:r>
        <w:rPr>
          <w:rFonts w:cs="Arial"/>
          <w:b w:val="0"/>
        </w:rPr>
        <w:t>výrobce</w:t>
      </w:r>
      <w:r w:rsidRPr="00CF75FD">
        <w:rPr>
          <w:rFonts w:cs="Arial"/>
          <w:b w:val="0"/>
        </w:rPr>
        <w:t xml:space="preserve"> </w:t>
      </w:r>
      <w:r>
        <w:rPr>
          <w:rFonts w:cs="Arial"/>
          <w:b w:val="0"/>
        </w:rPr>
        <w:t>automobilových BA žádné dopady.</w:t>
      </w:r>
    </w:p>
    <w:p w:rsidR="001C24F5" w:rsidRPr="00CF75FD" w:rsidP="001C24F5" w14:paraId="2220223B" w14:textId="77777777">
      <w:pPr>
        <w:pStyle w:val="Normlntun"/>
        <w:keepNext w:val="0"/>
        <w:widowControl w:val="0"/>
        <w:spacing w:before="240"/>
        <w:rPr>
          <w:rFonts w:cs="Arial"/>
        </w:rPr>
      </w:pPr>
      <w:r w:rsidRPr="00CF75FD">
        <w:rPr>
          <w:rFonts w:cs="Arial"/>
        </w:rPr>
        <w:t>Dopady na územní samosprávné celky (obce, kraje)</w:t>
      </w:r>
    </w:p>
    <w:p w:rsidR="001C24F5" w:rsidP="0039543B" w14:paraId="45CDE908" w14:textId="77777777">
      <w:pPr>
        <w:pStyle w:val="Normlntun"/>
        <w:keepNext w:val="0"/>
        <w:widowControl w:val="0"/>
        <w:spacing w:before="120" w:line="276" w:lineRule="auto"/>
        <w:rPr>
          <w:rFonts w:cs="Arial"/>
          <w:b w:val="0"/>
        </w:rPr>
      </w:pPr>
      <w:r>
        <w:rPr>
          <w:rFonts w:cs="Arial"/>
          <w:b w:val="0"/>
        </w:rPr>
        <w:t>V případě, že by se staly zpětný odběr a recyklace automobilových BA neziskové, měla by t</w:t>
      </w:r>
      <w:r w:rsidRPr="00CF75FD">
        <w:rPr>
          <w:rFonts w:cs="Arial"/>
          <w:b w:val="0"/>
        </w:rPr>
        <w:t>ato úprav</w:t>
      </w:r>
      <w:r>
        <w:rPr>
          <w:rFonts w:cs="Arial"/>
          <w:b w:val="0"/>
        </w:rPr>
        <w:t>a zajistit rovnoměrně rozmístěnou sběrnou síť míst ZO pro tyto BA, a snížit tak náklady obcí na ZO a zpracování automobilových BA odložených do komunálního odpadu.</w:t>
      </w:r>
    </w:p>
    <w:p w:rsidR="001C24F5" w:rsidRPr="00CF75FD" w:rsidP="001C24F5" w14:paraId="0771A935" w14:textId="77777777">
      <w:pPr>
        <w:pStyle w:val="Normlntun"/>
        <w:keepNext w:val="0"/>
        <w:widowControl w:val="0"/>
        <w:spacing w:before="240"/>
        <w:rPr>
          <w:rFonts w:cs="Arial"/>
        </w:rPr>
      </w:pPr>
      <w:r w:rsidRPr="00CF75FD">
        <w:rPr>
          <w:rFonts w:cs="Arial"/>
        </w:rPr>
        <w:t>Sociální dopady</w:t>
      </w:r>
    </w:p>
    <w:p w:rsidR="001C24F5" w:rsidRPr="00CF75FD" w:rsidP="0039543B" w14:paraId="2E750CCE" w14:textId="77777777">
      <w:pPr>
        <w:pStyle w:val="Normlntun"/>
        <w:keepNext w:val="0"/>
        <w:widowControl w:val="0"/>
        <w:spacing w:before="120" w:line="276" w:lineRule="auto"/>
        <w:rPr>
          <w:rFonts w:cs="Arial"/>
        </w:rPr>
      </w:pPr>
      <w:r>
        <w:rPr>
          <w:rFonts w:cs="Arial"/>
          <w:b w:val="0"/>
        </w:rPr>
        <w:t>Bez dopadů.</w:t>
      </w:r>
    </w:p>
    <w:p w:rsidR="001C24F5" w:rsidRPr="00CF75FD" w:rsidP="0039543B" w14:paraId="5B78F74D" w14:textId="77777777">
      <w:pPr>
        <w:pStyle w:val="Normlntun"/>
        <w:spacing w:before="240"/>
        <w:rPr>
          <w:rFonts w:cs="Arial"/>
        </w:rPr>
      </w:pPr>
      <w:r w:rsidRPr="00CF75FD">
        <w:rPr>
          <w:rFonts w:cs="Arial"/>
        </w:rPr>
        <w:t>Dopady na životní prostředí</w:t>
      </w:r>
    </w:p>
    <w:p w:rsidR="001C24F5" w:rsidRPr="001C24F5" w:rsidP="001C24F5" w14:paraId="4AB43537" w14:textId="77777777">
      <w:pPr>
        <w:rPr>
          <w:rFonts w:cs="Arial"/>
          <w:bCs/>
          <w:noProof w:val="0"/>
          <w:szCs w:val="20"/>
          <w:lang w:eastAsia="cs-CZ" w:bidi="ar-SA"/>
        </w:rPr>
      </w:pPr>
      <w:r>
        <w:rPr>
          <w:rFonts w:cs="Arial"/>
          <w:bCs/>
          <w:noProof w:val="0"/>
          <w:szCs w:val="20"/>
          <w:lang w:eastAsia="cs-CZ" w:bidi="ar-SA"/>
        </w:rPr>
        <w:t>T</w:t>
      </w:r>
      <w:r w:rsidRPr="001C24F5">
        <w:rPr>
          <w:rFonts w:cs="Arial"/>
          <w:bCs/>
          <w:noProof w:val="0"/>
          <w:szCs w:val="20"/>
          <w:lang w:eastAsia="cs-CZ" w:bidi="ar-SA"/>
        </w:rPr>
        <w:t xml:space="preserve">ato </w:t>
      </w:r>
      <w:r>
        <w:rPr>
          <w:rFonts w:cs="Arial"/>
          <w:bCs/>
          <w:noProof w:val="0"/>
          <w:szCs w:val="20"/>
          <w:lang w:eastAsia="cs-CZ" w:bidi="ar-SA"/>
        </w:rPr>
        <w:t xml:space="preserve">varianta </w:t>
      </w:r>
      <w:r w:rsidRPr="001C24F5">
        <w:rPr>
          <w:rFonts w:cs="Arial"/>
          <w:bCs/>
          <w:noProof w:val="0"/>
          <w:szCs w:val="20"/>
          <w:lang w:eastAsia="cs-CZ" w:bidi="ar-SA"/>
        </w:rPr>
        <w:t xml:space="preserve"> </w:t>
      </w:r>
      <w:r>
        <w:rPr>
          <w:rFonts w:cs="Arial"/>
          <w:bCs/>
          <w:noProof w:val="0"/>
          <w:szCs w:val="20"/>
          <w:lang w:eastAsia="cs-CZ" w:bidi="ar-SA"/>
        </w:rPr>
        <w:t xml:space="preserve">by měla </w:t>
      </w:r>
      <w:r w:rsidRPr="001C24F5">
        <w:rPr>
          <w:rFonts w:cs="Arial"/>
          <w:bCs/>
          <w:noProof w:val="0"/>
          <w:szCs w:val="20"/>
          <w:lang w:eastAsia="cs-CZ" w:bidi="ar-SA"/>
        </w:rPr>
        <w:t xml:space="preserve">zajistit rovnoměrně rozmístěnou sběrnou síť míst ZO pro </w:t>
      </w:r>
      <w:r>
        <w:rPr>
          <w:rFonts w:cs="Arial"/>
          <w:bCs/>
          <w:noProof w:val="0"/>
          <w:szCs w:val="20"/>
          <w:lang w:eastAsia="cs-CZ" w:bidi="ar-SA"/>
        </w:rPr>
        <w:t xml:space="preserve">automobilové </w:t>
      </w:r>
      <w:r w:rsidRPr="001C24F5">
        <w:rPr>
          <w:rFonts w:cs="Arial"/>
          <w:bCs/>
          <w:noProof w:val="0"/>
          <w:szCs w:val="20"/>
          <w:lang w:eastAsia="cs-CZ" w:bidi="ar-SA"/>
        </w:rPr>
        <w:t xml:space="preserve"> BA, a snížit tak rizika negativních dopadů na životní prostředí při úniku látek obsažených v </w:t>
      </w:r>
      <w:r>
        <w:rPr>
          <w:rFonts w:cs="Arial"/>
          <w:bCs/>
          <w:noProof w:val="0"/>
          <w:szCs w:val="20"/>
          <w:lang w:eastAsia="cs-CZ" w:bidi="ar-SA"/>
        </w:rPr>
        <w:t>těchto</w:t>
      </w:r>
      <w:r w:rsidRPr="001C24F5">
        <w:rPr>
          <w:rFonts w:cs="Arial"/>
          <w:bCs/>
          <w:noProof w:val="0"/>
          <w:szCs w:val="20"/>
          <w:lang w:eastAsia="cs-CZ" w:bidi="ar-SA"/>
        </w:rPr>
        <w:t xml:space="preserve"> BA.</w:t>
      </w:r>
    </w:p>
    <w:p w:rsidR="001C24F5" w:rsidRPr="00CF75FD" w:rsidP="001C24F5" w14:paraId="7E6A5C90" w14:textId="77777777">
      <w:pPr>
        <w:rPr>
          <w:rFonts w:cs="Arial"/>
        </w:rPr>
      </w:pPr>
    </w:p>
    <w:p w:rsidR="001C24F5" w:rsidRPr="00CF75FD" w:rsidP="00BF16B7" w14:paraId="516DFB7E" w14:textId="77777777">
      <w:pPr>
        <w:pStyle w:val="Heading3"/>
        <w:keepNext/>
        <w:widowControl/>
      </w:pPr>
      <w:r w:rsidRPr="00CF75FD">
        <w:t>Vyhodnocení nákladů a přínosů variant</w:t>
      </w:r>
    </w:p>
    <w:p w:rsidR="001C24F5" w:rsidRPr="00CF75FD" w:rsidP="001C24F5" w14:paraId="0356024B" w14:textId="6E09ACC2">
      <w:pPr>
        <w:pStyle w:val="Caption"/>
        <w:spacing w:before="120"/>
        <w:contextualSpacing w:val="0"/>
        <w:rPr>
          <w:rFonts w:cs="Arial"/>
          <w:sz w:val="20"/>
          <w:szCs w:val="20"/>
        </w:rPr>
      </w:pPr>
      <w:r>
        <w:rPr>
          <w:rFonts w:cs="Arial"/>
          <w:sz w:val="20"/>
          <w:szCs w:val="20"/>
        </w:rPr>
        <w:t>Tabulka 52</w:t>
      </w:r>
      <w:r w:rsidRPr="00CF75FD">
        <w:rPr>
          <w:rFonts w:cs="Arial"/>
          <w:sz w:val="20"/>
          <w:szCs w:val="20"/>
        </w:rPr>
        <w:t>: Porovnání nákladů a přínosů</w:t>
      </w:r>
    </w:p>
    <w:tbl>
      <w:tblPr>
        <w:tblStyle w:val="TableGrid"/>
        <w:tblW w:w="0" w:type="auto"/>
        <w:tblLook w:val="04A0"/>
      </w:tblPr>
      <w:tblGrid>
        <w:gridCol w:w="1185"/>
        <w:gridCol w:w="2402"/>
        <w:gridCol w:w="1250"/>
        <w:gridCol w:w="2975"/>
        <w:gridCol w:w="1250"/>
      </w:tblGrid>
      <w:tr w14:paraId="3B04B289" w14:textId="77777777" w:rsidTr="00442C7B">
        <w:tblPrEx>
          <w:tblW w:w="0" w:type="auto"/>
          <w:tblLook w:val="04A0"/>
        </w:tblPrEx>
        <w:tc>
          <w:tcPr>
            <w:tcW w:w="1185" w:type="dxa"/>
            <w:vAlign w:val="center"/>
          </w:tcPr>
          <w:p w:rsidR="001C24F5" w:rsidRPr="00CF75FD" w:rsidP="001C24F5" w14:paraId="15A2B1D8" w14:textId="77777777">
            <w:pPr>
              <w:jc w:val="center"/>
              <w:rPr>
                <w:sz w:val="20"/>
                <w:szCs w:val="20"/>
              </w:rPr>
            </w:pPr>
            <w:r w:rsidRPr="00CF75FD">
              <w:rPr>
                <w:b/>
                <w:bCs/>
                <w:sz w:val="20"/>
                <w:szCs w:val="20"/>
              </w:rPr>
              <w:t>Varianta</w:t>
            </w:r>
          </w:p>
        </w:tc>
        <w:tc>
          <w:tcPr>
            <w:tcW w:w="2402" w:type="dxa"/>
            <w:vAlign w:val="center"/>
          </w:tcPr>
          <w:p w:rsidR="001C24F5" w:rsidRPr="00CF75FD" w:rsidP="001C24F5" w14:paraId="1D8D6098" w14:textId="77777777">
            <w:pPr>
              <w:jc w:val="center"/>
              <w:rPr>
                <w:sz w:val="20"/>
                <w:szCs w:val="20"/>
              </w:rPr>
            </w:pPr>
            <w:r w:rsidRPr="00CF75FD">
              <w:rPr>
                <w:b/>
                <w:bCs/>
                <w:sz w:val="20"/>
                <w:szCs w:val="20"/>
              </w:rPr>
              <w:t>Přínosy</w:t>
            </w:r>
          </w:p>
        </w:tc>
        <w:tc>
          <w:tcPr>
            <w:tcW w:w="1250" w:type="dxa"/>
            <w:vAlign w:val="center"/>
          </w:tcPr>
          <w:p w:rsidR="001C24F5" w:rsidRPr="00CF75FD" w:rsidP="001C24F5" w14:paraId="53BF78BD" w14:textId="77777777">
            <w:pPr>
              <w:jc w:val="center"/>
              <w:rPr>
                <w:sz w:val="20"/>
                <w:szCs w:val="20"/>
              </w:rPr>
            </w:pPr>
            <w:r w:rsidRPr="00CF75FD">
              <w:rPr>
                <w:b/>
                <w:bCs/>
                <w:sz w:val="20"/>
                <w:szCs w:val="20"/>
              </w:rPr>
              <w:t>Hodnocení</w:t>
            </w:r>
          </w:p>
        </w:tc>
        <w:tc>
          <w:tcPr>
            <w:tcW w:w="2975" w:type="dxa"/>
            <w:vAlign w:val="center"/>
          </w:tcPr>
          <w:p w:rsidR="001C24F5" w:rsidRPr="00CF75FD" w:rsidP="001C24F5" w14:paraId="7387DC79" w14:textId="77777777">
            <w:pPr>
              <w:jc w:val="center"/>
              <w:rPr>
                <w:sz w:val="20"/>
                <w:szCs w:val="20"/>
              </w:rPr>
            </w:pPr>
            <w:r w:rsidRPr="00CF75FD">
              <w:rPr>
                <w:b/>
                <w:bCs/>
                <w:sz w:val="20"/>
                <w:szCs w:val="20"/>
              </w:rPr>
              <w:t>Náklady</w:t>
            </w:r>
          </w:p>
        </w:tc>
        <w:tc>
          <w:tcPr>
            <w:tcW w:w="1250" w:type="dxa"/>
            <w:vAlign w:val="center"/>
          </w:tcPr>
          <w:p w:rsidR="001C24F5" w:rsidRPr="00CF75FD" w:rsidP="001C24F5" w14:paraId="3E220ACA" w14:textId="77777777">
            <w:pPr>
              <w:jc w:val="center"/>
              <w:rPr>
                <w:sz w:val="20"/>
                <w:szCs w:val="20"/>
              </w:rPr>
            </w:pPr>
            <w:r w:rsidRPr="00CF75FD">
              <w:rPr>
                <w:b/>
                <w:bCs/>
                <w:sz w:val="20"/>
                <w:szCs w:val="20"/>
              </w:rPr>
              <w:t>Hodnocení</w:t>
            </w:r>
          </w:p>
        </w:tc>
      </w:tr>
      <w:tr w14:paraId="1BC721F9" w14:textId="77777777" w:rsidTr="00442C7B">
        <w:tblPrEx>
          <w:tblW w:w="0" w:type="auto"/>
          <w:tblLook w:val="04A0"/>
        </w:tblPrEx>
        <w:tc>
          <w:tcPr>
            <w:tcW w:w="1185" w:type="dxa"/>
            <w:vMerge w:val="restart"/>
            <w:vAlign w:val="center"/>
          </w:tcPr>
          <w:p w:rsidR="001C24F5" w:rsidRPr="00CF75FD" w:rsidP="001C24F5" w14:paraId="3E4212BA" w14:textId="77777777">
            <w:pPr>
              <w:rPr>
                <w:b/>
                <w:sz w:val="20"/>
                <w:szCs w:val="20"/>
              </w:rPr>
            </w:pPr>
            <w:r w:rsidRPr="00CF75FD">
              <w:rPr>
                <w:b/>
                <w:sz w:val="20"/>
                <w:szCs w:val="20"/>
              </w:rPr>
              <w:t>Varianta 0</w:t>
            </w:r>
          </w:p>
        </w:tc>
        <w:tc>
          <w:tcPr>
            <w:tcW w:w="7877" w:type="dxa"/>
            <w:gridSpan w:val="4"/>
            <w:vAlign w:val="center"/>
          </w:tcPr>
          <w:p w:rsidR="001C24F5" w:rsidRPr="00CF75FD" w:rsidP="001C24F5" w14:paraId="07D54510" w14:textId="77777777">
            <w:pPr>
              <w:jc w:val="center"/>
              <w:rPr>
                <w:sz w:val="20"/>
                <w:szCs w:val="20"/>
              </w:rPr>
            </w:pPr>
            <w:r w:rsidRPr="00CF75FD">
              <w:rPr>
                <w:b/>
                <w:bCs/>
                <w:sz w:val="20"/>
                <w:szCs w:val="20"/>
              </w:rPr>
              <w:t>Státní rozpočet a ostatní veřejné rozpočty</w:t>
            </w:r>
          </w:p>
        </w:tc>
      </w:tr>
      <w:tr w14:paraId="4714F867" w14:textId="77777777" w:rsidTr="00442C7B">
        <w:tblPrEx>
          <w:tblW w:w="0" w:type="auto"/>
          <w:tblLook w:val="04A0"/>
        </w:tblPrEx>
        <w:tc>
          <w:tcPr>
            <w:tcW w:w="1185" w:type="dxa"/>
            <w:vMerge/>
            <w:vAlign w:val="center"/>
          </w:tcPr>
          <w:p w:rsidR="001C24F5" w:rsidRPr="00CF75FD" w:rsidP="001C24F5" w14:paraId="416F18E9" w14:textId="77777777">
            <w:pPr>
              <w:rPr>
                <w:sz w:val="20"/>
                <w:szCs w:val="20"/>
              </w:rPr>
            </w:pPr>
          </w:p>
        </w:tc>
        <w:tc>
          <w:tcPr>
            <w:tcW w:w="2402" w:type="dxa"/>
            <w:vAlign w:val="center"/>
          </w:tcPr>
          <w:p w:rsidR="001C24F5" w:rsidRPr="00CF75FD" w:rsidP="001C24F5" w14:paraId="5E1B791C" w14:textId="77777777">
            <w:pPr>
              <w:jc w:val="center"/>
              <w:rPr>
                <w:sz w:val="20"/>
                <w:szCs w:val="20"/>
              </w:rPr>
            </w:pPr>
            <w:r w:rsidRPr="00CF75FD">
              <w:rPr>
                <w:sz w:val="20"/>
                <w:szCs w:val="20"/>
              </w:rPr>
              <w:t>-</w:t>
            </w:r>
          </w:p>
        </w:tc>
        <w:tc>
          <w:tcPr>
            <w:tcW w:w="1250" w:type="dxa"/>
            <w:vAlign w:val="center"/>
          </w:tcPr>
          <w:p w:rsidR="001C24F5" w:rsidRPr="00CF75FD" w:rsidP="001C24F5" w14:paraId="5F021889" w14:textId="77777777">
            <w:pPr>
              <w:jc w:val="center"/>
              <w:rPr>
                <w:sz w:val="20"/>
                <w:szCs w:val="20"/>
              </w:rPr>
            </w:pPr>
            <w:r w:rsidRPr="00CF75FD">
              <w:rPr>
                <w:sz w:val="20"/>
                <w:szCs w:val="20"/>
              </w:rPr>
              <w:t>-</w:t>
            </w:r>
          </w:p>
        </w:tc>
        <w:tc>
          <w:tcPr>
            <w:tcW w:w="2975" w:type="dxa"/>
            <w:vAlign w:val="center"/>
          </w:tcPr>
          <w:p w:rsidR="001C24F5" w:rsidRPr="00CF75FD" w:rsidP="001C24F5" w14:paraId="6E743927" w14:textId="77777777">
            <w:pPr>
              <w:jc w:val="center"/>
              <w:rPr>
                <w:sz w:val="20"/>
                <w:szCs w:val="20"/>
              </w:rPr>
            </w:pPr>
            <w:r>
              <w:rPr>
                <w:sz w:val="20"/>
                <w:szCs w:val="20"/>
              </w:rPr>
              <w:t xml:space="preserve">Obtížná </w:t>
            </w:r>
            <w:r w:rsidRPr="00CF75FD">
              <w:rPr>
                <w:sz w:val="20"/>
                <w:szCs w:val="20"/>
              </w:rPr>
              <w:t>kontrol</w:t>
            </w:r>
            <w:r>
              <w:rPr>
                <w:sz w:val="20"/>
                <w:szCs w:val="20"/>
              </w:rPr>
              <w:t>ovatelnost splnění podmínek nastavení</w:t>
            </w:r>
            <w:r w:rsidRPr="00CF75FD">
              <w:rPr>
                <w:sz w:val="20"/>
                <w:szCs w:val="20"/>
              </w:rPr>
              <w:t xml:space="preserve"> hustoty sítě míst ZO</w:t>
            </w:r>
          </w:p>
        </w:tc>
        <w:tc>
          <w:tcPr>
            <w:tcW w:w="1250" w:type="dxa"/>
            <w:vAlign w:val="center"/>
          </w:tcPr>
          <w:p w:rsidR="001C24F5" w:rsidRPr="00CF75FD" w:rsidP="001C24F5" w14:paraId="7BC170E5" w14:textId="77777777">
            <w:pPr>
              <w:jc w:val="center"/>
              <w:rPr>
                <w:sz w:val="20"/>
                <w:szCs w:val="20"/>
              </w:rPr>
            </w:pPr>
            <w:r w:rsidRPr="00CF75FD">
              <w:rPr>
                <w:sz w:val="20"/>
                <w:szCs w:val="20"/>
              </w:rPr>
              <w:t>**</w:t>
            </w:r>
          </w:p>
        </w:tc>
      </w:tr>
      <w:tr w14:paraId="676CFC21" w14:textId="77777777" w:rsidTr="00442C7B">
        <w:tblPrEx>
          <w:tblW w:w="0" w:type="auto"/>
          <w:tblLook w:val="04A0"/>
        </w:tblPrEx>
        <w:tc>
          <w:tcPr>
            <w:tcW w:w="1185" w:type="dxa"/>
            <w:vMerge/>
            <w:vAlign w:val="center"/>
          </w:tcPr>
          <w:p w:rsidR="001C24F5" w:rsidRPr="00CF75FD" w:rsidP="001C24F5" w14:paraId="0A8A60F6" w14:textId="77777777">
            <w:pPr>
              <w:rPr>
                <w:sz w:val="20"/>
                <w:szCs w:val="20"/>
              </w:rPr>
            </w:pPr>
          </w:p>
        </w:tc>
        <w:tc>
          <w:tcPr>
            <w:tcW w:w="7877" w:type="dxa"/>
            <w:gridSpan w:val="4"/>
            <w:vAlign w:val="center"/>
          </w:tcPr>
          <w:p w:rsidR="001C24F5" w:rsidRPr="00CF75FD" w:rsidP="001C24F5" w14:paraId="79B6732A" w14:textId="77777777">
            <w:pPr>
              <w:jc w:val="center"/>
              <w:rPr>
                <w:sz w:val="20"/>
                <w:szCs w:val="20"/>
              </w:rPr>
            </w:pPr>
            <w:r w:rsidRPr="00CF75FD">
              <w:rPr>
                <w:b/>
                <w:bCs/>
                <w:sz w:val="20"/>
                <w:szCs w:val="20"/>
              </w:rPr>
              <w:t>Podnikatelské subjekty</w:t>
            </w:r>
          </w:p>
        </w:tc>
      </w:tr>
      <w:tr w14:paraId="06064AA7" w14:textId="77777777" w:rsidTr="00442C7B">
        <w:tblPrEx>
          <w:tblW w:w="0" w:type="auto"/>
          <w:tblLook w:val="04A0"/>
        </w:tblPrEx>
        <w:trPr>
          <w:trHeight w:val="723"/>
        </w:trPr>
        <w:tc>
          <w:tcPr>
            <w:tcW w:w="1185" w:type="dxa"/>
            <w:vMerge/>
            <w:vAlign w:val="center"/>
          </w:tcPr>
          <w:p w:rsidR="001C24F5" w:rsidRPr="00CF75FD" w:rsidP="001C24F5" w14:paraId="5B117127" w14:textId="77777777">
            <w:pPr>
              <w:rPr>
                <w:sz w:val="20"/>
                <w:szCs w:val="20"/>
              </w:rPr>
            </w:pPr>
          </w:p>
        </w:tc>
        <w:tc>
          <w:tcPr>
            <w:tcW w:w="2402" w:type="dxa"/>
            <w:vAlign w:val="center"/>
          </w:tcPr>
          <w:p w:rsidR="001C24F5" w:rsidRPr="00CF75FD" w:rsidP="001C24F5" w14:paraId="472EC5FA" w14:textId="77777777">
            <w:pPr>
              <w:jc w:val="center"/>
              <w:rPr>
                <w:sz w:val="20"/>
                <w:szCs w:val="20"/>
              </w:rPr>
            </w:pPr>
            <w:r>
              <w:rPr>
                <w:sz w:val="20"/>
                <w:szCs w:val="20"/>
              </w:rPr>
              <w:t xml:space="preserve">Ekonomická ziskovost recyklace automobilových BA </w:t>
            </w:r>
          </w:p>
        </w:tc>
        <w:tc>
          <w:tcPr>
            <w:tcW w:w="1250" w:type="dxa"/>
            <w:vAlign w:val="center"/>
          </w:tcPr>
          <w:p w:rsidR="001C24F5" w:rsidRPr="00CF75FD" w:rsidP="001C24F5" w14:paraId="686DD55E" w14:textId="77777777">
            <w:pPr>
              <w:jc w:val="center"/>
              <w:rPr>
                <w:sz w:val="20"/>
                <w:szCs w:val="20"/>
              </w:rPr>
            </w:pPr>
            <w:r>
              <w:rPr>
                <w:sz w:val="20"/>
                <w:szCs w:val="20"/>
              </w:rPr>
              <w:t>***</w:t>
            </w:r>
          </w:p>
        </w:tc>
        <w:tc>
          <w:tcPr>
            <w:tcW w:w="2975" w:type="dxa"/>
            <w:vAlign w:val="center"/>
          </w:tcPr>
          <w:p w:rsidR="001C24F5" w:rsidRPr="00CF75FD" w:rsidP="001C24F5" w14:paraId="589F7746" w14:textId="77777777">
            <w:pPr>
              <w:jc w:val="center"/>
              <w:rPr>
                <w:sz w:val="20"/>
                <w:szCs w:val="20"/>
              </w:rPr>
            </w:pPr>
            <w:r w:rsidRPr="00CF75FD">
              <w:rPr>
                <w:sz w:val="20"/>
                <w:szCs w:val="20"/>
              </w:rPr>
              <w:t>-</w:t>
            </w:r>
          </w:p>
        </w:tc>
        <w:tc>
          <w:tcPr>
            <w:tcW w:w="1250" w:type="dxa"/>
            <w:vAlign w:val="center"/>
          </w:tcPr>
          <w:p w:rsidR="001C24F5" w:rsidRPr="00CF75FD" w:rsidP="001C24F5" w14:paraId="78AFA97E" w14:textId="77777777">
            <w:pPr>
              <w:jc w:val="center"/>
              <w:rPr>
                <w:sz w:val="20"/>
                <w:szCs w:val="20"/>
              </w:rPr>
            </w:pPr>
            <w:r w:rsidRPr="00CF75FD">
              <w:rPr>
                <w:sz w:val="20"/>
                <w:szCs w:val="20"/>
              </w:rPr>
              <w:t>-</w:t>
            </w:r>
          </w:p>
        </w:tc>
      </w:tr>
      <w:tr w14:paraId="3569486B" w14:textId="77777777" w:rsidTr="00442C7B">
        <w:tblPrEx>
          <w:tblW w:w="0" w:type="auto"/>
          <w:tblLook w:val="04A0"/>
        </w:tblPrEx>
        <w:tc>
          <w:tcPr>
            <w:tcW w:w="1185" w:type="dxa"/>
            <w:vMerge/>
            <w:vAlign w:val="center"/>
          </w:tcPr>
          <w:p w:rsidR="001C24F5" w:rsidRPr="00CF75FD" w:rsidP="001C24F5" w14:paraId="3A6A9028" w14:textId="77777777">
            <w:pPr>
              <w:rPr>
                <w:sz w:val="20"/>
                <w:szCs w:val="20"/>
              </w:rPr>
            </w:pPr>
          </w:p>
        </w:tc>
        <w:tc>
          <w:tcPr>
            <w:tcW w:w="7877" w:type="dxa"/>
            <w:gridSpan w:val="4"/>
            <w:vAlign w:val="center"/>
          </w:tcPr>
          <w:p w:rsidR="001C24F5" w:rsidRPr="00CF75FD" w:rsidP="001C24F5" w14:paraId="25291DCF" w14:textId="77777777">
            <w:pPr>
              <w:jc w:val="center"/>
              <w:rPr>
                <w:sz w:val="20"/>
                <w:szCs w:val="20"/>
              </w:rPr>
            </w:pPr>
            <w:r w:rsidRPr="00CF75FD">
              <w:rPr>
                <w:b/>
                <w:bCs/>
                <w:sz w:val="20"/>
                <w:szCs w:val="20"/>
              </w:rPr>
              <w:t>Územní samosprávné celky (obce, kraje)</w:t>
            </w:r>
          </w:p>
        </w:tc>
      </w:tr>
      <w:tr w14:paraId="28A3A70C" w14:textId="77777777" w:rsidTr="00442C7B">
        <w:tblPrEx>
          <w:tblW w:w="0" w:type="auto"/>
          <w:tblLook w:val="04A0"/>
        </w:tblPrEx>
        <w:trPr>
          <w:trHeight w:val="312"/>
        </w:trPr>
        <w:tc>
          <w:tcPr>
            <w:tcW w:w="1185" w:type="dxa"/>
            <w:vMerge/>
            <w:vAlign w:val="center"/>
          </w:tcPr>
          <w:p w:rsidR="001C24F5" w:rsidRPr="00CF75FD" w:rsidP="001C24F5" w14:paraId="230C0FE2" w14:textId="77777777">
            <w:pPr>
              <w:rPr>
                <w:sz w:val="20"/>
                <w:szCs w:val="20"/>
              </w:rPr>
            </w:pPr>
          </w:p>
        </w:tc>
        <w:tc>
          <w:tcPr>
            <w:tcW w:w="2402" w:type="dxa"/>
            <w:vAlign w:val="center"/>
          </w:tcPr>
          <w:p w:rsidR="001C24F5" w:rsidRPr="00CF75FD" w:rsidP="001C24F5" w14:paraId="20CA10DE" w14:textId="77777777">
            <w:pPr>
              <w:jc w:val="center"/>
              <w:rPr>
                <w:sz w:val="20"/>
                <w:szCs w:val="20"/>
              </w:rPr>
            </w:pPr>
            <w:r>
              <w:rPr>
                <w:sz w:val="20"/>
                <w:szCs w:val="20"/>
              </w:rPr>
              <w:t>-</w:t>
            </w:r>
          </w:p>
        </w:tc>
        <w:tc>
          <w:tcPr>
            <w:tcW w:w="1250" w:type="dxa"/>
            <w:vAlign w:val="center"/>
          </w:tcPr>
          <w:p w:rsidR="001C24F5" w:rsidRPr="00CF75FD" w:rsidP="001C24F5" w14:paraId="02F5DE3B" w14:textId="77777777">
            <w:pPr>
              <w:jc w:val="center"/>
              <w:rPr>
                <w:sz w:val="20"/>
                <w:szCs w:val="20"/>
              </w:rPr>
            </w:pPr>
            <w:r>
              <w:rPr>
                <w:sz w:val="20"/>
                <w:szCs w:val="20"/>
              </w:rPr>
              <w:t>-</w:t>
            </w:r>
          </w:p>
        </w:tc>
        <w:tc>
          <w:tcPr>
            <w:tcW w:w="2975" w:type="dxa"/>
            <w:vAlign w:val="center"/>
          </w:tcPr>
          <w:p w:rsidR="001C24F5" w:rsidRPr="00CF75FD" w:rsidP="001C24F5" w14:paraId="2D5B3F26" w14:textId="77777777">
            <w:pPr>
              <w:jc w:val="center"/>
              <w:rPr>
                <w:sz w:val="20"/>
                <w:szCs w:val="20"/>
              </w:rPr>
            </w:pPr>
            <w:r>
              <w:rPr>
                <w:sz w:val="20"/>
                <w:szCs w:val="20"/>
              </w:rPr>
              <w:t>-</w:t>
            </w:r>
          </w:p>
        </w:tc>
        <w:tc>
          <w:tcPr>
            <w:tcW w:w="1250" w:type="dxa"/>
            <w:vAlign w:val="center"/>
          </w:tcPr>
          <w:p w:rsidR="001C24F5" w:rsidRPr="00CF75FD" w:rsidP="001C24F5" w14:paraId="209253C0" w14:textId="77777777">
            <w:pPr>
              <w:jc w:val="center"/>
              <w:rPr>
                <w:sz w:val="20"/>
                <w:szCs w:val="20"/>
              </w:rPr>
            </w:pPr>
            <w:r>
              <w:rPr>
                <w:sz w:val="20"/>
                <w:szCs w:val="20"/>
              </w:rPr>
              <w:t>-</w:t>
            </w:r>
          </w:p>
        </w:tc>
      </w:tr>
      <w:tr w14:paraId="6A7B2F2F" w14:textId="77777777" w:rsidTr="00442C7B">
        <w:tblPrEx>
          <w:tblW w:w="0" w:type="auto"/>
          <w:tblLook w:val="04A0"/>
        </w:tblPrEx>
        <w:tc>
          <w:tcPr>
            <w:tcW w:w="1185" w:type="dxa"/>
            <w:vMerge/>
            <w:vAlign w:val="center"/>
          </w:tcPr>
          <w:p w:rsidR="001C24F5" w:rsidRPr="00CF75FD" w:rsidP="001C24F5" w14:paraId="294C36FA" w14:textId="77777777">
            <w:pPr>
              <w:rPr>
                <w:sz w:val="20"/>
                <w:szCs w:val="20"/>
              </w:rPr>
            </w:pPr>
          </w:p>
        </w:tc>
        <w:tc>
          <w:tcPr>
            <w:tcW w:w="7877" w:type="dxa"/>
            <w:gridSpan w:val="4"/>
            <w:vAlign w:val="center"/>
          </w:tcPr>
          <w:p w:rsidR="001C24F5" w:rsidRPr="00CF75FD" w:rsidP="001C24F5" w14:paraId="6BE5D076" w14:textId="77777777">
            <w:pPr>
              <w:jc w:val="center"/>
              <w:rPr>
                <w:b/>
                <w:sz w:val="20"/>
                <w:szCs w:val="20"/>
              </w:rPr>
            </w:pPr>
            <w:r w:rsidRPr="00CF75FD">
              <w:rPr>
                <w:b/>
                <w:sz w:val="20"/>
                <w:szCs w:val="20"/>
              </w:rPr>
              <w:t>Sociální dopady</w:t>
            </w:r>
          </w:p>
        </w:tc>
      </w:tr>
      <w:tr w14:paraId="2CABF32B" w14:textId="77777777" w:rsidTr="00442C7B">
        <w:tblPrEx>
          <w:tblW w:w="0" w:type="auto"/>
          <w:tblLook w:val="04A0"/>
        </w:tblPrEx>
        <w:trPr>
          <w:trHeight w:val="679"/>
        </w:trPr>
        <w:tc>
          <w:tcPr>
            <w:tcW w:w="1185" w:type="dxa"/>
            <w:vMerge/>
            <w:vAlign w:val="center"/>
          </w:tcPr>
          <w:p w:rsidR="001C24F5" w:rsidRPr="00CF75FD" w:rsidP="001C24F5" w14:paraId="12CE02B5" w14:textId="77777777">
            <w:pPr>
              <w:rPr>
                <w:sz w:val="20"/>
                <w:szCs w:val="20"/>
              </w:rPr>
            </w:pPr>
          </w:p>
        </w:tc>
        <w:tc>
          <w:tcPr>
            <w:tcW w:w="2402" w:type="dxa"/>
            <w:vAlign w:val="center"/>
          </w:tcPr>
          <w:p w:rsidR="001C24F5" w:rsidRPr="00CF75FD" w:rsidP="001C24F5" w14:paraId="044A8B10" w14:textId="77777777">
            <w:pPr>
              <w:jc w:val="center"/>
              <w:rPr>
                <w:sz w:val="20"/>
                <w:szCs w:val="20"/>
              </w:rPr>
            </w:pPr>
            <w:r>
              <w:rPr>
                <w:sz w:val="20"/>
                <w:szCs w:val="20"/>
              </w:rPr>
              <w:t>Možnost získání finanční odměny za odevzdání staré automobilové BA</w:t>
            </w:r>
          </w:p>
        </w:tc>
        <w:tc>
          <w:tcPr>
            <w:tcW w:w="1250" w:type="dxa"/>
            <w:vAlign w:val="center"/>
          </w:tcPr>
          <w:p w:rsidR="001C24F5" w:rsidRPr="00CF75FD" w:rsidP="001C24F5" w14:paraId="3AC585DB" w14:textId="77777777">
            <w:pPr>
              <w:jc w:val="center"/>
              <w:rPr>
                <w:sz w:val="20"/>
                <w:szCs w:val="20"/>
              </w:rPr>
            </w:pPr>
            <w:r>
              <w:rPr>
                <w:sz w:val="20"/>
                <w:szCs w:val="20"/>
              </w:rPr>
              <w:t>cca 200-250 Kč/ks</w:t>
            </w:r>
          </w:p>
        </w:tc>
        <w:tc>
          <w:tcPr>
            <w:tcW w:w="2975" w:type="dxa"/>
            <w:vAlign w:val="center"/>
          </w:tcPr>
          <w:p w:rsidR="001C24F5" w:rsidRPr="00CF75FD" w:rsidP="001C24F5" w14:paraId="46AD005E" w14:textId="77777777">
            <w:pPr>
              <w:jc w:val="center"/>
              <w:rPr>
                <w:sz w:val="20"/>
                <w:szCs w:val="20"/>
              </w:rPr>
            </w:pPr>
            <w:r>
              <w:rPr>
                <w:sz w:val="20"/>
                <w:szCs w:val="20"/>
              </w:rPr>
              <w:t>-</w:t>
            </w:r>
          </w:p>
        </w:tc>
        <w:tc>
          <w:tcPr>
            <w:tcW w:w="1250" w:type="dxa"/>
            <w:vAlign w:val="center"/>
          </w:tcPr>
          <w:p w:rsidR="001C24F5" w:rsidRPr="00CF75FD" w:rsidP="001C24F5" w14:paraId="75F3FFDF" w14:textId="77777777">
            <w:pPr>
              <w:jc w:val="center"/>
              <w:rPr>
                <w:sz w:val="20"/>
                <w:szCs w:val="20"/>
              </w:rPr>
            </w:pPr>
            <w:r>
              <w:rPr>
                <w:sz w:val="20"/>
                <w:szCs w:val="20"/>
              </w:rPr>
              <w:t>-</w:t>
            </w:r>
          </w:p>
        </w:tc>
      </w:tr>
      <w:tr w14:paraId="21E93542" w14:textId="77777777" w:rsidTr="00442C7B">
        <w:tblPrEx>
          <w:tblW w:w="0" w:type="auto"/>
          <w:tblLook w:val="04A0"/>
        </w:tblPrEx>
        <w:tc>
          <w:tcPr>
            <w:tcW w:w="1185" w:type="dxa"/>
            <w:vMerge/>
            <w:vAlign w:val="center"/>
          </w:tcPr>
          <w:p w:rsidR="001C24F5" w:rsidRPr="00CF75FD" w:rsidP="001C24F5" w14:paraId="5B9C747D" w14:textId="77777777">
            <w:pPr>
              <w:rPr>
                <w:sz w:val="20"/>
                <w:szCs w:val="20"/>
              </w:rPr>
            </w:pPr>
          </w:p>
        </w:tc>
        <w:tc>
          <w:tcPr>
            <w:tcW w:w="7877" w:type="dxa"/>
            <w:gridSpan w:val="4"/>
            <w:vAlign w:val="center"/>
          </w:tcPr>
          <w:p w:rsidR="001C24F5" w:rsidRPr="00CF75FD" w:rsidP="001C24F5" w14:paraId="1C2DBE46" w14:textId="77777777">
            <w:pPr>
              <w:jc w:val="center"/>
              <w:rPr>
                <w:b/>
                <w:sz w:val="20"/>
                <w:szCs w:val="20"/>
              </w:rPr>
            </w:pPr>
            <w:r w:rsidRPr="00CF75FD">
              <w:rPr>
                <w:b/>
                <w:sz w:val="20"/>
                <w:szCs w:val="20"/>
              </w:rPr>
              <w:t>Životní prostředí</w:t>
            </w:r>
          </w:p>
        </w:tc>
      </w:tr>
      <w:tr w14:paraId="4AF56181" w14:textId="77777777" w:rsidTr="00442C7B">
        <w:tblPrEx>
          <w:tblW w:w="0" w:type="auto"/>
          <w:tblLook w:val="04A0"/>
        </w:tblPrEx>
        <w:tc>
          <w:tcPr>
            <w:tcW w:w="1185" w:type="dxa"/>
            <w:vMerge/>
            <w:vAlign w:val="center"/>
          </w:tcPr>
          <w:p w:rsidR="001C24F5" w:rsidRPr="00CF75FD" w:rsidP="001C24F5" w14:paraId="0AACF6CD" w14:textId="77777777">
            <w:pPr>
              <w:rPr>
                <w:sz w:val="20"/>
                <w:szCs w:val="20"/>
              </w:rPr>
            </w:pPr>
          </w:p>
        </w:tc>
        <w:tc>
          <w:tcPr>
            <w:tcW w:w="2402" w:type="dxa"/>
            <w:vAlign w:val="center"/>
          </w:tcPr>
          <w:p w:rsidR="001C24F5" w:rsidRPr="00CF75FD" w:rsidP="001C24F5" w14:paraId="2884D770" w14:textId="77777777">
            <w:pPr>
              <w:jc w:val="center"/>
              <w:rPr>
                <w:sz w:val="20"/>
                <w:szCs w:val="20"/>
              </w:rPr>
            </w:pPr>
            <w:r>
              <w:rPr>
                <w:sz w:val="20"/>
                <w:szCs w:val="20"/>
              </w:rPr>
              <w:t>-</w:t>
            </w:r>
          </w:p>
        </w:tc>
        <w:tc>
          <w:tcPr>
            <w:tcW w:w="1250" w:type="dxa"/>
            <w:vAlign w:val="center"/>
          </w:tcPr>
          <w:p w:rsidR="001C24F5" w:rsidRPr="00CF75FD" w:rsidP="001C24F5" w14:paraId="0B49A9AD" w14:textId="77777777">
            <w:pPr>
              <w:jc w:val="center"/>
              <w:rPr>
                <w:sz w:val="20"/>
                <w:szCs w:val="20"/>
              </w:rPr>
            </w:pPr>
            <w:r>
              <w:rPr>
                <w:sz w:val="20"/>
                <w:szCs w:val="20"/>
              </w:rPr>
              <w:t>-</w:t>
            </w:r>
          </w:p>
        </w:tc>
        <w:tc>
          <w:tcPr>
            <w:tcW w:w="2975" w:type="dxa"/>
            <w:vAlign w:val="center"/>
          </w:tcPr>
          <w:p w:rsidR="001C24F5" w:rsidRPr="00CF75FD" w:rsidP="001C24F5" w14:paraId="23FEF7FD" w14:textId="77777777">
            <w:pPr>
              <w:jc w:val="center"/>
              <w:rPr>
                <w:sz w:val="20"/>
                <w:szCs w:val="20"/>
              </w:rPr>
            </w:pPr>
            <w:r>
              <w:rPr>
                <w:sz w:val="20"/>
                <w:szCs w:val="20"/>
              </w:rPr>
              <w:t>Riziko úniku nebezpečných látek z automobilových BA do ŽP v případě, že by nebyla vytvořena rovnoměrná síť míst ZO</w:t>
            </w:r>
          </w:p>
        </w:tc>
        <w:tc>
          <w:tcPr>
            <w:tcW w:w="1250" w:type="dxa"/>
            <w:vAlign w:val="center"/>
          </w:tcPr>
          <w:p w:rsidR="001C24F5" w:rsidRPr="00CF75FD" w:rsidP="001C24F5" w14:paraId="077C69D9" w14:textId="77777777">
            <w:pPr>
              <w:jc w:val="center"/>
              <w:rPr>
                <w:sz w:val="20"/>
                <w:szCs w:val="20"/>
              </w:rPr>
            </w:pPr>
            <w:r w:rsidRPr="00CF75FD">
              <w:rPr>
                <w:sz w:val="20"/>
                <w:szCs w:val="20"/>
              </w:rPr>
              <w:t>***</w:t>
            </w:r>
            <w:r>
              <w:rPr>
                <w:sz w:val="20"/>
                <w:szCs w:val="20"/>
              </w:rPr>
              <w:t>*</w:t>
            </w:r>
          </w:p>
        </w:tc>
      </w:tr>
      <w:tr w14:paraId="52AC517F" w14:textId="77777777" w:rsidTr="00442C7B">
        <w:tblPrEx>
          <w:tblW w:w="0" w:type="auto"/>
          <w:tblLook w:val="04A0"/>
        </w:tblPrEx>
        <w:tc>
          <w:tcPr>
            <w:tcW w:w="1185" w:type="dxa"/>
            <w:vMerge w:val="restart"/>
            <w:vAlign w:val="center"/>
          </w:tcPr>
          <w:p w:rsidR="001C24F5" w:rsidRPr="00CF75FD" w:rsidP="001C24F5" w14:paraId="42AA6A21" w14:textId="77777777">
            <w:pPr>
              <w:rPr>
                <w:b/>
                <w:sz w:val="20"/>
                <w:szCs w:val="20"/>
              </w:rPr>
            </w:pPr>
            <w:r w:rsidRPr="00CF75FD">
              <w:rPr>
                <w:b/>
                <w:sz w:val="20"/>
                <w:szCs w:val="20"/>
              </w:rPr>
              <w:t>Varianta 1</w:t>
            </w:r>
          </w:p>
        </w:tc>
        <w:tc>
          <w:tcPr>
            <w:tcW w:w="7877" w:type="dxa"/>
            <w:gridSpan w:val="4"/>
            <w:vAlign w:val="center"/>
          </w:tcPr>
          <w:p w:rsidR="001C24F5" w:rsidRPr="00CF75FD" w:rsidP="001C24F5" w14:paraId="1EB64CC8" w14:textId="77777777">
            <w:pPr>
              <w:jc w:val="center"/>
              <w:rPr>
                <w:sz w:val="20"/>
                <w:szCs w:val="20"/>
              </w:rPr>
            </w:pPr>
            <w:r w:rsidRPr="00CF75FD">
              <w:rPr>
                <w:b/>
                <w:bCs/>
                <w:sz w:val="20"/>
                <w:szCs w:val="20"/>
              </w:rPr>
              <w:t>Státní rozpočet a ostatní veřejné rozpočty</w:t>
            </w:r>
          </w:p>
        </w:tc>
      </w:tr>
      <w:tr w14:paraId="640D86F2" w14:textId="77777777" w:rsidTr="00442C7B">
        <w:tblPrEx>
          <w:tblW w:w="0" w:type="auto"/>
          <w:tblLook w:val="04A0"/>
        </w:tblPrEx>
        <w:tc>
          <w:tcPr>
            <w:tcW w:w="1185" w:type="dxa"/>
            <w:vMerge/>
            <w:vAlign w:val="center"/>
          </w:tcPr>
          <w:p w:rsidR="001C24F5" w:rsidRPr="00CF75FD" w:rsidP="001C24F5" w14:paraId="37BF61DC" w14:textId="77777777">
            <w:pPr>
              <w:rPr>
                <w:sz w:val="20"/>
                <w:szCs w:val="20"/>
              </w:rPr>
            </w:pPr>
          </w:p>
        </w:tc>
        <w:tc>
          <w:tcPr>
            <w:tcW w:w="2402" w:type="dxa"/>
            <w:vAlign w:val="center"/>
          </w:tcPr>
          <w:p w:rsidR="001C24F5" w:rsidRPr="00CF75FD" w:rsidP="001C24F5" w14:paraId="4419FDE7" w14:textId="77777777">
            <w:pPr>
              <w:jc w:val="center"/>
              <w:rPr>
                <w:sz w:val="20"/>
                <w:szCs w:val="20"/>
              </w:rPr>
            </w:pPr>
            <w:r>
              <w:rPr>
                <w:sz w:val="20"/>
                <w:szCs w:val="20"/>
              </w:rPr>
              <w:t xml:space="preserve">Možnost </w:t>
            </w:r>
            <w:r w:rsidRPr="00CF75FD">
              <w:rPr>
                <w:sz w:val="20"/>
                <w:szCs w:val="20"/>
              </w:rPr>
              <w:t>kontrol</w:t>
            </w:r>
            <w:r>
              <w:rPr>
                <w:sz w:val="20"/>
                <w:szCs w:val="20"/>
              </w:rPr>
              <w:t>y splnění podmínek nastavení</w:t>
            </w:r>
            <w:r w:rsidRPr="00CF75FD">
              <w:rPr>
                <w:sz w:val="20"/>
                <w:szCs w:val="20"/>
              </w:rPr>
              <w:t xml:space="preserve"> hustoty sítě míst ZO</w:t>
            </w:r>
          </w:p>
        </w:tc>
        <w:tc>
          <w:tcPr>
            <w:tcW w:w="1250" w:type="dxa"/>
            <w:vAlign w:val="center"/>
          </w:tcPr>
          <w:p w:rsidR="001C24F5" w:rsidRPr="00CF75FD" w:rsidP="001C24F5" w14:paraId="342E5D9C" w14:textId="77777777">
            <w:pPr>
              <w:jc w:val="center"/>
              <w:rPr>
                <w:sz w:val="20"/>
                <w:szCs w:val="20"/>
              </w:rPr>
            </w:pPr>
            <w:r w:rsidRPr="00CF75FD">
              <w:rPr>
                <w:sz w:val="20"/>
                <w:szCs w:val="20"/>
              </w:rPr>
              <w:t>**</w:t>
            </w:r>
          </w:p>
        </w:tc>
        <w:tc>
          <w:tcPr>
            <w:tcW w:w="2975" w:type="dxa"/>
            <w:vAlign w:val="center"/>
          </w:tcPr>
          <w:p w:rsidR="001C24F5" w:rsidRPr="00CF75FD" w:rsidP="001C24F5" w14:paraId="71CA0994" w14:textId="77777777">
            <w:pPr>
              <w:jc w:val="center"/>
              <w:rPr>
                <w:sz w:val="20"/>
                <w:szCs w:val="20"/>
              </w:rPr>
            </w:pPr>
            <w:r>
              <w:rPr>
                <w:sz w:val="20"/>
                <w:szCs w:val="20"/>
              </w:rPr>
              <w:t>-</w:t>
            </w:r>
          </w:p>
        </w:tc>
        <w:tc>
          <w:tcPr>
            <w:tcW w:w="1250" w:type="dxa"/>
            <w:vAlign w:val="center"/>
          </w:tcPr>
          <w:p w:rsidR="001C24F5" w:rsidRPr="00CF75FD" w:rsidP="001C24F5" w14:paraId="6EDE5FC9" w14:textId="77777777">
            <w:pPr>
              <w:jc w:val="center"/>
              <w:rPr>
                <w:sz w:val="20"/>
                <w:szCs w:val="20"/>
              </w:rPr>
            </w:pPr>
            <w:r>
              <w:rPr>
                <w:sz w:val="20"/>
                <w:szCs w:val="20"/>
              </w:rPr>
              <w:t>-</w:t>
            </w:r>
          </w:p>
        </w:tc>
      </w:tr>
      <w:tr w14:paraId="0FED4EF3" w14:textId="77777777" w:rsidTr="00442C7B">
        <w:tblPrEx>
          <w:tblW w:w="0" w:type="auto"/>
          <w:tblLook w:val="04A0"/>
        </w:tblPrEx>
        <w:tc>
          <w:tcPr>
            <w:tcW w:w="1185" w:type="dxa"/>
            <w:vMerge/>
            <w:vAlign w:val="center"/>
          </w:tcPr>
          <w:p w:rsidR="001C24F5" w:rsidRPr="00CF75FD" w:rsidP="001C24F5" w14:paraId="75FEE587" w14:textId="77777777">
            <w:pPr>
              <w:rPr>
                <w:sz w:val="20"/>
                <w:szCs w:val="20"/>
              </w:rPr>
            </w:pPr>
          </w:p>
        </w:tc>
        <w:tc>
          <w:tcPr>
            <w:tcW w:w="7877" w:type="dxa"/>
            <w:gridSpan w:val="4"/>
            <w:vAlign w:val="center"/>
          </w:tcPr>
          <w:p w:rsidR="001C24F5" w:rsidRPr="00CF75FD" w:rsidP="001C24F5" w14:paraId="4EB8504C" w14:textId="77777777">
            <w:pPr>
              <w:jc w:val="center"/>
              <w:rPr>
                <w:sz w:val="20"/>
                <w:szCs w:val="20"/>
              </w:rPr>
            </w:pPr>
            <w:r w:rsidRPr="00CF75FD">
              <w:rPr>
                <w:b/>
                <w:bCs/>
                <w:sz w:val="20"/>
                <w:szCs w:val="20"/>
              </w:rPr>
              <w:t>Podnikatelské subjekty</w:t>
            </w:r>
          </w:p>
        </w:tc>
      </w:tr>
      <w:tr w14:paraId="074B0B92" w14:textId="77777777" w:rsidTr="00442C7B">
        <w:tblPrEx>
          <w:tblW w:w="0" w:type="auto"/>
          <w:tblLook w:val="04A0"/>
        </w:tblPrEx>
        <w:trPr>
          <w:trHeight w:val="350"/>
        </w:trPr>
        <w:tc>
          <w:tcPr>
            <w:tcW w:w="1185" w:type="dxa"/>
            <w:vMerge/>
            <w:vAlign w:val="center"/>
          </w:tcPr>
          <w:p w:rsidR="001C24F5" w:rsidRPr="00CF75FD" w:rsidP="001C24F5" w14:paraId="1DFA83DD" w14:textId="77777777">
            <w:pPr>
              <w:rPr>
                <w:sz w:val="20"/>
                <w:szCs w:val="20"/>
              </w:rPr>
            </w:pPr>
          </w:p>
        </w:tc>
        <w:tc>
          <w:tcPr>
            <w:tcW w:w="2402" w:type="dxa"/>
            <w:vAlign w:val="center"/>
          </w:tcPr>
          <w:p w:rsidR="001C24F5" w:rsidRPr="00CF75FD" w:rsidP="001C24F5" w14:paraId="2EA188FB" w14:textId="77777777">
            <w:pPr>
              <w:jc w:val="center"/>
              <w:rPr>
                <w:sz w:val="20"/>
                <w:szCs w:val="20"/>
              </w:rPr>
            </w:pPr>
            <w:r>
              <w:rPr>
                <w:sz w:val="20"/>
                <w:szCs w:val="20"/>
              </w:rPr>
              <w:t xml:space="preserve">Ekonomická ziskovost recyklace automobilových BA </w:t>
            </w:r>
          </w:p>
        </w:tc>
        <w:tc>
          <w:tcPr>
            <w:tcW w:w="1250" w:type="dxa"/>
            <w:vAlign w:val="center"/>
          </w:tcPr>
          <w:p w:rsidR="001C24F5" w:rsidRPr="00CF75FD" w:rsidP="001C24F5" w14:paraId="0610DAE8" w14:textId="77777777">
            <w:pPr>
              <w:jc w:val="center"/>
              <w:rPr>
                <w:sz w:val="20"/>
                <w:szCs w:val="20"/>
              </w:rPr>
            </w:pPr>
            <w:r>
              <w:rPr>
                <w:sz w:val="20"/>
                <w:szCs w:val="20"/>
              </w:rPr>
              <w:t>***</w:t>
            </w:r>
          </w:p>
        </w:tc>
        <w:tc>
          <w:tcPr>
            <w:tcW w:w="2975" w:type="dxa"/>
            <w:vAlign w:val="center"/>
          </w:tcPr>
          <w:p w:rsidR="001C24F5" w:rsidRPr="00CF75FD" w:rsidP="001C24F5" w14:paraId="4FAAA1F7" w14:textId="77777777">
            <w:pPr>
              <w:jc w:val="center"/>
              <w:rPr>
                <w:sz w:val="20"/>
                <w:szCs w:val="20"/>
              </w:rPr>
            </w:pPr>
            <w:r>
              <w:rPr>
                <w:sz w:val="20"/>
                <w:szCs w:val="20"/>
              </w:rPr>
              <w:t>-</w:t>
            </w:r>
          </w:p>
        </w:tc>
        <w:tc>
          <w:tcPr>
            <w:tcW w:w="1250" w:type="dxa"/>
            <w:vAlign w:val="center"/>
          </w:tcPr>
          <w:p w:rsidR="001C24F5" w:rsidRPr="00CF75FD" w:rsidP="001C24F5" w14:paraId="60145699" w14:textId="77777777">
            <w:pPr>
              <w:jc w:val="center"/>
              <w:rPr>
                <w:sz w:val="20"/>
                <w:szCs w:val="20"/>
              </w:rPr>
            </w:pPr>
            <w:r>
              <w:rPr>
                <w:sz w:val="20"/>
                <w:szCs w:val="20"/>
              </w:rPr>
              <w:t>-</w:t>
            </w:r>
          </w:p>
        </w:tc>
      </w:tr>
      <w:tr w14:paraId="2D566756" w14:textId="77777777" w:rsidTr="00442C7B">
        <w:tblPrEx>
          <w:tblW w:w="0" w:type="auto"/>
          <w:tblLook w:val="04A0"/>
        </w:tblPrEx>
        <w:tc>
          <w:tcPr>
            <w:tcW w:w="1185" w:type="dxa"/>
            <w:vMerge/>
            <w:vAlign w:val="center"/>
          </w:tcPr>
          <w:p w:rsidR="001C24F5" w:rsidRPr="00CF75FD" w:rsidP="001C24F5" w14:paraId="6507874D" w14:textId="77777777">
            <w:pPr>
              <w:rPr>
                <w:sz w:val="20"/>
                <w:szCs w:val="20"/>
              </w:rPr>
            </w:pPr>
          </w:p>
        </w:tc>
        <w:tc>
          <w:tcPr>
            <w:tcW w:w="7877" w:type="dxa"/>
            <w:gridSpan w:val="4"/>
            <w:vAlign w:val="center"/>
          </w:tcPr>
          <w:p w:rsidR="001C24F5" w:rsidRPr="00CF75FD" w:rsidP="001C24F5" w14:paraId="6CDE75B4" w14:textId="77777777">
            <w:pPr>
              <w:jc w:val="center"/>
              <w:rPr>
                <w:sz w:val="20"/>
                <w:szCs w:val="20"/>
              </w:rPr>
            </w:pPr>
            <w:r w:rsidRPr="00CF75FD">
              <w:rPr>
                <w:b/>
                <w:bCs/>
                <w:sz w:val="20"/>
                <w:szCs w:val="20"/>
              </w:rPr>
              <w:t>Územní samosprávné celky (obce, kraje)</w:t>
            </w:r>
          </w:p>
        </w:tc>
      </w:tr>
      <w:tr w14:paraId="32425DFF" w14:textId="77777777" w:rsidTr="00442C7B">
        <w:tblPrEx>
          <w:tblW w:w="0" w:type="auto"/>
          <w:tblLook w:val="04A0"/>
        </w:tblPrEx>
        <w:tc>
          <w:tcPr>
            <w:tcW w:w="1185" w:type="dxa"/>
            <w:vMerge/>
            <w:vAlign w:val="center"/>
          </w:tcPr>
          <w:p w:rsidR="001C24F5" w:rsidRPr="00CF75FD" w:rsidP="001C24F5" w14:paraId="66C72C46" w14:textId="77777777">
            <w:pPr>
              <w:rPr>
                <w:sz w:val="20"/>
                <w:szCs w:val="20"/>
              </w:rPr>
            </w:pPr>
          </w:p>
        </w:tc>
        <w:tc>
          <w:tcPr>
            <w:tcW w:w="2402" w:type="dxa"/>
            <w:vAlign w:val="center"/>
          </w:tcPr>
          <w:p w:rsidR="001C24F5" w:rsidRPr="00CF75FD" w:rsidP="001C24F5" w14:paraId="01FA7810" w14:textId="77777777">
            <w:pPr>
              <w:jc w:val="center"/>
              <w:rPr>
                <w:sz w:val="20"/>
                <w:szCs w:val="20"/>
              </w:rPr>
            </w:pPr>
            <w:r>
              <w:rPr>
                <w:sz w:val="20"/>
                <w:szCs w:val="20"/>
              </w:rPr>
              <w:t>-</w:t>
            </w:r>
          </w:p>
        </w:tc>
        <w:tc>
          <w:tcPr>
            <w:tcW w:w="1250" w:type="dxa"/>
            <w:vAlign w:val="center"/>
          </w:tcPr>
          <w:p w:rsidR="001C24F5" w:rsidRPr="00CF75FD" w:rsidP="001C24F5" w14:paraId="00DCB03E" w14:textId="77777777">
            <w:pPr>
              <w:jc w:val="center"/>
              <w:rPr>
                <w:sz w:val="20"/>
                <w:szCs w:val="20"/>
              </w:rPr>
            </w:pPr>
            <w:r>
              <w:rPr>
                <w:sz w:val="20"/>
                <w:szCs w:val="20"/>
              </w:rPr>
              <w:t>-</w:t>
            </w:r>
          </w:p>
        </w:tc>
        <w:tc>
          <w:tcPr>
            <w:tcW w:w="2975" w:type="dxa"/>
            <w:vAlign w:val="center"/>
          </w:tcPr>
          <w:p w:rsidR="001C24F5" w:rsidRPr="00CF75FD" w:rsidP="001C24F5" w14:paraId="2D61F75E" w14:textId="77777777">
            <w:pPr>
              <w:jc w:val="center"/>
              <w:rPr>
                <w:sz w:val="20"/>
                <w:szCs w:val="20"/>
              </w:rPr>
            </w:pPr>
            <w:r>
              <w:rPr>
                <w:sz w:val="20"/>
                <w:szCs w:val="20"/>
              </w:rPr>
              <w:t>-</w:t>
            </w:r>
          </w:p>
        </w:tc>
        <w:tc>
          <w:tcPr>
            <w:tcW w:w="1250" w:type="dxa"/>
            <w:vAlign w:val="center"/>
          </w:tcPr>
          <w:p w:rsidR="001C24F5" w:rsidRPr="00CF75FD" w:rsidP="001C24F5" w14:paraId="225BAE81" w14:textId="77777777">
            <w:pPr>
              <w:jc w:val="center"/>
              <w:rPr>
                <w:sz w:val="20"/>
                <w:szCs w:val="20"/>
              </w:rPr>
            </w:pPr>
            <w:r>
              <w:rPr>
                <w:sz w:val="20"/>
                <w:szCs w:val="20"/>
              </w:rPr>
              <w:t>-</w:t>
            </w:r>
          </w:p>
        </w:tc>
      </w:tr>
      <w:tr w14:paraId="3953C8EE" w14:textId="77777777" w:rsidTr="00442C7B">
        <w:tblPrEx>
          <w:tblW w:w="0" w:type="auto"/>
          <w:tblLook w:val="04A0"/>
        </w:tblPrEx>
        <w:tc>
          <w:tcPr>
            <w:tcW w:w="1185" w:type="dxa"/>
            <w:vMerge/>
            <w:vAlign w:val="center"/>
          </w:tcPr>
          <w:p w:rsidR="001C24F5" w:rsidRPr="00CF75FD" w:rsidP="001C24F5" w14:paraId="371CDAA3" w14:textId="77777777">
            <w:pPr>
              <w:rPr>
                <w:sz w:val="20"/>
                <w:szCs w:val="20"/>
              </w:rPr>
            </w:pPr>
          </w:p>
        </w:tc>
        <w:tc>
          <w:tcPr>
            <w:tcW w:w="7877" w:type="dxa"/>
            <w:gridSpan w:val="4"/>
            <w:vAlign w:val="center"/>
          </w:tcPr>
          <w:p w:rsidR="001C24F5" w:rsidRPr="00CF75FD" w:rsidP="001C24F5" w14:paraId="68FC7CFC" w14:textId="77777777">
            <w:pPr>
              <w:jc w:val="center"/>
              <w:rPr>
                <w:sz w:val="20"/>
                <w:szCs w:val="20"/>
              </w:rPr>
            </w:pPr>
            <w:r w:rsidRPr="00CF75FD">
              <w:rPr>
                <w:b/>
                <w:sz w:val="20"/>
                <w:szCs w:val="20"/>
              </w:rPr>
              <w:t>Sociální dopady</w:t>
            </w:r>
          </w:p>
        </w:tc>
      </w:tr>
      <w:tr w14:paraId="0C2E03F2" w14:textId="77777777" w:rsidTr="00442C7B">
        <w:tblPrEx>
          <w:tblW w:w="0" w:type="auto"/>
          <w:tblLook w:val="04A0"/>
        </w:tblPrEx>
        <w:tc>
          <w:tcPr>
            <w:tcW w:w="1185" w:type="dxa"/>
            <w:vMerge/>
            <w:vAlign w:val="center"/>
          </w:tcPr>
          <w:p w:rsidR="001C24F5" w:rsidRPr="00CF75FD" w:rsidP="001C24F5" w14:paraId="5E503630" w14:textId="77777777">
            <w:pPr>
              <w:rPr>
                <w:sz w:val="20"/>
                <w:szCs w:val="20"/>
              </w:rPr>
            </w:pPr>
          </w:p>
        </w:tc>
        <w:tc>
          <w:tcPr>
            <w:tcW w:w="2402" w:type="dxa"/>
            <w:vAlign w:val="center"/>
          </w:tcPr>
          <w:p w:rsidR="001C24F5" w:rsidRPr="00CF75FD" w:rsidP="001C24F5" w14:paraId="463BC693" w14:textId="77777777">
            <w:pPr>
              <w:jc w:val="center"/>
              <w:rPr>
                <w:sz w:val="20"/>
                <w:szCs w:val="20"/>
              </w:rPr>
            </w:pPr>
            <w:r>
              <w:rPr>
                <w:sz w:val="20"/>
                <w:szCs w:val="20"/>
              </w:rPr>
              <w:t>Možnost získání finanční odměny za odevzdání staré automobilové BA</w:t>
            </w:r>
          </w:p>
        </w:tc>
        <w:tc>
          <w:tcPr>
            <w:tcW w:w="1250" w:type="dxa"/>
            <w:vAlign w:val="center"/>
          </w:tcPr>
          <w:p w:rsidR="001C24F5" w:rsidRPr="00CF75FD" w:rsidP="001C24F5" w14:paraId="7E3DC7E5" w14:textId="77777777">
            <w:pPr>
              <w:jc w:val="center"/>
              <w:rPr>
                <w:sz w:val="20"/>
                <w:szCs w:val="20"/>
              </w:rPr>
            </w:pPr>
            <w:r>
              <w:rPr>
                <w:sz w:val="20"/>
                <w:szCs w:val="20"/>
              </w:rPr>
              <w:t>cca 200-250 Kč/ks</w:t>
            </w:r>
          </w:p>
        </w:tc>
        <w:tc>
          <w:tcPr>
            <w:tcW w:w="2975" w:type="dxa"/>
            <w:vAlign w:val="center"/>
          </w:tcPr>
          <w:p w:rsidR="001C24F5" w:rsidRPr="00CF75FD" w:rsidP="001C24F5" w14:paraId="232A9BDF" w14:textId="77777777">
            <w:pPr>
              <w:jc w:val="center"/>
              <w:rPr>
                <w:sz w:val="20"/>
                <w:szCs w:val="20"/>
              </w:rPr>
            </w:pPr>
            <w:r>
              <w:rPr>
                <w:sz w:val="20"/>
                <w:szCs w:val="20"/>
              </w:rPr>
              <w:t>-</w:t>
            </w:r>
          </w:p>
        </w:tc>
        <w:tc>
          <w:tcPr>
            <w:tcW w:w="1250" w:type="dxa"/>
            <w:vAlign w:val="center"/>
          </w:tcPr>
          <w:p w:rsidR="001C24F5" w:rsidRPr="00CF75FD" w:rsidP="001C24F5" w14:paraId="34AA8145" w14:textId="77777777">
            <w:pPr>
              <w:jc w:val="center"/>
              <w:rPr>
                <w:sz w:val="20"/>
                <w:szCs w:val="20"/>
              </w:rPr>
            </w:pPr>
            <w:r>
              <w:rPr>
                <w:sz w:val="20"/>
                <w:szCs w:val="20"/>
              </w:rPr>
              <w:t>-</w:t>
            </w:r>
          </w:p>
        </w:tc>
      </w:tr>
      <w:tr w14:paraId="2D83162A" w14:textId="77777777" w:rsidTr="00442C7B">
        <w:tblPrEx>
          <w:tblW w:w="0" w:type="auto"/>
          <w:tblLook w:val="04A0"/>
        </w:tblPrEx>
        <w:tc>
          <w:tcPr>
            <w:tcW w:w="1185" w:type="dxa"/>
            <w:vMerge/>
            <w:vAlign w:val="center"/>
          </w:tcPr>
          <w:p w:rsidR="001C24F5" w:rsidRPr="00CF75FD" w:rsidP="001C24F5" w14:paraId="5C5A0027" w14:textId="77777777">
            <w:pPr>
              <w:rPr>
                <w:sz w:val="20"/>
                <w:szCs w:val="20"/>
              </w:rPr>
            </w:pPr>
          </w:p>
        </w:tc>
        <w:tc>
          <w:tcPr>
            <w:tcW w:w="7877" w:type="dxa"/>
            <w:gridSpan w:val="4"/>
            <w:vAlign w:val="center"/>
          </w:tcPr>
          <w:p w:rsidR="001C24F5" w:rsidRPr="00CF75FD" w:rsidP="001C24F5" w14:paraId="03C4BC93" w14:textId="77777777">
            <w:pPr>
              <w:jc w:val="center"/>
              <w:rPr>
                <w:sz w:val="20"/>
                <w:szCs w:val="20"/>
              </w:rPr>
            </w:pPr>
            <w:r w:rsidRPr="00CF75FD">
              <w:rPr>
                <w:b/>
                <w:sz w:val="20"/>
                <w:szCs w:val="20"/>
              </w:rPr>
              <w:t>Životní prostředí</w:t>
            </w:r>
          </w:p>
        </w:tc>
      </w:tr>
      <w:tr w14:paraId="06A6839A" w14:textId="77777777" w:rsidTr="00442C7B">
        <w:tblPrEx>
          <w:tblW w:w="0" w:type="auto"/>
          <w:tblLook w:val="04A0"/>
        </w:tblPrEx>
        <w:tc>
          <w:tcPr>
            <w:tcW w:w="1185" w:type="dxa"/>
            <w:vMerge/>
            <w:vAlign w:val="center"/>
          </w:tcPr>
          <w:p w:rsidR="001C24F5" w:rsidRPr="00CF75FD" w:rsidP="001C24F5" w14:paraId="18F61D08" w14:textId="77777777">
            <w:pPr>
              <w:rPr>
                <w:sz w:val="20"/>
                <w:szCs w:val="20"/>
              </w:rPr>
            </w:pPr>
          </w:p>
        </w:tc>
        <w:tc>
          <w:tcPr>
            <w:tcW w:w="2402" w:type="dxa"/>
            <w:vAlign w:val="center"/>
          </w:tcPr>
          <w:p w:rsidR="001C24F5" w:rsidRPr="00CF75FD" w:rsidP="001C24F5" w14:paraId="34C4723B" w14:textId="77777777">
            <w:pPr>
              <w:jc w:val="center"/>
              <w:rPr>
                <w:sz w:val="20"/>
                <w:szCs w:val="20"/>
              </w:rPr>
            </w:pPr>
            <w:r w:rsidRPr="006234D8">
              <w:rPr>
                <w:sz w:val="20"/>
                <w:szCs w:val="20"/>
              </w:rPr>
              <w:t xml:space="preserve">Vyšší dostupnost míst ZO – </w:t>
            </w:r>
            <w:r>
              <w:rPr>
                <w:sz w:val="20"/>
                <w:szCs w:val="20"/>
              </w:rPr>
              <w:t>nižší riziko úniku nebezpečných látek z automobilových BA do ŽP</w:t>
            </w:r>
          </w:p>
        </w:tc>
        <w:tc>
          <w:tcPr>
            <w:tcW w:w="1250" w:type="dxa"/>
            <w:vAlign w:val="center"/>
          </w:tcPr>
          <w:p w:rsidR="001C24F5" w:rsidRPr="00CF75FD" w:rsidP="001C24F5" w14:paraId="6F5F0F5B" w14:textId="77777777">
            <w:pPr>
              <w:jc w:val="center"/>
              <w:rPr>
                <w:sz w:val="20"/>
                <w:szCs w:val="20"/>
              </w:rPr>
            </w:pPr>
            <w:r>
              <w:rPr>
                <w:sz w:val="20"/>
                <w:szCs w:val="20"/>
              </w:rPr>
              <w:t>****</w:t>
            </w:r>
          </w:p>
        </w:tc>
        <w:tc>
          <w:tcPr>
            <w:tcW w:w="2975" w:type="dxa"/>
            <w:vAlign w:val="center"/>
          </w:tcPr>
          <w:p w:rsidR="001C24F5" w:rsidRPr="00CF75FD" w:rsidP="001C24F5" w14:paraId="2CDD12AA" w14:textId="77777777">
            <w:pPr>
              <w:jc w:val="center"/>
              <w:rPr>
                <w:sz w:val="20"/>
                <w:szCs w:val="20"/>
              </w:rPr>
            </w:pPr>
            <w:r>
              <w:rPr>
                <w:sz w:val="20"/>
                <w:szCs w:val="20"/>
              </w:rPr>
              <w:t>-</w:t>
            </w:r>
          </w:p>
        </w:tc>
        <w:tc>
          <w:tcPr>
            <w:tcW w:w="1250" w:type="dxa"/>
            <w:vAlign w:val="center"/>
          </w:tcPr>
          <w:p w:rsidR="001C24F5" w:rsidRPr="00CF75FD" w:rsidP="001C24F5" w14:paraId="3821E04C" w14:textId="77777777">
            <w:pPr>
              <w:jc w:val="center"/>
              <w:rPr>
                <w:sz w:val="20"/>
                <w:szCs w:val="20"/>
              </w:rPr>
            </w:pPr>
            <w:r>
              <w:rPr>
                <w:sz w:val="20"/>
                <w:szCs w:val="20"/>
              </w:rPr>
              <w:t>-</w:t>
            </w:r>
          </w:p>
        </w:tc>
      </w:tr>
    </w:tbl>
    <w:p w:rsidR="0039543B" w:rsidP="00BF16B7" w14:paraId="3415B492" w14:textId="77777777">
      <w:pPr>
        <w:spacing w:before="0" w:after="0"/>
      </w:pPr>
    </w:p>
    <w:p w:rsidR="001C24F5" w:rsidRPr="00CF75FD" w:rsidP="001C24F5" w14:paraId="3D136311" w14:textId="77777777">
      <w:pPr>
        <w:pStyle w:val="Heading2"/>
        <w:spacing w:before="360"/>
        <w:ind w:left="578" w:hanging="578"/>
      </w:pPr>
      <w:r w:rsidRPr="00CF75FD">
        <w:t>Návrh řešení</w:t>
      </w:r>
    </w:p>
    <w:p w:rsidR="001C24F5" w:rsidRPr="00CF75FD" w:rsidP="001C24F5" w14:paraId="2BCC5EE4" w14:textId="77777777">
      <w:pPr>
        <w:pStyle w:val="Heading4"/>
        <w:numPr>
          <w:ilvl w:val="0"/>
          <w:numId w:val="0"/>
        </w:numPr>
        <w:spacing w:before="120" w:after="0"/>
        <w:ind w:left="864" w:hanging="864"/>
        <w:rPr>
          <w:b/>
          <w:i/>
          <w:sz w:val="24"/>
          <w:szCs w:val="24"/>
        </w:rPr>
      </w:pPr>
      <w:r w:rsidRPr="00CF75FD">
        <w:rPr>
          <w:b/>
          <w:i/>
          <w:sz w:val="24"/>
          <w:szCs w:val="24"/>
        </w:rPr>
        <w:t>Stanovení pořadí variant a výběr nejvhodnějšího řešení</w:t>
      </w:r>
    </w:p>
    <w:p w:rsidR="001C24F5" w:rsidRPr="00CF75FD" w:rsidP="001C24F5" w14:paraId="5A6110E4" w14:textId="77777777">
      <w:pPr>
        <w:pStyle w:val="ListParagraph"/>
        <w:numPr>
          <w:ilvl w:val="0"/>
          <w:numId w:val="135"/>
        </w:numPr>
        <w:spacing w:after="0" w:line="240" w:lineRule="auto"/>
        <w:contextualSpacing w:val="0"/>
        <w:rPr>
          <w:rFonts w:cs="Arial"/>
          <w:b/>
          <w:bCs/>
        </w:rPr>
      </w:pPr>
      <w:r w:rsidRPr="00CF75FD">
        <w:rPr>
          <w:rFonts w:cs="Arial"/>
          <w:b/>
          <w:bCs/>
        </w:rPr>
        <w:t>Varianta 1</w:t>
      </w:r>
    </w:p>
    <w:p w:rsidR="001C24F5" w:rsidRPr="00CF75FD" w:rsidP="001C24F5" w14:paraId="58D1E048" w14:textId="77777777">
      <w:pPr>
        <w:pStyle w:val="ListParagraph"/>
        <w:numPr>
          <w:ilvl w:val="0"/>
          <w:numId w:val="135"/>
        </w:numPr>
        <w:spacing w:after="0" w:line="240" w:lineRule="auto"/>
        <w:ind w:left="714" w:hanging="357"/>
        <w:contextualSpacing w:val="0"/>
        <w:rPr>
          <w:rFonts w:cs="Arial"/>
        </w:rPr>
      </w:pPr>
      <w:r w:rsidRPr="00CF75FD">
        <w:rPr>
          <w:rFonts w:cs="Arial"/>
        </w:rPr>
        <w:t>Varianta 0</w:t>
      </w:r>
    </w:p>
    <w:p w:rsidR="001C24F5" w:rsidP="001C24F5" w14:paraId="069601C0" w14:textId="77777777">
      <w:pPr>
        <w:pStyle w:val="Normlntun"/>
        <w:keepNext w:val="0"/>
        <w:widowControl w:val="0"/>
        <w:spacing w:line="276" w:lineRule="auto"/>
        <w:rPr>
          <w:rFonts w:cs="Arial"/>
          <w:b w:val="0"/>
        </w:rPr>
      </w:pPr>
      <w:r>
        <w:rPr>
          <w:rFonts w:cs="Arial"/>
          <w:b w:val="0"/>
        </w:rPr>
        <w:t>Doporučujeme přijmout variantu 1, neboť pokud by se staly zpětný odběr a recyklace automobilových BA neziskové, měla by t</w:t>
      </w:r>
      <w:r w:rsidRPr="00CF75FD">
        <w:rPr>
          <w:rFonts w:cs="Arial"/>
          <w:b w:val="0"/>
        </w:rPr>
        <w:t>ato úprav</w:t>
      </w:r>
      <w:r>
        <w:rPr>
          <w:rFonts w:cs="Arial"/>
          <w:b w:val="0"/>
        </w:rPr>
        <w:t xml:space="preserve">a zajistit rovnoměrně rozmístěnou sběrnou síť míst ZO pro tyto BA, </w:t>
      </w:r>
      <w:r w:rsidRPr="00CF75FD">
        <w:rPr>
          <w:rFonts w:cs="Arial"/>
          <w:b w:val="0"/>
        </w:rPr>
        <w:t xml:space="preserve"> a sníž</w:t>
      </w:r>
      <w:r>
        <w:rPr>
          <w:rFonts w:cs="Arial"/>
          <w:b w:val="0"/>
        </w:rPr>
        <w:t>it tak rizika negativních dopadů na životní prostředí při úniku látek obsažených v automobilových BA</w:t>
      </w:r>
      <w:r w:rsidRPr="00CF75FD">
        <w:rPr>
          <w:rFonts w:cs="Arial"/>
          <w:b w:val="0"/>
        </w:rPr>
        <w:t>.</w:t>
      </w:r>
    </w:p>
    <w:p w:rsidR="001C24F5" w:rsidRPr="00CF75FD" w:rsidP="00BF16B7" w14:paraId="43CDE330" w14:textId="77777777">
      <w:pPr>
        <w:pStyle w:val="Normlntun"/>
        <w:keepNext w:val="0"/>
        <w:widowControl w:val="0"/>
        <w:spacing w:before="120" w:line="276" w:lineRule="auto"/>
        <w:rPr>
          <w:rFonts w:cs="Arial"/>
          <w:b w:val="0"/>
        </w:rPr>
      </w:pPr>
    </w:p>
    <w:p w:rsidR="00DF0ADE" w:rsidP="0011664A" w14:paraId="189506EA" w14:textId="67D6FC5D">
      <w:pPr>
        <w:pStyle w:val="Heading1"/>
      </w:pPr>
      <w:bookmarkStart w:id="207" w:name="_Toc14942096"/>
      <w:bookmarkStart w:id="208" w:name="_Toc441759925"/>
      <w:bookmarkEnd w:id="189"/>
      <w:bookmarkEnd w:id="190"/>
      <w:bookmarkStart w:id="209" w:name="_Toc256000022"/>
      <w:r>
        <w:t>L</w:t>
      </w:r>
      <w:r w:rsidRPr="00DF0ADE">
        <w:t>ithiové</w:t>
      </w:r>
      <w:r w:rsidRPr="00ED38E9">
        <w:t xml:space="preserve"> </w:t>
      </w:r>
      <w:r>
        <w:t>b</w:t>
      </w:r>
      <w:r>
        <w:t xml:space="preserve">aterie a </w:t>
      </w:r>
      <w:r w:rsidRPr="00DF0ADE">
        <w:t xml:space="preserve">akumulátory – </w:t>
      </w:r>
      <w:r w:rsidR="00C23A89">
        <w:t>(§ 84 a § 85</w:t>
      </w:r>
      <w:r w:rsidR="00B61F73">
        <w:t>)</w:t>
      </w:r>
      <w:bookmarkEnd w:id="209"/>
      <w:bookmarkEnd w:id="207"/>
    </w:p>
    <w:p w:rsidR="00304909" w:rsidRPr="00ED38E9" w:rsidP="00304909" w14:paraId="28370451" w14:textId="77777777">
      <w:pPr>
        <w:pStyle w:val="Heading2"/>
      </w:pPr>
      <w:r w:rsidRPr="00ED38E9">
        <w:t>Důvod předložení a cíle</w:t>
      </w:r>
    </w:p>
    <w:p w:rsidR="00304909" w:rsidRPr="00ED38E9" w:rsidP="00BF16B7" w14:paraId="61AD71F0" w14:textId="77777777">
      <w:pPr>
        <w:pStyle w:val="Heading3"/>
      </w:pPr>
      <w:r w:rsidRPr="00ED38E9">
        <w:t>Definice problému</w:t>
      </w:r>
    </w:p>
    <w:p w:rsidR="006031E5" w:rsidRPr="00C72298" w:rsidP="006031E5" w14:paraId="55F8EE36" w14:textId="03CC2301">
      <w:pPr>
        <w:spacing w:after="120"/>
        <w:rPr>
          <w:color w:val="000000"/>
        </w:rPr>
      </w:pPr>
      <w:r w:rsidRPr="00C72298">
        <w:rPr>
          <w:color w:val="000000"/>
        </w:rPr>
        <w:t>P</w:t>
      </w:r>
      <w:r>
        <w:rPr>
          <w:color w:val="000000"/>
        </w:rPr>
        <w:t>otřeba p</w:t>
      </w:r>
      <w:r w:rsidRPr="00C72298">
        <w:rPr>
          <w:color w:val="000000"/>
        </w:rPr>
        <w:t>rodlužování ž</w:t>
      </w:r>
      <w:r>
        <w:rPr>
          <w:color w:val="000000"/>
        </w:rPr>
        <w:t>ivotnosti baterií a akumulátorů v rámci různých technologických aplikací a</w:t>
      </w:r>
      <w:r w:rsidRPr="00C72298">
        <w:rPr>
          <w:color w:val="000000"/>
        </w:rPr>
        <w:t xml:space="preserve"> </w:t>
      </w:r>
      <w:r>
        <w:rPr>
          <w:color w:val="000000"/>
        </w:rPr>
        <w:t xml:space="preserve">rychle se </w:t>
      </w:r>
      <w:r w:rsidRPr="00C72298">
        <w:rPr>
          <w:color w:val="000000"/>
        </w:rPr>
        <w:t xml:space="preserve">rozvíjející elektromobilita, jsou </w:t>
      </w:r>
      <w:r>
        <w:rPr>
          <w:color w:val="000000"/>
        </w:rPr>
        <w:t xml:space="preserve">hlavními </w:t>
      </w:r>
      <w:r w:rsidRPr="00C72298">
        <w:rPr>
          <w:color w:val="000000"/>
        </w:rPr>
        <w:t xml:space="preserve">aspekty způsobující zvyšující se podíl lithiových baterií a akumulátorů na trhu, které </w:t>
      </w:r>
      <w:r>
        <w:rPr>
          <w:color w:val="000000"/>
        </w:rPr>
        <w:t>v důsledku</w:t>
      </w:r>
      <w:r w:rsidRPr="00C72298">
        <w:rPr>
          <w:color w:val="000000"/>
        </w:rPr>
        <w:t xml:space="preserve"> svý</w:t>
      </w:r>
      <w:r>
        <w:rPr>
          <w:color w:val="000000"/>
        </w:rPr>
        <w:t>ch</w:t>
      </w:r>
      <w:r w:rsidRPr="00C72298">
        <w:rPr>
          <w:color w:val="000000"/>
        </w:rPr>
        <w:t xml:space="preserve"> specifický</w:t>
      </w:r>
      <w:r>
        <w:rPr>
          <w:color w:val="000000"/>
        </w:rPr>
        <w:t>ch</w:t>
      </w:r>
      <w:r w:rsidRPr="00C72298">
        <w:rPr>
          <w:color w:val="000000"/>
        </w:rPr>
        <w:t xml:space="preserve"> vlastnost</w:t>
      </w:r>
      <w:r>
        <w:rPr>
          <w:color w:val="000000"/>
        </w:rPr>
        <w:t>í</w:t>
      </w:r>
      <w:r w:rsidRPr="00C72298">
        <w:rPr>
          <w:color w:val="000000"/>
        </w:rPr>
        <w:t xml:space="preserve"> mají odlišné požadavky na skladování, zpracování a recyklaci. Lithiové baterie </w:t>
      </w:r>
      <w:r w:rsidR="00E92BEA">
        <w:rPr>
          <w:color w:val="000000"/>
        </w:rPr>
        <w:t xml:space="preserve">(dále „Li-baterie“) </w:t>
      </w:r>
      <w:r w:rsidRPr="00C72298">
        <w:rPr>
          <w:color w:val="000000"/>
        </w:rPr>
        <w:t xml:space="preserve">jsou v dnešní době součástí prakticky jakéhokoliv moderního elektrozařízení. </w:t>
      </w:r>
    </w:p>
    <w:p w:rsidR="006031E5" w:rsidP="006031E5" w14:paraId="49D76848" w14:textId="6C915630">
      <w:pPr>
        <w:spacing w:after="120"/>
        <w:rPr>
          <w:color w:val="000000"/>
        </w:rPr>
      </w:pPr>
      <w:r w:rsidRPr="00C72298">
        <w:rPr>
          <w:color w:val="000000"/>
        </w:rPr>
        <w:t xml:space="preserve">Situace na trhu se významně mění a </w:t>
      </w:r>
      <w:r>
        <w:rPr>
          <w:color w:val="000000"/>
        </w:rPr>
        <w:t>dříve dominující materiálové toky baterií (Pb nebo Ni</w:t>
      </w:r>
      <w:r w:rsidRPr="00C72298">
        <w:rPr>
          <w:color w:val="000000"/>
        </w:rPr>
        <w:t xml:space="preserve">-Cd), které jsou </w:t>
      </w:r>
      <w:r>
        <w:rPr>
          <w:color w:val="000000"/>
        </w:rPr>
        <w:t xml:space="preserve">však dosud ve významné míře zastoupeny v odpadu, a které jsou </w:t>
      </w:r>
      <w:r w:rsidRPr="00C72298">
        <w:rPr>
          <w:color w:val="000000"/>
        </w:rPr>
        <w:t>předávány standardně k recyklaci, začínají být kontaminovány Li</w:t>
      </w:r>
      <w:r>
        <w:rPr>
          <w:color w:val="000000"/>
        </w:rPr>
        <w:t>-</w:t>
      </w:r>
      <w:r w:rsidRPr="00C72298">
        <w:rPr>
          <w:color w:val="000000"/>
        </w:rPr>
        <w:t xml:space="preserve">bateriemi, což způsobuje značné zvyšování nákladů na dotřiďování. </w:t>
      </w:r>
      <w:r w:rsidR="00E92BEA">
        <w:rPr>
          <w:color w:val="000000"/>
        </w:rPr>
        <w:t>Li-</w:t>
      </w:r>
      <w:r>
        <w:rPr>
          <w:color w:val="000000"/>
        </w:rPr>
        <w:t xml:space="preserve">baterie </w:t>
      </w:r>
      <w:r w:rsidRPr="00C72298">
        <w:rPr>
          <w:color w:val="000000"/>
        </w:rPr>
        <w:t>jsou dle četných zkušeností ze</w:t>
      </w:r>
      <w:r>
        <w:rPr>
          <w:color w:val="000000"/>
        </w:rPr>
        <w:t> </w:t>
      </w:r>
      <w:r w:rsidRPr="00C72298">
        <w:rPr>
          <w:color w:val="000000"/>
        </w:rPr>
        <w:t>zahraničí při</w:t>
      </w:r>
      <w:r w:rsidR="00E92BEA">
        <w:rPr>
          <w:color w:val="000000"/>
        </w:rPr>
        <w:t> </w:t>
      </w:r>
      <w:r w:rsidRPr="00C72298">
        <w:rPr>
          <w:color w:val="000000"/>
        </w:rPr>
        <w:t>nesprávném nakládání nebezpečné v důsledku hořlavosti a výbušnosti v nich obsaženého lithia.</w:t>
      </w:r>
      <w:r>
        <w:rPr>
          <w:color w:val="000000"/>
        </w:rPr>
        <w:t xml:space="preserve"> Dalším významným aspektem je také skutečnost, že existuje mnoho různých chemismů Li</w:t>
      </w:r>
      <w:r w:rsidR="00E92BEA">
        <w:rPr>
          <w:color w:val="000000"/>
        </w:rPr>
        <w:t>-</w:t>
      </w:r>
      <w:r>
        <w:rPr>
          <w:color w:val="000000"/>
        </w:rPr>
        <w:t>baterií, které se navzájem vyznačují odlišnými vlastnostmi, což má zásadní význam pro</w:t>
      </w:r>
      <w:r w:rsidR="00E92BEA">
        <w:rPr>
          <w:color w:val="000000"/>
        </w:rPr>
        <w:t> </w:t>
      </w:r>
      <w:r>
        <w:rPr>
          <w:color w:val="000000"/>
        </w:rPr>
        <w:t>recyklaci. Nejde tedy obdobně jako u uvedených Pb nebo Ni-Cd baterií zvolit jeden technologický postup k dosažení vysoké úrovně recyklačního procesu, ale je potřeba volit více metod. Toto vše má samozřejmě dopad na nákladnost celého procesu sběru, svozu a zpracování odpadcích Li</w:t>
      </w:r>
      <w:r w:rsidR="00E92BEA">
        <w:rPr>
          <w:color w:val="000000"/>
        </w:rPr>
        <w:t>-</w:t>
      </w:r>
      <w:r>
        <w:rPr>
          <w:color w:val="000000"/>
        </w:rPr>
        <w:t xml:space="preserve">baterií.  </w:t>
      </w:r>
    </w:p>
    <w:p w:rsidR="006031E5" w:rsidP="006031E5" w14:paraId="67C863C0" w14:textId="143DF099">
      <w:pPr>
        <w:spacing w:after="0"/>
        <w:rPr>
          <w:color w:val="000000"/>
        </w:rPr>
      </w:pPr>
      <w:r w:rsidRPr="00C72298">
        <w:rPr>
          <w:color w:val="000000"/>
        </w:rPr>
        <w:t>Zatímco odhadované náklady na zajištění zpětného odběru, resp. odděleného sběru baterií a</w:t>
      </w:r>
      <w:r>
        <w:rPr>
          <w:color w:val="000000"/>
        </w:rPr>
        <w:t> </w:t>
      </w:r>
      <w:r w:rsidRPr="00C72298">
        <w:rPr>
          <w:color w:val="000000"/>
        </w:rPr>
        <w:t xml:space="preserve">akumulátorů </w:t>
      </w:r>
      <w:r>
        <w:rPr>
          <w:color w:val="000000"/>
        </w:rPr>
        <w:t>neobsahujících</w:t>
      </w:r>
      <w:r w:rsidRPr="00C72298">
        <w:rPr>
          <w:color w:val="000000"/>
        </w:rPr>
        <w:t xml:space="preserve"> lithi</w:t>
      </w:r>
      <w:r>
        <w:rPr>
          <w:color w:val="000000"/>
        </w:rPr>
        <w:t>um</w:t>
      </w:r>
      <w:r w:rsidRPr="00C72298">
        <w:rPr>
          <w:color w:val="000000"/>
        </w:rPr>
        <w:t xml:space="preserve"> se v současné době pohybují v řádech jednotek Kč za</w:t>
      </w:r>
      <w:r>
        <w:rPr>
          <w:color w:val="000000"/>
        </w:rPr>
        <w:t> </w:t>
      </w:r>
      <w:r w:rsidRPr="00C72298">
        <w:rPr>
          <w:color w:val="000000"/>
        </w:rPr>
        <w:t xml:space="preserve">kilogram, u </w:t>
      </w:r>
      <w:r w:rsidR="00E92BEA">
        <w:rPr>
          <w:color w:val="000000"/>
        </w:rPr>
        <w:t>Li-</w:t>
      </w:r>
      <w:r w:rsidRPr="00C72298">
        <w:rPr>
          <w:color w:val="000000"/>
        </w:rPr>
        <w:t xml:space="preserve">baterií jsou odhadované </w:t>
      </w:r>
      <w:r>
        <w:rPr>
          <w:color w:val="000000"/>
        </w:rPr>
        <w:t>na 6</w:t>
      </w:r>
      <w:r w:rsidRPr="00C72298">
        <w:rPr>
          <w:color w:val="000000"/>
        </w:rPr>
        <w:t>0 Kč/kg.</w:t>
      </w:r>
      <w:r w:rsidRPr="00CC1572">
        <w:rPr>
          <w:color w:val="000000"/>
        </w:rPr>
        <w:t xml:space="preserve"> </w:t>
      </w:r>
      <w:r>
        <w:rPr>
          <w:color w:val="000000"/>
        </w:rPr>
        <w:t xml:space="preserve">Do vysokých nákladů se promítá bezpečnostní prevence při přepravě a skladování, neboť lithium je velmi hořlavé a výbušné. </w:t>
      </w:r>
      <w:r w:rsidRPr="00C72298">
        <w:rPr>
          <w:color w:val="000000"/>
        </w:rPr>
        <w:t>Systém sběru a zpracování, potažmo financování baterií a</w:t>
      </w:r>
      <w:r>
        <w:rPr>
          <w:color w:val="000000"/>
        </w:rPr>
        <w:t> </w:t>
      </w:r>
      <w:r w:rsidRPr="00C72298">
        <w:rPr>
          <w:color w:val="000000"/>
        </w:rPr>
        <w:t>akumulátorů, proto musí na tuto situaci reagovat tak, aby byl v</w:t>
      </w:r>
      <w:r>
        <w:rPr>
          <w:color w:val="000000"/>
        </w:rPr>
        <w:t> </w:t>
      </w:r>
      <w:r w:rsidRPr="00C72298">
        <w:rPr>
          <w:color w:val="000000"/>
        </w:rPr>
        <w:t>budoucnu zajištěn dostatek finančních prostředků na</w:t>
      </w:r>
      <w:r>
        <w:rPr>
          <w:color w:val="000000"/>
        </w:rPr>
        <w:t> </w:t>
      </w:r>
      <w:r w:rsidR="00E92BEA">
        <w:rPr>
          <w:color w:val="000000"/>
        </w:rPr>
        <w:t>nakládání s Li-</w:t>
      </w:r>
      <w:r w:rsidRPr="00C72298">
        <w:rPr>
          <w:color w:val="000000"/>
        </w:rPr>
        <w:t>bateriemi, resp. aby bylo zamezeno případným problémům.</w:t>
      </w:r>
    </w:p>
    <w:p w:rsidR="006031E5" w:rsidP="006031E5" w14:paraId="0DA7B58A" w14:textId="6146DEBD">
      <w:pPr>
        <w:spacing w:after="120"/>
        <w:rPr>
          <w:color w:val="000000"/>
        </w:rPr>
      </w:pPr>
      <w:r>
        <w:rPr>
          <w:color w:val="000000"/>
        </w:rPr>
        <w:t>Problém se týká především průmyslových a automobilových baterií a akumulátorů, pro které není stanovován cíl jejich sběru (jako je tomu u přenosných baterií či akumulátorů). Osoby, které uvádějí průmyslové či automobilové baterie na trh tedy nejsou dostatečně motivovány, aby baterie sbírali. V současnosti samozřejmě sběr uvedených baterií v ČR probíhá, ale je to z toho důvodu, že uvedené chemismy baterií (Pb a Ni</w:t>
      </w:r>
      <w:r w:rsidRPr="00C72298">
        <w:rPr>
          <w:color w:val="000000"/>
        </w:rPr>
        <w:t>-Cd)</w:t>
      </w:r>
      <w:r>
        <w:rPr>
          <w:color w:val="000000"/>
        </w:rPr>
        <w:t xml:space="preserve"> mají coby odpady vysoce pozitivní tržní hodnotu, a jejich sběr je tak samofinancovatelný. To ale neplatí pro </w:t>
      </w:r>
      <w:r w:rsidR="00E92BEA">
        <w:rPr>
          <w:color w:val="000000"/>
        </w:rPr>
        <w:t>Li-</w:t>
      </w:r>
      <w:r>
        <w:rPr>
          <w:color w:val="000000"/>
        </w:rPr>
        <w:t>baterie, jejichž zpracování je vysoce nákladovou záležitostí, a tudíž ani samotný sběr nemůže probíhat bez</w:t>
      </w:r>
      <w:r w:rsidR="0012681B">
        <w:rPr>
          <w:color w:val="000000"/>
        </w:rPr>
        <w:t> </w:t>
      </w:r>
      <w:r>
        <w:rPr>
          <w:color w:val="000000"/>
        </w:rPr>
        <w:t xml:space="preserve">vnější finanční stimulace či dotace. </w:t>
      </w:r>
      <w:r w:rsidRPr="00C72298">
        <w:rPr>
          <w:color w:val="000000"/>
        </w:rPr>
        <w:t xml:space="preserve">Je proto zcela nezbytné zpřísnit právní podmínky pro nakládání s některými typy </w:t>
      </w:r>
      <w:r>
        <w:rPr>
          <w:color w:val="000000"/>
        </w:rPr>
        <w:t xml:space="preserve">průmyslových a automobilových </w:t>
      </w:r>
      <w:r w:rsidRPr="00C72298">
        <w:rPr>
          <w:color w:val="000000"/>
        </w:rPr>
        <w:t>baterií a zlepšit praxi při</w:t>
      </w:r>
      <w:r>
        <w:rPr>
          <w:color w:val="000000"/>
        </w:rPr>
        <w:t> </w:t>
      </w:r>
      <w:r w:rsidRPr="00C72298">
        <w:rPr>
          <w:color w:val="000000"/>
        </w:rPr>
        <w:t xml:space="preserve">přepravě a skladování těchto baterií, a to v rámci celého systému </w:t>
      </w:r>
      <w:r w:rsidR="00E92BEA">
        <w:rPr>
          <w:color w:val="000000"/>
        </w:rPr>
        <w:t>ZO</w:t>
      </w:r>
      <w:r>
        <w:rPr>
          <w:color w:val="000000"/>
        </w:rPr>
        <w:t xml:space="preserve"> a návazných operací </w:t>
      </w:r>
      <w:r w:rsidRPr="00C72298">
        <w:rPr>
          <w:color w:val="000000"/>
        </w:rPr>
        <w:t>a</w:t>
      </w:r>
      <w:r w:rsidR="00E92BEA">
        <w:rPr>
          <w:color w:val="000000"/>
        </w:rPr>
        <w:t> </w:t>
      </w:r>
      <w:r w:rsidRPr="00C72298">
        <w:rPr>
          <w:color w:val="000000"/>
        </w:rPr>
        <w:t>zaji</w:t>
      </w:r>
      <w:r>
        <w:rPr>
          <w:color w:val="000000"/>
        </w:rPr>
        <w:t>stit vhodný systém</w:t>
      </w:r>
      <w:r w:rsidRPr="00C72298">
        <w:rPr>
          <w:color w:val="000000"/>
        </w:rPr>
        <w:t xml:space="preserve"> financování nakládání s těmito bateriemi. </w:t>
      </w:r>
    </w:p>
    <w:p w:rsidR="006031E5" w:rsidRPr="00325145" w:rsidP="0033267B" w14:paraId="7DD91946" w14:textId="6EE45398">
      <w:pPr>
        <w:keepNext/>
        <w:spacing w:before="360" w:after="120"/>
        <w:rPr>
          <w:color w:val="000000"/>
        </w:rPr>
      </w:pPr>
      <w:r>
        <w:rPr>
          <w:color w:val="000000"/>
        </w:rPr>
        <w:t>Přínosy recyklace</w:t>
      </w:r>
      <w:r w:rsidRPr="00325145">
        <w:rPr>
          <w:color w:val="000000"/>
        </w:rPr>
        <w:t xml:space="preserve"> </w:t>
      </w:r>
      <w:r w:rsidR="00E92BEA">
        <w:rPr>
          <w:color w:val="000000"/>
        </w:rPr>
        <w:t>Li-</w:t>
      </w:r>
      <w:r w:rsidRPr="00325145">
        <w:rPr>
          <w:color w:val="000000"/>
        </w:rPr>
        <w:t>baterii</w:t>
      </w:r>
      <w:r>
        <w:rPr>
          <w:color w:val="000000"/>
        </w:rPr>
        <w:t xml:space="preserve"> a akumulátorů</w:t>
      </w:r>
      <w:r w:rsidRPr="00325145">
        <w:rPr>
          <w:color w:val="000000"/>
        </w:rPr>
        <w:t>:</w:t>
      </w:r>
    </w:p>
    <w:p w:rsidR="006031E5" w:rsidP="003C445B" w14:paraId="0CAB8872" w14:textId="77777777">
      <w:pPr>
        <w:numPr>
          <w:ilvl w:val="0"/>
          <w:numId w:val="105"/>
        </w:numPr>
        <w:spacing w:after="120"/>
        <w:jc w:val="left"/>
        <w:rPr>
          <w:color w:val="000000"/>
        </w:rPr>
      </w:pPr>
      <w:r>
        <w:rPr>
          <w:color w:val="000000"/>
        </w:rPr>
        <w:t>úspora</w:t>
      </w:r>
      <w:r w:rsidRPr="00325145">
        <w:rPr>
          <w:color w:val="000000"/>
        </w:rPr>
        <w:t xml:space="preserve"> materiálů využívaných v bateriích </w:t>
      </w:r>
      <w:r>
        <w:rPr>
          <w:color w:val="000000"/>
        </w:rPr>
        <w:t>díky opětovnému</w:t>
      </w:r>
      <w:r w:rsidRPr="00325145">
        <w:rPr>
          <w:color w:val="000000"/>
        </w:rPr>
        <w:t xml:space="preserve"> vyu</w:t>
      </w:r>
      <w:r>
        <w:rPr>
          <w:color w:val="000000"/>
        </w:rPr>
        <w:t>žití</w:t>
      </w:r>
      <w:r w:rsidRPr="00D35C5B">
        <w:rPr>
          <w:color w:val="000000"/>
        </w:rPr>
        <w:t xml:space="preserve"> </w:t>
      </w:r>
      <w:r>
        <w:rPr>
          <w:color w:val="000000"/>
        </w:rPr>
        <w:t xml:space="preserve">a </w:t>
      </w:r>
      <w:r w:rsidRPr="00325145">
        <w:rPr>
          <w:color w:val="000000"/>
        </w:rPr>
        <w:t>zajištění materiálu pro budoucí využití</w:t>
      </w:r>
    </w:p>
    <w:p w:rsidR="006031E5" w:rsidRPr="00325145" w:rsidP="003C445B" w14:paraId="2B9E3430" w14:textId="77777777">
      <w:pPr>
        <w:numPr>
          <w:ilvl w:val="0"/>
          <w:numId w:val="105"/>
        </w:numPr>
        <w:spacing w:after="120"/>
        <w:jc w:val="left"/>
        <w:rPr>
          <w:color w:val="000000"/>
        </w:rPr>
      </w:pPr>
      <w:r w:rsidRPr="00325145">
        <w:rPr>
          <w:color w:val="000000"/>
        </w:rPr>
        <w:t xml:space="preserve">zvýšení cenové stability </w:t>
      </w:r>
      <w:r>
        <w:rPr>
          <w:color w:val="000000"/>
        </w:rPr>
        <w:t xml:space="preserve">některých </w:t>
      </w:r>
      <w:r w:rsidRPr="00325145">
        <w:rPr>
          <w:color w:val="000000"/>
        </w:rPr>
        <w:t xml:space="preserve">surovin </w:t>
      </w:r>
    </w:p>
    <w:p w:rsidR="006031E5" w:rsidP="003C445B" w14:paraId="6F44E6CF" w14:textId="77777777">
      <w:pPr>
        <w:numPr>
          <w:ilvl w:val="0"/>
          <w:numId w:val="105"/>
        </w:numPr>
        <w:spacing w:after="120"/>
        <w:jc w:val="left"/>
        <w:rPr>
          <w:color w:val="000000"/>
        </w:rPr>
      </w:pPr>
      <w:r w:rsidRPr="00325145">
        <w:rPr>
          <w:color w:val="000000"/>
        </w:rPr>
        <w:t>snížení CO</w:t>
      </w:r>
      <w:r w:rsidRPr="00D35C5B">
        <w:rPr>
          <w:color w:val="000000"/>
          <w:vertAlign w:val="subscript"/>
        </w:rPr>
        <w:t>2</w:t>
      </w:r>
      <w:r>
        <w:rPr>
          <w:color w:val="000000"/>
          <w:vertAlign w:val="subscript"/>
        </w:rPr>
        <w:t xml:space="preserve"> </w:t>
      </w:r>
      <w:r w:rsidRPr="00D35C5B">
        <w:rPr>
          <w:color w:val="000000"/>
        </w:rPr>
        <w:t xml:space="preserve">(při recyklaci </w:t>
      </w:r>
      <w:r>
        <w:rPr>
          <w:color w:val="000000"/>
        </w:rPr>
        <w:t xml:space="preserve">kovů obsažených v Li-bateriích </w:t>
      </w:r>
      <w:r w:rsidRPr="00D35C5B">
        <w:rPr>
          <w:color w:val="000000"/>
        </w:rPr>
        <w:t xml:space="preserve">namísto </w:t>
      </w:r>
      <w:r>
        <w:rPr>
          <w:color w:val="000000"/>
        </w:rPr>
        <w:t>znovuzískání nové suroviny)</w:t>
      </w:r>
    </w:p>
    <w:p w:rsidR="006031E5" w:rsidP="003C445B" w14:paraId="41577714" w14:textId="77777777">
      <w:pPr>
        <w:numPr>
          <w:ilvl w:val="0"/>
          <w:numId w:val="105"/>
        </w:numPr>
        <w:spacing w:after="120"/>
        <w:jc w:val="left"/>
        <w:rPr>
          <w:color w:val="000000"/>
        </w:rPr>
      </w:pPr>
      <w:r>
        <w:rPr>
          <w:color w:val="000000"/>
        </w:rPr>
        <w:t>úspora</w:t>
      </w:r>
      <w:r w:rsidRPr="00325145">
        <w:rPr>
          <w:color w:val="000000"/>
        </w:rPr>
        <w:t xml:space="preserve"> energie </w:t>
      </w:r>
    </w:p>
    <w:p w:rsidR="006031E5" w:rsidP="003C445B" w14:paraId="5380190D" w14:textId="77777777">
      <w:pPr>
        <w:numPr>
          <w:ilvl w:val="0"/>
          <w:numId w:val="105"/>
        </w:numPr>
        <w:spacing w:after="120"/>
        <w:jc w:val="left"/>
        <w:rPr>
          <w:color w:val="000000"/>
        </w:rPr>
      </w:pPr>
      <w:r w:rsidRPr="00325145">
        <w:rPr>
          <w:color w:val="000000"/>
        </w:rPr>
        <w:t xml:space="preserve">snižuje </w:t>
      </w:r>
      <w:r>
        <w:rPr>
          <w:color w:val="000000"/>
        </w:rPr>
        <w:t xml:space="preserve">se </w:t>
      </w:r>
      <w:r w:rsidRPr="00325145">
        <w:rPr>
          <w:color w:val="000000"/>
        </w:rPr>
        <w:t>množství nebezpečných látek, které by se mohl</w:t>
      </w:r>
      <w:r>
        <w:rPr>
          <w:color w:val="000000"/>
        </w:rPr>
        <w:t>y</w:t>
      </w:r>
      <w:r w:rsidRPr="00325145">
        <w:rPr>
          <w:color w:val="000000"/>
        </w:rPr>
        <w:t xml:space="preserve"> dostat do životního prostředí</w:t>
      </w:r>
    </w:p>
    <w:p w:rsidR="006031E5" w:rsidP="006031E5" w14:paraId="744DD8F1" w14:textId="77777777">
      <w:pPr>
        <w:spacing w:after="120"/>
        <w:rPr>
          <w:color w:val="000000"/>
        </w:rPr>
      </w:pPr>
    </w:p>
    <w:p w:rsidR="006031E5" w:rsidP="006031E5" w14:paraId="698891DB" w14:textId="77777777">
      <w:pPr>
        <w:spacing w:after="120"/>
        <w:rPr>
          <w:color w:val="000000"/>
        </w:rPr>
      </w:pPr>
      <w:r w:rsidRPr="00225481">
        <w:rPr>
          <w:color w:val="000000"/>
        </w:rPr>
        <w:t>Dle platných předpisů jsou baterie a akumulátory rozdělovány do tří základních typů: přenosné, průmyslové a</w:t>
      </w:r>
      <w:r>
        <w:rPr>
          <w:color w:val="000000"/>
        </w:rPr>
        <w:t> </w:t>
      </w:r>
      <w:r w:rsidRPr="00225481">
        <w:rPr>
          <w:color w:val="000000"/>
        </w:rPr>
        <w:t>automobilové baterie a akumulátory.</w:t>
      </w:r>
      <w:r>
        <w:rPr>
          <w:color w:val="000000"/>
        </w:rPr>
        <w:t xml:space="preserve"> Přenosné můžeme dále rozdělit na primární a sekundární články. Následující tabulky ukazují podíl přenosných Li-baterií uvedených na trh v ČR v letech 2010 – 2017.</w:t>
      </w:r>
    </w:p>
    <w:p w:rsidR="00365F99" w14:paraId="5B346480" w14:textId="6D6BF3B1">
      <w:pPr>
        <w:rPr>
          <w:rFonts w:cs="Arial"/>
          <w:b/>
          <w:bCs/>
          <w:sz w:val="20"/>
          <w:szCs w:val="20"/>
          <w:lang w:eastAsia="cs-CZ"/>
        </w:rPr>
      </w:pPr>
    </w:p>
    <w:p w:rsidR="00BF16B7" w14:paraId="0CF275A2" w14:textId="77777777">
      <w:pPr>
        <w:rPr>
          <w:rFonts w:cs="Arial"/>
          <w:b/>
          <w:bCs/>
          <w:sz w:val="20"/>
          <w:szCs w:val="20"/>
          <w:lang w:eastAsia="cs-CZ"/>
        </w:rPr>
      </w:pPr>
      <w:r>
        <w:rPr>
          <w:rFonts w:cs="Arial"/>
          <w:b/>
          <w:bCs/>
          <w:sz w:val="20"/>
          <w:szCs w:val="20"/>
          <w:lang w:eastAsia="cs-CZ"/>
        </w:rPr>
        <w:br w:type="page"/>
      </w:r>
    </w:p>
    <w:p w:rsidR="006031E5" w:rsidRPr="0035496A" w:rsidP="006031E5" w14:paraId="2255FBF8" w14:textId="2DB4D23F">
      <w:pPr>
        <w:spacing w:after="120" w:line="240" w:lineRule="auto"/>
        <w:rPr>
          <w:rFonts w:cs="Arial"/>
          <w:b/>
          <w:bCs/>
          <w:sz w:val="20"/>
          <w:szCs w:val="20"/>
          <w:lang w:eastAsia="cs-CZ"/>
        </w:rPr>
      </w:pPr>
      <w:r w:rsidRPr="0035496A">
        <w:rPr>
          <w:rFonts w:cs="Arial"/>
          <w:b/>
          <w:bCs/>
          <w:sz w:val="20"/>
          <w:szCs w:val="20"/>
          <w:lang w:eastAsia="cs-CZ"/>
        </w:rPr>
        <w:t xml:space="preserve">Tabulka </w:t>
      </w:r>
      <w:r w:rsidR="00925F10">
        <w:rPr>
          <w:rFonts w:cs="Arial"/>
          <w:b/>
          <w:bCs/>
          <w:sz w:val="20"/>
          <w:szCs w:val="20"/>
          <w:lang w:eastAsia="cs-CZ"/>
        </w:rPr>
        <w:t>53</w:t>
      </w:r>
      <w:r w:rsidRPr="0035496A">
        <w:rPr>
          <w:rFonts w:cs="Arial"/>
          <w:b/>
          <w:bCs/>
          <w:sz w:val="20"/>
          <w:szCs w:val="20"/>
          <w:lang w:eastAsia="cs-CZ"/>
        </w:rPr>
        <w:t>: Podíl primárních baterií a akumulátorů podle elektrochemického typu uvedených na</w:t>
      </w:r>
      <w:r w:rsidR="0039543B">
        <w:rPr>
          <w:rFonts w:cs="Arial"/>
          <w:b/>
          <w:bCs/>
          <w:sz w:val="20"/>
          <w:szCs w:val="20"/>
          <w:lang w:eastAsia="cs-CZ"/>
        </w:rPr>
        <w:t> </w:t>
      </w:r>
      <w:r w:rsidRPr="0035496A">
        <w:rPr>
          <w:rFonts w:cs="Arial"/>
          <w:b/>
          <w:bCs/>
          <w:sz w:val="20"/>
          <w:szCs w:val="20"/>
          <w:lang w:eastAsia="cs-CZ"/>
        </w:rPr>
        <w:t>trh v</w:t>
      </w:r>
      <w:r w:rsidR="0035496A">
        <w:rPr>
          <w:rFonts w:cs="Arial"/>
          <w:b/>
          <w:bCs/>
          <w:sz w:val="20"/>
          <w:szCs w:val="20"/>
          <w:lang w:eastAsia="cs-CZ"/>
        </w:rPr>
        <w:t> </w:t>
      </w:r>
      <w:r w:rsidRPr="0035496A">
        <w:rPr>
          <w:rFonts w:cs="Arial"/>
          <w:b/>
          <w:bCs/>
          <w:sz w:val="20"/>
          <w:szCs w:val="20"/>
          <w:lang w:eastAsia="cs-CZ"/>
        </w:rPr>
        <w:t>letech 2010 až 2017</w:t>
      </w:r>
    </w:p>
    <w:tbl>
      <w:tblPr>
        <w:tblW w:w="8661" w:type="dxa"/>
        <w:tblCellMar>
          <w:left w:w="70" w:type="dxa"/>
          <w:right w:w="70" w:type="dxa"/>
        </w:tblCellMar>
        <w:tblLook w:val="04A0"/>
      </w:tblPr>
      <w:tblGrid>
        <w:gridCol w:w="960"/>
        <w:gridCol w:w="1582"/>
        <w:gridCol w:w="1443"/>
        <w:gridCol w:w="1457"/>
        <w:gridCol w:w="1776"/>
        <w:gridCol w:w="1443"/>
      </w:tblGrid>
      <w:tr w14:paraId="7AD194E9" w14:textId="77777777" w:rsidTr="006031E5">
        <w:tblPrEx>
          <w:tblW w:w="8661" w:type="dxa"/>
          <w:tblCellMar>
            <w:left w:w="70" w:type="dxa"/>
            <w:right w:w="70" w:type="dxa"/>
          </w:tblCellMar>
          <w:tblLook w:val="04A0"/>
        </w:tblPrEx>
        <w:trPr>
          <w:trHeight w:val="285"/>
        </w:trPr>
        <w:tc>
          <w:tcPr>
            <w:tcW w:w="960" w:type="dxa"/>
            <w:vMerge w:val="restart"/>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6031E5" w:rsidRPr="0035496A" w:rsidP="006031E5" w14:paraId="57B00FB7" w14:textId="77777777">
            <w:pPr>
              <w:spacing w:after="0" w:line="240" w:lineRule="auto"/>
              <w:jc w:val="center"/>
              <w:rPr>
                <w:b/>
                <w:bCs/>
                <w:color w:val="000000"/>
                <w:szCs w:val="22"/>
                <w:lang w:eastAsia="cs-CZ"/>
              </w:rPr>
            </w:pPr>
            <w:r w:rsidRPr="0035496A">
              <w:rPr>
                <w:b/>
                <w:bCs/>
                <w:color w:val="000000"/>
                <w:szCs w:val="22"/>
                <w:lang w:eastAsia="cs-CZ"/>
              </w:rPr>
              <w:t>Rok</w:t>
            </w:r>
          </w:p>
        </w:tc>
        <w:tc>
          <w:tcPr>
            <w:tcW w:w="7701" w:type="dxa"/>
            <w:gridSpan w:val="5"/>
            <w:tcBorders>
              <w:top w:val="single" w:sz="8" w:space="0" w:color="auto"/>
              <w:left w:val="nil"/>
              <w:bottom w:val="single" w:sz="4" w:space="0" w:color="auto"/>
              <w:right w:val="single" w:sz="8" w:space="0" w:color="000000"/>
            </w:tcBorders>
            <w:shd w:val="clear" w:color="000000" w:fill="A6A6A6"/>
            <w:noWrap/>
            <w:vAlign w:val="center"/>
            <w:hideMark/>
          </w:tcPr>
          <w:p w:rsidR="006031E5" w:rsidRPr="0035496A" w:rsidP="006031E5" w14:paraId="1857C948" w14:textId="77777777">
            <w:pPr>
              <w:spacing w:after="0" w:line="240" w:lineRule="auto"/>
              <w:jc w:val="center"/>
              <w:rPr>
                <w:b/>
                <w:bCs/>
                <w:color w:val="000000"/>
                <w:szCs w:val="22"/>
                <w:lang w:eastAsia="cs-CZ"/>
              </w:rPr>
            </w:pPr>
            <w:r w:rsidRPr="0035496A">
              <w:rPr>
                <w:b/>
                <w:bCs/>
                <w:color w:val="000000"/>
                <w:szCs w:val="22"/>
                <w:lang w:eastAsia="cs-CZ"/>
              </w:rPr>
              <w:t>Primární baterie</w:t>
            </w:r>
          </w:p>
        </w:tc>
      </w:tr>
      <w:tr w14:paraId="732D39BE" w14:textId="77777777" w:rsidTr="006031E5">
        <w:tblPrEx>
          <w:tblW w:w="8661" w:type="dxa"/>
          <w:tblCellMar>
            <w:left w:w="70" w:type="dxa"/>
            <w:right w:w="70" w:type="dxa"/>
          </w:tblCellMar>
          <w:tblLook w:val="04A0"/>
        </w:tblPrEx>
        <w:trPr>
          <w:trHeight w:val="285"/>
        </w:trPr>
        <w:tc>
          <w:tcPr>
            <w:tcW w:w="960" w:type="dxa"/>
            <w:vMerge/>
            <w:tcBorders>
              <w:top w:val="single" w:sz="8" w:space="0" w:color="auto"/>
              <w:left w:val="single" w:sz="8" w:space="0" w:color="auto"/>
              <w:bottom w:val="single" w:sz="4" w:space="0" w:color="auto"/>
              <w:right w:val="single" w:sz="4" w:space="0" w:color="auto"/>
            </w:tcBorders>
            <w:vAlign w:val="center"/>
            <w:hideMark/>
          </w:tcPr>
          <w:p w:rsidR="006031E5" w:rsidRPr="0035496A" w:rsidP="006031E5" w14:paraId="554AB2F8" w14:textId="77777777">
            <w:pPr>
              <w:spacing w:after="0" w:line="240" w:lineRule="auto"/>
              <w:rPr>
                <w:b/>
                <w:bCs/>
                <w:color w:val="000000"/>
                <w:szCs w:val="22"/>
                <w:lang w:eastAsia="cs-CZ"/>
              </w:rPr>
            </w:pPr>
          </w:p>
        </w:tc>
        <w:tc>
          <w:tcPr>
            <w:tcW w:w="1582"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2DC0A58B" w14:textId="77777777">
            <w:pPr>
              <w:spacing w:after="0" w:line="240" w:lineRule="auto"/>
              <w:jc w:val="center"/>
              <w:rPr>
                <w:b/>
                <w:bCs/>
                <w:color w:val="000000"/>
                <w:szCs w:val="22"/>
                <w:lang w:eastAsia="cs-CZ"/>
              </w:rPr>
            </w:pPr>
            <w:r w:rsidRPr="0035496A">
              <w:rPr>
                <w:b/>
                <w:bCs/>
                <w:color w:val="000000"/>
                <w:szCs w:val="22"/>
                <w:lang w:eastAsia="cs-CZ"/>
              </w:rPr>
              <w:t>Alkalické [%]</w:t>
            </w:r>
          </w:p>
        </w:tc>
        <w:tc>
          <w:tcPr>
            <w:tcW w:w="1443"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529B89FB" w14:textId="77777777">
            <w:pPr>
              <w:spacing w:after="0" w:line="240" w:lineRule="auto"/>
              <w:jc w:val="center"/>
              <w:rPr>
                <w:b/>
                <w:bCs/>
                <w:color w:val="000000"/>
                <w:szCs w:val="22"/>
                <w:lang w:eastAsia="cs-CZ"/>
              </w:rPr>
            </w:pPr>
            <w:r w:rsidRPr="0035496A">
              <w:rPr>
                <w:b/>
                <w:bCs/>
                <w:color w:val="000000"/>
                <w:szCs w:val="22"/>
                <w:lang w:eastAsia="cs-CZ"/>
              </w:rPr>
              <w:t>Zinkové [%]</w:t>
            </w:r>
          </w:p>
        </w:tc>
        <w:tc>
          <w:tcPr>
            <w:tcW w:w="1457"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34093CC6" w14:textId="77777777">
            <w:pPr>
              <w:spacing w:after="0" w:line="240" w:lineRule="auto"/>
              <w:jc w:val="center"/>
              <w:rPr>
                <w:b/>
                <w:bCs/>
                <w:color w:val="000000"/>
                <w:szCs w:val="22"/>
                <w:lang w:eastAsia="cs-CZ"/>
              </w:rPr>
            </w:pPr>
            <w:r w:rsidRPr="0035496A">
              <w:rPr>
                <w:b/>
                <w:bCs/>
                <w:color w:val="000000"/>
                <w:szCs w:val="22"/>
                <w:lang w:eastAsia="cs-CZ"/>
              </w:rPr>
              <w:t>Lithiové [%]</w:t>
            </w:r>
          </w:p>
        </w:tc>
        <w:tc>
          <w:tcPr>
            <w:tcW w:w="1776"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616D428E" w14:textId="77777777">
            <w:pPr>
              <w:spacing w:after="0" w:line="240" w:lineRule="auto"/>
              <w:jc w:val="center"/>
              <w:rPr>
                <w:b/>
                <w:bCs/>
                <w:color w:val="000000"/>
                <w:szCs w:val="22"/>
                <w:lang w:eastAsia="cs-CZ"/>
              </w:rPr>
            </w:pPr>
            <w:r w:rsidRPr="0035496A">
              <w:rPr>
                <w:b/>
                <w:bCs/>
                <w:color w:val="000000"/>
                <w:szCs w:val="22"/>
                <w:lang w:eastAsia="cs-CZ"/>
              </w:rPr>
              <w:t>Knoflíkové [%]</w:t>
            </w:r>
          </w:p>
        </w:tc>
        <w:tc>
          <w:tcPr>
            <w:tcW w:w="1443" w:type="dxa"/>
            <w:tcBorders>
              <w:top w:val="nil"/>
              <w:left w:val="nil"/>
              <w:bottom w:val="single" w:sz="4" w:space="0" w:color="auto"/>
              <w:right w:val="single" w:sz="8" w:space="0" w:color="auto"/>
            </w:tcBorders>
            <w:shd w:val="clear" w:color="000000" w:fill="A6A6A6"/>
            <w:noWrap/>
            <w:vAlign w:val="center"/>
            <w:hideMark/>
          </w:tcPr>
          <w:p w:rsidR="006031E5" w:rsidRPr="0035496A" w:rsidP="006031E5" w14:paraId="379F3E7E" w14:textId="77777777">
            <w:pPr>
              <w:spacing w:after="0" w:line="240" w:lineRule="auto"/>
              <w:jc w:val="center"/>
              <w:rPr>
                <w:b/>
                <w:bCs/>
                <w:color w:val="000000"/>
                <w:szCs w:val="22"/>
                <w:lang w:eastAsia="cs-CZ"/>
              </w:rPr>
            </w:pPr>
            <w:r w:rsidRPr="0035496A">
              <w:rPr>
                <w:b/>
                <w:bCs/>
                <w:color w:val="000000"/>
                <w:szCs w:val="22"/>
                <w:lang w:eastAsia="cs-CZ"/>
              </w:rPr>
              <w:t>Jiné [%]</w:t>
            </w:r>
          </w:p>
        </w:tc>
      </w:tr>
      <w:tr w14:paraId="365E5844"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290D234A" w14:textId="77777777">
            <w:pPr>
              <w:spacing w:after="0" w:line="240" w:lineRule="auto"/>
              <w:jc w:val="center"/>
              <w:rPr>
                <w:color w:val="000000"/>
                <w:szCs w:val="22"/>
                <w:lang w:eastAsia="cs-CZ"/>
              </w:rPr>
            </w:pPr>
            <w:r w:rsidRPr="0035496A">
              <w:rPr>
                <w:color w:val="000000"/>
                <w:szCs w:val="22"/>
                <w:lang w:eastAsia="cs-CZ"/>
              </w:rPr>
              <w:t>2010</w:t>
            </w:r>
          </w:p>
        </w:tc>
        <w:tc>
          <w:tcPr>
            <w:tcW w:w="1582"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780F8BB2" w14:textId="77777777">
            <w:pPr>
              <w:spacing w:after="0" w:line="240" w:lineRule="auto"/>
              <w:jc w:val="center"/>
              <w:rPr>
                <w:color w:val="000000"/>
                <w:szCs w:val="22"/>
                <w:lang w:eastAsia="cs-CZ"/>
              </w:rPr>
            </w:pPr>
            <w:r w:rsidRPr="0035496A">
              <w:rPr>
                <w:color w:val="000000"/>
                <w:szCs w:val="22"/>
                <w:lang w:eastAsia="cs-CZ"/>
              </w:rPr>
              <w:t>47,51</w:t>
            </w:r>
          </w:p>
        </w:tc>
        <w:tc>
          <w:tcPr>
            <w:tcW w:w="1443"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76F2640" w14:textId="77777777">
            <w:pPr>
              <w:spacing w:after="0" w:line="240" w:lineRule="auto"/>
              <w:jc w:val="center"/>
              <w:rPr>
                <w:color w:val="000000"/>
                <w:szCs w:val="22"/>
                <w:lang w:eastAsia="cs-CZ"/>
              </w:rPr>
            </w:pPr>
            <w:r w:rsidRPr="0035496A">
              <w:rPr>
                <w:color w:val="000000"/>
                <w:szCs w:val="22"/>
                <w:lang w:eastAsia="cs-CZ"/>
              </w:rPr>
              <w:t>50,38</w:t>
            </w:r>
          </w:p>
        </w:tc>
        <w:tc>
          <w:tcPr>
            <w:tcW w:w="1457"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4E1B1F05" w14:textId="77777777">
            <w:pPr>
              <w:spacing w:after="0" w:line="240" w:lineRule="auto"/>
              <w:jc w:val="center"/>
              <w:rPr>
                <w:color w:val="000000"/>
                <w:szCs w:val="22"/>
                <w:lang w:eastAsia="cs-CZ"/>
              </w:rPr>
            </w:pPr>
            <w:r w:rsidRPr="0035496A">
              <w:rPr>
                <w:color w:val="000000"/>
                <w:szCs w:val="22"/>
                <w:lang w:eastAsia="cs-CZ"/>
              </w:rPr>
              <w:t>1,00</w:t>
            </w:r>
          </w:p>
        </w:tc>
        <w:tc>
          <w:tcPr>
            <w:tcW w:w="1776"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181DE62" w14:textId="77777777">
            <w:pPr>
              <w:spacing w:after="0" w:line="240" w:lineRule="auto"/>
              <w:jc w:val="center"/>
              <w:rPr>
                <w:color w:val="000000"/>
                <w:szCs w:val="22"/>
                <w:lang w:eastAsia="cs-CZ"/>
              </w:rPr>
            </w:pPr>
            <w:r w:rsidRPr="0035496A">
              <w:rPr>
                <w:color w:val="000000"/>
                <w:szCs w:val="22"/>
                <w:lang w:eastAsia="cs-CZ"/>
              </w:rPr>
              <w:t>1,01</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6E3D07BA" w14:textId="77777777">
            <w:pPr>
              <w:spacing w:after="0" w:line="240" w:lineRule="auto"/>
              <w:jc w:val="center"/>
              <w:rPr>
                <w:color w:val="000000"/>
                <w:szCs w:val="22"/>
                <w:lang w:eastAsia="cs-CZ"/>
              </w:rPr>
            </w:pPr>
            <w:r w:rsidRPr="0035496A">
              <w:rPr>
                <w:color w:val="000000"/>
                <w:szCs w:val="22"/>
                <w:lang w:eastAsia="cs-CZ"/>
              </w:rPr>
              <w:t>0,10</w:t>
            </w:r>
          </w:p>
        </w:tc>
      </w:tr>
      <w:tr w14:paraId="29FDC96E"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5C6D0B15" w14:textId="77777777">
            <w:pPr>
              <w:spacing w:after="0" w:line="240" w:lineRule="auto"/>
              <w:jc w:val="center"/>
              <w:rPr>
                <w:color w:val="000000"/>
                <w:szCs w:val="22"/>
                <w:lang w:eastAsia="cs-CZ"/>
              </w:rPr>
            </w:pPr>
            <w:r w:rsidRPr="0035496A">
              <w:rPr>
                <w:color w:val="000000"/>
                <w:szCs w:val="22"/>
                <w:lang w:eastAsia="cs-CZ"/>
              </w:rPr>
              <w:t>2011</w:t>
            </w:r>
          </w:p>
        </w:tc>
        <w:tc>
          <w:tcPr>
            <w:tcW w:w="1582"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5E4F116C" w14:textId="77777777">
            <w:pPr>
              <w:spacing w:after="0" w:line="240" w:lineRule="auto"/>
              <w:jc w:val="center"/>
              <w:rPr>
                <w:color w:val="000000"/>
                <w:szCs w:val="22"/>
                <w:lang w:eastAsia="cs-CZ"/>
              </w:rPr>
            </w:pPr>
            <w:r w:rsidRPr="0035496A">
              <w:rPr>
                <w:color w:val="000000"/>
                <w:szCs w:val="22"/>
                <w:lang w:eastAsia="cs-CZ"/>
              </w:rPr>
              <w:t>52,84</w:t>
            </w:r>
          </w:p>
        </w:tc>
        <w:tc>
          <w:tcPr>
            <w:tcW w:w="1443"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A5C528C" w14:textId="77777777">
            <w:pPr>
              <w:spacing w:after="0" w:line="240" w:lineRule="auto"/>
              <w:jc w:val="center"/>
              <w:rPr>
                <w:color w:val="000000"/>
                <w:szCs w:val="22"/>
                <w:lang w:eastAsia="cs-CZ"/>
              </w:rPr>
            </w:pPr>
            <w:r w:rsidRPr="0035496A">
              <w:rPr>
                <w:color w:val="000000"/>
                <w:szCs w:val="22"/>
                <w:lang w:eastAsia="cs-CZ"/>
              </w:rPr>
              <w:t>44,76</w:t>
            </w:r>
          </w:p>
        </w:tc>
        <w:tc>
          <w:tcPr>
            <w:tcW w:w="1457"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2D7976E" w14:textId="77777777">
            <w:pPr>
              <w:spacing w:after="0" w:line="240" w:lineRule="auto"/>
              <w:jc w:val="center"/>
              <w:rPr>
                <w:color w:val="000000"/>
                <w:szCs w:val="22"/>
                <w:lang w:eastAsia="cs-CZ"/>
              </w:rPr>
            </w:pPr>
            <w:r w:rsidRPr="0035496A">
              <w:rPr>
                <w:color w:val="000000"/>
                <w:szCs w:val="22"/>
                <w:lang w:eastAsia="cs-CZ"/>
              </w:rPr>
              <w:t>1,29</w:t>
            </w:r>
          </w:p>
        </w:tc>
        <w:tc>
          <w:tcPr>
            <w:tcW w:w="1776"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3D9373F" w14:textId="77777777">
            <w:pPr>
              <w:spacing w:after="0" w:line="240" w:lineRule="auto"/>
              <w:jc w:val="center"/>
              <w:rPr>
                <w:color w:val="000000"/>
                <w:szCs w:val="22"/>
                <w:lang w:eastAsia="cs-CZ"/>
              </w:rPr>
            </w:pPr>
            <w:r w:rsidRPr="0035496A">
              <w:rPr>
                <w:color w:val="000000"/>
                <w:szCs w:val="22"/>
                <w:lang w:eastAsia="cs-CZ"/>
              </w:rPr>
              <w:t>1,09</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3F292F06" w14:textId="77777777">
            <w:pPr>
              <w:spacing w:after="0" w:line="240" w:lineRule="auto"/>
              <w:jc w:val="center"/>
              <w:rPr>
                <w:color w:val="000000"/>
                <w:szCs w:val="22"/>
                <w:lang w:eastAsia="cs-CZ"/>
              </w:rPr>
            </w:pPr>
            <w:r w:rsidRPr="0035496A">
              <w:rPr>
                <w:color w:val="000000"/>
                <w:szCs w:val="22"/>
                <w:lang w:eastAsia="cs-CZ"/>
              </w:rPr>
              <w:t>0,02</w:t>
            </w:r>
          </w:p>
        </w:tc>
      </w:tr>
      <w:tr w14:paraId="55D0FB8C"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0825490C" w14:textId="77777777">
            <w:pPr>
              <w:spacing w:after="0" w:line="240" w:lineRule="auto"/>
              <w:jc w:val="center"/>
              <w:rPr>
                <w:color w:val="000000"/>
                <w:szCs w:val="22"/>
                <w:lang w:eastAsia="cs-CZ"/>
              </w:rPr>
            </w:pPr>
            <w:r w:rsidRPr="0035496A">
              <w:rPr>
                <w:color w:val="000000"/>
                <w:szCs w:val="22"/>
                <w:lang w:eastAsia="cs-CZ"/>
              </w:rPr>
              <w:t>2012</w:t>
            </w:r>
          </w:p>
        </w:tc>
        <w:tc>
          <w:tcPr>
            <w:tcW w:w="1582"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96FFACC" w14:textId="77777777">
            <w:pPr>
              <w:spacing w:after="0" w:line="240" w:lineRule="auto"/>
              <w:jc w:val="center"/>
              <w:rPr>
                <w:color w:val="000000"/>
                <w:szCs w:val="22"/>
                <w:lang w:eastAsia="cs-CZ"/>
              </w:rPr>
            </w:pPr>
            <w:r w:rsidRPr="0035496A">
              <w:rPr>
                <w:color w:val="000000"/>
                <w:szCs w:val="22"/>
                <w:lang w:eastAsia="cs-CZ"/>
              </w:rPr>
              <w:t>56,69</w:t>
            </w:r>
          </w:p>
        </w:tc>
        <w:tc>
          <w:tcPr>
            <w:tcW w:w="1443"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77F528BE" w14:textId="77777777">
            <w:pPr>
              <w:spacing w:after="0" w:line="240" w:lineRule="auto"/>
              <w:jc w:val="center"/>
              <w:rPr>
                <w:color w:val="000000"/>
                <w:szCs w:val="22"/>
                <w:lang w:eastAsia="cs-CZ"/>
              </w:rPr>
            </w:pPr>
            <w:r w:rsidRPr="0035496A">
              <w:rPr>
                <w:color w:val="000000"/>
                <w:szCs w:val="22"/>
                <w:lang w:eastAsia="cs-CZ"/>
              </w:rPr>
              <w:t>41,09</w:t>
            </w:r>
          </w:p>
        </w:tc>
        <w:tc>
          <w:tcPr>
            <w:tcW w:w="1457"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328E98D" w14:textId="77777777">
            <w:pPr>
              <w:spacing w:after="0" w:line="240" w:lineRule="auto"/>
              <w:jc w:val="center"/>
              <w:rPr>
                <w:color w:val="000000"/>
                <w:szCs w:val="22"/>
                <w:lang w:eastAsia="cs-CZ"/>
              </w:rPr>
            </w:pPr>
            <w:r w:rsidRPr="0035496A">
              <w:rPr>
                <w:color w:val="000000"/>
                <w:szCs w:val="22"/>
                <w:lang w:eastAsia="cs-CZ"/>
              </w:rPr>
              <w:t>1,09</w:t>
            </w:r>
          </w:p>
        </w:tc>
        <w:tc>
          <w:tcPr>
            <w:tcW w:w="1776"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239488B0" w14:textId="77777777">
            <w:pPr>
              <w:spacing w:after="0" w:line="240" w:lineRule="auto"/>
              <w:jc w:val="center"/>
              <w:rPr>
                <w:color w:val="000000"/>
                <w:szCs w:val="22"/>
                <w:lang w:eastAsia="cs-CZ"/>
              </w:rPr>
            </w:pPr>
            <w:r w:rsidRPr="0035496A">
              <w:rPr>
                <w:color w:val="000000"/>
                <w:szCs w:val="22"/>
                <w:lang w:eastAsia="cs-CZ"/>
              </w:rPr>
              <w:t>1,11</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144C7FD6" w14:textId="77777777">
            <w:pPr>
              <w:spacing w:after="0" w:line="240" w:lineRule="auto"/>
              <w:jc w:val="center"/>
              <w:rPr>
                <w:color w:val="000000"/>
                <w:szCs w:val="22"/>
                <w:lang w:eastAsia="cs-CZ"/>
              </w:rPr>
            </w:pPr>
            <w:r w:rsidRPr="0035496A">
              <w:rPr>
                <w:color w:val="000000"/>
                <w:szCs w:val="22"/>
                <w:lang w:eastAsia="cs-CZ"/>
              </w:rPr>
              <w:t>0,02</w:t>
            </w:r>
          </w:p>
        </w:tc>
      </w:tr>
      <w:tr w14:paraId="1C216891"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4D4F1CA6" w14:textId="77777777">
            <w:pPr>
              <w:spacing w:after="0" w:line="240" w:lineRule="auto"/>
              <w:jc w:val="center"/>
              <w:rPr>
                <w:color w:val="000000"/>
                <w:szCs w:val="22"/>
                <w:lang w:eastAsia="cs-CZ"/>
              </w:rPr>
            </w:pPr>
            <w:r w:rsidRPr="0035496A">
              <w:rPr>
                <w:color w:val="000000"/>
                <w:szCs w:val="22"/>
                <w:lang w:eastAsia="cs-CZ"/>
              </w:rPr>
              <w:t>2013</w:t>
            </w:r>
          </w:p>
        </w:tc>
        <w:tc>
          <w:tcPr>
            <w:tcW w:w="1582"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F0AF0A2" w14:textId="77777777">
            <w:pPr>
              <w:spacing w:after="0" w:line="240" w:lineRule="auto"/>
              <w:jc w:val="center"/>
              <w:rPr>
                <w:color w:val="000000"/>
                <w:szCs w:val="22"/>
                <w:lang w:eastAsia="cs-CZ"/>
              </w:rPr>
            </w:pPr>
            <w:r w:rsidRPr="0035496A">
              <w:rPr>
                <w:color w:val="000000"/>
                <w:szCs w:val="22"/>
                <w:lang w:eastAsia="cs-CZ"/>
              </w:rPr>
              <w:t>59,73</w:t>
            </w:r>
          </w:p>
        </w:tc>
        <w:tc>
          <w:tcPr>
            <w:tcW w:w="1443"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1BE5903" w14:textId="77777777">
            <w:pPr>
              <w:spacing w:after="0" w:line="240" w:lineRule="auto"/>
              <w:jc w:val="center"/>
              <w:rPr>
                <w:color w:val="000000"/>
                <w:szCs w:val="22"/>
                <w:lang w:eastAsia="cs-CZ"/>
              </w:rPr>
            </w:pPr>
            <w:r w:rsidRPr="0035496A">
              <w:rPr>
                <w:color w:val="000000"/>
                <w:szCs w:val="22"/>
                <w:lang w:eastAsia="cs-CZ"/>
              </w:rPr>
              <w:t>38,24</w:t>
            </w:r>
          </w:p>
        </w:tc>
        <w:tc>
          <w:tcPr>
            <w:tcW w:w="1457"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4E6979C4" w14:textId="77777777">
            <w:pPr>
              <w:spacing w:after="0" w:line="240" w:lineRule="auto"/>
              <w:jc w:val="center"/>
              <w:rPr>
                <w:color w:val="000000"/>
                <w:szCs w:val="22"/>
                <w:lang w:eastAsia="cs-CZ"/>
              </w:rPr>
            </w:pPr>
            <w:r w:rsidRPr="0035496A">
              <w:rPr>
                <w:color w:val="000000"/>
                <w:szCs w:val="22"/>
                <w:lang w:eastAsia="cs-CZ"/>
              </w:rPr>
              <w:t>0,87</w:t>
            </w:r>
          </w:p>
        </w:tc>
        <w:tc>
          <w:tcPr>
            <w:tcW w:w="1776"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F713E74" w14:textId="77777777">
            <w:pPr>
              <w:spacing w:after="0" w:line="240" w:lineRule="auto"/>
              <w:jc w:val="center"/>
              <w:rPr>
                <w:color w:val="000000"/>
                <w:szCs w:val="22"/>
                <w:lang w:eastAsia="cs-CZ"/>
              </w:rPr>
            </w:pPr>
            <w:r w:rsidRPr="0035496A">
              <w:rPr>
                <w:color w:val="000000"/>
                <w:szCs w:val="22"/>
                <w:lang w:eastAsia="cs-CZ"/>
              </w:rPr>
              <w:t>1,16</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7675B158" w14:textId="77777777">
            <w:pPr>
              <w:spacing w:after="0" w:line="240" w:lineRule="auto"/>
              <w:jc w:val="center"/>
              <w:rPr>
                <w:color w:val="000000"/>
                <w:szCs w:val="22"/>
                <w:lang w:eastAsia="cs-CZ"/>
              </w:rPr>
            </w:pPr>
            <w:r w:rsidRPr="0035496A">
              <w:rPr>
                <w:color w:val="000000"/>
                <w:szCs w:val="22"/>
                <w:lang w:eastAsia="cs-CZ"/>
              </w:rPr>
              <w:t>0,00</w:t>
            </w:r>
          </w:p>
        </w:tc>
      </w:tr>
      <w:tr w14:paraId="01C59472"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48B55638" w14:textId="77777777">
            <w:pPr>
              <w:spacing w:after="0" w:line="240" w:lineRule="auto"/>
              <w:jc w:val="center"/>
              <w:rPr>
                <w:color w:val="000000"/>
                <w:szCs w:val="22"/>
                <w:lang w:eastAsia="cs-CZ"/>
              </w:rPr>
            </w:pPr>
            <w:r w:rsidRPr="0035496A">
              <w:rPr>
                <w:color w:val="000000"/>
                <w:szCs w:val="22"/>
                <w:lang w:eastAsia="cs-CZ"/>
              </w:rPr>
              <w:t>2014</w:t>
            </w:r>
          </w:p>
        </w:tc>
        <w:tc>
          <w:tcPr>
            <w:tcW w:w="1582"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FB9907C" w14:textId="77777777">
            <w:pPr>
              <w:spacing w:after="0" w:line="240" w:lineRule="auto"/>
              <w:jc w:val="center"/>
              <w:rPr>
                <w:color w:val="000000"/>
                <w:szCs w:val="22"/>
                <w:lang w:eastAsia="cs-CZ"/>
              </w:rPr>
            </w:pPr>
            <w:r w:rsidRPr="0035496A">
              <w:rPr>
                <w:color w:val="000000"/>
                <w:szCs w:val="22"/>
                <w:lang w:eastAsia="cs-CZ"/>
              </w:rPr>
              <w:t>64,67</w:t>
            </w:r>
          </w:p>
        </w:tc>
        <w:tc>
          <w:tcPr>
            <w:tcW w:w="1443"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CE8E5B3" w14:textId="77777777">
            <w:pPr>
              <w:spacing w:after="0" w:line="240" w:lineRule="auto"/>
              <w:jc w:val="center"/>
              <w:rPr>
                <w:color w:val="000000"/>
                <w:szCs w:val="22"/>
                <w:lang w:eastAsia="cs-CZ"/>
              </w:rPr>
            </w:pPr>
            <w:r w:rsidRPr="0035496A">
              <w:rPr>
                <w:color w:val="000000"/>
                <w:szCs w:val="22"/>
                <w:lang w:eastAsia="cs-CZ"/>
              </w:rPr>
              <w:t>33,10</w:t>
            </w:r>
          </w:p>
        </w:tc>
        <w:tc>
          <w:tcPr>
            <w:tcW w:w="1457"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4DC0D938" w14:textId="77777777">
            <w:pPr>
              <w:spacing w:after="0" w:line="240" w:lineRule="auto"/>
              <w:jc w:val="center"/>
              <w:rPr>
                <w:color w:val="000000"/>
                <w:szCs w:val="22"/>
                <w:lang w:eastAsia="cs-CZ"/>
              </w:rPr>
            </w:pPr>
            <w:r w:rsidRPr="0035496A">
              <w:rPr>
                <w:color w:val="000000"/>
                <w:szCs w:val="22"/>
                <w:lang w:eastAsia="cs-CZ"/>
              </w:rPr>
              <w:t>1,13</w:t>
            </w:r>
          </w:p>
        </w:tc>
        <w:tc>
          <w:tcPr>
            <w:tcW w:w="1776"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7A5A2756" w14:textId="77777777">
            <w:pPr>
              <w:spacing w:after="0" w:line="240" w:lineRule="auto"/>
              <w:jc w:val="center"/>
              <w:rPr>
                <w:color w:val="000000"/>
                <w:szCs w:val="22"/>
                <w:lang w:eastAsia="cs-CZ"/>
              </w:rPr>
            </w:pPr>
            <w:r w:rsidRPr="0035496A">
              <w:rPr>
                <w:color w:val="000000"/>
                <w:szCs w:val="22"/>
                <w:lang w:eastAsia="cs-CZ"/>
              </w:rPr>
              <w:t>1,10</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6FA400F4" w14:textId="77777777">
            <w:pPr>
              <w:spacing w:after="0" w:line="240" w:lineRule="auto"/>
              <w:jc w:val="center"/>
              <w:rPr>
                <w:color w:val="000000"/>
                <w:szCs w:val="22"/>
                <w:lang w:eastAsia="cs-CZ"/>
              </w:rPr>
            </w:pPr>
            <w:r w:rsidRPr="0035496A">
              <w:rPr>
                <w:color w:val="000000"/>
                <w:szCs w:val="22"/>
                <w:lang w:eastAsia="cs-CZ"/>
              </w:rPr>
              <w:t>0,00</w:t>
            </w:r>
          </w:p>
        </w:tc>
      </w:tr>
      <w:tr w14:paraId="7BBF29DE"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6031E5" w:rsidRPr="0035496A" w:rsidP="006031E5" w14:paraId="13DC7A03" w14:textId="77777777">
            <w:pPr>
              <w:spacing w:after="0" w:line="240" w:lineRule="auto"/>
              <w:jc w:val="center"/>
              <w:rPr>
                <w:color w:val="000000"/>
                <w:szCs w:val="22"/>
                <w:lang w:eastAsia="cs-CZ"/>
              </w:rPr>
            </w:pPr>
            <w:r w:rsidRPr="0035496A">
              <w:rPr>
                <w:color w:val="000000"/>
                <w:szCs w:val="22"/>
                <w:lang w:eastAsia="cs-CZ"/>
              </w:rPr>
              <w:t>2015</w:t>
            </w:r>
          </w:p>
        </w:tc>
        <w:tc>
          <w:tcPr>
            <w:tcW w:w="1582"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0C417919" w14:textId="77777777">
            <w:pPr>
              <w:spacing w:after="0" w:line="240" w:lineRule="auto"/>
              <w:jc w:val="center"/>
              <w:rPr>
                <w:color w:val="000000"/>
                <w:szCs w:val="22"/>
                <w:lang w:eastAsia="cs-CZ"/>
              </w:rPr>
            </w:pPr>
            <w:r w:rsidRPr="0035496A">
              <w:rPr>
                <w:color w:val="000000"/>
                <w:szCs w:val="22"/>
                <w:lang w:eastAsia="cs-CZ"/>
              </w:rPr>
              <w:t>67,44</w:t>
            </w:r>
          </w:p>
        </w:tc>
        <w:tc>
          <w:tcPr>
            <w:tcW w:w="1443"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46CF5A72" w14:textId="77777777">
            <w:pPr>
              <w:spacing w:after="0" w:line="240" w:lineRule="auto"/>
              <w:jc w:val="center"/>
              <w:rPr>
                <w:color w:val="000000"/>
                <w:szCs w:val="22"/>
                <w:lang w:eastAsia="cs-CZ"/>
              </w:rPr>
            </w:pPr>
            <w:r w:rsidRPr="0035496A">
              <w:rPr>
                <w:color w:val="000000"/>
                <w:szCs w:val="22"/>
                <w:lang w:eastAsia="cs-CZ"/>
              </w:rPr>
              <w:t>30,13</w:t>
            </w:r>
          </w:p>
        </w:tc>
        <w:tc>
          <w:tcPr>
            <w:tcW w:w="1457"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1BCDA141" w14:textId="77777777">
            <w:pPr>
              <w:spacing w:after="0" w:line="240" w:lineRule="auto"/>
              <w:jc w:val="center"/>
              <w:rPr>
                <w:color w:val="000000"/>
                <w:szCs w:val="22"/>
                <w:lang w:eastAsia="cs-CZ"/>
              </w:rPr>
            </w:pPr>
            <w:r w:rsidRPr="0035496A">
              <w:rPr>
                <w:color w:val="000000"/>
                <w:szCs w:val="22"/>
                <w:lang w:eastAsia="cs-CZ"/>
              </w:rPr>
              <w:t>1,03</w:t>
            </w:r>
          </w:p>
        </w:tc>
        <w:tc>
          <w:tcPr>
            <w:tcW w:w="1776"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3AB00C49" w14:textId="77777777">
            <w:pPr>
              <w:spacing w:after="0" w:line="240" w:lineRule="auto"/>
              <w:jc w:val="center"/>
              <w:rPr>
                <w:color w:val="000000"/>
                <w:szCs w:val="22"/>
                <w:lang w:eastAsia="cs-CZ"/>
              </w:rPr>
            </w:pPr>
            <w:r w:rsidRPr="0035496A">
              <w:rPr>
                <w:color w:val="000000"/>
                <w:szCs w:val="22"/>
                <w:lang w:eastAsia="cs-CZ"/>
              </w:rPr>
              <w:t>1,40</w:t>
            </w:r>
          </w:p>
        </w:tc>
        <w:tc>
          <w:tcPr>
            <w:tcW w:w="1443" w:type="dxa"/>
            <w:tcBorders>
              <w:top w:val="nil"/>
              <w:left w:val="nil"/>
              <w:bottom w:val="single" w:sz="4" w:space="0" w:color="auto"/>
              <w:right w:val="single" w:sz="8" w:space="0" w:color="auto"/>
            </w:tcBorders>
            <w:shd w:val="clear" w:color="auto" w:fill="auto"/>
            <w:noWrap/>
            <w:vAlign w:val="bottom"/>
            <w:hideMark/>
          </w:tcPr>
          <w:p w:rsidR="006031E5" w:rsidRPr="0035496A" w:rsidP="006031E5" w14:paraId="0ED425EA" w14:textId="77777777">
            <w:pPr>
              <w:spacing w:after="0" w:line="240" w:lineRule="auto"/>
              <w:jc w:val="center"/>
              <w:rPr>
                <w:color w:val="000000"/>
                <w:szCs w:val="22"/>
                <w:lang w:eastAsia="cs-CZ"/>
              </w:rPr>
            </w:pPr>
            <w:r w:rsidRPr="0035496A">
              <w:rPr>
                <w:color w:val="000000"/>
                <w:szCs w:val="22"/>
                <w:lang w:eastAsia="cs-CZ"/>
              </w:rPr>
              <w:t>0,00</w:t>
            </w:r>
          </w:p>
        </w:tc>
      </w:tr>
      <w:tr w14:paraId="78AA3BC5" w14:textId="77777777" w:rsidTr="006031E5">
        <w:tblPrEx>
          <w:tblW w:w="8661" w:type="dxa"/>
          <w:tblCellMar>
            <w:left w:w="70" w:type="dxa"/>
            <w:right w:w="70" w:type="dxa"/>
          </w:tblCellMar>
          <w:tblLook w:val="04A0"/>
        </w:tblPrEx>
        <w:trPr>
          <w:trHeight w:val="28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6FB61BC3" w14:textId="77777777">
            <w:pPr>
              <w:spacing w:after="0" w:line="240" w:lineRule="auto"/>
              <w:jc w:val="center"/>
              <w:rPr>
                <w:color w:val="000000"/>
                <w:szCs w:val="22"/>
                <w:lang w:eastAsia="cs-CZ"/>
              </w:rPr>
            </w:pPr>
            <w:r w:rsidRPr="0035496A">
              <w:rPr>
                <w:color w:val="000000"/>
                <w:szCs w:val="22"/>
                <w:lang w:eastAsia="cs-CZ"/>
              </w:rPr>
              <w:t>2016</w:t>
            </w:r>
          </w:p>
        </w:tc>
        <w:tc>
          <w:tcPr>
            <w:tcW w:w="1582"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3853FA42" w14:textId="77777777">
            <w:pPr>
              <w:spacing w:after="0" w:line="240" w:lineRule="auto"/>
              <w:jc w:val="center"/>
              <w:rPr>
                <w:color w:val="000000"/>
                <w:szCs w:val="22"/>
                <w:lang w:eastAsia="cs-CZ"/>
              </w:rPr>
            </w:pPr>
            <w:r w:rsidRPr="0035496A">
              <w:rPr>
                <w:color w:val="000000"/>
                <w:szCs w:val="22"/>
                <w:lang w:eastAsia="cs-CZ"/>
              </w:rPr>
              <w:t>65,09</w:t>
            </w:r>
          </w:p>
        </w:tc>
        <w:tc>
          <w:tcPr>
            <w:tcW w:w="1443"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08B4778B" w14:textId="77777777">
            <w:pPr>
              <w:spacing w:after="0" w:line="240" w:lineRule="auto"/>
              <w:jc w:val="center"/>
              <w:rPr>
                <w:color w:val="000000"/>
                <w:szCs w:val="22"/>
                <w:lang w:eastAsia="cs-CZ"/>
              </w:rPr>
            </w:pPr>
            <w:r w:rsidRPr="0035496A">
              <w:rPr>
                <w:color w:val="000000"/>
                <w:szCs w:val="22"/>
                <w:lang w:eastAsia="cs-CZ"/>
              </w:rPr>
              <w:t>31,35</w:t>
            </w:r>
          </w:p>
        </w:tc>
        <w:tc>
          <w:tcPr>
            <w:tcW w:w="1457"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0E5AC081" w14:textId="77777777">
            <w:pPr>
              <w:spacing w:after="0" w:line="240" w:lineRule="auto"/>
              <w:jc w:val="center"/>
              <w:rPr>
                <w:color w:val="000000"/>
                <w:szCs w:val="22"/>
                <w:lang w:eastAsia="cs-CZ"/>
              </w:rPr>
            </w:pPr>
            <w:r w:rsidRPr="0035496A">
              <w:rPr>
                <w:color w:val="000000"/>
                <w:szCs w:val="22"/>
                <w:lang w:eastAsia="cs-CZ"/>
              </w:rPr>
              <w:t>2,29</w:t>
            </w:r>
          </w:p>
        </w:tc>
        <w:tc>
          <w:tcPr>
            <w:tcW w:w="1776"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4A97C065" w14:textId="77777777">
            <w:pPr>
              <w:spacing w:after="0" w:line="240" w:lineRule="auto"/>
              <w:jc w:val="center"/>
              <w:rPr>
                <w:color w:val="000000"/>
                <w:szCs w:val="22"/>
                <w:lang w:eastAsia="cs-CZ"/>
              </w:rPr>
            </w:pPr>
            <w:r w:rsidRPr="0035496A">
              <w:rPr>
                <w:color w:val="000000"/>
                <w:szCs w:val="22"/>
                <w:lang w:eastAsia="cs-CZ"/>
              </w:rPr>
              <w:t>1,26</w:t>
            </w:r>
          </w:p>
        </w:tc>
        <w:tc>
          <w:tcPr>
            <w:tcW w:w="144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3ABCD0FD" w14:textId="77777777">
            <w:pPr>
              <w:spacing w:after="0" w:line="240" w:lineRule="auto"/>
              <w:jc w:val="center"/>
              <w:rPr>
                <w:color w:val="000000"/>
                <w:szCs w:val="22"/>
                <w:lang w:eastAsia="cs-CZ"/>
              </w:rPr>
            </w:pPr>
            <w:r w:rsidRPr="0035496A">
              <w:rPr>
                <w:color w:val="000000"/>
                <w:szCs w:val="22"/>
                <w:lang w:eastAsia="cs-CZ"/>
              </w:rPr>
              <w:t>0,01</w:t>
            </w:r>
          </w:p>
        </w:tc>
      </w:tr>
      <w:tr w14:paraId="2CF5AA94" w14:textId="77777777" w:rsidTr="006031E5">
        <w:tblPrEx>
          <w:tblW w:w="8661" w:type="dxa"/>
          <w:tblCellMar>
            <w:left w:w="70" w:type="dxa"/>
            <w:right w:w="70" w:type="dxa"/>
          </w:tblCellMar>
          <w:tblLook w:val="04A0"/>
        </w:tblPrEx>
        <w:trPr>
          <w:trHeight w:val="300"/>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6031E5" w:rsidRPr="0035496A" w:rsidP="006031E5" w14:paraId="35C3E7CF" w14:textId="77777777">
            <w:pPr>
              <w:spacing w:after="0" w:line="240" w:lineRule="auto"/>
              <w:jc w:val="center"/>
              <w:rPr>
                <w:color w:val="000000"/>
                <w:szCs w:val="22"/>
                <w:lang w:eastAsia="cs-CZ"/>
              </w:rPr>
            </w:pPr>
            <w:r w:rsidRPr="0035496A">
              <w:rPr>
                <w:color w:val="000000"/>
                <w:szCs w:val="22"/>
                <w:lang w:eastAsia="cs-CZ"/>
              </w:rPr>
              <w:t>2017</w:t>
            </w:r>
          </w:p>
        </w:tc>
        <w:tc>
          <w:tcPr>
            <w:tcW w:w="1582"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37A0B1C3" w14:textId="77777777">
            <w:pPr>
              <w:spacing w:after="0" w:line="240" w:lineRule="auto"/>
              <w:jc w:val="center"/>
              <w:rPr>
                <w:color w:val="000000"/>
                <w:szCs w:val="22"/>
                <w:lang w:eastAsia="cs-CZ"/>
              </w:rPr>
            </w:pPr>
            <w:r w:rsidRPr="0035496A">
              <w:rPr>
                <w:color w:val="000000"/>
                <w:szCs w:val="22"/>
                <w:lang w:eastAsia="cs-CZ"/>
              </w:rPr>
              <w:t>68,39</w:t>
            </w:r>
          </w:p>
        </w:tc>
        <w:tc>
          <w:tcPr>
            <w:tcW w:w="1443"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2AD05D35" w14:textId="77777777">
            <w:pPr>
              <w:spacing w:after="0" w:line="240" w:lineRule="auto"/>
              <w:jc w:val="center"/>
              <w:rPr>
                <w:color w:val="000000"/>
                <w:szCs w:val="22"/>
                <w:lang w:eastAsia="cs-CZ"/>
              </w:rPr>
            </w:pPr>
            <w:r w:rsidRPr="0035496A">
              <w:rPr>
                <w:color w:val="000000"/>
                <w:szCs w:val="22"/>
                <w:lang w:eastAsia="cs-CZ"/>
              </w:rPr>
              <w:t>28,50</w:t>
            </w:r>
          </w:p>
        </w:tc>
        <w:tc>
          <w:tcPr>
            <w:tcW w:w="1457"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16948C27" w14:textId="77777777">
            <w:pPr>
              <w:spacing w:after="0" w:line="240" w:lineRule="auto"/>
              <w:jc w:val="center"/>
              <w:rPr>
                <w:color w:val="000000"/>
                <w:szCs w:val="22"/>
                <w:lang w:eastAsia="cs-CZ"/>
              </w:rPr>
            </w:pPr>
            <w:r w:rsidRPr="0035496A">
              <w:rPr>
                <w:color w:val="000000"/>
                <w:szCs w:val="22"/>
                <w:lang w:eastAsia="cs-CZ"/>
              </w:rPr>
              <w:t>1,64</w:t>
            </w:r>
          </w:p>
        </w:tc>
        <w:tc>
          <w:tcPr>
            <w:tcW w:w="1776"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5BD17C19" w14:textId="77777777">
            <w:pPr>
              <w:spacing w:after="0" w:line="240" w:lineRule="auto"/>
              <w:jc w:val="center"/>
              <w:rPr>
                <w:color w:val="000000"/>
                <w:szCs w:val="22"/>
                <w:lang w:eastAsia="cs-CZ"/>
              </w:rPr>
            </w:pPr>
            <w:r w:rsidRPr="0035496A">
              <w:rPr>
                <w:color w:val="000000"/>
                <w:szCs w:val="22"/>
                <w:lang w:eastAsia="cs-CZ"/>
              </w:rPr>
              <w:t>1,46</w:t>
            </w:r>
          </w:p>
        </w:tc>
        <w:tc>
          <w:tcPr>
            <w:tcW w:w="1443" w:type="dxa"/>
            <w:tcBorders>
              <w:top w:val="nil"/>
              <w:left w:val="nil"/>
              <w:bottom w:val="single" w:sz="8" w:space="0" w:color="auto"/>
              <w:right w:val="single" w:sz="8" w:space="0" w:color="auto"/>
            </w:tcBorders>
            <w:shd w:val="clear" w:color="auto" w:fill="auto"/>
            <w:noWrap/>
            <w:vAlign w:val="bottom"/>
            <w:hideMark/>
          </w:tcPr>
          <w:p w:rsidR="006031E5" w:rsidRPr="0035496A" w:rsidP="006031E5" w14:paraId="0E92B350" w14:textId="77777777">
            <w:pPr>
              <w:spacing w:after="0" w:line="240" w:lineRule="auto"/>
              <w:jc w:val="center"/>
              <w:rPr>
                <w:color w:val="000000"/>
                <w:szCs w:val="22"/>
                <w:lang w:eastAsia="cs-CZ"/>
              </w:rPr>
            </w:pPr>
            <w:r w:rsidRPr="0035496A">
              <w:rPr>
                <w:color w:val="000000"/>
                <w:szCs w:val="22"/>
                <w:lang w:eastAsia="cs-CZ"/>
              </w:rPr>
              <w:t>0,00</w:t>
            </w:r>
          </w:p>
        </w:tc>
      </w:tr>
      <w:tr w14:paraId="0323F609" w14:textId="77777777" w:rsidTr="006031E5">
        <w:tblPrEx>
          <w:tblW w:w="8661" w:type="dxa"/>
          <w:tblCellMar>
            <w:left w:w="70" w:type="dxa"/>
            <w:right w:w="70" w:type="dxa"/>
          </w:tblCellMar>
          <w:tblLook w:val="04A0"/>
        </w:tblPrEx>
        <w:trPr>
          <w:trHeight w:val="285"/>
        </w:trPr>
        <w:tc>
          <w:tcPr>
            <w:tcW w:w="960" w:type="dxa"/>
            <w:tcBorders>
              <w:top w:val="nil"/>
              <w:left w:val="nil"/>
              <w:bottom w:val="nil"/>
              <w:right w:val="nil"/>
            </w:tcBorders>
            <w:shd w:val="clear" w:color="auto" w:fill="auto"/>
            <w:noWrap/>
            <w:vAlign w:val="bottom"/>
            <w:hideMark/>
          </w:tcPr>
          <w:p w:rsidR="006031E5" w:rsidRPr="0035496A" w:rsidP="006031E5" w14:paraId="679DB12D" w14:textId="77777777">
            <w:pPr>
              <w:spacing w:after="0" w:line="240" w:lineRule="auto"/>
              <w:jc w:val="center"/>
              <w:rPr>
                <w:color w:val="000000"/>
                <w:szCs w:val="22"/>
                <w:lang w:eastAsia="cs-CZ"/>
              </w:rPr>
            </w:pPr>
          </w:p>
        </w:tc>
        <w:tc>
          <w:tcPr>
            <w:tcW w:w="1582" w:type="dxa"/>
            <w:tcBorders>
              <w:top w:val="nil"/>
              <w:left w:val="nil"/>
              <w:bottom w:val="nil"/>
              <w:right w:val="nil"/>
            </w:tcBorders>
            <w:shd w:val="clear" w:color="auto" w:fill="auto"/>
            <w:noWrap/>
            <w:vAlign w:val="bottom"/>
            <w:hideMark/>
          </w:tcPr>
          <w:p w:rsidR="006031E5" w:rsidRPr="0035496A" w:rsidP="006031E5" w14:paraId="27A2FB24" w14:textId="77777777">
            <w:pPr>
              <w:spacing w:after="0" w:line="240" w:lineRule="auto"/>
              <w:rPr>
                <w:szCs w:val="22"/>
                <w:lang w:eastAsia="cs-CZ"/>
              </w:rPr>
            </w:pPr>
          </w:p>
        </w:tc>
        <w:tc>
          <w:tcPr>
            <w:tcW w:w="1443" w:type="dxa"/>
            <w:tcBorders>
              <w:top w:val="nil"/>
              <w:left w:val="nil"/>
              <w:bottom w:val="nil"/>
              <w:right w:val="nil"/>
            </w:tcBorders>
            <w:shd w:val="clear" w:color="auto" w:fill="auto"/>
            <w:noWrap/>
            <w:vAlign w:val="bottom"/>
            <w:hideMark/>
          </w:tcPr>
          <w:p w:rsidR="006031E5" w:rsidRPr="0035496A" w:rsidP="006031E5" w14:paraId="32896E38" w14:textId="77777777">
            <w:pPr>
              <w:spacing w:after="0" w:line="240" w:lineRule="auto"/>
              <w:rPr>
                <w:szCs w:val="22"/>
                <w:lang w:eastAsia="cs-CZ"/>
              </w:rPr>
            </w:pPr>
          </w:p>
        </w:tc>
        <w:tc>
          <w:tcPr>
            <w:tcW w:w="1457" w:type="dxa"/>
            <w:tcBorders>
              <w:top w:val="nil"/>
              <w:left w:val="nil"/>
              <w:bottom w:val="nil"/>
              <w:right w:val="nil"/>
            </w:tcBorders>
            <w:shd w:val="clear" w:color="auto" w:fill="auto"/>
            <w:noWrap/>
            <w:vAlign w:val="bottom"/>
            <w:hideMark/>
          </w:tcPr>
          <w:p w:rsidR="006031E5" w:rsidRPr="0035496A" w:rsidP="006031E5" w14:paraId="5D562186" w14:textId="77777777">
            <w:pPr>
              <w:spacing w:after="0" w:line="240" w:lineRule="auto"/>
              <w:rPr>
                <w:szCs w:val="22"/>
                <w:lang w:eastAsia="cs-CZ"/>
              </w:rPr>
            </w:pPr>
          </w:p>
        </w:tc>
        <w:tc>
          <w:tcPr>
            <w:tcW w:w="1776" w:type="dxa"/>
            <w:tcBorders>
              <w:top w:val="nil"/>
              <w:left w:val="nil"/>
              <w:bottom w:val="nil"/>
              <w:right w:val="nil"/>
            </w:tcBorders>
            <w:shd w:val="clear" w:color="auto" w:fill="auto"/>
            <w:noWrap/>
            <w:vAlign w:val="bottom"/>
            <w:hideMark/>
          </w:tcPr>
          <w:p w:rsidR="006031E5" w:rsidRPr="0035496A" w:rsidP="006031E5" w14:paraId="4C5100F3" w14:textId="77777777">
            <w:pPr>
              <w:spacing w:after="0" w:line="240" w:lineRule="auto"/>
              <w:rPr>
                <w:szCs w:val="22"/>
                <w:lang w:eastAsia="cs-CZ"/>
              </w:rPr>
            </w:pPr>
          </w:p>
        </w:tc>
        <w:tc>
          <w:tcPr>
            <w:tcW w:w="1443" w:type="dxa"/>
            <w:tcBorders>
              <w:top w:val="nil"/>
              <w:left w:val="nil"/>
              <w:bottom w:val="nil"/>
              <w:right w:val="nil"/>
            </w:tcBorders>
            <w:shd w:val="clear" w:color="auto" w:fill="auto"/>
            <w:noWrap/>
            <w:vAlign w:val="bottom"/>
            <w:hideMark/>
          </w:tcPr>
          <w:p w:rsidR="006031E5" w:rsidRPr="0035496A" w:rsidP="006031E5" w14:paraId="5A9E3A00" w14:textId="77777777">
            <w:pPr>
              <w:spacing w:after="0" w:line="240" w:lineRule="auto"/>
              <w:jc w:val="right"/>
              <w:rPr>
                <w:color w:val="000000"/>
                <w:szCs w:val="22"/>
                <w:lang w:eastAsia="cs-CZ"/>
              </w:rPr>
            </w:pPr>
            <w:r w:rsidRPr="0035496A">
              <w:rPr>
                <w:color w:val="000000"/>
                <w:szCs w:val="22"/>
                <w:lang w:eastAsia="cs-CZ"/>
              </w:rPr>
              <w:t>Zdroj: CENIA</w:t>
            </w:r>
          </w:p>
        </w:tc>
      </w:tr>
      <w:tr w14:paraId="5F6002DD" w14:textId="77777777" w:rsidTr="006031E5">
        <w:tblPrEx>
          <w:tblW w:w="8661" w:type="dxa"/>
          <w:tblCellMar>
            <w:left w:w="70" w:type="dxa"/>
            <w:right w:w="70" w:type="dxa"/>
          </w:tblCellMar>
          <w:tblLook w:val="04A0"/>
        </w:tblPrEx>
        <w:trPr>
          <w:trHeight w:val="285"/>
        </w:trPr>
        <w:tc>
          <w:tcPr>
            <w:tcW w:w="960" w:type="dxa"/>
            <w:tcBorders>
              <w:top w:val="nil"/>
              <w:left w:val="nil"/>
              <w:bottom w:val="nil"/>
              <w:right w:val="nil"/>
            </w:tcBorders>
            <w:shd w:val="clear" w:color="auto" w:fill="auto"/>
            <w:noWrap/>
            <w:vAlign w:val="bottom"/>
          </w:tcPr>
          <w:p w:rsidR="006031E5" w:rsidRPr="001F649B" w:rsidP="006031E5" w14:paraId="15A25731" w14:textId="77777777">
            <w:pPr>
              <w:spacing w:after="0" w:line="240" w:lineRule="auto"/>
              <w:jc w:val="center"/>
              <w:rPr>
                <w:rFonts w:cs="Arial"/>
                <w:color w:val="000000"/>
                <w:sz w:val="20"/>
                <w:szCs w:val="20"/>
                <w:lang w:eastAsia="cs-CZ"/>
              </w:rPr>
            </w:pPr>
          </w:p>
        </w:tc>
        <w:tc>
          <w:tcPr>
            <w:tcW w:w="1582" w:type="dxa"/>
            <w:tcBorders>
              <w:top w:val="nil"/>
              <w:left w:val="nil"/>
              <w:bottom w:val="nil"/>
              <w:right w:val="nil"/>
            </w:tcBorders>
            <w:shd w:val="clear" w:color="auto" w:fill="auto"/>
            <w:noWrap/>
            <w:vAlign w:val="bottom"/>
          </w:tcPr>
          <w:p w:rsidR="006031E5" w:rsidRPr="001F649B" w:rsidP="006031E5" w14:paraId="0FF7B4D1" w14:textId="77777777">
            <w:pPr>
              <w:spacing w:after="0" w:line="240" w:lineRule="auto"/>
              <w:rPr>
                <w:sz w:val="20"/>
                <w:szCs w:val="20"/>
                <w:lang w:eastAsia="cs-CZ"/>
              </w:rPr>
            </w:pPr>
          </w:p>
        </w:tc>
        <w:tc>
          <w:tcPr>
            <w:tcW w:w="1443" w:type="dxa"/>
            <w:tcBorders>
              <w:top w:val="nil"/>
              <w:left w:val="nil"/>
              <w:bottom w:val="nil"/>
              <w:right w:val="nil"/>
            </w:tcBorders>
            <w:shd w:val="clear" w:color="auto" w:fill="auto"/>
            <w:noWrap/>
            <w:vAlign w:val="bottom"/>
          </w:tcPr>
          <w:p w:rsidR="006031E5" w:rsidRPr="001F649B" w:rsidP="006031E5" w14:paraId="2CE08161" w14:textId="77777777">
            <w:pPr>
              <w:spacing w:after="0" w:line="240" w:lineRule="auto"/>
              <w:rPr>
                <w:sz w:val="20"/>
                <w:szCs w:val="20"/>
                <w:lang w:eastAsia="cs-CZ"/>
              </w:rPr>
            </w:pPr>
          </w:p>
        </w:tc>
        <w:tc>
          <w:tcPr>
            <w:tcW w:w="1457" w:type="dxa"/>
            <w:tcBorders>
              <w:top w:val="nil"/>
              <w:left w:val="nil"/>
              <w:bottom w:val="nil"/>
              <w:right w:val="nil"/>
            </w:tcBorders>
            <w:shd w:val="clear" w:color="auto" w:fill="auto"/>
            <w:noWrap/>
            <w:vAlign w:val="bottom"/>
          </w:tcPr>
          <w:p w:rsidR="006031E5" w:rsidRPr="001F649B" w:rsidP="006031E5" w14:paraId="3BD03CB5" w14:textId="77777777">
            <w:pPr>
              <w:spacing w:after="0" w:line="240" w:lineRule="auto"/>
              <w:rPr>
                <w:sz w:val="20"/>
                <w:szCs w:val="20"/>
                <w:lang w:eastAsia="cs-CZ"/>
              </w:rPr>
            </w:pPr>
          </w:p>
        </w:tc>
        <w:tc>
          <w:tcPr>
            <w:tcW w:w="1776" w:type="dxa"/>
            <w:tcBorders>
              <w:top w:val="nil"/>
              <w:left w:val="nil"/>
              <w:bottom w:val="nil"/>
              <w:right w:val="nil"/>
            </w:tcBorders>
            <w:shd w:val="clear" w:color="auto" w:fill="auto"/>
            <w:noWrap/>
            <w:vAlign w:val="bottom"/>
          </w:tcPr>
          <w:p w:rsidR="006031E5" w:rsidRPr="001F649B" w:rsidP="006031E5" w14:paraId="3EB5B6C2" w14:textId="77777777">
            <w:pPr>
              <w:spacing w:after="0" w:line="240" w:lineRule="auto"/>
              <w:rPr>
                <w:sz w:val="20"/>
                <w:szCs w:val="20"/>
                <w:lang w:eastAsia="cs-CZ"/>
              </w:rPr>
            </w:pPr>
          </w:p>
        </w:tc>
        <w:tc>
          <w:tcPr>
            <w:tcW w:w="1443" w:type="dxa"/>
            <w:tcBorders>
              <w:top w:val="nil"/>
              <w:left w:val="nil"/>
              <w:bottom w:val="nil"/>
              <w:right w:val="nil"/>
            </w:tcBorders>
            <w:shd w:val="clear" w:color="auto" w:fill="auto"/>
            <w:noWrap/>
            <w:vAlign w:val="bottom"/>
          </w:tcPr>
          <w:p w:rsidR="006031E5" w:rsidRPr="001F649B" w:rsidP="006031E5" w14:paraId="5C31037F" w14:textId="77777777">
            <w:pPr>
              <w:spacing w:after="0" w:line="240" w:lineRule="auto"/>
              <w:jc w:val="right"/>
              <w:rPr>
                <w:rFonts w:cs="Arial"/>
                <w:color w:val="000000"/>
                <w:sz w:val="20"/>
                <w:szCs w:val="20"/>
                <w:lang w:eastAsia="cs-CZ"/>
              </w:rPr>
            </w:pPr>
          </w:p>
        </w:tc>
      </w:tr>
    </w:tbl>
    <w:p w:rsidR="006031E5" w:rsidP="006031E5" w14:paraId="015ACF6D" w14:textId="7F21944D">
      <w:pPr>
        <w:spacing w:after="120"/>
        <w:rPr>
          <w:rFonts w:cs="Arial"/>
          <w:bCs/>
          <w:szCs w:val="20"/>
          <w:lang w:eastAsia="cs-CZ"/>
        </w:rPr>
      </w:pPr>
      <w:r>
        <w:rPr>
          <w:rFonts w:cs="Arial"/>
          <w:bCs/>
          <w:szCs w:val="20"/>
          <w:lang w:eastAsia="cs-CZ"/>
        </w:rPr>
        <w:t xml:space="preserve">Z tabulky </w:t>
      </w:r>
      <w:r w:rsidR="008853F0">
        <w:rPr>
          <w:rFonts w:cs="Arial"/>
          <w:bCs/>
          <w:szCs w:val="20"/>
          <w:lang w:eastAsia="cs-CZ"/>
        </w:rPr>
        <w:t>53</w:t>
      </w:r>
      <w:r>
        <w:rPr>
          <w:rFonts w:cs="Arial"/>
          <w:bCs/>
          <w:szCs w:val="20"/>
          <w:lang w:eastAsia="cs-CZ"/>
        </w:rPr>
        <w:t xml:space="preserve"> je patrné, že množství Li-baterií uvedených na trh v porovnání s dalšími typy primárních baterií je zanedbatelné, v posledních letech se pohybuje kolem 1 - 2 %, a nepředpokládá se, že by se tento trend v budoucnu výrazněji měnil.</w:t>
      </w:r>
    </w:p>
    <w:p w:rsidR="006031E5" w:rsidP="006031E5" w14:paraId="13D434BC" w14:textId="4E93A10C">
      <w:pPr>
        <w:spacing w:after="120"/>
        <w:rPr>
          <w:rFonts w:cs="Arial"/>
          <w:bCs/>
          <w:szCs w:val="20"/>
          <w:lang w:eastAsia="cs-CZ"/>
        </w:rPr>
      </w:pPr>
      <w:r>
        <w:rPr>
          <w:rFonts w:cs="Arial"/>
          <w:bCs/>
          <w:szCs w:val="20"/>
          <w:lang w:eastAsia="cs-CZ"/>
        </w:rPr>
        <w:t xml:space="preserve">Na druhou stranu podíl sekundárních baterií s obsahem Li v porovnání s dalšími typy baterií a akumulátorů se meziročně zvyšuje </w:t>
      </w:r>
      <w:r w:rsidRPr="00F258C8">
        <w:rPr>
          <w:rFonts w:cs="Arial"/>
          <w:bCs/>
          <w:szCs w:val="20"/>
          <w:lang w:eastAsia="cs-CZ"/>
        </w:rPr>
        <w:t xml:space="preserve">(viz tab. </w:t>
      </w:r>
      <w:r w:rsidRPr="00F258C8" w:rsidR="00F258C8">
        <w:rPr>
          <w:rFonts w:cs="Arial"/>
          <w:bCs/>
          <w:szCs w:val="20"/>
          <w:lang w:eastAsia="cs-CZ"/>
        </w:rPr>
        <w:t>níže</w:t>
      </w:r>
      <w:r w:rsidRPr="00F258C8">
        <w:rPr>
          <w:rFonts w:cs="Arial"/>
          <w:bCs/>
          <w:szCs w:val="20"/>
          <w:lang w:eastAsia="cs-CZ"/>
        </w:rPr>
        <w:t>).</w:t>
      </w:r>
      <w:r>
        <w:rPr>
          <w:rFonts w:cs="Arial"/>
          <w:bCs/>
          <w:szCs w:val="20"/>
          <w:lang w:eastAsia="cs-CZ"/>
        </w:rPr>
        <w:t xml:space="preserve"> V roce 2017 již podíl Li-baterií z celkového množství </w:t>
      </w:r>
      <w:r w:rsidRPr="001F649B">
        <w:rPr>
          <w:rFonts w:cs="Arial"/>
          <w:bCs/>
          <w:szCs w:val="20"/>
          <w:lang w:eastAsia="cs-CZ"/>
        </w:rPr>
        <w:t>sekundárních baterií a akumulátorů uvedený</w:t>
      </w:r>
      <w:r>
        <w:rPr>
          <w:rFonts w:cs="Arial"/>
          <w:bCs/>
          <w:szCs w:val="20"/>
          <w:lang w:eastAsia="cs-CZ"/>
        </w:rPr>
        <w:t>ch na trh v ČR dosahoval 56 %. Obdobný rychlý trend nárůstu se očekává u průmyslových a automobilových akumulátorů.</w:t>
      </w:r>
    </w:p>
    <w:p w:rsidR="006031E5" w:rsidRPr="0035496A" w:rsidP="00BF16B7" w14:paraId="120A4103" w14:textId="42F8F6F5">
      <w:pPr>
        <w:spacing w:before="240" w:after="120" w:line="240" w:lineRule="auto"/>
        <w:rPr>
          <w:rFonts w:cs="Arial"/>
          <w:b/>
          <w:bCs/>
          <w:sz w:val="20"/>
          <w:szCs w:val="20"/>
          <w:lang w:eastAsia="cs-CZ"/>
        </w:rPr>
      </w:pPr>
      <w:r w:rsidRPr="0035496A">
        <w:rPr>
          <w:rFonts w:cs="Arial"/>
          <w:b/>
          <w:bCs/>
          <w:sz w:val="20"/>
          <w:szCs w:val="20"/>
          <w:lang w:eastAsia="cs-CZ"/>
        </w:rPr>
        <w:t xml:space="preserve">Tabulka </w:t>
      </w:r>
      <w:r w:rsidR="00925F10">
        <w:rPr>
          <w:rFonts w:cs="Arial"/>
          <w:b/>
          <w:bCs/>
          <w:sz w:val="20"/>
          <w:szCs w:val="20"/>
          <w:lang w:eastAsia="cs-CZ"/>
        </w:rPr>
        <w:t>54</w:t>
      </w:r>
      <w:r w:rsidRPr="0035496A">
        <w:rPr>
          <w:rFonts w:cs="Arial"/>
          <w:b/>
          <w:bCs/>
          <w:sz w:val="20"/>
          <w:szCs w:val="20"/>
          <w:lang w:eastAsia="cs-CZ"/>
        </w:rPr>
        <w:t>: Podíl sekundárních baterií a akumulátorů podle elektrochemického typu uvedených na trh v</w:t>
      </w:r>
      <w:r w:rsidR="0035496A">
        <w:rPr>
          <w:rFonts w:cs="Arial"/>
          <w:b/>
          <w:bCs/>
          <w:sz w:val="20"/>
          <w:szCs w:val="20"/>
          <w:lang w:eastAsia="cs-CZ"/>
        </w:rPr>
        <w:t> </w:t>
      </w:r>
      <w:r w:rsidRPr="0035496A">
        <w:rPr>
          <w:rFonts w:cs="Arial"/>
          <w:b/>
          <w:bCs/>
          <w:sz w:val="20"/>
          <w:szCs w:val="20"/>
          <w:lang w:eastAsia="cs-CZ"/>
        </w:rPr>
        <w:t>letech 2010 až 2017</w:t>
      </w:r>
    </w:p>
    <w:tbl>
      <w:tblPr>
        <w:tblW w:w="8813" w:type="dxa"/>
        <w:tblCellMar>
          <w:left w:w="70" w:type="dxa"/>
          <w:right w:w="70" w:type="dxa"/>
        </w:tblCellMar>
        <w:tblLook w:val="04A0"/>
      </w:tblPr>
      <w:tblGrid>
        <w:gridCol w:w="1104"/>
        <w:gridCol w:w="1501"/>
        <w:gridCol w:w="1464"/>
        <w:gridCol w:w="1509"/>
        <w:gridCol w:w="1509"/>
        <w:gridCol w:w="1726"/>
      </w:tblGrid>
      <w:tr w14:paraId="771F35D5" w14:textId="77777777" w:rsidTr="0035496A">
        <w:tblPrEx>
          <w:tblW w:w="8813" w:type="dxa"/>
          <w:tblCellMar>
            <w:left w:w="70" w:type="dxa"/>
            <w:right w:w="70" w:type="dxa"/>
          </w:tblCellMar>
          <w:tblLook w:val="04A0"/>
        </w:tblPrEx>
        <w:trPr>
          <w:trHeight w:val="286"/>
        </w:trPr>
        <w:tc>
          <w:tcPr>
            <w:tcW w:w="1104" w:type="dxa"/>
            <w:vMerge w:val="restart"/>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6031E5" w:rsidRPr="0035496A" w:rsidP="006031E5" w14:paraId="2E6CC84A" w14:textId="77777777">
            <w:pPr>
              <w:spacing w:after="0" w:line="240" w:lineRule="auto"/>
              <w:jc w:val="center"/>
              <w:rPr>
                <w:b/>
                <w:bCs/>
                <w:color w:val="000000"/>
                <w:szCs w:val="22"/>
                <w:lang w:eastAsia="cs-CZ"/>
              </w:rPr>
            </w:pPr>
            <w:r w:rsidRPr="0035496A">
              <w:rPr>
                <w:b/>
                <w:bCs/>
                <w:color w:val="000000"/>
                <w:szCs w:val="22"/>
                <w:lang w:eastAsia="cs-CZ"/>
              </w:rPr>
              <w:t>Rok</w:t>
            </w:r>
          </w:p>
        </w:tc>
        <w:tc>
          <w:tcPr>
            <w:tcW w:w="7709" w:type="dxa"/>
            <w:gridSpan w:val="5"/>
            <w:tcBorders>
              <w:top w:val="single" w:sz="8" w:space="0" w:color="auto"/>
              <w:left w:val="nil"/>
              <w:bottom w:val="single" w:sz="4" w:space="0" w:color="auto"/>
              <w:right w:val="single" w:sz="8" w:space="0" w:color="000000"/>
            </w:tcBorders>
            <w:shd w:val="clear" w:color="000000" w:fill="A6A6A6"/>
            <w:noWrap/>
            <w:vAlign w:val="center"/>
            <w:hideMark/>
          </w:tcPr>
          <w:p w:rsidR="006031E5" w:rsidRPr="0035496A" w:rsidP="006031E5" w14:paraId="1E4C7B34" w14:textId="77777777">
            <w:pPr>
              <w:spacing w:after="0" w:line="240" w:lineRule="auto"/>
              <w:jc w:val="center"/>
              <w:rPr>
                <w:b/>
                <w:bCs/>
                <w:color w:val="000000"/>
                <w:szCs w:val="22"/>
                <w:lang w:eastAsia="cs-CZ"/>
              </w:rPr>
            </w:pPr>
            <w:r w:rsidRPr="0035496A">
              <w:rPr>
                <w:b/>
                <w:bCs/>
                <w:color w:val="000000"/>
                <w:szCs w:val="22"/>
                <w:lang w:eastAsia="cs-CZ"/>
              </w:rPr>
              <w:t>Sekundární akumulátory</w:t>
            </w:r>
          </w:p>
        </w:tc>
      </w:tr>
      <w:tr w14:paraId="65D07F55" w14:textId="77777777" w:rsidTr="0035496A">
        <w:tblPrEx>
          <w:tblW w:w="8813" w:type="dxa"/>
          <w:tblCellMar>
            <w:left w:w="70" w:type="dxa"/>
            <w:right w:w="70" w:type="dxa"/>
          </w:tblCellMar>
          <w:tblLook w:val="04A0"/>
        </w:tblPrEx>
        <w:trPr>
          <w:trHeight w:val="511"/>
        </w:trPr>
        <w:tc>
          <w:tcPr>
            <w:tcW w:w="1104" w:type="dxa"/>
            <w:vMerge/>
            <w:tcBorders>
              <w:top w:val="single" w:sz="8" w:space="0" w:color="auto"/>
              <w:left w:val="single" w:sz="8" w:space="0" w:color="auto"/>
              <w:bottom w:val="single" w:sz="4" w:space="0" w:color="auto"/>
              <w:right w:val="single" w:sz="4" w:space="0" w:color="auto"/>
            </w:tcBorders>
            <w:vAlign w:val="center"/>
            <w:hideMark/>
          </w:tcPr>
          <w:p w:rsidR="006031E5" w:rsidRPr="0035496A" w:rsidP="006031E5" w14:paraId="03611236" w14:textId="77777777">
            <w:pPr>
              <w:spacing w:after="0" w:line="240" w:lineRule="auto"/>
              <w:rPr>
                <w:b/>
                <w:bCs/>
                <w:color w:val="000000"/>
                <w:szCs w:val="22"/>
                <w:lang w:eastAsia="cs-CZ"/>
              </w:rPr>
            </w:pPr>
          </w:p>
        </w:tc>
        <w:tc>
          <w:tcPr>
            <w:tcW w:w="1501"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3E044F66" w14:textId="77777777">
            <w:pPr>
              <w:spacing w:after="0" w:line="240" w:lineRule="auto"/>
              <w:jc w:val="center"/>
              <w:rPr>
                <w:b/>
                <w:bCs/>
                <w:color w:val="000000"/>
                <w:szCs w:val="22"/>
                <w:lang w:eastAsia="cs-CZ"/>
              </w:rPr>
            </w:pPr>
            <w:r w:rsidRPr="0035496A">
              <w:rPr>
                <w:b/>
                <w:bCs/>
                <w:color w:val="000000"/>
                <w:szCs w:val="22"/>
                <w:lang w:eastAsia="cs-CZ"/>
              </w:rPr>
              <w:t>Ni-Cd [%]</w:t>
            </w:r>
          </w:p>
        </w:tc>
        <w:tc>
          <w:tcPr>
            <w:tcW w:w="1464" w:type="dxa"/>
            <w:tcBorders>
              <w:top w:val="nil"/>
              <w:left w:val="nil"/>
              <w:bottom w:val="single" w:sz="4" w:space="0" w:color="auto"/>
              <w:right w:val="single" w:sz="4" w:space="0" w:color="auto"/>
            </w:tcBorders>
            <w:shd w:val="clear" w:color="000000" w:fill="A6A6A6"/>
            <w:noWrap/>
            <w:vAlign w:val="center"/>
            <w:hideMark/>
          </w:tcPr>
          <w:p w:rsidR="006031E5" w:rsidRPr="0035496A" w:rsidP="006031E5" w14:paraId="4666D538" w14:textId="77777777">
            <w:pPr>
              <w:spacing w:after="0" w:line="240" w:lineRule="auto"/>
              <w:jc w:val="center"/>
              <w:rPr>
                <w:b/>
                <w:bCs/>
                <w:color w:val="000000"/>
                <w:szCs w:val="22"/>
                <w:lang w:eastAsia="cs-CZ"/>
              </w:rPr>
            </w:pPr>
            <w:r w:rsidRPr="0035496A">
              <w:rPr>
                <w:b/>
                <w:bCs/>
                <w:color w:val="000000"/>
                <w:szCs w:val="22"/>
                <w:lang w:eastAsia="cs-CZ"/>
              </w:rPr>
              <w:t>NiMH [%]</w:t>
            </w:r>
          </w:p>
        </w:tc>
        <w:tc>
          <w:tcPr>
            <w:tcW w:w="1509" w:type="dxa"/>
            <w:tcBorders>
              <w:top w:val="nil"/>
              <w:left w:val="nil"/>
              <w:bottom w:val="single" w:sz="4" w:space="0" w:color="auto"/>
              <w:right w:val="single" w:sz="4" w:space="0" w:color="auto"/>
            </w:tcBorders>
            <w:shd w:val="clear" w:color="000000" w:fill="A6A6A6"/>
            <w:vAlign w:val="center"/>
            <w:hideMark/>
          </w:tcPr>
          <w:p w:rsidR="006031E5" w:rsidRPr="0035496A" w:rsidP="006031E5" w14:paraId="720EA506" w14:textId="77777777">
            <w:pPr>
              <w:spacing w:after="0" w:line="240" w:lineRule="auto"/>
              <w:jc w:val="center"/>
              <w:rPr>
                <w:b/>
                <w:bCs/>
                <w:color w:val="000000"/>
                <w:szCs w:val="22"/>
                <w:lang w:eastAsia="cs-CZ"/>
              </w:rPr>
            </w:pPr>
            <w:r w:rsidRPr="0035496A">
              <w:rPr>
                <w:b/>
                <w:bCs/>
                <w:color w:val="000000"/>
                <w:szCs w:val="22"/>
                <w:lang w:eastAsia="cs-CZ"/>
              </w:rPr>
              <w:t>Li-Ion / Li-Pol [%]</w:t>
            </w:r>
          </w:p>
        </w:tc>
        <w:tc>
          <w:tcPr>
            <w:tcW w:w="1509" w:type="dxa"/>
            <w:tcBorders>
              <w:top w:val="nil"/>
              <w:left w:val="nil"/>
              <w:bottom w:val="single" w:sz="4" w:space="0" w:color="auto"/>
              <w:right w:val="single" w:sz="4" w:space="0" w:color="auto"/>
            </w:tcBorders>
            <w:shd w:val="clear" w:color="000000" w:fill="A6A6A6"/>
            <w:vAlign w:val="center"/>
            <w:hideMark/>
          </w:tcPr>
          <w:p w:rsidR="006031E5" w:rsidRPr="0035496A" w:rsidP="006031E5" w14:paraId="36DDD5A9" w14:textId="77777777">
            <w:pPr>
              <w:spacing w:after="0" w:line="240" w:lineRule="auto"/>
              <w:jc w:val="center"/>
              <w:rPr>
                <w:b/>
                <w:bCs/>
                <w:color w:val="000000"/>
                <w:szCs w:val="22"/>
                <w:lang w:eastAsia="cs-CZ"/>
              </w:rPr>
            </w:pPr>
            <w:r w:rsidRPr="0035496A">
              <w:rPr>
                <w:b/>
                <w:bCs/>
                <w:color w:val="000000"/>
                <w:szCs w:val="22"/>
                <w:lang w:eastAsia="cs-CZ"/>
              </w:rPr>
              <w:t>Pb [%]</w:t>
            </w:r>
          </w:p>
        </w:tc>
        <w:tc>
          <w:tcPr>
            <w:tcW w:w="1723" w:type="dxa"/>
            <w:tcBorders>
              <w:top w:val="nil"/>
              <w:left w:val="nil"/>
              <w:bottom w:val="single" w:sz="4" w:space="0" w:color="auto"/>
              <w:right w:val="single" w:sz="8" w:space="0" w:color="auto"/>
            </w:tcBorders>
            <w:shd w:val="clear" w:color="000000" w:fill="A6A6A6"/>
            <w:noWrap/>
            <w:vAlign w:val="center"/>
            <w:hideMark/>
          </w:tcPr>
          <w:p w:rsidR="006031E5" w:rsidRPr="0035496A" w:rsidP="006031E5" w14:paraId="775A7F3F" w14:textId="77777777">
            <w:pPr>
              <w:spacing w:after="0" w:line="240" w:lineRule="auto"/>
              <w:jc w:val="center"/>
              <w:rPr>
                <w:b/>
                <w:bCs/>
                <w:color w:val="000000"/>
                <w:szCs w:val="22"/>
                <w:lang w:eastAsia="cs-CZ"/>
              </w:rPr>
            </w:pPr>
            <w:r w:rsidRPr="0035496A">
              <w:rPr>
                <w:b/>
                <w:bCs/>
                <w:color w:val="000000"/>
                <w:szCs w:val="22"/>
                <w:lang w:eastAsia="cs-CZ"/>
              </w:rPr>
              <w:t>Jiné [%]</w:t>
            </w:r>
          </w:p>
        </w:tc>
      </w:tr>
      <w:tr w14:paraId="0A72D0E8"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0AB1CC01" w14:textId="77777777">
            <w:pPr>
              <w:spacing w:after="0" w:line="240" w:lineRule="auto"/>
              <w:jc w:val="center"/>
              <w:rPr>
                <w:color w:val="000000"/>
                <w:szCs w:val="22"/>
                <w:lang w:eastAsia="cs-CZ"/>
              </w:rPr>
            </w:pPr>
            <w:r w:rsidRPr="0035496A">
              <w:rPr>
                <w:color w:val="000000"/>
                <w:szCs w:val="22"/>
                <w:lang w:eastAsia="cs-CZ"/>
              </w:rPr>
              <w:t>2010</w:t>
            </w:r>
          </w:p>
        </w:tc>
        <w:tc>
          <w:tcPr>
            <w:tcW w:w="1501"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1EBF9F5" w14:textId="77777777">
            <w:pPr>
              <w:spacing w:after="0" w:line="240" w:lineRule="auto"/>
              <w:jc w:val="center"/>
              <w:rPr>
                <w:color w:val="000000"/>
                <w:szCs w:val="22"/>
                <w:lang w:eastAsia="cs-CZ"/>
              </w:rPr>
            </w:pPr>
            <w:r w:rsidRPr="0035496A">
              <w:rPr>
                <w:color w:val="000000"/>
                <w:szCs w:val="22"/>
                <w:lang w:eastAsia="cs-CZ"/>
              </w:rPr>
              <w:t>16,94</w:t>
            </w:r>
          </w:p>
        </w:tc>
        <w:tc>
          <w:tcPr>
            <w:tcW w:w="1464"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4E123AA" w14:textId="77777777">
            <w:pPr>
              <w:spacing w:after="0" w:line="240" w:lineRule="auto"/>
              <w:jc w:val="center"/>
              <w:rPr>
                <w:color w:val="000000"/>
                <w:szCs w:val="22"/>
                <w:lang w:eastAsia="cs-CZ"/>
              </w:rPr>
            </w:pPr>
            <w:r w:rsidRPr="0035496A">
              <w:rPr>
                <w:color w:val="000000"/>
                <w:szCs w:val="22"/>
                <w:lang w:eastAsia="cs-CZ"/>
              </w:rPr>
              <w:t>20,49</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C220DAB" w14:textId="77777777">
            <w:pPr>
              <w:spacing w:after="0" w:line="240" w:lineRule="auto"/>
              <w:jc w:val="center"/>
              <w:rPr>
                <w:color w:val="000000"/>
                <w:szCs w:val="22"/>
                <w:lang w:eastAsia="cs-CZ"/>
              </w:rPr>
            </w:pPr>
            <w:r w:rsidRPr="0035496A">
              <w:rPr>
                <w:color w:val="000000"/>
                <w:szCs w:val="22"/>
                <w:lang w:eastAsia="cs-CZ"/>
              </w:rPr>
              <w:t>32,48</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1733BF5" w14:textId="77777777">
            <w:pPr>
              <w:spacing w:after="0" w:line="240" w:lineRule="auto"/>
              <w:jc w:val="center"/>
              <w:rPr>
                <w:color w:val="000000"/>
                <w:szCs w:val="22"/>
                <w:lang w:eastAsia="cs-CZ"/>
              </w:rPr>
            </w:pPr>
            <w:r w:rsidRPr="0035496A">
              <w:rPr>
                <w:color w:val="000000"/>
                <w:szCs w:val="22"/>
                <w:lang w:eastAsia="cs-CZ"/>
              </w:rPr>
              <w:t>29,47</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3CCFC985" w14:textId="77777777">
            <w:pPr>
              <w:spacing w:after="0" w:line="240" w:lineRule="auto"/>
              <w:jc w:val="center"/>
              <w:rPr>
                <w:color w:val="000000"/>
                <w:szCs w:val="22"/>
                <w:lang w:eastAsia="cs-CZ"/>
              </w:rPr>
            </w:pPr>
            <w:r w:rsidRPr="0035496A">
              <w:rPr>
                <w:color w:val="000000"/>
                <w:szCs w:val="22"/>
                <w:lang w:eastAsia="cs-CZ"/>
              </w:rPr>
              <w:t>0,62</w:t>
            </w:r>
          </w:p>
        </w:tc>
      </w:tr>
      <w:tr w14:paraId="5720F779"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71C50E33" w14:textId="77777777">
            <w:pPr>
              <w:spacing w:after="0" w:line="240" w:lineRule="auto"/>
              <w:jc w:val="center"/>
              <w:rPr>
                <w:color w:val="000000"/>
                <w:szCs w:val="22"/>
                <w:lang w:eastAsia="cs-CZ"/>
              </w:rPr>
            </w:pPr>
            <w:r w:rsidRPr="0035496A">
              <w:rPr>
                <w:color w:val="000000"/>
                <w:szCs w:val="22"/>
                <w:lang w:eastAsia="cs-CZ"/>
              </w:rPr>
              <w:t>2011</w:t>
            </w:r>
          </w:p>
        </w:tc>
        <w:tc>
          <w:tcPr>
            <w:tcW w:w="1501"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2FBEA407" w14:textId="77777777">
            <w:pPr>
              <w:spacing w:after="0" w:line="240" w:lineRule="auto"/>
              <w:jc w:val="center"/>
              <w:rPr>
                <w:color w:val="000000"/>
                <w:szCs w:val="22"/>
                <w:lang w:eastAsia="cs-CZ"/>
              </w:rPr>
            </w:pPr>
            <w:r w:rsidRPr="0035496A">
              <w:rPr>
                <w:color w:val="000000"/>
                <w:szCs w:val="22"/>
                <w:lang w:eastAsia="cs-CZ"/>
              </w:rPr>
              <w:t>12,4</w:t>
            </w:r>
          </w:p>
        </w:tc>
        <w:tc>
          <w:tcPr>
            <w:tcW w:w="1464"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FA770CB" w14:textId="77777777">
            <w:pPr>
              <w:spacing w:after="0" w:line="240" w:lineRule="auto"/>
              <w:jc w:val="center"/>
              <w:rPr>
                <w:color w:val="000000"/>
                <w:szCs w:val="22"/>
                <w:lang w:eastAsia="cs-CZ"/>
              </w:rPr>
            </w:pPr>
            <w:r w:rsidRPr="0035496A">
              <w:rPr>
                <w:color w:val="000000"/>
                <w:szCs w:val="22"/>
                <w:lang w:eastAsia="cs-CZ"/>
              </w:rPr>
              <w:t>16,19</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59EE3D4" w14:textId="77777777">
            <w:pPr>
              <w:spacing w:after="0" w:line="240" w:lineRule="auto"/>
              <w:jc w:val="center"/>
              <w:rPr>
                <w:color w:val="000000"/>
                <w:szCs w:val="22"/>
                <w:lang w:eastAsia="cs-CZ"/>
              </w:rPr>
            </w:pPr>
            <w:r w:rsidRPr="0035496A">
              <w:rPr>
                <w:color w:val="000000"/>
                <w:szCs w:val="22"/>
                <w:lang w:eastAsia="cs-CZ"/>
              </w:rPr>
              <w:t>34,57</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B970BD1" w14:textId="77777777">
            <w:pPr>
              <w:spacing w:after="0" w:line="240" w:lineRule="auto"/>
              <w:jc w:val="center"/>
              <w:rPr>
                <w:color w:val="000000"/>
                <w:szCs w:val="22"/>
                <w:lang w:eastAsia="cs-CZ"/>
              </w:rPr>
            </w:pPr>
            <w:r w:rsidRPr="0035496A">
              <w:rPr>
                <w:color w:val="000000"/>
                <w:szCs w:val="22"/>
                <w:lang w:eastAsia="cs-CZ"/>
              </w:rPr>
              <w:t>36,25</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3CAD1590" w14:textId="77777777">
            <w:pPr>
              <w:spacing w:after="0" w:line="240" w:lineRule="auto"/>
              <w:jc w:val="center"/>
              <w:rPr>
                <w:color w:val="000000"/>
                <w:szCs w:val="22"/>
                <w:lang w:eastAsia="cs-CZ"/>
              </w:rPr>
            </w:pPr>
            <w:r w:rsidRPr="0035496A">
              <w:rPr>
                <w:color w:val="000000"/>
                <w:szCs w:val="22"/>
                <w:lang w:eastAsia="cs-CZ"/>
              </w:rPr>
              <w:t>0,59</w:t>
            </w:r>
          </w:p>
        </w:tc>
      </w:tr>
      <w:tr w14:paraId="5E7A0C68"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26C2C5B5" w14:textId="77777777">
            <w:pPr>
              <w:spacing w:after="0" w:line="240" w:lineRule="auto"/>
              <w:jc w:val="center"/>
              <w:rPr>
                <w:color w:val="000000"/>
                <w:szCs w:val="22"/>
                <w:lang w:eastAsia="cs-CZ"/>
              </w:rPr>
            </w:pPr>
            <w:r w:rsidRPr="0035496A">
              <w:rPr>
                <w:color w:val="000000"/>
                <w:szCs w:val="22"/>
                <w:lang w:eastAsia="cs-CZ"/>
              </w:rPr>
              <w:t>2012</w:t>
            </w:r>
          </w:p>
        </w:tc>
        <w:tc>
          <w:tcPr>
            <w:tcW w:w="1501"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927880C" w14:textId="77777777">
            <w:pPr>
              <w:spacing w:after="0" w:line="240" w:lineRule="auto"/>
              <w:jc w:val="center"/>
              <w:rPr>
                <w:szCs w:val="22"/>
                <w:lang w:eastAsia="cs-CZ"/>
              </w:rPr>
            </w:pPr>
            <w:r w:rsidRPr="0035496A">
              <w:rPr>
                <w:szCs w:val="22"/>
                <w:lang w:eastAsia="cs-CZ"/>
              </w:rPr>
              <w:t>12,62</w:t>
            </w:r>
          </w:p>
        </w:tc>
        <w:tc>
          <w:tcPr>
            <w:tcW w:w="1464"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C9AFF4A" w14:textId="77777777">
            <w:pPr>
              <w:spacing w:after="0" w:line="240" w:lineRule="auto"/>
              <w:jc w:val="center"/>
              <w:rPr>
                <w:szCs w:val="22"/>
                <w:lang w:eastAsia="cs-CZ"/>
              </w:rPr>
            </w:pPr>
            <w:r w:rsidRPr="0035496A">
              <w:rPr>
                <w:szCs w:val="22"/>
                <w:lang w:eastAsia="cs-CZ"/>
              </w:rPr>
              <w:t>14,11</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014085F0" w14:textId="77777777">
            <w:pPr>
              <w:spacing w:after="0" w:line="240" w:lineRule="auto"/>
              <w:jc w:val="center"/>
              <w:rPr>
                <w:szCs w:val="22"/>
                <w:lang w:eastAsia="cs-CZ"/>
              </w:rPr>
            </w:pPr>
            <w:r w:rsidRPr="0035496A">
              <w:rPr>
                <w:szCs w:val="22"/>
                <w:lang w:eastAsia="cs-CZ"/>
              </w:rPr>
              <w:t>32,24</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235F09AD" w14:textId="77777777">
            <w:pPr>
              <w:spacing w:after="0" w:line="240" w:lineRule="auto"/>
              <w:jc w:val="center"/>
              <w:rPr>
                <w:szCs w:val="22"/>
                <w:lang w:eastAsia="cs-CZ"/>
              </w:rPr>
            </w:pPr>
            <w:r w:rsidRPr="0035496A">
              <w:rPr>
                <w:szCs w:val="22"/>
                <w:lang w:eastAsia="cs-CZ"/>
              </w:rPr>
              <w:t>40,66</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10030240" w14:textId="77777777">
            <w:pPr>
              <w:spacing w:after="0" w:line="240" w:lineRule="auto"/>
              <w:jc w:val="center"/>
              <w:rPr>
                <w:szCs w:val="22"/>
                <w:lang w:eastAsia="cs-CZ"/>
              </w:rPr>
            </w:pPr>
            <w:r w:rsidRPr="0035496A">
              <w:rPr>
                <w:szCs w:val="22"/>
                <w:lang w:eastAsia="cs-CZ"/>
              </w:rPr>
              <w:t>0,37</w:t>
            </w:r>
          </w:p>
        </w:tc>
      </w:tr>
      <w:tr w14:paraId="5A61D4BC"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0B3AC7FD" w14:textId="77777777">
            <w:pPr>
              <w:spacing w:after="0" w:line="240" w:lineRule="auto"/>
              <w:jc w:val="center"/>
              <w:rPr>
                <w:color w:val="000000"/>
                <w:szCs w:val="22"/>
                <w:lang w:eastAsia="cs-CZ"/>
              </w:rPr>
            </w:pPr>
            <w:r w:rsidRPr="0035496A">
              <w:rPr>
                <w:color w:val="000000"/>
                <w:szCs w:val="22"/>
                <w:lang w:eastAsia="cs-CZ"/>
              </w:rPr>
              <w:t>2013</w:t>
            </w:r>
          </w:p>
        </w:tc>
        <w:tc>
          <w:tcPr>
            <w:tcW w:w="1501"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916FABE" w14:textId="77777777">
            <w:pPr>
              <w:spacing w:after="0" w:line="240" w:lineRule="auto"/>
              <w:jc w:val="center"/>
              <w:rPr>
                <w:color w:val="000000"/>
                <w:szCs w:val="22"/>
                <w:lang w:eastAsia="cs-CZ"/>
              </w:rPr>
            </w:pPr>
            <w:r w:rsidRPr="0035496A">
              <w:rPr>
                <w:color w:val="000000"/>
                <w:szCs w:val="22"/>
                <w:lang w:eastAsia="cs-CZ"/>
              </w:rPr>
              <w:t>10,07</w:t>
            </w:r>
          </w:p>
        </w:tc>
        <w:tc>
          <w:tcPr>
            <w:tcW w:w="1464"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319E2FF4" w14:textId="77777777">
            <w:pPr>
              <w:spacing w:after="0" w:line="240" w:lineRule="auto"/>
              <w:jc w:val="center"/>
              <w:rPr>
                <w:color w:val="000000"/>
                <w:szCs w:val="22"/>
                <w:lang w:eastAsia="cs-CZ"/>
              </w:rPr>
            </w:pPr>
            <w:r w:rsidRPr="0035496A">
              <w:rPr>
                <w:color w:val="000000"/>
                <w:szCs w:val="22"/>
                <w:lang w:eastAsia="cs-CZ"/>
              </w:rPr>
              <w:t>14,09</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CA270D2" w14:textId="77777777">
            <w:pPr>
              <w:spacing w:after="0" w:line="240" w:lineRule="auto"/>
              <w:jc w:val="center"/>
              <w:rPr>
                <w:color w:val="000000"/>
                <w:szCs w:val="22"/>
                <w:lang w:eastAsia="cs-CZ"/>
              </w:rPr>
            </w:pPr>
            <w:r w:rsidRPr="0035496A">
              <w:rPr>
                <w:color w:val="000000"/>
                <w:szCs w:val="22"/>
                <w:lang w:eastAsia="cs-CZ"/>
              </w:rPr>
              <w:t>34,84</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1ECEDF37" w14:textId="77777777">
            <w:pPr>
              <w:spacing w:after="0" w:line="240" w:lineRule="auto"/>
              <w:jc w:val="center"/>
              <w:rPr>
                <w:color w:val="000000"/>
                <w:szCs w:val="22"/>
                <w:lang w:eastAsia="cs-CZ"/>
              </w:rPr>
            </w:pPr>
            <w:r w:rsidRPr="0035496A">
              <w:rPr>
                <w:color w:val="000000"/>
                <w:szCs w:val="22"/>
                <w:lang w:eastAsia="cs-CZ"/>
              </w:rPr>
              <w:t>36,70</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0155F9EE" w14:textId="77777777">
            <w:pPr>
              <w:spacing w:after="0" w:line="240" w:lineRule="auto"/>
              <w:jc w:val="center"/>
              <w:rPr>
                <w:color w:val="000000"/>
                <w:szCs w:val="22"/>
                <w:lang w:eastAsia="cs-CZ"/>
              </w:rPr>
            </w:pPr>
            <w:r w:rsidRPr="0035496A">
              <w:rPr>
                <w:color w:val="000000"/>
                <w:szCs w:val="22"/>
                <w:lang w:eastAsia="cs-CZ"/>
              </w:rPr>
              <w:t>4,30</w:t>
            </w:r>
          </w:p>
        </w:tc>
      </w:tr>
      <w:tr w14:paraId="297926C4"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762B0FC1" w14:textId="77777777">
            <w:pPr>
              <w:spacing w:after="0" w:line="240" w:lineRule="auto"/>
              <w:jc w:val="center"/>
              <w:rPr>
                <w:color w:val="000000"/>
                <w:szCs w:val="22"/>
                <w:lang w:eastAsia="cs-CZ"/>
              </w:rPr>
            </w:pPr>
            <w:r w:rsidRPr="0035496A">
              <w:rPr>
                <w:color w:val="000000"/>
                <w:szCs w:val="22"/>
                <w:lang w:eastAsia="cs-CZ"/>
              </w:rPr>
              <w:t>2014</w:t>
            </w:r>
          </w:p>
        </w:tc>
        <w:tc>
          <w:tcPr>
            <w:tcW w:w="1501"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6D085426" w14:textId="77777777">
            <w:pPr>
              <w:spacing w:after="0" w:line="240" w:lineRule="auto"/>
              <w:jc w:val="center"/>
              <w:rPr>
                <w:color w:val="000000"/>
                <w:szCs w:val="22"/>
                <w:lang w:eastAsia="cs-CZ"/>
              </w:rPr>
            </w:pPr>
            <w:r w:rsidRPr="0035496A">
              <w:rPr>
                <w:color w:val="000000"/>
                <w:szCs w:val="22"/>
                <w:lang w:eastAsia="cs-CZ"/>
              </w:rPr>
              <w:t>8,46</w:t>
            </w:r>
          </w:p>
        </w:tc>
        <w:tc>
          <w:tcPr>
            <w:tcW w:w="1464"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73912B84" w14:textId="77777777">
            <w:pPr>
              <w:spacing w:after="0" w:line="240" w:lineRule="auto"/>
              <w:jc w:val="center"/>
              <w:rPr>
                <w:color w:val="000000"/>
                <w:szCs w:val="22"/>
                <w:lang w:eastAsia="cs-CZ"/>
              </w:rPr>
            </w:pPr>
            <w:r w:rsidRPr="0035496A">
              <w:rPr>
                <w:color w:val="000000"/>
                <w:szCs w:val="22"/>
                <w:lang w:eastAsia="cs-CZ"/>
              </w:rPr>
              <w:t>17,85</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233F4E95" w14:textId="77777777">
            <w:pPr>
              <w:spacing w:after="0" w:line="240" w:lineRule="auto"/>
              <w:jc w:val="center"/>
              <w:rPr>
                <w:color w:val="000000"/>
                <w:szCs w:val="22"/>
                <w:lang w:eastAsia="cs-CZ"/>
              </w:rPr>
            </w:pPr>
            <w:r w:rsidRPr="0035496A">
              <w:rPr>
                <w:color w:val="000000"/>
                <w:szCs w:val="22"/>
                <w:lang w:eastAsia="cs-CZ"/>
              </w:rPr>
              <w:t>34,42</w:t>
            </w:r>
          </w:p>
        </w:tc>
        <w:tc>
          <w:tcPr>
            <w:tcW w:w="1509" w:type="dxa"/>
            <w:tcBorders>
              <w:top w:val="nil"/>
              <w:left w:val="nil"/>
              <w:bottom w:val="single" w:sz="4" w:space="0" w:color="auto"/>
              <w:right w:val="single" w:sz="4" w:space="0" w:color="auto"/>
            </w:tcBorders>
            <w:shd w:val="clear" w:color="auto" w:fill="auto"/>
            <w:noWrap/>
            <w:vAlign w:val="center"/>
            <w:hideMark/>
          </w:tcPr>
          <w:p w:rsidR="006031E5" w:rsidRPr="0035496A" w:rsidP="006031E5" w14:paraId="4EB665B2" w14:textId="77777777">
            <w:pPr>
              <w:spacing w:after="0" w:line="240" w:lineRule="auto"/>
              <w:jc w:val="center"/>
              <w:rPr>
                <w:color w:val="000000"/>
                <w:szCs w:val="22"/>
                <w:lang w:eastAsia="cs-CZ"/>
              </w:rPr>
            </w:pPr>
            <w:r w:rsidRPr="0035496A">
              <w:rPr>
                <w:color w:val="000000"/>
                <w:szCs w:val="22"/>
                <w:lang w:eastAsia="cs-CZ"/>
              </w:rPr>
              <w:t>39,00</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46684703" w14:textId="77777777">
            <w:pPr>
              <w:spacing w:after="0" w:line="240" w:lineRule="auto"/>
              <w:jc w:val="center"/>
              <w:rPr>
                <w:color w:val="000000"/>
                <w:szCs w:val="22"/>
                <w:lang w:eastAsia="cs-CZ"/>
              </w:rPr>
            </w:pPr>
            <w:r w:rsidRPr="0035496A">
              <w:rPr>
                <w:color w:val="000000"/>
                <w:szCs w:val="22"/>
                <w:lang w:eastAsia="cs-CZ"/>
              </w:rPr>
              <w:t>0,27</w:t>
            </w:r>
          </w:p>
        </w:tc>
      </w:tr>
      <w:tr w14:paraId="426154B4"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center"/>
            <w:hideMark/>
          </w:tcPr>
          <w:p w:rsidR="006031E5" w:rsidRPr="0035496A" w:rsidP="006031E5" w14:paraId="27D0FD87" w14:textId="77777777">
            <w:pPr>
              <w:spacing w:after="0" w:line="240" w:lineRule="auto"/>
              <w:jc w:val="center"/>
              <w:rPr>
                <w:color w:val="000000"/>
                <w:szCs w:val="22"/>
                <w:lang w:eastAsia="cs-CZ"/>
              </w:rPr>
            </w:pPr>
            <w:r w:rsidRPr="0035496A">
              <w:rPr>
                <w:color w:val="000000"/>
                <w:szCs w:val="22"/>
                <w:lang w:eastAsia="cs-CZ"/>
              </w:rPr>
              <w:t>2015</w:t>
            </w:r>
          </w:p>
        </w:tc>
        <w:tc>
          <w:tcPr>
            <w:tcW w:w="1501"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179AF318" w14:textId="77777777">
            <w:pPr>
              <w:spacing w:after="0" w:line="240" w:lineRule="auto"/>
              <w:jc w:val="center"/>
              <w:rPr>
                <w:color w:val="000000"/>
                <w:szCs w:val="22"/>
                <w:lang w:eastAsia="cs-CZ"/>
              </w:rPr>
            </w:pPr>
            <w:r w:rsidRPr="0035496A">
              <w:rPr>
                <w:color w:val="000000"/>
                <w:szCs w:val="22"/>
                <w:lang w:eastAsia="cs-CZ"/>
              </w:rPr>
              <w:t>7,79</w:t>
            </w:r>
          </w:p>
        </w:tc>
        <w:tc>
          <w:tcPr>
            <w:tcW w:w="1464"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2E6CAB66" w14:textId="77777777">
            <w:pPr>
              <w:spacing w:after="0" w:line="240" w:lineRule="auto"/>
              <w:jc w:val="center"/>
              <w:rPr>
                <w:color w:val="000000"/>
                <w:szCs w:val="22"/>
                <w:lang w:eastAsia="cs-CZ"/>
              </w:rPr>
            </w:pPr>
            <w:r w:rsidRPr="0035496A">
              <w:rPr>
                <w:color w:val="000000"/>
                <w:szCs w:val="22"/>
                <w:lang w:eastAsia="cs-CZ"/>
              </w:rPr>
              <w:t>16,29</w:t>
            </w:r>
          </w:p>
        </w:tc>
        <w:tc>
          <w:tcPr>
            <w:tcW w:w="1509"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19F82D11" w14:textId="77777777">
            <w:pPr>
              <w:spacing w:after="0" w:line="240" w:lineRule="auto"/>
              <w:jc w:val="center"/>
              <w:rPr>
                <w:color w:val="000000"/>
                <w:szCs w:val="22"/>
                <w:lang w:eastAsia="cs-CZ"/>
              </w:rPr>
            </w:pPr>
            <w:r w:rsidRPr="0035496A">
              <w:rPr>
                <w:color w:val="000000"/>
                <w:szCs w:val="22"/>
                <w:lang w:eastAsia="cs-CZ"/>
              </w:rPr>
              <w:t>37,76</w:t>
            </w:r>
          </w:p>
        </w:tc>
        <w:tc>
          <w:tcPr>
            <w:tcW w:w="1509"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60E5A3D0" w14:textId="77777777">
            <w:pPr>
              <w:spacing w:after="0" w:line="240" w:lineRule="auto"/>
              <w:jc w:val="center"/>
              <w:rPr>
                <w:color w:val="000000"/>
                <w:szCs w:val="22"/>
                <w:lang w:eastAsia="cs-CZ"/>
              </w:rPr>
            </w:pPr>
            <w:r w:rsidRPr="0035496A">
              <w:rPr>
                <w:color w:val="000000"/>
                <w:szCs w:val="22"/>
                <w:lang w:eastAsia="cs-CZ"/>
              </w:rPr>
              <w:t>37,60</w:t>
            </w:r>
          </w:p>
        </w:tc>
        <w:tc>
          <w:tcPr>
            <w:tcW w:w="1723" w:type="dxa"/>
            <w:tcBorders>
              <w:top w:val="nil"/>
              <w:left w:val="nil"/>
              <w:bottom w:val="single" w:sz="4" w:space="0" w:color="auto"/>
              <w:right w:val="single" w:sz="8" w:space="0" w:color="auto"/>
            </w:tcBorders>
            <w:shd w:val="clear" w:color="auto" w:fill="auto"/>
            <w:vAlign w:val="center"/>
            <w:hideMark/>
          </w:tcPr>
          <w:p w:rsidR="006031E5" w:rsidRPr="0035496A" w:rsidP="006031E5" w14:paraId="64CA5D11" w14:textId="77777777">
            <w:pPr>
              <w:spacing w:after="0" w:line="240" w:lineRule="auto"/>
              <w:jc w:val="center"/>
              <w:rPr>
                <w:color w:val="000000"/>
                <w:szCs w:val="22"/>
                <w:lang w:eastAsia="cs-CZ"/>
              </w:rPr>
            </w:pPr>
            <w:r w:rsidRPr="0035496A">
              <w:rPr>
                <w:color w:val="000000"/>
                <w:szCs w:val="22"/>
                <w:lang w:eastAsia="cs-CZ"/>
              </w:rPr>
              <w:t>0,56</w:t>
            </w:r>
          </w:p>
        </w:tc>
      </w:tr>
      <w:tr w14:paraId="47C4DCD6" w14:textId="77777777" w:rsidTr="0035496A">
        <w:tblPrEx>
          <w:tblW w:w="8813" w:type="dxa"/>
          <w:tblCellMar>
            <w:left w:w="70" w:type="dxa"/>
            <w:right w:w="70" w:type="dxa"/>
          </w:tblCellMar>
          <w:tblLook w:val="04A0"/>
        </w:tblPrEx>
        <w:trPr>
          <w:trHeight w:val="286"/>
        </w:trPr>
        <w:tc>
          <w:tcPr>
            <w:tcW w:w="1104" w:type="dxa"/>
            <w:tcBorders>
              <w:top w:val="nil"/>
              <w:left w:val="single" w:sz="8" w:space="0" w:color="auto"/>
              <w:bottom w:val="single" w:sz="4" w:space="0" w:color="auto"/>
              <w:right w:val="single" w:sz="4" w:space="0" w:color="auto"/>
            </w:tcBorders>
            <w:shd w:val="clear" w:color="auto" w:fill="auto"/>
            <w:noWrap/>
            <w:vAlign w:val="bottom"/>
            <w:hideMark/>
          </w:tcPr>
          <w:p w:rsidR="006031E5" w:rsidRPr="0035496A" w:rsidP="006031E5" w14:paraId="2AFB5D13" w14:textId="77777777">
            <w:pPr>
              <w:spacing w:after="0" w:line="240" w:lineRule="auto"/>
              <w:jc w:val="center"/>
              <w:rPr>
                <w:color w:val="000000"/>
                <w:szCs w:val="22"/>
                <w:lang w:eastAsia="cs-CZ"/>
              </w:rPr>
            </w:pPr>
            <w:r w:rsidRPr="0035496A">
              <w:rPr>
                <w:color w:val="000000"/>
                <w:szCs w:val="22"/>
                <w:lang w:eastAsia="cs-CZ"/>
              </w:rPr>
              <w:t>2016</w:t>
            </w:r>
          </w:p>
        </w:tc>
        <w:tc>
          <w:tcPr>
            <w:tcW w:w="1501"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082E7A06" w14:textId="77777777">
            <w:pPr>
              <w:spacing w:after="0" w:line="240" w:lineRule="auto"/>
              <w:jc w:val="center"/>
              <w:rPr>
                <w:color w:val="000000"/>
                <w:szCs w:val="22"/>
                <w:lang w:eastAsia="cs-CZ"/>
              </w:rPr>
            </w:pPr>
            <w:r w:rsidRPr="0035496A">
              <w:rPr>
                <w:color w:val="000000"/>
                <w:szCs w:val="22"/>
                <w:lang w:eastAsia="cs-CZ"/>
              </w:rPr>
              <w:t>8,36</w:t>
            </w:r>
          </w:p>
        </w:tc>
        <w:tc>
          <w:tcPr>
            <w:tcW w:w="1464"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7A0BDCAB" w14:textId="77777777">
            <w:pPr>
              <w:spacing w:after="0" w:line="240" w:lineRule="auto"/>
              <w:jc w:val="center"/>
              <w:rPr>
                <w:color w:val="000000"/>
                <w:szCs w:val="22"/>
                <w:lang w:eastAsia="cs-CZ"/>
              </w:rPr>
            </w:pPr>
            <w:r w:rsidRPr="0035496A">
              <w:rPr>
                <w:color w:val="000000"/>
                <w:szCs w:val="22"/>
                <w:lang w:eastAsia="cs-CZ"/>
              </w:rPr>
              <w:t>14,19</w:t>
            </w:r>
          </w:p>
        </w:tc>
        <w:tc>
          <w:tcPr>
            <w:tcW w:w="1509"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341D7792" w14:textId="77777777">
            <w:pPr>
              <w:spacing w:after="0" w:line="240" w:lineRule="auto"/>
              <w:jc w:val="center"/>
              <w:rPr>
                <w:color w:val="000000"/>
                <w:szCs w:val="22"/>
                <w:lang w:eastAsia="cs-CZ"/>
              </w:rPr>
            </w:pPr>
            <w:r w:rsidRPr="0035496A">
              <w:rPr>
                <w:color w:val="000000"/>
                <w:szCs w:val="22"/>
                <w:lang w:eastAsia="cs-CZ"/>
              </w:rPr>
              <w:t>45,78</w:t>
            </w:r>
          </w:p>
        </w:tc>
        <w:tc>
          <w:tcPr>
            <w:tcW w:w="1509" w:type="dxa"/>
            <w:tcBorders>
              <w:top w:val="nil"/>
              <w:left w:val="nil"/>
              <w:bottom w:val="single" w:sz="4" w:space="0" w:color="auto"/>
              <w:right w:val="single" w:sz="4" w:space="0" w:color="auto"/>
            </w:tcBorders>
            <w:shd w:val="clear" w:color="auto" w:fill="auto"/>
            <w:noWrap/>
            <w:vAlign w:val="bottom"/>
            <w:hideMark/>
          </w:tcPr>
          <w:p w:rsidR="006031E5" w:rsidRPr="0035496A" w:rsidP="006031E5" w14:paraId="6980E1CC" w14:textId="77777777">
            <w:pPr>
              <w:spacing w:after="0" w:line="240" w:lineRule="auto"/>
              <w:jc w:val="center"/>
              <w:rPr>
                <w:color w:val="000000"/>
                <w:szCs w:val="22"/>
                <w:lang w:eastAsia="cs-CZ"/>
              </w:rPr>
            </w:pPr>
            <w:r w:rsidRPr="0035496A">
              <w:rPr>
                <w:color w:val="000000"/>
                <w:szCs w:val="22"/>
                <w:lang w:eastAsia="cs-CZ"/>
              </w:rPr>
              <w:t>29,43</w:t>
            </w:r>
          </w:p>
        </w:tc>
        <w:tc>
          <w:tcPr>
            <w:tcW w:w="1723" w:type="dxa"/>
            <w:tcBorders>
              <w:top w:val="nil"/>
              <w:left w:val="nil"/>
              <w:bottom w:val="single" w:sz="4" w:space="0" w:color="auto"/>
              <w:right w:val="single" w:sz="8" w:space="0" w:color="auto"/>
            </w:tcBorders>
            <w:shd w:val="clear" w:color="auto" w:fill="auto"/>
            <w:noWrap/>
            <w:vAlign w:val="center"/>
            <w:hideMark/>
          </w:tcPr>
          <w:p w:rsidR="006031E5" w:rsidRPr="0035496A" w:rsidP="006031E5" w14:paraId="10632D13" w14:textId="77777777">
            <w:pPr>
              <w:spacing w:after="0" w:line="240" w:lineRule="auto"/>
              <w:jc w:val="center"/>
              <w:rPr>
                <w:color w:val="000000"/>
                <w:szCs w:val="22"/>
                <w:lang w:eastAsia="cs-CZ"/>
              </w:rPr>
            </w:pPr>
            <w:r w:rsidRPr="0035496A">
              <w:rPr>
                <w:color w:val="000000"/>
                <w:szCs w:val="22"/>
                <w:lang w:eastAsia="cs-CZ"/>
              </w:rPr>
              <w:t>2,24</w:t>
            </w:r>
          </w:p>
        </w:tc>
      </w:tr>
      <w:tr w14:paraId="53034C46" w14:textId="77777777" w:rsidTr="0035496A">
        <w:tblPrEx>
          <w:tblW w:w="8813" w:type="dxa"/>
          <w:tblCellMar>
            <w:left w:w="70" w:type="dxa"/>
            <w:right w:w="70" w:type="dxa"/>
          </w:tblCellMar>
          <w:tblLook w:val="04A0"/>
        </w:tblPrEx>
        <w:trPr>
          <w:trHeight w:val="301"/>
        </w:trPr>
        <w:tc>
          <w:tcPr>
            <w:tcW w:w="1104" w:type="dxa"/>
            <w:tcBorders>
              <w:top w:val="nil"/>
              <w:left w:val="single" w:sz="8" w:space="0" w:color="auto"/>
              <w:bottom w:val="single" w:sz="8" w:space="0" w:color="auto"/>
              <w:right w:val="single" w:sz="4" w:space="0" w:color="auto"/>
            </w:tcBorders>
            <w:shd w:val="clear" w:color="auto" w:fill="auto"/>
            <w:noWrap/>
            <w:vAlign w:val="center"/>
            <w:hideMark/>
          </w:tcPr>
          <w:p w:rsidR="006031E5" w:rsidRPr="0035496A" w:rsidP="006031E5" w14:paraId="6658DAA7" w14:textId="77777777">
            <w:pPr>
              <w:spacing w:after="0" w:line="240" w:lineRule="auto"/>
              <w:jc w:val="center"/>
              <w:rPr>
                <w:color w:val="000000"/>
                <w:szCs w:val="22"/>
                <w:lang w:eastAsia="cs-CZ"/>
              </w:rPr>
            </w:pPr>
            <w:r w:rsidRPr="0035496A">
              <w:rPr>
                <w:color w:val="000000"/>
                <w:szCs w:val="22"/>
                <w:lang w:eastAsia="cs-CZ"/>
              </w:rPr>
              <w:t>2017</w:t>
            </w:r>
          </w:p>
        </w:tc>
        <w:tc>
          <w:tcPr>
            <w:tcW w:w="1501"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79C91B7F" w14:textId="77777777">
            <w:pPr>
              <w:spacing w:after="0" w:line="240" w:lineRule="auto"/>
              <w:jc w:val="center"/>
              <w:rPr>
                <w:color w:val="000000"/>
                <w:szCs w:val="22"/>
                <w:lang w:eastAsia="cs-CZ"/>
              </w:rPr>
            </w:pPr>
            <w:r w:rsidRPr="0035496A">
              <w:rPr>
                <w:color w:val="000000"/>
                <w:szCs w:val="22"/>
                <w:lang w:eastAsia="cs-CZ"/>
              </w:rPr>
              <w:t>2,72</w:t>
            </w:r>
          </w:p>
        </w:tc>
        <w:tc>
          <w:tcPr>
            <w:tcW w:w="1464"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3330C761" w14:textId="77777777">
            <w:pPr>
              <w:spacing w:after="0" w:line="240" w:lineRule="auto"/>
              <w:jc w:val="center"/>
              <w:rPr>
                <w:color w:val="000000"/>
                <w:szCs w:val="22"/>
                <w:lang w:eastAsia="cs-CZ"/>
              </w:rPr>
            </w:pPr>
            <w:r w:rsidRPr="0035496A">
              <w:rPr>
                <w:color w:val="000000"/>
                <w:szCs w:val="22"/>
                <w:lang w:eastAsia="cs-CZ"/>
              </w:rPr>
              <w:t>18,27</w:t>
            </w:r>
          </w:p>
        </w:tc>
        <w:tc>
          <w:tcPr>
            <w:tcW w:w="1509"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715DB1F9" w14:textId="77777777">
            <w:pPr>
              <w:spacing w:after="0" w:line="240" w:lineRule="auto"/>
              <w:jc w:val="center"/>
              <w:rPr>
                <w:color w:val="000000"/>
                <w:szCs w:val="22"/>
                <w:lang w:eastAsia="cs-CZ"/>
              </w:rPr>
            </w:pPr>
            <w:r w:rsidRPr="0035496A">
              <w:rPr>
                <w:color w:val="000000"/>
                <w:szCs w:val="22"/>
                <w:lang w:eastAsia="cs-CZ"/>
              </w:rPr>
              <w:t>56,15</w:t>
            </w:r>
          </w:p>
        </w:tc>
        <w:tc>
          <w:tcPr>
            <w:tcW w:w="1509" w:type="dxa"/>
            <w:tcBorders>
              <w:top w:val="nil"/>
              <w:left w:val="nil"/>
              <w:bottom w:val="single" w:sz="8" w:space="0" w:color="auto"/>
              <w:right w:val="single" w:sz="4" w:space="0" w:color="auto"/>
            </w:tcBorders>
            <w:shd w:val="clear" w:color="auto" w:fill="auto"/>
            <w:noWrap/>
            <w:vAlign w:val="bottom"/>
            <w:hideMark/>
          </w:tcPr>
          <w:p w:rsidR="006031E5" w:rsidRPr="0035496A" w:rsidP="006031E5" w14:paraId="32818037" w14:textId="77777777">
            <w:pPr>
              <w:spacing w:after="0" w:line="240" w:lineRule="auto"/>
              <w:jc w:val="center"/>
              <w:rPr>
                <w:color w:val="000000"/>
                <w:szCs w:val="22"/>
                <w:lang w:eastAsia="cs-CZ"/>
              </w:rPr>
            </w:pPr>
            <w:r w:rsidRPr="0035496A">
              <w:rPr>
                <w:color w:val="000000"/>
                <w:szCs w:val="22"/>
                <w:lang w:eastAsia="cs-CZ"/>
              </w:rPr>
              <w:t>21,86</w:t>
            </w:r>
          </w:p>
        </w:tc>
        <w:tc>
          <w:tcPr>
            <w:tcW w:w="1723" w:type="dxa"/>
            <w:tcBorders>
              <w:top w:val="nil"/>
              <w:left w:val="nil"/>
              <w:bottom w:val="single" w:sz="8" w:space="0" w:color="auto"/>
              <w:right w:val="single" w:sz="8" w:space="0" w:color="auto"/>
            </w:tcBorders>
            <w:shd w:val="clear" w:color="auto" w:fill="auto"/>
            <w:noWrap/>
            <w:vAlign w:val="bottom"/>
            <w:hideMark/>
          </w:tcPr>
          <w:p w:rsidR="006031E5" w:rsidRPr="0035496A" w:rsidP="006031E5" w14:paraId="2D20810B" w14:textId="77777777">
            <w:pPr>
              <w:spacing w:after="0" w:line="240" w:lineRule="auto"/>
              <w:jc w:val="center"/>
              <w:rPr>
                <w:color w:val="000000"/>
                <w:szCs w:val="22"/>
                <w:lang w:eastAsia="cs-CZ"/>
              </w:rPr>
            </w:pPr>
            <w:r w:rsidRPr="0035496A">
              <w:rPr>
                <w:color w:val="000000"/>
                <w:szCs w:val="22"/>
                <w:lang w:eastAsia="cs-CZ"/>
              </w:rPr>
              <w:t>1,00</w:t>
            </w:r>
          </w:p>
        </w:tc>
      </w:tr>
    </w:tbl>
    <w:p w:rsidR="006031E5" w:rsidRPr="0035496A" w:rsidP="006031E5" w14:paraId="40920BFF" w14:textId="77777777">
      <w:pPr>
        <w:jc w:val="right"/>
        <w:rPr>
          <w:bCs/>
          <w:szCs w:val="22"/>
          <w:lang w:eastAsia="cs-CZ"/>
        </w:rPr>
      </w:pPr>
      <w:r w:rsidRPr="0035496A">
        <w:rPr>
          <w:bCs/>
          <w:szCs w:val="22"/>
          <w:lang w:eastAsia="cs-CZ"/>
        </w:rPr>
        <w:t>Zdroj: CENIA</w:t>
      </w:r>
    </w:p>
    <w:p w:rsidR="006031E5" w:rsidRPr="00E1301D" w:rsidP="006031E5" w14:paraId="3DE30510" w14:textId="22AE9A9B">
      <w:pPr>
        <w:spacing w:after="0"/>
        <w:rPr>
          <w:rFonts w:cs="Arial"/>
        </w:rPr>
      </w:pPr>
      <w:r>
        <w:rPr>
          <w:bCs/>
          <w:lang w:eastAsia="cs-CZ"/>
        </w:rPr>
        <w:t>Výrobci přenosných baterií a akumulátorů (primární a sekundární články) plní své zákonné povinnosti především prostřednictvím KS.</w:t>
      </w:r>
      <w:r w:rsidRPr="00E1301D">
        <w:rPr>
          <w:rFonts w:cs="Arial"/>
        </w:rPr>
        <w:t xml:space="preserve"> V současné době působí na</w:t>
      </w:r>
      <w:r>
        <w:rPr>
          <w:rFonts w:cs="Arial"/>
        </w:rPr>
        <w:t> </w:t>
      </w:r>
      <w:r w:rsidRPr="00E1301D">
        <w:rPr>
          <w:rFonts w:cs="Arial"/>
        </w:rPr>
        <w:t xml:space="preserve">trhu pro přenosné baterie a akumulátory 2 </w:t>
      </w:r>
      <w:r w:rsidR="00365F99">
        <w:rPr>
          <w:rFonts w:cs="Arial"/>
        </w:rPr>
        <w:t>KS</w:t>
      </w:r>
      <w:r w:rsidRPr="00E1301D">
        <w:rPr>
          <w:rFonts w:cs="Arial"/>
        </w:rPr>
        <w:t xml:space="preserve"> (ECOBAT s.r.o. a REMA Battery s.r.o.), které sdružují celkem 1 </w:t>
      </w:r>
      <w:r>
        <w:rPr>
          <w:rFonts w:cs="Arial"/>
        </w:rPr>
        <w:t>37</w:t>
      </w:r>
      <w:r w:rsidRPr="00E1301D">
        <w:rPr>
          <w:rFonts w:cs="Arial"/>
        </w:rPr>
        <w:t xml:space="preserve">9  subjektů a dále pak </w:t>
      </w:r>
      <w:r>
        <w:rPr>
          <w:rFonts w:cs="Arial"/>
        </w:rPr>
        <w:t>1</w:t>
      </w:r>
      <w:r w:rsidRPr="00E1301D">
        <w:rPr>
          <w:rFonts w:cs="Arial"/>
        </w:rPr>
        <w:t xml:space="preserve"> společnost, kter</w:t>
      </w:r>
      <w:r>
        <w:rPr>
          <w:rFonts w:cs="Arial"/>
        </w:rPr>
        <w:t>á</w:t>
      </w:r>
      <w:r w:rsidRPr="00E1301D">
        <w:rPr>
          <w:rFonts w:cs="Arial"/>
        </w:rPr>
        <w:t xml:space="preserve"> </w:t>
      </w:r>
      <w:r w:rsidR="00365F99">
        <w:rPr>
          <w:rFonts w:cs="Arial"/>
        </w:rPr>
        <w:t>ZO</w:t>
      </w:r>
      <w:r w:rsidRPr="00E1301D">
        <w:rPr>
          <w:rFonts w:cs="Arial"/>
        </w:rPr>
        <w:t xml:space="preserve"> plní individuálně (GOLDTIME a.s.) (zdroj: MŽP).</w:t>
      </w:r>
    </w:p>
    <w:p w:rsidR="006031E5" w:rsidP="006031E5" w14:paraId="4945FEF8" w14:textId="56992365">
      <w:pPr>
        <w:spacing w:after="0"/>
        <w:rPr>
          <w:bCs/>
          <w:lang w:eastAsia="cs-CZ"/>
        </w:rPr>
      </w:pPr>
      <w:r>
        <w:rPr>
          <w:bCs/>
          <w:lang w:eastAsia="cs-CZ"/>
        </w:rPr>
        <w:t xml:space="preserve">Výrobci průmyslových a automobilových baterií a akumulátorů mohou v současnosti plnit své povinnosti pouze individuálně. Dle novely tohoto zákona by i tito výrobci měli mít nově možnost využít pro splnění svých zákonných povinností v oblasti zpětného odběru </w:t>
      </w:r>
      <w:r w:rsidR="00365F99">
        <w:rPr>
          <w:bCs/>
          <w:lang w:eastAsia="cs-CZ"/>
        </w:rPr>
        <w:t>KS</w:t>
      </w:r>
      <w:r>
        <w:rPr>
          <w:bCs/>
          <w:lang w:eastAsia="cs-CZ"/>
        </w:rPr>
        <w:t xml:space="preserve">. V případě, že budou však výrobci smět plnit povinnosti plnit jak individuálně, tak kolektivně, je třeba nastavit podmínky tak, aby byly zajištěny rovné (srovnatelné) podmínky pro výrobce plnící individuálně a prostřednictvím KS. To znamená, že i v rámci individuálních systémů musí být v okamžiku uvedení baterií na trh zajištěny dostatek finančních prostředků, které mohou být později využity na sběr a náležité zpracování. Vzhledem ke skutečnosti, že není zákonem stanoven minimální cíl pro sběr lithiových automobilových a průmyslových akumulátorů, existuje zde vysoké riziko, že individuální výrobci se budou snažit svým povinnostem vyhýbat a nebudou mít zájem se podílet na financování nákladného systému sběru a zpracování. </w:t>
      </w:r>
    </w:p>
    <w:p w:rsidR="006031E5" w:rsidP="006031E5" w14:paraId="1D5346DD" w14:textId="48621C13">
      <w:pPr>
        <w:spacing w:after="0"/>
        <w:rPr>
          <w:bCs/>
          <w:lang w:eastAsia="cs-CZ"/>
        </w:rPr>
      </w:pPr>
      <w:r>
        <w:rPr>
          <w:bCs/>
          <w:lang w:eastAsia="cs-CZ"/>
        </w:rPr>
        <w:t xml:space="preserve">To platí i v současnosti, kdy výrobci plnící individuálně nemají </w:t>
      </w:r>
      <w:r w:rsidRPr="00815D19">
        <w:rPr>
          <w:bCs/>
          <w:lang w:eastAsia="cs-CZ"/>
        </w:rPr>
        <w:t xml:space="preserve">stanoveny žádné bližší podmínky pro </w:t>
      </w:r>
      <w:r w:rsidR="00365F99">
        <w:rPr>
          <w:bCs/>
          <w:lang w:eastAsia="cs-CZ"/>
        </w:rPr>
        <w:t>ZO</w:t>
      </w:r>
      <w:r w:rsidRPr="00815D19">
        <w:rPr>
          <w:bCs/>
          <w:lang w:eastAsia="cs-CZ"/>
        </w:rPr>
        <w:t xml:space="preserve"> nebo oddělený sběr, a výrobci</w:t>
      </w:r>
      <w:r>
        <w:rPr>
          <w:bCs/>
          <w:lang w:eastAsia="cs-CZ"/>
        </w:rPr>
        <w:t xml:space="preserve"> tak sběr průmyslových a automobilových akumulátorů, pokud nemají pozitivní tržní hodnotu jako odpad, zajišťují pouze v minimální míře. V případě, že tedy výrobce odejde z trhu v ČR, nebo při uvedení baterií na trh vytvoří nedostatečnou finanční rezervu, nebude zajištěno financování nakládání s těmito Li-bateriemi.</w:t>
      </w:r>
    </w:p>
    <w:p w:rsidR="006031E5" w:rsidRPr="0045220B" w:rsidP="006031E5" w14:paraId="1ED24CCD" w14:textId="553D0E91">
      <w:pPr>
        <w:spacing w:after="0"/>
        <w:rPr>
          <w:lang w:eastAsia="cs-CZ"/>
        </w:rPr>
      </w:pPr>
      <w:r w:rsidRPr="0045220B">
        <w:rPr>
          <w:lang w:eastAsia="cs-CZ"/>
        </w:rPr>
        <w:t xml:space="preserve">Pro velké Li-baterie využívané v hybridních či elektrických vozidlech je potřeba nastavit systém budoucího </w:t>
      </w:r>
      <w:r w:rsidR="00365F99">
        <w:rPr>
          <w:lang w:eastAsia="cs-CZ"/>
        </w:rPr>
        <w:t>ZO</w:t>
      </w:r>
      <w:r w:rsidRPr="00377912">
        <w:rPr>
          <w:lang w:eastAsia="cs-CZ"/>
        </w:rPr>
        <w:t xml:space="preserve"> a vytvořit systém, který by generoval dostatek finančních prostředků pro</w:t>
      </w:r>
      <w:r w:rsidR="00365F99">
        <w:rPr>
          <w:lang w:eastAsia="cs-CZ"/>
        </w:rPr>
        <w:t> </w:t>
      </w:r>
      <w:r>
        <w:rPr>
          <w:lang w:eastAsia="cs-CZ"/>
        </w:rPr>
        <w:t>sběr a</w:t>
      </w:r>
      <w:r w:rsidR="0039543B">
        <w:rPr>
          <w:lang w:eastAsia="cs-CZ"/>
        </w:rPr>
        <w:t> </w:t>
      </w:r>
      <w:r w:rsidRPr="00377912">
        <w:rPr>
          <w:lang w:eastAsia="cs-CZ"/>
        </w:rPr>
        <w:t>náležité zpracování (recyklace).</w:t>
      </w:r>
      <w:r w:rsidRPr="0045220B">
        <w:rPr>
          <w:lang w:eastAsia="cs-CZ"/>
        </w:rPr>
        <w:t xml:space="preserve"> </w:t>
      </w:r>
      <w:r>
        <w:rPr>
          <w:lang w:eastAsia="cs-CZ"/>
        </w:rPr>
        <w:t>To samozřejmě může být poměrně obtížné, v</w:t>
      </w:r>
      <w:r w:rsidRPr="0045220B">
        <w:rPr>
          <w:lang w:eastAsia="cs-CZ"/>
        </w:rPr>
        <w:t>zhledem k</w:t>
      </w:r>
      <w:r>
        <w:rPr>
          <w:lang w:eastAsia="cs-CZ"/>
        </w:rPr>
        <w:t> značným rozměrům předmětných akumulátorů</w:t>
      </w:r>
      <w:r w:rsidRPr="0045220B">
        <w:rPr>
          <w:lang w:eastAsia="cs-CZ"/>
        </w:rPr>
        <w:t xml:space="preserve">, </w:t>
      </w:r>
      <w:r>
        <w:rPr>
          <w:lang w:eastAsia="cs-CZ"/>
        </w:rPr>
        <w:t>jejich vysoké hmotnosti, ale i</w:t>
      </w:r>
      <w:r w:rsidR="00365F99">
        <w:rPr>
          <w:lang w:eastAsia="cs-CZ"/>
        </w:rPr>
        <w:t> </w:t>
      </w:r>
      <w:r>
        <w:rPr>
          <w:lang w:eastAsia="cs-CZ"/>
        </w:rPr>
        <w:t>možné zbytkové </w:t>
      </w:r>
      <w:r w:rsidRPr="0045220B">
        <w:rPr>
          <w:lang w:eastAsia="cs-CZ"/>
        </w:rPr>
        <w:t>kapacitě</w:t>
      </w:r>
      <w:r>
        <w:rPr>
          <w:lang w:eastAsia="cs-CZ"/>
        </w:rPr>
        <w:t>. Tyto aspekty</w:t>
      </w:r>
      <w:r w:rsidRPr="0045220B">
        <w:rPr>
          <w:lang w:eastAsia="cs-CZ"/>
        </w:rPr>
        <w:t xml:space="preserve"> kladou </w:t>
      </w:r>
      <w:r>
        <w:rPr>
          <w:lang w:eastAsia="cs-CZ"/>
        </w:rPr>
        <w:t xml:space="preserve">na automobilové a průmyslové </w:t>
      </w:r>
      <w:r w:rsidR="00365F99">
        <w:rPr>
          <w:lang w:eastAsia="cs-CZ"/>
        </w:rPr>
        <w:t>Li-</w:t>
      </w:r>
      <w:r>
        <w:rPr>
          <w:lang w:eastAsia="cs-CZ"/>
        </w:rPr>
        <w:t>baterie obtížnější</w:t>
      </w:r>
      <w:r w:rsidRPr="0045220B">
        <w:rPr>
          <w:lang w:eastAsia="cs-CZ"/>
        </w:rPr>
        <w:t xml:space="preserve"> požadavky na </w:t>
      </w:r>
      <w:r>
        <w:rPr>
          <w:lang w:eastAsia="cs-CZ"/>
        </w:rPr>
        <w:t xml:space="preserve">distribuční a </w:t>
      </w:r>
      <w:r w:rsidRPr="0045220B">
        <w:rPr>
          <w:lang w:eastAsia="cs-CZ"/>
        </w:rPr>
        <w:t>recyklační proces</w:t>
      </w:r>
      <w:r>
        <w:rPr>
          <w:lang w:eastAsia="cs-CZ"/>
        </w:rPr>
        <w:t>y</w:t>
      </w:r>
      <w:r w:rsidRPr="0045220B">
        <w:rPr>
          <w:lang w:eastAsia="cs-CZ"/>
        </w:rPr>
        <w:t xml:space="preserve"> než </w:t>
      </w:r>
      <w:r w:rsidR="00365F99">
        <w:rPr>
          <w:lang w:eastAsia="cs-CZ"/>
        </w:rPr>
        <w:t>je tomu u malých</w:t>
      </w:r>
      <w:r>
        <w:rPr>
          <w:lang w:eastAsia="cs-CZ"/>
        </w:rPr>
        <w:t xml:space="preserve"> přenosných</w:t>
      </w:r>
      <w:r w:rsidRPr="0045220B">
        <w:rPr>
          <w:lang w:eastAsia="cs-CZ"/>
        </w:rPr>
        <w:t xml:space="preserve"> b</w:t>
      </w:r>
      <w:r>
        <w:rPr>
          <w:lang w:eastAsia="cs-CZ"/>
        </w:rPr>
        <w:t>aterií</w:t>
      </w:r>
      <w:r>
        <w:rPr>
          <w:color w:val="000000"/>
        </w:rPr>
        <w:t xml:space="preserve">. </w:t>
      </w:r>
      <w:r>
        <w:rPr>
          <w:lang w:eastAsia="cs-CZ"/>
        </w:rPr>
        <w:t>N</w:t>
      </w:r>
      <w:r w:rsidRPr="00C72298">
        <w:rPr>
          <w:color w:val="000000"/>
        </w:rPr>
        <w:t xml:space="preserve">áklady </w:t>
      </w:r>
      <w:r>
        <w:rPr>
          <w:color w:val="000000"/>
        </w:rPr>
        <w:t xml:space="preserve">na </w:t>
      </w:r>
      <w:r w:rsidR="00365F99">
        <w:rPr>
          <w:color w:val="000000"/>
        </w:rPr>
        <w:t>ZO</w:t>
      </w:r>
      <w:r>
        <w:rPr>
          <w:color w:val="000000"/>
        </w:rPr>
        <w:t xml:space="preserve"> a recyklaci </w:t>
      </w:r>
      <w:r w:rsidR="00365F99">
        <w:rPr>
          <w:color w:val="000000"/>
        </w:rPr>
        <w:t>Li-</w:t>
      </w:r>
      <w:r w:rsidRPr="00C72298">
        <w:rPr>
          <w:color w:val="000000"/>
        </w:rPr>
        <w:t xml:space="preserve">baterií </w:t>
      </w:r>
      <w:r>
        <w:rPr>
          <w:color w:val="000000"/>
        </w:rPr>
        <w:t>představují v současnosti cca</w:t>
      </w:r>
      <w:r w:rsidRPr="00C72298">
        <w:rPr>
          <w:color w:val="000000"/>
        </w:rPr>
        <w:t xml:space="preserve"> </w:t>
      </w:r>
      <w:r>
        <w:rPr>
          <w:color w:val="000000"/>
        </w:rPr>
        <w:t>6</w:t>
      </w:r>
      <w:r w:rsidRPr="00C72298">
        <w:rPr>
          <w:color w:val="000000"/>
        </w:rPr>
        <w:t>0 Kč/kg</w:t>
      </w:r>
      <w:r>
        <w:rPr>
          <w:color w:val="000000"/>
        </w:rPr>
        <w:t xml:space="preserve"> sebraných Li-baterií.</w:t>
      </w:r>
    </w:p>
    <w:p w:rsidR="006031E5" w:rsidRPr="0035496A" w:rsidP="00BF16B7" w14:paraId="17548CF5" w14:textId="41A628AC">
      <w:pPr>
        <w:spacing w:before="240"/>
        <w:rPr>
          <w:b/>
          <w:bCs/>
          <w:color w:val="000000"/>
          <w:sz w:val="20"/>
          <w:szCs w:val="20"/>
          <w:lang w:eastAsia="cs-CZ"/>
        </w:rPr>
      </w:pPr>
      <w:r w:rsidRPr="0035496A">
        <w:rPr>
          <w:b/>
          <w:bCs/>
          <w:sz w:val="20"/>
          <w:szCs w:val="20"/>
          <w:lang w:eastAsia="cs-CZ"/>
        </w:rPr>
        <w:t xml:space="preserve">Tabulka </w:t>
      </w:r>
      <w:r w:rsidR="00925F10">
        <w:rPr>
          <w:b/>
          <w:bCs/>
          <w:sz w:val="20"/>
          <w:szCs w:val="20"/>
          <w:lang w:eastAsia="cs-CZ"/>
        </w:rPr>
        <w:t>55</w:t>
      </w:r>
      <w:r w:rsidRPr="0035496A">
        <w:rPr>
          <w:b/>
          <w:bCs/>
          <w:sz w:val="20"/>
          <w:szCs w:val="20"/>
          <w:lang w:eastAsia="cs-CZ"/>
        </w:rPr>
        <w:t xml:space="preserve">: </w:t>
      </w:r>
      <w:r w:rsidRPr="0035496A">
        <w:rPr>
          <w:b/>
          <w:bCs/>
          <w:color w:val="000000"/>
          <w:sz w:val="20"/>
          <w:szCs w:val="20"/>
          <w:lang w:eastAsia="cs-CZ"/>
        </w:rPr>
        <w:t>Množství přenosných, průmyslových a automobilových baterií a akumulátorů s obsahem lithia uvedených na trh v ČR a nevyvezených z ČR v roce 2016 a 2017*</w:t>
      </w:r>
    </w:p>
    <w:tbl>
      <w:tblPr>
        <w:tblStyle w:val="TableGrid"/>
        <w:tblW w:w="0" w:type="auto"/>
        <w:tblLook w:val="04A0"/>
      </w:tblPr>
      <w:tblGrid>
        <w:gridCol w:w="2893"/>
        <w:gridCol w:w="3027"/>
        <w:gridCol w:w="1701"/>
        <w:gridCol w:w="1441"/>
      </w:tblGrid>
      <w:tr w14:paraId="2E934D2A" w14:textId="77777777" w:rsidTr="00442C7B">
        <w:tblPrEx>
          <w:tblW w:w="0" w:type="auto"/>
          <w:tblLook w:val="04A0"/>
        </w:tblPrEx>
        <w:trPr>
          <w:trHeight w:val="343"/>
        </w:trPr>
        <w:tc>
          <w:tcPr>
            <w:tcW w:w="2893" w:type="dxa"/>
            <w:vMerge w:val="restart"/>
            <w:vAlign w:val="center"/>
          </w:tcPr>
          <w:p w:rsidR="006031E5" w:rsidRPr="00257690" w:rsidP="006031E5" w14:paraId="21B055B1" w14:textId="77777777">
            <w:pPr>
              <w:spacing w:after="120"/>
              <w:jc w:val="center"/>
              <w:rPr>
                <w:rFonts w:eastAsia="Times New Roman"/>
                <w:bCs/>
                <w:sz w:val="20"/>
                <w:szCs w:val="20"/>
                <w:lang w:eastAsia="cs-CZ"/>
              </w:rPr>
            </w:pPr>
            <w:r w:rsidRPr="00257690">
              <w:rPr>
                <w:rFonts w:eastAsia="Times New Roman"/>
                <w:b/>
                <w:bCs/>
                <w:color w:val="000000"/>
                <w:sz w:val="20"/>
                <w:szCs w:val="20"/>
                <w:lang w:eastAsia="cs-CZ"/>
              </w:rPr>
              <w:t>Skupina baterií nebo akumulátorů (BA)</w:t>
            </w:r>
          </w:p>
        </w:tc>
        <w:tc>
          <w:tcPr>
            <w:tcW w:w="3027" w:type="dxa"/>
            <w:vMerge w:val="restart"/>
            <w:vAlign w:val="center"/>
          </w:tcPr>
          <w:p w:rsidR="006031E5" w:rsidRPr="00257690" w:rsidP="006031E5" w14:paraId="04D4341B" w14:textId="77777777">
            <w:pPr>
              <w:spacing w:after="120"/>
              <w:jc w:val="center"/>
              <w:rPr>
                <w:rFonts w:eastAsia="Times New Roman"/>
                <w:bCs/>
                <w:sz w:val="20"/>
                <w:szCs w:val="20"/>
                <w:lang w:eastAsia="cs-CZ"/>
              </w:rPr>
            </w:pPr>
            <w:r w:rsidRPr="00257690">
              <w:rPr>
                <w:rFonts w:eastAsia="Times New Roman"/>
                <w:b/>
                <w:bCs/>
                <w:color w:val="000000"/>
                <w:sz w:val="20"/>
                <w:szCs w:val="20"/>
                <w:lang w:eastAsia="cs-CZ"/>
              </w:rPr>
              <w:t>Elektrochemický typ</w:t>
            </w:r>
          </w:p>
        </w:tc>
        <w:tc>
          <w:tcPr>
            <w:tcW w:w="3142" w:type="dxa"/>
            <w:gridSpan w:val="2"/>
            <w:vAlign w:val="center"/>
          </w:tcPr>
          <w:p w:rsidR="006031E5" w:rsidRPr="00257690" w:rsidP="006031E5" w14:paraId="5BDFAA40" w14:textId="77777777">
            <w:pPr>
              <w:spacing w:after="120"/>
              <w:jc w:val="center"/>
              <w:rPr>
                <w:rFonts w:eastAsia="Times New Roman"/>
                <w:bCs/>
                <w:sz w:val="20"/>
                <w:szCs w:val="20"/>
                <w:lang w:eastAsia="cs-CZ"/>
              </w:rPr>
            </w:pPr>
            <w:r w:rsidRPr="00257690">
              <w:rPr>
                <w:rFonts w:eastAsia="Times New Roman"/>
                <w:b/>
                <w:bCs/>
                <w:color w:val="000000"/>
                <w:sz w:val="20"/>
                <w:szCs w:val="20"/>
                <w:lang w:eastAsia="cs-CZ"/>
              </w:rPr>
              <w:t>Uvedeno na trh v ČR [t]</w:t>
            </w:r>
          </w:p>
        </w:tc>
      </w:tr>
      <w:tr w14:paraId="10CC18BE" w14:textId="77777777" w:rsidTr="00442C7B">
        <w:tblPrEx>
          <w:tblW w:w="0" w:type="auto"/>
          <w:tblLook w:val="04A0"/>
        </w:tblPrEx>
        <w:trPr>
          <w:trHeight w:val="343"/>
        </w:trPr>
        <w:tc>
          <w:tcPr>
            <w:tcW w:w="2893" w:type="dxa"/>
            <w:vMerge/>
            <w:vAlign w:val="center"/>
          </w:tcPr>
          <w:p w:rsidR="006031E5" w:rsidRPr="00257690" w:rsidP="006031E5" w14:paraId="64041E05" w14:textId="77777777">
            <w:pPr>
              <w:spacing w:after="120"/>
              <w:jc w:val="center"/>
              <w:rPr>
                <w:rFonts w:eastAsia="Times New Roman"/>
                <w:b/>
                <w:bCs/>
                <w:color w:val="000000"/>
                <w:sz w:val="20"/>
                <w:szCs w:val="20"/>
                <w:lang w:eastAsia="cs-CZ"/>
              </w:rPr>
            </w:pPr>
          </w:p>
        </w:tc>
        <w:tc>
          <w:tcPr>
            <w:tcW w:w="3027" w:type="dxa"/>
            <w:vMerge/>
            <w:vAlign w:val="center"/>
          </w:tcPr>
          <w:p w:rsidR="006031E5" w:rsidRPr="00257690" w:rsidP="006031E5" w14:paraId="0D0096E3" w14:textId="77777777">
            <w:pPr>
              <w:spacing w:after="120"/>
              <w:jc w:val="center"/>
              <w:rPr>
                <w:rFonts w:eastAsia="Times New Roman"/>
                <w:b/>
                <w:bCs/>
                <w:color w:val="000000"/>
                <w:sz w:val="20"/>
                <w:szCs w:val="20"/>
                <w:lang w:eastAsia="cs-CZ"/>
              </w:rPr>
            </w:pPr>
          </w:p>
        </w:tc>
        <w:tc>
          <w:tcPr>
            <w:tcW w:w="1701" w:type="dxa"/>
            <w:vAlign w:val="center"/>
          </w:tcPr>
          <w:p w:rsidR="006031E5" w:rsidRPr="00257690" w:rsidP="006031E5" w14:paraId="6AA9399C" w14:textId="77777777">
            <w:pPr>
              <w:spacing w:after="120"/>
              <w:jc w:val="center"/>
              <w:rPr>
                <w:rFonts w:eastAsia="Times New Roman"/>
                <w:b/>
                <w:bCs/>
                <w:color w:val="000000"/>
                <w:sz w:val="20"/>
                <w:szCs w:val="20"/>
                <w:lang w:eastAsia="cs-CZ"/>
              </w:rPr>
            </w:pPr>
            <w:r w:rsidRPr="00257690">
              <w:rPr>
                <w:rFonts w:eastAsia="Times New Roman"/>
                <w:b/>
                <w:bCs/>
                <w:color w:val="000000"/>
                <w:sz w:val="20"/>
                <w:szCs w:val="20"/>
                <w:lang w:eastAsia="cs-CZ"/>
              </w:rPr>
              <w:t>2016</w:t>
            </w:r>
          </w:p>
        </w:tc>
        <w:tc>
          <w:tcPr>
            <w:tcW w:w="1441" w:type="dxa"/>
            <w:vAlign w:val="center"/>
          </w:tcPr>
          <w:p w:rsidR="006031E5" w:rsidRPr="00257690" w:rsidP="006031E5" w14:paraId="791409E2" w14:textId="77777777">
            <w:pPr>
              <w:spacing w:after="120"/>
              <w:jc w:val="center"/>
              <w:rPr>
                <w:rFonts w:eastAsia="Times New Roman"/>
                <w:b/>
                <w:bCs/>
                <w:color w:val="000000"/>
                <w:sz w:val="20"/>
                <w:szCs w:val="20"/>
                <w:lang w:eastAsia="cs-CZ"/>
              </w:rPr>
            </w:pPr>
            <w:r w:rsidRPr="00257690">
              <w:rPr>
                <w:rFonts w:eastAsia="Times New Roman"/>
                <w:b/>
                <w:bCs/>
                <w:color w:val="000000"/>
                <w:sz w:val="20"/>
                <w:szCs w:val="20"/>
                <w:lang w:eastAsia="cs-CZ"/>
              </w:rPr>
              <w:t>2017</w:t>
            </w:r>
          </w:p>
        </w:tc>
      </w:tr>
      <w:tr w14:paraId="4FF08D6F" w14:textId="77777777" w:rsidTr="00442C7B">
        <w:tblPrEx>
          <w:tblW w:w="0" w:type="auto"/>
          <w:tblLook w:val="04A0"/>
        </w:tblPrEx>
        <w:trPr>
          <w:trHeight w:val="350"/>
        </w:trPr>
        <w:tc>
          <w:tcPr>
            <w:tcW w:w="2893" w:type="dxa"/>
            <w:vMerge w:val="restart"/>
            <w:vAlign w:val="center"/>
          </w:tcPr>
          <w:p w:rsidR="000E29D5" w:rsidRPr="00257690" w:rsidP="000E29D5" w14:paraId="00DDEB66" w14:textId="77777777">
            <w:pPr>
              <w:spacing w:after="120"/>
              <w:rPr>
                <w:rFonts w:eastAsia="Times New Roman"/>
                <w:bCs/>
                <w:sz w:val="20"/>
                <w:szCs w:val="20"/>
                <w:lang w:eastAsia="cs-CZ"/>
              </w:rPr>
            </w:pPr>
            <w:r w:rsidRPr="00257690">
              <w:rPr>
                <w:rFonts w:eastAsia="Times New Roman"/>
                <w:b/>
                <w:bCs/>
                <w:color w:val="000000"/>
                <w:sz w:val="20"/>
                <w:szCs w:val="20"/>
                <w:lang w:eastAsia="cs-CZ"/>
              </w:rPr>
              <w:t>Skupina 1: přenosné BA</w:t>
            </w:r>
          </w:p>
        </w:tc>
        <w:tc>
          <w:tcPr>
            <w:tcW w:w="3027" w:type="dxa"/>
          </w:tcPr>
          <w:p w:rsidR="000E29D5" w:rsidRPr="00257690" w:rsidP="000E29D5" w14:paraId="5C9C4846" w14:textId="77777777">
            <w:pPr>
              <w:spacing w:after="120"/>
              <w:rPr>
                <w:rFonts w:eastAsia="Times New Roman"/>
                <w:bCs/>
                <w:sz w:val="20"/>
                <w:szCs w:val="20"/>
                <w:lang w:eastAsia="cs-CZ"/>
              </w:rPr>
            </w:pPr>
            <w:r w:rsidRPr="00257690">
              <w:rPr>
                <w:rFonts w:eastAsia="Times New Roman"/>
                <w:color w:val="000000"/>
                <w:sz w:val="20"/>
                <w:szCs w:val="20"/>
                <w:lang w:eastAsia="cs-CZ"/>
              </w:rPr>
              <w:t>Lithiové (</w:t>
            </w:r>
            <w:r w:rsidRPr="00257690">
              <w:rPr>
                <w:rFonts w:eastAsia="Times New Roman"/>
                <w:bCs/>
                <w:color w:val="000000"/>
                <w:sz w:val="20"/>
                <w:szCs w:val="20"/>
                <w:lang w:eastAsia="cs-CZ"/>
              </w:rPr>
              <w:t>primární články)</w:t>
            </w:r>
          </w:p>
        </w:tc>
        <w:tc>
          <w:tcPr>
            <w:tcW w:w="1701" w:type="dxa"/>
          </w:tcPr>
          <w:p w:rsidR="000E29D5" w:rsidRPr="00257690" w:rsidP="000E29D5" w14:paraId="728D8350" w14:textId="77777777">
            <w:pPr>
              <w:spacing w:after="120"/>
              <w:jc w:val="center"/>
              <w:rPr>
                <w:rFonts w:eastAsia="Times New Roman"/>
                <w:sz w:val="20"/>
                <w:szCs w:val="20"/>
                <w:lang w:eastAsia="cs-CZ"/>
              </w:rPr>
            </w:pPr>
            <w:r w:rsidRPr="00257690">
              <w:rPr>
                <w:rFonts w:eastAsia="Times New Roman"/>
                <w:sz w:val="20"/>
                <w:szCs w:val="20"/>
                <w:lang w:eastAsia="cs-CZ"/>
              </w:rPr>
              <w:t>59,0</w:t>
            </w:r>
          </w:p>
        </w:tc>
        <w:tc>
          <w:tcPr>
            <w:tcW w:w="1441" w:type="dxa"/>
          </w:tcPr>
          <w:p w:rsidR="000E29D5" w:rsidRPr="00257690" w:rsidP="000E29D5" w14:paraId="39F39038" w14:textId="77777777">
            <w:pPr>
              <w:spacing w:after="120"/>
              <w:jc w:val="center"/>
              <w:rPr>
                <w:rFonts w:eastAsia="Times New Roman"/>
                <w:bCs/>
                <w:sz w:val="20"/>
                <w:szCs w:val="20"/>
                <w:lang w:eastAsia="cs-CZ"/>
              </w:rPr>
            </w:pPr>
            <w:r w:rsidRPr="00257690">
              <w:rPr>
                <w:rFonts w:eastAsia="Times New Roman"/>
                <w:sz w:val="20"/>
                <w:szCs w:val="20"/>
                <w:lang w:eastAsia="cs-CZ"/>
              </w:rPr>
              <w:t>41,96</w:t>
            </w:r>
          </w:p>
        </w:tc>
      </w:tr>
      <w:tr w14:paraId="466D7D74" w14:textId="77777777" w:rsidTr="00442C7B">
        <w:tblPrEx>
          <w:tblW w:w="0" w:type="auto"/>
          <w:tblLook w:val="04A0"/>
        </w:tblPrEx>
        <w:trPr>
          <w:trHeight w:val="343"/>
        </w:trPr>
        <w:tc>
          <w:tcPr>
            <w:tcW w:w="2893" w:type="dxa"/>
            <w:vMerge/>
          </w:tcPr>
          <w:p w:rsidR="000E29D5" w:rsidRPr="00257690" w:rsidP="000E29D5" w14:paraId="5A6EB40A" w14:textId="77777777">
            <w:pPr>
              <w:spacing w:after="120"/>
              <w:rPr>
                <w:rFonts w:eastAsia="Times New Roman"/>
                <w:bCs/>
                <w:sz w:val="20"/>
                <w:szCs w:val="20"/>
                <w:lang w:eastAsia="cs-CZ"/>
              </w:rPr>
            </w:pPr>
          </w:p>
        </w:tc>
        <w:tc>
          <w:tcPr>
            <w:tcW w:w="3027" w:type="dxa"/>
          </w:tcPr>
          <w:p w:rsidR="000E29D5" w:rsidRPr="00257690" w:rsidP="000E29D5" w14:paraId="63FDBFDE" w14:textId="77777777">
            <w:pPr>
              <w:spacing w:after="120"/>
              <w:rPr>
                <w:rFonts w:eastAsia="Times New Roman"/>
                <w:bCs/>
                <w:sz w:val="20"/>
                <w:szCs w:val="20"/>
                <w:lang w:eastAsia="cs-CZ"/>
              </w:rPr>
            </w:pPr>
            <w:r w:rsidRPr="00257690">
              <w:rPr>
                <w:rFonts w:eastAsia="Times New Roman"/>
                <w:color w:val="000000"/>
                <w:sz w:val="20"/>
                <w:szCs w:val="20"/>
                <w:lang w:eastAsia="cs-CZ"/>
              </w:rPr>
              <w:t>Li-Ion / Li-Pol (</w:t>
            </w:r>
            <w:r w:rsidRPr="00257690">
              <w:rPr>
                <w:rFonts w:eastAsia="Times New Roman"/>
                <w:bCs/>
                <w:color w:val="000000"/>
                <w:sz w:val="20"/>
                <w:szCs w:val="20"/>
                <w:lang w:eastAsia="cs-CZ"/>
              </w:rPr>
              <w:t>sekundární články)</w:t>
            </w:r>
          </w:p>
        </w:tc>
        <w:tc>
          <w:tcPr>
            <w:tcW w:w="1701" w:type="dxa"/>
          </w:tcPr>
          <w:p w:rsidR="000E29D5" w:rsidRPr="00257690" w:rsidP="000E29D5" w14:paraId="18B6987E" w14:textId="77777777">
            <w:pPr>
              <w:spacing w:after="120"/>
              <w:jc w:val="center"/>
              <w:rPr>
                <w:rFonts w:eastAsia="Times New Roman"/>
                <w:sz w:val="20"/>
                <w:szCs w:val="20"/>
                <w:lang w:eastAsia="cs-CZ"/>
              </w:rPr>
            </w:pPr>
            <w:r w:rsidRPr="00257690">
              <w:rPr>
                <w:rFonts w:eastAsia="Times New Roman"/>
                <w:sz w:val="20"/>
                <w:szCs w:val="20"/>
                <w:lang w:eastAsia="cs-CZ"/>
              </w:rPr>
              <w:t>672,5</w:t>
            </w:r>
          </w:p>
        </w:tc>
        <w:tc>
          <w:tcPr>
            <w:tcW w:w="1441" w:type="dxa"/>
          </w:tcPr>
          <w:p w:rsidR="000E29D5" w:rsidRPr="00257690" w:rsidP="000E29D5" w14:paraId="3004E261" w14:textId="77777777">
            <w:pPr>
              <w:spacing w:after="120"/>
              <w:jc w:val="center"/>
              <w:rPr>
                <w:rFonts w:eastAsia="Times New Roman"/>
                <w:bCs/>
                <w:sz w:val="20"/>
                <w:szCs w:val="20"/>
                <w:lang w:eastAsia="cs-CZ"/>
              </w:rPr>
            </w:pPr>
            <w:r w:rsidRPr="00257690">
              <w:rPr>
                <w:rFonts w:eastAsia="Times New Roman"/>
                <w:sz w:val="20"/>
                <w:szCs w:val="20"/>
                <w:lang w:eastAsia="cs-CZ"/>
              </w:rPr>
              <w:t>848,41</w:t>
            </w:r>
          </w:p>
        </w:tc>
      </w:tr>
      <w:tr w14:paraId="56B792D5" w14:textId="77777777" w:rsidTr="00442C7B">
        <w:tblPrEx>
          <w:tblW w:w="0" w:type="auto"/>
          <w:tblLook w:val="04A0"/>
        </w:tblPrEx>
        <w:trPr>
          <w:trHeight w:val="253"/>
        </w:trPr>
        <w:tc>
          <w:tcPr>
            <w:tcW w:w="2893" w:type="dxa"/>
            <w:vMerge/>
          </w:tcPr>
          <w:p w:rsidR="000E29D5" w:rsidRPr="00257690" w:rsidP="000E29D5" w14:paraId="7172994A" w14:textId="77777777">
            <w:pPr>
              <w:spacing w:after="120"/>
              <w:rPr>
                <w:rFonts w:eastAsia="Times New Roman"/>
                <w:bCs/>
                <w:sz w:val="20"/>
                <w:szCs w:val="20"/>
                <w:lang w:eastAsia="cs-CZ"/>
              </w:rPr>
            </w:pPr>
          </w:p>
        </w:tc>
        <w:tc>
          <w:tcPr>
            <w:tcW w:w="3027" w:type="dxa"/>
          </w:tcPr>
          <w:p w:rsidR="000E29D5" w:rsidRPr="00257690" w:rsidP="000E29D5" w14:paraId="546F9708" w14:textId="77777777">
            <w:pPr>
              <w:spacing w:after="120"/>
              <w:rPr>
                <w:rFonts w:eastAsia="Times New Roman"/>
                <w:color w:val="000000"/>
                <w:sz w:val="20"/>
                <w:szCs w:val="20"/>
                <w:lang w:eastAsia="cs-CZ"/>
              </w:rPr>
            </w:pPr>
            <w:r w:rsidRPr="00257690">
              <w:rPr>
                <w:rFonts w:eastAsia="Times New Roman"/>
                <w:bCs/>
                <w:color w:val="000000"/>
                <w:sz w:val="20"/>
                <w:szCs w:val="20"/>
                <w:lang w:eastAsia="cs-CZ"/>
              </w:rPr>
              <w:t>Celkem přenosné</w:t>
            </w:r>
          </w:p>
        </w:tc>
        <w:tc>
          <w:tcPr>
            <w:tcW w:w="1701" w:type="dxa"/>
          </w:tcPr>
          <w:p w:rsidR="000E29D5" w:rsidRPr="00257690" w:rsidP="000E29D5" w14:paraId="5801DE27" w14:textId="77777777">
            <w:pPr>
              <w:spacing w:after="120"/>
              <w:jc w:val="center"/>
              <w:rPr>
                <w:rFonts w:eastAsia="Times New Roman"/>
                <w:sz w:val="20"/>
                <w:szCs w:val="20"/>
                <w:lang w:eastAsia="cs-CZ"/>
              </w:rPr>
            </w:pPr>
            <w:r w:rsidRPr="00257690">
              <w:rPr>
                <w:rFonts w:eastAsia="Times New Roman"/>
                <w:sz w:val="20"/>
                <w:szCs w:val="20"/>
                <w:lang w:eastAsia="cs-CZ"/>
              </w:rPr>
              <w:t>731,5</w:t>
            </w:r>
          </w:p>
        </w:tc>
        <w:tc>
          <w:tcPr>
            <w:tcW w:w="1441" w:type="dxa"/>
          </w:tcPr>
          <w:p w:rsidR="000E29D5" w:rsidRPr="00257690" w:rsidP="000E29D5" w14:paraId="5AB46C9C" w14:textId="77777777">
            <w:pPr>
              <w:spacing w:after="120"/>
              <w:jc w:val="center"/>
              <w:rPr>
                <w:rFonts w:eastAsia="Times New Roman"/>
                <w:sz w:val="20"/>
                <w:szCs w:val="20"/>
                <w:lang w:eastAsia="cs-CZ"/>
              </w:rPr>
            </w:pPr>
            <w:r w:rsidRPr="00257690">
              <w:rPr>
                <w:rFonts w:eastAsia="Times New Roman"/>
                <w:sz w:val="20"/>
                <w:szCs w:val="20"/>
                <w:lang w:eastAsia="cs-CZ"/>
              </w:rPr>
              <w:t>890,4</w:t>
            </w:r>
          </w:p>
        </w:tc>
      </w:tr>
      <w:tr w14:paraId="1745AAEB" w14:textId="77777777" w:rsidTr="00442C7B">
        <w:tblPrEx>
          <w:tblW w:w="0" w:type="auto"/>
          <w:tblLook w:val="04A0"/>
        </w:tblPrEx>
        <w:trPr>
          <w:trHeight w:val="343"/>
        </w:trPr>
        <w:tc>
          <w:tcPr>
            <w:tcW w:w="2893" w:type="dxa"/>
          </w:tcPr>
          <w:p w:rsidR="000E29D5" w:rsidRPr="00257690" w:rsidP="000E29D5" w14:paraId="5B88E060" w14:textId="77777777">
            <w:pPr>
              <w:spacing w:after="120"/>
              <w:rPr>
                <w:rFonts w:eastAsia="Times New Roman"/>
                <w:bCs/>
                <w:sz w:val="20"/>
                <w:szCs w:val="20"/>
                <w:lang w:eastAsia="cs-CZ"/>
              </w:rPr>
            </w:pPr>
            <w:r w:rsidRPr="00257690">
              <w:rPr>
                <w:rFonts w:eastAsia="Times New Roman"/>
                <w:b/>
                <w:bCs/>
                <w:color w:val="000000"/>
                <w:sz w:val="20"/>
                <w:szCs w:val="20"/>
                <w:lang w:eastAsia="cs-CZ"/>
              </w:rPr>
              <w:t>Skupina 2: průmyslové BA</w:t>
            </w:r>
          </w:p>
        </w:tc>
        <w:tc>
          <w:tcPr>
            <w:tcW w:w="3027" w:type="dxa"/>
          </w:tcPr>
          <w:p w:rsidR="000E29D5" w:rsidRPr="00257690" w:rsidP="000E29D5" w14:paraId="2D14AB67" w14:textId="77777777">
            <w:pPr>
              <w:spacing w:after="120"/>
              <w:rPr>
                <w:rFonts w:eastAsia="Times New Roman"/>
                <w:bCs/>
                <w:sz w:val="20"/>
                <w:szCs w:val="20"/>
                <w:lang w:eastAsia="cs-CZ"/>
              </w:rPr>
            </w:pPr>
            <w:r w:rsidRPr="00257690">
              <w:rPr>
                <w:rFonts w:eastAsia="Times New Roman"/>
                <w:color w:val="000000"/>
                <w:sz w:val="20"/>
                <w:szCs w:val="20"/>
                <w:lang w:eastAsia="cs-CZ"/>
              </w:rPr>
              <w:t>Li-Ion / Li-Pol</w:t>
            </w:r>
          </w:p>
        </w:tc>
        <w:tc>
          <w:tcPr>
            <w:tcW w:w="1701" w:type="dxa"/>
          </w:tcPr>
          <w:p w:rsidR="000E29D5" w:rsidRPr="00257690" w:rsidP="000E29D5" w14:paraId="0D0050CF" w14:textId="77777777">
            <w:pPr>
              <w:spacing w:after="120"/>
              <w:jc w:val="center"/>
              <w:rPr>
                <w:rFonts w:eastAsia="Times New Roman"/>
                <w:sz w:val="20"/>
                <w:szCs w:val="20"/>
                <w:lang w:eastAsia="cs-CZ"/>
              </w:rPr>
            </w:pPr>
            <w:r w:rsidRPr="00257690">
              <w:rPr>
                <w:rFonts w:eastAsia="Times New Roman"/>
                <w:sz w:val="20"/>
                <w:szCs w:val="20"/>
                <w:lang w:eastAsia="cs-CZ"/>
              </w:rPr>
              <w:t>244,7</w:t>
            </w:r>
          </w:p>
        </w:tc>
        <w:tc>
          <w:tcPr>
            <w:tcW w:w="1441" w:type="dxa"/>
          </w:tcPr>
          <w:p w:rsidR="000E29D5" w:rsidRPr="00257690" w:rsidP="000E29D5" w14:paraId="6028C620" w14:textId="77777777">
            <w:pPr>
              <w:spacing w:after="120"/>
              <w:jc w:val="center"/>
              <w:rPr>
                <w:rFonts w:eastAsia="Times New Roman"/>
                <w:bCs/>
                <w:sz w:val="20"/>
                <w:szCs w:val="20"/>
                <w:lang w:eastAsia="cs-CZ"/>
              </w:rPr>
            </w:pPr>
            <w:r w:rsidRPr="00257690">
              <w:rPr>
                <w:rFonts w:eastAsia="Times New Roman"/>
                <w:sz w:val="20"/>
                <w:szCs w:val="20"/>
                <w:lang w:eastAsia="cs-CZ"/>
              </w:rPr>
              <w:t>216,3</w:t>
            </w:r>
          </w:p>
        </w:tc>
      </w:tr>
      <w:tr w14:paraId="77FAABE3" w14:textId="77777777" w:rsidTr="00442C7B">
        <w:tblPrEx>
          <w:tblW w:w="0" w:type="auto"/>
          <w:tblLook w:val="04A0"/>
        </w:tblPrEx>
        <w:trPr>
          <w:trHeight w:val="343"/>
        </w:trPr>
        <w:tc>
          <w:tcPr>
            <w:tcW w:w="2893" w:type="dxa"/>
          </w:tcPr>
          <w:p w:rsidR="000E29D5" w:rsidRPr="00257690" w:rsidP="000E29D5" w14:paraId="66BAC56C" w14:textId="77777777">
            <w:pPr>
              <w:spacing w:after="120"/>
              <w:rPr>
                <w:rFonts w:eastAsia="Times New Roman"/>
                <w:bCs/>
                <w:sz w:val="20"/>
                <w:szCs w:val="20"/>
                <w:lang w:eastAsia="cs-CZ"/>
              </w:rPr>
            </w:pPr>
            <w:r w:rsidRPr="00257690">
              <w:rPr>
                <w:rFonts w:eastAsia="Times New Roman"/>
                <w:b/>
                <w:bCs/>
                <w:color w:val="000000"/>
                <w:sz w:val="20"/>
                <w:szCs w:val="20"/>
                <w:lang w:eastAsia="cs-CZ"/>
              </w:rPr>
              <w:t>Skupina 3: automobilové BA</w:t>
            </w:r>
          </w:p>
        </w:tc>
        <w:tc>
          <w:tcPr>
            <w:tcW w:w="3027" w:type="dxa"/>
          </w:tcPr>
          <w:p w:rsidR="000E29D5" w:rsidRPr="00257690" w:rsidP="000E29D5" w14:paraId="2634A816" w14:textId="77777777">
            <w:pPr>
              <w:spacing w:after="120"/>
              <w:rPr>
                <w:rFonts w:eastAsia="Times New Roman"/>
                <w:bCs/>
                <w:sz w:val="20"/>
                <w:szCs w:val="20"/>
                <w:lang w:eastAsia="cs-CZ"/>
              </w:rPr>
            </w:pPr>
            <w:r w:rsidRPr="00257690">
              <w:rPr>
                <w:rFonts w:eastAsia="Times New Roman"/>
                <w:sz w:val="20"/>
                <w:szCs w:val="20"/>
                <w:lang w:eastAsia="cs-CZ"/>
              </w:rPr>
              <w:t>Jiné (než Pb)**</w:t>
            </w:r>
          </w:p>
        </w:tc>
        <w:tc>
          <w:tcPr>
            <w:tcW w:w="1701" w:type="dxa"/>
          </w:tcPr>
          <w:p w:rsidR="000E29D5" w:rsidRPr="00257690" w:rsidP="000E29D5" w14:paraId="4D212464" w14:textId="77777777">
            <w:pPr>
              <w:spacing w:after="120"/>
              <w:jc w:val="center"/>
              <w:rPr>
                <w:rFonts w:eastAsia="Times New Roman"/>
                <w:sz w:val="20"/>
                <w:szCs w:val="20"/>
                <w:lang w:eastAsia="cs-CZ"/>
              </w:rPr>
            </w:pPr>
            <w:r w:rsidRPr="00257690">
              <w:rPr>
                <w:rFonts w:eastAsia="Times New Roman"/>
                <w:sz w:val="20"/>
                <w:szCs w:val="20"/>
                <w:lang w:eastAsia="cs-CZ"/>
              </w:rPr>
              <w:t>36,4</w:t>
            </w:r>
          </w:p>
        </w:tc>
        <w:tc>
          <w:tcPr>
            <w:tcW w:w="1441" w:type="dxa"/>
          </w:tcPr>
          <w:p w:rsidR="000E29D5" w:rsidRPr="00257690" w:rsidP="000E29D5" w14:paraId="0B7DE659" w14:textId="77777777">
            <w:pPr>
              <w:spacing w:after="120"/>
              <w:jc w:val="center"/>
              <w:rPr>
                <w:rFonts w:eastAsia="Times New Roman"/>
                <w:bCs/>
                <w:sz w:val="20"/>
                <w:szCs w:val="20"/>
                <w:lang w:eastAsia="cs-CZ"/>
              </w:rPr>
            </w:pPr>
            <w:r w:rsidRPr="00257690">
              <w:rPr>
                <w:rFonts w:eastAsia="Times New Roman"/>
                <w:sz w:val="20"/>
                <w:szCs w:val="20"/>
                <w:lang w:eastAsia="cs-CZ"/>
              </w:rPr>
              <w:t>53,8</w:t>
            </w:r>
          </w:p>
        </w:tc>
      </w:tr>
      <w:tr w14:paraId="072F2EFA" w14:textId="77777777" w:rsidTr="00442C7B">
        <w:tblPrEx>
          <w:tblW w:w="0" w:type="auto"/>
          <w:tblLook w:val="04A0"/>
        </w:tblPrEx>
        <w:trPr>
          <w:trHeight w:val="343"/>
        </w:trPr>
        <w:tc>
          <w:tcPr>
            <w:tcW w:w="2893" w:type="dxa"/>
          </w:tcPr>
          <w:p w:rsidR="000E29D5" w:rsidRPr="00257690" w:rsidP="000E29D5" w14:paraId="66A10F36" w14:textId="77777777">
            <w:pPr>
              <w:spacing w:after="120"/>
              <w:rPr>
                <w:rFonts w:eastAsia="Times New Roman"/>
                <w:b/>
                <w:bCs/>
                <w:color w:val="000000"/>
                <w:sz w:val="20"/>
                <w:szCs w:val="20"/>
                <w:lang w:eastAsia="cs-CZ"/>
              </w:rPr>
            </w:pPr>
            <w:r w:rsidRPr="00257690">
              <w:rPr>
                <w:rFonts w:eastAsia="Times New Roman"/>
                <w:b/>
                <w:bCs/>
                <w:color w:val="000000"/>
                <w:sz w:val="20"/>
                <w:szCs w:val="20"/>
                <w:lang w:eastAsia="cs-CZ"/>
              </w:rPr>
              <w:t>Celkem</w:t>
            </w:r>
          </w:p>
        </w:tc>
        <w:tc>
          <w:tcPr>
            <w:tcW w:w="3027" w:type="dxa"/>
          </w:tcPr>
          <w:p w:rsidR="000E29D5" w:rsidRPr="00257690" w:rsidP="000E29D5" w14:paraId="4BD16C40" w14:textId="77777777">
            <w:pPr>
              <w:spacing w:after="120"/>
              <w:rPr>
                <w:rFonts w:eastAsia="Times New Roman"/>
                <w:sz w:val="20"/>
                <w:szCs w:val="20"/>
                <w:lang w:eastAsia="cs-CZ"/>
              </w:rPr>
            </w:pPr>
            <w:r w:rsidRPr="00257690">
              <w:rPr>
                <w:rFonts w:eastAsia="Times New Roman"/>
                <w:b/>
                <w:bCs/>
                <w:color w:val="000000"/>
                <w:sz w:val="20"/>
                <w:szCs w:val="20"/>
                <w:lang w:eastAsia="cs-CZ"/>
              </w:rPr>
              <w:t>Li-baterie celkem</w:t>
            </w:r>
          </w:p>
        </w:tc>
        <w:tc>
          <w:tcPr>
            <w:tcW w:w="1701" w:type="dxa"/>
          </w:tcPr>
          <w:p w:rsidR="000E29D5" w:rsidRPr="00257690" w:rsidP="000E29D5" w14:paraId="3C32A0BA" w14:textId="77777777">
            <w:pPr>
              <w:spacing w:after="120"/>
              <w:jc w:val="center"/>
              <w:rPr>
                <w:rFonts w:eastAsia="Times New Roman"/>
                <w:b/>
                <w:sz w:val="20"/>
                <w:szCs w:val="20"/>
                <w:lang w:eastAsia="cs-CZ"/>
              </w:rPr>
            </w:pPr>
            <w:r w:rsidRPr="00257690">
              <w:rPr>
                <w:rFonts w:eastAsia="Times New Roman"/>
                <w:b/>
                <w:sz w:val="20"/>
                <w:szCs w:val="20"/>
                <w:lang w:eastAsia="cs-CZ"/>
              </w:rPr>
              <w:t>1 012,6</w:t>
            </w:r>
          </w:p>
        </w:tc>
        <w:tc>
          <w:tcPr>
            <w:tcW w:w="1441" w:type="dxa"/>
          </w:tcPr>
          <w:p w:rsidR="000E29D5" w:rsidRPr="00257690" w:rsidP="000E29D5" w14:paraId="7D4CD25D" w14:textId="77777777">
            <w:pPr>
              <w:spacing w:after="120"/>
              <w:jc w:val="center"/>
              <w:rPr>
                <w:rFonts w:eastAsia="Times New Roman"/>
                <w:b/>
                <w:sz w:val="20"/>
                <w:szCs w:val="20"/>
                <w:lang w:eastAsia="cs-CZ"/>
              </w:rPr>
            </w:pPr>
            <w:r w:rsidRPr="00257690">
              <w:rPr>
                <w:rFonts w:eastAsia="Times New Roman"/>
                <w:b/>
                <w:sz w:val="20"/>
                <w:szCs w:val="20"/>
                <w:lang w:eastAsia="cs-CZ"/>
              </w:rPr>
              <w:t>1 160,4</w:t>
            </w:r>
          </w:p>
        </w:tc>
      </w:tr>
    </w:tbl>
    <w:p w:rsidR="006031E5" w:rsidRPr="0035496A" w:rsidP="006031E5" w14:paraId="3829E398" w14:textId="142909D4">
      <w:pPr>
        <w:spacing w:after="120" w:line="240" w:lineRule="auto"/>
        <w:rPr>
          <w:rFonts w:cs="Arial"/>
          <w:bCs/>
          <w:sz w:val="20"/>
          <w:szCs w:val="20"/>
          <w:lang w:eastAsia="cs-CZ"/>
        </w:rPr>
      </w:pPr>
      <w:r w:rsidRPr="0035496A">
        <w:rPr>
          <w:rFonts w:cs="Arial"/>
          <w:bCs/>
          <w:sz w:val="20"/>
          <w:szCs w:val="20"/>
          <w:lang w:eastAsia="cs-CZ"/>
        </w:rPr>
        <w:t xml:space="preserve">* </w:t>
      </w:r>
      <w:r w:rsidRPr="0035496A">
        <w:rPr>
          <w:sz w:val="20"/>
          <w:szCs w:val="20"/>
        </w:rPr>
        <w:t>Data o Li- bateriích a akumulátorech za předchozí roky nejsou dostupná (nebyla vedena evidence dle</w:t>
      </w:r>
      <w:r w:rsidR="00BF16B7">
        <w:rPr>
          <w:sz w:val="20"/>
          <w:szCs w:val="20"/>
        </w:rPr>
        <w:t> </w:t>
      </w:r>
      <w:r w:rsidRPr="0035496A">
        <w:rPr>
          <w:sz w:val="20"/>
          <w:szCs w:val="20"/>
        </w:rPr>
        <w:t>tohoto chemismu).</w:t>
      </w:r>
    </w:p>
    <w:p w:rsidR="006031E5" w:rsidRPr="0035496A" w:rsidP="006031E5" w14:paraId="3A0D0F97" w14:textId="201D8240">
      <w:pPr>
        <w:spacing w:after="120" w:line="240" w:lineRule="auto"/>
        <w:rPr>
          <w:rFonts w:cs="Arial"/>
          <w:bCs/>
          <w:sz w:val="20"/>
          <w:szCs w:val="20"/>
          <w:lang w:eastAsia="cs-CZ"/>
        </w:rPr>
      </w:pPr>
      <w:r w:rsidRPr="0035496A">
        <w:rPr>
          <w:rFonts w:cs="Arial"/>
          <w:bCs/>
          <w:sz w:val="20"/>
          <w:szCs w:val="20"/>
          <w:lang w:eastAsia="cs-CZ"/>
        </w:rPr>
        <w:t>** U automobilových (startovacích) baterií se odhaduje, že lithium se vyskytuje u cca 90 % baterií vedených ve</w:t>
      </w:r>
      <w:r w:rsidR="0012681B">
        <w:rPr>
          <w:rFonts w:cs="Arial"/>
          <w:bCs/>
          <w:sz w:val="20"/>
          <w:szCs w:val="20"/>
          <w:lang w:eastAsia="cs-CZ"/>
        </w:rPr>
        <w:t> </w:t>
      </w:r>
      <w:r w:rsidRPr="0035496A">
        <w:rPr>
          <w:rFonts w:cs="Arial"/>
          <w:bCs/>
          <w:sz w:val="20"/>
          <w:szCs w:val="20"/>
          <w:lang w:eastAsia="cs-CZ"/>
        </w:rPr>
        <w:t>skupině „Jiné“ než olověné baterie. Množství uvedené v tabulce odpovídá přepočtené 90% hodnotě.</w:t>
      </w:r>
    </w:p>
    <w:p w:rsidR="006031E5" w:rsidRPr="0035496A" w:rsidP="006031E5" w14:paraId="221BF7BD" w14:textId="77777777">
      <w:pPr>
        <w:spacing w:after="120" w:line="240" w:lineRule="auto"/>
        <w:jc w:val="right"/>
        <w:rPr>
          <w:rFonts w:cs="Arial"/>
          <w:bCs/>
          <w:sz w:val="20"/>
          <w:szCs w:val="20"/>
          <w:lang w:eastAsia="cs-CZ"/>
        </w:rPr>
      </w:pPr>
      <w:r w:rsidRPr="0035496A">
        <w:rPr>
          <w:rFonts w:cs="Arial"/>
          <w:bCs/>
          <w:sz w:val="20"/>
          <w:szCs w:val="20"/>
          <w:lang w:eastAsia="cs-CZ"/>
        </w:rPr>
        <w:t>Zdroj: CENIA</w:t>
      </w:r>
    </w:p>
    <w:p w:rsidR="006031E5" w:rsidRPr="005A39DD" w:rsidP="004F2CF7" w14:paraId="46E804FB" w14:textId="77777777">
      <w:pPr>
        <w:spacing w:before="240" w:after="120"/>
        <w:rPr>
          <w:rFonts w:cs="Arial"/>
          <w:bCs/>
          <w:szCs w:val="20"/>
          <w:lang w:eastAsia="cs-CZ"/>
        </w:rPr>
      </w:pPr>
      <w:r w:rsidRPr="005A39DD">
        <w:rPr>
          <w:rFonts w:cs="Arial"/>
          <w:bCs/>
          <w:szCs w:val="20"/>
          <w:lang w:eastAsia="cs-CZ"/>
        </w:rPr>
        <w:t>Lze předpokládat, že množství Li-baterií</w:t>
      </w:r>
      <w:r>
        <w:rPr>
          <w:rFonts w:cs="Arial"/>
          <w:bCs/>
          <w:szCs w:val="20"/>
          <w:lang w:eastAsia="cs-CZ"/>
        </w:rPr>
        <w:t xml:space="preserve"> použitých ve skupině automobilové </w:t>
      </w:r>
      <w:r w:rsidRPr="005A39DD">
        <w:rPr>
          <w:rFonts w:cs="Arial"/>
          <w:bCs/>
          <w:szCs w:val="20"/>
          <w:lang w:eastAsia="cs-CZ"/>
        </w:rPr>
        <w:t xml:space="preserve">baterie bude </w:t>
      </w:r>
      <w:r>
        <w:rPr>
          <w:rFonts w:cs="Arial"/>
          <w:bCs/>
          <w:szCs w:val="20"/>
          <w:lang w:eastAsia="cs-CZ"/>
        </w:rPr>
        <w:t xml:space="preserve">v budoucnu </w:t>
      </w:r>
      <w:r w:rsidRPr="005A39DD">
        <w:rPr>
          <w:rFonts w:cs="Arial"/>
          <w:bCs/>
          <w:szCs w:val="20"/>
          <w:lang w:eastAsia="cs-CZ"/>
        </w:rPr>
        <w:t xml:space="preserve">významně narůstat v návaznosti </w:t>
      </w:r>
      <w:r>
        <w:rPr>
          <w:rFonts w:cs="Arial"/>
          <w:bCs/>
          <w:szCs w:val="20"/>
          <w:lang w:eastAsia="cs-CZ"/>
        </w:rPr>
        <w:t>na omezování použi</w:t>
      </w:r>
      <w:r w:rsidRPr="005A39DD">
        <w:rPr>
          <w:rFonts w:cs="Arial"/>
          <w:bCs/>
          <w:szCs w:val="20"/>
          <w:lang w:eastAsia="cs-CZ"/>
        </w:rPr>
        <w:t>tí Pb-baterií (z důvodu omezování olova).</w:t>
      </w:r>
      <w:r>
        <w:rPr>
          <w:rFonts w:cs="Arial"/>
          <w:bCs/>
          <w:szCs w:val="20"/>
          <w:lang w:eastAsia="cs-CZ"/>
        </w:rPr>
        <w:t xml:space="preserve"> V současnosti </w:t>
      </w:r>
      <w:r w:rsidRPr="003050DA">
        <w:rPr>
          <w:rFonts w:cs="Arial"/>
          <w:bCs/>
          <w:szCs w:val="20"/>
          <w:lang w:eastAsia="cs-CZ"/>
        </w:rPr>
        <w:t xml:space="preserve">platí </w:t>
      </w:r>
      <w:r w:rsidRPr="006C1DF1">
        <w:rPr>
          <w:rFonts w:cs="Arial"/>
          <w:bCs/>
          <w:szCs w:val="20"/>
          <w:lang w:eastAsia="cs-CZ"/>
        </w:rPr>
        <w:t>výjimka (dle směrnice</w:t>
      </w:r>
      <w:r w:rsidRPr="003050DA">
        <w:rPr>
          <w:rFonts w:cs="Arial"/>
          <w:bCs/>
          <w:szCs w:val="20"/>
          <w:lang w:eastAsia="cs-CZ"/>
        </w:rPr>
        <w:t xml:space="preserve"> 2000/53/EC</w:t>
      </w:r>
      <w:r w:rsidRPr="006C1DF1">
        <w:rPr>
          <w:rFonts w:cs="Arial"/>
          <w:bCs/>
          <w:szCs w:val="20"/>
          <w:lang w:eastAsia="cs-CZ"/>
        </w:rPr>
        <w:t>)</w:t>
      </w:r>
      <w:r w:rsidRPr="003050DA">
        <w:rPr>
          <w:rFonts w:cs="Arial"/>
          <w:bCs/>
          <w:szCs w:val="20"/>
          <w:lang w:eastAsia="cs-CZ"/>
        </w:rPr>
        <w:t>, která</w:t>
      </w:r>
      <w:r>
        <w:rPr>
          <w:rFonts w:cs="Arial"/>
          <w:bCs/>
          <w:szCs w:val="20"/>
          <w:lang w:eastAsia="cs-CZ"/>
        </w:rPr>
        <w:t xml:space="preserve"> umožňuje používání olova ve startovacích bateriích. V roce 2021 bude uplatnění této výjimky přehodnoceno. </w:t>
      </w:r>
    </w:p>
    <w:p w:rsidR="00304909" w:rsidP="006031E5" w14:paraId="4E13EB3F" w14:textId="08CF6FEF">
      <w:pPr>
        <w:rPr>
          <w:rFonts w:cs="Arial"/>
          <w:noProof w:val="0"/>
          <w:lang w:bidi="ar-SA"/>
        </w:rPr>
      </w:pPr>
      <w:r>
        <w:rPr>
          <w:rFonts w:cs="Arial"/>
        </w:rPr>
        <w:t>Očekává se také postupný nárůst používání průmyslvoých Li</w:t>
      </w:r>
      <w:r w:rsidR="00365F99">
        <w:rPr>
          <w:rFonts w:cs="Arial"/>
        </w:rPr>
        <w:t>-</w:t>
      </w:r>
      <w:r>
        <w:rPr>
          <w:rFonts w:cs="Arial"/>
        </w:rPr>
        <w:t>baterií, a to v návaznosti na snižování jejich ceny.</w:t>
      </w:r>
    </w:p>
    <w:p w:rsidR="00304909" w:rsidRPr="00ED38E9" w:rsidP="00BF16B7" w14:paraId="1A48C042" w14:textId="77777777">
      <w:pPr>
        <w:pStyle w:val="Heading3"/>
        <w:spacing w:before="240"/>
      </w:pPr>
      <w:r w:rsidRPr="00ED38E9">
        <w:t>Popis existujícího právního stavu v dané oblasti</w:t>
      </w:r>
    </w:p>
    <w:p w:rsidR="006031E5" w:rsidRPr="00817DD4" w:rsidP="006031E5" w14:paraId="69C91EB3" w14:textId="77777777">
      <w:pPr>
        <w:rPr>
          <w:bCs/>
          <w:lang w:eastAsia="cs-CZ"/>
        </w:rPr>
      </w:pPr>
      <w:r w:rsidRPr="00817DD4">
        <w:rPr>
          <w:bCs/>
          <w:lang w:eastAsia="cs-CZ"/>
        </w:rPr>
        <w:t>V současnosti j</w:t>
      </w:r>
      <w:r>
        <w:rPr>
          <w:bCs/>
          <w:lang w:eastAsia="cs-CZ"/>
        </w:rPr>
        <w:t>e nakládání s</w:t>
      </w:r>
      <w:r w:rsidRPr="00817DD4">
        <w:rPr>
          <w:bCs/>
          <w:lang w:eastAsia="cs-CZ"/>
        </w:rPr>
        <w:t xml:space="preserve"> baterie</w:t>
      </w:r>
      <w:r>
        <w:rPr>
          <w:bCs/>
          <w:lang w:eastAsia="cs-CZ"/>
        </w:rPr>
        <w:t>mi</w:t>
      </w:r>
      <w:r w:rsidRPr="00817DD4">
        <w:rPr>
          <w:bCs/>
          <w:lang w:eastAsia="cs-CZ"/>
        </w:rPr>
        <w:t xml:space="preserve"> a akumulátory upraven</w:t>
      </w:r>
      <w:r>
        <w:rPr>
          <w:bCs/>
          <w:lang w:eastAsia="cs-CZ"/>
        </w:rPr>
        <w:t>o</w:t>
      </w:r>
      <w:r w:rsidRPr="00817DD4">
        <w:rPr>
          <w:bCs/>
          <w:lang w:eastAsia="cs-CZ"/>
        </w:rPr>
        <w:t xml:space="preserve"> několika právními předpisy EU:</w:t>
      </w:r>
    </w:p>
    <w:p w:rsidR="006031E5" w:rsidRPr="0015050F" w:rsidP="003C445B" w14:paraId="63ABBA6D" w14:textId="77777777">
      <w:pPr>
        <w:pStyle w:val="ListParagraph"/>
        <w:numPr>
          <w:ilvl w:val="0"/>
          <w:numId w:val="106"/>
        </w:numPr>
        <w:spacing w:after="120"/>
        <w:ind w:left="714" w:hanging="357"/>
        <w:contextualSpacing w:val="0"/>
        <w:rPr>
          <w:bCs/>
          <w:lang w:eastAsia="cs-CZ"/>
        </w:rPr>
      </w:pPr>
      <w:r w:rsidRPr="0015050F">
        <w:rPr>
          <w:b/>
          <w:bCs/>
          <w:lang w:eastAsia="cs-CZ"/>
        </w:rPr>
        <w:t>Směrnice Evropského parlamentu a Rady 2006/66/ES</w:t>
      </w:r>
      <w:r w:rsidRPr="0015050F">
        <w:rPr>
          <w:bCs/>
          <w:lang w:eastAsia="cs-CZ"/>
        </w:rPr>
        <w:t xml:space="preserve"> ze dne 6. září 2006 o</w:t>
      </w:r>
      <w:r>
        <w:rPr>
          <w:bCs/>
          <w:lang w:eastAsia="cs-CZ"/>
        </w:rPr>
        <w:t> </w:t>
      </w:r>
      <w:r w:rsidRPr="0015050F">
        <w:rPr>
          <w:bCs/>
          <w:lang w:eastAsia="cs-CZ"/>
        </w:rPr>
        <w:t>bateriích a akumulátorech a odpadních bateriích a akumulátorech a o zrušení směrnice 91/157/EHS</w:t>
      </w:r>
      <w:r>
        <w:rPr>
          <w:bCs/>
          <w:lang w:eastAsia="cs-CZ"/>
        </w:rPr>
        <w:t>,</w:t>
      </w:r>
    </w:p>
    <w:p w:rsidR="006031E5" w:rsidRPr="0015050F" w:rsidP="003C445B" w14:paraId="4E1BDC09" w14:textId="77777777">
      <w:pPr>
        <w:pStyle w:val="ListParagraph"/>
        <w:numPr>
          <w:ilvl w:val="0"/>
          <w:numId w:val="106"/>
        </w:numPr>
        <w:spacing w:after="120"/>
        <w:ind w:left="714" w:hanging="357"/>
        <w:contextualSpacing w:val="0"/>
        <w:outlineLvl w:val="0"/>
        <w:rPr>
          <w:bCs/>
          <w:lang w:eastAsia="cs-CZ"/>
        </w:rPr>
      </w:pPr>
      <w:bookmarkStart w:id="210" w:name="_Toc530567932"/>
      <w:bookmarkStart w:id="211" w:name="_Toc530653959"/>
      <w:bookmarkStart w:id="212" w:name="_Toc530657565"/>
      <w:bookmarkStart w:id="213" w:name="_Toc2842680"/>
      <w:bookmarkStart w:id="214" w:name="_Toc13746065"/>
      <w:bookmarkStart w:id="215" w:name="_Toc14942097"/>
      <w:bookmarkStart w:id="216" w:name="_Toc256000023"/>
      <w:r w:rsidRPr="0015050F">
        <w:rPr>
          <w:b/>
          <w:bCs/>
          <w:lang w:eastAsia="cs-CZ"/>
        </w:rPr>
        <w:t>Nařízení Komise (EU) č. 1103/2010</w:t>
      </w:r>
      <w:r w:rsidRPr="0015050F">
        <w:rPr>
          <w:bCs/>
          <w:lang w:eastAsia="cs-CZ"/>
        </w:rPr>
        <w:t xml:space="preserve"> ze dne 29. listopadu 2010, kterým se stanoví pravidla podle směrnice Evropského parlamentu a Rady 2006/66/ES týkající se označování kapacity přenosných sekundárních (schopných opětovného nabití) a automobilových baterií a akumulátorů</w:t>
      </w:r>
      <w:r>
        <w:rPr>
          <w:bCs/>
          <w:lang w:eastAsia="cs-CZ"/>
        </w:rPr>
        <w:t>,</w:t>
      </w:r>
      <w:bookmarkEnd w:id="216"/>
      <w:bookmarkEnd w:id="210"/>
      <w:bookmarkEnd w:id="211"/>
      <w:bookmarkEnd w:id="212"/>
      <w:bookmarkEnd w:id="213"/>
      <w:bookmarkEnd w:id="214"/>
      <w:bookmarkEnd w:id="215"/>
    </w:p>
    <w:p w:rsidR="006031E5" w:rsidRPr="0015050F" w:rsidP="003C445B" w14:paraId="1DD52973" w14:textId="77777777">
      <w:pPr>
        <w:pStyle w:val="ListParagraph"/>
        <w:numPr>
          <w:ilvl w:val="0"/>
          <w:numId w:val="106"/>
        </w:numPr>
        <w:spacing w:after="120"/>
        <w:ind w:left="714" w:hanging="357"/>
        <w:contextualSpacing w:val="0"/>
        <w:rPr>
          <w:bCs/>
          <w:lang w:eastAsia="cs-CZ"/>
        </w:rPr>
      </w:pPr>
      <w:r w:rsidRPr="0015050F">
        <w:rPr>
          <w:b/>
          <w:bCs/>
          <w:lang w:eastAsia="cs-CZ"/>
        </w:rPr>
        <w:t>Nařízení komise EU č. 493/2012</w:t>
      </w:r>
      <w:r w:rsidRPr="0015050F">
        <w:rPr>
          <w:bCs/>
          <w:lang w:eastAsia="cs-CZ"/>
        </w:rPr>
        <w:t xml:space="preserve"> ze dne 11. června 2012, kterým se stanoví prováděcí pravidla pro výpočet recyklační účinnosti procesů recyklace odpadních baterií a</w:t>
      </w:r>
      <w:r>
        <w:rPr>
          <w:bCs/>
          <w:lang w:eastAsia="cs-CZ"/>
        </w:rPr>
        <w:t> </w:t>
      </w:r>
      <w:r w:rsidRPr="0015050F">
        <w:rPr>
          <w:bCs/>
          <w:lang w:eastAsia="cs-CZ"/>
        </w:rPr>
        <w:t>akumulátorů podle směrnice Evropského parlamentu a Rady 2006/66/ES</w:t>
      </w:r>
      <w:r>
        <w:rPr>
          <w:bCs/>
          <w:lang w:eastAsia="cs-CZ"/>
        </w:rPr>
        <w:t>.</w:t>
      </w:r>
    </w:p>
    <w:p w:rsidR="006031E5" w:rsidP="006031E5" w14:paraId="15A3F500" w14:textId="5246EE08">
      <w:pPr>
        <w:spacing w:after="120"/>
        <w:rPr>
          <w:color w:val="000000"/>
        </w:rPr>
      </w:pPr>
      <w:r w:rsidRPr="00C72298">
        <w:rPr>
          <w:color w:val="000000"/>
        </w:rPr>
        <w:t>Platná legislativa</w:t>
      </w:r>
      <w:r>
        <w:rPr>
          <w:color w:val="000000"/>
        </w:rPr>
        <w:t xml:space="preserve"> však vznikala v období let 2004 a 2005, a je tedy, pokud jde o průmyslové a automobilové akumulátory, postavena na faktu, že se na trhu objevují pouze odpadní baterie s tržní pozitivní hodnotou (Pb a Ni-Cd). Směrnice tedy nepředpokládala existenci</w:t>
      </w:r>
      <w:r w:rsidRPr="00C72298">
        <w:rPr>
          <w:color w:val="000000"/>
        </w:rPr>
        <w:t xml:space="preserve"> </w:t>
      </w:r>
      <w:r w:rsidR="00365F99">
        <w:rPr>
          <w:color w:val="000000"/>
        </w:rPr>
        <w:t>Li-</w:t>
      </w:r>
      <w:r w:rsidRPr="00C72298">
        <w:rPr>
          <w:color w:val="000000"/>
        </w:rPr>
        <w:t>baterií</w:t>
      </w:r>
      <w:r>
        <w:rPr>
          <w:color w:val="000000"/>
        </w:rPr>
        <w:t>, resp. baterií, jejichž tržní hodnota coby odpadu, je významně záporná</w:t>
      </w:r>
      <w:r w:rsidRPr="00C72298">
        <w:rPr>
          <w:color w:val="000000"/>
        </w:rPr>
        <w:t>. Tato problematika je momentálně sice diskutována na evropské úrovni v rámci právě probíhající revize směrnice 2006/66/ES o</w:t>
      </w:r>
      <w:r>
        <w:rPr>
          <w:color w:val="000000"/>
        </w:rPr>
        <w:t> </w:t>
      </w:r>
      <w:r w:rsidRPr="00C72298">
        <w:rPr>
          <w:color w:val="000000"/>
        </w:rPr>
        <w:t>bateriích a akumulátorech (směrnice o bateriích a</w:t>
      </w:r>
      <w:r>
        <w:rPr>
          <w:color w:val="000000"/>
        </w:rPr>
        <w:t> </w:t>
      </w:r>
      <w:r w:rsidRPr="00C72298">
        <w:rPr>
          <w:color w:val="000000"/>
        </w:rPr>
        <w:t xml:space="preserve">akumulátorech), v níž je klíčovým tématem právě zmíněný současný trend zvyšujícího se podílu </w:t>
      </w:r>
      <w:r w:rsidR="00365F99">
        <w:rPr>
          <w:color w:val="000000"/>
        </w:rPr>
        <w:t>Li-</w:t>
      </w:r>
      <w:r w:rsidRPr="00C72298">
        <w:rPr>
          <w:color w:val="000000"/>
        </w:rPr>
        <w:t xml:space="preserve">baterií na trhu, avšak </w:t>
      </w:r>
      <w:r>
        <w:rPr>
          <w:color w:val="000000"/>
        </w:rPr>
        <w:t>nová úprava na evropské úrovni může být hotova teprve za několik let, resp. dosud nebyl ze</w:t>
      </w:r>
      <w:r w:rsidR="00365F99">
        <w:rPr>
          <w:color w:val="000000"/>
        </w:rPr>
        <w:t> </w:t>
      </w:r>
      <w:r>
        <w:rPr>
          <w:color w:val="000000"/>
        </w:rPr>
        <w:t>strany Evropské komise předložen ani žádný návrh na legislativní změnu.</w:t>
      </w:r>
    </w:p>
    <w:p w:rsidR="00304909" w:rsidRPr="00ED38E9" w:rsidP="00BF16B7" w14:paraId="26DBF321" w14:textId="77777777">
      <w:pPr>
        <w:pStyle w:val="Heading3"/>
        <w:spacing w:before="240"/>
      </w:pPr>
      <w:r w:rsidRPr="00ED38E9">
        <w:t>Identifikace dotčených subjektů</w:t>
      </w:r>
    </w:p>
    <w:p w:rsidR="006031E5" w:rsidP="003C445B" w14:paraId="5F0B117A" w14:textId="59C8FA1C">
      <w:pPr>
        <w:pStyle w:val="ListParagraph"/>
        <w:numPr>
          <w:ilvl w:val="0"/>
          <w:numId w:val="107"/>
        </w:numPr>
        <w:spacing w:after="120"/>
        <w:contextualSpacing w:val="0"/>
        <w:jc w:val="left"/>
        <w:rPr>
          <w:color w:val="000000"/>
        </w:rPr>
      </w:pPr>
      <w:r w:rsidRPr="00B51954">
        <w:rPr>
          <w:color w:val="000000"/>
        </w:rPr>
        <w:t>V</w:t>
      </w:r>
      <w:r>
        <w:rPr>
          <w:color w:val="000000"/>
        </w:rPr>
        <w:t xml:space="preserve">ýrobci </w:t>
      </w:r>
      <w:r w:rsidR="00365F99">
        <w:rPr>
          <w:color w:val="000000"/>
        </w:rPr>
        <w:t>Li-</w:t>
      </w:r>
      <w:r w:rsidRPr="00B51954">
        <w:rPr>
          <w:color w:val="000000"/>
        </w:rPr>
        <w:t>baterií</w:t>
      </w:r>
    </w:p>
    <w:p w:rsidR="006031E5" w:rsidRPr="00B51954" w:rsidP="003C445B" w14:paraId="46AA6304" w14:textId="1287FA88">
      <w:pPr>
        <w:pStyle w:val="ListParagraph"/>
        <w:numPr>
          <w:ilvl w:val="0"/>
          <w:numId w:val="107"/>
        </w:numPr>
        <w:spacing w:after="120"/>
        <w:ind w:left="714" w:hanging="357"/>
        <w:contextualSpacing w:val="0"/>
        <w:jc w:val="left"/>
        <w:rPr>
          <w:color w:val="000000"/>
        </w:rPr>
      </w:pPr>
      <w:r>
        <w:rPr>
          <w:color w:val="000000"/>
        </w:rPr>
        <w:t xml:space="preserve">Zpracovatelé </w:t>
      </w:r>
      <w:r w:rsidR="00365F99">
        <w:rPr>
          <w:color w:val="000000"/>
        </w:rPr>
        <w:t>Li-</w:t>
      </w:r>
      <w:r w:rsidRPr="00B51954">
        <w:rPr>
          <w:color w:val="000000"/>
        </w:rPr>
        <w:t>baterií</w:t>
      </w:r>
    </w:p>
    <w:p w:rsidR="006031E5" w:rsidRPr="00B51954" w:rsidP="003C445B" w14:paraId="11A5674C" w14:textId="77777777">
      <w:pPr>
        <w:pStyle w:val="ListParagraph"/>
        <w:numPr>
          <w:ilvl w:val="0"/>
          <w:numId w:val="107"/>
        </w:numPr>
        <w:spacing w:after="120"/>
        <w:ind w:left="714" w:hanging="357"/>
        <w:contextualSpacing w:val="0"/>
        <w:jc w:val="left"/>
        <w:rPr>
          <w:color w:val="000000"/>
        </w:rPr>
      </w:pPr>
      <w:r w:rsidRPr="00B51954">
        <w:rPr>
          <w:color w:val="000000"/>
        </w:rPr>
        <w:t>Spotřebitel</w:t>
      </w:r>
      <w:r>
        <w:rPr>
          <w:color w:val="000000"/>
        </w:rPr>
        <w:t>é</w:t>
      </w:r>
    </w:p>
    <w:p w:rsidR="006031E5" w:rsidRPr="00B51954" w:rsidP="003C445B" w14:paraId="11789618" w14:textId="77777777">
      <w:pPr>
        <w:pStyle w:val="ListParagraph"/>
        <w:numPr>
          <w:ilvl w:val="0"/>
          <w:numId w:val="107"/>
        </w:numPr>
        <w:spacing w:after="120"/>
        <w:ind w:left="714" w:hanging="357"/>
        <w:contextualSpacing w:val="0"/>
        <w:jc w:val="left"/>
        <w:rPr>
          <w:color w:val="000000"/>
        </w:rPr>
      </w:pPr>
      <w:r w:rsidRPr="00B51954">
        <w:rPr>
          <w:color w:val="000000"/>
        </w:rPr>
        <w:t>MŽP  - zápisy do Seznamu výrobců</w:t>
      </w:r>
    </w:p>
    <w:p w:rsidR="006031E5" w:rsidRPr="00B51954" w:rsidP="003C445B" w14:paraId="5A22D522" w14:textId="77777777">
      <w:pPr>
        <w:numPr>
          <w:ilvl w:val="0"/>
          <w:numId w:val="107"/>
        </w:numPr>
        <w:spacing w:after="120"/>
        <w:ind w:left="714" w:hanging="357"/>
        <w:rPr>
          <w:color w:val="000000"/>
        </w:rPr>
      </w:pPr>
      <w:r w:rsidRPr="00C72298">
        <w:rPr>
          <w:color w:val="000000"/>
        </w:rPr>
        <w:t xml:space="preserve">Česká inspekce životního prostředí </w:t>
      </w:r>
      <w:r w:rsidRPr="00B51954">
        <w:rPr>
          <w:color w:val="000000"/>
        </w:rPr>
        <w:t>(ČIŽP) – kontroluje plnění povinností výrobců, resp. naplňování rozšířené odpovědnosti výrobců</w:t>
      </w:r>
    </w:p>
    <w:p w:rsidR="00304909" w:rsidRPr="00ED38E9" w:rsidP="00BF16B7" w14:paraId="03E29C2C" w14:textId="77777777">
      <w:pPr>
        <w:pStyle w:val="Heading3"/>
      </w:pPr>
      <w:r w:rsidRPr="00ED38E9">
        <w:t>Popis cílového stavu</w:t>
      </w:r>
    </w:p>
    <w:p w:rsidR="006031E5" w:rsidP="006031E5" w14:paraId="278DFC2F" w14:textId="4B9462DD">
      <w:pPr>
        <w:spacing w:after="120"/>
        <w:rPr>
          <w:lang w:eastAsia="cs-CZ"/>
        </w:rPr>
      </w:pPr>
      <w:r w:rsidRPr="00B51954">
        <w:rPr>
          <w:color w:val="000000"/>
        </w:rPr>
        <w:t>Cílem, resp. hlavním účelem legislativní změny</w:t>
      </w:r>
      <w:r>
        <w:rPr>
          <w:color w:val="000000"/>
        </w:rPr>
        <w:t>,</w:t>
      </w:r>
      <w:r w:rsidRPr="00B51954">
        <w:rPr>
          <w:color w:val="000000"/>
        </w:rPr>
        <w:t xml:space="preserve"> je zajištění dostatečného množství finančních prostředků pro </w:t>
      </w:r>
      <w:r>
        <w:rPr>
          <w:color w:val="000000"/>
        </w:rPr>
        <w:t>zajištění funkčního</w:t>
      </w:r>
      <w:r w:rsidRPr="00B51954">
        <w:rPr>
          <w:color w:val="000000"/>
        </w:rPr>
        <w:t xml:space="preserve"> systému </w:t>
      </w:r>
      <w:r w:rsidR="00365F99">
        <w:rPr>
          <w:color w:val="000000"/>
        </w:rPr>
        <w:t>ZO</w:t>
      </w:r>
      <w:r w:rsidRPr="00B51954">
        <w:rPr>
          <w:color w:val="000000"/>
        </w:rPr>
        <w:t xml:space="preserve"> </w:t>
      </w:r>
      <w:r>
        <w:rPr>
          <w:color w:val="000000"/>
        </w:rPr>
        <w:t>průmyslových a automobilových </w:t>
      </w:r>
      <w:r w:rsidRPr="00B51954">
        <w:rPr>
          <w:color w:val="000000"/>
        </w:rPr>
        <w:t>akumulátorů obsahujících lithium, čímž by mělo dojít k</w:t>
      </w:r>
      <w:r>
        <w:rPr>
          <w:color w:val="000000"/>
        </w:rPr>
        <w:t xml:space="preserve"> </w:t>
      </w:r>
      <w:r w:rsidRPr="00B51954">
        <w:rPr>
          <w:color w:val="000000"/>
        </w:rPr>
        <w:t>zamezení budoucí ekologické i ekonomické zátěž</w:t>
      </w:r>
      <w:r>
        <w:rPr>
          <w:color w:val="000000"/>
        </w:rPr>
        <w:t>e</w:t>
      </w:r>
      <w:r w:rsidRPr="00B51954">
        <w:rPr>
          <w:color w:val="000000"/>
        </w:rPr>
        <w:t xml:space="preserve"> způsobené nedostatečným finančním pokrytím optimálního nakládání s</w:t>
      </w:r>
      <w:r w:rsidR="00365F99">
        <w:rPr>
          <w:color w:val="000000"/>
        </w:rPr>
        <w:t> Li-</w:t>
      </w:r>
      <w:r w:rsidRPr="00B51954">
        <w:rPr>
          <w:color w:val="000000"/>
        </w:rPr>
        <w:t>akumulátory.</w:t>
      </w:r>
      <w:r>
        <w:rPr>
          <w:color w:val="000000"/>
        </w:rPr>
        <w:t xml:space="preserve"> </w:t>
      </w:r>
    </w:p>
    <w:p w:rsidR="006031E5" w:rsidP="006031E5" w14:paraId="0D105365" w14:textId="77777777">
      <w:pPr>
        <w:spacing w:after="120"/>
        <w:rPr>
          <w:rFonts w:cs="Arial"/>
          <w:bCs/>
          <w:szCs w:val="20"/>
          <w:lang w:eastAsia="cs-CZ"/>
        </w:rPr>
      </w:pPr>
      <w:r>
        <w:rPr>
          <w:color w:val="000000"/>
        </w:rPr>
        <w:t>Dále jde i o s</w:t>
      </w:r>
      <w:r w:rsidRPr="00C72C06">
        <w:rPr>
          <w:rFonts w:cs="Arial"/>
          <w:bCs/>
          <w:szCs w:val="20"/>
          <w:lang w:eastAsia="cs-CZ"/>
        </w:rPr>
        <w:t>jedn</w:t>
      </w:r>
      <w:r>
        <w:rPr>
          <w:rFonts w:cs="Arial"/>
          <w:bCs/>
          <w:szCs w:val="20"/>
          <w:lang w:eastAsia="cs-CZ"/>
        </w:rPr>
        <w:t>ocení podmínek pro výrobce Li-ba</w:t>
      </w:r>
      <w:r w:rsidRPr="00C72C06">
        <w:rPr>
          <w:rFonts w:cs="Arial"/>
          <w:bCs/>
          <w:szCs w:val="20"/>
          <w:lang w:eastAsia="cs-CZ"/>
        </w:rPr>
        <w:t>t</w:t>
      </w:r>
      <w:r>
        <w:rPr>
          <w:rFonts w:cs="Arial"/>
          <w:bCs/>
          <w:szCs w:val="20"/>
          <w:lang w:eastAsia="cs-CZ"/>
        </w:rPr>
        <w:t>er</w:t>
      </w:r>
      <w:r w:rsidRPr="00C72C06">
        <w:rPr>
          <w:rFonts w:cs="Arial"/>
          <w:bCs/>
          <w:szCs w:val="20"/>
          <w:lang w:eastAsia="cs-CZ"/>
        </w:rPr>
        <w:t>ií, kt</w:t>
      </w:r>
      <w:r>
        <w:rPr>
          <w:rFonts w:cs="Arial"/>
          <w:bCs/>
          <w:szCs w:val="20"/>
          <w:lang w:eastAsia="cs-CZ"/>
        </w:rPr>
        <w:t>eří plní zákonné povinnosti</w:t>
      </w:r>
      <w:r w:rsidRPr="00C72C06">
        <w:rPr>
          <w:rFonts w:cs="Arial"/>
          <w:bCs/>
          <w:szCs w:val="20"/>
          <w:lang w:eastAsia="cs-CZ"/>
        </w:rPr>
        <w:t xml:space="preserve"> </w:t>
      </w:r>
      <w:r>
        <w:rPr>
          <w:rFonts w:cs="Arial"/>
          <w:bCs/>
          <w:szCs w:val="20"/>
          <w:lang w:eastAsia="cs-CZ"/>
        </w:rPr>
        <w:t>prostřednictvím KS a individuálně, resp. nastavení stejných podmínek pro výrobce plnící své povinnosti individuálně.</w:t>
      </w:r>
    </w:p>
    <w:p w:rsidR="00304909" w:rsidRPr="00ED38E9" w:rsidP="00BF16B7" w14:paraId="5350FDAE" w14:textId="77777777">
      <w:pPr>
        <w:pStyle w:val="Heading3"/>
      </w:pPr>
      <w:r w:rsidRPr="00ED38E9">
        <w:t>Zhodnocení rizika</w:t>
      </w:r>
    </w:p>
    <w:p w:rsidR="00304909" w:rsidP="00304909" w14:paraId="6520D047" w14:textId="5011B32A">
      <w:pPr>
        <w:rPr>
          <w:color w:val="000000"/>
        </w:rPr>
      </w:pPr>
      <w:r w:rsidRPr="00C42079">
        <w:rPr>
          <w:bCs/>
          <w:lang w:eastAsia="cs-CZ"/>
        </w:rPr>
        <w:t xml:space="preserve">V současné době jsou </w:t>
      </w:r>
      <w:r>
        <w:rPr>
          <w:bCs/>
          <w:lang w:eastAsia="cs-CZ"/>
        </w:rPr>
        <w:t>Li-</w:t>
      </w:r>
      <w:r w:rsidRPr="00C42079">
        <w:rPr>
          <w:bCs/>
          <w:lang w:eastAsia="cs-CZ"/>
        </w:rPr>
        <w:t xml:space="preserve">ion baterie </w:t>
      </w:r>
      <w:r>
        <w:rPr>
          <w:bCs/>
          <w:lang w:eastAsia="cs-CZ"/>
        </w:rPr>
        <w:t xml:space="preserve">využívány zejména </w:t>
      </w:r>
      <w:r w:rsidRPr="00C42079">
        <w:rPr>
          <w:bCs/>
          <w:lang w:eastAsia="cs-CZ"/>
        </w:rPr>
        <w:t>k pohonu elektromobilů.</w:t>
      </w:r>
      <w:r>
        <w:rPr>
          <w:b/>
          <w:bCs/>
          <w:lang w:eastAsia="cs-CZ"/>
        </w:rPr>
        <w:t xml:space="preserve"> </w:t>
      </w:r>
      <w:r>
        <w:rPr>
          <w:bCs/>
          <w:lang w:eastAsia="cs-CZ"/>
        </w:rPr>
        <w:t>Výraznější</w:t>
      </w:r>
      <w:r w:rsidRPr="0015050F">
        <w:rPr>
          <w:bCs/>
          <w:lang w:eastAsia="cs-CZ"/>
        </w:rPr>
        <w:t xml:space="preserve"> růst prodeje elektromobilů nastal ve větším měřítku </w:t>
      </w:r>
      <w:r>
        <w:rPr>
          <w:bCs/>
          <w:lang w:eastAsia="cs-CZ"/>
        </w:rPr>
        <w:t xml:space="preserve">až </w:t>
      </w:r>
      <w:r w:rsidRPr="0015050F">
        <w:rPr>
          <w:bCs/>
          <w:lang w:eastAsia="cs-CZ"/>
        </w:rPr>
        <w:t xml:space="preserve">v posledních </w:t>
      </w:r>
      <w:r>
        <w:rPr>
          <w:bCs/>
          <w:lang w:eastAsia="cs-CZ"/>
        </w:rPr>
        <w:t>několika letech (5 až 10 let), z čehož vyplývá, že vzhledem k odhadované době životnosti Li-</w:t>
      </w:r>
      <w:r w:rsidRPr="0015050F">
        <w:rPr>
          <w:bCs/>
          <w:lang w:eastAsia="cs-CZ"/>
        </w:rPr>
        <w:t>baterií</w:t>
      </w:r>
      <w:r>
        <w:rPr>
          <w:bCs/>
          <w:lang w:eastAsia="cs-CZ"/>
        </w:rPr>
        <w:t xml:space="preserve"> (zhruba </w:t>
      </w:r>
      <w:r w:rsidRPr="0015050F">
        <w:rPr>
          <w:bCs/>
          <w:lang w:eastAsia="cs-CZ"/>
        </w:rPr>
        <w:t>10 let</w:t>
      </w:r>
      <w:r>
        <w:rPr>
          <w:bCs/>
          <w:lang w:eastAsia="cs-CZ"/>
        </w:rPr>
        <w:t>)</w:t>
      </w:r>
      <w:r w:rsidRPr="0015050F">
        <w:rPr>
          <w:bCs/>
          <w:lang w:eastAsia="cs-CZ"/>
        </w:rPr>
        <w:t xml:space="preserve">, velmi málo </w:t>
      </w:r>
      <w:r>
        <w:rPr>
          <w:bCs/>
          <w:lang w:eastAsia="cs-CZ"/>
        </w:rPr>
        <w:t xml:space="preserve">těchto </w:t>
      </w:r>
      <w:r w:rsidRPr="0015050F">
        <w:rPr>
          <w:bCs/>
          <w:lang w:eastAsia="cs-CZ"/>
        </w:rPr>
        <w:t xml:space="preserve">baterií </w:t>
      </w:r>
      <w:r>
        <w:rPr>
          <w:bCs/>
          <w:lang w:eastAsia="cs-CZ"/>
        </w:rPr>
        <w:t xml:space="preserve">prozatím </w:t>
      </w:r>
      <w:r w:rsidRPr="0015050F">
        <w:rPr>
          <w:bCs/>
          <w:lang w:eastAsia="cs-CZ"/>
        </w:rPr>
        <w:t>dosáhlo recyklační fáze.</w:t>
      </w:r>
      <w:r>
        <w:rPr>
          <w:bCs/>
          <w:lang w:eastAsia="cs-CZ"/>
        </w:rPr>
        <w:t xml:space="preserve"> </w:t>
      </w:r>
      <w:r>
        <w:rPr>
          <w:color w:val="000000"/>
        </w:rPr>
        <w:t>N</w:t>
      </w:r>
      <w:r w:rsidRPr="00B51954">
        <w:rPr>
          <w:color w:val="000000"/>
        </w:rPr>
        <w:t>ebude</w:t>
      </w:r>
      <w:r>
        <w:rPr>
          <w:color w:val="000000"/>
        </w:rPr>
        <w:t>-li</w:t>
      </w:r>
      <w:r w:rsidRPr="00B51954">
        <w:rPr>
          <w:color w:val="000000"/>
        </w:rPr>
        <w:t xml:space="preserve"> nastaven </w:t>
      </w:r>
      <w:r>
        <w:rPr>
          <w:color w:val="000000"/>
        </w:rPr>
        <w:t xml:space="preserve">vhodný </w:t>
      </w:r>
      <w:r w:rsidRPr="00B51954">
        <w:rPr>
          <w:color w:val="000000"/>
        </w:rPr>
        <w:t xml:space="preserve">systém financování </w:t>
      </w:r>
      <w:r w:rsidR="00365F99">
        <w:rPr>
          <w:color w:val="000000"/>
        </w:rPr>
        <w:t>ZO</w:t>
      </w:r>
      <w:r w:rsidRPr="00B51954">
        <w:rPr>
          <w:color w:val="000000"/>
        </w:rPr>
        <w:t xml:space="preserve">, nakládání a zpracování </w:t>
      </w:r>
      <w:r w:rsidR="00365F99">
        <w:rPr>
          <w:color w:val="000000"/>
        </w:rPr>
        <w:t>Li-</w:t>
      </w:r>
      <w:r w:rsidRPr="00B51954">
        <w:rPr>
          <w:color w:val="000000"/>
        </w:rPr>
        <w:t xml:space="preserve">baterií a akumulátorů, </w:t>
      </w:r>
      <w:r>
        <w:rPr>
          <w:color w:val="000000"/>
        </w:rPr>
        <w:t>hrozí</w:t>
      </w:r>
      <w:r w:rsidRPr="00B51954">
        <w:rPr>
          <w:color w:val="000000"/>
        </w:rPr>
        <w:t xml:space="preserve"> riziko environmentální, potažmo ekonomické zátěže při</w:t>
      </w:r>
      <w:r>
        <w:rPr>
          <w:color w:val="000000"/>
        </w:rPr>
        <w:t> </w:t>
      </w:r>
      <w:r w:rsidRPr="00B51954">
        <w:rPr>
          <w:color w:val="000000"/>
        </w:rPr>
        <w:t>budoucí likvidaci tohoto typu baterií a</w:t>
      </w:r>
      <w:r>
        <w:rPr>
          <w:color w:val="000000"/>
        </w:rPr>
        <w:t> </w:t>
      </w:r>
      <w:r w:rsidRPr="00B51954">
        <w:rPr>
          <w:color w:val="000000"/>
        </w:rPr>
        <w:t xml:space="preserve">akumulátorů spojeného </w:t>
      </w:r>
      <w:r>
        <w:rPr>
          <w:color w:val="000000"/>
        </w:rPr>
        <w:t xml:space="preserve">i </w:t>
      </w:r>
      <w:r w:rsidRPr="00B51954">
        <w:rPr>
          <w:color w:val="000000"/>
        </w:rPr>
        <w:t>s rizikem bezpečnostním</w:t>
      </w:r>
      <w:r>
        <w:rPr>
          <w:color w:val="000000"/>
        </w:rPr>
        <w:t xml:space="preserve"> (vysoká reaktivita baterií v kombinaci s podfinancovaným systémem nakládání)</w:t>
      </w:r>
      <w:r w:rsidRPr="00B51954">
        <w:rPr>
          <w:color w:val="000000"/>
        </w:rPr>
        <w:t>.</w:t>
      </w:r>
    </w:p>
    <w:p w:rsidR="00304909" w:rsidRPr="00ED38E9" w:rsidP="00CC39B7" w14:paraId="44295C80" w14:textId="77777777">
      <w:pPr>
        <w:pStyle w:val="Heading2"/>
        <w:spacing w:before="360"/>
        <w:ind w:left="578" w:hanging="578"/>
      </w:pPr>
      <w:r w:rsidRPr="00ED38E9">
        <w:t>Návrh variant řešení</w:t>
      </w:r>
    </w:p>
    <w:p w:rsidR="00304909" w:rsidRPr="00ED38E9" w:rsidP="00BF16B7" w14:paraId="01CE723F" w14:textId="77777777">
      <w:pPr>
        <w:pStyle w:val="Heading3"/>
      </w:pPr>
      <w:r w:rsidRPr="00ED38E9">
        <w:t>Varianta 0</w:t>
      </w:r>
    </w:p>
    <w:p w:rsidR="006031E5" w:rsidP="006031E5" w14:paraId="680182E5" w14:textId="77777777">
      <w:pPr>
        <w:spacing w:after="120"/>
        <w:rPr>
          <w:color w:val="000000"/>
        </w:rPr>
      </w:pPr>
      <w:r>
        <w:rPr>
          <w:color w:val="000000"/>
        </w:rPr>
        <w:t xml:space="preserve">V současnosti mohou výrobci přenosných lithiových </w:t>
      </w:r>
      <w:r w:rsidRPr="00225481">
        <w:rPr>
          <w:color w:val="000000"/>
        </w:rPr>
        <w:t>baterií a akumulátor</w:t>
      </w:r>
      <w:r>
        <w:rPr>
          <w:color w:val="000000"/>
        </w:rPr>
        <w:t>ů zajišťovat plnění zákonných povinností individuálně či prostřednictvím KS. Výrobci průmyslových a automobilových baterií a akumulátorů mohou plnit povinnosti pouze individuálně. V zákoně však chybí požadavek na zajištění financování nakládání s Li-bateriemi s ukončenou životností u individuálního způsobu plnění.</w:t>
      </w:r>
    </w:p>
    <w:p w:rsidR="00304909" w:rsidRPr="00ED38E9" w:rsidP="00BF16B7" w14:paraId="4575CAA0" w14:textId="77777777">
      <w:pPr>
        <w:pStyle w:val="Heading3"/>
      </w:pPr>
      <w:r w:rsidRPr="00ED38E9">
        <w:t>Varianta 1</w:t>
      </w:r>
    </w:p>
    <w:p w:rsidR="00304909" w:rsidP="006031E5" w14:paraId="52EB34B0" w14:textId="2B6D7547">
      <w:pPr>
        <w:rPr>
          <w:color w:val="000000"/>
        </w:rPr>
      </w:pPr>
      <w:r>
        <w:rPr>
          <w:color w:val="000000"/>
        </w:rPr>
        <w:t>P</w:t>
      </w:r>
      <w:r w:rsidRPr="00F3691D">
        <w:rPr>
          <w:color w:val="000000"/>
        </w:rPr>
        <w:t xml:space="preserve">ro výrobce baterií a akumulátorů </w:t>
      </w:r>
      <w:r>
        <w:rPr>
          <w:color w:val="000000"/>
        </w:rPr>
        <w:t xml:space="preserve">s obsahem </w:t>
      </w:r>
      <w:r w:rsidRPr="00F3691D">
        <w:rPr>
          <w:color w:val="000000"/>
        </w:rPr>
        <w:t>lithi</w:t>
      </w:r>
      <w:r>
        <w:rPr>
          <w:color w:val="000000"/>
        </w:rPr>
        <w:t>a</w:t>
      </w:r>
      <w:r w:rsidRPr="00F3691D">
        <w:rPr>
          <w:color w:val="000000"/>
        </w:rPr>
        <w:t xml:space="preserve"> plnící zákonné povinnosti </w:t>
      </w:r>
      <w:r>
        <w:rPr>
          <w:color w:val="000000"/>
        </w:rPr>
        <w:t xml:space="preserve">v </w:t>
      </w:r>
      <w:r w:rsidRPr="00F3691D">
        <w:rPr>
          <w:color w:val="000000"/>
        </w:rPr>
        <w:t>individuálním systém</w:t>
      </w:r>
      <w:r>
        <w:rPr>
          <w:color w:val="000000"/>
        </w:rPr>
        <w:t>u</w:t>
      </w:r>
      <w:r w:rsidRPr="00F3691D">
        <w:rPr>
          <w:color w:val="000000"/>
        </w:rPr>
        <w:t xml:space="preserve"> </w:t>
      </w:r>
      <w:r>
        <w:rPr>
          <w:color w:val="000000"/>
        </w:rPr>
        <w:t>s</w:t>
      </w:r>
      <w:r w:rsidRPr="00F3691D">
        <w:rPr>
          <w:color w:val="000000"/>
        </w:rPr>
        <w:t>tanovit povinnost před uvedením výrobků na trh uložit na</w:t>
      </w:r>
      <w:r>
        <w:rPr>
          <w:color w:val="000000"/>
        </w:rPr>
        <w:t> </w:t>
      </w:r>
      <w:r w:rsidRPr="00F3691D">
        <w:rPr>
          <w:color w:val="000000"/>
        </w:rPr>
        <w:t>vázaný účet finanční částku pro zajištění nakládání s výrobky s ukončenou životností</w:t>
      </w:r>
      <w:r>
        <w:rPr>
          <w:color w:val="000000"/>
        </w:rPr>
        <w:t xml:space="preserve"> (</w:t>
      </w:r>
      <w:r w:rsidRPr="00325145">
        <w:rPr>
          <w:color w:val="000000"/>
        </w:rPr>
        <w:t>k</w:t>
      </w:r>
      <w:r>
        <w:rPr>
          <w:color w:val="000000"/>
        </w:rPr>
        <w:t> </w:t>
      </w:r>
      <w:r w:rsidRPr="00325145">
        <w:rPr>
          <w:color w:val="000000"/>
        </w:rPr>
        <w:t xml:space="preserve">pokrytí financování </w:t>
      </w:r>
      <w:r w:rsidR="006D0E4E">
        <w:rPr>
          <w:color w:val="000000"/>
        </w:rPr>
        <w:t>ZO</w:t>
      </w:r>
      <w:r w:rsidRPr="00325145">
        <w:rPr>
          <w:color w:val="000000"/>
        </w:rPr>
        <w:t>, zpracování a využití nebo odstranění všech výrobků s</w:t>
      </w:r>
      <w:r>
        <w:rPr>
          <w:color w:val="000000"/>
        </w:rPr>
        <w:t> </w:t>
      </w:r>
      <w:r w:rsidRPr="00325145">
        <w:rPr>
          <w:color w:val="000000"/>
        </w:rPr>
        <w:t>ukončenou životností, které výrobce uvedl na trh)</w:t>
      </w:r>
      <w:r>
        <w:rPr>
          <w:color w:val="000000"/>
        </w:rPr>
        <w:t>, a</w:t>
      </w:r>
      <w:r w:rsidR="006D0E4E">
        <w:rPr>
          <w:color w:val="000000"/>
        </w:rPr>
        <w:t> </w:t>
      </w:r>
      <w:r>
        <w:rPr>
          <w:color w:val="000000"/>
        </w:rPr>
        <w:t>to ve formě předem stanovené výši zúčtovatelné kauce</w:t>
      </w:r>
      <w:r w:rsidRPr="00F3691D">
        <w:rPr>
          <w:color w:val="000000"/>
        </w:rPr>
        <w:t>.</w:t>
      </w:r>
    </w:p>
    <w:p w:rsidR="0039543B" w:rsidP="006031E5" w14:paraId="2264A532" w14:textId="77777777">
      <w:pPr>
        <w:rPr>
          <w:color w:val="000000"/>
        </w:rPr>
      </w:pPr>
    </w:p>
    <w:p w:rsidR="00304909" w:rsidRPr="00ED38E9" w:rsidP="0039543B" w14:paraId="5AF53EAA" w14:textId="77777777">
      <w:pPr>
        <w:pStyle w:val="Heading2"/>
        <w:spacing w:before="360"/>
        <w:ind w:left="578" w:hanging="578"/>
      </w:pPr>
      <w:r w:rsidRPr="00ED38E9">
        <w:t>Vyhodnocení nákladů a přínosů</w:t>
      </w:r>
    </w:p>
    <w:p w:rsidR="00304909" w:rsidRPr="00ED38E9" w:rsidP="00BF16B7" w14:paraId="0D71EDFB" w14:textId="77777777">
      <w:pPr>
        <w:pStyle w:val="Heading3"/>
      </w:pPr>
      <w:r w:rsidRPr="00ED38E9">
        <w:t>Identifikace nákladů a přínosů</w:t>
      </w:r>
    </w:p>
    <w:p w:rsidR="00304909" w:rsidRPr="00C473DD" w:rsidP="003C445B" w14:paraId="66C37113" w14:textId="77777777">
      <w:pPr>
        <w:keepNext/>
        <w:numPr>
          <w:ilvl w:val="0"/>
          <w:numId w:val="66"/>
        </w:numPr>
        <w:spacing w:before="240" w:after="120"/>
        <w:rPr>
          <w:rFonts w:cs="Arial"/>
          <w:b/>
          <w:noProof w:val="0"/>
          <w:lang w:bidi="ar-SA"/>
        </w:rPr>
      </w:pPr>
      <w:r w:rsidRPr="00C473DD">
        <w:rPr>
          <w:rFonts w:cs="Arial"/>
          <w:b/>
          <w:noProof w:val="0"/>
          <w:lang w:bidi="ar-SA"/>
        </w:rPr>
        <w:t>Varianta 0</w:t>
      </w:r>
    </w:p>
    <w:p w:rsidR="006031E5" w:rsidP="006031E5" w14:paraId="72D5DD43" w14:textId="22AC90AF">
      <w:pPr>
        <w:spacing w:after="120"/>
        <w:rPr>
          <w:color w:val="000000"/>
        </w:rPr>
      </w:pPr>
      <w:r w:rsidRPr="00C27D42">
        <w:rPr>
          <w:color w:val="000000"/>
        </w:rPr>
        <w:t>Dle platných předpisů jsou baterie a akumulátory rozdělovány do tří základních typů: přenosné, průmyslové a automobilové baterie a akumulátory. Plnění povinností výrobců prostřednictvím KS je v současnosti množné pouze u přenosných baterií a akumulátorů.</w:t>
      </w:r>
      <w:r>
        <w:rPr>
          <w:color w:val="000000"/>
        </w:rPr>
        <w:t xml:space="preserve"> </w:t>
      </w:r>
      <w:r w:rsidRPr="00C27D42">
        <w:rPr>
          <w:color w:val="000000"/>
        </w:rPr>
        <w:t>Povinnosti výrobců průmyslových a automobilových baterií lze plnit pouze individuálně na vlastní náklady bez</w:t>
      </w:r>
      <w:r w:rsidR="00802DCA">
        <w:rPr>
          <w:color w:val="000000"/>
        </w:rPr>
        <w:t> </w:t>
      </w:r>
      <w:r w:rsidRPr="00C27D42">
        <w:rPr>
          <w:color w:val="000000"/>
        </w:rPr>
        <w:t>finančních závazků.</w:t>
      </w:r>
    </w:p>
    <w:p w:rsidR="006031E5" w:rsidRPr="0035496A" w:rsidP="0076683C" w14:paraId="4B5857F9" w14:textId="40F8FFAE">
      <w:pPr>
        <w:spacing w:before="360" w:after="120" w:line="240" w:lineRule="auto"/>
        <w:rPr>
          <w:rFonts w:cs="Arial"/>
          <w:b/>
          <w:bCs/>
          <w:sz w:val="20"/>
          <w:szCs w:val="20"/>
          <w:lang w:eastAsia="cs-CZ"/>
        </w:rPr>
      </w:pPr>
      <w:r>
        <w:rPr>
          <w:rFonts w:cs="Arial"/>
          <w:b/>
          <w:bCs/>
          <w:sz w:val="20"/>
          <w:szCs w:val="20"/>
          <w:lang w:eastAsia="cs-CZ"/>
        </w:rPr>
        <w:t xml:space="preserve">Tabulka </w:t>
      </w:r>
      <w:r w:rsidR="00925F10">
        <w:rPr>
          <w:rFonts w:cs="Arial"/>
          <w:b/>
          <w:bCs/>
          <w:sz w:val="20"/>
          <w:szCs w:val="20"/>
          <w:lang w:eastAsia="cs-CZ"/>
        </w:rPr>
        <w:t>56</w:t>
      </w:r>
      <w:r w:rsidRPr="0035496A">
        <w:rPr>
          <w:rFonts w:cs="Arial"/>
          <w:b/>
          <w:bCs/>
          <w:sz w:val="20"/>
          <w:szCs w:val="20"/>
          <w:lang w:eastAsia="cs-CZ"/>
        </w:rPr>
        <w:t>: Porovnání množství Li-baterií a akumulátorů uvedených na trh v letech 2016 a 2017* s množstvím zpětně odebraných a odděleně sebraných Li-baterií a mírou zpětného odběru</w:t>
      </w:r>
    </w:p>
    <w:tbl>
      <w:tblPr>
        <w:tblStyle w:val="TableGrid"/>
        <w:tblW w:w="0" w:type="auto"/>
        <w:tblLook w:val="04A0"/>
      </w:tblPr>
      <w:tblGrid>
        <w:gridCol w:w="1242"/>
        <w:gridCol w:w="2268"/>
        <w:gridCol w:w="2835"/>
        <w:gridCol w:w="2717"/>
      </w:tblGrid>
      <w:tr w14:paraId="5E99BE7B" w14:textId="77777777" w:rsidTr="00257690">
        <w:tblPrEx>
          <w:tblW w:w="0" w:type="auto"/>
          <w:tblLook w:val="04A0"/>
        </w:tblPrEx>
        <w:tc>
          <w:tcPr>
            <w:tcW w:w="1242" w:type="dxa"/>
            <w:vAlign w:val="center"/>
          </w:tcPr>
          <w:p w:rsidR="00CF6905" w:rsidRPr="00257690" w:rsidP="00257690" w14:paraId="1733DA34" w14:textId="77777777">
            <w:pPr>
              <w:spacing w:after="120"/>
              <w:jc w:val="center"/>
              <w:rPr>
                <w:rFonts w:eastAsia="Times New Roman" w:cs="Arial"/>
                <w:b/>
                <w:bCs/>
                <w:sz w:val="20"/>
                <w:szCs w:val="20"/>
                <w:lang w:eastAsia="cs-CZ"/>
              </w:rPr>
            </w:pPr>
            <w:r w:rsidRPr="00257690">
              <w:rPr>
                <w:rFonts w:eastAsia="Times New Roman" w:cs="Arial"/>
                <w:b/>
                <w:bCs/>
                <w:sz w:val="20"/>
                <w:szCs w:val="20"/>
                <w:lang w:eastAsia="cs-CZ"/>
              </w:rPr>
              <w:t>Rok</w:t>
            </w:r>
          </w:p>
        </w:tc>
        <w:tc>
          <w:tcPr>
            <w:tcW w:w="2268" w:type="dxa"/>
            <w:vAlign w:val="center"/>
          </w:tcPr>
          <w:p w:rsidR="00CF6905" w:rsidRPr="00257690" w:rsidP="00257690" w14:paraId="3B46C233" w14:textId="77777777">
            <w:pPr>
              <w:jc w:val="center"/>
              <w:rPr>
                <w:rFonts w:eastAsia="Times New Roman" w:cs="Arial"/>
                <w:b/>
                <w:bCs/>
                <w:sz w:val="20"/>
                <w:szCs w:val="20"/>
                <w:lang w:eastAsia="cs-CZ"/>
              </w:rPr>
            </w:pPr>
            <w:r w:rsidRPr="00257690">
              <w:rPr>
                <w:rFonts w:eastAsia="Times New Roman" w:cs="Arial"/>
                <w:b/>
                <w:bCs/>
                <w:sz w:val="20"/>
                <w:szCs w:val="20"/>
                <w:lang w:eastAsia="cs-CZ"/>
              </w:rPr>
              <w:t>Množství Li-baterií uvedených na trh v ČR</w:t>
            </w:r>
          </w:p>
          <w:p w:rsidR="00CF6905" w:rsidRPr="00257690" w:rsidP="00257690" w14:paraId="2494F90B" w14:textId="77777777">
            <w:pPr>
              <w:jc w:val="center"/>
              <w:rPr>
                <w:rFonts w:eastAsia="Times New Roman" w:cs="Arial"/>
                <w:b/>
                <w:bCs/>
                <w:sz w:val="20"/>
                <w:szCs w:val="20"/>
                <w:lang w:eastAsia="cs-CZ"/>
              </w:rPr>
            </w:pPr>
            <w:r w:rsidRPr="00257690">
              <w:rPr>
                <w:rFonts w:eastAsia="Times New Roman" w:cs="Arial"/>
                <w:b/>
                <w:bCs/>
                <w:sz w:val="20"/>
                <w:szCs w:val="20"/>
                <w:lang w:eastAsia="cs-CZ"/>
              </w:rPr>
              <w:t>(t)</w:t>
            </w:r>
          </w:p>
        </w:tc>
        <w:tc>
          <w:tcPr>
            <w:tcW w:w="2835" w:type="dxa"/>
            <w:vAlign w:val="center"/>
          </w:tcPr>
          <w:p w:rsidR="00CF6905" w:rsidRPr="00257690" w:rsidP="00257690" w14:paraId="0222DEA9" w14:textId="77777777">
            <w:pPr>
              <w:jc w:val="center"/>
              <w:rPr>
                <w:rFonts w:eastAsia="Times New Roman" w:cs="Arial"/>
                <w:b/>
                <w:bCs/>
                <w:sz w:val="20"/>
                <w:szCs w:val="20"/>
                <w:lang w:eastAsia="cs-CZ"/>
              </w:rPr>
            </w:pPr>
            <w:r w:rsidRPr="00257690">
              <w:rPr>
                <w:rFonts w:eastAsia="Times New Roman" w:cs="Arial"/>
                <w:b/>
                <w:bCs/>
                <w:sz w:val="20"/>
                <w:szCs w:val="20"/>
                <w:lang w:eastAsia="cs-CZ"/>
              </w:rPr>
              <w:t>Množství zpětně odebraných a odděleně sebraných Li- baterií</w:t>
            </w:r>
          </w:p>
          <w:p w:rsidR="00CF6905" w:rsidRPr="00257690" w:rsidP="00257690" w14:paraId="0EC4ADB3" w14:textId="77777777">
            <w:pPr>
              <w:jc w:val="center"/>
              <w:rPr>
                <w:rFonts w:eastAsia="Times New Roman" w:cs="Arial"/>
                <w:b/>
                <w:bCs/>
                <w:sz w:val="20"/>
                <w:szCs w:val="20"/>
                <w:lang w:eastAsia="cs-CZ"/>
              </w:rPr>
            </w:pPr>
            <w:r w:rsidRPr="00257690">
              <w:rPr>
                <w:rFonts w:eastAsia="Times New Roman" w:cs="Arial"/>
                <w:b/>
                <w:bCs/>
                <w:sz w:val="20"/>
                <w:szCs w:val="20"/>
                <w:lang w:eastAsia="cs-CZ"/>
              </w:rPr>
              <w:t>(t)</w:t>
            </w:r>
          </w:p>
        </w:tc>
        <w:tc>
          <w:tcPr>
            <w:tcW w:w="2717" w:type="dxa"/>
            <w:vAlign w:val="center"/>
          </w:tcPr>
          <w:p w:rsidR="00CF6905" w:rsidRPr="00257690" w:rsidP="00257690" w14:paraId="2A485744" w14:textId="77777777">
            <w:pPr>
              <w:jc w:val="center"/>
              <w:rPr>
                <w:rFonts w:eastAsia="Times New Roman" w:cs="Arial"/>
                <w:b/>
                <w:bCs/>
                <w:sz w:val="20"/>
                <w:szCs w:val="20"/>
                <w:lang w:eastAsia="cs-CZ"/>
              </w:rPr>
            </w:pPr>
            <w:r w:rsidRPr="00257690">
              <w:rPr>
                <w:rFonts w:eastAsia="Times New Roman" w:cs="Arial"/>
                <w:b/>
                <w:bCs/>
                <w:sz w:val="20"/>
                <w:szCs w:val="20"/>
                <w:lang w:eastAsia="cs-CZ"/>
              </w:rPr>
              <w:t>Míra zpětného odběru a odděleného sběru  Li- baterií</w:t>
            </w:r>
          </w:p>
          <w:p w:rsidR="00CF6905" w:rsidRPr="00257690" w:rsidP="00257690" w14:paraId="34488EC4" w14:textId="77777777">
            <w:pPr>
              <w:jc w:val="center"/>
              <w:rPr>
                <w:rFonts w:eastAsia="Times New Roman" w:cs="Arial"/>
                <w:b/>
                <w:bCs/>
                <w:sz w:val="20"/>
                <w:szCs w:val="20"/>
                <w:lang w:eastAsia="cs-CZ"/>
              </w:rPr>
            </w:pPr>
            <w:r w:rsidRPr="00257690">
              <w:rPr>
                <w:rFonts w:eastAsia="Times New Roman" w:cs="Arial"/>
                <w:b/>
                <w:bCs/>
                <w:sz w:val="20"/>
                <w:szCs w:val="20"/>
                <w:lang w:eastAsia="cs-CZ"/>
              </w:rPr>
              <w:t>(%)</w:t>
            </w:r>
          </w:p>
        </w:tc>
      </w:tr>
      <w:tr w14:paraId="69FEF3DD" w14:textId="77777777" w:rsidTr="00257690">
        <w:tblPrEx>
          <w:tblW w:w="0" w:type="auto"/>
          <w:tblLook w:val="04A0"/>
        </w:tblPrEx>
        <w:tc>
          <w:tcPr>
            <w:tcW w:w="1242" w:type="dxa"/>
            <w:vAlign w:val="center"/>
          </w:tcPr>
          <w:p w:rsidR="006031E5" w:rsidRPr="00257690" w:rsidP="00257690" w14:paraId="4B2D6740" w14:textId="77777777">
            <w:pPr>
              <w:spacing w:after="120"/>
              <w:jc w:val="center"/>
              <w:rPr>
                <w:rFonts w:eastAsia="Times New Roman" w:cs="Arial"/>
                <w:b/>
                <w:bCs/>
                <w:sz w:val="20"/>
                <w:szCs w:val="20"/>
                <w:lang w:eastAsia="cs-CZ"/>
              </w:rPr>
            </w:pPr>
            <w:r w:rsidRPr="00257690">
              <w:rPr>
                <w:rFonts w:eastAsia="Times New Roman" w:cs="Arial"/>
                <w:b/>
                <w:bCs/>
                <w:sz w:val="20"/>
                <w:szCs w:val="20"/>
                <w:lang w:eastAsia="cs-CZ"/>
              </w:rPr>
              <w:t>2016</w:t>
            </w:r>
          </w:p>
        </w:tc>
        <w:tc>
          <w:tcPr>
            <w:tcW w:w="2268" w:type="dxa"/>
            <w:vAlign w:val="center"/>
          </w:tcPr>
          <w:p w:rsidR="006031E5" w:rsidRPr="00257690" w:rsidP="00257690" w14:paraId="27DED1AD"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1 012,6</w:t>
            </w:r>
          </w:p>
        </w:tc>
        <w:tc>
          <w:tcPr>
            <w:tcW w:w="2835" w:type="dxa"/>
            <w:vAlign w:val="center"/>
          </w:tcPr>
          <w:p w:rsidR="006031E5" w:rsidRPr="00257690" w:rsidP="00257690" w14:paraId="2A1EA201"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123,0</w:t>
            </w:r>
          </w:p>
        </w:tc>
        <w:tc>
          <w:tcPr>
            <w:tcW w:w="2717" w:type="dxa"/>
            <w:vAlign w:val="center"/>
          </w:tcPr>
          <w:p w:rsidR="006031E5" w:rsidRPr="00257690" w:rsidP="00257690" w14:paraId="7439D721"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12,2</w:t>
            </w:r>
          </w:p>
        </w:tc>
      </w:tr>
      <w:tr w14:paraId="2415A85D" w14:textId="77777777" w:rsidTr="00257690">
        <w:tblPrEx>
          <w:tblW w:w="0" w:type="auto"/>
          <w:tblLook w:val="04A0"/>
        </w:tblPrEx>
        <w:tc>
          <w:tcPr>
            <w:tcW w:w="1242" w:type="dxa"/>
            <w:vAlign w:val="center"/>
          </w:tcPr>
          <w:p w:rsidR="006031E5" w:rsidRPr="00257690" w:rsidP="00257690" w14:paraId="74DE4E42" w14:textId="77777777">
            <w:pPr>
              <w:spacing w:after="120"/>
              <w:jc w:val="center"/>
              <w:rPr>
                <w:rFonts w:eastAsia="Times New Roman" w:cs="Arial"/>
                <w:b/>
                <w:bCs/>
                <w:sz w:val="20"/>
                <w:szCs w:val="20"/>
                <w:lang w:eastAsia="cs-CZ"/>
              </w:rPr>
            </w:pPr>
            <w:r w:rsidRPr="00257690">
              <w:rPr>
                <w:rFonts w:eastAsia="Times New Roman" w:cs="Arial"/>
                <w:b/>
                <w:bCs/>
                <w:sz w:val="20"/>
                <w:szCs w:val="20"/>
                <w:lang w:eastAsia="cs-CZ"/>
              </w:rPr>
              <w:t>2017</w:t>
            </w:r>
          </w:p>
        </w:tc>
        <w:tc>
          <w:tcPr>
            <w:tcW w:w="2268" w:type="dxa"/>
            <w:vAlign w:val="center"/>
          </w:tcPr>
          <w:p w:rsidR="006031E5" w:rsidRPr="00257690" w:rsidP="00257690" w14:paraId="0F6D262D"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1 160,4</w:t>
            </w:r>
          </w:p>
        </w:tc>
        <w:tc>
          <w:tcPr>
            <w:tcW w:w="2835" w:type="dxa"/>
            <w:vAlign w:val="center"/>
          </w:tcPr>
          <w:p w:rsidR="006031E5" w:rsidRPr="00257690" w:rsidP="00257690" w14:paraId="695E4AE9"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39,0</w:t>
            </w:r>
          </w:p>
        </w:tc>
        <w:tc>
          <w:tcPr>
            <w:tcW w:w="2717" w:type="dxa"/>
            <w:vAlign w:val="center"/>
          </w:tcPr>
          <w:p w:rsidR="006031E5" w:rsidRPr="00257690" w:rsidP="00257690" w14:paraId="616CC02F" w14:textId="77777777">
            <w:pPr>
              <w:spacing w:after="120"/>
              <w:jc w:val="center"/>
              <w:rPr>
                <w:rFonts w:eastAsia="Times New Roman" w:cs="Arial"/>
                <w:bCs/>
                <w:sz w:val="20"/>
                <w:szCs w:val="20"/>
                <w:lang w:eastAsia="cs-CZ"/>
              </w:rPr>
            </w:pPr>
            <w:r w:rsidRPr="00257690">
              <w:rPr>
                <w:rFonts w:eastAsia="Times New Roman" w:cs="Arial"/>
                <w:bCs/>
                <w:sz w:val="20"/>
                <w:szCs w:val="20"/>
                <w:lang w:eastAsia="cs-CZ"/>
              </w:rPr>
              <w:t>3,4</w:t>
            </w:r>
          </w:p>
        </w:tc>
      </w:tr>
    </w:tbl>
    <w:p w:rsidR="006031E5" w:rsidRPr="0035496A" w:rsidP="006031E5" w14:paraId="6DE8B0BA" w14:textId="11243821">
      <w:pPr>
        <w:spacing w:after="120" w:line="240" w:lineRule="auto"/>
        <w:rPr>
          <w:rFonts w:cs="Arial"/>
          <w:b/>
          <w:bCs/>
          <w:sz w:val="20"/>
          <w:szCs w:val="20"/>
          <w:lang w:eastAsia="cs-CZ"/>
        </w:rPr>
      </w:pPr>
      <w:r w:rsidRPr="0035496A">
        <w:rPr>
          <w:sz w:val="20"/>
          <w:szCs w:val="20"/>
        </w:rPr>
        <w:t xml:space="preserve">* Data o množství </w:t>
      </w:r>
      <w:r w:rsidR="006D0E4E">
        <w:rPr>
          <w:sz w:val="20"/>
          <w:szCs w:val="20"/>
        </w:rPr>
        <w:t>ZO</w:t>
      </w:r>
      <w:r w:rsidRPr="0035496A">
        <w:rPr>
          <w:sz w:val="20"/>
          <w:szCs w:val="20"/>
        </w:rPr>
        <w:t xml:space="preserve"> a odděleného sběru dle jednotlivých chemismů za předchozí roky nejsou dostupná.</w:t>
      </w:r>
    </w:p>
    <w:p w:rsidR="006031E5" w:rsidP="006D0E4E" w14:paraId="7004AD92" w14:textId="0CC2C5DF">
      <w:pPr>
        <w:spacing w:before="240" w:after="120"/>
        <w:rPr>
          <w:color w:val="000000"/>
        </w:rPr>
      </w:pPr>
      <w:r w:rsidRPr="00225481">
        <w:rPr>
          <w:color w:val="000000"/>
        </w:rPr>
        <w:t xml:space="preserve">V případě, že by zůstaly podmínky stejné, nevznikaly by pro výrobce </w:t>
      </w:r>
      <w:r w:rsidR="006D0E4E">
        <w:rPr>
          <w:color w:val="000000"/>
        </w:rPr>
        <w:t>Li-</w:t>
      </w:r>
      <w:r w:rsidRPr="00225481">
        <w:rPr>
          <w:color w:val="000000"/>
        </w:rPr>
        <w:t xml:space="preserve">baterií </w:t>
      </w:r>
      <w:r w:rsidRPr="00225481">
        <w:rPr>
          <w:color w:val="000000"/>
        </w:rPr>
        <w:br/>
        <w:t xml:space="preserve">a akumulátorů </w:t>
      </w:r>
      <w:r>
        <w:rPr>
          <w:rFonts w:cs="Arial"/>
          <w:bCs/>
          <w:szCs w:val="20"/>
          <w:lang w:eastAsia="cs-CZ"/>
        </w:rPr>
        <w:t xml:space="preserve">de facto </w:t>
      </w:r>
      <w:r w:rsidRPr="00225481">
        <w:rPr>
          <w:color w:val="000000"/>
        </w:rPr>
        <w:t xml:space="preserve">žádné zvláštní povinnosti vázající se ke specifickým vlastnostem </w:t>
      </w:r>
      <w:r w:rsidR="006D0E4E">
        <w:rPr>
          <w:color w:val="000000"/>
        </w:rPr>
        <w:t>Li-</w:t>
      </w:r>
      <w:r w:rsidRPr="00225481">
        <w:rPr>
          <w:color w:val="000000"/>
        </w:rPr>
        <w:t xml:space="preserve">baterií a akumulátorů a výrobci by tak nebyli žádným způsobem motivování důsledně předcházet možným rizikům při zajišťování </w:t>
      </w:r>
      <w:r w:rsidR="006D0E4E">
        <w:rPr>
          <w:color w:val="000000"/>
        </w:rPr>
        <w:t>ZO</w:t>
      </w:r>
      <w:r w:rsidRPr="00225481">
        <w:rPr>
          <w:color w:val="000000"/>
        </w:rPr>
        <w:t xml:space="preserve"> a následné recyklace těchto baterií a</w:t>
      </w:r>
      <w:r w:rsidR="006D0E4E">
        <w:rPr>
          <w:color w:val="000000"/>
        </w:rPr>
        <w:t> </w:t>
      </w:r>
      <w:r w:rsidRPr="00225481">
        <w:rPr>
          <w:color w:val="000000"/>
        </w:rPr>
        <w:t>akumulátorů.</w:t>
      </w:r>
    </w:p>
    <w:p w:rsidR="006031E5" w:rsidP="006031E5" w14:paraId="7E83AA94" w14:textId="289182D9">
      <w:pPr>
        <w:spacing w:after="120"/>
        <w:rPr>
          <w:color w:val="000000"/>
        </w:rPr>
      </w:pPr>
      <w:r>
        <w:rPr>
          <w:color w:val="000000"/>
        </w:rPr>
        <w:t>Současný s</w:t>
      </w:r>
      <w:r w:rsidRPr="00225481">
        <w:rPr>
          <w:color w:val="000000"/>
        </w:rPr>
        <w:t xml:space="preserve">tav nezohledňuje specifika </w:t>
      </w:r>
      <w:r w:rsidR="006D0E4E">
        <w:rPr>
          <w:color w:val="000000"/>
        </w:rPr>
        <w:t>Li-</w:t>
      </w:r>
      <w:r w:rsidRPr="00225481">
        <w:rPr>
          <w:color w:val="000000"/>
        </w:rPr>
        <w:t>baterií a akumulátor</w:t>
      </w:r>
      <w:r>
        <w:rPr>
          <w:color w:val="000000"/>
        </w:rPr>
        <w:t>ů, zejména pokud jde o jejich negativní ekonomickou hodnotu coby odpadu</w:t>
      </w:r>
      <w:r w:rsidRPr="00225481">
        <w:rPr>
          <w:color w:val="000000"/>
        </w:rPr>
        <w:t>.</w:t>
      </w:r>
      <w:r>
        <w:rPr>
          <w:color w:val="000000"/>
        </w:rPr>
        <w:t xml:space="preserve"> Jak ukazuje tabulka výše, vzhledem k </w:t>
      </w:r>
      <w:r>
        <w:rPr>
          <w:color w:val="000000"/>
        </w:rPr>
        <w:t xml:space="preserve"> </w:t>
      </w:r>
      <w:r>
        <w:rPr>
          <w:color w:val="000000"/>
        </w:rPr>
        <w:t>vysokým nákladům na zpracování a nulovým požadavkům na sběr není zajištěn dostatečný sběr a</w:t>
      </w:r>
      <w:r w:rsidR="006D0E4E">
        <w:rPr>
          <w:color w:val="000000"/>
        </w:rPr>
        <w:t> </w:t>
      </w:r>
      <w:r>
        <w:rPr>
          <w:color w:val="000000"/>
        </w:rPr>
        <w:t xml:space="preserve">recyklace Li-baterií a akumulátorů. Míra zpětného odběru Li-baterií a akumulátorů činí v současnosti pouhých 3,4 %. Vzhledem k tomu, že výrobci nemají povinnost vytvářet finanční rezervu na </w:t>
      </w:r>
      <w:r w:rsidRPr="00225481">
        <w:rPr>
          <w:color w:val="000000"/>
        </w:rPr>
        <w:t xml:space="preserve">zajišťování </w:t>
      </w:r>
      <w:r w:rsidR="006D0E4E">
        <w:rPr>
          <w:color w:val="000000"/>
        </w:rPr>
        <w:t>ZO</w:t>
      </w:r>
      <w:r w:rsidRPr="00225481">
        <w:rPr>
          <w:color w:val="000000"/>
        </w:rPr>
        <w:t xml:space="preserve"> a následné recyklace těchto baterií a</w:t>
      </w:r>
      <w:r>
        <w:rPr>
          <w:color w:val="000000"/>
        </w:rPr>
        <w:t> </w:t>
      </w:r>
      <w:r w:rsidRPr="00225481">
        <w:rPr>
          <w:color w:val="000000"/>
        </w:rPr>
        <w:t>akumulátorů</w:t>
      </w:r>
      <w:r>
        <w:rPr>
          <w:color w:val="000000"/>
        </w:rPr>
        <w:t>, hrozí</w:t>
      </w:r>
      <w:r w:rsidRPr="00B51954">
        <w:rPr>
          <w:color w:val="000000"/>
        </w:rPr>
        <w:t xml:space="preserve"> </w:t>
      </w:r>
      <w:r>
        <w:rPr>
          <w:color w:val="000000"/>
        </w:rPr>
        <w:t xml:space="preserve">tedy </w:t>
      </w:r>
      <w:r w:rsidRPr="00B51954">
        <w:rPr>
          <w:color w:val="000000"/>
        </w:rPr>
        <w:t>riziko environmentální, potažmo ekonomické zátěže při</w:t>
      </w:r>
      <w:r>
        <w:rPr>
          <w:color w:val="000000"/>
        </w:rPr>
        <w:t> </w:t>
      </w:r>
      <w:r w:rsidRPr="00B51954">
        <w:rPr>
          <w:color w:val="000000"/>
        </w:rPr>
        <w:t>budoucí likvidaci tohoto typu baterií a</w:t>
      </w:r>
      <w:r>
        <w:rPr>
          <w:color w:val="000000"/>
        </w:rPr>
        <w:t> </w:t>
      </w:r>
      <w:r w:rsidRPr="00B51954">
        <w:rPr>
          <w:color w:val="000000"/>
        </w:rPr>
        <w:t xml:space="preserve">akumulátorů spojeného </w:t>
      </w:r>
      <w:r>
        <w:rPr>
          <w:color w:val="000000"/>
        </w:rPr>
        <w:t xml:space="preserve">i </w:t>
      </w:r>
      <w:r w:rsidRPr="00B51954">
        <w:rPr>
          <w:color w:val="000000"/>
        </w:rPr>
        <w:t>s rizikem bezpečnostním</w:t>
      </w:r>
      <w:r>
        <w:rPr>
          <w:color w:val="000000"/>
        </w:rPr>
        <w:t xml:space="preserve"> (vysoká reaktivita baterií v kombinaci s podfinancovaným systémem nakládání)</w:t>
      </w:r>
      <w:r w:rsidRPr="00B51954">
        <w:rPr>
          <w:color w:val="000000"/>
        </w:rPr>
        <w:t>.</w:t>
      </w:r>
    </w:p>
    <w:p w:rsidR="006031E5" w:rsidRPr="00E40A41" w:rsidP="004F2CF7" w14:paraId="0E8CDA39" w14:textId="77777777">
      <w:pPr>
        <w:spacing w:before="240" w:after="120" w:line="240" w:lineRule="auto"/>
        <w:rPr>
          <w:rFonts w:cs="Arial"/>
          <w:b/>
          <w:bCs/>
          <w:szCs w:val="20"/>
          <w:lang w:eastAsia="cs-CZ"/>
        </w:rPr>
      </w:pPr>
      <w:r w:rsidRPr="00E40A41">
        <w:rPr>
          <w:rFonts w:cs="Arial"/>
          <w:b/>
          <w:bCs/>
          <w:szCs w:val="20"/>
          <w:lang w:eastAsia="cs-CZ"/>
        </w:rPr>
        <w:t>Dopad na státní rozpočet a ostatní veřejné rozpočty</w:t>
      </w:r>
    </w:p>
    <w:p w:rsidR="006031E5" w:rsidP="006031E5" w14:paraId="4C9C8816" w14:textId="77777777">
      <w:pPr>
        <w:spacing w:after="120" w:line="240" w:lineRule="auto"/>
        <w:rPr>
          <w:color w:val="000000"/>
        </w:rPr>
      </w:pPr>
      <w:r>
        <w:rPr>
          <w:color w:val="000000"/>
        </w:rPr>
        <w:t>Bez dopadů.</w:t>
      </w:r>
    </w:p>
    <w:p w:rsidR="006031E5" w:rsidP="004F2CF7" w14:paraId="034A47E7" w14:textId="77777777">
      <w:pPr>
        <w:spacing w:before="240" w:after="120" w:line="240" w:lineRule="auto"/>
        <w:rPr>
          <w:rFonts w:cs="Arial"/>
          <w:b/>
          <w:bCs/>
          <w:szCs w:val="20"/>
          <w:lang w:eastAsia="cs-CZ"/>
        </w:rPr>
      </w:pPr>
      <w:r>
        <w:rPr>
          <w:rFonts w:cs="Arial"/>
          <w:b/>
          <w:bCs/>
          <w:szCs w:val="20"/>
          <w:lang w:eastAsia="cs-CZ"/>
        </w:rPr>
        <w:t>Dopad na podnikatelské subjekty</w:t>
      </w:r>
    </w:p>
    <w:p w:rsidR="006031E5" w:rsidP="009E17A4" w14:paraId="64FB2CC7" w14:textId="12607FDF">
      <w:pPr>
        <w:spacing w:after="120"/>
        <w:rPr>
          <w:bCs/>
          <w:lang w:eastAsia="cs-CZ"/>
        </w:rPr>
      </w:pPr>
      <w:r>
        <w:rPr>
          <w:rFonts w:cs="Arial"/>
          <w:bCs/>
          <w:szCs w:val="20"/>
          <w:lang w:eastAsia="cs-CZ"/>
        </w:rPr>
        <w:t xml:space="preserve">Výrobci Li-baterií </w:t>
      </w:r>
      <w:r w:rsidRPr="00CF6905" w:rsidR="00CF6905">
        <w:rPr>
          <w:color w:val="000000"/>
        </w:rPr>
        <w:t xml:space="preserve">plnící individuálně </w:t>
      </w:r>
      <w:r w:rsidRPr="00CF6905">
        <w:rPr>
          <w:rFonts w:cs="Arial"/>
          <w:bCs/>
          <w:szCs w:val="20"/>
          <w:lang w:eastAsia="cs-CZ"/>
        </w:rPr>
        <w:t>nebudou</w:t>
      </w:r>
      <w:r>
        <w:rPr>
          <w:rFonts w:cs="Arial"/>
          <w:bCs/>
          <w:szCs w:val="20"/>
          <w:lang w:eastAsia="cs-CZ"/>
        </w:rPr>
        <w:t xml:space="preserve"> mít žádné povinnosti ve vztahu ke </w:t>
      </w:r>
      <w:r w:rsidR="006D0E4E">
        <w:rPr>
          <w:rFonts w:cs="Arial"/>
          <w:bCs/>
          <w:szCs w:val="20"/>
          <w:lang w:eastAsia="cs-CZ"/>
        </w:rPr>
        <w:t>ZO</w:t>
      </w:r>
      <w:r>
        <w:rPr>
          <w:rFonts w:cs="Arial"/>
          <w:bCs/>
          <w:szCs w:val="20"/>
          <w:lang w:eastAsia="cs-CZ"/>
        </w:rPr>
        <w:t xml:space="preserve"> Li-baterií, což je v rozporu s pravidlem „znečišťovatel platí“. </w:t>
      </w:r>
      <w:r>
        <w:rPr>
          <w:bCs/>
          <w:lang w:eastAsia="cs-CZ"/>
        </w:rPr>
        <w:t xml:space="preserve">Vzhledem ke skutečnosti, že není zákonem stanoven minimální cíl pro sběr lithiových automobilových a průmyslových akumulátorů, existuje zde vysoké riziko, že individuální výrobci se budou snažit svým povinnostem vyhýbat a nebudou mít zájem se podílet na financování nákladného systému sběru a zpracování. V současnosti výrobci plnící individuálně nemají </w:t>
      </w:r>
      <w:r w:rsidRPr="00815D19">
        <w:rPr>
          <w:bCs/>
          <w:lang w:eastAsia="cs-CZ"/>
        </w:rPr>
        <w:t xml:space="preserve">stanoveny žádné bližší podmínky pro </w:t>
      </w:r>
      <w:r w:rsidR="006D0E4E">
        <w:rPr>
          <w:bCs/>
          <w:lang w:eastAsia="cs-CZ"/>
        </w:rPr>
        <w:t>ZO</w:t>
      </w:r>
      <w:r w:rsidRPr="00815D19">
        <w:rPr>
          <w:bCs/>
          <w:lang w:eastAsia="cs-CZ"/>
        </w:rPr>
        <w:t xml:space="preserve"> nebo oddělený sběr, a </w:t>
      </w:r>
      <w:r>
        <w:rPr>
          <w:bCs/>
          <w:lang w:eastAsia="cs-CZ"/>
        </w:rPr>
        <w:t xml:space="preserve"> sběr průmyslových a automobilových akumulátorů, pokud nemají pozitivní tržní hodnotu jako odpad, zajišťují pouze v minimální míře </w:t>
      </w:r>
      <w:r>
        <w:rPr>
          <w:color w:val="000000"/>
        </w:rPr>
        <w:t xml:space="preserve">(z důvodu potřeby vykázat v ročním hlášení minimální míru </w:t>
      </w:r>
      <w:r w:rsidR="006D0E4E">
        <w:rPr>
          <w:color w:val="000000"/>
        </w:rPr>
        <w:t>ZO</w:t>
      </w:r>
      <w:r>
        <w:rPr>
          <w:color w:val="000000"/>
        </w:rPr>
        <w:t>) na úkor jiných výrobců plnících poctivě zákonné povinnosti</w:t>
      </w:r>
      <w:r>
        <w:rPr>
          <w:bCs/>
          <w:lang w:eastAsia="cs-CZ"/>
        </w:rPr>
        <w:t xml:space="preserve">. </w:t>
      </w:r>
    </w:p>
    <w:p w:rsidR="006031E5" w:rsidP="006031E5" w14:paraId="12F1CAAD" w14:textId="77777777">
      <w:pPr>
        <w:spacing w:after="120"/>
        <w:rPr>
          <w:color w:val="000000"/>
        </w:rPr>
      </w:pPr>
      <w:r>
        <w:rPr>
          <w:rFonts w:cs="Arial"/>
          <w:bCs/>
          <w:szCs w:val="20"/>
          <w:lang w:eastAsia="cs-CZ"/>
        </w:rPr>
        <w:t xml:space="preserve">Zároveň hrozí reálné riziko, že </w:t>
      </w:r>
      <w:r>
        <w:rPr>
          <w:bCs/>
          <w:lang w:eastAsia="cs-CZ"/>
        </w:rPr>
        <w:t>v případě odchodu výrobce z trhu v ČR, nebo při uvedení baterií na trh bez dostatečné finanční rezervu, nebude zajištěno financování nakládání s těmito Li-bateriemi.</w:t>
      </w:r>
    </w:p>
    <w:p w:rsidR="006031E5" w:rsidP="004F2CF7" w14:paraId="4EDD592A" w14:textId="77777777">
      <w:pPr>
        <w:spacing w:before="240" w:after="120" w:line="240" w:lineRule="auto"/>
        <w:rPr>
          <w:rFonts w:cs="Arial"/>
          <w:b/>
          <w:bCs/>
          <w:szCs w:val="20"/>
          <w:lang w:eastAsia="cs-CZ"/>
        </w:rPr>
      </w:pPr>
      <w:r w:rsidRPr="001213AA">
        <w:rPr>
          <w:rFonts w:cs="Arial"/>
          <w:b/>
          <w:bCs/>
          <w:szCs w:val="20"/>
          <w:lang w:eastAsia="cs-CZ"/>
        </w:rPr>
        <w:t>Dopady</w:t>
      </w:r>
      <w:r>
        <w:rPr>
          <w:rFonts w:cs="Arial"/>
          <w:bCs/>
          <w:szCs w:val="20"/>
          <w:lang w:eastAsia="cs-CZ"/>
        </w:rPr>
        <w:t xml:space="preserve"> </w:t>
      </w:r>
      <w:r w:rsidRPr="00E40A41">
        <w:rPr>
          <w:rFonts w:cs="Arial"/>
          <w:b/>
          <w:bCs/>
          <w:szCs w:val="20"/>
          <w:lang w:eastAsia="cs-CZ"/>
        </w:rPr>
        <w:t>na územní samosprávné celky (obce, kraje)</w:t>
      </w:r>
    </w:p>
    <w:p w:rsidR="006031E5" w:rsidRPr="001213AA" w:rsidP="006031E5" w14:paraId="1CB281BE" w14:textId="33B288E4">
      <w:pPr>
        <w:spacing w:after="120"/>
        <w:rPr>
          <w:rFonts w:cs="Arial"/>
          <w:bCs/>
          <w:szCs w:val="20"/>
          <w:lang w:eastAsia="cs-CZ"/>
        </w:rPr>
      </w:pPr>
      <w:r w:rsidRPr="001213AA">
        <w:rPr>
          <w:rFonts w:cs="Arial"/>
          <w:bCs/>
          <w:szCs w:val="20"/>
          <w:lang w:eastAsia="cs-CZ"/>
        </w:rPr>
        <w:t xml:space="preserve">Dopady na obce a kraje očekáváme pouze v případě, že kraj či obec je provozovatelem </w:t>
      </w:r>
      <w:r>
        <w:rPr>
          <w:rFonts w:cs="Arial"/>
          <w:bCs/>
          <w:szCs w:val="20"/>
          <w:lang w:eastAsia="cs-CZ"/>
        </w:rPr>
        <w:t xml:space="preserve">místa </w:t>
      </w:r>
      <w:r w:rsidR="009E17A4">
        <w:rPr>
          <w:rFonts w:cs="Arial"/>
          <w:bCs/>
          <w:szCs w:val="20"/>
          <w:lang w:eastAsia="cs-CZ"/>
        </w:rPr>
        <w:t xml:space="preserve">ZO </w:t>
      </w:r>
      <w:r>
        <w:rPr>
          <w:rFonts w:cs="Arial"/>
          <w:bCs/>
          <w:szCs w:val="20"/>
          <w:lang w:eastAsia="cs-CZ"/>
        </w:rPr>
        <w:t xml:space="preserve">Li-baterií, a to při neplnění povinností výrobců Li-baterií při </w:t>
      </w:r>
      <w:r w:rsidR="009E17A4">
        <w:rPr>
          <w:rFonts w:cs="Arial"/>
          <w:bCs/>
          <w:szCs w:val="20"/>
          <w:lang w:eastAsia="cs-CZ"/>
        </w:rPr>
        <w:t>ZO</w:t>
      </w:r>
      <w:r>
        <w:rPr>
          <w:rFonts w:cs="Arial"/>
          <w:bCs/>
          <w:szCs w:val="20"/>
          <w:lang w:eastAsia="cs-CZ"/>
        </w:rPr>
        <w:t xml:space="preserve"> (pokud nebude zajištěno řádné financování </w:t>
      </w:r>
      <w:r w:rsidR="009E17A4">
        <w:rPr>
          <w:rFonts w:cs="Arial"/>
          <w:bCs/>
          <w:szCs w:val="20"/>
          <w:lang w:eastAsia="cs-CZ"/>
        </w:rPr>
        <w:t>ZO</w:t>
      </w:r>
      <w:r>
        <w:rPr>
          <w:rFonts w:cs="Arial"/>
          <w:bCs/>
          <w:szCs w:val="20"/>
          <w:lang w:eastAsia="cs-CZ"/>
        </w:rPr>
        <w:t xml:space="preserve"> Li-baterií).</w:t>
      </w:r>
    </w:p>
    <w:p w:rsidR="006031E5" w:rsidRPr="00E40A41" w:rsidP="004F2CF7" w14:paraId="27D0105A" w14:textId="77777777">
      <w:pPr>
        <w:spacing w:before="240" w:after="120" w:line="240" w:lineRule="auto"/>
        <w:rPr>
          <w:rFonts w:cs="Arial"/>
          <w:b/>
          <w:bCs/>
          <w:szCs w:val="20"/>
          <w:lang w:eastAsia="cs-CZ"/>
        </w:rPr>
      </w:pPr>
      <w:r w:rsidRPr="00E40A41">
        <w:rPr>
          <w:rFonts w:cs="Arial"/>
          <w:b/>
          <w:bCs/>
          <w:szCs w:val="20"/>
          <w:lang w:eastAsia="cs-CZ"/>
        </w:rPr>
        <w:t xml:space="preserve">Sociální dopady </w:t>
      </w:r>
    </w:p>
    <w:p w:rsidR="006031E5" w:rsidRPr="00E40A41" w:rsidP="006031E5" w14:paraId="74101AC5" w14:textId="77777777">
      <w:pPr>
        <w:spacing w:after="120" w:line="240" w:lineRule="auto"/>
        <w:rPr>
          <w:rFonts w:cs="Arial"/>
          <w:bCs/>
          <w:szCs w:val="20"/>
          <w:lang w:eastAsia="cs-CZ"/>
        </w:rPr>
      </w:pPr>
      <w:r w:rsidRPr="00E40A41">
        <w:rPr>
          <w:rFonts w:cs="Arial"/>
          <w:bCs/>
          <w:szCs w:val="20"/>
          <w:lang w:eastAsia="cs-CZ"/>
        </w:rPr>
        <w:t>Bez dopadů.</w:t>
      </w:r>
    </w:p>
    <w:p w:rsidR="006031E5" w:rsidRPr="00E40A41" w:rsidP="004F2CF7" w14:paraId="2EFE02AF" w14:textId="77777777">
      <w:pPr>
        <w:spacing w:before="240" w:after="120" w:line="240" w:lineRule="auto"/>
        <w:rPr>
          <w:rFonts w:cs="Arial"/>
          <w:b/>
          <w:bCs/>
          <w:szCs w:val="20"/>
          <w:lang w:eastAsia="cs-CZ"/>
        </w:rPr>
      </w:pPr>
      <w:r w:rsidRPr="00E40A41">
        <w:rPr>
          <w:rFonts w:cs="Arial"/>
          <w:b/>
          <w:bCs/>
          <w:szCs w:val="20"/>
          <w:lang w:eastAsia="cs-CZ"/>
        </w:rPr>
        <w:t>Dopad na životní prostředí</w:t>
      </w:r>
    </w:p>
    <w:p w:rsidR="006031E5" w:rsidP="006031E5" w14:paraId="61B9B44F" w14:textId="77777777">
      <w:pPr>
        <w:spacing w:after="120"/>
        <w:rPr>
          <w:rFonts w:cs="Arial"/>
        </w:rPr>
      </w:pPr>
      <w:r>
        <w:rPr>
          <w:color w:val="000000"/>
        </w:rPr>
        <w:t>R</w:t>
      </w:r>
      <w:r w:rsidRPr="00E40A41">
        <w:rPr>
          <w:color w:val="000000"/>
        </w:rPr>
        <w:t xml:space="preserve">iziko úniku nebezpečných látek obsažených v bateriích a </w:t>
      </w:r>
      <w:r>
        <w:rPr>
          <w:color w:val="000000"/>
        </w:rPr>
        <w:t xml:space="preserve">riziko </w:t>
      </w:r>
      <w:r w:rsidRPr="00E40A41">
        <w:rPr>
          <w:color w:val="000000"/>
        </w:rPr>
        <w:t>kontaminace ŽP těmito látkami při ne</w:t>
      </w:r>
      <w:r w:rsidRPr="00E40A41">
        <w:rPr>
          <w:rFonts w:cs="Arial"/>
        </w:rPr>
        <w:t>správném nakládání s Li-bateriemi.</w:t>
      </w:r>
    </w:p>
    <w:p w:rsidR="0039543B" w:rsidP="006031E5" w14:paraId="772232D9" w14:textId="77777777">
      <w:pPr>
        <w:spacing w:after="120"/>
        <w:rPr>
          <w:rFonts w:cs="Arial"/>
        </w:rPr>
      </w:pPr>
    </w:p>
    <w:p w:rsidR="00304909" w:rsidRPr="00C473DD" w:rsidP="003C445B" w14:paraId="434F85BA" w14:textId="77777777">
      <w:pPr>
        <w:keepNext/>
        <w:numPr>
          <w:ilvl w:val="0"/>
          <w:numId w:val="66"/>
        </w:numPr>
        <w:spacing w:before="240" w:after="120"/>
        <w:ind w:left="714" w:hanging="357"/>
        <w:rPr>
          <w:rFonts w:cs="Arial"/>
          <w:b/>
          <w:noProof w:val="0"/>
          <w:lang w:bidi="ar-SA"/>
        </w:rPr>
      </w:pPr>
      <w:r w:rsidRPr="00C473DD">
        <w:rPr>
          <w:rFonts w:cs="Arial"/>
          <w:b/>
          <w:noProof w:val="0"/>
          <w:lang w:bidi="ar-SA"/>
        </w:rPr>
        <w:t>Varianta 1</w:t>
      </w:r>
    </w:p>
    <w:p w:rsidR="006031E5" w:rsidRPr="006031E5" w:rsidP="006031E5" w14:paraId="5CCA1ABE" w14:textId="29BDBA20">
      <w:pPr>
        <w:spacing w:after="120"/>
        <w:rPr>
          <w:rFonts w:cs="Arial"/>
          <w:bCs/>
          <w:szCs w:val="20"/>
          <w:lang w:eastAsia="cs-CZ"/>
        </w:rPr>
      </w:pPr>
      <w:r w:rsidRPr="006031E5">
        <w:rPr>
          <w:rFonts w:cs="Arial"/>
          <w:bCs/>
          <w:szCs w:val="20"/>
          <w:lang w:eastAsia="cs-CZ"/>
        </w:rPr>
        <w:t>Variantou 1 dojde ke sjednocení podmínek pro výrobce Li-baterií, kt</w:t>
      </w:r>
      <w:r w:rsidR="009E17A4">
        <w:rPr>
          <w:rFonts w:cs="Arial"/>
          <w:bCs/>
          <w:szCs w:val="20"/>
          <w:lang w:eastAsia="cs-CZ"/>
        </w:rPr>
        <w:t>eří plní prostřednictvím KS a individuálně</w:t>
      </w:r>
      <w:r w:rsidRPr="006031E5">
        <w:rPr>
          <w:rFonts w:cs="Arial"/>
          <w:bCs/>
          <w:szCs w:val="20"/>
          <w:lang w:eastAsia="cs-CZ"/>
        </w:rPr>
        <w:t>, tak, aby nebylo nadále zvýhodněné plnění zákonný</w:t>
      </w:r>
      <w:r w:rsidR="009E17A4">
        <w:rPr>
          <w:rFonts w:cs="Arial"/>
          <w:bCs/>
          <w:szCs w:val="20"/>
          <w:lang w:eastAsia="cs-CZ"/>
        </w:rPr>
        <w:t>ch povinností prostřednictvím individuálního systému</w:t>
      </w:r>
      <w:r w:rsidRPr="006031E5">
        <w:rPr>
          <w:rFonts w:cs="Arial"/>
          <w:bCs/>
          <w:szCs w:val="20"/>
          <w:lang w:eastAsia="cs-CZ"/>
        </w:rPr>
        <w:t xml:space="preserve"> na úkor KS a zejména životního prostředí. Zároveň bude eliminováno riziko, že </w:t>
      </w:r>
      <w:r w:rsidR="0091248D">
        <w:rPr>
          <w:rFonts w:cs="Arial"/>
          <w:bCs/>
          <w:szCs w:val="20"/>
          <w:lang w:eastAsia="cs-CZ"/>
        </w:rPr>
        <w:t>KS</w:t>
      </w:r>
      <w:r w:rsidRPr="006031E5">
        <w:rPr>
          <w:rFonts w:cs="Arial"/>
          <w:bCs/>
          <w:szCs w:val="20"/>
          <w:lang w:eastAsia="cs-CZ"/>
        </w:rPr>
        <w:t xml:space="preserve"> budou vytvářet síť sběru a realizovat i</w:t>
      </w:r>
      <w:r w:rsidR="009E17A4">
        <w:rPr>
          <w:rFonts w:cs="Arial"/>
          <w:bCs/>
          <w:szCs w:val="20"/>
          <w:lang w:eastAsia="cs-CZ"/>
        </w:rPr>
        <w:t> </w:t>
      </w:r>
      <w:r w:rsidRPr="006031E5">
        <w:rPr>
          <w:rFonts w:cs="Arial"/>
          <w:bCs/>
          <w:szCs w:val="20"/>
          <w:lang w:eastAsia="cs-CZ"/>
        </w:rPr>
        <w:t xml:space="preserve">financovat sběr </w:t>
      </w:r>
      <w:r w:rsidR="0091248D">
        <w:rPr>
          <w:rFonts w:cs="Arial"/>
          <w:bCs/>
          <w:szCs w:val="20"/>
          <w:lang w:eastAsia="cs-CZ"/>
        </w:rPr>
        <w:t>Li-</w:t>
      </w:r>
      <w:r w:rsidRPr="006031E5">
        <w:rPr>
          <w:rFonts w:cs="Arial"/>
          <w:bCs/>
          <w:szCs w:val="20"/>
          <w:lang w:eastAsia="cs-CZ"/>
        </w:rPr>
        <w:t xml:space="preserve"> akumulátorů na své náklady, a to i od výrobců plnících individuálně na úkor výrobců zapojených do předmětných KS.</w:t>
      </w:r>
    </w:p>
    <w:p w:rsidR="006031E5" w:rsidRPr="006031E5" w:rsidP="006031E5" w14:paraId="5070D39F" w14:textId="4A73E09C">
      <w:pPr>
        <w:spacing w:after="120"/>
        <w:rPr>
          <w:color w:val="000000"/>
        </w:rPr>
      </w:pPr>
      <w:r w:rsidRPr="006031E5">
        <w:rPr>
          <w:color w:val="000000"/>
        </w:rPr>
        <w:t xml:space="preserve">Variantou 1 by dále mělo být zajištěno dostatečné množství finančních prostředků k pokrytí financování </w:t>
      </w:r>
      <w:r w:rsidR="0091248D">
        <w:rPr>
          <w:color w:val="000000"/>
        </w:rPr>
        <w:t>ZO</w:t>
      </w:r>
      <w:r w:rsidRPr="006031E5">
        <w:rPr>
          <w:color w:val="000000"/>
        </w:rPr>
        <w:t xml:space="preserve">, zpracování a využití nebo odstranění všech </w:t>
      </w:r>
      <w:r w:rsidR="0091248D">
        <w:rPr>
          <w:color w:val="000000"/>
        </w:rPr>
        <w:t>Li-</w:t>
      </w:r>
      <w:r w:rsidRPr="006031E5">
        <w:rPr>
          <w:color w:val="000000"/>
        </w:rPr>
        <w:t>baterií a akumulátorů s ukončenou životností, které výrobce uvedl na trh. Tím dojde ke snížení bezpečnostního rizika a zamezení budoucí ekologické i ekonomické zátěži způsobené nedostatečným finančním pokrytím optimálního nakládání s</w:t>
      </w:r>
      <w:r w:rsidR="0091248D">
        <w:rPr>
          <w:color w:val="000000"/>
        </w:rPr>
        <w:t> Li-</w:t>
      </w:r>
      <w:r w:rsidRPr="006031E5">
        <w:rPr>
          <w:color w:val="000000"/>
        </w:rPr>
        <w:t>bateriemi a akumulátory.</w:t>
      </w:r>
    </w:p>
    <w:p w:rsidR="006031E5" w:rsidRPr="00C72298" w:rsidP="004F2CF7" w14:paraId="077FADD2" w14:textId="77777777">
      <w:pPr>
        <w:spacing w:before="240" w:after="120" w:line="240" w:lineRule="auto"/>
        <w:rPr>
          <w:rFonts w:cs="Arial"/>
          <w:b/>
          <w:bCs/>
          <w:szCs w:val="20"/>
          <w:lang w:eastAsia="cs-CZ"/>
        </w:rPr>
      </w:pPr>
      <w:r w:rsidRPr="00C72298">
        <w:rPr>
          <w:rFonts w:cs="Arial"/>
          <w:b/>
          <w:bCs/>
          <w:szCs w:val="20"/>
          <w:lang w:eastAsia="cs-CZ"/>
        </w:rPr>
        <w:t>Dopad na státní rozpočet a ostatní veřejné rozpočty</w:t>
      </w:r>
    </w:p>
    <w:p w:rsidR="006031E5" w:rsidRPr="00D1008C" w:rsidP="006031E5" w14:paraId="483BFE2C" w14:textId="77777777">
      <w:pPr>
        <w:spacing w:after="120"/>
        <w:rPr>
          <w:rFonts w:cs="Arial"/>
          <w:bCs/>
          <w:szCs w:val="20"/>
          <w:lang w:eastAsia="cs-CZ"/>
        </w:rPr>
      </w:pPr>
      <w:r>
        <w:rPr>
          <w:rFonts w:cs="Arial"/>
          <w:bCs/>
          <w:szCs w:val="20"/>
          <w:lang w:eastAsia="cs-CZ"/>
        </w:rPr>
        <w:t>Bez dopadů.</w:t>
      </w:r>
    </w:p>
    <w:p w:rsidR="006031E5" w:rsidP="004F2CF7" w14:paraId="56809863" w14:textId="77777777">
      <w:pPr>
        <w:spacing w:before="240" w:after="120" w:line="240" w:lineRule="auto"/>
        <w:rPr>
          <w:rFonts w:cs="Arial"/>
          <w:b/>
          <w:bCs/>
          <w:szCs w:val="20"/>
          <w:lang w:eastAsia="cs-CZ"/>
        </w:rPr>
      </w:pPr>
      <w:r w:rsidRPr="00C72298">
        <w:rPr>
          <w:rFonts w:cs="Arial"/>
          <w:b/>
          <w:bCs/>
          <w:szCs w:val="20"/>
          <w:lang w:eastAsia="cs-CZ"/>
        </w:rPr>
        <w:t xml:space="preserve">Dopad na podnikatelské subjekty </w:t>
      </w:r>
    </w:p>
    <w:p w:rsidR="006031E5" w:rsidRPr="00A746FF" w:rsidP="006031E5" w14:paraId="1E62E196" w14:textId="7B822B44">
      <w:pPr>
        <w:spacing w:after="0"/>
        <w:rPr>
          <w:rFonts w:cs="Arial"/>
          <w:bCs/>
          <w:szCs w:val="20"/>
          <w:lang w:eastAsia="cs-CZ"/>
        </w:rPr>
      </w:pPr>
      <w:r w:rsidRPr="00A746FF">
        <w:rPr>
          <w:rFonts w:cs="Arial"/>
          <w:bCs/>
          <w:szCs w:val="20"/>
          <w:lang w:eastAsia="cs-CZ"/>
        </w:rPr>
        <w:t>Výrobce Li-baterií plnící zákonné povinnosti individuálně (či solidárně) je povinen vytvořit finanční rezervu</w:t>
      </w:r>
      <w:r>
        <w:rPr>
          <w:rFonts w:cs="Arial"/>
          <w:bCs/>
          <w:szCs w:val="20"/>
          <w:lang w:eastAsia="cs-CZ"/>
        </w:rPr>
        <w:t>, resp. kauci,</w:t>
      </w:r>
      <w:r w:rsidRPr="00A746FF">
        <w:rPr>
          <w:rFonts w:cs="Arial"/>
          <w:bCs/>
          <w:szCs w:val="20"/>
          <w:lang w:eastAsia="cs-CZ"/>
        </w:rPr>
        <w:t xml:space="preserve"> určenou na krytí budoucích nákladů na </w:t>
      </w:r>
      <w:r w:rsidR="0091248D">
        <w:rPr>
          <w:rFonts w:cs="Arial"/>
          <w:bCs/>
          <w:szCs w:val="20"/>
          <w:lang w:eastAsia="cs-CZ"/>
        </w:rPr>
        <w:t>ZO</w:t>
      </w:r>
      <w:r w:rsidRPr="00A746FF">
        <w:rPr>
          <w:rFonts w:cs="Arial"/>
          <w:bCs/>
          <w:szCs w:val="20"/>
          <w:lang w:eastAsia="cs-CZ"/>
        </w:rPr>
        <w:t xml:space="preserve"> a</w:t>
      </w:r>
      <w:r>
        <w:rPr>
          <w:rFonts w:cs="Arial"/>
          <w:bCs/>
          <w:szCs w:val="20"/>
          <w:lang w:eastAsia="cs-CZ"/>
        </w:rPr>
        <w:t> </w:t>
      </w:r>
      <w:r w:rsidRPr="00A746FF">
        <w:rPr>
          <w:rFonts w:cs="Arial"/>
          <w:bCs/>
          <w:szCs w:val="20"/>
          <w:lang w:eastAsia="cs-CZ"/>
        </w:rPr>
        <w:t>zpracování Li-baterií, zohledňující finanční rizika s tím spojená, jejímž cílem je zajistit kontinuitu a</w:t>
      </w:r>
      <w:r>
        <w:rPr>
          <w:rFonts w:cs="Arial"/>
          <w:bCs/>
          <w:szCs w:val="20"/>
          <w:lang w:eastAsia="cs-CZ"/>
        </w:rPr>
        <w:t> </w:t>
      </w:r>
      <w:r w:rsidRPr="00A746FF">
        <w:rPr>
          <w:rFonts w:cs="Arial"/>
          <w:bCs/>
          <w:szCs w:val="20"/>
          <w:lang w:eastAsia="cs-CZ"/>
        </w:rPr>
        <w:t xml:space="preserve">dostupnost poskytování služeb ze strany výrobce. </w:t>
      </w:r>
    </w:p>
    <w:p w:rsidR="006031E5" w:rsidP="006031E5" w14:paraId="5275063E" w14:textId="185D12CD">
      <w:pPr>
        <w:spacing w:after="0"/>
      </w:pPr>
      <w:r w:rsidRPr="00A746FF">
        <w:rPr>
          <w:rFonts w:cs="Arial"/>
          <w:bCs/>
          <w:szCs w:val="20"/>
          <w:lang w:eastAsia="cs-CZ"/>
        </w:rPr>
        <w:t>T</w:t>
      </w:r>
      <w:r>
        <w:rPr>
          <w:rFonts w:cs="Arial"/>
          <w:bCs/>
          <w:szCs w:val="20"/>
          <w:lang w:eastAsia="cs-CZ"/>
        </w:rPr>
        <w:t>y</w:t>
      </w:r>
      <w:r w:rsidRPr="00A746FF">
        <w:rPr>
          <w:rFonts w:cs="Arial"/>
          <w:bCs/>
          <w:szCs w:val="20"/>
          <w:lang w:eastAsia="cs-CZ"/>
        </w:rPr>
        <w:t xml:space="preserve">to vázané finanční prostředky představují zdroj pro financování budoucích nákladů, a proto je omezena možnost </w:t>
      </w:r>
      <w:r w:rsidRPr="009A7149">
        <w:rPr>
          <w:rFonts w:cs="Arial"/>
          <w:bCs/>
          <w:szCs w:val="20"/>
          <w:lang w:eastAsia="cs-CZ"/>
        </w:rPr>
        <w:t>s těmito prostředky</w:t>
      </w:r>
      <w:r w:rsidRPr="00A746FF">
        <w:rPr>
          <w:rFonts w:cs="Arial"/>
          <w:bCs/>
          <w:szCs w:val="20"/>
          <w:lang w:eastAsia="cs-CZ"/>
        </w:rPr>
        <w:t xml:space="preserve"> naklád</w:t>
      </w:r>
      <w:r>
        <w:rPr>
          <w:rFonts w:cs="Arial"/>
          <w:bCs/>
          <w:szCs w:val="20"/>
          <w:lang w:eastAsia="cs-CZ"/>
        </w:rPr>
        <w:t>at</w:t>
      </w:r>
      <w:r w:rsidRPr="00A746FF">
        <w:rPr>
          <w:rFonts w:cs="Arial"/>
          <w:bCs/>
          <w:szCs w:val="20"/>
          <w:lang w:eastAsia="cs-CZ"/>
        </w:rPr>
        <w:t>. Dle návrhu tyto finanční prostředky nemohou být předmětem nařízení a provedení výkonu rozhodnutí nebo exekuce, ani zahrnuty do majetkové podstaty výrobce. Finanční rezervou</w:t>
      </w:r>
      <w:r>
        <w:rPr>
          <w:rFonts w:cs="Arial"/>
          <w:bCs/>
          <w:szCs w:val="20"/>
          <w:lang w:eastAsia="cs-CZ"/>
        </w:rPr>
        <w:t>, resp. kaucí,</w:t>
      </w:r>
      <w:r w:rsidRPr="00A746FF">
        <w:rPr>
          <w:rFonts w:cs="Arial"/>
          <w:bCs/>
          <w:szCs w:val="20"/>
          <w:lang w:eastAsia="cs-CZ"/>
        </w:rPr>
        <w:t xml:space="preserve"> se snižuje riziko deficitního hospodaření, kdy alespoň část budoucích nákladů může být uhrazena z těchto vázaných prostředků. Představuje také garanci pro zajištění </w:t>
      </w:r>
      <w:r w:rsidR="0091248D">
        <w:rPr>
          <w:rFonts w:cs="Arial"/>
          <w:bCs/>
          <w:szCs w:val="20"/>
          <w:lang w:eastAsia="cs-CZ"/>
        </w:rPr>
        <w:t>ZO</w:t>
      </w:r>
      <w:r w:rsidRPr="00A746FF">
        <w:rPr>
          <w:rFonts w:cs="Arial"/>
          <w:bCs/>
          <w:szCs w:val="20"/>
          <w:lang w:eastAsia="cs-CZ"/>
        </w:rPr>
        <w:t xml:space="preserve"> Li-baterií obsahujících nebezpečné </w:t>
      </w:r>
      <w:r w:rsidRPr="00A74DF6">
        <w:rPr>
          <w:bCs/>
          <w:lang w:eastAsia="cs-CZ"/>
        </w:rPr>
        <w:t xml:space="preserve">látky. </w:t>
      </w:r>
      <w:r w:rsidRPr="00AD2AD5">
        <w:rPr>
          <w:bCs/>
          <w:lang w:eastAsia="cs-CZ"/>
        </w:rPr>
        <w:t>Tato kauce bude zúčtovatelná, tzn. p</w:t>
      </w:r>
      <w:r w:rsidRPr="00AD2AD5">
        <w:t xml:space="preserve">okud prostředky budou prokazatelně použity k účelu, k jakému byly vkládány, dojde k vyúčtování a „přeplatek“ bude vrácen. Pokud výrobce nezajistí </w:t>
      </w:r>
      <w:r w:rsidR="0091248D">
        <w:t>ZO</w:t>
      </w:r>
      <w:r w:rsidRPr="00AD2AD5">
        <w:t xml:space="preserve"> „svých baterií“ peníze budou použity SFŽP</w:t>
      </w:r>
      <w:r w:rsidR="00DE42AC">
        <w:t xml:space="preserve"> (</w:t>
      </w:r>
      <w:r w:rsidRPr="00ED38E9" w:rsidR="00DE42AC">
        <w:rPr>
          <w:rFonts w:cs="Arial"/>
          <w:noProof w:val="0"/>
          <w:color w:val="000000"/>
          <w:lang w:eastAsia="cs-CZ" w:bidi="ar-SA"/>
        </w:rPr>
        <w:t>Státní fond životního prostředí ČR</w:t>
      </w:r>
      <w:r w:rsidR="00DE42AC">
        <w:rPr>
          <w:rFonts w:cs="Arial"/>
          <w:noProof w:val="0"/>
          <w:color w:val="000000"/>
          <w:lang w:eastAsia="cs-CZ" w:bidi="ar-SA"/>
        </w:rPr>
        <w:t>)</w:t>
      </w:r>
      <w:r w:rsidRPr="00AD2AD5">
        <w:t xml:space="preserve"> k tomuto účelu.</w:t>
      </w:r>
    </w:p>
    <w:p w:rsidR="00CF6905" w:rsidP="006031E5" w14:paraId="6E7D4EB0" w14:textId="72E7BB6E">
      <w:pPr>
        <w:spacing w:after="120"/>
        <w:rPr>
          <w:rFonts w:cs="Arial"/>
          <w:bCs/>
          <w:szCs w:val="20"/>
          <w:lang w:eastAsia="cs-CZ"/>
        </w:rPr>
      </w:pPr>
      <w:r>
        <w:rPr>
          <w:rFonts w:cs="Arial"/>
          <w:bCs/>
          <w:szCs w:val="20"/>
          <w:lang w:eastAsia="cs-CZ"/>
        </w:rPr>
        <w:t xml:space="preserve">Povinnost zajistit finanční rezervu pro budoucí </w:t>
      </w:r>
      <w:r w:rsidR="0091248D">
        <w:rPr>
          <w:rFonts w:cs="Arial"/>
          <w:bCs/>
          <w:szCs w:val="20"/>
          <w:lang w:eastAsia="cs-CZ"/>
        </w:rPr>
        <w:t>ZO</w:t>
      </w:r>
      <w:r>
        <w:rPr>
          <w:rFonts w:cs="Arial"/>
          <w:bCs/>
          <w:szCs w:val="20"/>
          <w:lang w:eastAsia="cs-CZ"/>
        </w:rPr>
        <w:t xml:space="preserve"> a recyklaci by se měla týkat kromě průmyslových baterií a akumulátorů (skupiny 2), do nichž spadají i automobilové baterie pro elektromobily také automobilové startovací baterie a akmulátory ze 3. skupiny obsahující lithium.</w:t>
      </w:r>
    </w:p>
    <w:p w:rsidR="006031E5" w:rsidRPr="00BC318A" w:rsidP="006031E5" w14:paraId="5840B1CB" w14:textId="149A7B1E">
      <w:pPr>
        <w:spacing w:after="120"/>
        <w:rPr>
          <w:bCs/>
          <w:lang w:eastAsia="cs-CZ"/>
        </w:rPr>
      </w:pPr>
      <w:r>
        <w:rPr>
          <w:rFonts w:cs="Arial"/>
          <w:bCs/>
          <w:szCs w:val="20"/>
          <w:lang w:eastAsia="cs-CZ"/>
        </w:rPr>
        <w:t>Celkový dopad na současných 28 výrobců Li-baterií ze skupiny 2. a 3 při množství uvedeném na trh v roce 2017 (270,1 t) je odhadován na částku cca 16,2 mil. Kč/rok (60 Kč/kg Li-baterie uvedené na trh), která bude uložena každoročně na vázané účty, příp. předána KS, na</w:t>
      </w:r>
      <w:r w:rsidR="00CC0BB4">
        <w:rPr>
          <w:rFonts w:cs="Arial"/>
          <w:bCs/>
          <w:szCs w:val="20"/>
          <w:lang w:eastAsia="cs-CZ"/>
        </w:rPr>
        <w:t> </w:t>
      </w:r>
      <w:r>
        <w:rPr>
          <w:rFonts w:cs="Arial"/>
          <w:bCs/>
          <w:szCs w:val="20"/>
          <w:lang w:eastAsia="cs-CZ"/>
        </w:rPr>
        <w:t>zajištění budoucího ZO a recyklace těchto baterií.</w:t>
      </w:r>
      <w:r w:rsidRPr="00AD2AD5">
        <w:rPr>
          <w:rFonts w:cs="Arial"/>
          <w:bCs/>
          <w:szCs w:val="20"/>
          <w:lang w:eastAsia="cs-CZ"/>
        </w:rPr>
        <w:t xml:space="preserve"> Dopad tohoto opatření na jednotlivé výrobce nelze přesněji vyhodnotit</w:t>
      </w:r>
      <w:r>
        <w:rPr>
          <w:rFonts w:cs="Arial"/>
          <w:bCs/>
          <w:szCs w:val="20"/>
          <w:lang w:eastAsia="cs-CZ"/>
        </w:rPr>
        <w:t>. Lze očekávat, že částka se bude v dalších letech zvyšovat s ohledem na předpokládaný meziroční nárůst množství Li-baterií a akumulátorů uváděných na trh v ČR. Kromě toho</w:t>
      </w:r>
      <w:r>
        <w:t xml:space="preserve"> lze předpokládat, že další</w:t>
      </w:r>
      <w:r w:rsidRPr="00AD2AD5">
        <w:t xml:space="preserve"> vývoj technologií na zpracování</w:t>
      </w:r>
      <w:r w:rsidRPr="00BC318A">
        <w:t xml:space="preserve"> Li-baterií</w:t>
      </w:r>
      <w:r w:rsidRPr="00AD2AD5">
        <w:t xml:space="preserve"> bude mít vliv na</w:t>
      </w:r>
      <w:r>
        <w:t> </w:t>
      </w:r>
      <w:r w:rsidRPr="00AD2AD5">
        <w:t>budoucí výši potřebné finanční rezervy, tedy kauce.</w:t>
      </w:r>
    </w:p>
    <w:p w:rsidR="006031E5" w:rsidRPr="00C72298" w:rsidP="004F2CF7" w14:paraId="0407055B" w14:textId="77777777">
      <w:pPr>
        <w:spacing w:before="240" w:after="120" w:line="240" w:lineRule="auto"/>
        <w:rPr>
          <w:rFonts w:cs="Arial"/>
          <w:b/>
          <w:bCs/>
          <w:szCs w:val="20"/>
          <w:lang w:eastAsia="cs-CZ"/>
        </w:rPr>
      </w:pPr>
      <w:r w:rsidRPr="00C72298">
        <w:rPr>
          <w:rFonts w:cs="Arial"/>
          <w:b/>
          <w:bCs/>
          <w:szCs w:val="20"/>
          <w:lang w:eastAsia="cs-CZ"/>
        </w:rPr>
        <w:t>Dopad na územní samosprávné celky (obce, kraje)</w:t>
      </w:r>
    </w:p>
    <w:p w:rsidR="006031E5" w:rsidRPr="00FA29ED" w:rsidP="006031E5" w14:paraId="1C652870" w14:textId="77777777">
      <w:pPr>
        <w:spacing w:after="120" w:line="240" w:lineRule="auto"/>
        <w:rPr>
          <w:rFonts w:cs="Arial"/>
          <w:bCs/>
          <w:szCs w:val="20"/>
          <w:lang w:eastAsia="cs-CZ"/>
        </w:rPr>
      </w:pPr>
      <w:r w:rsidRPr="00FA29ED">
        <w:rPr>
          <w:rFonts w:cs="Arial"/>
          <w:bCs/>
          <w:szCs w:val="20"/>
          <w:lang w:eastAsia="cs-CZ"/>
        </w:rPr>
        <w:t>Bez dopadů.</w:t>
      </w:r>
    </w:p>
    <w:p w:rsidR="006031E5" w:rsidP="004F2CF7" w14:paraId="26F4B321" w14:textId="77777777">
      <w:pPr>
        <w:keepNext/>
        <w:spacing w:before="240" w:after="120" w:line="240" w:lineRule="auto"/>
        <w:rPr>
          <w:rFonts w:cs="Arial"/>
          <w:b/>
          <w:bCs/>
          <w:szCs w:val="20"/>
          <w:lang w:eastAsia="cs-CZ"/>
        </w:rPr>
      </w:pPr>
      <w:r w:rsidRPr="00C72298">
        <w:rPr>
          <w:rFonts w:cs="Arial"/>
          <w:b/>
          <w:bCs/>
          <w:szCs w:val="20"/>
          <w:lang w:eastAsia="cs-CZ"/>
        </w:rPr>
        <w:t xml:space="preserve">Sociální dopady </w:t>
      </w:r>
    </w:p>
    <w:p w:rsidR="006031E5" w:rsidRPr="00FA29ED" w:rsidP="006031E5" w14:paraId="1488CBC9" w14:textId="77777777">
      <w:pPr>
        <w:spacing w:after="120" w:line="240" w:lineRule="auto"/>
        <w:rPr>
          <w:rFonts w:cs="Arial"/>
          <w:bCs/>
          <w:szCs w:val="20"/>
          <w:lang w:eastAsia="cs-CZ"/>
        </w:rPr>
      </w:pPr>
      <w:r w:rsidRPr="00FA29ED">
        <w:rPr>
          <w:rFonts w:cs="Arial"/>
          <w:bCs/>
          <w:szCs w:val="20"/>
          <w:lang w:eastAsia="cs-CZ"/>
        </w:rPr>
        <w:t>Bez dopadů.</w:t>
      </w:r>
    </w:p>
    <w:p w:rsidR="006031E5" w:rsidRPr="00C72298" w:rsidP="004F2CF7" w14:paraId="6B39B79A" w14:textId="77777777">
      <w:pPr>
        <w:keepNext/>
        <w:spacing w:before="240" w:after="120" w:line="240" w:lineRule="auto"/>
        <w:rPr>
          <w:rFonts w:cs="Arial"/>
          <w:b/>
          <w:bCs/>
          <w:szCs w:val="20"/>
          <w:lang w:eastAsia="cs-CZ"/>
        </w:rPr>
      </w:pPr>
      <w:r>
        <w:rPr>
          <w:rFonts w:cs="Arial"/>
          <w:b/>
          <w:bCs/>
          <w:szCs w:val="20"/>
          <w:lang w:eastAsia="cs-CZ"/>
        </w:rPr>
        <w:t>D</w:t>
      </w:r>
      <w:r w:rsidRPr="00C72298">
        <w:rPr>
          <w:rFonts w:cs="Arial"/>
          <w:b/>
          <w:bCs/>
          <w:szCs w:val="20"/>
          <w:lang w:eastAsia="cs-CZ"/>
        </w:rPr>
        <w:t>opad na životní prostředí</w:t>
      </w:r>
    </w:p>
    <w:p w:rsidR="006031E5" w:rsidP="006031E5" w14:paraId="204586AF" w14:textId="77777777">
      <w:pPr>
        <w:spacing w:after="120"/>
        <w:rPr>
          <w:color w:val="000000"/>
        </w:rPr>
      </w:pPr>
      <w:r>
        <w:rPr>
          <w:rFonts w:cs="Arial"/>
        </w:rPr>
        <w:t xml:space="preserve">Zajištění systému financování pro zajištění zpětného odběru a následné recyklace Li-baterií bude mít pozitivní dopady na ŽP, neboť se </w:t>
      </w:r>
      <w:r w:rsidRPr="00325145">
        <w:rPr>
          <w:color w:val="000000"/>
        </w:rPr>
        <w:t xml:space="preserve">snižuje </w:t>
      </w:r>
      <w:r>
        <w:rPr>
          <w:color w:val="000000"/>
        </w:rPr>
        <w:t xml:space="preserve">riziko úniku </w:t>
      </w:r>
      <w:r w:rsidRPr="00325145">
        <w:rPr>
          <w:color w:val="000000"/>
        </w:rPr>
        <w:t>nebezpečných látek</w:t>
      </w:r>
      <w:r>
        <w:rPr>
          <w:color w:val="000000"/>
        </w:rPr>
        <w:t xml:space="preserve"> obsažených v bateriích a kontaminace ŽP těmito látkami při ne</w:t>
      </w:r>
      <w:r>
        <w:rPr>
          <w:rFonts w:cs="Arial"/>
        </w:rPr>
        <w:t>správném nakládání s  Li-bateriemi.</w:t>
      </w:r>
    </w:p>
    <w:p w:rsidR="00304909" w:rsidP="006031E5" w14:paraId="264CA53E" w14:textId="77777777">
      <w:pPr>
        <w:rPr>
          <w:color w:val="000000"/>
        </w:rPr>
      </w:pPr>
      <w:r>
        <w:rPr>
          <w:rFonts w:cs="Arial"/>
        </w:rPr>
        <w:t xml:space="preserve">Recyklací zároveň dochází k </w:t>
      </w:r>
      <w:r>
        <w:rPr>
          <w:color w:val="000000"/>
        </w:rPr>
        <w:t>úspoře</w:t>
      </w:r>
      <w:r w:rsidRPr="00325145">
        <w:rPr>
          <w:color w:val="000000"/>
        </w:rPr>
        <w:t xml:space="preserve"> materiálů využívaných v bateriích </w:t>
      </w:r>
      <w:r>
        <w:rPr>
          <w:color w:val="000000"/>
        </w:rPr>
        <w:t>(díky opětovnému</w:t>
      </w:r>
      <w:r w:rsidRPr="00325145">
        <w:rPr>
          <w:color w:val="000000"/>
        </w:rPr>
        <w:t xml:space="preserve"> vyu</w:t>
      </w:r>
      <w:r>
        <w:rPr>
          <w:color w:val="000000"/>
        </w:rPr>
        <w:t xml:space="preserve">žití), </w:t>
      </w:r>
      <w:r w:rsidRPr="00325145">
        <w:rPr>
          <w:color w:val="000000"/>
        </w:rPr>
        <w:t>snížení CO</w:t>
      </w:r>
      <w:r w:rsidRPr="00D35C5B">
        <w:rPr>
          <w:color w:val="000000"/>
          <w:vertAlign w:val="subscript"/>
        </w:rPr>
        <w:t>2</w:t>
      </w:r>
      <w:r>
        <w:rPr>
          <w:color w:val="000000"/>
          <w:vertAlign w:val="subscript"/>
        </w:rPr>
        <w:t xml:space="preserve"> </w:t>
      </w:r>
      <w:r w:rsidRPr="00D35C5B">
        <w:rPr>
          <w:color w:val="000000"/>
        </w:rPr>
        <w:t xml:space="preserve">(při recyklaci </w:t>
      </w:r>
      <w:r>
        <w:rPr>
          <w:color w:val="000000"/>
        </w:rPr>
        <w:t xml:space="preserve">Al obsaženého v Li-bateriích </w:t>
      </w:r>
      <w:r w:rsidRPr="00D35C5B">
        <w:rPr>
          <w:color w:val="000000"/>
        </w:rPr>
        <w:t xml:space="preserve">namísto </w:t>
      </w:r>
      <w:r>
        <w:rPr>
          <w:color w:val="000000"/>
        </w:rPr>
        <w:t>znovuzískání nové suroviny) a úspoře</w:t>
      </w:r>
      <w:r w:rsidRPr="00325145">
        <w:rPr>
          <w:color w:val="000000"/>
        </w:rPr>
        <w:t xml:space="preserve"> energie</w:t>
      </w:r>
      <w:r>
        <w:rPr>
          <w:color w:val="000000"/>
        </w:rPr>
        <w:t>.</w:t>
      </w:r>
    </w:p>
    <w:p w:rsidR="0039543B" w:rsidP="006031E5" w14:paraId="7605A42B" w14:textId="77777777">
      <w:pPr>
        <w:rPr>
          <w:rFonts w:cs="Arial"/>
          <w:noProof w:val="0"/>
          <w:lang w:bidi="ar-SA"/>
        </w:rPr>
      </w:pPr>
    </w:p>
    <w:p w:rsidR="00304909" w:rsidRPr="00ED38E9" w:rsidP="00BF16B7" w14:paraId="7B8E2435" w14:textId="3F47FCAE">
      <w:pPr>
        <w:pStyle w:val="Heading3"/>
      </w:pPr>
      <w:r w:rsidRPr="00ED38E9">
        <w:t>Vyhodnocení nákladů a přínosů variant</w:t>
      </w:r>
    </w:p>
    <w:p w:rsidR="00304909" w:rsidRPr="0035496A" w:rsidP="00C473DD" w14:paraId="1710066F" w14:textId="58F5EAF4">
      <w:pPr>
        <w:pStyle w:val="Caption"/>
        <w:spacing w:before="120"/>
        <w:contextualSpacing w:val="0"/>
        <w:jc w:val="left"/>
        <w:rPr>
          <w:sz w:val="20"/>
          <w:szCs w:val="20"/>
        </w:rPr>
      </w:pPr>
      <w:r w:rsidRPr="0035496A">
        <w:rPr>
          <w:sz w:val="20"/>
          <w:szCs w:val="20"/>
        </w:rPr>
        <w:t xml:space="preserve">Tabulka </w:t>
      </w:r>
      <w:r w:rsidR="00925F10">
        <w:rPr>
          <w:sz w:val="20"/>
          <w:szCs w:val="20"/>
        </w:rPr>
        <w:t>57</w:t>
      </w:r>
      <w:r w:rsidRPr="0035496A">
        <w:rPr>
          <w:sz w:val="20"/>
          <w:szCs w:val="20"/>
        </w:rPr>
        <w:t>: Porovnání nákladů a přínosů variant</w:t>
      </w:r>
    </w:p>
    <w:tbl>
      <w:tblPr>
        <w:tblStyle w:val="TableGrid"/>
        <w:tblW w:w="0" w:type="auto"/>
        <w:tblLook w:val="04A0"/>
      </w:tblPr>
      <w:tblGrid>
        <w:gridCol w:w="1420"/>
        <w:gridCol w:w="2264"/>
        <w:gridCol w:w="1459"/>
        <w:gridCol w:w="2078"/>
        <w:gridCol w:w="1770"/>
      </w:tblGrid>
      <w:tr w14:paraId="42A962AE" w14:textId="77777777" w:rsidTr="0091248D">
        <w:tblPrEx>
          <w:tblW w:w="0" w:type="auto"/>
          <w:tblLook w:val="04A0"/>
        </w:tblPrEx>
        <w:trPr>
          <w:trHeight w:val="327"/>
        </w:trPr>
        <w:tc>
          <w:tcPr>
            <w:tcW w:w="1420" w:type="dxa"/>
            <w:noWrap/>
            <w:vAlign w:val="center"/>
            <w:hideMark/>
          </w:tcPr>
          <w:p w:rsidR="006031E5" w:rsidRPr="0035496A" w:rsidP="0091248D" w14:paraId="5CD3897E" w14:textId="77777777">
            <w:pPr>
              <w:spacing w:before="40" w:after="40" w:line="240" w:lineRule="auto"/>
              <w:jc w:val="center"/>
              <w:rPr>
                <w:b/>
                <w:bCs/>
                <w:sz w:val="20"/>
                <w:szCs w:val="20"/>
              </w:rPr>
            </w:pPr>
            <w:r w:rsidRPr="0035496A">
              <w:rPr>
                <w:b/>
                <w:bCs/>
                <w:sz w:val="20"/>
                <w:szCs w:val="20"/>
              </w:rPr>
              <w:t>Varianta</w:t>
            </w:r>
          </w:p>
        </w:tc>
        <w:tc>
          <w:tcPr>
            <w:tcW w:w="2264" w:type="dxa"/>
            <w:noWrap/>
            <w:vAlign w:val="center"/>
            <w:hideMark/>
          </w:tcPr>
          <w:p w:rsidR="006031E5" w:rsidRPr="0035496A" w:rsidP="0091248D" w14:paraId="3A4E9751" w14:textId="77777777">
            <w:pPr>
              <w:spacing w:before="40" w:after="40" w:line="240" w:lineRule="auto"/>
              <w:jc w:val="center"/>
              <w:rPr>
                <w:b/>
                <w:bCs/>
                <w:sz w:val="20"/>
                <w:szCs w:val="20"/>
              </w:rPr>
            </w:pPr>
            <w:r w:rsidRPr="0035496A">
              <w:rPr>
                <w:b/>
                <w:bCs/>
                <w:sz w:val="20"/>
                <w:szCs w:val="20"/>
              </w:rPr>
              <w:t>Přínosy</w:t>
            </w:r>
          </w:p>
        </w:tc>
        <w:tc>
          <w:tcPr>
            <w:tcW w:w="1459" w:type="dxa"/>
            <w:noWrap/>
            <w:vAlign w:val="center"/>
            <w:hideMark/>
          </w:tcPr>
          <w:p w:rsidR="006031E5" w:rsidRPr="0035496A" w:rsidP="0091248D" w14:paraId="740FD185" w14:textId="77777777">
            <w:pPr>
              <w:spacing w:before="40" w:after="40" w:line="240" w:lineRule="auto"/>
              <w:jc w:val="center"/>
              <w:rPr>
                <w:b/>
                <w:bCs/>
                <w:sz w:val="20"/>
                <w:szCs w:val="20"/>
              </w:rPr>
            </w:pPr>
            <w:r w:rsidRPr="0035496A">
              <w:rPr>
                <w:b/>
                <w:bCs/>
                <w:sz w:val="20"/>
                <w:szCs w:val="20"/>
              </w:rPr>
              <w:t>Hodnocení</w:t>
            </w:r>
          </w:p>
        </w:tc>
        <w:tc>
          <w:tcPr>
            <w:tcW w:w="2078" w:type="dxa"/>
            <w:noWrap/>
            <w:vAlign w:val="center"/>
            <w:hideMark/>
          </w:tcPr>
          <w:p w:rsidR="006031E5" w:rsidRPr="0035496A" w:rsidP="0091248D" w14:paraId="1DE5C604" w14:textId="77777777">
            <w:pPr>
              <w:spacing w:before="40" w:after="40" w:line="240" w:lineRule="auto"/>
              <w:jc w:val="center"/>
              <w:rPr>
                <w:b/>
                <w:bCs/>
                <w:sz w:val="20"/>
                <w:szCs w:val="20"/>
              </w:rPr>
            </w:pPr>
            <w:r w:rsidRPr="0035496A">
              <w:rPr>
                <w:b/>
                <w:bCs/>
                <w:sz w:val="20"/>
                <w:szCs w:val="20"/>
              </w:rPr>
              <w:t>Náklady</w:t>
            </w:r>
          </w:p>
        </w:tc>
        <w:tc>
          <w:tcPr>
            <w:tcW w:w="1770" w:type="dxa"/>
            <w:noWrap/>
            <w:vAlign w:val="center"/>
            <w:hideMark/>
          </w:tcPr>
          <w:p w:rsidR="006031E5" w:rsidRPr="0035496A" w:rsidP="0091248D" w14:paraId="12EA541C" w14:textId="77777777">
            <w:pPr>
              <w:spacing w:before="40" w:after="40" w:line="240" w:lineRule="auto"/>
              <w:jc w:val="center"/>
              <w:rPr>
                <w:b/>
                <w:bCs/>
                <w:sz w:val="20"/>
                <w:szCs w:val="20"/>
              </w:rPr>
            </w:pPr>
            <w:r w:rsidRPr="0035496A">
              <w:rPr>
                <w:b/>
                <w:bCs/>
                <w:sz w:val="20"/>
                <w:szCs w:val="20"/>
              </w:rPr>
              <w:t>Hodnocení</w:t>
            </w:r>
          </w:p>
        </w:tc>
      </w:tr>
      <w:tr w14:paraId="271ED8FD" w14:textId="77777777" w:rsidTr="006031E5">
        <w:tblPrEx>
          <w:tblW w:w="0" w:type="auto"/>
          <w:tblLook w:val="04A0"/>
        </w:tblPrEx>
        <w:trPr>
          <w:trHeight w:val="504"/>
        </w:trPr>
        <w:tc>
          <w:tcPr>
            <w:tcW w:w="1420" w:type="dxa"/>
            <w:vMerge w:val="restart"/>
            <w:noWrap/>
            <w:vAlign w:val="center"/>
            <w:hideMark/>
          </w:tcPr>
          <w:p w:rsidR="006031E5" w:rsidRPr="0035496A" w:rsidP="0091248D" w14:paraId="773B8300" w14:textId="77777777">
            <w:pPr>
              <w:spacing w:before="40" w:after="40" w:line="240" w:lineRule="auto"/>
              <w:jc w:val="center"/>
              <w:rPr>
                <w:b/>
                <w:bCs/>
                <w:sz w:val="20"/>
                <w:szCs w:val="20"/>
              </w:rPr>
            </w:pPr>
            <w:r w:rsidRPr="0035496A">
              <w:rPr>
                <w:b/>
                <w:bCs/>
                <w:sz w:val="20"/>
                <w:szCs w:val="20"/>
              </w:rPr>
              <w:t>Varianta 0</w:t>
            </w:r>
          </w:p>
        </w:tc>
        <w:tc>
          <w:tcPr>
            <w:tcW w:w="7571" w:type="dxa"/>
            <w:gridSpan w:val="4"/>
            <w:vAlign w:val="center"/>
            <w:hideMark/>
          </w:tcPr>
          <w:p w:rsidR="006031E5" w:rsidRPr="0035496A" w:rsidP="0091248D" w14:paraId="411D9661" w14:textId="77777777">
            <w:pPr>
              <w:spacing w:before="40" w:after="40" w:line="240" w:lineRule="auto"/>
              <w:jc w:val="center"/>
              <w:rPr>
                <w:b/>
                <w:bCs/>
                <w:sz w:val="20"/>
                <w:szCs w:val="20"/>
              </w:rPr>
            </w:pPr>
            <w:r w:rsidRPr="0035496A">
              <w:rPr>
                <w:b/>
                <w:bCs/>
                <w:sz w:val="20"/>
                <w:szCs w:val="20"/>
              </w:rPr>
              <w:t>Státní rozpočet a ostatní veřejné rozpočty</w:t>
            </w:r>
          </w:p>
        </w:tc>
      </w:tr>
      <w:tr w14:paraId="075A3285" w14:textId="77777777" w:rsidTr="0091248D">
        <w:tblPrEx>
          <w:tblW w:w="0" w:type="auto"/>
          <w:tblLook w:val="04A0"/>
        </w:tblPrEx>
        <w:trPr>
          <w:trHeight w:val="184"/>
        </w:trPr>
        <w:tc>
          <w:tcPr>
            <w:tcW w:w="1420" w:type="dxa"/>
            <w:vMerge/>
            <w:vAlign w:val="center"/>
            <w:hideMark/>
          </w:tcPr>
          <w:p w:rsidR="006031E5" w:rsidRPr="0035496A" w:rsidP="0091248D" w14:paraId="65771BE7" w14:textId="77777777">
            <w:pPr>
              <w:spacing w:before="40" w:after="40" w:line="240" w:lineRule="auto"/>
              <w:jc w:val="center"/>
              <w:rPr>
                <w:b/>
                <w:bCs/>
                <w:sz w:val="20"/>
                <w:szCs w:val="20"/>
              </w:rPr>
            </w:pPr>
          </w:p>
        </w:tc>
        <w:tc>
          <w:tcPr>
            <w:tcW w:w="2264" w:type="dxa"/>
            <w:vAlign w:val="center"/>
            <w:hideMark/>
          </w:tcPr>
          <w:p w:rsidR="006031E5" w:rsidRPr="0035496A" w:rsidP="0091248D" w14:paraId="25765D63" w14:textId="47C5ED23">
            <w:pPr>
              <w:spacing w:before="40" w:after="40" w:line="240" w:lineRule="auto"/>
              <w:jc w:val="center"/>
              <w:rPr>
                <w:sz w:val="20"/>
                <w:szCs w:val="20"/>
              </w:rPr>
            </w:pPr>
            <w:r>
              <w:rPr>
                <w:sz w:val="20"/>
                <w:szCs w:val="20"/>
              </w:rPr>
              <w:t>-</w:t>
            </w:r>
          </w:p>
        </w:tc>
        <w:tc>
          <w:tcPr>
            <w:tcW w:w="1459" w:type="dxa"/>
            <w:vAlign w:val="center"/>
            <w:hideMark/>
          </w:tcPr>
          <w:p w:rsidR="006031E5" w:rsidRPr="0035496A" w:rsidP="0091248D" w14:paraId="48E96B17" w14:textId="0F2721F9">
            <w:pPr>
              <w:spacing w:before="40" w:after="40" w:line="240" w:lineRule="auto"/>
              <w:jc w:val="center"/>
              <w:rPr>
                <w:sz w:val="20"/>
                <w:szCs w:val="20"/>
              </w:rPr>
            </w:pPr>
            <w:r>
              <w:rPr>
                <w:sz w:val="20"/>
                <w:szCs w:val="20"/>
              </w:rPr>
              <w:t>-</w:t>
            </w:r>
          </w:p>
        </w:tc>
        <w:tc>
          <w:tcPr>
            <w:tcW w:w="2078" w:type="dxa"/>
            <w:vAlign w:val="center"/>
          </w:tcPr>
          <w:p w:rsidR="006031E5" w:rsidRPr="0035496A" w:rsidP="0091248D" w14:paraId="3DBE402D" w14:textId="6B4F0128">
            <w:pPr>
              <w:spacing w:before="40" w:after="40" w:line="240" w:lineRule="auto"/>
              <w:jc w:val="center"/>
              <w:rPr>
                <w:sz w:val="20"/>
                <w:szCs w:val="20"/>
              </w:rPr>
            </w:pPr>
            <w:r>
              <w:rPr>
                <w:sz w:val="20"/>
                <w:szCs w:val="20"/>
              </w:rPr>
              <w:t>-</w:t>
            </w:r>
          </w:p>
        </w:tc>
        <w:tc>
          <w:tcPr>
            <w:tcW w:w="1770" w:type="dxa"/>
            <w:vAlign w:val="center"/>
          </w:tcPr>
          <w:p w:rsidR="006031E5" w:rsidRPr="0035496A" w:rsidP="0091248D" w14:paraId="46B0CAA0" w14:textId="50EC421B">
            <w:pPr>
              <w:spacing w:before="40" w:after="40" w:line="240" w:lineRule="auto"/>
              <w:jc w:val="center"/>
              <w:rPr>
                <w:sz w:val="20"/>
                <w:szCs w:val="20"/>
              </w:rPr>
            </w:pPr>
            <w:r>
              <w:rPr>
                <w:sz w:val="20"/>
                <w:szCs w:val="20"/>
              </w:rPr>
              <w:t>-</w:t>
            </w:r>
          </w:p>
        </w:tc>
      </w:tr>
      <w:tr w14:paraId="6BF7D818" w14:textId="77777777" w:rsidTr="006031E5">
        <w:tblPrEx>
          <w:tblW w:w="0" w:type="auto"/>
          <w:tblLook w:val="04A0"/>
        </w:tblPrEx>
        <w:trPr>
          <w:trHeight w:val="504"/>
        </w:trPr>
        <w:tc>
          <w:tcPr>
            <w:tcW w:w="1420" w:type="dxa"/>
            <w:vMerge/>
            <w:vAlign w:val="center"/>
            <w:hideMark/>
          </w:tcPr>
          <w:p w:rsidR="006031E5" w:rsidRPr="0035496A" w:rsidP="0091248D" w14:paraId="2A50DC5A"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7B223FD5" w14:textId="77777777">
            <w:pPr>
              <w:spacing w:before="40" w:after="40" w:line="240" w:lineRule="auto"/>
              <w:jc w:val="center"/>
              <w:rPr>
                <w:b/>
                <w:bCs/>
                <w:sz w:val="20"/>
                <w:szCs w:val="20"/>
              </w:rPr>
            </w:pPr>
            <w:r w:rsidRPr="0035496A">
              <w:rPr>
                <w:b/>
                <w:bCs/>
                <w:sz w:val="20"/>
                <w:szCs w:val="20"/>
              </w:rPr>
              <w:t>Podnikatelské subjekty</w:t>
            </w:r>
          </w:p>
        </w:tc>
      </w:tr>
      <w:tr w14:paraId="4500F598" w14:textId="77777777" w:rsidTr="006031E5">
        <w:tblPrEx>
          <w:tblW w:w="0" w:type="auto"/>
          <w:tblLook w:val="04A0"/>
        </w:tblPrEx>
        <w:trPr>
          <w:trHeight w:val="900"/>
        </w:trPr>
        <w:tc>
          <w:tcPr>
            <w:tcW w:w="1420" w:type="dxa"/>
            <w:vMerge/>
            <w:vAlign w:val="center"/>
            <w:hideMark/>
          </w:tcPr>
          <w:p w:rsidR="006031E5" w:rsidRPr="0035496A" w:rsidP="0091248D" w14:paraId="1E2A0B87" w14:textId="77777777">
            <w:pPr>
              <w:spacing w:before="40" w:after="40" w:line="240" w:lineRule="auto"/>
              <w:jc w:val="center"/>
              <w:rPr>
                <w:b/>
                <w:bCs/>
                <w:sz w:val="20"/>
                <w:szCs w:val="20"/>
              </w:rPr>
            </w:pPr>
          </w:p>
        </w:tc>
        <w:tc>
          <w:tcPr>
            <w:tcW w:w="2264" w:type="dxa"/>
            <w:vAlign w:val="center"/>
          </w:tcPr>
          <w:p w:rsidR="006031E5" w:rsidRPr="0035496A" w:rsidP="0091248D" w14:paraId="4E0908CB" w14:textId="77777777">
            <w:pPr>
              <w:spacing w:before="40" w:after="40" w:line="240" w:lineRule="auto"/>
              <w:jc w:val="center"/>
              <w:rPr>
                <w:sz w:val="20"/>
                <w:szCs w:val="20"/>
              </w:rPr>
            </w:pPr>
            <w:r w:rsidRPr="0035496A">
              <w:rPr>
                <w:rFonts w:eastAsia="Times New Roman"/>
                <w:bCs/>
                <w:sz w:val="20"/>
                <w:szCs w:val="20"/>
                <w:lang w:eastAsia="cs-CZ"/>
              </w:rPr>
              <w:t>Výrobci Li-baterií – nemají povinnost ZO „svých“ baterií</w:t>
            </w:r>
          </w:p>
        </w:tc>
        <w:tc>
          <w:tcPr>
            <w:tcW w:w="1459" w:type="dxa"/>
            <w:noWrap/>
            <w:vAlign w:val="center"/>
          </w:tcPr>
          <w:p w:rsidR="006031E5" w:rsidRPr="0035496A" w:rsidP="0091248D" w14:paraId="4BA329EA"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4D8BCB80" w14:textId="77777777">
            <w:pPr>
              <w:spacing w:before="40" w:after="40" w:line="240" w:lineRule="auto"/>
              <w:jc w:val="center"/>
              <w:rPr>
                <w:sz w:val="20"/>
                <w:szCs w:val="20"/>
              </w:rPr>
            </w:pPr>
            <w:r w:rsidRPr="0035496A">
              <w:rPr>
                <w:sz w:val="20"/>
                <w:szCs w:val="20"/>
              </w:rPr>
              <w:t>Riziko freeridingu</w:t>
            </w:r>
          </w:p>
        </w:tc>
        <w:tc>
          <w:tcPr>
            <w:tcW w:w="1770" w:type="dxa"/>
            <w:noWrap/>
            <w:vAlign w:val="center"/>
          </w:tcPr>
          <w:p w:rsidR="006031E5" w:rsidRPr="0035496A" w:rsidP="0091248D" w14:paraId="070AD102" w14:textId="77777777">
            <w:pPr>
              <w:spacing w:before="40" w:after="40" w:line="240" w:lineRule="auto"/>
              <w:jc w:val="center"/>
              <w:rPr>
                <w:sz w:val="20"/>
                <w:szCs w:val="20"/>
              </w:rPr>
            </w:pPr>
            <w:r w:rsidRPr="0035496A">
              <w:rPr>
                <w:sz w:val="20"/>
                <w:szCs w:val="20"/>
              </w:rPr>
              <w:t>*****</w:t>
            </w:r>
          </w:p>
        </w:tc>
      </w:tr>
      <w:tr w14:paraId="2EBC83A0" w14:textId="77777777" w:rsidTr="006031E5">
        <w:tblPrEx>
          <w:tblW w:w="0" w:type="auto"/>
          <w:tblLook w:val="04A0"/>
        </w:tblPrEx>
        <w:trPr>
          <w:trHeight w:val="900"/>
        </w:trPr>
        <w:tc>
          <w:tcPr>
            <w:tcW w:w="1420" w:type="dxa"/>
            <w:vMerge/>
            <w:vAlign w:val="center"/>
          </w:tcPr>
          <w:p w:rsidR="006031E5" w:rsidRPr="0035496A" w:rsidP="0091248D" w14:paraId="50DAA714" w14:textId="77777777">
            <w:pPr>
              <w:spacing w:before="40" w:after="40" w:line="240" w:lineRule="auto"/>
              <w:jc w:val="center"/>
              <w:rPr>
                <w:b/>
                <w:bCs/>
                <w:sz w:val="20"/>
                <w:szCs w:val="20"/>
              </w:rPr>
            </w:pPr>
          </w:p>
        </w:tc>
        <w:tc>
          <w:tcPr>
            <w:tcW w:w="2264" w:type="dxa"/>
            <w:vAlign w:val="center"/>
          </w:tcPr>
          <w:p w:rsidR="006031E5" w:rsidRPr="0035496A" w:rsidP="0091248D" w14:paraId="6F488274" w14:textId="77777777">
            <w:pPr>
              <w:spacing w:before="40" w:after="40" w:line="240" w:lineRule="auto"/>
              <w:jc w:val="center"/>
              <w:rPr>
                <w:rFonts w:eastAsia="Times New Roman"/>
                <w:bCs/>
                <w:sz w:val="20"/>
                <w:szCs w:val="20"/>
                <w:lang w:eastAsia="cs-CZ"/>
              </w:rPr>
            </w:pPr>
          </w:p>
        </w:tc>
        <w:tc>
          <w:tcPr>
            <w:tcW w:w="1459" w:type="dxa"/>
            <w:noWrap/>
            <w:vAlign w:val="center"/>
          </w:tcPr>
          <w:p w:rsidR="006031E5" w:rsidRPr="0035496A" w:rsidP="0091248D" w14:paraId="4BC19453" w14:textId="77777777">
            <w:pPr>
              <w:spacing w:before="40" w:after="40" w:line="240" w:lineRule="auto"/>
              <w:jc w:val="center"/>
              <w:rPr>
                <w:sz w:val="20"/>
                <w:szCs w:val="20"/>
              </w:rPr>
            </w:pPr>
          </w:p>
        </w:tc>
        <w:tc>
          <w:tcPr>
            <w:tcW w:w="2078" w:type="dxa"/>
            <w:vAlign w:val="center"/>
          </w:tcPr>
          <w:p w:rsidR="006031E5" w:rsidRPr="0035496A" w:rsidP="0091248D" w14:paraId="5C641B7A" w14:textId="77777777">
            <w:pPr>
              <w:spacing w:before="40" w:after="40" w:line="240" w:lineRule="auto"/>
              <w:jc w:val="center"/>
              <w:rPr>
                <w:sz w:val="20"/>
                <w:szCs w:val="20"/>
              </w:rPr>
            </w:pPr>
            <w:r w:rsidRPr="0035496A">
              <w:rPr>
                <w:sz w:val="20"/>
                <w:szCs w:val="20"/>
              </w:rPr>
              <w:t xml:space="preserve">Chybí budoucí finanční zajištění ZO Li-baterií – přenášení nákladů na jiné výrobce </w:t>
            </w:r>
          </w:p>
        </w:tc>
        <w:tc>
          <w:tcPr>
            <w:tcW w:w="1770" w:type="dxa"/>
            <w:noWrap/>
            <w:vAlign w:val="center"/>
          </w:tcPr>
          <w:p w:rsidR="006031E5" w:rsidRPr="0035496A" w:rsidP="0091248D" w14:paraId="077F03AC" w14:textId="77777777">
            <w:pPr>
              <w:spacing w:before="40" w:after="40" w:line="240" w:lineRule="auto"/>
              <w:jc w:val="center"/>
              <w:rPr>
                <w:sz w:val="20"/>
                <w:szCs w:val="20"/>
              </w:rPr>
            </w:pPr>
            <w:r w:rsidRPr="0035496A">
              <w:rPr>
                <w:sz w:val="20"/>
                <w:szCs w:val="20"/>
              </w:rPr>
              <w:t>****</w:t>
            </w:r>
          </w:p>
        </w:tc>
      </w:tr>
      <w:tr w14:paraId="48CE7C50" w14:textId="77777777" w:rsidTr="006031E5">
        <w:tblPrEx>
          <w:tblW w:w="0" w:type="auto"/>
          <w:tblLook w:val="04A0"/>
        </w:tblPrEx>
        <w:trPr>
          <w:trHeight w:val="424"/>
        </w:trPr>
        <w:tc>
          <w:tcPr>
            <w:tcW w:w="1420" w:type="dxa"/>
            <w:vMerge/>
            <w:vAlign w:val="center"/>
          </w:tcPr>
          <w:p w:rsidR="006031E5" w:rsidRPr="0035496A" w:rsidP="0091248D" w14:paraId="11125610" w14:textId="77777777">
            <w:pPr>
              <w:spacing w:before="40" w:after="40" w:line="240" w:lineRule="auto"/>
              <w:jc w:val="center"/>
              <w:rPr>
                <w:b/>
                <w:bCs/>
                <w:sz w:val="20"/>
                <w:szCs w:val="20"/>
              </w:rPr>
            </w:pPr>
          </w:p>
        </w:tc>
        <w:tc>
          <w:tcPr>
            <w:tcW w:w="7571" w:type="dxa"/>
            <w:gridSpan w:val="4"/>
            <w:vAlign w:val="center"/>
          </w:tcPr>
          <w:p w:rsidR="006031E5" w:rsidRPr="0035496A" w:rsidP="0091248D" w14:paraId="077C5B7D" w14:textId="77777777">
            <w:pPr>
              <w:spacing w:before="40" w:after="40" w:line="240" w:lineRule="auto"/>
              <w:jc w:val="center"/>
              <w:rPr>
                <w:sz w:val="20"/>
                <w:szCs w:val="20"/>
              </w:rPr>
            </w:pPr>
            <w:r w:rsidRPr="0035496A">
              <w:rPr>
                <w:b/>
                <w:bCs/>
                <w:sz w:val="20"/>
                <w:szCs w:val="20"/>
              </w:rPr>
              <w:t>Územní samosprávné celky (obce, kraje)</w:t>
            </w:r>
          </w:p>
        </w:tc>
      </w:tr>
      <w:tr w14:paraId="4081002C" w14:textId="77777777" w:rsidTr="0091248D">
        <w:tblPrEx>
          <w:tblW w:w="0" w:type="auto"/>
          <w:tblLook w:val="04A0"/>
        </w:tblPrEx>
        <w:trPr>
          <w:trHeight w:val="380"/>
        </w:trPr>
        <w:tc>
          <w:tcPr>
            <w:tcW w:w="1420" w:type="dxa"/>
            <w:vMerge/>
            <w:vAlign w:val="center"/>
          </w:tcPr>
          <w:p w:rsidR="006031E5" w:rsidRPr="0035496A" w:rsidP="0091248D" w14:paraId="3483E1DB" w14:textId="77777777">
            <w:pPr>
              <w:spacing w:before="40" w:after="40" w:line="240" w:lineRule="auto"/>
              <w:jc w:val="center"/>
              <w:rPr>
                <w:b/>
                <w:bCs/>
                <w:sz w:val="20"/>
                <w:szCs w:val="20"/>
              </w:rPr>
            </w:pPr>
          </w:p>
        </w:tc>
        <w:tc>
          <w:tcPr>
            <w:tcW w:w="2264" w:type="dxa"/>
            <w:vAlign w:val="center"/>
          </w:tcPr>
          <w:p w:rsidR="006031E5" w:rsidRPr="0035496A" w:rsidP="0091248D" w14:paraId="427C4B67" w14:textId="77777777">
            <w:pPr>
              <w:spacing w:before="40" w:after="40" w:line="240" w:lineRule="auto"/>
              <w:jc w:val="center"/>
              <w:rPr>
                <w:sz w:val="20"/>
                <w:szCs w:val="20"/>
              </w:rPr>
            </w:pPr>
            <w:r w:rsidRPr="0035496A">
              <w:rPr>
                <w:sz w:val="20"/>
                <w:szCs w:val="20"/>
              </w:rPr>
              <w:t>-</w:t>
            </w:r>
          </w:p>
        </w:tc>
        <w:tc>
          <w:tcPr>
            <w:tcW w:w="1459" w:type="dxa"/>
            <w:noWrap/>
            <w:vAlign w:val="center"/>
          </w:tcPr>
          <w:p w:rsidR="006031E5" w:rsidRPr="0035496A" w:rsidP="0091248D" w14:paraId="356574C7"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103DBF47" w14:textId="77777777">
            <w:pPr>
              <w:spacing w:before="40" w:after="40" w:line="240" w:lineRule="auto"/>
              <w:jc w:val="center"/>
              <w:rPr>
                <w:sz w:val="20"/>
                <w:szCs w:val="20"/>
              </w:rPr>
            </w:pPr>
            <w:r w:rsidRPr="0035496A">
              <w:rPr>
                <w:sz w:val="20"/>
                <w:szCs w:val="20"/>
              </w:rPr>
              <w:t>-</w:t>
            </w:r>
          </w:p>
        </w:tc>
        <w:tc>
          <w:tcPr>
            <w:tcW w:w="1770" w:type="dxa"/>
            <w:noWrap/>
            <w:vAlign w:val="center"/>
          </w:tcPr>
          <w:p w:rsidR="006031E5" w:rsidRPr="0035496A" w:rsidP="0091248D" w14:paraId="2BDFB720" w14:textId="77777777">
            <w:pPr>
              <w:spacing w:before="40" w:after="40" w:line="240" w:lineRule="auto"/>
              <w:jc w:val="center"/>
              <w:rPr>
                <w:sz w:val="20"/>
                <w:szCs w:val="20"/>
              </w:rPr>
            </w:pPr>
            <w:r w:rsidRPr="0035496A">
              <w:rPr>
                <w:sz w:val="20"/>
                <w:szCs w:val="20"/>
              </w:rPr>
              <w:t>-</w:t>
            </w:r>
          </w:p>
        </w:tc>
      </w:tr>
      <w:tr w14:paraId="42A9CE88" w14:textId="77777777" w:rsidTr="006031E5">
        <w:tblPrEx>
          <w:tblW w:w="0" w:type="auto"/>
          <w:tblLook w:val="04A0"/>
        </w:tblPrEx>
        <w:trPr>
          <w:trHeight w:val="422"/>
        </w:trPr>
        <w:tc>
          <w:tcPr>
            <w:tcW w:w="1420" w:type="dxa"/>
            <w:vMerge/>
            <w:vAlign w:val="center"/>
          </w:tcPr>
          <w:p w:rsidR="006031E5" w:rsidRPr="0035496A" w:rsidP="0091248D" w14:paraId="2FF05EA5" w14:textId="77777777">
            <w:pPr>
              <w:spacing w:before="40" w:after="40" w:line="240" w:lineRule="auto"/>
              <w:jc w:val="center"/>
              <w:rPr>
                <w:b/>
                <w:bCs/>
                <w:sz w:val="20"/>
                <w:szCs w:val="20"/>
              </w:rPr>
            </w:pPr>
          </w:p>
        </w:tc>
        <w:tc>
          <w:tcPr>
            <w:tcW w:w="7571" w:type="dxa"/>
            <w:gridSpan w:val="4"/>
            <w:vAlign w:val="center"/>
          </w:tcPr>
          <w:p w:rsidR="006031E5" w:rsidRPr="0035496A" w:rsidP="0091248D" w14:paraId="336B9E6F" w14:textId="77777777">
            <w:pPr>
              <w:spacing w:before="40" w:after="40" w:line="240" w:lineRule="auto"/>
              <w:jc w:val="center"/>
              <w:rPr>
                <w:sz w:val="20"/>
                <w:szCs w:val="20"/>
              </w:rPr>
            </w:pPr>
            <w:r w:rsidRPr="0035496A">
              <w:rPr>
                <w:b/>
                <w:bCs/>
                <w:sz w:val="20"/>
                <w:szCs w:val="20"/>
              </w:rPr>
              <w:t>Sociální dopady</w:t>
            </w:r>
          </w:p>
        </w:tc>
      </w:tr>
      <w:tr w14:paraId="36C195E1" w14:textId="77777777" w:rsidTr="0091248D">
        <w:tblPrEx>
          <w:tblW w:w="0" w:type="auto"/>
          <w:tblLook w:val="04A0"/>
        </w:tblPrEx>
        <w:trPr>
          <w:trHeight w:val="378"/>
        </w:trPr>
        <w:tc>
          <w:tcPr>
            <w:tcW w:w="1420" w:type="dxa"/>
            <w:vMerge/>
            <w:vAlign w:val="center"/>
          </w:tcPr>
          <w:p w:rsidR="006031E5" w:rsidRPr="0035496A" w:rsidP="0091248D" w14:paraId="076518D1" w14:textId="77777777">
            <w:pPr>
              <w:spacing w:before="40" w:after="40" w:line="240" w:lineRule="auto"/>
              <w:jc w:val="center"/>
              <w:rPr>
                <w:b/>
                <w:bCs/>
                <w:sz w:val="20"/>
                <w:szCs w:val="20"/>
              </w:rPr>
            </w:pPr>
          </w:p>
        </w:tc>
        <w:tc>
          <w:tcPr>
            <w:tcW w:w="2264" w:type="dxa"/>
            <w:vAlign w:val="center"/>
          </w:tcPr>
          <w:p w:rsidR="006031E5" w:rsidRPr="0035496A" w:rsidP="0091248D" w14:paraId="4C75C27F" w14:textId="77777777">
            <w:pPr>
              <w:spacing w:before="40" w:after="40" w:line="240" w:lineRule="auto"/>
              <w:jc w:val="center"/>
              <w:rPr>
                <w:sz w:val="20"/>
                <w:szCs w:val="20"/>
              </w:rPr>
            </w:pPr>
            <w:r w:rsidRPr="0035496A">
              <w:rPr>
                <w:sz w:val="20"/>
                <w:szCs w:val="20"/>
              </w:rPr>
              <w:t>-</w:t>
            </w:r>
          </w:p>
        </w:tc>
        <w:tc>
          <w:tcPr>
            <w:tcW w:w="1459" w:type="dxa"/>
            <w:noWrap/>
            <w:vAlign w:val="center"/>
          </w:tcPr>
          <w:p w:rsidR="006031E5" w:rsidRPr="0035496A" w:rsidP="0091248D" w14:paraId="5CB3614B"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68A86E4F" w14:textId="77777777">
            <w:pPr>
              <w:spacing w:before="40" w:after="40" w:line="240" w:lineRule="auto"/>
              <w:jc w:val="center"/>
              <w:rPr>
                <w:sz w:val="20"/>
                <w:szCs w:val="20"/>
              </w:rPr>
            </w:pPr>
            <w:r w:rsidRPr="0035496A">
              <w:rPr>
                <w:sz w:val="20"/>
                <w:szCs w:val="20"/>
              </w:rPr>
              <w:t>-</w:t>
            </w:r>
          </w:p>
        </w:tc>
        <w:tc>
          <w:tcPr>
            <w:tcW w:w="1770" w:type="dxa"/>
            <w:noWrap/>
            <w:vAlign w:val="center"/>
          </w:tcPr>
          <w:p w:rsidR="006031E5" w:rsidRPr="0035496A" w:rsidP="0091248D" w14:paraId="209CB467" w14:textId="77777777">
            <w:pPr>
              <w:spacing w:before="40" w:after="40" w:line="240" w:lineRule="auto"/>
              <w:jc w:val="center"/>
              <w:rPr>
                <w:sz w:val="20"/>
                <w:szCs w:val="20"/>
              </w:rPr>
            </w:pPr>
            <w:r w:rsidRPr="0035496A">
              <w:rPr>
                <w:sz w:val="20"/>
                <w:szCs w:val="20"/>
              </w:rPr>
              <w:t>-</w:t>
            </w:r>
          </w:p>
        </w:tc>
      </w:tr>
      <w:tr w14:paraId="17B56EA1" w14:textId="77777777" w:rsidTr="006031E5">
        <w:tblPrEx>
          <w:tblW w:w="0" w:type="auto"/>
          <w:tblLook w:val="04A0"/>
        </w:tblPrEx>
        <w:trPr>
          <w:trHeight w:val="504"/>
        </w:trPr>
        <w:tc>
          <w:tcPr>
            <w:tcW w:w="1420" w:type="dxa"/>
            <w:vMerge/>
            <w:vAlign w:val="center"/>
            <w:hideMark/>
          </w:tcPr>
          <w:p w:rsidR="006031E5" w:rsidRPr="0035496A" w:rsidP="0091248D" w14:paraId="3B9FB700"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793C41CE" w14:textId="77777777">
            <w:pPr>
              <w:spacing w:before="40" w:after="40" w:line="240" w:lineRule="auto"/>
              <w:jc w:val="center"/>
              <w:rPr>
                <w:b/>
                <w:bCs/>
                <w:sz w:val="20"/>
                <w:szCs w:val="20"/>
              </w:rPr>
            </w:pPr>
            <w:r w:rsidRPr="0035496A">
              <w:rPr>
                <w:b/>
                <w:bCs/>
                <w:sz w:val="20"/>
                <w:szCs w:val="20"/>
              </w:rPr>
              <w:t>Životní prostředí</w:t>
            </w:r>
          </w:p>
        </w:tc>
      </w:tr>
      <w:tr w14:paraId="4B03E993" w14:textId="77777777" w:rsidTr="0091248D">
        <w:tblPrEx>
          <w:tblW w:w="0" w:type="auto"/>
          <w:tblLook w:val="04A0"/>
        </w:tblPrEx>
        <w:trPr>
          <w:trHeight w:val="1431"/>
        </w:trPr>
        <w:tc>
          <w:tcPr>
            <w:tcW w:w="1420" w:type="dxa"/>
            <w:vMerge/>
            <w:vAlign w:val="center"/>
            <w:hideMark/>
          </w:tcPr>
          <w:p w:rsidR="006031E5" w:rsidRPr="0035496A" w:rsidP="0091248D" w14:paraId="2661D475" w14:textId="77777777">
            <w:pPr>
              <w:spacing w:before="40" w:after="40" w:line="240" w:lineRule="auto"/>
              <w:jc w:val="center"/>
              <w:rPr>
                <w:b/>
                <w:bCs/>
                <w:sz w:val="20"/>
                <w:szCs w:val="20"/>
              </w:rPr>
            </w:pPr>
          </w:p>
        </w:tc>
        <w:tc>
          <w:tcPr>
            <w:tcW w:w="2264" w:type="dxa"/>
            <w:vAlign w:val="center"/>
            <w:hideMark/>
          </w:tcPr>
          <w:p w:rsidR="006031E5" w:rsidRPr="0035496A" w:rsidP="0091248D" w14:paraId="1220484D" w14:textId="77777777">
            <w:pPr>
              <w:spacing w:before="40" w:after="40" w:line="240" w:lineRule="auto"/>
              <w:jc w:val="center"/>
              <w:rPr>
                <w:sz w:val="20"/>
                <w:szCs w:val="20"/>
              </w:rPr>
            </w:pPr>
          </w:p>
        </w:tc>
        <w:tc>
          <w:tcPr>
            <w:tcW w:w="1459" w:type="dxa"/>
            <w:vAlign w:val="center"/>
            <w:hideMark/>
          </w:tcPr>
          <w:p w:rsidR="006031E5" w:rsidRPr="0035496A" w:rsidP="0091248D" w14:paraId="7B82637F" w14:textId="77777777">
            <w:pPr>
              <w:spacing w:before="40" w:after="40" w:line="240" w:lineRule="auto"/>
              <w:jc w:val="center"/>
              <w:rPr>
                <w:sz w:val="20"/>
                <w:szCs w:val="20"/>
              </w:rPr>
            </w:pPr>
          </w:p>
        </w:tc>
        <w:tc>
          <w:tcPr>
            <w:tcW w:w="2078" w:type="dxa"/>
            <w:vAlign w:val="center"/>
          </w:tcPr>
          <w:p w:rsidR="006031E5" w:rsidRPr="0035496A" w:rsidP="0091248D" w14:paraId="543001D0" w14:textId="21A0696F">
            <w:pPr>
              <w:spacing w:before="40" w:after="40" w:line="240" w:lineRule="auto"/>
              <w:jc w:val="center"/>
              <w:rPr>
                <w:sz w:val="20"/>
                <w:szCs w:val="20"/>
              </w:rPr>
            </w:pPr>
            <w:r w:rsidRPr="0035496A">
              <w:rPr>
                <w:color w:val="000000"/>
                <w:sz w:val="20"/>
                <w:szCs w:val="20"/>
              </w:rPr>
              <w:t>Riziko úniku nebezpečných látek obsažených v</w:t>
            </w:r>
            <w:r w:rsidR="0091248D">
              <w:rPr>
                <w:color w:val="000000"/>
                <w:sz w:val="20"/>
                <w:szCs w:val="20"/>
              </w:rPr>
              <w:t> Li-</w:t>
            </w:r>
            <w:r w:rsidRPr="0035496A">
              <w:rPr>
                <w:color w:val="000000"/>
                <w:sz w:val="20"/>
                <w:szCs w:val="20"/>
              </w:rPr>
              <w:t>bateriích a riziko kontaminace ŽP</w:t>
            </w:r>
          </w:p>
        </w:tc>
        <w:tc>
          <w:tcPr>
            <w:tcW w:w="1770" w:type="dxa"/>
            <w:vAlign w:val="center"/>
          </w:tcPr>
          <w:p w:rsidR="006031E5" w:rsidRPr="0035496A" w:rsidP="0091248D" w14:paraId="50C25A02" w14:textId="77777777">
            <w:pPr>
              <w:spacing w:before="40" w:after="40" w:line="240" w:lineRule="auto"/>
              <w:jc w:val="center"/>
              <w:rPr>
                <w:sz w:val="20"/>
                <w:szCs w:val="20"/>
              </w:rPr>
            </w:pPr>
            <w:r w:rsidRPr="0035496A">
              <w:rPr>
                <w:sz w:val="20"/>
                <w:szCs w:val="20"/>
              </w:rPr>
              <w:t>****</w:t>
            </w:r>
          </w:p>
        </w:tc>
      </w:tr>
      <w:tr w14:paraId="069FDC77" w14:textId="77777777" w:rsidTr="0091248D">
        <w:tblPrEx>
          <w:tblW w:w="0" w:type="auto"/>
          <w:tblLook w:val="04A0"/>
        </w:tblPrEx>
        <w:trPr>
          <w:trHeight w:val="402"/>
        </w:trPr>
        <w:tc>
          <w:tcPr>
            <w:tcW w:w="1420" w:type="dxa"/>
            <w:vMerge w:val="restart"/>
            <w:noWrap/>
            <w:vAlign w:val="center"/>
            <w:hideMark/>
          </w:tcPr>
          <w:p w:rsidR="006031E5" w:rsidRPr="0035496A" w:rsidP="0091248D" w14:paraId="702486FD" w14:textId="77777777">
            <w:pPr>
              <w:spacing w:before="40" w:after="40" w:line="240" w:lineRule="auto"/>
              <w:jc w:val="center"/>
              <w:rPr>
                <w:b/>
                <w:bCs/>
                <w:sz w:val="20"/>
                <w:szCs w:val="20"/>
              </w:rPr>
            </w:pPr>
            <w:r w:rsidRPr="0035496A">
              <w:rPr>
                <w:b/>
                <w:bCs/>
                <w:sz w:val="20"/>
                <w:szCs w:val="20"/>
              </w:rPr>
              <w:t>Varianta 1</w:t>
            </w:r>
          </w:p>
        </w:tc>
        <w:tc>
          <w:tcPr>
            <w:tcW w:w="7571" w:type="dxa"/>
            <w:gridSpan w:val="4"/>
            <w:vAlign w:val="center"/>
            <w:hideMark/>
          </w:tcPr>
          <w:p w:rsidR="006031E5" w:rsidRPr="0035496A" w:rsidP="0091248D" w14:paraId="445B88E7" w14:textId="77777777">
            <w:pPr>
              <w:spacing w:before="40" w:after="40" w:line="240" w:lineRule="auto"/>
              <w:jc w:val="center"/>
              <w:rPr>
                <w:b/>
                <w:bCs/>
                <w:sz w:val="20"/>
                <w:szCs w:val="20"/>
              </w:rPr>
            </w:pPr>
            <w:r w:rsidRPr="0035496A">
              <w:rPr>
                <w:b/>
                <w:bCs/>
                <w:sz w:val="20"/>
                <w:szCs w:val="20"/>
              </w:rPr>
              <w:t>Státní rozpočet a ostatní veřejné rozpočty</w:t>
            </w:r>
          </w:p>
        </w:tc>
      </w:tr>
      <w:tr w14:paraId="67767B65" w14:textId="77777777" w:rsidTr="006031E5">
        <w:tblPrEx>
          <w:tblW w:w="0" w:type="auto"/>
          <w:tblLook w:val="04A0"/>
        </w:tblPrEx>
        <w:trPr>
          <w:trHeight w:val="420"/>
        </w:trPr>
        <w:tc>
          <w:tcPr>
            <w:tcW w:w="1420" w:type="dxa"/>
            <w:vMerge/>
            <w:vAlign w:val="center"/>
            <w:hideMark/>
          </w:tcPr>
          <w:p w:rsidR="006031E5" w:rsidRPr="0035496A" w:rsidP="0091248D" w14:paraId="3DD96CD7" w14:textId="77777777">
            <w:pPr>
              <w:spacing w:before="40" w:after="40" w:line="240" w:lineRule="auto"/>
              <w:jc w:val="center"/>
              <w:rPr>
                <w:b/>
                <w:bCs/>
                <w:sz w:val="20"/>
                <w:szCs w:val="20"/>
              </w:rPr>
            </w:pPr>
          </w:p>
        </w:tc>
        <w:tc>
          <w:tcPr>
            <w:tcW w:w="2264" w:type="dxa"/>
            <w:vAlign w:val="center"/>
          </w:tcPr>
          <w:p w:rsidR="006031E5" w:rsidRPr="0035496A" w:rsidP="0091248D" w14:paraId="59314301" w14:textId="12B0F947">
            <w:pPr>
              <w:spacing w:before="40" w:after="40" w:line="240" w:lineRule="auto"/>
              <w:jc w:val="center"/>
              <w:rPr>
                <w:sz w:val="20"/>
                <w:szCs w:val="20"/>
              </w:rPr>
            </w:pPr>
            <w:r>
              <w:rPr>
                <w:sz w:val="20"/>
                <w:szCs w:val="20"/>
              </w:rPr>
              <w:t>-</w:t>
            </w:r>
          </w:p>
        </w:tc>
        <w:tc>
          <w:tcPr>
            <w:tcW w:w="1459" w:type="dxa"/>
            <w:vAlign w:val="center"/>
          </w:tcPr>
          <w:p w:rsidR="006031E5" w:rsidRPr="0035496A" w:rsidP="0091248D" w14:paraId="51E46177" w14:textId="2A57C8C0">
            <w:pPr>
              <w:spacing w:before="40" w:after="40" w:line="240" w:lineRule="auto"/>
              <w:jc w:val="center"/>
              <w:rPr>
                <w:sz w:val="20"/>
                <w:szCs w:val="20"/>
              </w:rPr>
            </w:pPr>
            <w:r>
              <w:rPr>
                <w:sz w:val="20"/>
                <w:szCs w:val="20"/>
              </w:rPr>
              <w:t>-</w:t>
            </w:r>
          </w:p>
        </w:tc>
        <w:tc>
          <w:tcPr>
            <w:tcW w:w="2078" w:type="dxa"/>
            <w:vAlign w:val="center"/>
            <w:hideMark/>
          </w:tcPr>
          <w:p w:rsidR="006031E5" w:rsidRPr="0035496A" w:rsidP="0091248D" w14:paraId="417C05D8" w14:textId="04BD2AD2">
            <w:pPr>
              <w:spacing w:before="40" w:after="40" w:line="240" w:lineRule="auto"/>
              <w:jc w:val="center"/>
              <w:rPr>
                <w:sz w:val="20"/>
                <w:szCs w:val="20"/>
              </w:rPr>
            </w:pPr>
            <w:r>
              <w:rPr>
                <w:sz w:val="20"/>
                <w:szCs w:val="20"/>
              </w:rPr>
              <w:t>-</w:t>
            </w:r>
          </w:p>
        </w:tc>
        <w:tc>
          <w:tcPr>
            <w:tcW w:w="1770" w:type="dxa"/>
            <w:vAlign w:val="center"/>
            <w:hideMark/>
          </w:tcPr>
          <w:p w:rsidR="006031E5" w:rsidRPr="0035496A" w:rsidP="0091248D" w14:paraId="4DF913B9" w14:textId="68206F30">
            <w:pPr>
              <w:spacing w:before="40" w:after="40" w:line="240" w:lineRule="auto"/>
              <w:jc w:val="center"/>
              <w:rPr>
                <w:sz w:val="20"/>
                <w:szCs w:val="20"/>
              </w:rPr>
            </w:pPr>
            <w:r>
              <w:rPr>
                <w:sz w:val="20"/>
                <w:szCs w:val="20"/>
              </w:rPr>
              <w:t>-</w:t>
            </w:r>
          </w:p>
        </w:tc>
      </w:tr>
      <w:tr w14:paraId="4E18A17C" w14:textId="77777777" w:rsidTr="0091248D">
        <w:tblPrEx>
          <w:tblW w:w="0" w:type="auto"/>
          <w:tblLook w:val="04A0"/>
        </w:tblPrEx>
        <w:trPr>
          <w:trHeight w:val="414"/>
        </w:trPr>
        <w:tc>
          <w:tcPr>
            <w:tcW w:w="1420" w:type="dxa"/>
            <w:vMerge/>
            <w:vAlign w:val="center"/>
            <w:hideMark/>
          </w:tcPr>
          <w:p w:rsidR="006031E5" w:rsidRPr="0035496A" w:rsidP="0091248D" w14:paraId="4768ADB4"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15DCAE55" w14:textId="77777777">
            <w:pPr>
              <w:spacing w:before="40" w:after="40" w:line="240" w:lineRule="auto"/>
              <w:jc w:val="center"/>
              <w:rPr>
                <w:b/>
                <w:bCs/>
                <w:sz w:val="20"/>
                <w:szCs w:val="20"/>
              </w:rPr>
            </w:pPr>
            <w:r w:rsidRPr="0035496A">
              <w:rPr>
                <w:b/>
                <w:bCs/>
                <w:sz w:val="20"/>
                <w:szCs w:val="20"/>
              </w:rPr>
              <w:t>Podnikatelské subjekty</w:t>
            </w:r>
          </w:p>
        </w:tc>
      </w:tr>
      <w:tr w14:paraId="04676D19" w14:textId="77777777" w:rsidTr="006031E5">
        <w:tblPrEx>
          <w:tblW w:w="0" w:type="auto"/>
          <w:tblLook w:val="04A0"/>
        </w:tblPrEx>
        <w:trPr>
          <w:trHeight w:val="1136"/>
        </w:trPr>
        <w:tc>
          <w:tcPr>
            <w:tcW w:w="1420" w:type="dxa"/>
            <w:vMerge/>
            <w:vAlign w:val="center"/>
            <w:hideMark/>
          </w:tcPr>
          <w:p w:rsidR="006031E5" w:rsidRPr="0035496A" w:rsidP="0091248D" w14:paraId="21F7EB24" w14:textId="77777777">
            <w:pPr>
              <w:spacing w:before="40" w:after="40" w:line="240" w:lineRule="auto"/>
              <w:jc w:val="center"/>
              <w:rPr>
                <w:b/>
                <w:bCs/>
                <w:sz w:val="20"/>
                <w:szCs w:val="20"/>
              </w:rPr>
            </w:pPr>
          </w:p>
        </w:tc>
        <w:tc>
          <w:tcPr>
            <w:tcW w:w="2264" w:type="dxa"/>
            <w:vAlign w:val="center"/>
          </w:tcPr>
          <w:p w:rsidR="006031E5" w:rsidRPr="0035496A" w:rsidP="0091248D" w14:paraId="3F04766E" w14:textId="77777777">
            <w:pPr>
              <w:spacing w:before="40" w:after="40" w:line="240" w:lineRule="auto"/>
              <w:jc w:val="center"/>
              <w:rPr>
                <w:sz w:val="20"/>
                <w:szCs w:val="20"/>
              </w:rPr>
            </w:pPr>
            <w:r w:rsidRPr="0035496A">
              <w:rPr>
                <w:sz w:val="20"/>
                <w:szCs w:val="20"/>
              </w:rPr>
              <w:t>Omezení rizika freeridingu, sjednocení podmínek způsobu plnění povinností výrobců baterií a akumulátorů (KS vs. IS)</w:t>
            </w:r>
          </w:p>
        </w:tc>
        <w:tc>
          <w:tcPr>
            <w:tcW w:w="1459" w:type="dxa"/>
            <w:noWrap/>
            <w:vAlign w:val="center"/>
          </w:tcPr>
          <w:p w:rsidR="006031E5" w:rsidRPr="0035496A" w:rsidP="0091248D" w14:paraId="29403633"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1F6C0D02" w14:textId="77777777">
            <w:pPr>
              <w:spacing w:before="40" w:after="40" w:line="240" w:lineRule="auto"/>
              <w:jc w:val="center"/>
              <w:rPr>
                <w:sz w:val="20"/>
                <w:szCs w:val="20"/>
              </w:rPr>
            </w:pPr>
            <w:r w:rsidRPr="0035496A">
              <w:rPr>
                <w:sz w:val="20"/>
                <w:szCs w:val="20"/>
              </w:rPr>
              <w:t>Výrobci Li-baterií – náklady na finanční rezervu (kauci)</w:t>
            </w:r>
          </w:p>
        </w:tc>
        <w:tc>
          <w:tcPr>
            <w:tcW w:w="1770" w:type="dxa"/>
            <w:noWrap/>
            <w:vAlign w:val="center"/>
          </w:tcPr>
          <w:p w:rsidR="006031E5" w:rsidRPr="0035496A" w:rsidP="0091248D" w14:paraId="0F3BCE56" w14:textId="77777777">
            <w:pPr>
              <w:spacing w:before="40" w:after="40" w:line="240" w:lineRule="auto"/>
              <w:jc w:val="center"/>
              <w:rPr>
                <w:sz w:val="20"/>
                <w:szCs w:val="20"/>
              </w:rPr>
            </w:pPr>
            <w:r w:rsidRPr="0035496A">
              <w:rPr>
                <w:sz w:val="20"/>
                <w:szCs w:val="20"/>
              </w:rPr>
              <w:t>16,2 mil. Kč/rok</w:t>
            </w:r>
          </w:p>
        </w:tc>
      </w:tr>
      <w:tr w14:paraId="0547AC36" w14:textId="77777777" w:rsidTr="0091248D">
        <w:tblPrEx>
          <w:tblW w:w="0" w:type="auto"/>
          <w:tblLook w:val="04A0"/>
        </w:tblPrEx>
        <w:trPr>
          <w:trHeight w:val="369"/>
        </w:trPr>
        <w:tc>
          <w:tcPr>
            <w:tcW w:w="1420" w:type="dxa"/>
            <w:vMerge/>
            <w:vAlign w:val="center"/>
            <w:hideMark/>
          </w:tcPr>
          <w:p w:rsidR="006031E5" w:rsidRPr="0035496A" w:rsidP="0091248D" w14:paraId="0ED0FFDF"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02F4D2CD" w14:textId="77777777">
            <w:pPr>
              <w:spacing w:before="40" w:after="40" w:line="240" w:lineRule="auto"/>
              <w:jc w:val="center"/>
              <w:rPr>
                <w:b/>
                <w:bCs/>
                <w:sz w:val="20"/>
                <w:szCs w:val="20"/>
              </w:rPr>
            </w:pPr>
            <w:r w:rsidRPr="0035496A">
              <w:rPr>
                <w:b/>
                <w:bCs/>
                <w:sz w:val="20"/>
                <w:szCs w:val="20"/>
              </w:rPr>
              <w:t>Územní samosprávné celky (obce, kraje)</w:t>
            </w:r>
          </w:p>
        </w:tc>
      </w:tr>
      <w:tr w14:paraId="37F9933B" w14:textId="77777777" w:rsidTr="0091248D">
        <w:tblPrEx>
          <w:tblW w:w="0" w:type="auto"/>
          <w:tblLook w:val="04A0"/>
        </w:tblPrEx>
        <w:trPr>
          <w:trHeight w:val="438"/>
        </w:trPr>
        <w:tc>
          <w:tcPr>
            <w:tcW w:w="1420" w:type="dxa"/>
            <w:vMerge/>
            <w:vAlign w:val="center"/>
            <w:hideMark/>
          </w:tcPr>
          <w:p w:rsidR="006031E5" w:rsidRPr="0035496A" w:rsidP="0091248D" w14:paraId="29A64DC4" w14:textId="77777777">
            <w:pPr>
              <w:spacing w:before="40" w:after="40" w:line="240" w:lineRule="auto"/>
              <w:jc w:val="center"/>
              <w:rPr>
                <w:b/>
                <w:bCs/>
                <w:sz w:val="20"/>
                <w:szCs w:val="20"/>
              </w:rPr>
            </w:pPr>
          </w:p>
        </w:tc>
        <w:tc>
          <w:tcPr>
            <w:tcW w:w="2264" w:type="dxa"/>
            <w:vAlign w:val="center"/>
          </w:tcPr>
          <w:p w:rsidR="006031E5" w:rsidRPr="0035496A" w:rsidP="0091248D" w14:paraId="6C0220DF" w14:textId="77777777">
            <w:pPr>
              <w:spacing w:before="40" w:after="40" w:line="240" w:lineRule="auto"/>
              <w:jc w:val="center"/>
              <w:rPr>
                <w:sz w:val="20"/>
                <w:szCs w:val="20"/>
              </w:rPr>
            </w:pPr>
            <w:r w:rsidRPr="0035496A">
              <w:rPr>
                <w:sz w:val="20"/>
                <w:szCs w:val="20"/>
              </w:rPr>
              <w:t>-</w:t>
            </w:r>
          </w:p>
        </w:tc>
        <w:tc>
          <w:tcPr>
            <w:tcW w:w="1459" w:type="dxa"/>
            <w:noWrap/>
            <w:vAlign w:val="center"/>
          </w:tcPr>
          <w:p w:rsidR="006031E5" w:rsidRPr="0035496A" w:rsidP="0091248D" w14:paraId="28B40350" w14:textId="77777777">
            <w:pPr>
              <w:spacing w:before="40" w:after="40" w:line="240" w:lineRule="auto"/>
              <w:jc w:val="center"/>
              <w:rPr>
                <w:sz w:val="20"/>
                <w:szCs w:val="20"/>
              </w:rPr>
            </w:pPr>
            <w:r w:rsidRPr="0035496A">
              <w:rPr>
                <w:sz w:val="20"/>
                <w:szCs w:val="20"/>
              </w:rPr>
              <w:t>-</w:t>
            </w:r>
          </w:p>
        </w:tc>
        <w:tc>
          <w:tcPr>
            <w:tcW w:w="2078" w:type="dxa"/>
            <w:noWrap/>
            <w:vAlign w:val="center"/>
            <w:hideMark/>
          </w:tcPr>
          <w:p w:rsidR="006031E5" w:rsidRPr="0035496A" w:rsidP="0091248D" w14:paraId="1CEFCC56" w14:textId="77777777">
            <w:pPr>
              <w:spacing w:before="40" w:after="40" w:line="240" w:lineRule="auto"/>
              <w:jc w:val="center"/>
              <w:rPr>
                <w:sz w:val="20"/>
                <w:szCs w:val="20"/>
              </w:rPr>
            </w:pPr>
            <w:r w:rsidRPr="0035496A">
              <w:rPr>
                <w:sz w:val="20"/>
                <w:szCs w:val="20"/>
              </w:rPr>
              <w:t>-</w:t>
            </w:r>
          </w:p>
        </w:tc>
        <w:tc>
          <w:tcPr>
            <w:tcW w:w="1770" w:type="dxa"/>
            <w:noWrap/>
            <w:vAlign w:val="center"/>
            <w:hideMark/>
          </w:tcPr>
          <w:p w:rsidR="006031E5" w:rsidRPr="0035496A" w:rsidP="0091248D" w14:paraId="367EC287" w14:textId="77777777">
            <w:pPr>
              <w:spacing w:before="40" w:after="40" w:line="240" w:lineRule="auto"/>
              <w:jc w:val="center"/>
              <w:rPr>
                <w:sz w:val="20"/>
                <w:szCs w:val="20"/>
              </w:rPr>
            </w:pPr>
            <w:r w:rsidRPr="0035496A">
              <w:rPr>
                <w:sz w:val="20"/>
                <w:szCs w:val="20"/>
              </w:rPr>
              <w:t>-</w:t>
            </w:r>
          </w:p>
        </w:tc>
      </w:tr>
      <w:tr w14:paraId="013DC1DB" w14:textId="77777777" w:rsidTr="0091248D">
        <w:tblPrEx>
          <w:tblW w:w="0" w:type="auto"/>
          <w:tblLook w:val="04A0"/>
        </w:tblPrEx>
        <w:trPr>
          <w:trHeight w:val="368"/>
        </w:trPr>
        <w:tc>
          <w:tcPr>
            <w:tcW w:w="1420" w:type="dxa"/>
            <w:vMerge/>
            <w:vAlign w:val="center"/>
            <w:hideMark/>
          </w:tcPr>
          <w:p w:rsidR="006031E5" w:rsidRPr="0035496A" w:rsidP="0091248D" w14:paraId="7C91FE45"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07D493FB" w14:textId="77777777">
            <w:pPr>
              <w:spacing w:before="40" w:after="40" w:line="240" w:lineRule="auto"/>
              <w:jc w:val="center"/>
              <w:rPr>
                <w:b/>
                <w:bCs/>
                <w:sz w:val="20"/>
                <w:szCs w:val="20"/>
              </w:rPr>
            </w:pPr>
            <w:r w:rsidRPr="0035496A">
              <w:rPr>
                <w:b/>
                <w:bCs/>
                <w:sz w:val="20"/>
                <w:szCs w:val="20"/>
              </w:rPr>
              <w:t>Sociální dopady</w:t>
            </w:r>
          </w:p>
        </w:tc>
      </w:tr>
      <w:tr w14:paraId="62824BC7" w14:textId="77777777" w:rsidTr="0091248D">
        <w:tblPrEx>
          <w:tblW w:w="0" w:type="auto"/>
          <w:tblLook w:val="04A0"/>
        </w:tblPrEx>
        <w:trPr>
          <w:trHeight w:val="429"/>
        </w:trPr>
        <w:tc>
          <w:tcPr>
            <w:tcW w:w="1420" w:type="dxa"/>
            <w:vMerge/>
            <w:vAlign w:val="center"/>
            <w:hideMark/>
          </w:tcPr>
          <w:p w:rsidR="006031E5" w:rsidRPr="0035496A" w:rsidP="0091248D" w14:paraId="39428E7B" w14:textId="77777777">
            <w:pPr>
              <w:spacing w:before="40" w:after="40" w:line="240" w:lineRule="auto"/>
              <w:jc w:val="center"/>
              <w:rPr>
                <w:b/>
                <w:bCs/>
                <w:sz w:val="20"/>
                <w:szCs w:val="20"/>
              </w:rPr>
            </w:pPr>
          </w:p>
        </w:tc>
        <w:tc>
          <w:tcPr>
            <w:tcW w:w="2264" w:type="dxa"/>
            <w:vAlign w:val="center"/>
          </w:tcPr>
          <w:p w:rsidR="006031E5" w:rsidRPr="0035496A" w:rsidP="0091248D" w14:paraId="4960C6B2" w14:textId="77777777">
            <w:pPr>
              <w:spacing w:before="40" w:after="40" w:line="240" w:lineRule="auto"/>
              <w:jc w:val="center"/>
              <w:rPr>
                <w:sz w:val="20"/>
                <w:szCs w:val="20"/>
              </w:rPr>
            </w:pPr>
            <w:r w:rsidRPr="0035496A">
              <w:rPr>
                <w:sz w:val="20"/>
                <w:szCs w:val="20"/>
              </w:rPr>
              <w:t>-</w:t>
            </w:r>
          </w:p>
        </w:tc>
        <w:tc>
          <w:tcPr>
            <w:tcW w:w="1459" w:type="dxa"/>
            <w:vAlign w:val="center"/>
          </w:tcPr>
          <w:p w:rsidR="006031E5" w:rsidRPr="0035496A" w:rsidP="0091248D" w14:paraId="20B380F2"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21667512" w14:textId="77777777">
            <w:pPr>
              <w:spacing w:before="40" w:after="40" w:line="240" w:lineRule="auto"/>
              <w:jc w:val="center"/>
              <w:rPr>
                <w:sz w:val="20"/>
                <w:szCs w:val="20"/>
              </w:rPr>
            </w:pPr>
            <w:r w:rsidRPr="0035496A">
              <w:rPr>
                <w:sz w:val="20"/>
                <w:szCs w:val="20"/>
              </w:rPr>
              <w:t>-</w:t>
            </w:r>
          </w:p>
        </w:tc>
        <w:tc>
          <w:tcPr>
            <w:tcW w:w="1770" w:type="dxa"/>
            <w:vAlign w:val="center"/>
          </w:tcPr>
          <w:p w:rsidR="006031E5" w:rsidRPr="0035496A" w:rsidP="0091248D" w14:paraId="72A5ED02" w14:textId="77777777">
            <w:pPr>
              <w:spacing w:before="40" w:after="40" w:line="240" w:lineRule="auto"/>
              <w:jc w:val="center"/>
              <w:rPr>
                <w:sz w:val="20"/>
                <w:szCs w:val="20"/>
              </w:rPr>
            </w:pPr>
            <w:r w:rsidRPr="0035496A">
              <w:rPr>
                <w:sz w:val="20"/>
                <w:szCs w:val="20"/>
              </w:rPr>
              <w:t>-</w:t>
            </w:r>
          </w:p>
        </w:tc>
      </w:tr>
      <w:tr w14:paraId="2B08A644" w14:textId="77777777" w:rsidTr="0091248D">
        <w:tblPrEx>
          <w:tblW w:w="0" w:type="auto"/>
          <w:tblLook w:val="04A0"/>
        </w:tblPrEx>
        <w:trPr>
          <w:trHeight w:val="378"/>
        </w:trPr>
        <w:tc>
          <w:tcPr>
            <w:tcW w:w="1420" w:type="dxa"/>
            <w:vMerge/>
            <w:vAlign w:val="center"/>
            <w:hideMark/>
          </w:tcPr>
          <w:p w:rsidR="006031E5" w:rsidRPr="0035496A" w:rsidP="0091248D" w14:paraId="3BA1FA6B" w14:textId="77777777">
            <w:pPr>
              <w:spacing w:before="40" w:after="40" w:line="240" w:lineRule="auto"/>
              <w:jc w:val="center"/>
              <w:rPr>
                <w:b/>
                <w:bCs/>
                <w:sz w:val="20"/>
                <w:szCs w:val="20"/>
              </w:rPr>
            </w:pPr>
          </w:p>
        </w:tc>
        <w:tc>
          <w:tcPr>
            <w:tcW w:w="7571" w:type="dxa"/>
            <w:gridSpan w:val="4"/>
            <w:vAlign w:val="center"/>
            <w:hideMark/>
          </w:tcPr>
          <w:p w:rsidR="006031E5" w:rsidRPr="0035496A" w:rsidP="0091248D" w14:paraId="5010AEA4" w14:textId="77777777">
            <w:pPr>
              <w:spacing w:before="40" w:after="40" w:line="240" w:lineRule="auto"/>
              <w:jc w:val="center"/>
              <w:rPr>
                <w:b/>
                <w:bCs/>
                <w:sz w:val="20"/>
                <w:szCs w:val="20"/>
              </w:rPr>
            </w:pPr>
            <w:r w:rsidRPr="0035496A">
              <w:rPr>
                <w:b/>
                <w:bCs/>
                <w:sz w:val="20"/>
                <w:szCs w:val="20"/>
              </w:rPr>
              <w:t>Životní prostředí</w:t>
            </w:r>
          </w:p>
        </w:tc>
      </w:tr>
      <w:tr w14:paraId="541D7390" w14:textId="77777777" w:rsidTr="006031E5">
        <w:tblPrEx>
          <w:tblW w:w="0" w:type="auto"/>
          <w:tblLook w:val="04A0"/>
        </w:tblPrEx>
        <w:trPr>
          <w:trHeight w:val="688"/>
        </w:trPr>
        <w:tc>
          <w:tcPr>
            <w:tcW w:w="1420" w:type="dxa"/>
            <w:vMerge/>
            <w:vAlign w:val="center"/>
          </w:tcPr>
          <w:p w:rsidR="006031E5" w:rsidRPr="0035496A" w:rsidP="0091248D" w14:paraId="05DF4CA2" w14:textId="77777777">
            <w:pPr>
              <w:spacing w:before="40" w:after="40" w:line="240" w:lineRule="auto"/>
              <w:jc w:val="center"/>
              <w:rPr>
                <w:b/>
                <w:bCs/>
                <w:sz w:val="20"/>
                <w:szCs w:val="20"/>
              </w:rPr>
            </w:pPr>
          </w:p>
        </w:tc>
        <w:tc>
          <w:tcPr>
            <w:tcW w:w="2264" w:type="dxa"/>
            <w:vAlign w:val="center"/>
          </w:tcPr>
          <w:p w:rsidR="006031E5" w:rsidRPr="0035496A" w:rsidP="0091248D" w14:paraId="628B92BB" w14:textId="77777777">
            <w:pPr>
              <w:spacing w:before="40" w:after="40" w:line="240" w:lineRule="auto"/>
              <w:jc w:val="center"/>
              <w:rPr>
                <w:color w:val="000000"/>
                <w:sz w:val="20"/>
                <w:szCs w:val="20"/>
              </w:rPr>
            </w:pPr>
            <w:r w:rsidRPr="0035496A">
              <w:rPr>
                <w:color w:val="000000"/>
                <w:sz w:val="20"/>
                <w:szCs w:val="20"/>
              </w:rPr>
              <w:t>Snížení rizika úniku nebezpečných látek obsažených v Li-bateriích a kontaminace ŽP</w:t>
            </w:r>
          </w:p>
        </w:tc>
        <w:tc>
          <w:tcPr>
            <w:tcW w:w="1459" w:type="dxa"/>
            <w:vAlign w:val="center"/>
          </w:tcPr>
          <w:p w:rsidR="006031E5" w:rsidRPr="0035496A" w:rsidP="0091248D" w14:paraId="1F88EC66" w14:textId="77777777">
            <w:pPr>
              <w:spacing w:before="40" w:after="40" w:line="240" w:lineRule="auto"/>
              <w:jc w:val="center"/>
              <w:rPr>
                <w:sz w:val="20"/>
                <w:szCs w:val="20"/>
              </w:rPr>
            </w:pPr>
            <w:r w:rsidRPr="0035496A">
              <w:rPr>
                <w:sz w:val="20"/>
                <w:szCs w:val="20"/>
              </w:rPr>
              <w:t>***</w:t>
            </w:r>
          </w:p>
        </w:tc>
        <w:tc>
          <w:tcPr>
            <w:tcW w:w="2078" w:type="dxa"/>
            <w:vAlign w:val="center"/>
          </w:tcPr>
          <w:p w:rsidR="006031E5" w:rsidRPr="0035496A" w:rsidP="0091248D" w14:paraId="62E1BE13" w14:textId="77777777">
            <w:pPr>
              <w:spacing w:before="40" w:after="40" w:line="240" w:lineRule="auto"/>
              <w:jc w:val="center"/>
              <w:rPr>
                <w:sz w:val="20"/>
                <w:szCs w:val="20"/>
              </w:rPr>
            </w:pPr>
          </w:p>
        </w:tc>
        <w:tc>
          <w:tcPr>
            <w:tcW w:w="1770" w:type="dxa"/>
            <w:vAlign w:val="center"/>
          </w:tcPr>
          <w:p w:rsidR="006031E5" w:rsidRPr="0035496A" w:rsidP="0091248D" w14:paraId="0945C183" w14:textId="77777777">
            <w:pPr>
              <w:spacing w:before="40" w:after="40" w:line="240" w:lineRule="auto"/>
              <w:jc w:val="center"/>
              <w:rPr>
                <w:sz w:val="20"/>
                <w:szCs w:val="20"/>
              </w:rPr>
            </w:pPr>
          </w:p>
        </w:tc>
      </w:tr>
      <w:tr w14:paraId="3BD4FEFF" w14:textId="77777777" w:rsidTr="006031E5">
        <w:tblPrEx>
          <w:tblW w:w="0" w:type="auto"/>
          <w:tblLook w:val="04A0"/>
        </w:tblPrEx>
        <w:trPr>
          <w:trHeight w:val="688"/>
        </w:trPr>
        <w:tc>
          <w:tcPr>
            <w:tcW w:w="1420" w:type="dxa"/>
            <w:vMerge/>
            <w:vAlign w:val="center"/>
            <w:hideMark/>
          </w:tcPr>
          <w:p w:rsidR="006031E5" w:rsidRPr="0035496A" w:rsidP="0091248D" w14:paraId="08E74544" w14:textId="77777777">
            <w:pPr>
              <w:spacing w:before="40" w:after="40" w:line="240" w:lineRule="auto"/>
              <w:jc w:val="center"/>
              <w:rPr>
                <w:b/>
                <w:bCs/>
                <w:sz w:val="20"/>
                <w:szCs w:val="20"/>
              </w:rPr>
            </w:pPr>
          </w:p>
        </w:tc>
        <w:tc>
          <w:tcPr>
            <w:tcW w:w="2264" w:type="dxa"/>
            <w:vAlign w:val="center"/>
          </w:tcPr>
          <w:p w:rsidR="006031E5" w:rsidRPr="0035496A" w:rsidP="0091248D" w14:paraId="2B58EF09" w14:textId="77777777">
            <w:pPr>
              <w:spacing w:before="40" w:after="40" w:line="240" w:lineRule="auto"/>
              <w:jc w:val="center"/>
              <w:rPr>
                <w:sz w:val="20"/>
                <w:szCs w:val="20"/>
              </w:rPr>
            </w:pPr>
            <w:r w:rsidRPr="0035496A">
              <w:rPr>
                <w:color w:val="000000"/>
                <w:sz w:val="20"/>
                <w:szCs w:val="20"/>
              </w:rPr>
              <w:t>Úspora materiálů a energie při recyklaci</w:t>
            </w:r>
          </w:p>
        </w:tc>
        <w:tc>
          <w:tcPr>
            <w:tcW w:w="1459" w:type="dxa"/>
            <w:vAlign w:val="center"/>
          </w:tcPr>
          <w:p w:rsidR="006031E5" w:rsidRPr="0035496A" w:rsidP="0091248D" w14:paraId="0DD701FE" w14:textId="77777777">
            <w:pPr>
              <w:spacing w:before="40" w:after="40" w:line="240" w:lineRule="auto"/>
              <w:jc w:val="center"/>
              <w:rPr>
                <w:sz w:val="20"/>
                <w:szCs w:val="20"/>
              </w:rPr>
            </w:pPr>
            <w:r w:rsidRPr="0035496A">
              <w:rPr>
                <w:sz w:val="20"/>
                <w:szCs w:val="20"/>
              </w:rPr>
              <w:t>***</w:t>
            </w:r>
          </w:p>
        </w:tc>
        <w:tc>
          <w:tcPr>
            <w:tcW w:w="2078" w:type="dxa"/>
            <w:vAlign w:val="center"/>
            <w:hideMark/>
          </w:tcPr>
          <w:p w:rsidR="006031E5" w:rsidRPr="0035496A" w:rsidP="0091248D" w14:paraId="0C7418F6" w14:textId="77777777">
            <w:pPr>
              <w:spacing w:before="40" w:after="40" w:line="240" w:lineRule="auto"/>
              <w:jc w:val="center"/>
              <w:rPr>
                <w:sz w:val="20"/>
                <w:szCs w:val="20"/>
              </w:rPr>
            </w:pPr>
          </w:p>
        </w:tc>
        <w:tc>
          <w:tcPr>
            <w:tcW w:w="1770" w:type="dxa"/>
            <w:vAlign w:val="center"/>
            <w:hideMark/>
          </w:tcPr>
          <w:p w:rsidR="006031E5" w:rsidRPr="0035496A" w:rsidP="0091248D" w14:paraId="5CEE44DF" w14:textId="77777777">
            <w:pPr>
              <w:spacing w:before="40" w:after="40" w:line="240" w:lineRule="auto"/>
              <w:jc w:val="center"/>
              <w:rPr>
                <w:sz w:val="20"/>
                <w:szCs w:val="20"/>
              </w:rPr>
            </w:pPr>
          </w:p>
        </w:tc>
      </w:tr>
    </w:tbl>
    <w:p w:rsidR="006031E5" w:rsidP="006031E5" w14:paraId="75474A42" w14:textId="77777777">
      <w:pPr>
        <w:rPr>
          <w:sz w:val="20"/>
          <w:szCs w:val="20"/>
        </w:rPr>
      </w:pPr>
      <w:r w:rsidRPr="0035496A">
        <w:rPr>
          <w:sz w:val="20"/>
          <w:szCs w:val="20"/>
        </w:rPr>
        <w:t xml:space="preserve"> - bez dopadů, * velmi nízké, ** nízké, *** střední, **** vysoké, ***** velmi vysoké</w:t>
      </w:r>
    </w:p>
    <w:p w:rsidR="00304909" w:rsidRPr="00ED38E9" w:rsidP="0091248D" w14:paraId="4AF8CD12" w14:textId="77777777">
      <w:pPr>
        <w:pStyle w:val="Heading2"/>
        <w:spacing w:before="360"/>
        <w:ind w:left="578" w:hanging="578"/>
      </w:pPr>
      <w:r w:rsidRPr="00ED38E9">
        <w:t>Návrh řešení</w:t>
      </w:r>
    </w:p>
    <w:p w:rsidR="00304909" w:rsidRPr="00ED38E9" w:rsidP="00BF16B7" w14:paraId="45E0188F" w14:textId="77777777">
      <w:pPr>
        <w:pStyle w:val="Heading3"/>
      </w:pPr>
      <w:r w:rsidRPr="00ED38E9">
        <w:t>Stanovení pořadí variant a výběr nejvhodnějšího řešení</w:t>
      </w:r>
    </w:p>
    <w:p w:rsidR="00304909" w:rsidRPr="00ED38E9" w:rsidP="003C445B" w14:paraId="411B0ACE" w14:textId="77777777">
      <w:pPr>
        <w:numPr>
          <w:ilvl w:val="0"/>
          <w:numId w:val="37"/>
        </w:numPr>
        <w:spacing w:line="240" w:lineRule="auto"/>
        <w:ind w:left="714" w:hanging="357"/>
        <w:rPr>
          <w:rFonts w:cs="Arial"/>
          <w:b/>
          <w:bCs/>
          <w:noProof w:val="0"/>
          <w:lang w:bidi="ar-SA"/>
        </w:rPr>
      </w:pPr>
      <w:r w:rsidRPr="00ED38E9">
        <w:rPr>
          <w:rFonts w:cs="Arial"/>
          <w:b/>
          <w:bCs/>
          <w:noProof w:val="0"/>
          <w:lang w:bidi="ar-SA"/>
        </w:rPr>
        <w:t>Varianta 1</w:t>
      </w:r>
    </w:p>
    <w:p w:rsidR="00304909" w:rsidRPr="00ED38E9" w:rsidP="003C445B" w14:paraId="457A470B" w14:textId="77777777">
      <w:pPr>
        <w:numPr>
          <w:ilvl w:val="0"/>
          <w:numId w:val="37"/>
        </w:numPr>
        <w:spacing w:line="240" w:lineRule="auto"/>
        <w:ind w:left="714" w:hanging="357"/>
        <w:rPr>
          <w:rFonts w:cs="Arial"/>
          <w:noProof w:val="0"/>
          <w:lang w:bidi="ar-SA"/>
        </w:rPr>
      </w:pPr>
      <w:r w:rsidRPr="00ED38E9">
        <w:rPr>
          <w:rFonts w:cs="Arial"/>
          <w:noProof w:val="0"/>
          <w:lang w:bidi="ar-SA"/>
        </w:rPr>
        <w:t>Varianta 0</w:t>
      </w:r>
    </w:p>
    <w:p w:rsidR="000E29D5" w:rsidP="000E29D5" w14:paraId="7F045266" w14:textId="1B5D8512">
      <w:pPr>
        <w:spacing w:after="120"/>
        <w:rPr>
          <w:color w:val="000000"/>
        </w:rPr>
      </w:pPr>
      <w:r w:rsidRPr="000E29D5">
        <w:rPr>
          <w:rFonts w:cs="Arial"/>
        </w:rPr>
        <w:t xml:space="preserve">Z důvodu </w:t>
      </w:r>
      <w:r w:rsidRPr="000E29D5">
        <w:rPr>
          <w:rFonts w:cs="Arial"/>
          <w:bCs/>
          <w:szCs w:val="20"/>
          <w:lang w:eastAsia="cs-CZ"/>
        </w:rPr>
        <w:t xml:space="preserve">sjednocení podmínek pro výrobce průmyslových a automobilových Li-baterií a akumulátorů, kteří budou plnit zákonné povinnosti prostřednictvím KS nebo individuálně, </w:t>
      </w:r>
      <w:r w:rsidRPr="000E29D5">
        <w:rPr>
          <w:rFonts w:cs="Arial"/>
        </w:rPr>
        <w:t xml:space="preserve">doporučujeme přijmout Variantu 1, která zajistí </w:t>
      </w:r>
      <w:r w:rsidRPr="000E29D5">
        <w:rPr>
          <w:color w:val="000000"/>
        </w:rPr>
        <w:t xml:space="preserve">dostatečné množství finančních prostředků k pokrytí nákladů na </w:t>
      </w:r>
      <w:r w:rsidR="0091248D">
        <w:rPr>
          <w:color w:val="000000"/>
        </w:rPr>
        <w:t>ZO</w:t>
      </w:r>
      <w:r w:rsidRPr="000E29D5">
        <w:rPr>
          <w:color w:val="000000"/>
        </w:rPr>
        <w:t xml:space="preserve">, zpracování a využití nebo odstranění všech </w:t>
      </w:r>
      <w:r w:rsidR="0091248D">
        <w:rPr>
          <w:color w:val="000000"/>
        </w:rPr>
        <w:t>Li-</w:t>
      </w:r>
      <w:r w:rsidRPr="000E29D5">
        <w:rPr>
          <w:color w:val="000000"/>
        </w:rPr>
        <w:t>baterií a akumulátorů s ukončenou životností, které výrobce uvede na trh. Tím dojde ke snížení bezpečnostního rizika a zamezení budoucí ekologické i ekonomické zátěže způsobené nedostatečným finančním pokrytím optimálního nakládání s</w:t>
      </w:r>
      <w:r w:rsidR="0091248D">
        <w:rPr>
          <w:color w:val="000000"/>
        </w:rPr>
        <w:t> Li-</w:t>
      </w:r>
      <w:r w:rsidRPr="000E29D5">
        <w:rPr>
          <w:color w:val="000000"/>
        </w:rPr>
        <w:t>bateriemi a akumulátory.</w:t>
      </w:r>
    </w:p>
    <w:p w:rsidR="00BE1620" w:rsidP="000E29D5" w14:paraId="337AF6D1" w14:textId="77777777">
      <w:pPr>
        <w:spacing w:after="120"/>
        <w:rPr>
          <w:color w:val="000000"/>
        </w:rPr>
      </w:pPr>
    </w:p>
    <w:p w:rsidR="002573B1" w:rsidRPr="002573B1" w:rsidP="0039543B" w14:paraId="40E513EE" w14:textId="77777777">
      <w:pPr>
        <w:keepNext/>
        <w:spacing w:before="360" w:after="120"/>
        <w:jc w:val="center"/>
        <w:rPr>
          <w:b/>
          <w:color w:val="000000"/>
          <w:sz w:val="32"/>
          <w:szCs w:val="32"/>
          <w:u w:val="single"/>
        </w:rPr>
      </w:pPr>
      <w:r>
        <w:rPr>
          <w:b/>
          <w:color w:val="000000"/>
          <w:sz w:val="32"/>
          <w:szCs w:val="32"/>
          <w:u w:val="single"/>
        </w:rPr>
        <w:t xml:space="preserve">V. </w:t>
      </w:r>
      <w:r w:rsidRPr="002573B1">
        <w:rPr>
          <w:b/>
          <w:color w:val="000000"/>
          <w:sz w:val="32"/>
          <w:szCs w:val="32"/>
          <w:u w:val="single"/>
        </w:rPr>
        <w:t>Pneumatiky</w:t>
      </w:r>
    </w:p>
    <w:p w:rsidR="00DF0ADE" w:rsidRPr="00ED38E9" w:rsidP="00DF0ADE" w14:paraId="2F3A6622" w14:textId="58602673">
      <w:pPr>
        <w:pStyle w:val="Heading1"/>
      </w:pPr>
      <w:bookmarkStart w:id="217" w:name="_Toc441759930"/>
      <w:bookmarkStart w:id="218" w:name="_Toc14942098"/>
      <w:bookmarkStart w:id="219" w:name="_Toc256000024"/>
      <w:r>
        <w:t>Povinnosti výrobců pneumatik</w:t>
      </w:r>
      <w:bookmarkEnd w:id="217"/>
      <w:r>
        <w:t>, které jsou uváděny na trh jako součást či</w:t>
      </w:r>
      <w:r w:rsidR="00F068A9">
        <w:t> </w:t>
      </w:r>
      <w:r>
        <w:t xml:space="preserve">příslušenství funkčního celku </w:t>
      </w:r>
      <w:r w:rsidR="00614519">
        <w:t xml:space="preserve">(§ </w:t>
      </w:r>
      <w:r>
        <w:t>3 odst. 1, písm. l</w:t>
      </w:r>
      <w:r w:rsidR="005D7988">
        <w:t>)</w:t>
      </w:r>
      <w:bookmarkEnd w:id="219"/>
      <w:bookmarkEnd w:id="218"/>
    </w:p>
    <w:p w:rsidR="00DF0ADE" w:rsidRPr="00ED38E9" w:rsidP="00DF0ADE" w14:paraId="6E6CE391" w14:textId="77777777">
      <w:pPr>
        <w:pStyle w:val="Heading2"/>
      </w:pPr>
      <w:bookmarkStart w:id="220" w:name="_Toc441759931"/>
      <w:r w:rsidRPr="00ED38E9">
        <w:t>Důvod předložení a cíle</w:t>
      </w:r>
      <w:bookmarkEnd w:id="220"/>
    </w:p>
    <w:p w:rsidR="00DF0ADE" w:rsidRPr="00ED38E9" w:rsidP="00BF16B7" w14:paraId="62631AE0" w14:textId="77777777">
      <w:pPr>
        <w:pStyle w:val="Heading3"/>
      </w:pPr>
      <w:r w:rsidRPr="00ED38E9">
        <w:t>Definice problému</w:t>
      </w:r>
    </w:p>
    <w:p w:rsidR="00DF0ADE" w:rsidP="00DF0ADE" w14:paraId="0F0ADE1E" w14:textId="77777777">
      <w:pPr>
        <w:rPr>
          <w:rFonts w:cs="Arial"/>
        </w:rPr>
      </w:pPr>
      <w:r>
        <w:rPr>
          <w:rFonts w:cs="Arial"/>
        </w:rPr>
        <w:t>V současné době</w:t>
      </w:r>
      <w:r w:rsidRPr="00ED38E9">
        <w:rPr>
          <w:rFonts w:cs="Arial"/>
        </w:rPr>
        <w:t xml:space="preserve"> chybí v Č</w:t>
      </w:r>
      <w:r>
        <w:rPr>
          <w:rFonts w:cs="Arial"/>
        </w:rPr>
        <w:t>R</w:t>
      </w:r>
      <w:r w:rsidRPr="00ED38E9">
        <w:rPr>
          <w:rFonts w:cs="Arial"/>
        </w:rPr>
        <w:t xml:space="preserve"> systém toku </w:t>
      </w:r>
      <w:r>
        <w:rPr>
          <w:rFonts w:cs="Arial"/>
        </w:rPr>
        <w:t>příspěvků na zpětný odběr a zpracování odpadních pneumatik v případech, kdy povinná osoba dodává pneumatiky výrobcům funkčních celků (vozidel), které jsou určené k uvedení na trh mimo ČR</w:t>
      </w:r>
      <w:r w:rsidRPr="00ED38E9">
        <w:rPr>
          <w:rFonts w:cs="Arial"/>
        </w:rPr>
        <w:t xml:space="preserve">. V tomto případě je nutné nastavit toky </w:t>
      </w:r>
      <w:r>
        <w:rPr>
          <w:rFonts w:cs="Arial"/>
        </w:rPr>
        <w:t>příspěvků</w:t>
      </w:r>
      <w:r w:rsidRPr="00ED38E9">
        <w:rPr>
          <w:rFonts w:cs="Arial"/>
        </w:rPr>
        <w:t>, včetně povinností výrobců.</w:t>
      </w:r>
    </w:p>
    <w:p w:rsidR="00DF0ADE" w:rsidRPr="00ED38E9" w:rsidP="00BF16B7" w14:paraId="7503CEBE" w14:textId="77777777">
      <w:pPr>
        <w:pStyle w:val="Heading3"/>
      </w:pPr>
      <w:r w:rsidRPr="00ED38E9">
        <w:t>Popis existujícího právního stavu v dané oblasti</w:t>
      </w:r>
    </w:p>
    <w:p w:rsidR="00DF0ADE" w:rsidP="00DF0ADE" w14:paraId="2E1F481C" w14:textId="77777777">
      <w:pPr>
        <w:rPr>
          <w:rFonts w:cs="Arial"/>
        </w:rPr>
      </w:pPr>
      <w:r w:rsidRPr="00ED38E9">
        <w:rPr>
          <w:rFonts w:cs="Arial"/>
        </w:rPr>
        <w:t xml:space="preserve">Zákon o odpadech stanoví </w:t>
      </w:r>
      <w:r>
        <w:rPr>
          <w:rFonts w:cs="Arial"/>
        </w:rPr>
        <w:t>pro</w:t>
      </w:r>
      <w:r w:rsidRPr="00ED38E9">
        <w:rPr>
          <w:rFonts w:cs="Arial"/>
        </w:rPr>
        <w:t xml:space="preserve"> tzv. povinné osoby, kter</w:t>
      </w:r>
      <w:r>
        <w:rPr>
          <w:rFonts w:cs="Arial"/>
        </w:rPr>
        <w:t>é</w:t>
      </w:r>
      <w:r w:rsidRPr="00ED38E9">
        <w:rPr>
          <w:rFonts w:cs="Arial"/>
        </w:rPr>
        <w:t xml:space="preserve"> pneumatiky vyrábí nebo uvádí na trh v Č</w:t>
      </w:r>
      <w:r>
        <w:rPr>
          <w:rFonts w:cs="Arial"/>
        </w:rPr>
        <w:t>R</w:t>
      </w:r>
      <w:r w:rsidRPr="00ED38E9">
        <w:rPr>
          <w:rFonts w:cs="Arial"/>
        </w:rPr>
        <w:t xml:space="preserve"> povinnost</w:t>
      </w:r>
      <w:r>
        <w:rPr>
          <w:rFonts w:cs="Arial"/>
        </w:rPr>
        <w:t xml:space="preserve"> platit příspěvky na zpětný odběr a zpracování</w:t>
      </w:r>
      <w:r w:rsidRPr="00ED38E9">
        <w:rPr>
          <w:rFonts w:cs="Arial"/>
        </w:rPr>
        <w:t xml:space="preserve"> odpadních pneumatik</w:t>
      </w:r>
      <w:r>
        <w:rPr>
          <w:rFonts w:cs="Arial"/>
        </w:rPr>
        <w:t xml:space="preserve"> i v případě, kdy jsou pneumatiky dodávány výrobcům funkčních celků, které jsou určené k uvedení na trh mimo ČR</w:t>
      </w:r>
      <w:r w:rsidRPr="00ED38E9">
        <w:rPr>
          <w:rFonts w:cs="Arial"/>
        </w:rPr>
        <w:t>.</w:t>
      </w:r>
    </w:p>
    <w:p w:rsidR="00DF0ADE" w:rsidRPr="00ED38E9" w:rsidP="00BF16B7" w14:paraId="7C0C47CC" w14:textId="77777777">
      <w:pPr>
        <w:pStyle w:val="Heading3"/>
      </w:pPr>
      <w:r w:rsidRPr="00ED38E9">
        <w:t>Identifikace dotčených subjektů</w:t>
      </w:r>
    </w:p>
    <w:p w:rsidR="00DF0ADE" w:rsidRPr="00ED38E9" w:rsidP="003C445B" w14:paraId="7E2B5478" w14:textId="77777777">
      <w:pPr>
        <w:pStyle w:val="ListParagraph"/>
        <w:numPr>
          <w:ilvl w:val="0"/>
          <w:numId w:val="12"/>
        </w:numPr>
        <w:contextualSpacing w:val="0"/>
        <w:rPr>
          <w:rFonts w:cs="Arial"/>
        </w:rPr>
      </w:pPr>
      <w:r w:rsidRPr="00ED38E9">
        <w:rPr>
          <w:rFonts w:cs="Arial"/>
        </w:rPr>
        <w:t>výrobci vozidel na území Č</w:t>
      </w:r>
      <w:r>
        <w:rPr>
          <w:rFonts w:cs="Arial"/>
        </w:rPr>
        <w:t>R</w:t>
      </w:r>
      <w:r w:rsidRPr="00ED38E9">
        <w:rPr>
          <w:rFonts w:cs="Arial"/>
        </w:rPr>
        <w:t xml:space="preserve"> (např. Škoda Auto a.s.),</w:t>
      </w:r>
    </w:p>
    <w:p w:rsidR="00DF0ADE" w:rsidRPr="00ED38E9" w:rsidP="003C445B" w14:paraId="5F54729B" w14:textId="341A065B">
      <w:pPr>
        <w:pStyle w:val="ListParagraph"/>
        <w:numPr>
          <w:ilvl w:val="0"/>
          <w:numId w:val="12"/>
        </w:numPr>
        <w:contextualSpacing w:val="0"/>
        <w:jc w:val="left"/>
        <w:rPr>
          <w:rFonts w:cs="Arial"/>
        </w:rPr>
      </w:pPr>
      <w:r w:rsidRPr="00ED38E9">
        <w:rPr>
          <w:rFonts w:cs="Arial"/>
        </w:rPr>
        <w:t>výrobci pneumatik (např. Mitas a.s., Continental Barum s.r.o.).</w:t>
      </w:r>
    </w:p>
    <w:p w:rsidR="00DF0ADE" w:rsidRPr="00ED38E9" w:rsidP="00BF16B7" w14:paraId="45BD9D9E" w14:textId="77777777">
      <w:pPr>
        <w:pStyle w:val="Heading3"/>
      </w:pPr>
      <w:r w:rsidRPr="00ED38E9">
        <w:t>Popis cílového stavu</w:t>
      </w:r>
    </w:p>
    <w:p w:rsidR="00DF0ADE" w:rsidRPr="00ED38E9" w:rsidP="00DF0ADE" w14:paraId="459E60CA" w14:textId="6572A3C7">
      <w:pPr>
        <w:rPr>
          <w:rFonts w:cs="Arial"/>
        </w:rPr>
      </w:pPr>
      <w:r w:rsidRPr="00ED38E9">
        <w:rPr>
          <w:rFonts w:cs="Arial"/>
        </w:rPr>
        <w:t xml:space="preserve">Cílem je dosáhnout jednoduchého systému pro vykazování a platby </w:t>
      </w:r>
      <w:r>
        <w:rPr>
          <w:rFonts w:cs="Arial"/>
        </w:rPr>
        <w:t>příspěvků</w:t>
      </w:r>
      <w:r w:rsidRPr="00ED38E9">
        <w:rPr>
          <w:rFonts w:cs="Arial"/>
        </w:rPr>
        <w:t xml:space="preserve">. </w:t>
      </w:r>
    </w:p>
    <w:p w:rsidR="00DF0ADE" w:rsidRPr="00ED38E9" w:rsidP="00BF16B7" w14:paraId="67F3F781" w14:textId="77777777">
      <w:pPr>
        <w:pStyle w:val="Heading3"/>
      </w:pPr>
      <w:r w:rsidRPr="00ED38E9">
        <w:t>Zhodnocení rizika</w:t>
      </w:r>
    </w:p>
    <w:p w:rsidR="00DF0ADE" w:rsidP="00DF0ADE" w14:paraId="156AECB4" w14:textId="77777777">
      <w:pPr>
        <w:rPr>
          <w:rFonts w:cs="Arial"/>
        </w:rPr>
      </w:pPr>
      <w:r w:rsidRPr="00ED38E9">
        <w:rPr>
          <w:rFonts w:cs="Arial"/>
        </w:rPr>
        <w:t xml:space="preserve">Hlavním rizikem v případě, </w:t>
      </w:r>
      <w:r>
        <w:rPr>
          <w:rFonts w:cs="Arial"/>
        </w:rPr>
        <w:t>že povinnou osobou budou přímo výrobci funkčních celků, je únik pneumatik z evidence výrobků uvedených na trh</w:t>
      </w:r>
      <w:r w:rsidRPr="00ED38E9">
        <w:rPr>
          <w:rFonts w:cs="Arial"/>
        </w:rPr>
        <w:t>.</w:t>
      </w:r>
    </w:p>
    <w:p w:rsidR="00DF0ADE" w:rsidRPr="00ED38E9" w:rsidP="00DF0ADE" w14:paraId="319C7AD4" w14:textId="77777777">
      <w:pPr>
        <w:pStyle w:val="Heading2"/>
      </w:pPr>
      <w:bookmarkStart w:id="221" w:name="_Toc441759932"/>
      <w:r w:rsidRPr="00ED38E9">
        <w:t>Návrh variant řešení</w:t>
      </w:r>
      <w:bookmarkEnd w:id="221"/>
    </w:p>
    <w:p w:rsidR="00DF0ADE" w:rsidRPr="00ED38E9" w:rsidP="00BF16B7" w14:paraId="5B20F43A" w14:textId="77777777">
      <w:pPr>
        <w:pStyle w:val="Heading3"/>
      </w:pPr>
      <w:r w:rsidRPr="00ED38E9">
        <w:t>Varianta 0</w:t>
      </w:r>
    </w:p>
    <w:p w:rsidR="00DF0ADE" w:rsidP="00DF0ADE" w14:paraId="1A462D6A" w14:textId="77777777">
      <w:pPr>
        <w:rPr>
          <w:rFonts w:cs="Arial"/>
        </w:rPr>
      </w:pPr>
      <w:r w:rsidRPr="00ED38E9">
        <w:rPr>
          <w:rFonts w:cs="Arial"/>
        </w:rPr>
        <w:t xml:space="preserve">Ponechání současného stavu, tzn. bez nastavení jasných pravidel toku </w:t>
      </w:r>
      <w:r>
        <w:rPr>
          <w:rFonts w:cs="Arial"/>
        </w:rPr>
        <w:t>příspěvků</w:t>
      </w:r>
      <w:r w:rsidRPr="00ED38E9">
        <w:rPr>
          <w:rFonts w:cs="Arial"/>
        </w:rPr>
        <w:t xml:space="preserve"> v rámci kolektivního či individuálního plnění.</w:t>
      </w:r>
    </w:p>
    <w:p w:rsidR="00DF0ADE" w:rsidRPr="00ED38E9" w:rsidP="00BF16B7" w14:paraId="1148F4E8" w14:textId="77777777">
      <w:pPr>
        <w:pStyle w:val="Heading3"/>
      </w:pPr>
      <w:r w:rsidRPr="00ED38E9">
        <w:t>Varianta 1</w:t>
      </w:r>
    </w:p>
    <w:p w:rsidR="00DF0ADE" w:rsidP="00DF0ADE" w14:paraId="36E82101" w14:textId="77777777">
      <w:pPr>
        <w:rPr>
          <w:rFonts w:cs="Arial"/>
        </w:rPr>
      </w:pPr>
      <w:r w:rsidRPr="00ED38E9">
        <w:rPr>
          <w:rFonts w:cs="Arial"/>
        </w:rPr>
        <w:t xml:space="preserve">Výrobce pneumatik bude odvádět </w:t>
      </w:r>
      <w:r>
        <w:rPr>
          <w:rFonts w:cs="Arial"/>
        </w:rPr>
        <w:t>příspěvek</w:t>
      </w:r>
      <w:r w:rsidRPr="00ED38E9">
        <w:rPr>
          <w:rFonts w:cs="Arial"/>
        </w:rPr>
        <w:t xml:space="preserve"> za všechny pneumatiky, které uvede na český trh, tzn. </w:t>
      </w:r>
      <w:r>
        <w:rPr>
          <w:rFonts w:cs="Arial"/>
        </w:rPr>
        <w:t>i za pneumatiky dodané</w:t>
      </w:r>
      <w:r w:rsidRPr="00ED38E9">
        <w:rPr>
          <w:rFonts w:cs="Arial"/>
        </w:rPr>
        <w:t xml:space="preserve"> výrobcům vozidel působícím v Č</w:t>
      </w:r>
      <w:r>
        <w:rPr>
          <w:rFonts w:cs="Arial"/>
        </w:rPr>
        <w:t>R</w:t>
      </w:r>
      <w:r w:rsidRPr="00ED38E9">
        <w:rPr>
          <w:rFonts w:cs="Arial"/>
        </w:rPr>
        <w:t>.</w:t>
      </w:r>
    </w:p>
    <w:p w:rsidR="00FD56BA" w:rsidP="00FD56BA" w14:paraId="2F2F61D6" w14:textId="77777777">
      <w:pPr>
        <w:pStyle w:val="Caption"/>
        <w:rPr>
          <w:rFonts w:cs="Arial"/>
        </w:rPr>
      </w:pPr>
    </w:p>
    <w:p w:rsidR="00FD56BA" w:rsidP="00FD56BA" w14:paraId="14AF968D" w14:textId="77777777">
      <w:pPr>
        <w:pStyle w:val="Caption"/>
        <w:rPr>
          <w:rFonts w:cs="Arial"/>
        </w:rPr>
      </w:pPr>
      <w:r w:rsidRPr="00ED38E9">
        <w:rPr>
          <w:rFonts w:cs="Arial"/>
        </w:rPr>
        <w:t xml:space="preserve">Obrázek </w:t>
      </w:r>
      <w:r>
        <w:rPr>
          <w:rFonts w:cs="Arial"/>
        </w:rPr>
        <w:t>7</w:t>
      </w:r>
      <w:r w:rsidRPr="00ED38E9">
        <w:rPr>
          <w:rFonts w:cs="Arial"/>
        </w:rPr>
        <w:t>: Schéma toku pneumatik včetně poplatků a refundace</w:t>
      </w:r>
    </w:p>
    <w:p w:rsidR="00DF0ADE" w:rsidRPr="00ED38E9" w:rsidP="00DF0ADE" w14:paraId="0246EA1A" w14:textId="77777777">
      <w:pPr>
        <w:rPr>
          <w:rFonts w:cs="Arial"/>
        </w:rPr>
      </w:pPr>
      <w:r w:rsidRPr="00ED38E9">
        <w:rPr>
          <w:rFonts w:cs="Arial"/>
          <w:lang w:eastAsia="cs-CZ" w:bidi="ar-SA"/>
        </w:rPr>
        <w:drawing>
          <wp:inline distT="0" distB="0" distL="0" distR="0">
            <wp:extent cx="5760720" cy="3954106"/>
            <wp:effectExtent l="19050" t="19050" r="11430" b="279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98024" name="Picture 2"/>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954106"/>
                    </a:xfrm>
                    <a:prstGeom prst="rect">
                      <a:avLst/>
                    </a:prstGeom>
                    <a:noFill/>
                    <a:ln w="9525">
                      <a:solidFill>
                        <a:schemeClr val="tx1"/>
                      </a:solidFill>
                      <a:miter lim="800000"/>
                      <a:headEnd/>
                      <a:tailEnd/>
                    </a:ln>
                  </pic:spPr>
                </pic:pic>
              </a:graphicData>
            </a:graphic>
          </wp:inline>
        </w:drawing>
      </w:r>
    </w:p>
    <w:p w:rsidR="00DF0ADE" w:rsidRPr="004C198B" w:rsidP="00DF0ADE" w14:paraId="1E294496" w14:textId="77777777"/>
    <w:p w:rsidR="00DF0ADE" w:rsidRPr="00ED38E9" w:rsidP="00BF16B7" w14:paraId="303900FD" w14:textId="77777777">
      <w:pPr>
        <w:pStyle w:val="Heading3"/>
      </w:pPr>
      <w:r w:rsidRPr="00ED38E9">
        <w:t>Varianta 2</w:t>
      </w:r>
    </w:p>
    <w:p w:rsidR="00DF0ADE" w:rsidRPr="00ED38E9" w:rsidP="00DF0ADE" w14:paraId="15E7C33A" w14:textId="77777777">
      <w:pPr>
        <w:rPr>
          <w:rFonts w:cs="Arial"/>
        </w:rPr>
      </w:pPr>
      <w:r w:rsidRPr="00ED38E9">
        <w:rPr>
          <w:rFonts w:cs="Arial"/>
        </w:rPr>
        <w:t xml:space="preserve">Výrobce pneumatik bude hradit </w:t>
      </w:r>
      <w:r>
        <w:rPr>
          <w:rFonts w:cs="Arial"/>
        </w:rPr>
        <w:t>příspěvky</w:t>
      </w:r>
      <w:r w:rsidRPr="00ED38E9">
        <w:rPr>
          <w:rFonts w:cs="Arial"/>
        </w:rPr>
        <w:t xml:space="preserve"> pouze za pneumatiky, které uvede na český trh sám nebo prostřednictvím dalšího prodejce pneumatik. P</w:t>
      </w:r>
      <w:r>
        <w:rPr>
          <w:rFonts w:cs="Arial"/>
        </w:rPr>
        <w:t>říspěvek</w:t>
      </w:r>
      <w:r w:rsidRPr="00ED38E9">
        <w:rPr>
          <w:rFonts w:cs="Arial"/>
        </w:rPr>
        <w:t xml:space="preserve"> nebude odvádět v rámci prodeje pneumatik výrobcům vozidel jako první výbava. Tento </w:t>
      </w:r>
      <w:r>
        <w:rPr>
          <w:rFonts w:cs="Arial"/>
        </w:rPr>
        <w:t>příspěvek</w:t>
      </w:r>
      <w:r w:rsidRPr="00ED38E9">
        <w:rPr>
          <w:rFonts w:cs="Arial"/>
        </w:rPr>
        <w:t xml:space="preserve"> pak odvedou sami výrobci </w:t>
      </w:r>
      <w:r>
        <w:rPr>
          <w:rFonts w:cs="Arial"/>
        </w:rPr>
        <w:t xml:space="preserve">vozidel, </w:t>
      </w:r>
      <w:r w:rsidRPr="00ED38E9">
        <w:rPr>
          <w:rFonts w:cs="Arial"/>
        </w:rPr>
        <w:t>a to pouze u vozidel, která uvedou na český trh. Tím se sníží administrativa spojená s vykazováním množství pneumatik prodaných na tuzemském trhu v rámci nového vozidla výrobcům pneumatik a s refundacemi.</w:t>
      </w:r>
    </w:p>
    <w:p w:rsidR="00DF0ADE" w:rsidP="00DF0ADE" w14:paraId="77394F53" w14:textId="1C66CB68">
      <w:pPr>
        <w:rPr>
          <w:rFonts w:cs="Arial"/>
        </w:rPr>
      </w:pPr>
      <w:r w:rsidRPr="00ED38E9">
        <w:rPr>
          <w:rFonts w:cs="Arial"/>
        </w:rPr>
        <w:t>V tomto případě se jedná o výrobce Škoda</w:t>
      </w:r>
      <w:r w:rsidR="00D24744">
        <w:rPr>
          <w:rFonts w:cs="Arial"/>
        </w:rPr>
        <w:t xml:space="preserve"> </w:t>
      </w:r>
      <w:r w:rsidRPr="00ED38E9" w:rsidR="00D24744">
        <w:rPr>
          <w:rFonts w:cs="Arial"/>
          <w:noProof w:val="0"/>
          <w:color w:val="000000"/>
          <w:lang w:eastAsia="cs-CZ" w:bidi="ar-SA"/>
        </w:rPr>
        <w:t>Auto a.s.</w:t>
      </w:r>
      <w:r w:rsidRPr="00ED38E9">
        <w:rPr>
          <w:rFonts w:cs="Arial"/>
        </w:rPr>
        <w:t xml:space="preserve">, </w:t>
      </w:r>
      <w:r w:rsidRPr="00ED38E9" w:rsidR="00AF7D51">
        <w:rPr>
          <w:rFonts w:cs="Arial"/>
          <w:noProof w:val="0"/>
          <w:color w:val="000000"/>
          <w:lang w:eastAsia="cs-CZ" w:bidi="ar-SA"/>
        </w:rPr>
        <w:t>TPCA Czech s.r.o.</w:t>
      </w:r>
      <w:r w:rsidRPr="00ED38E9">
        <w:rPr>
          <w:rFonts w:cs="Arial"/>
        </w:rPr>
        <w:t>, Hyundai, Avia</w:t>
      </w:r>
      <w:r w:rsidR="00D24744">
        <w:rPr>
          <w:rFonts w:cs="Arial"/>
        </w:rPr>
        <w:t xml:space="preserve"> </w:t>
      </w:r>
      <w:r w:rsidRPr="00ED38E9" w:rsidR="00D24744">
        <w:rPr>
          <w:rFonts w:cs="Arial"/>
          <w:noProof w:val="0"/>
          <w:color w:val="000000"/>
          <w:lang w:eastAsia="cs-CZ" w:bidi="ar-SA"/>
        </w:rPr>
        <w:t>Ashok Leyland Motors s.r.o.</w:t>
      </w:r>
      <w:r w:rsidRPr="00ED38E9">
        <w:rPr>
          <w:rFonts w:cs="Arial"/>
        </w:rPr>
        <w:t xml:space="preserve">, </w:t>
      </w:r>
      <w:r w:rsidRPr="00ED38E9" w:rsidR="00D24744">
        <w:rPr>
          <w:rFonts w:cs="Arial"/>
          <w:noProof w:val="0"/>
          <w:color w:val="000000"/>
          <w:lang w:eastAsia="cs-CZ" w:bidi="ar-SA"/>
        </w:rPr>
        <w:t>TATRA TRUCKS a.s.</w:t>
      </w:r>
      <w:r w:rsidRPr="00ED38E9">
        <w:rPr>
          <w:rFonts w:cs="Arial"/>
        </w:rPr>
        <w:t xml:space="preserve">, IRISBUS </w:t>
      </w:r>
      <w:r w:rsidR="00AE29F8">
        <w:rPr>
          <w:rFonts w:cs="Arial"/>
        </w:rPr>
        <w:t>(</w:t>
      </w:r>
      <w:r w:rsidRPr="00ED38E9" w:rsidR="00AE29F8">
        <w:rPr>
          <w:rFonts w:cs="Arial"/>
          <w:noProof w:val="0"/>
          <w:color w:val="000000"/>
          <w:lang w:eastAsia="cs-CZ" w:bidi="ar-SA"/>
        </w:rPr>
        <w:t>Iveco Czech Republic</w:t>
      </w:r>
      <w:r w:rsidR="00AE29F8">
        <w:rPr>
          <w:rFonts w:cs="Arial"/>
        </w:rPr>
        <w:t xml:space="preserve">) </w:t>
      </w:r>
      <w:r w:rsidRPr="00ED38E9">
        <w:rPr>
          <w:rFonts w:cs="Arial"/>
        </w:rPr>
        <w:t>a SOR</w:t>
      </w:r>
      <w:r w:rsidR="00DE42AC">
        <w:rPr>
          <w:rFonts w:cs="Arial"/>
        </w:rPr>
        <w:t xml:space="preserve"> </w:t>
      </w:r>
      <w:r w:rsidRPr="00ED38E9" w:rsidR="00DE42AC">
        <w:rPr>
          <w:rFonts w:cs="Arial"/>
          <w:noProof w:val="0"/>
          <w:color w:val="000000"/>
          <w:lang w:eastAsia="cs-CZ" w:bidi="ar-SA"/>
        </w:rPr>
        <w:t>Libchavy, spol. s r.o</w:t>
      </w:r>
      <w:r w:rsidRPr="00ED38E9">
        <w:rPr>
          <w:rFonts w:cs="Arial"/>
        </w:rPr>
        <w:t>.</w:t>
      </w:r>
    </w:p>
    <w:p w:rsidR="00FD56BA" w:rsidP="00FD56BA" w14:paraId="7F2D2AB6" w14:textId="77777777">
      <w:pPr>
        <w:pStyle w:val="Caption"/>
        <w:spacing w:before="120"/>
        <w:rPr>
          <w:rFonts w:cs="Arial"/>
        </w:rPr>
      </w:pPr>
      <w:r w:rsidRPr="00ED38E9">
        <w:rPr>
          <w:rFonts w:cs="Arial"/>
        </w:rPr>
        <w:t xml:space="preserve">Obrázek </w:t>
      </w:r>
      <w:r>
        <w:rPr>
          <w:rFonts w:cs="Arial"/>
        </w:rPr>
        <w:t>8</w:t>
      </w:r>
      <w:r w:rsidRPr="00ED38E9">
        <w:rPr>
          <w:rFonts w:cs="Arial"/>
        </w:rPr>
        <w:t xml:space="preserve">: Schéma toku pneumatik včetně </w:t>
      </w:r>
      <w:r>
        <w:rPr>
          <w:rFonts w:cs="Arial"/>
        </w:rPr>
        <w:t>příspěvků</w:t>
      </w:r>
    </w:p>
    <w:p w:rsidR="00DF0ADE" w:rsidRPr="00ED38E9" w:rsidP="00DF0ADE" w14:paraId="6CA51963" w14:textId="77777777">
      <w:pPr>
        <w:keepNext/>
        <w:rPr>
          <w:rFonts w:cs="Arial"/>
        </w:rPr>
      </w:pPr>
      <w:r w:rsidRPr="00ED38E9">
        <w:rPr>
          <w:rFonts w:cs="Arial"/>
          <w:lang w:eastAsia="cs-CZ" w:bidi="ar-SA"/>
        </w:rPr>
        <w:drawing>
          <wp:inline distT="0" distB="0" distL="0" distR="0">
            <wp:extent cx="5760720" cy="3814391"/>
            <wp:effectExtent l="19050" t="19050" r="11430" b="152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5303" name="Picture 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3814391"/>
                    </a:xfrm>
                    <a:prstGeom prst="rect">
                      <a:avLst/>
                    </a:prstGeom>
                    <a:noFill/>
                    <a:ln w="9525">
                      <a:solidFill>
                        <a:schemeClr val="tx1"/>
                      </a:solidFill>
                      <a:miter lim="800000"/>
                      <a:headEnd/>
                      <a:tailEnd/>
                    </a:ln>
                  </pic:spPr>
                </pic:pic>
              </a:graphicData>
            </a:graphic>
          </wp:inline>
        </w:drawing>
      </w:r>
    </w:p>
    <w:p w:rsidR="00CC0BB4" w:rsidP="00CC0BB4" w14:paraId="0571EA72" w14:textId="77777777">
      <w:pPr>
        <w:spacing w:before="0"/>
      </w:pPr>
      <w:bookmarkStart w:id="222" w:name="_Toc441759933"/>
    </w:p>
    <w:p w:rsidR="00DF0ADE" w:rsidRPr="00ED38E9" w:rsidP="00257690" w14:paraId="06F10D11" w14:textId="77777777">
      <w:pPr>
        <w:pStyle w:val="Heading2"/>
        <w:spacing w:before="360"/>
        <w:ind w:left="578" w:hanging="578"/>
      </w:pPr>
      <w:r w:rsidRPr="00ED38E9">
        <w:t>Vyhodnocení nákladů a přínosů</w:t>
      </w:r>
      <w:bookmarkEnd w:id="222"/>
    </w:p>
    <w:p w:rsidR="00DF0ADE" w:rsidRPr="00ED38E9" w:rsidP="00BF16B7" w14:paraId="688EEF5C" w14:textId="77777777">
      <w:pPr>
        <w:pStyle w:val="Heading3"/>
      </w:pPr>
      <w:r w:rsidRPr="00ED38E9">
        <w:t>Identifikace nákladů a přínosů</w:t>
      </w:r>
    </w:p>
    <w:p w:rsidR="00DF0ADE" w:rsidRPr="00C473DD" w:rsidP="003C445B" w14:paraId="4E818060" w14:textId="77777777">
      <w:pPr>
        <w:pStyle w:val="ListParagraph"/>
        <w:numPr>
          <w:ilvl w:val="0"/>
          <w:numId w:val="13"/>
        </w:numPr>
        <w:spacing w:before="240" w:after="120"/>
        <w:contextualSpacing w:val="0"/>
        <w:rPr>
          <w:rFonts w:cs="Arial"/>
          <w:b/>
        </w:rPr>
      </w:pPr>
      <w:r w:rsidRPr="00C473DD">
        <w:rPr>
          <w:rFonts w:cs="Arial"/>
          <w:b/>
        </w:rPr>
        <w:t>Varianta 0</w:t>
      </w:r>
    </w:p>
    <w:p w:rsidR="00DF0ADE" w:rsidP="00DF0ADE" w14:paraId="5926C88D" w14:textId="77777777">
      <w:pPr>
        <w:rPr>
          <w:rFonts w:cs="Arial"/>
        </w:rPr>
      </w:pPr>
      <w:r w:rsidRPr="00ED38E9">
        <w:rPr>
          <w:rFonts w:cs="Arial"/>
        </w:rPr>
        <w:t xml:space="preserve">Tato varianta nepřináší žádné výhody ani zjednodušení situace zpětného odběru odpadních pneumatik, protože některý prodejce má </w:t>
      </w:r>
      <w:r>
        <w:rPr>
          <w:rFonts w:cs="Arial"/>
        </w:rPr>
        <w:t>příspěvek</w:t>
      </w:r>
      <w:r w:rsidRPr="00ED38E9">
        <w:rPr>
          <w:rFonts w:cs="Arial"/>
        </w:rPr>
        <w:t xml:space="preserve"> již zahrnutý v ceně nové pneumatiky a některý ne. Tím vznikají i cenové rozdíly a nerovné podmínky na trhu.</w:t>
      </w:r>
    </w:p>
    <w:p w:rsidR="00DF0ADE" w:rsidRPr="00C473DD" w:rsidP="003C445B" w14:paraId="5D902E48" w14:textId="77777777">
      <w:pPr>
        <w:pStyle w:val="ListParagraph"/>
        <w:keepNext/>
        <w:numPr>
          <w:ilvl w:val="0"/>
          <w:numId w:val="13"/>
        </w:numPr>
        <w:spacing w:before="360" w:after="120"/>
        <w:ind w:left="714" w:hanging="357"/>
        <w:contextualSpacing w:val="0"/>
        <w:rPr>
          <w:rFonts w:cs="Arial"/>
          <w:b/>
        </w:rPr>
      </w:pPr>
      <w:r w:rsidRPr="00C473DD">
        <w:rPr>
          <w:rFonts w:cs="Arial"/>
          <w:b/>
        </w:rPr>
        <w:t>Varianta 1</w:t>
      </w:r>
    </w:p>
    <w:p w:rsidR="00DF0ADE" w:rsidRPr="00ED38E9" w:rsidP="00DF0ADE" w14:paraId="7F4C6335" w14:textId="43BD2DF9">
      <w:pPr>
        <w:rPr>
          <w:rFonts w:cs="Arial"/>
        </w:rPr>
      </w:pPr>
      <w:r w:rsidRPr="00ED38E9">
        <w:rPr>
          <w:rFonts w:cs="Arial"/>
        </w:rPr>
        <w:t xml:space="preserve">Přínosem této varianty jsou jasná pravidla, která stanovují toky </w:t>
      </w:r>
      <w:r>
        <w:rPr>
          <w:rFonts w:cs="Arial"/>
        </w:rPr>
        <w:t>příspěvků</w:t>
      </w:r>
      <w:r w:rsidRPr="00ED38E9">
        <w:rPr>
          <w:rFonts w:cs="Arial"/>
        </w:rPr>
        <w:t xml:space="preserve">. Za náklady a komplikace lze považovat komunikaci výrobce pneumatik s výrobcem vozidel, kdy výrobce pneumatik odvede </w:t>
      </w:r>
      <w:r>
        <w:rPr>
          <w:rFonts w:cs="Arial"/>
        </w:rPr>
        <w:t>příspěvek</w:t>
      </w:r>
      <w:r w:rsidRPr="00ED38E9">
        <w:rPr>
          <w:rFonts w:cs="Arial"/>
        </w:rPr>
        <w:t xml:space="preserve"> za veškeré pneumatiky prodané výrobci vozidel jako první výbava. Poté musí proběhnout komunikace s informacemi o počtu pneumatik, které byly exportovány společně s novými vozidly do zahraničí. Období mezi prodejem výrobci vozidel a</w:t>
      </w:r>
      <w:r w:rsidR="00802DCA">
        <w:rPr>
          <w:rFonts w:cs="Arial"/>
        </w:rPr>
        <w:t> </w:t>
      </w:r>
      <w:r w:rsidRPr="00ED38E9">
        <w:rPr>
          <w:rFonts w:cs="Arial"/>
        </w:rPr>
        <w:t>uvedením na trh či exportu může být i několik měsíců. V této době pak jsou peněžní prostředky uloženy v bankovních institucích, kde se určitým způsobem zhodnocují. Záleží na</w:t>
      </w:r>
      <w:r>
        <w:rPr>
          <w:rFonts w:cs="Arial"/>
        </w:rPr>
        <w:t> </w:t>
      </w:r>
      <w:r w:rsidRPr="00ED38E9">
        <w:rPr>
          <w:rFonts w:cs="Arial"/>
        </w:rPr>
        <w:t xml:space="preserve">majiteli daného účtu, komu poté jdou výnosy z uložených peněz. V závěru výrobce pneumatik zažádá o refundaci odvedených </w:t>
      </w:r>
      <w:r>
        <w:rPr>
          <w:rFonts w:cs="Arial"/>
        </w:rPr>
        <w:t>příspěvků</w:t>
      </w:r>
      <w:r w:rsidRPr="00ED38E9">
        <w:rPr>
          <w:rFonts w:cs="Arial"/>
        </w:rPr>
        <w:t xml:space="preserve"> kolektivnímu systému či z vlastního účtu v rámci individuálního plnění. </w:t>
      </w:r>
    </w:p>
    <w:p w:rsidR="00DF0ADE" w:rsidRPr="003265E8" w:rsidP="00DF0ADE" w14:paraId="434E59B7" w14:textId="4F7D12A8">
      <w:pPr>
        <w:pStyle w:val="Caption"/>
        <w:rPr>
          <w:rFonts w:cs="Arial"/>
          <w:sz w:val="20"/>
          <w:szCs w:val="20"/>
        </w:rPr>
      </w:pPr>
      <w:r w:rsidRPr="003265E8">
        <w:rPr>
          <w:rFonts w:cs="Arial"/>
          <w:sz w:val="20"/>
          <w:szCs w:val="20"/>
        </w:rPr>
        <w:t xml:space="preserve">Tabulka </w:t>
      </w:r>
      <w:r w:rsidR="00925F10">
        <w:rPr>
          <w:rFonts w:cs="Arial"/>
          <w:sz w:val="20"/>
          <w:szCs w:val="20"/>
        </w:rPr>
        <w:t>58</w:t>
      </w:r>
      <w:r w:rsidRPr="003265E8">
        <w:rPr>
          <w:rFonts w:cs="Arial"/>
          <w:sz w:val="20"/>
          <w:szCs w:val="20"/>
        </w:rPr>
        <w:t>: Celkový přehled o výrobě a prodeji vozidel tuzemských výrobců v roce 2016 a</w:t>
      </w:r>
      <w:r w:rsidR="00C473DD">
        <w:rPr>
          <w:rFonts w:cs="Arial"/>
          <w:sz w:val="20"/>
          <w:szCs w:val="20"/>
        </w:rPr>
        <w:t> </w:t>
      </w:r>
      <w:r w:rsidRPr="003265E8">
        <w:rPr>
          <w:rFonts w:cs="Arial"/>
          <w:sz w:val="20"/>
          <w:szCs w:val="20"/>
        </w:rPr>
        <w:t xml:space="preserve">2017 </w:t>
      </w:r>
    </w:p>
    <w:tbl>
      <w:tblPr>
        <w:tblW w:w="8984" w:type="dxa"/>
        <w:jc w:val="center"/>
        <w:tblLayout w:type="fixed"/>
        <w:tblCellMar>
          <w:left w:w="70" w:type="dxa"/>
          <w:right w:w="70" w:type="dxa"/>
        </w:tblCellMar>
        <w:tblLook w:val="04A0"/>
      </w:tblPr>
      <w:tblGrid>
        <w:gridCol w:w="2767"/>
        <w:gridCol w:w="1386"/>
        <w:gridCol w:w="1694"/>
        <w:gridCol w:w="1412"/>
        <w:gridCol w:w="1725"/>
      </w:tblGrid>
      <w:tr w14:paraId="427B2C84" w14:textId="77777777" w:rsidTr="0039543B">
        <w:tblPrEx>
          <w:tblW w:w="8984" w:type="dxa"/>
          <w:jc w:val="center"/>
          <w:tblLayout w:type="fixed"/>
          <w:tblCellMar>
            <w:left w:w="70" w:type="dxa"/>
            <w:right w:w="70" w:type="dxa"/>
          </w:tblCellMar>
          <w:tblLook w:val="04A0"/>
        </w:tblPrEx>
        <w:trPr>
          <w:trHeight w:val="572"/>
          <w:jc w:val="center"/>
        </w:trPr>
        <w:tc>
          <w:tcPr>
            <w:tcW w:w="2767" w:type="dxa"/>
            <w:vMerge w:val="restart"/>
            <w:tcBorders>
              <w:top w:val="single" w:sz="4" w:space="0" w:color="auto"/>
              <w:left w:val="single" w:sz="4" w:space="0" w:color="auto"/>
              <w:right w:val="single" w:sz="4" w:space="0" w:color="auto"/>
            </w:tcBorders>
            <w:shd w:val="clear" w:color="auto" w:fill="auto"/>
            <w:vAlign w:val="center"/>
          </w:tcPr>
          <w:p w:rsidR="00DF0ADE" w:rsidRPr="0039543B" w:rsidP="006031E5" w14:paraId="2FD49E65"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Značka (výrobce)</w:t>
            </w:r>
          </w:p>
        </w:tc>
        <w:tc>
          <w:tcPr>
            <w:tcW w:w="308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DF0ADE" w:rsidRPr="0039543B" w:rsidP="006031E5" w14:paraId="0ACD452A"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Rok 2017</w:t>
            </w:r>
          </w:p>
        </w:tc>
        <w:tc>
          <w:tcPr>
            <w:tcW w:w="3137" w:type="dxa"/>
            <w:gridSpan w:val="2"/>
            <w:tcBorders>
              <w:top w:val="single" w:sz="4" w:space="0" w:color="auto"/>
              <w:left w:val="single" w:sz="4" w:space="0" w:color="auto"/>
              <w:bottom w:val="single" w:sz="4" w:space="0" w:color="000000"/>
              <w:right w:val="single" w:sz="4" w:space="0" w:color="auto"/>
            </w:tcBorders>
            <w:vAlign w:val="center"/>
          </w:tcPr>
          <w:p w:rsidR="00DF0ADE" w:rsidRPr="0039543B" w:rsidP="006031E5" w14:paraId="7FE2FFC5"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Rok 2016</w:t>
            </w:r>
          </w:p>
        </w:tc>
      </w:tr>
      <w:tr w14:paraId="37C6DE1D" w14:textId="77777777" w:rsidTr="0039543B">
        <w:tblPrEx>
          <w:tblW w:w="8984" w:type="dxa"/>
          <w:jc w:val="center"/>
          <w:tblLayout w:type="fixed"/>
          <w:tblCellMar>
            <w:left w:w="70" w:type="dxa"/>
            <w:right w:w="70" w:type="dxa"/>
          </w:tblCellMar>
          <w:tblLook w:val="04A0"/>
        </w:tblPrEx>
        <w:trPr>
          <w:trHeight w:val="965"/>
          <w:jc w:val="center"/>
        </w:trPr>
        <w:tc>
          <w:tcPr>
            <w:tcW w:w="2767" w:type="dxa"/>
            <w:vMerge/>
            <w:tcBorders>
              <w:left w:val="single" w:sz="4" w:space="0" w:color="auto"/>
              <w:bottom w:val="single" w:sz="4" w:space="0" w:color="000000"/>
              <w:right w:val="single" w:sz="4" w:space="0" w:color="auto"/>
            </w:tcBorders>
            <w:shd w:val="clear" w:color="auto" w:fill="auto"/>
            <w:vAlign w:val="center"/>
            <w:hideMark/>
          </w:tcPr>
          <w:p w:rsidR="00DF0ADE" w:rsidRPr="0039543B" w:rsidP="006031E5" w14:paraId="0A6798DA" w14:textId="77777777">
            <w:pPr>
              <w:spacing w:line="240" w:lineRule="auto"/>
              <w:jc w:val="center"/>
              <w:rPr>
                <w:b/>
                <w:bCs/>
                <w:noProof w:val="0"/>
                <w:color w:val="000000"/>
                <w:sz w:val="20"/>
                <w:szCs w:val="22"/>
                <w:lang w:eastAsia="cs-CZ" w:bidi="ar-SA"/>
              </w:rPr>
            </w:pPr>
          </w:p>
        </w:tc>
        <w:tc>
          <w:tcPr>
            <w:tcW w:w="138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F0ADE" w:rsidRPr="0039543B" w:rsidP="006031E5" w14:paraId="435F8EF4"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Výroba vozidel v ČR (ks)</w:t>
            </w:r>
          </w:p>
        </w:tc>
        <w:tc>
          <w:tcPr>
            <w:tcW w:w="16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F0ADE" w:rsidRPr="0039543B" w:rsidP="006031E5" w14:paraId="43FC037A"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Tuzemský prodej vozidel (ks)</w:t>
            </w:r>
          </w:p>
        </w:tc>
        <w:tc>
          <w:tcPr>
            <w:tcW w:w="1412" w:type="dxa"/>
            <w:tcBorders>
              <w:top w:val="single" w:sz="4" w:space="0" w:color="auto"/>
              <w:left w:val="single" w:sz="4" w:space="0" w:color="auto"/>
              <w:bottom w:val="single" w:sz="4" w:space="0" w:color="000000"/>
              <w:right w:val="single" w:sz="4" w:space="0" w:color="auto"/>
            </w:tcBorders>
            <w:vAlign w:val="center"/>
          </w:tcPr>
          <w:p w:rsidR="00DF0ADE" w:rsidRPr="0039543B" w:rsidP="006031E5" w14:paraId="361E3B2F"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Výroba vozidel v ČR (ks)</w:t>
            </w:r>
          </w:p>
        </w:tc>
        <w:tc>
          <w:tcPr>
            <w:tcW w:w="1725" w:type="dxa"/>
            <w:tcBorders>
              <w:top w:val="single" w:sz="4" w:space="0" w:color="auto"/>
              <w:left w:val="single" w:sz="4" w:space="0" w:color="auto"/>
              <w:bottom w:val="single" w:sz="4" w:space="0" w:color="000000"/>
              <w:right w:val="single" w:sz="4" w:space="0" w:color="auto"/>
            </w:tcBorders>
            <w:vAlign w:val="center"/>
          </w:tcPr>
          <w:p w:rsidR="00DF0ADE" w:rsidRPr="0039543B" w:rsidP="006031E5" w14:paraId="40D14813" w14:textId="77777777">
            <w:pPr>
              <w:spacing w:line="240" w:lineRule="auto"/>
              <w:jc w:val="center"/>
              <w:rPr>
                <w:b/>
                <w:bCs/>
                <w:noProof w:val="0"/>
                <w:color w:val="000000"/>
                <w:sz w:val="20"/>
                <w:szCs w:val="22"/>
                <w:lang w:eastAsia="cs-CZ" w:bidi="ar-SA"/>
              </w:rPr>
            </w:pPr>
            <w:r w:rsidRPr="0039543B">
              <w:rPr>
                <w:b/>
                <w:bCs/>
                <w:noProof w:val="0"/>
                <w:color w:val="000000"/>
                <w:sz w:val="20"/>
                <w:szCs w:val="22"/>
                <w:lang w:eastAsia="cs-CZ" w:bidi="ar-SA"/>
              </w:rPr>
              <w:t>Tuzemský prodej vozidel (ks)</w:t>
            </w:r>
          </w:p>
        </w:tc>
      </w:tr>
      <w:tr w14:paraId="5F548BC0"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6343D6E0" w14:textId="24634C52">
            <w:pPr>
              <w:spacing w:line="240" w:lineRule="auto"/>
              <w:jc w:val="left"/>
              <w:rPr>
                <w:b/>
                <w:noProof w:val="0"/>
                <w:color w:val="000000"/>
                <w:sz w:val="20"/>
                <w:szCs w:val="22"/>
                <w:lang w:eastAsia="cs-CZ" w:bidi="ar-SA"/>
              </w:rPr>
            </w:pPr>
            <w:r w:rsidRPr="0039543B">
              <w:rPr>
                <w:b/>
                <w:noProof w:val="0"/>
                <w:color w:val="000000"/>
                <w:sz w:val="20"/>
                <w:szCs w:val="22"/>
                <w:lang w:eastAsia="cs-CZ" w:bidi="ar-SA"/>
              </w:rPr>
              <w:t>Škoda</w:t>
            </w:r>
            <w:r w:rsidRPr="0039543B" w:rsidR="00D24744">
              <w:rPr>
                <w:b/>
                <w:noProof w:val="0"/>
                <w:color w:val="000000"/>
                <w:sz w:val="20"/>
                <w:szCs w:val="22"/>
                <w:lang w:eastAsia="cs-CZ" w:bidi="ar-SA"/>
              </w:rPr>
              <w:t xml:space="preserve"> </w:t>
            </w:r>
            <w:r w:rsidRPr="0039543B" w:rsidR="00D24744">
              <w:rPr>
                <w:rFonts w:cs="Arial"/>
                <w:b/>
                <w:noProof w:val="0"/>
                <w:color w:val="000000"/>
                <w:sz w:val="20"/>
                <w:lang w:eastAsia="cs-CZ" w:bidi="ar-SA"/>
              </w:rPr>
              <w:t>Auto a.s.</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3C972F22"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858 103</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0EF80A70"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95 017</w:t>
            </w:r>
          </w:p>
        </w:tc>
        <w:tc>
          <w:tcPr>
            <w:tcW w:w="1412" w:type="dxa"/>
            <w:tcBorders>
              <w:top w:val="nil"/>
              <w:left w:val="nil"/>
              <w:bottom w:val="single" w:sz="4" w:space="0" w:color="auto"/>
              <w:right w:val="single" w:sz="4" w:space="0" w:color="auto"/>
            </w:tcBorders>
            <w:vAlign w:val="center"/>
          </w:tcPr>
          <w:p w:rsidR="00DF0ADE" w:rsidRPr="0039543B" w:rsidP="0039543B" w14:paraId="5CB5316B"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765 171</w:t>
            </w:r>
          </w:p>
        </w:tc>
        <w:tc>
          <w:tcPr>
            <w:tcW w:w="1725" w:type="dxa"/>
            <w:tcBorders>
              <w:top w:val="nil"/>
              <w:left w:val="nil"/>
              <w:bottom w:val="single" w:sz="4" w:space="0" w:color="auto"/>
              <w:right w:val="single" w:sz="4" w:space="0" w:color="auto"/>
            </w:tcBorders>
            <w:vAlign w:val="center"/>
          </w:tcPr>
          <w:p w:rsidR="00DF0ADE" w:rsidRPr="0039543B" w:rsidP="0039543B" w14:paraId="2E35C1B2"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88 016</w:t>
            </w:r>
          </w:p>
        </w:tc>
      </w:tr>
      <w:tr w14:paraId="1542DEE2"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49822688" w14:textId="63A313ED">
            <w:pPr>
              <w:spacing w:line="240" w:lineRule="auto"/>
              <w:jc w:val="left"/>
              <w:rPr>
                <w:b/>
                <w:noProof w:val="0"/>
                <w:color w:val="000000"/>
                <w:sz w:val="20"/>
                <w:szCs w:val="22"/>
                <w:lang w:eastAsia="cs-CZ" w:bidi="ar-SA"/>
              </w:rPr>
            </w:pPr>
            <w:r w:rsidRPr="0039543B">
              <w:rPr>
                <w:b/>
                <w:noProof w:val="0"/>
                <w:color w:val="000000"/>
                <w:sz w:val="20"/>
                <w:szCs w:val="22"/>
                <w:lang w:eastAsia="cs-CZ" w:bidi="ar-SA"/>
              </w:rPr>
              <w:t>TPCA</w:t>
            </w:r>
            <w:r w:rsidRPr="0039543B" w:rsidR="00DE42AC">
              <w:rPr>
                <w:b/>
                <w:noProof w:val="0"/>
                <w:color w:val="000000"/>
                <w:sz w:val="20"/>
                <w:szCs w:val="22"/>
                <w:lang w:eastAsia="cs-CZ" w:bidi="ar-SA"/>
              </w:rPr>
              <w:t xml:space="preserve"> Czech s.r.o.</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210D0AD2"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199 078</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0C64E4D9"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434</w:t>
            </w:r>
          </w:p>
        </w:tc>
        <w:tc>
          <w:tcPr>
            <w:tcW w:w="1412" w:type="dxa"/>
            <w:tcBorders>
              <w:top w:val="nil"/>
              <w:left w:val="nil"/>
              <w:bottom w:val="single" w:sz="4" w:space="0" w:color="auto"/>
              <w:right w:val="single" w:sz="4" w:space="0" w:color="auto"/>
            </w:tcBorders>
            <w:vAlign w:val="center"/>
          </w:tcPr>
          <w:p w:rsidR="00DF0ADE" w:rsidRPr="0039543B" w:rsidP="0039543B" w14:paraId="15AC020C"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220 611</w:t>
            </w:r>
          </w:p>
        </w:tc>
        <w:tc>
          <w:tcPr>
            <w:tcW w:w="1725" w:type="dxa"/>
            <w:tcBorders>
              <w:top w:val="nil"/>
              <w:left w:val="nil"/>
              <w:bottom w:val="single" w:sz="4" w:space="0" w:color="auto"/>
              <w:right w:val="single" w:sz="4" w:space="0" w:color="auto"/>
            </w:tcBorders>
            <w:vAlign w:val="center"/>
          </w:tcPr>
          <w:p w:rsidR="00DF0ADE" w:rsidRPr="0039543B" w:rsidP="0039543B" w14:paraId="02D73618"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450</w:t>
            </w:r>
          </w:p>
        </w:tc>
      </w:tr>
      <w:tr w14:paraId="7B4655F4"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416D455E" w14:textId="77777777">
            <w:pPr>
              <w:spacing w:line="240" w:lineRule="auto"/>
              <w:jc w:val="left"/>
              <w:rPr>
                <w:b/>
                <w:noProof w:val="0"/>
                <w:color w:val="000000"/>
                <w:sz w:val="20"/>
                <w:szCs w:val="22"/>
                <w:lang w:eastAsia="cs-CZ" w:bidi="ar-SA"/>
              </w:rPr>
            </w:pPr>
            <w:r w:rsidRPr="0039543B">
              <w:rPr>
                <w:b/>
                <w:noProof w:val="0"/>
                <w:color w:val="000000"/>
                <w:sz w:val="20"/>
                <w:szCs w:val="22"/>
                <w:lang w:eastAsia="cs-CZ" w:bidi="ar-SA"/>
              </w:rPr>
              <w:t>Hyundai</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180AF9A6"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356 700</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78180841"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15 743</w:t>
            </w:r>
          </w:p>
        </w:tc>
        <w:tc>
          <w:tcPr>
            <w:tcW w:w="1412" w:type="dxa"/>
            <w:tcBorders>
              <w:top w:val="nil"/>
              <w:left w:val="nil"/>
              <w:bottom w:val="single" w:sz="4" w:space="0" w:color="auto"/>
              <w:right w:val="single" w:sz="4" w:space="0" w:color="auto"/>
            </w:tcBorders>
            <w:vAlign w:val="center"/>
          </w:tcPr>
          <w:p w:rsidR="00DF0ADE" w:rsidRPr="0039543B" w:rsidP="0039543B" w14:paraId="4D01933C"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358 400</w:t>
            </w:r>
          </w:p>
        </w:tc>
        <w:tc>
          <w:tcPr>
            <w:tcW w:w="1725" w:type="dxa"/>
            <w:tcBorders>
              <w:top w:val="nil"/>
              <w:left w:val="nil"/>
              <w:bottom w:val="single" w:sz="4" w:space="0" w:color="auto"/>
              <w:right w:val="single" w:sz="4" w:space="0" w:color="auto"/>
            </w:tcBorders>
            <w:vAlign w:val="center"/>
          </w:tcPr>
          <w:p w:rsidR="00DF0ADE" w:rsidRPr="0039543B" w:rsidP="0039543B" w14:paraId="507A34BF"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15 697</w:t>
            </w:r>
          </w:p>
        </w:tc>
      </w:tr>
      <w:tr w14:paraId="6C574B4B"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545C7849" w14:textId="362A32FA">
            <w:pPr>
              <w:spacing w:line="240" w:lineRule="auto"/>
              <w:jc w:val="left"/>
              <w:rPr>
                <w:b/>
                <w:noProof w:val="0"/>
                <w:color w:val="000000"/>
                <w:sz w:val="20"/>
                <w:szCs w:val="22"/>
                <w:lang w:eastAsia="cs-CZ" w:bidi="ar-SA"/>
              </w:rPr>
            </w:pPr>
            <w:r w:rsidRPr="0039543B">
              <w:rPr>
                <w:b/>
                <w:noProof w:val="0"/>
                <w:color w:val="000000"/>
                <w:sz w:val="20"/>
                <w:szCs w:val="22"/>
                <w:lang w:eastAsia="cs-CZ" w:bidi="ar-SA"/>
              </w:rPr>
              <w:t>TATRA TRUCKS a.s.</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7A7F7217"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1 481</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0648D9F0"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435</w:t>
            </w:r>
          </w:p>
        </w:tc>
        <w:tc>
          <w:tcPr>
            <w:tcW w:w="1412" w:type="dxa"/>
            <w:tcBorders>
              <w:top w:val="nil"/>
              <w:left w:val="nil"/>
              <w:bottom w:val="single" w:sz="4" w:space="0" w:color="auto"/>
              <w:right w:val="single" w:sz="4" w:space="0" w:color="auto"/>
            </w:tcBorders>
            <w:vAlign w:val="center"/>
          </w:tcPr>
          <w:p w:rsidR="00DF0ADE" w:rsidRPr="0039543B" w:rsidP="0039543B" w14:paraId="33DD9026"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1 326</w:t>
            </w:r>
          </w:p>
        </w:tc>
        <w:tc>
          <w:tcPr>
            <w:tcW w:w="1725" w:type="dxa"/>
            <w:tcBorders>
              <w:top w:val="nil"/>
              <w:left w:val="nil"/>
              <w:bottom w:val="single" w:sz="4" w:space="0" w:color="auto"/>
              <w:right w:val="single" w:sz="4" w:space="0" w:color="auto"/>
            </w:tcBorders>
            <w:vAlign w:val="center"/>
          </w:tcPr>
          <w:p w:rsidR="00DF0ADE" w:rsidRPr="0039543B" w:rsidP="0039543B" w14:paraId="55EFD1FA"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387</w:t>
            </w:r>
          </w:p>
        </w:tc>
      </w:tr>
      <w:tr w14:paraId="5EBDC25C"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6BF07687" w14:textId="77777777">
            <w:pPr>
              <w:spacing w:line="240" w:lineRule="auto"/>
              <w:jc w:val="left"/>
              <w:rPr>
                <w:b/>
                <w:noProof w:val="0"/>
                <w:color w:val="000000"/>
                <w:sz w:val="20"/>
                <w:szCs w:val="22"/>
                <w:lang w:eastAsia="cs-CZ" w:bidi="ar-SA"/>
              </w:rPr>
            </w:pPr>
            <w:r w:rsidRPr="0039543B">
              <w:rPr>
                <w:b/>
                <w:noProof w:val="0"/>
                <w:color w:val="000000"/>
                <w:sz w:val="20"/>
                <w:szCs w:val="22"/>
                <w:lang w:eastAsia="cs-CZ" w:bidi="ar-SA"/>
              </w:rPr>
              <w:t>IVECO Bus</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030003AC"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4 102</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32997CE1"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382</w:t>
            </w:r>
          </w:p>
        </w:tc>
        <w:tc>
          <w:tcPr>
            <w:tcW w:w="1412" w:type="dxa"/>
            <w:tcBorders>
              <w:top w:val="nil"/>
              <w:left w:val="nil"/>
              <w:bottom w:val="single" w:sz="4" w:space="0" w:color="auto"/>
              <w:right w:val="single" w:sz="4" w:space="0" w:color="auto"/>
            </w:tcBorders>
            <w:vAlign w:val="center"/>
          </w:tcPr>
          <w:p w:rsidR="00DF0ADE" w:rsidRPr="0039543B" w:rsidP="0039543B" w14:paraId="4558A1B3"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3 885</w:t>
            </w:r>
          </w:p>
        </w:tc>
        <w:tc>
          <w:tcPr>
            <w:tcW w:w="1725" w:type="dxa"/>
            <w:tcBorders>
              <w:top w:val="nil"/>
              <w:left w:val="nil"/>
              <w:bottom w:val="single" w:sz="4" w:space="0" w:color="auto"/>
              <w:right w:val="single" w:sz="4" w:space="0" w:color="auto"/>
            </w:tcBorders>
            <w:vAlign w:val="center"/>
          </w:tcPr>
          <w:p w:rsidR="00DF0ADE" w:rsidRPr="0039543B" w:rsidP="0039543B" w14:paraId="74403853"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269</w:t>
            </w:r>
          </w:p>
        </w:tc>
      </w:tr>
      <w:tr w14:paraId="0C56BFB0"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30D62727" w14:textId="4E8249BB">
            <w:pPr>
              <w:spacing w:line="240" w:lineRule="auto"/>
              <w:jc w:val="left"/>
              <w:rPr>
                <w:b/>
                <w:noProof w:val="0"/>
                <w:color w:val="000000"/>
                <w:sz w:val="20"/>
                <w:szCs w:val="22"/>
                <w:lang w:eastAsia="cs-CZ" w:bidi="ar-SA"/>
              </w:rPr>
            </w:pPr>
            <w:r w:rsidRPr="0039543B">
              <w:rPr>
                <w:b/>
                <w:noProof w:val="0"/>
                <w:color w:val="000000"/>
                <w:sz w:val="20"/>
                <w:szCs w:val="22"/>
                <w:lang w:eastAsia="cs-CZ" w:bidi="ar-SA"/>
              </w:rPr>
              <w:t>SOR</w:t>
            </w:r>
            <w:r w:rsidRPr="0039543B" w:rsidR="00DE42AC">
              <w:rPr>
                <w:b/>
                <w:noProof w:val="0"/>
                <w:color w:val="000000"/>
                <w:sz w:val="20"/>
                <w:szCs w:val="22"/>
                <w:lang w:eastAsia="cs-CZ" w:bidi="ar-SA"/>
              </w:rPr>
              <w:t xml:space="preserve"> </w:t>
            </w:r>
            <w:r w:rsidRPr="0039543B" w:rsidR="00DE42AC">
              <w:rPr>
                <w:rFonts w:cs="Arial"/>
                <w:b/>
                <w:noProof w:val="0"/>
                <w:color w:val="000000"/>
                <w:sz w:val="20"/>
                <w:lang w:eastAsia="cs-CZ" w:bidi="ar-SA"/>
              </w:rPr>
              <w:t>Libchavy, spol. s r.o.</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22A8D3F1"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472</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41D7970C"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167</w:t>
            </w:r>
          </w:p>
        </w:tc>
        <w:tc>
          <w:tcPr>
            <w:tcW w:w="1412" w:type="dxa"/>
            <w:tcBorders>
              <w:top w:val="nil"/>
              <w:left w:val="nil"/>
              <w:bottom w:val="single" w:sz="4" w:space="0" w:color="auto"/>
              <w:right w:val="single" w:sz="4" w:space="0" w:color="auto"/>
            </w:tcBorders>
            <w:vAlign w:val="center"/>
          </w:tcPr>
          <w:p w:rsidR="00DF0ADE" w:rsidRPr="0039543B" w:rsidP="0039543B" w14:paraId="06CA80AD"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454</w:t>
            </w:r>
          </w:p>
        </w:tc>
        <w:tc>
          <w:tcPr>
            <w:tcW w:w="1725" w:type="dxa"/>
            <w:tcBorders>
              <w:top w:val="nil"/>
              <w:left w:val="nil"/>
              <w:bottom w:val="single" w:sz="4" w:space="0" w:color="auto"/>
              <w:right w:val="single" w:sz="4" w:space="0" w:color="auto"/>
            </w:tcBorders>
            <w:vAlign w:val="center"/>
          </w:tcPr>
          <w:p w:rsidR="00DF0ADE" w:rsidRPr="0039543B" w:rsidP="0039543B" w14:paraId="21B7341B"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215</w:t>
            </w:r>
          </w:p>
        </w:tc>
      </w:tr>
      <w:tr w14:paraId="6BE02ECD"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7704682D" w14:textId="77777777">
            <w:pPr>
              <w:spacing w:line="240" w:lineRule="auto"/>
              <w:jc w:val="left"/>
              <w:rPr>
                <w:b/>
                <w:noProof w:val="0"/>
                <w:color w:val="000000"/>
                <w:sz w:val="20"/>
                <w:szCs w:val="22"/>
                <w:lang w:eastAsia="cs-CZ" w:bidi="ar-SA"/>
              </w:rPr>
            </w:pPr>
            <w:r w:rsidRPr="0039543B">
              <w:rPr>
                <w:b/>
                <w:noProof w:val="0"/>
                <w:color w:val="000000"/>
                <w:sz w:val="20"/>
                <w:szCs w:val="22"/>
                <w:lang w:eastAsia="cs-CZ" w:bidi="ar-SA"/>
              </w:rPr>
              <w:t>KH motor centrum Opava</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7F1D6ABF"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57</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269530E0"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57</w:t>
            </w:r>
          </w:p>
        </w:tc>
        <w:tc>
          <w:tcPr>
            <w:tcW w:w="1412" w:type="dxa"/>
            <w:tcBorders>
              <w:top w:val="nil"/>
              <w:left w:val="nil"/>
              <w:bottom w:val="single" w:sz="4" w:space="0" w:color="auto"/>
              <w:right w:val="single" w:sz="4" w:space="0" w:color="auto"/>
            </w:tcBorders>
            <w:vAlign w:val="center"/>
          </w:tcPr>
          <w:p w:rsidR="00DF0ADE" w:rsidRPr="0039543B" w:rsidP="0039543B" w14:paraId="4480D538"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49</w:t>
            </w:r>
          </w:p>
        </w:tc>
        <w:tc>
          <w:tcPr>
            <w:tcW w:w="1725" w:type="dxa"/>
            <w:tcBorders>
              <w:top w:val="nil"/>
              <w:left w:val="nil"/>
              <w:bottom w:val="single" w:sz="4" w:space="0" w:color="auto"/>
              <w:right w:val="single" w:sz="4" w:space="0" w:color="auto"/>
            </w:tcBorders>
            <w:vAlign w:val="center"/>
          </w:tcPr>
          <w:p w:rsidR="00DF0ADE" w:rsidRPr="0039543B" w:rsidP="0039543B" w14:paraId="1D80A900"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49</w:t>
            </w:r>
          </w:p>
        </w:tc>
      </w:tr>
      <w:tr w14:paraId="5AAF0DF8" w14:textId="77777777" w:rsidTr="0039543B">
        <w:tblPrEx>
          <w:tblW w:w="8984" w:type="dxa"/>
          <w:jc w:val="center"/>
          <w:tblLayout w:type="fixed"/>
          <w:tblCellMar>
            <w:left w:w="70" w:type="dxa"/>
            <w:right w:w="70" w:type="dxa"/>
          </w:tblCellMar>
          <w:tblLook w:val="04A0"/>
        </w:tblPrEx>
        <w:trPr>
          <w:trHeight w:val="272"/>
          <w:jc w:val="center"/>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DF0ADE" w:rsidRPr="0039543B" w:rsidP="006031E5" w14:paraId="12706B75" w14:textId="77777777">
            <w:pPr>
              <w:spacing w:line="240" w:lineRule="auto"/>
              <w:jc w:val="left"/>
              <w:rPr>
                <w:b/>
                <w:noProof w:val="0"/>
                <w:color w:val="000000"/>
                <w:sz w:val="20"/>
                <w:szCs w:val="22"/>
                <w:lang w:eastAsia="cs-CZ" w:bidi="ar-SA"/>
              </w:rPr>
            </w:pPr>
            <w:r w:rsidRPr="0039543B">
              <w:rPr>
                <w:b/>
                <w:noProof w:val="0"/>
                <w:color w:val="000000"/>
                <w:sz w:val="20"/>
                <w:szCs w:val="22"/>
                <w:lang w:eastAsia="cs-CZ" w:bidi="ar-SA"/>
              </w:rPr>
              <w:t>Jawa</w:t>
            </w:r>
          </w:p>
        </w:tc>
        <w:tc>
          <w:tcPr>
            <w:tcW w:w="1386"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7DD71A14"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1 331</w:t>
            </w:r>
          </w:p>
        </w:tc>
        <w:tc>
          <w:tcPr>
            <w:tcW w:w="1694" w:type="dxa"/>
            <w:tcBorders>
              <w:top w:val="nil"/>
              <w:left w:val="nil"/>
              <w:bottom w:val="single" w:sz="4" w:space="0" w:color="auto"/>
              <w:right w:val="single" w:sz="4" w:space="0" w:color="auto"/>
            </w:tcBorders>
            <w:shd w:val="clear" w:color="auto" w:fill="auto"/>
            <w:noWrap/>
            <w:vAlign w:val="center"/>
            <w:hideMark/>
          </w:tcPr>
          <w:p w:rsidR="00DF0ADE" w:rsidRPr="0039543B" w:rsidP="0039543B" w14:paraId="40106268"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174</w:t>
            </w:r>
          </w:p>
        </w:tc>
        <w:tc>
          <w:tcPr>
            <w:tcW w:w="1412" w:type="dxa"/>
            <w:tcBorders>
              <w:top w:val="nil"/>
              <w:left w:val="nil"/>
              <w:bottom w:val="single" w:sz="4" w:space="0" w:color="auto"/>
              <w:right w:val="single" w:sz="4" w:space="0" w:color="auto"/>
            </w:tcBorders>
            <w:vAlign w:val="center"/>
          </w:tcPr>
          <w:p w:rsidR="00DF0ADE" w:rsidRPr="0039543B" w:rsidP="0039543B" w14:paraId="4F9C1469"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1 228</w:t>
            </w:r>
          </w:p>
        </w:tc>
        <w:tc>
          <w:tcPr>
            <w:tcW w:w="1725" w:type="dxa"/>
            <w:tcBorders>
              <w:top w:val="nil"/>
              <w:left w:val="nil"/>
              <w:bottom w:val="single" w:sz="4" w:space="0" w:color="auto"/>
              <w:right w:val="single" w:sz="4" w:space="0" w:color="auto"/>
            </w:tcBorders>
            <w:vAlign w:val="center"/>
          </w:tcPr>
          <w:p w:rsidR="00DF0ADE" w:rsidRPr="0039543B" w:rsidP="0039543B" w14:paraId="31C7D7D0" w14:textId="77777777">
            <w:pPr>
              <w:spacing w:line="240" w:lineRule="auto"/>
              <w:jc w:val="center"/>
              <w:rPr>
                <w:noProof w:val="0"/>
                <w:color w:val="000000"/>
                <w:sz w:val="20"/>
                <w:szCs w:val="22"/>
                <w:lang w:eastAsia="cs-CZ" w:bidi="ar-SA"/>
              </w:rPr>
            </w:pPr>
            <w:r w:rsidRPr="0039543B">
              <w:rPr>
                <w:noProof w:val="0"/>
                <w:color w:val="000000"/>
                <w:sz w:val="20"/>
                <w:szCs w:val="22"/>
                <w:lang w:eastAsia="cs-CZ" w:bidi="ar-SA"/>
              </w:rPr>
              <w:t>79</w:t>
            </w:r>
          </w:p>
        </w:tc>
      </w:tr>
    </w:tbl>
    <w:p w:rsidR="00DF0ADE" w:rsidRPr="003265E8" w:rsidP="00DF0ADE" w14:paraId="08B7C0E8" w14:textId="38813DD9">
      <w:pPr>
        <w:jc w:val="right"/>
        <w:rPr>
          <w:szCs w:val="22"/>
        </w:rPr>
      </w:pPr>
      <w:r w:rsidRPr="003265E8">
        <w:rPr>
          <w:szCs w:val="22"/>
        </w:rPr>
        <w:t xml:space="preserve">Zdroj: </w:t>
      </w:r>
      <w:r w:rsidRPr="00ED38E9" w:rsidR="00DE42AC">
        <w:rPr>
          <w:rFonts w:cs="Arial"/>
          <w:noProof w:val="0"/>
          <w:color w:val="000000"/>
          <w:lang w:eastAsia="cs-CZ" w:bidi="ar-SA"/>
        </w:rPr>
        <w:t>Sdružení automobilového průmyslu</w:t>
      </w:r>
      <w:r w:rsidRPr="003265E8">
        <w:rPr>
          <w:szCs w:val="22"/>
        </w:rPr>
        <w:t>, 2018</w:t>
      </w:r>
    </w:p>
    <w:p w:rsidR="00DF0ADE" w:rsidRPr="003265E8" w:rsidP="00257690" w14:paraId="4A7943BB" w14:textId="49FDD115">
      <w:pPr>
        <w:keepNext/>
        <w:spacing w:before="240"/>
        <w:rPr>
          <w:rFonts w:cs="Arial"/>
          <w:b/>
          <w:spacing w:val="10"/>
          <w:sz w:val="20"/>
          <w:szCs w:val="20"/>
        </w:rPr>
      </w:pPr>
      <w:r>
        <w:rPr>
          <w:rFonts w:cs="Arial"/>
          <w:b/>
          <w:spacing w:val="10"/>
          <w:sz w:val="20"/>
          <w:szCs w:val="20"/>
        </w:rPr>
        <w:t>Tabu</w:t>
      </w:r>
      <w:r w:rsidR="00B1436D">
        <w:rPr>
          <w:rFonts w:cs="Arial"/>
          <w:b/>
          <w:spacing w:val="10"/>
          <w:sz w:val="20"/>
          <w:szCs w:val="20"/>
        </w:rPr>
        <w:t>lka 5</w:t>
      </w:r>
      <w:r w:rsidR="00925F10">
        <w:rPr>
          <w:rFonts w:cs="Arial"/>
          <w:b/>
          <w:spacing w:val="10"/>
          <w:sz w:val="20"/>
          <w:szCs w:val="20"/>
        </w:rPr>
        <w:t>9</w:t>
      </w:r>
      <w:r w:rsidRPr="003265E8">
        <w:rPr>
          <w:rFonts w:cs="Arial"/>
          <w:b/>
          <w:spacing w:val="10"/>
          <w:sz w:val="20"/>
          <w:szCs w:val="20"/>
        </w:rPr>
        <w:t xml:space="preserve">: Celkový objem příspěvků tuzemských výrobců na </w:t>
      </w:r>
      <w:r w:rsidR="00816D07">
        <w:rPr>
          <w:rFonts w:cs="Arial"/>
          <w:b/>
          <w:spacing w:val="10"/>
          <w:sz w:val="20"/>
          <w:szCs w:val="20"/>
        </w:rPr>
        <w:t>ZO</w:t>
      </w:r>
      <w:r w:rsidRPr="003265E8">
        <w:rPr>
          <w:rFonts w:cs="Arial"/>
          <w:b/>
          <w:spacing w:val="10"/>
          <w:sz w:val="20"/>
          <w:szCs w:val="20"/>
        </w:rPr>
        <w:t xml:space="preserve"> pneumatik při</w:t>
      </w:r>
      <w:r w:rsidR="003B74C0">
        <w:rPr>
          <w:rFonts w:cs="Arial"/>
          <w:b/>
          <w:spacing w:val="10"/>
          <w:sz w:val="20"/>
          <w:szCs w:val="20"/>
        </w:rPr>
        <w:t> </w:t>
      </w:r>
      <w:r w:rsidRPr="003265E8">
        <w:rPr>
          <w:rFonts w:cs="Arial"/>
          <w:b/>
          <w:spacing w:val="10"/>
          <w:sz w:val="20"/>
          <w:szCs w:val="20"/>
        </w:rPr>
        <w:t>poplatku 3 Kč/kg a množství vyrobených vozidel z roku 2017</w:t>
      </w:r>
    </w:p>
    <w:tbl>
      <w:tblPr>
        <w:tblW w:w="8953" w:type="dxa"/>
        <w:tblInd w:w="75" w:type="dxa"/>
        <w:tblLayout w:type="fixed"/>
        <w:tblCellMar>
          <w:left w:w="70" w:type="dxa"/>
          <w:right w:w="70" w:type="dxa"/>
        </w:tblCellMar>
        <w:tblLook w:val="04A0"/>
      </w:tblPr>
      <w:tblGrid>
        <w:gridCol w:w="1621"/>
        <w:gridCol w:w="1068"/>
        <w:gridCol w:w="1113"/>
        <w:gridCol w:w="1155"/>
        <w:gridCol w:w="1417"/>
        <w:gridCol w:w="1134"/>
        <w:gridCol w:w="1445"/>
      </w:tblGrid>
      <w:tr w14:paraId="1C5A91C3" w14:textId="77777777" w:rsidTr="004F2CF7">
        <w:tblPrEx>
          <w:tblW w:w="8953" w:type="dxa"/>
          <w:tblInd w:w="75" w:type="dxa"/>
          <w:tblLayout w:type="fixed"/>
          <w:tblCellMar>
            <w:left w:w="70" w:type="dxa"/>
            <w:right w:w="70" w:type="dxa"/>
          </w:tblCellMar>
          <w:tblLook w:val="04A0"/>
        </w:tblPrEx>
        <w:trPr>
          <w:trHeight w:val="612"/>
        </w:trPr>
        <w:tc>
          <w:tcPr>
            <w:tcW w:w="1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DE" w:rsidRPr="003265E8" w:rsidP="00C473DD" w14:paraId="29283F04"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Značka (výrobce)</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DE" w:rsidRPr="003265E8" w:rsidP="00C473DD" w14:paraId="08064D61"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Počet pneu jako základní výbava</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ADE" w:rsidRPr="003265E8" w:rsidP="00C473DD" w14:paraId="74D33C4E"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Průměrnáhmotnost pneu   (kg)</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DF0ADE" w:rsidRPr="003265E8" w:rsidP="00C473DD" w14:paraId="66BD73C5"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Výroba vozidel v ČR</w:t>
            </w:r>
          </w:p>
        </w:tc>
        <w:tc>
          <w:tcPr>
            <w:tcW w:w="2579" w:type="dxa"/>
            <w:gridSpan w:val="2"/>
            <w:tcBorders>
              <w:top w:val="single" w:sz="4" w:space="0" w:color="auto"/>
              <w:left w:val="nil"/>
              <w:bottom w:val="single" w:sz="4" w:space="0" w:color="auto"/>
              <w:right w:val="single" w:sz="4" w:space="0" w:color="auto"/>
            </w:tcBorders>
            <w:shd w:val="clear" w:color="auto" w:fill="auto"/>
            <w:noWrap/>
            <w:vAlign w:val="center"/>
            <w:hideMark/>
          </w:tcPr>
          <w:p w:rsidR="00DF0ADE" w:rsidRPr="003265E8" w:rsidP="00C473DD" w14:paraId="0D0F3B17"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Tuzemský prodej vozidel</w:t>
            </w:r>
          </w:p>
        </w:tc>
      </w:tr>
      <w:tr w14:paraId="52C248AB" w14:textId="77777777" w:rsidTr="004F2CF7">
        <w:tblPrEx>
          <w:tblW w:w="8953" w:type="dxa"/>
          <w:tblInd w:w="75" w:type="dxa"/>
          <w:tblLayout w:type="fixed"/>
          <w:tblCellMar>
            <w:left w:w="70" w:type="dxa"/>
            <w:right w:w="70" w:type="dxa"/>
          </w:tblCellMar>
          <w:tblLook w:val="04A0"/>
        </w:tblPrEx>
        <w:trPr>
          <w:trHeight w:val="1542"/>
        </w:trPr>
        <w:tc>
          <w:tcPr>
            <w:tcW w:w="1621" w:type="dxa"/>
            <w:vMerge/>
            <w:tcBorders>
              <w:top w:val="single" w:sz="4" w:space="0" w:color="auto"/>
              <w:left w:val="single" w:sz="4" w:space="0" w:color="auto"/>
              <w:bottom w:val="single" w:sz="4" w:space="0" w:color="000000"/>
              <w:right w:val="single" w:sz="4" w:space="0" w:color="auto"/>
            </w:tcBorders>
            <w:vAlign w:val="center"/>
            <w:hideMark/>
          </w:tcPr>
          <w:p w:rsidR="00DF0ADE" w:rsidRPr="003265E8" w:rsidP="00C473DD" w14:paraId="5996A65A" w14:textId="77777777">
            <w:pPr>
              <w:keepNext/>
              <w:spacing w:line="240" w:lineRule="auto"/>
              <w:jc w:val="left"/>
              <w:rPr>
                <w:b/>
                <w:bCs/>
                <w:noProof w:val="0"/>
                <w:color w:val="000000"/>
                <w:sz w:val="20"/>
                <w:szCs w:val="20"/>
                <w:lang w:eastAsia="cs-CZ" w:bidi="ar-SA"/>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DF0ADE" w:rsidRPr="003265E8" w:rsidP="00C473DD" w14:paraId="0378B399" w14:textId="77777777">
            <w:pPr>
              <w:keepNext/>
              <w:spacing w:line="240" w:lineRule="auto"/>
              <w:jc w:val="left"/>
              <w:rPr>
                <w:b/>
                <w:bCs/>
                <w:noProof w:val="0"/>
                <w:color w:val="000000"/>
                <w:sz w:val="20"/>
                <w:szCs w:val="20"/>
                <w:lang w:eastAsia="cs-CZ" w:bidi="ar-SA"/>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DF0ADE" w:rsidRPr="003265E8" w:rsidP="00C473DD" w14:paraId="488EB372" w14:textId="77777777">
            <w:pPr>
              <w:keepNext/>
              <w:spacing w:line="240" w:lineRule="auto"/>
              <w:jc w:val="left"/>
              <w:rPr>
                <w:b/>
                <w:bCs/>
                <w:noProof w:val="0"/>
                <w:color w:val="000000"/>
                <w:sz w:val="20"/>
                <w:szCs w:val="20"/>
                <w:lang w:eastAsia="cs-CZ" w:bidi="ar-SA"/>
              </w:rPr>
            </w:pPr>
          </w:p>
        </w:tc>
        <w:tc>
          <w:tcPr>
            <w:tcW w:w="1155" w:type="dxa"/>
            <w:tcBorders>
              <w:top w:val="nil"/>
              <w:left w:val="nil"/>
              <w:bottom w:val="single" w:sz="4" w:space="0" w:color="auto"/>
              <w:right w:val="single" w:sz="4" w:space="0" w:color="auto"/>
            </w:tcBorders>
            <w:shd w:val="clear" w:color="auto" w:fill="auto"/>
            <w:vAlign w:val="center"/>
            <w:hideMark/>
          </w:tcPr>
          <w:p w:rsidR="00DF0ADE" w:rsidRPr="003265E8" w:rsidP="00C473DD" w14:paraId="25870577"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Celkový počet pneu v první výbavě</w:t>
            </w:r>
          </w:p>
        </w:tc>
        <w:tc>
          <w:tcPr>
            <w:tcW w:w="1417" w:type="dxa"/>
            <w:tcBorders>
              <w:top w:val="nil"/>
              <w:left w:val="nil"/>
              <w:bottom w:val="single" w:sz="4" w:space="0" w:color="auto"/>
              <w:right w:val="single" w:sz="4" w:space="0" w:color="auto"/>
            </w:tcBorders>
            <w:shd w:val="clear" w:color="auto" w:fill="auto"/>
            <w:vAlign w:val="center"/>
            <w:hideMark/>
          </w:tcPr>
          <w:p w:rsidR="00DF0ADE" w:rsidRPr="003265E8" w:rsidP="00C473DD" w14:paraId="47E97308"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Celková výše příspěvku na ZO pneu při poplatku 3 Kč/kg</w:t>
            </w:r>
          </w:p>
        </w:tc>
        <w:tc>
          <w:tcPr>
            <w:tcW w:w="1134" w:type="dxa"/>
            <w:tcBorders>
              <w:top w:val="nil"/>
              <w:left w:val="nil"/>
              <w:bottom w:val="single" w:sz="4" w:space="0" w:color="auto"/>
              <w:right w:val="single" w:sz="4" w:space="0" w:color="auto"/>
            </w:tcBorders>
            <w:shd w:val="clear" w:color="auto" w:fill="auto"/>
            <w:vAlign w:val="center"/>
            <w:hideMark/>
          </w:tcPr>
          <w:p w:rsidR="00DF0ADE" w:rsidRPr="003265E8" w:rsidP="00C473DD" w14:paraId="61EEDAB6"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Celkový počet pneu v první výbavě</w:t>
            </w:r>
          </w:p>
        </w:tc>
        <w:tc>
          <w:tcPr>
            <w:tcW w:w="1445" w:type="dxa"/>
            <w:tcBorders>
              <w:top w:val="nil"/>
              <w:left w:val="nil"/>
              <w:bottom w:val="single" w:sz="4" w:space="0" w:color="auto"/>
              <w:right w:val="single" w:sz="4" w:space="0" w:color="auto"/>
            </w:tcBorders>
            <w:shd w:val="clear" w:color="auto" w:fill="auto"/>
            <w:vAlign w:val="center"/>
            <w:hideMark/>
          </w:tcPr>
          <w:p w:rsidR="00DF0ADE" w:rsidRPr="003265E8" w:rsidP="00C473DD" w14:paraId="23496C09"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Celková výše příspěvku na ZO pneu při poplatku 3 Kč/kg</w:t>
            </w:r>
          </w:p>
        </w:tc>
      </w:tr>
      <w:tr w14:paraId="2D880D08"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C473DD" w14:paraId="026AB931" w14:textId="40D0D496">
            <w:pPr>
              <w:keepNext/>
              <w:spacing w:line="240" w:lineRule="auto"/>
              <w:jc w:val="left"/>
              <w:rPr>
                <w:noProof w:val="0"/>
                <w:color w:val="000000"/>
                <w:sz w:val="20"/>
                <w:szCs w:val="20"/>
                <w:lang w:eastAsia="cs-CZ" w:bidi="ar-SA"/>
              </w:rPr>
            </w:pPr>
            <w:r w:rsidRPr="003265E8">
              <w:rPr>
                <w:noProof w:val="0"/>
                <w:color w:val="000000"/>
                <w:sz w:val="20"/>
                <w:szCs w:val="20"/>
                <w:lang w:eastAsia="cs-CZ" w:bidi="ar-SA"/>
              </w:rPr>
              <w:t>Škoda</w:t>
            </w:r>
            <w:r w:rsidR="00D24744">
              <w:rPr>
                <w:noProof w:val="0"/>
                <w:color w:val="000000"/>
                <w:sz w:val="20"/>
                <w:szCs w:val="20"/>
                <w:lang w:eastAsia="cs-CZ" w:bidi="ar-SA"/>
              </w:rPr>
              <w:t xml:space="preserve"> </w:t>
            </w:r>
            <w:r w:rsidRPr="00D24744" w:rsidR="00D24744">
              <w:rPr>
                <w:noProof w:val="0"/>
                <w:color w:val="000000"/>
                <w:sz w:val="20"/>
                <w:szCs w:val="20"/>
                <w:lang w:eastAsia="cs-CZ" w:bidi="ar-SA"/>
              </w:rPr>
              <w:t>Auto a.s.</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C473DD" w14:paraId="534F43F2" w14:textId="77777777">
            <w:pPr>
              <w:keepNext/>
              <w:spacing w:line="240" w:lineRule="auto"/>
              <w:jc w:val="center"/>
              <w:rPr>
                <w:noProof w:val="0"/>
                <w:color w:val="000000"/>
                <w:sz w:val="20"/>
                <w:szCs w:val="20"/>
                <w:lang w:eastAsia="cs-CZ" w:bidi="ar-SA"/>
              </w:rPr>
            </w:pPr>
            <w:r w:rsidRPr="003265E8">
              <w:rPr>
                <w:noProof w:val="0"/>
                <w:color w:val="000000"/>
                <w:sz w:val="20"/>
                <w:szCs w:val="20"/>
                <w:lang w:eastAsia="cs-CZ" w:bidi="ar-SA"/>
              </w:rPr>
              <w:t>5</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C473DD" w14:paraId="22EE8F22" w14:textId="77777777">
            <w:pPr>
              <w:keepNext/>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C473DD" w14:paraId="34F5CB44" w14:textId="77777777">
            <w:pPr>
              <w:keepNext/>
              <w:spacing w:line="240" w:lineRule="auto"/>
              <w:jc w:val="center"/>
              <w:rPr>
                <w:noProof w:val="0"/>
                <w:color w:val="000000"/>
                <w:sz w:val="20"/>
                <w:szCs w:val="20"/>
                <w:lang w:eastAsia="cs-CZ" w:bidi="ar-SA"/>
              </w:rPr>
            </w:pPr>
            <w:r w:rsidRPr="003265E8">
              <w:rPr>
                <w:noProof w:val="0"/>
                <w:color w:val="000000"/>
                <w:sz w:val="20"/>
                <w:szCs w:val="20"/>
                <w:lang w:eastAsia="cs-CZ" w:bidi="ar-SA"/>
              </w:rPr>
              <w:t>4 290 515</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C473DD" w14:paraId="5483C738" w14:textId="77777777">
            <w:pPr>
              <w:keepNext/>
              <w:spacing w:line="240" w:lineRule="auto"/>
              <w:jc w:val="center"/>
              <w:rPr>
                <w:b/>
                <w:noProof w:val="0"/>
                <w:color w:val="000000"/>
                <w:sz w:val="20"/>
                <w:szCs w:val="20"/>
                <w:lang w:eastAsia="cs-CZ" w:bidi="ar-SA"/>
              </w:rPr>
            </w:pPr>
            <w:r w:rsidRPr="003265E8">
              <w:rPr>
                <w:b/>
                <w:noProof w:val="0"/>
                <w:color w:val="000000"/>
                <w:sz w:val="20"/>
                <w:szCs w:val="20"/>
                <w:lang w:eastAsia="cs-CZ" w:bidi="ar-SA"/>
              </w:rPr>
              <w:t>90 100 815</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C473DD" w14:paraId="5E7E8F2D" w14:textId="77777777">
            <w:pPr>
              <w:keepNext/>
              <w:spacing w:line="240" w:lineRule="auto"/>
              <w:jc w:val="center"/>
              <w:rPr>
                <w:noProof w:val="0"/>
                <w:color w:val="000000"/>
                <w:sz w:val="20"/>
                <w:szCs w:val="20"/>
                <w:lang w:eastAsia="cs-CZ" w:bidi="ar-SA"/>
              </w:rPr>
            </w:pPr>
            <w:r w:rsidRPr="003265E8">
              <w:rPr>
                <w:noProof w:val="0"/>
                <w:color w:val="000000"/>
                <w:sz w:val="20"/>
                <w:szCs w:val="20"/>
                <w:lang w:eastAsia="cs-CZ" w:bidi="ar-SA"/>
              </w:rPr>
              <w:t>475 085</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C473DD" w14:paraId="38479767" w14:textId="77777777">
            <w:pPr>
              <w:keepNext/>
              <w:spacing w:line="240" w:lineRule="auto"/>
              <w:jc w:val="center"/>
              <w:rPr>
                <w:b/>
                <w:noProof w:val="0"/>
                <w:color w:val="000000"/>
                <w:sz w:val="20"/>
                <w:szCs w:val="20"/>
                <w:lang w:eastAsia="cs-CZ" w:bidi="ar-SA"/>
              </w:rPr>
            </w:pPr>
            <w:r w:rsidRPr="003265E8">
              <w:rPr>
                <w:b/>
                <w:noProof w:val="0"/>
                <w:color w:val="000000"/>
                <w:sz w:val="20"/>
                <w:szCs w:val="20"/>
                <w:lang w:eastAsia="cs-CZ" w:bidi="ar-SA"/>
              </w:rPr>
              <w:t>9 976 785</w:t>
            </w:r>
          </w:p>
        </w:tc>
      </w:tr>
      <w:tr w14:paraId="07B4FC9C"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5768B1BD" w14:textId="2B6FD243">
            <w:pPr>
              <w:spacing w:line="240" w:lineRule="auto"/>
              <w:jc w:val="left"/>
              <w:rPr>
                <w:noProof w:val="0"/>
                <w:color w:val="000000"/>
                <w:sz w:val="20"/>
                <w:szCs w:val="20"/>
                <w:lang w:eastAsia="cs-CZ" w:bidi="ar-SA"/>
              </w:rPr>
            </w:pPr>
            <w:r w:rsidRPr="003265E8">
              <w:rPr>
                <w:noProof w:val="0"/>
                <w:color w:val="000000"/>
                <w:sz w:val="20"/>
                <w:szCs w:val="20"/>
                <w:lang w:eastAsia="cs-CZ" w:bidi="ar-SA"/>
              </w:rPr>
              <w:t>TPCA</w:t>
            </w:r>
            <w:r w:rsidR="00DE42AC">
              <w:rPr>
                <w:noProof w:val="0"/>
                <w:color w:val="000000"/>
                <w:sz w:val="20"/>
                <w:szCs w:val="20"/>
                <w:lang w:eastAsia="cs-CZ" w:bidi="ar-SA"/>
              </w:rPr>
              <w:t xml:space="preserve"> </w:t>
            </w:r>
            <w:r w:rsidRPr="004F2CF7" w:rsidR="00DE42AC">
              <w:rPr>
                <w:noProof w:val="0"/>
                <w:color w:val="000000"/>
                <w:sz w:val="20"/>
                <w:szCs w:val="20"/>
                <w:lang w:eastAsia="cs-CZ" w:bidi="ar-SA"/>
              </w:rPr>
              <w:t>Czech s.r.o.</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6778496"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5</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1226620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58BAA31"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995 390</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3A0CF91C"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20 903 190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1EBD82D0"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2 170</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67501EA8"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45 570</w:t>
            </w:r>
          </w:p>
        </w:tc>
      </w:tr>
      <w:tr w14:paraId="3E07553D"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454B9D86"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Hyundai</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0E70802"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5</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3A2ADE8A"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19A81540"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1 783 500</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043F145"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37 453 500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298BC6AC"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78 715</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72518FD2"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1 653 015</w:t>
            </w:r>
          </w:p>
        </w:tc>
      </w:tr>
      <w:tr w14:paraId="268E6E8F"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3A5DD901" w14:textId="0DAC45D3">
            <w:pPr>
              <w:spacing w:line="240" w:lineRule="auto"/>
              <w:jc w:val="left"/>
              <w:rPr>
                <w:noProof w:val="0"/>
                <w:color w:val="000000"/>
                <w:sz w:val="20"/>
                <w:szCs w:val="20"/>
                <w:lang w:eastAsia="cs-CZ" w:bidi="ar-SA"/>
              </w:rPr>
            </w:pPr>
            <w:r w:rsidRPr="00D24744">
              <w:rPr>
                <w:noProof w:val="0"/>
                <w:color w:val="000000"/>
                <w:sz w:val="20"/>
                <w:szCs w:val="20"/>
                <w:lang w:eastAsia="cs-CZ" w:bidi="ar-SA"/>
              </w:rPr>
              <w:t>TATRA TRUCKS a.s.</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3D5ADF05"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22A8C9E"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70</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15618662"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10 367</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596D102D"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2 177 070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48127F7D"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3 045</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08B1C2E5"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639 450</w:t>
            </w:r>
          </w:p>
        </w:tc>
      </w:tr>
      <w:tr w14:paraId="30F6B783"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41343399"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IVECO Bus</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AAC51A6"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FC4F15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70</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116BA4F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28 714</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9A49C6D"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6 029 940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6B11F5BC"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2 674</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2B0D1BF8"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561 540</w:t>
            </w:r>
          </w:p>
        </w:tc>
      </w:tr>
      <w:tr w14:paraId="6FD1E8C1"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DE42AC" w14:paraId="03EADBD5" w14:textId="18B81171">
            <w:pPr>
              <w:spacing w:line="240" w:lineRule="auto"/>
              <w:jc w:val="left"/>
              <w:rPr>
                <w:noProof w:val="0"/>
                <w:color w:val="000000"/>
                <w:sz w:val="20"/>
                <w:szCs w:val="20"/>
                <w:lang w:eastAsia="cs-CZ" w:bidi="ar-SA"/>
              </w:rPr>
            </w:pPr>
            <w:r w:rsidRPr="003265E8">
              <w:rPr>
                <w:noProof w:val="0"/>
                <w:color w:val="000000"/>
                <w:sz w:val="20"/>
                <w:szCs w:val="20"/>
                <w:lang w:eastAsia="cs-CZ" w:bidi="ar-SA"/>
              </w:rPr>
              <w:t>SOR</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400398B"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77AC680D"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70</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2C20C3C5"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3 304</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0031897"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693 840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11D2F8EE"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1 169</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65A46C0C"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245 490</w:t>
            </w:r>
          </w:p>
        </w:tc>
      </w:tr>
      <w:tr w14:paraId="61EB5037"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62DB14EB"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KH motor centrum Opava</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9BE6F4A"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9C01D48"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70</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0A30443A"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399</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78B61C37"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83 790</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7D655E31"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399</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34DB7384"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83 790</w:t>
            </w:r>
          </w:p>
        </w:tc>
      </w:tr>
      <w:tr w14:paraId="700F8667"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DF0ADE" w:rsidRPr="003265E8" w:rsidP="006031E5" w14:paraId="1B712FD7"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Jawa</w:t>
            </w:r>
          </w:p>
        </w:tc>
        <w:tc>
          <w:tcPr>
            <w:tcW w:w="1068"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045071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2</w:t>
            </w:r>
          </w:p>
        </w:tc>
        <w:tc>
          <w:tcPr>
            <w:tcW w:w="1113"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532F1D0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6</w:t>
            </w:r>
          </w:p>
        </w:tc>
        <w:tc>
          <w:tcPr>
            <w:tcW w:w="1155"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517A9866"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2 662</w:t>
            </w:r>
          </w:p>
        </w:tc>
        <w:tc>
          <w:tcPr>
            <w:tcW w:w="1417" w:type="dxa"/>
            <w:tcBorders>
              <w:top w:val="nil"/>
              <w:left w:val="nil"/>
              <w:bottom w:val="single" w:sz="4" w:space="0" w:color="auto"/>
              <w:right w:val="single" w:sz="4" w:space="0" w:color="auto"/>
            </w:tcBorders>
            <w:shd w:val="clear" w:color="auto" w:fill="auto"/>
            <w:noWrap/>
            <w:vAlign w:val="center"/>
            <w:hideMark/>
          </w:tcPr>
          <w:p w:rsidR="00DF0ADE" w:rsidRPr="003265E8" w:rsidP="006031E5" w14:paraId="673553A0"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47 916</w:t>
            </w:r>
          </w:p>
        </w:tc>
        <w:tc>
          <w:tcPr>
            <w:tcW w:w="1134"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03D6016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348</w:t>
            </w:r>
          </w:p>
        </w:tc>
        <w:tc>
          <w:tcPr>
            <w:tcW w:w="1445" w:type="dxa"/>
            <w:tcBorders>
              <w:top w:val="nil"/>
              <w:left w:val="nil"/>
              <w:bottom w:val="single" w:sz="4" w:space="0" w:color="auto"/>
              <w:right w:val="single" w:sz="4" w:space="0" w:color="auto"/>
            </w:tcBorders>
            <w:shd w:val="clear" w:color="auto" w:fill="auto"/>
            <w:noWrap/>
            <w:vAlign w:val="bottom"/>
            <w:hideMark/>
          </w:tcPr>
          <w:p w:rsidR="00DF0ADE" w:rsidRPr="003265E8" w:rsidP="006031E5" w14:paraId="4400DC48" w14:textId="77777777">
            <w:pPr>
              <w:spacing w:line="240" w:lineRule="auto"/>
              <w:jc w:val="center"/>
              <w:rPr>
                <w:b/>
                <w:noProof w:val="0"/>
                <w:color w:val="000000"/>
                <w:sz w:val="20"/>
                <w:szCs w:val="20"/>
                <w:lang w:eastAsia="cs-CZ" w:bidi="ar-SA"/>
              </w:rPr>
            </w:pPr>
            <w:r w:rsidRPr="003265E8">
              <w:rPr>
                <w:b/>
                <w:noProof w:val="0"/>
                <w:color w:val="000000"/>
                <w:sz w:val="20"/>
                <w:szCs w:val="20"/>
                <w:lang w:eastAsia="cs-CZ" w:bidi="ar-SA"/>
              </w:rPr>
              <w:t>6 264</w:t>
            </w:r>
          </w:p>
        </w:tc>
      </w:tr>
      <w:tr w14:paraId="41B3F5DA" w14:textId="77777777" w:rsidTr="004F2CF7">
        <w:tblPrEx>
          <w:tblW w:w="8953" w:type="dxa"/>
          <w:tblInd w:w="75" w:type="dxa"/>
          <w:tblLayout w:type="fixed"/>
          <w:tblCellMar>
            <w:left w:w="70" w:type="dxa"/>
            <w:right w:w="70" w:type="dxa"/>
          </w:tblCellMar>
          <w:tblLook w:val="04A0"/>
        </w:tblPrEx>
        <w:trPr>
          <w:trHeight w:val="277"/>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0ADE" w:rsidRPr="003265E8" w:rsidP="006031E5" w14:paraId="1EA40BDD"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Celkem</w:t>
            </w:r>
          </w:p>
        </w:tc>
        <w:tc>
          <w:tcPr>
            <w:tcW w:w="1068"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1667ED3D" w14:textId="77777777">
            <w:pPr>
              <w:spacing w:line="240" w:lineRule="auto"/>
              <w:jc w:val="center"/>
              <w:rPr>
                <w:noProof w:val="0"/>
                <w:color w:val="000000"/>
                <w:sz w:val="20"/>
                <w:szCs w:val="20"/>
                <w:lang w:eastAsia="cs-CZ" w:bidi="ar-SA"/>
              </w:rPr>
            </w:pP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2C04E95F" w14:textId="77777777">
            <w:pPr>
              <w:spacing w:line="240" w:lineRule="auto"/>
              <w:jc w:val="center"/>
              <w:rPr>
                <w:noProof w:val="0"/>
                <w:color w:val="000000"/>
                <w:sz w:val="20"/>
                <w:szCs w:val="20"/>
                <w:lang w:eastAsia="cs-CZ" w:bidi="ar-SA"/>
              </w:rPr>
            </w:pPr>
          </w:p>
        </w:tc>
        <w:tc>
          <w:tcPr>
            <w:tcW w:w="1155"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53799B6E" w14:textId="77777777">
            <w:pPr>
              <w:spacing w:line="240" w:lineRule="auto"/>
              <w:jc w:val="center"/>
              <w:rPr>
                <w:noProof w:val="0"/>
                <w:color w:val="000000"/>
                <w:sz w:val="20"/>
                <w:szCs w:val="20"/>
                <w:lang w:eastAsia="cs-CZ" w:bidi="ar-SA"/>
              </w:rPr>
            </w:pPr>
            <w:r w:rsidRPr="003265E8">
              <w:rPr>
                <w:b/>
                <w:bCs/>
                <w:color w:val="000000"/>
                <w:sz w:val="20"/>
                <w:szCs w:val="20"/>
              </w:rPr>
              <w:t>7 114 851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7B4CB475" w14:textId="77777777">
            <w:pPr>
              <w:spacing w:line="240" w:lineRule="auto"/>
              <w:jc w:val="center"/>
              <w:rPr>
                <w:b/>
                <w:noProof w:val="0"/>
                <w:color w:val="000000"/>
                <w:sz w:val="20"/>
                <w:szCs w:val="20"/>
                <w:lang w:eastAsia="cs-CZ" w:bidi="ar-SA"/>
              </w:rPr>
            </w:pPr>
            <w:r w:rsidRPr="003265E8">
              <w:rPr>
                <w:b/>
                <w:bCs/>
                <w:color w:val="000000"/>
                <w:sz w:val="20"/>
                <w:szCs w:val="20"/>
              </w:rPr>
              <w:t>157 490 061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48B3E31D" w14:textId="77777777">
            <w:pPr>
              <w:spacing w:line="240" w:lineRule="auto"/>
              <w:jc w:val="center"/>
              <w:rPr>
                <w:noProof w:val="0"/>
                <w:color w:val="000000"/>
                <w:sz w:val="20"/>
                <w:szCs w:val="20"/>
                <w:lang w:eastAsia="cs-CZ" w:bidi="ar-SA"/>
              </w:rPr>
            </w:pPr>
            <w:r w:rsidRPr="003265E8">
              <w:rPr>
                <w:b/>
                <w:bCs/>
                <w:color w:val="000000"/>
                <w:sz w:val="20"/>
                <w:szCs w:val="20"/>
              </w:rPr>
              <w:t>563 605</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DF0ADE" w:rsidRPr="003265E8" w:rsidP="006031E5" w14:paraId="381CBE0E" w14:textId="77777777">
            <w:pPr>
              <w:spacing w:line="240" w:lineRule="auto"/>
              <w:jc w:val="center"/>
              <w:rPr>
                <w:b/>
                <w:noProof w:val="0"/>
                <w:color w:val="000000"/>
                <w:sz w:val="20"/>
                <w:szCs w:val="20"/>
                <w:lang w:eastAsia="cs-CZ" w:bidi="ar-SA"/>
              </w:rPr>
            </w:pPr>
            <w:r w:rsidRPr="003265E8">
              <w:rPr>
                <w:b/>
                <w:bCs/>
                <w:color w:val="000000"/>
                <w:sz w:val="20"/>
                <w:szCs w:val="20"/>
              </w:rPr>
              <w:t>13 211 904</w:t>
            </w:r>
          </w:p>
        </w:tc>
      </w:tr>
    </w:tbl>
    <w:p w:rsidR="00DF0ADE" w:rsidRPr="00ED38E9" w:rsidP="00816D07" w14:paraId="7B76026F" w14:textId="77777777">
      <w:pPr>
        <w:spacing w:before="240"/>
        <w:rPr>
          <w:rFonts w:cs="Arial"/>
        </w:rPr>
      </w:pPr>
      <w:r w:rsidRPr="00ED38E9">
        <w:rPr>
          <w:rFonts w:cs="Arial"/>
        </w:rPr>
        <w:t>Vycházíme-li z počtu vozidel, které byly na území Č</w:t>
      </w:r>
      <w:r>
        <w:rPr>
          <w:rFonts w:cs="Arial"/>
        </w:rPr>
        <w:t>R</w:t>
      </w:r>
      <w:r w:rsidRPr="00ED38E9">
        <w:rPr>
          <w:rFonts w:cs="Arial"/>
        </w:rPr>
        <w:t xml:space="preserve"> vyrobeny v roce 201</w:t>
      </w:r>
      <w:r>
        <w:rPr>
          <w:rFonts w:cs="Arial"/>
        </w:rPr>
        <w:t>7</w:t>
      </w:r>
      <w:r w:rsidRPr="00ED38E9">
        <w:rPr>
          <w:rFonts w:cs="Arial"/>
        </w:rPr>
        <w:t xml:space="preserve"> (osobní automobily, autobusy, nákladní vozy</w:t>
      </w:r>
      <w:r>
        <w:rPr>
          <w:rFonts w:cs="Arial"/>
        </w:rPr>
        <w:t>, motocykly</w:t>
      </w:r>
      <w:r w:rsidRPr="00ED38E9">
        <w:rPr>
          <w:rFonts w:cs="Arial"/>
        </w:rPr>
        <w:t>), a počtu kolik z těchto vozidel bylo prodáno na</w:t>
      </w:r>
      <w:r>
        <w:rPr>
          <w:rFonts w:cs="Arial"/>
        </w:rPr>
        <w:t> </w:t>
      </w:r>
      <w:r w:rsidRPr="00ED38E9">
        <w:rPr>
          <w:rFonts w:cs="Arial"/>
        </w:rPr>
        <w:t xml:space="preserve">našem území, tak zjistíme, že </w:t>
      </w:r>
      <w:r>
        <w:rPr>
          <w:rFonts w:cs="Arial"/>
        </w:rPr>
        <w:t xml:space="preserve">celková roční výše příspěvku na ZO pneumatik zaplacená výrobci </w:t>
      </w:r>
      <w:r w:rsidRPr="00A93FAA">
        <w:rPr>
          <w:rFonts w:cs="Arial"/>
          <w:b/>
        </w:rPr>
        <w:t>v případě recyklačního příspěvku 3 Kč/kg</w:t>
      </w:r>
      <w:r w:rsidRPr="00ED38E9">
        <w:rPr>
          <w:rFonts w:cs="Arial"/>
        </w:rPr>
        <w:t xml:space="preserve"> </w:t>
      </w:r>
      <w:r w:rsidRPr="00221615">
        <w:rPr>
          <w:rFonts w:cs="Arial"/>
          <w:b/>
        </w:rPr>
        <w:t>by činila téměř 157,5 mil. Kč a</w:t>
      </w:r>
      <w:r>
        <w:rPr>
          <w:rFonts w:cs="Arial"/>
          <w:b/>
        </w:rPr>
        <w:t> </w:t>
      </w:r>
      <w:r w:rsidRPr="00221615">
        <w:rPr>
          <w:rFonts w:cs="Arial"/>
          <w:b/>
        </w:rPr>
        <w:t xml:space="preserve">v rámci refundací </w:t>
      </w:r>
      <w:r>
        <w:rPr>
          <w:rFonts w:cs="Arial"/>
          <w:b/>
        </w:rPr>
        <w:t xml:space="preserve">by </w:t>
      </w:r>
      <w:r w:rsidRPr="00221615">
        <w:rPr>
          <w:rFonts w:cs="Arial"/>
          <w:b/>
        </w:rPr>
        <w:t>muselo být převáděno</w:t>
      </w:r>
      <w:r>
        <w:rPr>
          <w:rFonts w:cs="Arial"/>
          <w:b/>
        </w:rPr>
        <w:t xml:space="preserve"> každoročně</w:t>
      </w:r>
      <w:r w:rsidRPr="00221615">
        <w:rPr>
          <w:rFonts w:cs="Arial"/>
          <w:b/>
        </w:rPr>
        <w:t xml:space="preserve"> celkem cca 144 mil. Kč </w:t>
      </w:r>
      <w:r w:rsidRPr="00ED38E9">
        <w:rPr>
          <w:rFonts w:cs="Arial"/>
        </w:rPr>
        <w:t>(jedná se o hrubý odhad, který nejvíce ovlivňují náklady na logistiku – zdroj: Filák, R.).</w:t>
      </w:r>
    </w:p>
    <w:p w:rsidR="00DF0ADE" w:rsidRPr="00C473DD" w:rsidP="003C445B" w14:paraId="69C76521" w14:textId="77777777">
      <w:pPr>
        <w:pStyle w:val="ListParagraph"/>
        <w:numPr>
          <w:ilvl w:val="0"/>
          <w:numId w:val="13"/>
        </w:numPr>
        <w:spacing w:before="360" w:after="120"/>
        <w:ind w:left="714" w:hanging="357"/>
        <w:contextualSpacing w:val="0"/>
        <w:rPr>
          <w:rFonts w:cs="Arial"/>
          <w:b/>
        </w:rPr>
      </w:pPr>
      <w:r w:rsidRPr="00C473DD">
        <w:rPr>
          <w:rFonts w:cs="Arial"/>
          <w:b/>
        </w:rPr>
        <w:t>Varianta 2</w:t>
      </w:r>
    </w:p>
    <w:p w:rsidR="00DF0ADE" w:rsidRPr="00ED38E9" w:rsidP="00DF0ADE" w14:paraId="217F9D33" w14:textId="4077C981">
      <w:pPr>
        <w:rPr>
          <w:rFonts w:cs="Arial"/>
        </w:rPr>
      </w:pPr>
      <w:r w:rsidRPr="00ED38E9">
        <w:rPr>
          <w:rFonts w:cs="Arial"/>
        </w:rPr>
        <w:t>Hlavním přínosem této varianty je nastavení pravidel tak, aby nedocházelo k vysokým refundacím v případě exportu pneu</w:t>
      </w:r>
      <w:r w:rsidR="00816D07">
        <w:rPr>
          <w:rFonts w:cs="Arial"/>
        </w:rPr>
        <w:t>matik do zahraničí jako součást</w:t>
      </w:r>
      <w:r w:rsidRPr="00ED38E9">
        <w:rPr>
          <w:rFonts w:cs="Arial"/>
        </w:rPr>
        <w:t xml:space="preserve"> nového vozidla a dalším administrativním úkonům, které by zatěžovaly celý systém. Z komunikace se Sdružením výrobců a dovozců pneumatik vyplynulo, že přibližně 95 % celkové produkce pneumatik dodaných tuzemským výrobcům vozidel je exportováno. </w:t>
      </w:r>
    </w:p>
    <w:p w:rsidR="00DF0ADE" w:rsidRPr="00ED38E9" w:rsidP="00DF0ADE" w14:paraId="37BE6AD2" w14:textId="77777777">
      <w:pPr>
        <w:rPr>
          <w:rFonts w:cs="Arial"/>
        </w:rPr>
      </w:pPr>
      <w:r w:rsidRPr="00ED38E9">
        <w:rPr>
          <w:rFonts w:cs="Arial"/>
        </w:rPr>
        <w:t>Na trhu nových vozidel nejsou jen vozidla vyrobená v </w:t>
      </w:r>
      <w:r>
        <w:rPr>
          <w:rFonts w:cs="Arial"/>
        </w:rPr>
        <w:t>ČR</w:t>
      </w:r>
      <w:r w:rsidRPr="00ED38E9">
        <w:rPr>
          <w:rFonts w:cs="Arial"/>
        </w:rPr>
        <w:t xml:space="preserve">, ale i vozidla zahraničních výrobců, na které se vztahuje uvádění recyklačního </w:t>
      </w:r>
      <w:r>
        <w:rPr>
          <w:rFonts w:cs="Arial"/>
        </w:rPr>
        <w:t>příspěvku</w:t>
      </w:r>
      <w:r w:rsidRPr="00ED38E9">
        <w:rPr>
          <w:rFonts w:cs="Arial"/>
        </w:rPr>
        <w:t>. Následující tabulka zobrazuje odhadované množství finančních prostředků vybraných při prodeji nových vozidel.</w:t>
      </w:r>
    </w:p>
    <w:p w:rsidR="00DF0ADE" w:rsidP="00257690" w14:paraId="7AB3A355" w14:textId="1528B337">
      <w:pPr>
        <w:pStyle w:val="Caption"/>
        <w:spacing w:before="360"/>
        <w:contextualSpacing w:val="0"/>
        <w:rPr>
          <w:rFonts w:cs="Arial"/>
        </w:rPr>
      </w:pPr>
      <w:r w:rsidRPr="00ED38E9">
        <w:rPr>
          <w:rFonts w:cs="Arial"/>
        </w:rPr>
        <w:t>Tabulka</w:t>
      </w:r>
      <w:r w:rsidR="00B1436D">
        <w:rPr>
          <w:rFonts w:cs="Arial"/>
        </w:rPr>
        <w:t xml:space="preserve"> </w:t>
      </w:r>
      <w:r w:rsidR="00925F10">
        <w:rPr>
          <w:rFonts w:cs="Arial"/>
        </w:rPr>
        <w:t>60</w:t>
      </w:r>
      <w:r w:rsidRPr="00ED38E9">
        <w:rPr>
          <w:rFonts w:cs="Arial"/>
        </w:rPr>
        <w:t xml:space="preserve">: Přehled nových vozidel </w:t>
      </w:r>
      <w:r w:rsidRPr="009F7E0D">
        <w:rPr>
          <w:rFonts w:cs="Arial"/>
        </w:rPr>
        <w:t>registrovaných v roce 201</w:t>
      </w:r>
      <w:r w:rsidRPr="00221615">
        <w:rPr>
          <w:rFonts w:cs="Arial"/>
        </w:rPr>
        <w:t>6</w:t>
      </w:r>
      <w:r w:rsidRPr="009F7E0D">
        <w:rPr>
          <w:rFonts w:cs="Arial"/>
        </w:rPr>
        <w:t xml:space="preserve"> v</w:t>
      </w:r>
      <w:r w:rsidRPr="00ED38E9">
        <w:rPr>
          <w:rFonts w:cs="Arial"/>
        </w:rPr>
        <w:t xml:space="preserve"> ČR včetně odhadu </w:t>
      </w:r>
      <w:r>
        <w:rPr>
          <w:rFonts w:cs="Arial"/>
        </w:rPr>
        <w:t>příspěvků</w:t>
      </w:r>
    </w:p>
    <w:tbl>
      <w:tblPr>
        <w:tblW w:w="8780" w:type="dxa"/>
        <w:tblInd w:w="70" w:type="dxa"/>
        <w:tblCellMar>
          <w:left w:w="70" w:type="dxa"/>
          <w:right w:w="70" w:type="dxa"/>
        </w:tblCellMar>
        <w:tblLook w:val="04A0"/>
      </w:tblPr>
      <w:tblGrid>
        <w:gridCol w:w="2810"/>
        <w:gridCol w:w="1417"/>
        <w:gridCol w:w="1397"/>
        <w:gridCol w:w="1319"/>
        <w:gridCol w:w="1692"/>
        <w:gridCol w:w="357"/>
      </w:tblGrid>
      <w:tr w14:paraId="75220CEF" w14:textId="77777777" w:rsidTr="006031E5">
        <w:tblPrEx>
          <w:tblW w:w="8780" w:type="dxa"/>
          <w:tblInd w:w="70" w:type="dxa"/>
          <w:tblCellMar>
            <w:left w:w="70" w:type="dxa"/>
            <w:right w:w="70" w:type="dxa"/>
          </w:tblCellMar>
          <w:tblLook w:val="04A0"/>
        </w:tblPrEx>
        <w:trPr>
          <w:gridAfter w:val="1"/>
          <w:wAfter w:w="373" w:type="dxa"/>
          <w:trHeight w:val="12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ADE" w:rsidRPr="00B7387B" w:rsidP="006031E5" w14:paraId="588DF32E" w14:textId="77777777">
            <w:pPr>
              <w:spacing w:line="240" w:lineRule="auto"/>
              <w:jc w:val="left"/>
              <w:rPr>
                <w:b/>
                <w:bCs/>
                <w:noProof w:val="0"/>
                <w:color w:val="000000"/>
                <w:sz w:val="20"/>
                <w:szCs w:val="20"/>
                <w:lang w:eastAsia="cs-CZ" w:bidi="ar-SA"/>
              </w:rPr>
            </w:pPr>
            <w:r w:rsidRPr="00B7387B">
              <w:rPr>
                <w:b/>
                <w:bCs/>
                <w:noProof w:val="0"/>
                <w:color w:val="000000"/>
                <w:sz w:val="20"/>
                <w:szCs w:val="20"/>
                <w:lang w:eastAsia="cs-CZ" w:bidi="ar-SA"/>
              </w:rPr>
              <w:t>Kategorie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0ADE" w:rsidRPr="00B7387B" w:rsidP="006031E5" w14:paraId="58B71CED"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počet nových vozidel (ks)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DF0ADE" w:rsidRPr="00B7387B" w:rsidP="006031E5" w14:paraId="03DD9B8C"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průměrný počet pneu jako první výbava (ks)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DF0ADE" w:rsidRPr="00B7387B" w:rsidP="006031E5" w14:paraId="67A50F77"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průměrná hmotnost pneumatiky (kg)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F0ADE" w:rsidRPr="00B7387B" w:rsidP="003265E8" w14:paraId="424F3E9E"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objem finančních prostředků při Ø poplatku 3</w:t>
            </w:r>
            <w:r w:rsidRPr="00B7387B" w:rsidR="003265E8">
              <w:rPr>
                <w:b/>
                <w:bCs/>
                <w:noProof w:val="0"/>
                <w:color w:val="000000"/>
                <w:sz w:val="20"/>
                <w:szCs w:val="20"/>
                <w:lang w:eastAsia="cs-CZ" w:bidi="ar-SA"/>
              </w:rPr>
              <w:t> </w:t>
            </w:r>
            <w:r w:rsidRPr="00B7387B">
              <w:rPr>
                <w:b/>
                <w:bCs/>
                <w:noProof w:val="0"/>
                <w:color w:val="000000"/>
                <w:sz w:val="20"/>
                <w:szCs w:val="20"/>
                <w:lang w:eastAsia="cs-CZ" w:bidi="ar-SA"/>
              </w:rPr>
              <w:t>Kč/kg (Kč)</w:t>
            </w:r>
          </w:p>
        </w:tc>
      </w:tr>
      <w:tr w14:paraId="648A7131"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36572F5A"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Osobní automobily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49C0535B"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259 693</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724AA4B8"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5</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349E1ECE"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7</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31109755"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27 267 765</w:t>
            </w:r>
          </w:p>
        </w:tc>
      </w:tr>
      <w:tr w14:paraId="50C46222"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2E25526C"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Lehká užitková vozidla</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68D7C91B"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19 239</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394B02C6"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6</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0DB64A56"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20</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254E8801"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6 926 040</w:t>
            </w:r>
          </w:p>
        </w:tc>
      </w:tr>
      <w:tr w14:paraId="451EA8E3"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18F58F0A"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Autobusy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F7D4090"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1 013</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23228432"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7</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7E362842"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70</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7EB371B8"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1 489 110</w:t>
            </w:r>
          </w:p>
        </w:tc>
      </w:tr>
      <w:tr w14:paraId="080D3E8E"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4441EED9"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Nákladní automobily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3074C144"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11 063</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0A271DA8"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7</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9A9623E"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70</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22A9E72"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16 262 610</w:t>
            </w:r>
          </w:p>
        </w:tc>
      </w:tr>
      <w:tr w14:paraId="3A335D33"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7F257778"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Motocykly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5B652509"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17 867</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524AC095"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8CAE6B4"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6</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3B014150"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643 212</w:t>
            </w:r>
          </w:p>
        </w:tc>
      </w:tr>
      <w:tr w14:paraId="34BF04E5"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5F8B3DC6"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Přívěsy a návěsy*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7BCDC35F"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36 192</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FCD09AD"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4</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7F8F68F"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45</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45179514"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19 543 680</w:t>
            </w:r>
          </w:p>
        </w:tc>
      </w:tr>
      <w:tr w14:paraId="2D627B20"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1F2B9CDC"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Traktory</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672D6B54"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2 619</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547B5353"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4</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A3880E1"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85</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04B4F688"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2 671 380</w:t>
            </w:r>
          </w:p>
        </w:tc>
      </w:tr>
      <w:tr w14:paraId="421C714E"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361A4B8C"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Ostatní vozidla**</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29D11A4B"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2 173</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55EA8051"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4</w:t>
            </w:r>
          </w:p>
        </w:tc>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204991CC"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10</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416B07F1" w14:textId="77777777">
            <w:pPr>
              <w:spacing w:line="240" w:lineRule="auto"/>
              <w:jc w:val="center"/>
              <w:rPr>
                <w:noProof w:val="0"/>
                <w:color w:val="000000"/>
                <w:sz w:val="20"/>
                <w:szCs w:val="20"/>
                <w:lang w:eastAsia="cs-CZ" w:bidi="ar-SA"/>
              </w:rPr>
            </w:pPr>
            <w:r w:rsidRPr="00B7387B">
              <w:rPr>
                <w:noProof w:val="0"/>
                <w:color w:val="000000"/>
                <w:sz w:val="20"/>
                <w:szCs w:val="20"/>
                <w:lang w:eastAsia="cs-CZ" w:bidi="ar-SA"/>
              </w:rPr>
              <w:t>260 760</w:t>
            </w:r>
          </w:p>
        </w:tc>
      </w:tr>
      <w:tr w14:paraId="1A05E0CC"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5833A57C"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Nezařaditelné**</w:t>
            </w:r>
          </w:p>
        </w:tc>
        <w:tc>
          <w:tcPr>
            <w:tcW w:w="1440" w:type="dxa"/>
            <w:vMerge/>
            <w:tcBorders>
              <w:top w:val="nil"/>
              <w:left w:val="single" w:sz="4" w:space="0" w:color="auto"/>
              <w:bottom w:val="single" w:sz="4" w:space="0" w:color="auto"/>
              <w:right w:val="single" w:sz="4" w:space="0" w:color="auto"/>
            </w:tcBorders>
            <w:vAlign w:val="center"/>
            <w:hideMark/>
          </w:tcPr>
          <w:p w:rsidR="00DF0ADE" w:rsidRPr="00B7387B" w:rsidP="006031E5" w14:paraId="50607251" w14:textId="77777777">
            <w:pPr>
              <w:spacing w:line="240" w:lineRule="auto"/>
              <w:jc w:val="left"/>
              <w:rPr>
                <w:noProof w:val="0"/>
                <w:color w:val="000000"/>
                <w:sz w:val="20"/>
                <w:szCs w:val="20"/>
                <w:lang w:eastAsia="cs-CZ" w:bidi="ar-SA"/>
              </w:rPr>
            </w:pPr>
          </w:p>
        </w:tc>
        <w:tc>
          <w:tcPr>
            <w:tcW w:w="1420" w:type="dxa"/>
            <w:vMerge/>
            <w:tcBorders>
              <w:top w:val="nil"/>
              <w:left w:val="single" w:sz="4" w:space="0" w:color="auto"/>
              <w:bottom w:val="single" w:sz="4" w:space="0" w:color="auto"/>
              <w:right w:val="single" w:sz="4" w:space="0" w:color="auto"/>
            </w:tcBorders>
            <w:vAlign w:val="center"/>
            <w:hideMark/>
          </w:tcPr>
          <w:p w:rsidR="00DF0ADE" w:rsidRPr="00B7387B" w:rsidP="006031E5" w14:paraId="1F0E7953" w14:textId="77777777">
            <w:pPr>
              <w:spacing w:line="240" w:lineRule="auto"/>
              <w:jc w:val="left"/>
              <w:rPr>
                <w:noProof w:val="0"/>
                <w:color w:val="000000"/>
                <w:sz w:val="20"/>
                <w:szCs w:val="20"/>
                <w:lang w:eastAsia="cs-CZ" w:bidi="ar-SA"/>
              </w:rPr>
            </w:pPr>
          </w:p>
        </w:tc>
        <w:tc>
          <w:tcPr>
            <w:tcW w:w="1340" w:type="dxa"/>
            <w:vMerge/>
            <w:tcBorders>
              <w:top w:val="nil"/>
              <w:left w:val="single" w:sz="4" w:space="0" w:color="auto"/>
              <w:bottom w:val="single" w:sz="4" w:space="0" w:color="auto"/>
              <w:right w:val="single" w:sz="4" w:space="0" w:color="auto"/>
            </w:tcBorders>
            <w:vAlign w:val="center"/>
            <w:hideMark/>
          </w:tcPr>
          <w:p w:rsidR="00DF0ADE" w:rsidRPr="00B7387B" w:rsidP="006031E5" w14:paraId="09512E36" w14:textId="77777777">
            <w:pPr>
              <w:spacing w:line="240" w:lineRule="auto"/>
              <w:jc w:val="left"/>
              <w:rPr>
                <w:noProof w:val="0"/>
                <w:color w:val="000000"/>
                <w:sz w:val="20"/>
                <w:szCs w:val="20"/>
                <w:lang w:eastAsia="cs-CZ" w:bidi="ar-SA"/>
              </w:rPr>
            </w:pPr>
          </w:p>
        </w:tc>
        <w:tc>
          <w:tcPr>
            <w:tcW w:w="1720" w:type="dxa"/>
            <w:vMerge/>
            <w:tcBorders>
              <w:top w:val="nil"/>
              <w:left w:val="single" w:sz="4" w:space="0" w:color="auto"/>
              <w:bottom w:val="single" w:sz="4" w:space="0" w:color="auto"/>
              <w:right w:val="single" w:sz="4" w:space="0" w:color="auto"/>
            </w:tcBorders>
            <w:vAlign w:val="center"/>
            <w:hideMark/>
          </w:tcPr>
          <w:p w:rsidR="00DF0ADE" w:rsidRPr="00B7387B" w:rsidP="006031E5" w14:paraId="0A6684EB" w14:textId="77777777">
            <w:pPr>
              <w:spacing w:line="240" w:lineRule="auto"/>
              <w:jc w:val="left"/>
              <w:rPr>
                <w:noProof w:val="0"/>
                <w:color w:val="000000"/>
                <w:sz w:val="20"/>
                <w:szCs w:val="20"/>
                <w:lang w:eastAsia="cs-CZ" w:bidi="ar-SA"/>
              </w:rPr>
            </w:pPr>
          </w:p>
        </w:tc>
      </w:tr>
      <w:tr w14:paraId="319AEFA8" w14:textId="77777777" w:rsidTr="006031E5">
        <w:tblPrEx>
          <w:tblW w:w="8780" w:type="dxa"/>
          <w:tblInd w:w="70" w:type="dxa"/>
          <w:tblCellMar>
            <w:left w:w="70" w:type="dxa"/>
            <w:right w:w="70" w:type="dxa"/>
          </w:tblCellMar>
          <w:tblLook w:val="04A0"/>
        </w:tblPrEx>
        <w:trPr>
          <w:gridAfter w:val="1"/>
          <w:wAfter w:w="373" w:type="dxa"/>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F0ADE" w:rsidRPr="00B7387B" w:rsidP="006031E5" w14:paraId="6E8DB924" w14:textId="77777777">
            <w:pPr>
              <w:spacing w:line="240" w:lineRule="auto"/>
              <w:jc w:val="left"/>
              <w:rPr>
                <w:b/>
                <w:bCs/>
                <w:noProof w:val="0"/>
                <w:color w:val="000000"/>
                <w:sz w:val="20"/>
                <w:szCs w:val="20"/>
                <w:lang w:eastAsia="cs-CZ" w:bidi="ar-SA"/>
              </w:rPr>
            </w:pPr>
            <w:r w:rsidRPr="00B7387B">
              <w:rPr>
                <w:b/>
                <w:bCs/>
                <w:noProof w:val="0"/>
                <w:color w:val="000000"/>
                <w:sz w:val="20"/>
                <w:szCs w:val="20"/>
                <w:lang w:eastAsia="cs-CZ" w:bidi="ar-SA"/>
              </w:rPr>
              <w:t>Celkem</w:t>
            </w:r>
          </w:p>
        </w:tc>
        <w:tc>
          <w:tcPr>
            <w:tcW w:w="14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4E047B69"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349 859</w:t>
            </w:r>
          </w:p>
        </w:tc>
        <w:tc>
          <w:tcPr>
            <w:tcW w:w="14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CFF4330"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w:t>
            </w:r>
          </w:p>
        </w:tc>
        <w:tc>
          <w:tcPr>
            <w:tcW w:w="134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07C14C54"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w:t>
            </w:r>
          </w:p>
        </w:tc>
        <w:tc>
          <w:tcPr>
            <w:tcW w:w="1720" w:type="dxa"/>
            <w:tcBorders>
              <w:top w:val="nil"/>
              <w:left w:val="nil"/>
              <w:bottom w:val="single" w:sz="4" w:space="0" w:color="auto"/>
              <w:right w:val="single" w:sz="4" w:space="0" w:color="auto"/>
            </w:tcBorders>
            <w:shd w:val="clear" w:color="auto" w:fill="auto"/>
            <w:noWrap/>
            <w:vAlign w:val="center"/>
            <w:hideMark/>
          </w:tcPr>
          <w:p w:rsidR="00DF0ADE" w:rsidRPr="00B7387B" w:rsidP="006031E5" w14:paraId="1D99D55C" w14:textId="77777777">
            <w:pPr>
              <w:spacing w:line="240" w:lineRule="auto"/>
              <w:jc w:val="center"/>
              <w:rPr>
                <w:b/>
                <w:bCs/>
                <w:noProof w:val="0"/>
                <w:color w:val="000000"/>
                <w:sz w:val="20"/>
                <w:szCs w:val="20"/>
                <w:lang w:eastAsia="cs-CZ" w:bidi="ar-SA"/>
              </w:rPr>
            </w:pPr>
            <w:r w:rsidRPr="00B7387B">
              <w:rPr>
                <w:b/>
                <w:bCs/>
                <w:noProof w:val="0"/>
                <w:color w:val="000000"/>
                <w:sz w:val="20"/>
                <w:szCs w:val="20"/>
                <w:lang w:eastAsia="cs-CZ" w:bidi="ar-SA"/>
              </w:rPr>
              <w:t>75 064 557</w:t>
            </w:r>
          </w:p>
        </w:tc>
      </w:tr>
      <w:tr w14:paraId="42099C8C" w14:textId="77777777" w:rsidTr="006031E5">
        <w:tblPrEx>
          <w:tblW w:w="8780" w:type="dxa"/>
          <w:tblInd w:w="70" w:type="dxa"/>
          <w:tblCellMar>
            <w:left w:w="70" w:type="dxa"/>
            <w:right w:w="70" w:type="dxa"/>
          </w:tblCellMar>
          <w:tblLook w:val="04A0"/>
        </w:tblPrEx>
        <w:trPr>
          <w:trHeight w:val="248"/>
        </w:trPr>
        <w:tc>
          <w:tcPr>
            <w:tcW w:w="9143" w:type="dxa"/>
            <w:gridSpan w:val="6"/>
            <w:tcBorders>
              <w:top w:val="single" w:sz="8" w:space="0" w:color="auto"/>
              <w:left w:val="nil"/>
              <w:bottom w:val="nil"/>
              <w:right w:val="nil"/>
            </w:tcBorders>
            <w:shd w:val="clear" w:color="auto" w:fill="auto"/>
            <w:noWrap/>
            <w:vAlign w:val="bottom"/>
            <w:hideMark/>
          </w:tcPr>
          <w:p w:rsidR="00DF0ADE" w:rsidRPr="00B7387B" w:rsidP="006031E5" w14:paraId="1FE8D394"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 hodnoty vychází z průměru hmotností a počtu pneumatik u malého přívěsu za osobní vozidlo a návěsu za nákladní vozidlo</w:t>
            </w:r>
          </w:p>
        </w:tc>
      </w:tr>
      <w:tr w14:paraId="51B263EC" w14:textId="77777777" w:rsidTr="006031E5">
        <w:tblPrEx>
          <w:tblW w:w="8780" w:type="dxa"/>
          <w:tblInd w:w="70" w:type="dxa"/>
          <w:tblCellMar>
            <w:left w:w="70" w:type="dxa"/>
            <w:right w:w="70" w:type="dxa"/>
          </w:tblCellMar>
          <w:tblLook w:val="04A0"/>
        </w:tblPrEx>
        <w:trPr>
          <w:trHeight w:val="248"/>
        </w:trPr>
        <w:tc>
          <w:tcPr>
            <w:tcW w:w="9143" w:type="dxa"/>
            <w:gridSpan w:val="6"/>
            <w:tcBorders>
              <w:top w:val="nil"/>
              <w:left w:val="nil"/>
              <w:bottom w:val="nil"/>
              <w:right w:val="nil"/>
            </w:tcBorders>
            <w:shd w:val="clear" w:color="auto" w:fill="auto"/>
            <w:noWrap/>
            <w:vAlign w:val="bottom"/>
            <w:hideMark/>
          </w:tcPr>
          <w:p w:rsidR="00DF0ADE" w:rsidRPr="00B7387B" w:rsidP="006031E5" w14:paraId="05C78127" w14:textId="77777777">
            <w:pPr>
              <w:spacing w:line="240" w:lineRule="auto"/>
              <w:jc w:val="left"/>
              <w:rPr>
                <w:noProof w:val="0"/>
                <w:color w:val="000000"/>
                <w:sz w:val="20"/>
                <w:szCs w:val="20"/>
                <w:lang w:eastAsia="cs-CZ" w:bidi="ar-SA"/>
              </w:rPr>
            </w:pPr>
            <w:r w:rsidRPr="00B7387B">
              <w:rPr>
                <w:noProof w:val="0"/>
                <w:color w:val="000000"/>
                <w:sz w:val="20"/>
                <w:szCs w:val="20"/>
                <w:lang w:eastAsia="cs-CZ" w:bidi="ar-SA"/>
              </w:rPr>
              <w:t>** není zřejmý počet pneumatik a jejich hmotnost, použity parametry: 4 ks, á 10 kg</w:t>
            </w:r>
          </w:p>
        </w:tc>
      </w:tr>
    </w:tbl>
    <w:p w:rsidR="00DF0ADE" w:rsidRPr="003265E8" w:rsidP="003265E8" w14:paraId="43B03BC3" w14:textId="0AF3139B">
      <w:pPr>
        <w:jc w:val="right"/>
        <w:rPr>
          <w:sz w:val="20"/>
          <w:szCs w:val="20"/>
        </w:rPr>
      </w:pPr>
      <w:r w:rsidRPr="003265E8">
        <w:rPr>
          <w:sz w:val="20"/>
          <w:szCs w:val="20"/>
        </w:rPr>
        <w:t xml:space="preserve">Zdroj: </w:t>
      </w:r>
      <w:r w:rsidRPr="00ED38E9" w:rsidR="00DE42AC">
        <w:rPr>
          <w:rFonts w:cs="Arial"/>
          <w:noProof w:val="0"/>
          <w:color w:val="000000"/>
          <w:lang w:eastAsia="cs-CZ" w:bidi="ar-SA"/>
        </w:rPr>
        <w:t>Sdružení automobilového průmyslu</w:t>
      </w:r>
    </w:p>
    <w:p w:rsidR="00DF0ADE" w:rsidRPr="00221615" w:rsidP="00DF0ADE" w14:paraId="5AF17850" w14:textId="77777777">
      <w:pPr>
        <w:rPr>
          <w:b/>
        </w:rPr>
      </w:pPr>
      <w:r w:rsidRPr="00ED38E9">
        <w:rPr>
          <w:rFonts w:cs="Arial"/>
        </w:rPr>
        <w:t xml:space="preserve">Vycházíme-li z počtu </w:t>
      </w:r>
      <w:r>
        <w:rPr>
          <w:rFonts w:cs="Arial"/>
        </w:rPr>
        <w:t xml:space="preserve">nových </w:t>
      </w:r>
      <w:r w:rsidRPr="00ED38E9">
        <w:rPr>
          <w:rFonts w:cs="Arial"/>
        </w:rPr>
        <w:t>vozidel</w:t>
      </w:r>
      <w:r w:rsidRPr="005F7FF4">
        <w:rPr>
          <w:rFonts w:cs="Arial"/>
        </w:rPr>
        <w:t xml:space="preserve"> </w:t>
      </w:r>
      <w:r>
        <w:rPr>
          <w:rFonts w:cs="Arial"/>
        </w:rPr>
        <w:t>registrovaných v</w:t>
      </w:r>
      <w:r w:rsidRPr="00ED38E9">
        <w:rPr>
          <w:rFonts w:cs="Arial"/>
        </w:rPr>
        <w:t xml:space="preserve"> Č</w:t>
      </w:r>
      <w:r>
        <w:rPr>
          <w:rFonts w:cs="Arial"/>
        </w:rPr>
        <w:t>R</w:t>
      </w:r>
      <w:r w:rsidRPr="00ED38E9">
        <w:rPr>
          <w:rFonts w:cs="Arial"/>
        </w:rPr>
        <w:t xml:space="preserve"> v roce 201</w:t>
      </w:r>
      <w:r>
        <w:rPr>
          <w:rFonts w:cs="Arial"/>
        </w:rPr>
        <w:t>6</w:t>
      </w:r>
      <w:r w:rsidRPr="00ED38E9">
        <w:rPr>
          <w:rFonts w:cs="Arial"/>
        </w:rPr>
        <w:t xml:space="preserve"> (osobní automobily, autobusy, nákladní vozy</w:t>
      </w:r>
      <w:r>
        <w:rPr>
          <w:rFonts w:cs="Arial"/>
        </w:rPr>
        <w:t>, motocykly</w:t>
      </w:r>
      <w:r w:rsidRPr="00ED38E9">
        <w:rPr>
          <w:rFonts w:cs="Arial"/>
        </w:rPr>
        <w:t xml:space="preserve">), </w:t>
      </w:r>
      <w:r>
        <w:rPr>
          <w:rFonts w:cs="Arial"/>
        </w:rPr>
        <w:t>pak</w:t>
      </w:r>
      <w:r w:rsidRPr="002B21A6">
        <w:rPr>
          <w:rFonts w:cs="Arial"/>
          <w:b/>
        </w:rPr>
        <w:t xml:space="preserve"> v případě recyklačního příspěvku 3 Kč/kg</w:t>
      </w:r>
      <w:r>
        <w:rPr>
          <w:rFonts w:cs="Arial"/>
          <w:b/>
        </w:rPr>
        <w:t xml:space="preserve"> by se jednalo o částku 75 mil. Kč/rok </w:t>
      </w:r>
      <w:r w:rsidRPr="00221615">
        <w:rPr>
          <w:rFonts w:cs="Arial"/>
          <w:b/>
        </w:rPr>
        <w:t>na zajištění ZO pneumatik</w:t>
      </w:r>
      <w:r w:rsidRPr="005F7FF4">
        <w:rPr>
          <w:rFonts w:cs="Arial"/>
          <w:b/>
        </w:rPr>
        <w:t>.</w:t>
      </w:r>
    </w:p>
    <w:p w:rsidR="00DF0ADE" w:rsidRPr="00ED38E9" w:rsidP="00BF16B7" w14:paraId="58A12028" w14:textId="77777777">
      <w:pPr>
        <w:pStyle w:val="Heading3"/>
      </w:pPr>
      <w:r w:rsidRPr="00ED38E9">
        <w:t>Vyhodnocení nákladů a přínosů variant</w:t>
      </w:r>
    </w:p>
    <w:p w:rsidR="00DF0ADE" w:rsidRPr="003265E8" w:rsidP="00C722EA" w14:paraId="385B8AA7" w14:textId="4570E950">
      <w:pPr>
        <w:pStyle w:val="Caption"/>
        <w:spacing w:before="120"/>
        <w:contextualSpacing w:val="0"/>
        <w:rPr>
          <w:rFonts w:cs="Arial"/>
          <w:sz w:val="20"/>
          <w:szCs w:val="20"/>
        </w:rPr>
      </w:pPr>
      <w:r w:rsidRPr="003265E8">
        <w:rPr>
          <w:rFonts w:cs="Arial"/>
          <w:sz w:val="20"/>
          <w:szCs w:val="20"/>
        </w:rPr>
        <w:t xml:space="preserve">Tabulka </w:t>
      </w:r>
      <w:r w:rsidR="00925F10">
        <w:rPr>
          <w:rFonts w:cs="Arial"/>
          <w:sz w:val="20"/>
          <w:szCs w:val="20"/>
        </w:rPr>
        <w:t>61</w:t>
      </w:r>
      <w:r w:rsidRPr="003265E8">
        <w:rPr>
          <w:rFonts w:cs="Arial"/>
          <w:sz w:val="20"/>
          <w:szCs w:val="20"/>
        </w:rPr>
        <w:t>: Porovnání nákladů a přínosů</w:t>
      </w:r>
    </w:p>
    <w:tbl>
      <w:tblPr>
        <w:tblW w:w="9101" w:type="dxa"/>
        <w:tblInd w:w="80" w:type="dxa"/>
        <w:tblCellMar>
          <w:left w:w="70" w:type="dxa"/>
          <w:right w:w="70" w:type="dxa"/>
        </w:tblCellMar>
        <w:tblLook w:val="04A0"/>
      </w:tblPr>
      <w:tblGrid>
        <w:gridCol w:w="1124"/>
        <w:gridCol w:w="1820"/>
        <w:gridCol w:w="1472"/>
        <w:gridCol w:w="1472"/>
        <w:gridCol w:w="1737"/>
        <w:gridCol w:w="1476"/>
      </w:tblGrid>
      <w:tr w14:paraId="25072F70" w14:textId="77777777" w:rsidTr="0015529A">
        <w:tblPrEx>
          <w:tblW w:w="9101" w:type="dxa"/>
          <w:tblInd w:w="80" w:type="dxa"/>
          <w:tblCellMar>
            <w:left w:w="70" w:type="dxa"/>
            <w:right w:w="70" w:type="dxa"/>
          </w:tblCellMar>
          <w:tblLook w:val="04A0"/>
        </w:tblPrEx>
        <w:trPr>
          <w:trHeight w:val="181"/>
        </w:trPr>
        <w:tc>
          <w:tcPr>
            <w:tcW w:w="1124" w:type="dxa"/>
            <w:tcBorders>
              <w:top w:val="single" w:sz="8" w:space="0" w:color="auto"/>
              <w:left w:val="single" w:sz="8" w:space="0" w:color="auto"/>
              <w:bottom w:val="single" w:sz="8" w:space="0" w:color="auto"/>
              <w:right w:val="nil"/>
            </w:tcBorders>
            <w:shd w:val="clear" w:color="auto" w:fill="auto"/>
            <w:noWrap/>
            <w:vAlign w:val="bottom"/>
            <w:hideMark/>
          </w:tcPr>
          <w:p w:rsidR="00DF0ADE" w:rsidRPr="003265E8" w:rsidP="006031E5" w14:paraId="2AE306A1"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w:t>
            </w:r>
          </w:p>
        </w:tc>
        <w:tc>
          <w:tcPr>
            <w:tcW w:w="1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F0ADE" w:rsidRPr="003265E8" w:rsidP="006031E5" w14:paraId="62821FC9"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Stručný obsah</w:t>
            </w:r>
          </w:p>
        </w:tc>
        <w:tc>
          <w:tcPr>
            <w:tcW w:w="1472" w:type="dxa"/>
            <w:tcBorders>
              <w:top w:val="single" w:sz="8" w:space="0" w:color="auto"/>
              <w:left w:val="nil"/>
              <w:bottom w:val="single" w:sz="8" w:space="0" w:color="auto"/>
              <w:right w:val="single" w:sz="4" w:space="0" w:color="auto"/>
            </w:tcBorders>
            <w:shd w:val="clear" w:color="auto" w:fill="auto"/>
            <w:noWrap/>
            <w:vAlign w:val="bottom"/>
            <w:hideMark/>
          </w:tcPr>
          <w:p w:rsidR="00DF0ADE" w:rsidRPr="003265E8" w:rsidP="006031E5" w14:paraId="350A3EEE"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Přínosy</w:t>
            </w:r>
          </w:p>
        </w:tc>
        <w:tc>
          <w:tcPr>
            <w:tcW w:w="1472" w:type="dxa"/>
            <w:tcBorders>
              <w:top w:val="single" w:sz="8" w:space="0" w:color="auto"/>
              <w:left w:val="nil"/>
              <w:bottom w:val="single" w:sz="8" w:space="0" w:color="auto"/>
              <w:right w:val="single" w:sz="8" w:space="0" w:color="auto"/>
            </w:tcBorders>
            <w:shd w:val="clear" w:color="auto" w:fill="auto"/>
            <w:noWrap/>
            <w:vAlign w:val="bottom"/>
            <w:hideMark/>
          </w:tcPr>
          <w:p w:rsidR="00DF0ADE" w:rsidRPr="003265E8" w:rsidP="006031E5" w14:paraId="651D134A"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Hodnocení</w:t>
            </w:r>
          </w:p>
        </w:tc>
        <w:tc>
          <w:tcPr>
            <w:tcW w:w="173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F0ADE" w:rsidRPr="003265E8" w:rsidP="006031E5" w14:paraId="2779EE21"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Náklady</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DF0ADE" w:rsidRPr="003265E8" w:rsidP="006031E5" w14:paraId="0BB11F37"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Hodnocení</w:t>
            </w:r>
          </w:p>
        </w:tc>
      </w:tr>
      <w:tr w14:paraId="6F1D5427" w14:textId="77777777" w:rsidTr="0015529A">
        <w:tblPrEx>
          <w:tblW w:w="9101" w:type="dxa"/>
          <w:tblInd w:w="80" w:type="dxa"/>
          <w:tblCellMar>
            <w:left w:w="70" w:type="dxa"/>
            <w:right w:w="70" w:type="dxa"/>
          </w:tblCellMar>
          <w:tblLook w:val="04A0"/>
        </w:tblPrEx>
        <w:trPr>
          <w:trHeight w:val="572"/>
        </w:trPr>
        <w:tc>
          <w:tcPr>
            <w:tcW w:w="1124" w:type="dxa"/>
            <w:tcBorders>
              <w:top w:val="nil"/>
              <w:left w:val="single" w:sz="8" w:space="0" w:color="auto"/>
              <w:bottom w:val="nil"/>
              <w:right w:val="single" w:sz="8" w:space="0" w:color="auto"/>
            </w:tcBorders>
            <w:shd w:val="clear" w:color="auto" w:fill="auto"/>
            <w:noWrap/>
            <w:vAlign w:val="center"/>
            <w:hideMark/>
          </w:tcPr>
          <w:p w:rsidR="00DF0ADE" w:rsidRPr="003265E8" w:rsidP="006031E5" w14:paraId="1FB3A6D8"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 0</w:t>
            </w:r>
          </w:p>
        </w:tc>
        <w:tc>
          <w:tcPr>
            <w:tcW w:w="1820" w:type="dxa"/>
            <w:tcBorders>
              <w:top w:val="nil"/>
              <w:left w:val="nil"/>
              <w:bottom w:val="nil"/>
              <w:right w:val="single" w:sz="8" w:space="0" w:color="auto"/>
            </w:tcBorders>
            <w:shd w:val="clear" w:color="auto" w:fill="auto"/>
            <w:vAlign w:val="center"/>
            <w:hideMark/>
          </w:tcPr>
          <w:p w:rsidR="00DF0ADE" w:rsidRPr="003265E8" w:rsidP="006031E5" w14:paraId="4A146710"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současný stav - žádný systém</w:t>
            </w:r>
          </w:p>
        </w:tc>
        <w:tc>
          <w:tcPr>
            <w:tcW w:w="1472" w:type="dxa"/>
            <w:tcBorders>
              <w:top w:val="nil"/>
              <w:left w:val="nil"/>
              <w:bottom w:val="nil"/>
              <w:right w:val="single" w:sz="4" w:space="0" w:color="auto"/>
            </w:tcBorders>
            <w:shd w:val="clear" w:color="auto" w:fill="auto"/>
            <w:vAlign w:val="center"/>
            <w:hideMark/>
          </w:tcPr>
          <w:p w:rsidR="00DF0ADE" w:rsidRPr="003265E8" w:rsidP="006031E5" w14:paraId="0BC2AC4E"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c>
          <w:tcPr>
            <w:tcW w:w="1472" w:type="dxa"/>
            <w:tcBorders>
              <w:top w:val="nil"/>
              <w:left w:val="nil"/>
              <w:bottom w:val="nil"/>
              <w:right w:val="single" w:sz="8" w:space="0" w:color="auto"/>
            </w:tcBorders>
            <w:shd w:val="clear" w:color="auto" w:fill="auto"/>
            <w:vAlign w:val="center"/>
            <w:hideMark/>
          </w:tcPr>
          <w:p w:rsidR="00DF0ADE" w:rsidRPr="003265E8" w:rsidP="006031E5" w14:paraId="4658D77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c>
          <w:tcPr>
            <w:tcW w:w="1737" w:type="dxa"/>
            <w:tcBorders>
              <w:top w:val="nil"/>
              <w:left w:val="nil"/>
              <w:bottom w:val="nil"/>
              <w:right w:val="single" w:sz="4" w:space="0" w:color="auto"/>
            </w:tcBorders>
            <w:shd w:val="clear" w:color="auto" w:fill="auto"/>
            <w:vAlign w:val="center"/>
            <w:hideMark/>
          </w:tcPr>
          <w:p w:rsidR="00DF0ADE" w:rsidRPr="003265E8" w:rsidP="006031E5" w14:paraId="594FEE97"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špatná kontrolovatelnost systému poplatků</w:t>
            </w:r>
          </w:p>
        </w:tc>
        <w:tc>
          <w:tcPr>
            <w:tcW w:w="1476" w:type="dxa"/>
            <w:tcBorders>
              <w:top w:val="nil"/>
              <w:left w:val="nil"/>
              <w:bottom w:val="nil"/>
              <w:right w:val="single" w:sz="8" w:space="0" w:color="auto"/>
            </w:tcBorders>
            <w:shd w:val="clear" w:color="auto" w:fill="auto"/>
            <w:vAlign w:val="center"/>
            <w:hideMark/>
          </w:tcPr>
          <w:p w:rsidR="00DF0ADE" w:rsidRPr="003265E8" w:rsidP="006031E5" w14:paraId="6A80ED52"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27C5EF78" w14:textId="77777777" w:rsidTr="0015529A">
        <w:tblPrEx>
          <w:tblW w:w="9101" w:type="dxa"/>
          <w:tblInd w:w="80" w:type="dxa"/>
          <w:tblCellMar>
            <w:left w:w="70" w:type="dxa"/>
            <w:right w:w="70" w:type="dxa"/>
          </w:tblCellMar>
          <w:tblLook w:val="04A0"/>
        </w:tblPrEx>
        <w:trPr>
          <w:trHeight w:val="1092"/>
        </w:trPr>
        <w:tc>
          <w:tcPr>
            <w:tcW w:w="11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0ADE" w:rsidRPr="003265E8" w:rsidP="006031E5" w14:paraId="5332558D"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 1</w:t>
            </w: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F0ADE" w:rsidRPr="003265E8" w:rsidP="006031E5" w14:paraId="4D08E5F4"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nastavení systému poplatků - kdy poplatek za pneu prodanou výrobci vozidel v ČR hradí výrobce pneu</w:t>
            </w:r>
          </w:p>
        </w:tc>
        <w:tc>
          <w:tcPr>
            <w:tcW w:w="1472" w:type="dxa"/>
            <w:tcBorders>
              <w:top w:val="single" w:sz="8" w:space="0" w:color="auto"/>
              <w:left w:val="nil"/>
              <w:bottom w:val="single" w:sz="4" w:space="0" w:color="auto"/>
              <w:right w:val="single" w:sz="4" w:space="0" w:color="auto"/>
            </w:tcBorders>
            <w:shd w:val="clear" w:color="auto" w:fill="auto"/>
            <w:vAlign w:val="center"/>
            <w:hideMark/>
          </w:tcPr>
          <w:p w:rsidR="00DF0ADE" w:rsidRPr="003265E8" w:rsidP="006031E5" w14:paraId="696A9269"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bankovní sektor - příjmy z poplatků za převod peněz</w:t>
            </w:r>
          </w:p>
        </w:tc>
        <w:tc>
          <w:tcPr>
            <w:tcW w:w="1472" w:type="dxa"/>
            <w:tcBorders>
              <w:top w:val="single" w:sz="8" w:space="0" w:color="auto"/>
              <w:left w:val="nil"/>
              <w:bottom w:val="single" w:sz="4" w:space="0" w:color="auto"/>
              <w:right w:val="single" w:sz="8" w:space="0" w:color="auto"/>
            </w:tcBorders>
            <w:shd w:val="clear" w:color="auto" w:fill="auto"/>
            <w:vAlign w:val="center"/>
            <w:hideMark/>
          </w:tcPr>
          <w:p w:rsidR="00DF0ADE" w:rsidRPr="003265E8" w:rsidP="006031E5" w14:paraId="387FBF01"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737" w:type="dxa"/>
            <w:tcBorders>
              <w:top w:val="single" w:sz="8" w:space="0" w:color="auto"/>
              <w:left w:val="nil"/>
              <w:bottom w:val="single" w:sz="4" w:space="0" w:color="auto"/>
              <w:right w:val="single" w:sz="4" w:space="0" w:color="auto"/>
            </w:tcBorders>
            <w:shd w:val="clear" w:color="auto" w:fill="auto"/>
            <w:vAlign w:val="center"/>
            <w:hideMark/>
          </w:tcPr>
          <w:p w:rsidR="00DF0ADE" w:rsidRPr="003265E8" w:rsidP="006031E5" w14:paraId="17CF62AE"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výrobce vozidel - hlášení výrobci pneumatik množství pneumatik uvedených na trh v ČR</w:t>
            </w:r>
          </w:p>
        </w:tc>
        <w:tc>
          <w:tcPr>
            <w:tcW w:w="1476" w:type="dxa"/>
            <w:tcBorders>
              <w:top w:val="single" w:sz="8" w:space="0" w:color="auto"/>
              <w:left w:val="nil"/>
              <w:bottom w:val="single" w:sz="4" w:space="0" w:color="auto"/>
              <w:right w:val="single" w:sz="8" w:space="0" w:color="auto"/>
            </w:tcBorders>
            <w:shd w:val="clear" w:color="auto" w:fill="auto"/>
            <w:vAlign w:val="center"/>
            <w:hideMark/>
          </w:tcPr>
          <w:p w:rsidR="00DF0ADE" w:rsidRPr="003265E8" w:rsidP="006031E5" w14:paraId="0A09747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34820DBD" w14:textId="77777777" w:rsidTr="0015529A">
        <w:tblPrEx>
          <w:tblW w:w="9101" w:type="dxa"/>
          <w:tblInd w:w="80" w:type="dxa"/>
          <w:tblCellMar>
            <w:left w:w="70" w:type="dxa"/>
            <w:right w:w="70" w:type="dxa"/>
          </w:tblCellMar>
          <w:tblLook w:val="04A0"/>
        </w:tblPrEx>
        <w:trPr>
          <w:trHeight w:val="866"/>
        </w:trPr>
        <w:tc>
          <w:tcPr>
            <w:tcW w:w="1124" w:type="dxa"/>
            <w:vMerge/>
            <w:tcBorders>
              <w:top w:val="single" w:sz="8" w:space="0" w:color="auto"/>
              <w:left w:val="single" w:sz="8" w:space="0" w:color="auto"/>
              <w:bottom w:val="single" w:sz="8" w:space="0" w:color="000000"/>
              <w:right w:val="single" w:sz="8" w:space="0" w:color="auto"/>
            </w:tcBorders>
            <w:vAlign w:val="center"/>
            <w:hideMark/>
          </w:tcPr>
          <w:p w:rsidR="00DF0ADE" w:rsidRPr="003265E8" w:rsidP="006031E5" w14:paraId="6F809A32" w14:textId="77777777">
            <w:pPr>
              <w:spacing w:line="240" w:lineRule="auto"/>
              <w:jc w:val="left"/>
              <w:rPr>
                <w:b/>
                <w:bCs/>
                <w:noProof w:val="0"/>
                <w:color w:val="000000"/>
                <w:sz w:val="20"/>
                <w:szCs w:val="20"/>
                <w:lang w:eastAsia="cs-CZ" w:bidi="ar-SA"/>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rsidR="00DF0ADE" w:rsidRPr="003265E8" w:rsidP="006031E5" w14:paraId="33A85492" w14:textId="77777777">
            <w:pPr>
              <w:spacing w:line="240" w:lineRule="auto"/>
              <w:jc w:val="left"/>
              <w:rPr>
                <w:noProof w:val="0"/>
                <w:color w:val="000000"/>
                <w:sz w:val="20"/>
                <w:szCs w:val="20"/>
                <w:lang w:eastAsia="cs-CZ" w:bidi="ar-SA"/>
              </w:rPr>
            </w:pPr>
          </w:p>
        </w:tc>
        <w:tc>
          <w:tcPr>
            <w:tcW w:w="1472" w:type="dxa"/>
            <w:vMerge w:val="restart"/>
            <w:tcBorders>
              <w:top w:val="nil"/>
              <w:left w:val="single" w:sz="8" w:space="0" w:color="auto"/>
              <w:bottom w:val="single" w:sz="8" w:space="0" w:color="000000"/>
              <w:right w:val="single" w:sz="4" w:space="0" w:color="auto"/>
            </w:tcBorders>
            <w:shd w:val="clear" w:color="auto" w:fill="auto"/>
            <w:vAlign w:val="center"/>
            <w:hideMark/>
          </w:tcPr>
          <w:p w:rsidR="00DF0ADE" w:rsidRPr="003265E8" w:rsidP="006031E5" w14:paraId="5BC127CC"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výnosy z uložených finančních prostředků před refundací (KS, výrobce)</w:t>
            </w:r>
          </w:p>
        </w:tc>
        <w:tc>
          <w:tcPr>
            <w:tcW w:w="1472" w:type="dxa"/>
            <w:vMerge w:val="restart"/>
            <w:tcBorders>
              <w:top w:val="nil"/>
              <w:left w:val="single" w:sz="4" w:space="0" w:color="auto"/>
              <w:bottom w:val="single" w:sz="8" w:space="0" w:color="000000"/>
              <w:right w:val="single" w:sz="8" w:space="0" w:color="auto"/>
            </w:tcBorders>
            <w:shd w:val="clear" w:color="auto" w:fill="auto"/>
            <w:vAlign w:val="center"/>
            <w:hideMark/>
          </w:tcPr>
          <w:p w:rsidR="00DF0ADE" w:rsidRPr="003265E8" w:rsidP="006031E5" w14:paraId="1C20B73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737" w:type="dxa"/>
            <w:tcBorders>
              <w:top w:val="nil"/>
              <w:left w:val="nil"/>
              <w:bottom w:val="single" w:sz="4" w:space="0" w:color="auto"/>
              <w:right w:val="single" w:sz="4" w:space="0" w:color="auto"/>
            </w:tcBorders>
            <w:shd w:val="clear" w:color="auto" w:fill="auto"/>
            <w:vAlign w:val="center"/>
            <w:hideMark/>
          </w:tcPr>
          <w:p w:rsidR="00DF0ADE" w:rsidRPr="003265E8" w:rsidP="006031E5" w14:paraId="2E22A236"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výrobci vozidel - přefakturace poplatku u vozidel uvedených na trh v ČR</w:t>
            </w:r>
          </w:p>
        </w:tc>
        <w:tc>
          <w:tcPr>
            <w:tcW w:w="1476" w:type="dxa"/>
            <w:tcBorders>
              <w:top w:val="nil"/>
              <w:left w:val="nil"/>
              <w:bottom w:val="single" w:sz="4" w:space="0" w:color="auto"/>
              <w:right w:val="single" w:sz="8" w:space="0" w:color="auto"/>
            </w:tcBorders>
            <w:shd w:val="clear" w:color="auto" w:fill="auto"/>
            <w:vAlign w:val="center"/>
            <w:hideMark/>
          </w:tcPr>
          <w:p w:rsidR="00DF0ADE" w:rsidRPr="003265E8" w:rsidP="006031E5" w14:paraId="01B5BF8C"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7CA6F36D" w14:textId="77777777" w:rsidTr="0015529A">
        <w:tblPrEx>
          <w:tblW w:w="9101" w:type="dxa"/>
          <w:tblInd w:w="80" w:type="dxa"/>
          <w:tblCellMar>
            <w:left w:w="70" w:type="dxa"/>
            <w:right w:w="70" w:type="dxa"/>
          </w:tblCellMar>
          <w:tblLook w:val="04A0"/>
        </w:tblPrEx>
        <w:trPr>
          <w:trHeight w:val="1048"/>
        </w:trPr>
        <w:tc>
          <w:tcPr>
            <w:tcW w:w="1124" w:type="dxa"/>
            <w:vMerge/>
            <w:tcBorders>
              <w:top w:val="single" w:sz="8" w:space="0" w:color="auto"/>
              <w:left w:val="single" w:sz="8" w:space="0" w:color="auto"/>
              <w:bottom w:val="single" w:sz="8" w:space="0" w:color="000000"/>
              <w:right w:val="single" w:sz="8" w:space="0" w:color="auto"/>
            </w:tcBorders>
            <w:vAlign w:val="center"/>
            <w:hideMark/>
          </w:tcPr>
          <w:p w:rsidR="00DF0ADE" w:rsidRPr="003265E8" w:rsidP="006031E5" w14:paraId="7C55E81F" w14:textId="77777777">
            <w:pPr>
              <w:spacing w:line="240" w:lineRule="auto"/>
              <w:jc w:val="left"/>
              <w:rPr>
                <w:b/>
                <w:bCs/>
                <w:noProof w:val="0"/>
                <w:color w:val="000000"/>
                <w:sz w:val="20"/>
                <w:szCs w:val="20"/>
                <w:lang w:eastAsia="cs-CZ" w:bidi="ar-SA"/>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rsidR="00DF0ADE" w:rsidRPr="003265E8" w:rsidP="006031E5" w14:paraId="06B6E3A7" w14:textId="77777777">
            <w:pPr>
              <w:spacing w:line="240" w:lineRule="auto"/>
              <w:jc w:val="left"/>
              <w:rPr>
                <w:noProof w:val="0"/>
                <w:color w:val="000000"/>
                <w:sz w:val="20"/>
                <w:szCs w:val="20"/>
                <w:lang w:eastAsia="cs-CZ" w:bidi="ar-SA"/>
              </w:rPr>
            </w:pPr>
          </w:p>
        </w:tc>
        <w:tc>
          <w:tcPr>
            <w:tcW w:w="1472" w:type="dxa"/>
            <w:vMerge/>
            <w:tcBorders>
              <w:top w:val="nil"/>
              <w:left w:val="single" w:sz="8" w:space="0" w:color="auto"/>
              <w:bottom w:val="single" w:sz="8" w:space="0" w:color="000000"/>
              <w:right w:val="single" w:sz="4" w:space="0" w:color="auto"/>
            </w:tcBorders>
            <w:vAlign w:val="center"/>
            <w:hideMark/>
          </w:tcPr>
          <w:p w:rsidR="00DF0ADE" w:rsidRPr="003265E8" w:rsidP="006031E5" w14:paraId="314830D8" w14:textId="77777777">
            <w:pPr>
              <w:spacing w:line="240" w:lineRule="auto"/>
              <w:jc w:val="left"/>
              <w:rPr>
                <w:noProof w:val="0"/>
                <w:color w:val="000000"/>
                <w:sz w:val="20"/>
                <w:szCs w:val="20"/>
                <w:lang w:eastAsia="cs-CZ" w:bidi="ar-SA"/>
              </w:rPr>
            </w:pPr>
          </w:p>
        </w:tc>
        <w:tc>
          <w:tcPr>
            <w:tcW w:w="1472" w:type="dxa"/>
            <w:vMerge/>
            <w:tcBorders>
              <w:top w:val="nil"/>
              <w:left w:val="single" w:sz="4" w:space="0" w:color="auto"/>
              <w:bottom w:val="single" w:sz="8" w:space="0" w:color="000000"/>
              <w:right w:val="single" w:sz="8" w:space="0" w:color="auto"/>
            </w:tcBorders>
            <w:vAlign w:val="center"/>
            <w:hideMark/>
          </w:tcPr>
          <w:p w:rsidR="00DF0ADE" w:rsidRPr="003265E8" w:rsidP="006031E5" w14:paraId="3986AAA2" w14:textId="77777777">
            <w:pPr>
              <w:spacing w:line="240" w:lineRule="auto"/>
              <w:jc w:val="left"/>
              <w:rPr>
                <w:noProof w:val="0"/>
                <w:color w:val="000000"/>
                <w:sz w:val="20"/>
                <w:szCs w:val="20"/>
                <w:lang w:eastAsia="cs-CZ" w:bidi="ar-SA"/>
              </w:rPr>
            </w:pPr>
          </w:p>
        </w:tc>
        <w:tc>
          <w:tcPr>
            <w:tcW w:w="1737" w:type="dxa"/>
            <w:tcBorders>
              <w:top w:val="nil"/>
              <w:left w:val="nil"/>
              <w:bottom w:val="single" w:sz="8" w:space="0" w:color="auto"/>
              <w:right w:val="single" w:sz="4" w:space="0" w:color="auto"/>
            </w:tcBorders>
            <w:shd w:val="clear" w:color="auto" w:fill="auto"/>
            <w:vAlign w:val="center"/>
            <w:hideMark/>
          </w:tcPr>
          <w:p w:rsidR="00DF0ADE" w:rsidRPr="003265E8" w:rsidP="006031E5" w14:paraId="7E4CCC5C"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výrobce pneumatik - žádost o navrácení poplatku za pneumatiky v rámci exportu vozidel do zahraničí</w:t>
            </w:r>
          </w:p>
        </w:tc>
        <w:tc>
          <w:tcPr>
            <w:tcW w:w="1476" w:type="dxa"/>
            <w:tcBorders>
              <w:top w:val="nil"/>
              <w:left w:val="nil"/>
              <w:bottom w:val="single" w:sz="8" w:space="0" w:color="auto"/>
              <w:right w:val="single" w:sz="8" w:space="0" w:color="auto"/>
            </w:tcBorders>
            <w:shd w:val="clear" w:color="auto" w:fill="auto"/>
            <w:vAlign w:val="center"/>
            <w:hideMark/>
          </w:tcPr>
          <w:p w:rsidR="00DF0ADE" w:rsidRPr="003265E8" w:rsidP="006031E5" w14:paraId="6348D883"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6CD40721" w14:textId="77777777" w:rsidTr="0015529A">
        <w:tblPrEx>
          <w:tblW w:w="9101" w:type="dxa"/>
          <w:tblInd w:w="80" w:type="dxa"/>
          <w:tblCellMar>
            <w:left w:w="70" w:type="dxa"/>
            <w:right w:w="70" w:type="dxa"/>
          </w:tblCellMar>
          <w:tblLook w:val="04A0"/>
        </w:tblPrEx>
        <w:trPr>
          <w:trHeight w:val="1386"/>
        </w:trPr>
        <w:tc>
          <w:tcPr>
            <w:tcW w:w="1124" w:type="dxa"/>
            <w:tcBorders>
              <w:top w:val="nil"/>
              <w:left w:val="single" w:sz="8" w:space="0" w:color="auto"/>
              <w:bottom w:val="single" w:sz="8" w:space="0" w:color="000000"/>
              <w:right w:val="single" w:sz="8" w:space="0" w:color="auto"/>
            </w:tcBorders>
            <w:shd w:val="clear" w:color="auto" w:fill="auto"/>
            <w:noWrap/>
            <w:vAlign w:val="center"/>
            <w:hideMark/>
          </w:tcPr>
          <w:p w:rsidR="00DF0ADE" w:rsidRPr="003265E8" w:rsidP="006031E5" w14:paraId="2BD594A2"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 2</w:t>
            </w:r>
          </w:p>
        </w:tc>
        <w:tc>
          <w:tcPr>
            <w:tcW w:w="1820" w:type="dxa"/>
            <w:tcBorders>
              <w:top w:val="nil"/>
              <w:left w:val="single" w:sz="8" w:space="0" w:color="auto"/>
              <w:bottom w:val="single" w:sz="8" w:space="0" w:color="000000"/>
              <w:right w:val="single" w:sz="8" w:space="0" w:color="auto"/>
            </w:tcBorders>
            <w:shd w:val="clear" w:color="auto" w:fill="auto"/>
            <w:vAlign w:val="center"/>
            <w:hideMark/>
          </w:tcPr>
          <w:p w:rsidR="00DF0ADE" w:rsidRPr="003265E8" w:rsidP="006031E5" w14:paraId="3BB3E464"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nastavení systému poplatků - kdy poplatek za pneumatiky na nových vozidlech uvedených na trh v ČR hradí výrobce vozidel</w:t>
            </w:r>
          </w:p>
        </w:tc>
        <w:tc>
          <w:tcPr>
            <w:tcW w:w="1472" w:type="dxa"/>
            <w:tcBorders>
              <w:top w:val="nil"/>
              <w:left w:val="nil"/>
              <w:bottom w:val="single" w:sz="4" w:space="0" w:color="auto"/>
              <w:right w:val="single" w:sz="4" w:space="0" w:color="auto"/>
            </w:tcBorders>
            <w:shd w:val="clear" w:color="auto" w:fill="auto"/>
            <w:vAlign w:val="center"/>
            <w:hideMark/>
          </w:tcPr>
          <w:p w:rsidR="00DF0ADE" w:rsidRPr="003265E8" w:rsidP="006031E5" w14:paraId="7F4DAC7D"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výrobce vozidel - žádná administrativa spojená s refundací poplatků u pneumatik v rámci exportu</w:t>
            </w:r>
          </w:p>
        </w:tc>
        <w:tc>
          <w:tcPr>
            <w:tcW w:w="1472" w:type="dxa"/>
            <w:tcBorders>
              <w:top w:val="nil"/>
              <w:left w:val="nil"/>
              <w:bottom w:val="single" w:sz="4" w:space="0" w:color="auto"/>
              <w:right w:val="single" w:sz="8" w:space="0" w:color="auto"/>
            </w:tcBorders>
            <w:shd w:val="clear" w:color="auto" w:fill="auto"/>
            <w:vAlign w:val="center"/>
            <w:hideMark/>
          </w:tcPr>
          <w:p w:rsidR="00DF0ADE" w:rsidRPr="003265E8" w:rsidP="006031E5" w14:paraId="61DF2148"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737" w:type="dxa"/>
            <w:tcBorders>
              <w:top w:val="nil"/>
              <w:left w:val="nil"/>
              <w:bottom w:val="single" w:sz="4" w:space="0" w:color="auto"/>
              <w:right w:val="single" w:sz="4" w:space="0" w:color="auto"/>
            </w:tcBorders>
            <w:shd w:val="clear" w:color="auto" w:fill="auto"/>
            <w:vAlign w:val="center"/>
            <w:hideMark/>
          </w:tcPr>
          <w:p w:rsidR="00DF0ADE" w:rsidRPr="003265E8" w:rsidP="006031E5" w14:paraId="480CBA52"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výrobce vozidel - náklady na zavedení a vybrání poplatku</w:t>
            </w:r>
          </w:p>
        </w:tc>
        <w:tc>
          <w:tcPr>
            <w:tcW w:w="1476" w:type="dxa"/>
            <w:tcBorders>
              <w:top w:val="nil"/>
              <w:left w:val="nil"/>
              <w:bottom w:val="single" w:sz="4" w:space="0" w:color="auto"/>
              <w:right w:val="single" w:sz="8" w:space="0" w:color="auto"/>
            </w:tcBorders>
            <w:shd w:val="clear" w:color="auto" w:fill="auto"/>
            <w:vAlign w:val="center"/>
            <w:hideMark/>
          </w:tcPr>
          <w:p w:rsidR="00DF0ADE" w:rsidRPr="003265E8" w:rsidP="006031E5" w14:paraId="2B54BC99"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bl>
    <w:p w:rsidR="0039543B" w:rsidP="0039543B" w14:paraId="2217D6A8" w14:textId="77777777">
      <w:bookmarkStart w:id="223" w:name="_Toc441759934"/>
    </w:p>
    <w:p w:rsidR="00DF0ADE" w:rsidRPr="00ED38E9" w:rsidP="00802DCA" w14:paraId="0FD8C707" w14:textId="77777777">
      <w:pPr>
        <w:pStyle w:val="Heading2"/>
        <w:keepNext w:val="0"/>
        <w:widowControl w:val="0"/>
        <w:ind w:left="578" w:hanging="578"/>
      </w:pPr>
      <w:r w:rsidRPr="00ED38E9">
        <w:t>Návrh řešení</w:t>
      </w:r>
      <w:bookmarkEnd w:id="223"/>
    </w:p>
    <w:p w:rsidR="00DF0ADE" w:rsidRPr="00ED38E9" w:rsidP="00BF16B7" w14:paraId="0A5821CD" w14:textId="77777777">
      <w:pPr>
        <w:pStyle w:val="Heading3"/>
      </w:pPr>
      <w:r w:rsidRPr="00ED38E9">
        <w:t>Stanovení pořadí variant a výběr nejvhodnějšího řešení</w:t>
      </w:r>
    </w:p>
    <w:p w:rsidR="00DF0ADE" w:rsidRPr="00ED38E9" w:rsidP="00802DCA" w14:paraId="7215692C" w14:textId="77777777">
      <w:pPr>
        <w:pStyle w:val="ListParagraph"/>
        <w:widowControl w:val="0"/>
        <w:numPr>
          <w:ilvl w:val="0"/>
          <w:numId w:val="14"/>
        </w:numPr>
        <w:spacing w:before="60" w:after="0"/>
        <w:ind w:left="714" w:hanging="357"/>
        <w:contextualSpacing w:val="0"/>
        <w:rPr>
          <w:rFonts w:cs="Arial"/>
          <w:b/>
          <w:bCs/>
        </w:rPr>
      </w:pPr>
      <w:r w:rsidRPr="00ED38E9">
        <w:rPr>
          <w:rFonts w:cs="Arial"/>
          <w:b/>
          <w:bCs/>
        </w:rPr>
        <w:t>Varianta 2</w:t>
      </w:r>
    </w:p>
    <w:p w:rsidR="00DF0ADE" w:rsidRPr="00ED38E9" w:rsidP="00802DCA" w14:paraId="3A70A390" w14:textId="77777777">
      <w:pPr>
        <w:pStyle w:val="ListParagraph"/>
        <w:widowControl w:val="0"/>
        <w:numPr>
          <w:ilvl w:val="0"/>
          <w:numId w:val="14"/>
        </w:numPr>
        <w:spacing w:before="60" w:after="0"/>
        <w:ind w:left="714" w:hanging="357"/>
        <w:contextualSpacing w:val="0"/>
        <w:rPr>
          <w:rFonts w:cs="Arial"/>
        </w:rPr>
      </w:pPr>
      <w:r w:rsidRPr="00ED38E9">
        <w:rPr>
          <w:rFonts w:cs="Arial"/>
        </w:rPr>
        <w:t>Varianta 1</w:t>
      </w:r>
    </w:p>
    <w:p w:rsidR="00DF0ADE" w:rsidRPr="00ED38E9" w:rsidP="00802DCA" w14:paraId="0E3F986B" w14:textId="77777777">
      <w:pPr>
        <w:pStyle w:val="ListParagraph"/>
        <w:widowControl w:val="0"/>
        <w:numPr>
          <w:ilvl w:val="0"/>
          <w:numId w:val="14"/>
        </w:numPr>
        <w:spacing w:before="60" w:after="0"/>
        <w:ind w:left="714" w:hanging="357"/>
        <w:contextualSpacing w:val="0"/>
        <w:rPr>
          <w:rFonts w:cs="Arial"/>
        </w:rPr>
      </w:pPr>
      <w:r w:rsidRPr="00ED38E9">
        <w:rPr>
          <w:rFonts w:cs="Arial"/>
        </w:rPr>
        <w:t>Varianta 0</w:t>
      </w:r>
    </w:p>
    <w:p w:rsidR="00DF0ADE" w:rsidP="00E82C35" w14:paraId="38C6F0D3" w14:textId="77777777">
      <w:pPr>
        <w:rPr>
          <w:b/>
          <w:iCs/>
        </w:rPr>
      </w:pPr>
      <w:r w:rsidRPr="00DF0ADE">
        <w:t>Na základě porovnání toků pneumatik a finančních toků doporučujeme přijmout Variantu 2, která je z pohledu administrativní zátěže spojené s refundacemi jednodušší a levnější variantou.</w:t>
      </w:r>
    </w:p>
    <w:p w:rsidR="001C24F5" w:rsidRPr="001D602A" w:rsidP="001C24F5" w14:paraId="579A6AE8" w14:textId="77777777">
      <w:pPr>
        <w:pStyle w:val="Heading1"/>
        <w:widowControl w:val="0"/>
      </w:pPr>
      <w:bookmarkStart w:id="224" w:name="_Toc14942099"/>
      <w:bookmarkStart w:id="225" w:name="_Toc256000025"/>
      <w:r w:rsidRPr="001D602A">
        <w:t xml:space="preserve">Hustota sběrné sítě </w:t>
      </w:r>
      <w:r>
        <w:t>odpadních pneumatik</w:t>
      </w:r>
      <w:r w:rsidRPr="00CF75FD">
        <w:t xml:space="preserve"> (§ </w:t>
      </w:r>
      <w:r>
        <w:t>9</w:t>
      </w:r>
      <w:r w:rsidRPr="00CF75FD">
        <w:t>3</w:t>
      </w:r>
      <w:r w:rsidRPr="001D602A">
        <w:t xml:space="preserve"> odst. 2)</w:t>
      </w:r>
      <w:bookmarkEnd w:id="225"/>
      <w:bookmarkEnd w:id="224"/>
    </w:p>
    <w:p w:rsidR="001C24F5" w:rsidRPr="001D602A" w:rsidP="001C24F5" w14:paraId="5A0421B1" w14:textId="77777777">
      <w:pPr>
        <w:pStyle w:val="Heading2"/>
      </w:pPr>
      <w:r w:rsidRPr="001D602A">
        <w:t>Důvod předložení a cíle</w:t>
      </w:r>
    </w:p>
    <w:p w:rsidR="001C24F5" w:rsidRPr="001D602A" w:rsidP="00BF16B7" w14:paraId="6B8D7437" w14:textId="77777777">
      <w:pPr>
        <w:pStyle w:val="Heading3"/>
      </w:pPr>
      <w:r w:rsidRPr="001D602A">
        <w:t>Definice problému</w:t>
      </w:r>
    </w:p>
    <w:p w:rsidR="001C24F5" w:rsidP="00E82C35" w14:paraId="2CB057EB" w14:textId="7C5D1FAC">
      <w:pPr>
        <w:rPr>
          <w:b/>
          <w:bCs/>
        </w:rPr>
      </w:pPr>
      <w:bookmarkStart w:id="226" w:name="_Toc13746068"/>
      <w:r w:rsidRPr="00CF75FD">
        <w:t xml:space="preserve">V současnosti je </w:t>
      </w:r>
      <w:r>
        <w:t xml:space="preserve">největším </w:t>
      </w:r>
      <w:r w:rsidRPr="00CF75FD">
        <w:t xml:space="preserve">problémem </w:t>
      </w:r>
      <w:r>
        <w:t>nejasná formulace ohledně hustoty sběrné sítě odpadních pneumatik. Někteří individuální výrobci zpětně odebírají  pouze minimální množství pneumatik (aniž by vytvářeli síť ZO), na úkor KS. ZO provozovaný KS se tak stává neúměrně drahým, neboť zajišťuje ZO odpadních pneumatik také za individuální výrobce, kteří nejsou zapojeni do tohoto KS.</w:t>
      </w:r>
      <w:bookmarkEnd w:id="226"/>
      <w:r>
        <w:t xml:space="preserve"> </w:t>
      </w:r>
    </w:p>
    <w:p w:rsidR="001C24F5" w:rsidRPr="001D602A" w:rsidP="00CC0BB4" w14:paraId="0429A89E" w14:textId="77777777">
      <w:pPr>
        <w:spacing w:before="240"/>
        <w:rPr>
          <w:b/>
          <w:i/>
        </w:rPr>
      </w:pPr>
      <w:r w:rsidRPr="001D602A">
        <w:rPr>
          <w:b/>
          <w:i/>
        </w:rPr>
        <w:t>Identifikace dotčených subjektů</w:t>
      </w:r>
    </w:p>
    <w:p w:rsidR="001C24F5" w:rsidP="001C24F5" w14:paraId="4D366B7F" w14:textId="77777777">
      <w:pPr>
        <w:pStyle w:val="ListParagraph"/>
        <w:numPr>
          <w:ilvl w:val="0"/>
          <w:numId w:val="138"/>
        </w:numPr>
        <w:spacing w:before="0"/>
        <w:contextualSpacing w:val="0"/>
        <w:rPr>
          <w:rFonts w:cs="Arial"/>
        </w:rPr>
      </w:pPr>
      <w:r>
        <w:rPr>
          <w:rFonts w:cs="Arial"/>
        </w:rPr>
        <w:t>V</w:t>
      </w:r>
      <w:r w:rsidRPr="001D602A">
        <w:rPr>
          <w:rFonts w:cs="Arial"/>
        </w:rPr>
        <w:t>ýrobci</w:t>
      </w:r>
      <w:r>
        <w:rPr>
          <w:rFonts w:cs="Arial"/>
        </w:rPr>
        <w:t xml:space="preserve"> pneumatik</w:t>
      </w:r>
      <w:r w:rsidRPr="00421EDB">
        <w:rPr>
          <w:rFonts w:cs="Arial"/>
        </w:rPr>
        <w:t xml:space="preserve"> </w:t>
      </w:r>
      <w:r>
        <w:rPr>
          <w:rFonts w:cs="Arial"/>
        </w:rPr>
        <w:t>plnící povinnosti ZO individuálně,</w:t>
      </w:r>
    </w:p>
    <w:p w:rsidR="001C24F5" w:rsidRPr="001D602A" w:rsidP="001C24F5" w14:paraId="3BC6C685" w14:textId="77777777">
      <w:pPr>
        <w:pStyle w:val="ListParagraph"/>
        <w:numPr>
          <w:ilvl w:val="0"/>
          <w:numId w:val="138"/>
        </w:numPr>
        <w:spacing w:before="0"/>
        <w:contextualSpacing w:val="0"/>
        <w:rPr>
          <w:rFonts w:cs="Arial"/>
        </w:rPr>
      </w:pPr>
      <w:r w:rsidRPr="001D602A">
        <w:rPr>
          <w:rFonts w:cs="Arial"/>
        </w:rPr>
        <w:t>KS,</w:t>
      </w:r>
    </w:p>
    <w:p w:rsidR="001C24F5" w:rsidRPr="001D602A" w:rsidP="001C24F5" w14:paraId="3E3B3F13" w14:textId="77777777">
      <w:pPr>
        <w:pStyle w:val="ListParagraph"/>
        <w:numPr>
          <w:ilvl w:val="0"/>
          <w:numId w:val="138"/>
        </w:numPr>
        <w:spacing w:before="0"/>
        <w:ind w:left="714" w:hanging="357"/>
        <w:contextualSpacing w:val="0"/>
        <w:rPr>
          <w:rFonts w:cs="Arial"/>
        </w:rPr>
      </w:pPr>
      <w:r>
        <w:rPr>
          <w:rFonts w:cs="Arial"/>
        </w:rPr>
        <w:t>občané.</w:t>
      </w:r>
    </w:p>
    <w:p w:rsidR="001C24F5" w:rsidRPr="001D602A" w:rsidP="00CC0BB4" w14:paraId="01EF7F7E" w14:textId="77777777">
      <w:pPr>
        <w:pStyle w:val="Heading3"/>
        <w:spacing w:before="240"/>
      </w:pPr>
      <w:r w:rsidRPr="001D602A">
        <w:t>Popis cílového stavu</w:t>
      </w:r>
    </w:p>
    <w:p w:rsidR="001C24F5" w:rsidP="001C24F5" w14:paraId="5BFAB21B" w14:textId="77777777">
      <w:pPr>
        <w:rPr>
          <w:rFonts w:cs="Arial"/>
        </w:rPr>
      </w:pPr>
      <w:r w:rsidRPr="001D602A">
        <w:rPr>
          <w:rFonts w:cs="Arial"/>
        </w:rPr>
        <w:t xml:space="preserve">Nastavení funkční sběrné sítě </w:t>
      </w:r>
      <w:r>
        <w:rPr>
          <w:rFonts w:cs="Arial"/>
        </w:rPr>
        <w:t>odpadních pneumatik (</w:t>
      </w:r>
      <w:r w:rsidRPr="001C24F5">
        <w:rPr>
          <w:rFonts w:cs="Arial"/>
        </w:rPr>
        <w:t>upřesnění definice hustoty sběrné sítě)</w:t>
      </w:r>
      <w:r w:rsidRPr="001D602A">
        <w:rPr>
          <w:rFonts w:cs="Arial"/>
        </w:rPr>
        <w:t xml:space="preserve"> tak, aby byla pro konečné uživatel</w:t>
      </w:r>
      <w:r>
        <w:rPr>
          <w:rFonts w:cs="Arial"/>
        </w:rPr>
        <w:t xml:space="preserve">e co nejvíce dostupná </w:t>
      </w:r>
      <w:r w:rsidRPr="00ED38E9">
        <w:rPr>
          <w:rFonts w:cs="Arial"/>
        </w:rPr>
        <w:t>a </w:t>
      </w:r>
      <w:r>
        <w:rPr>
          <w:rFonts w:cs="Arial"/>
        </w:rPr>
        <w:t xml:space="preserve">zamezení free-ridingu, neboť současný </w:t>
      </w:r>
      <w:r w:rsidRPr="00ED38E9">
        <w:rPr>
          <w:rFonts w:cs="Arial"/>
        </w:rPr>
        <w:t>zákon</w:t>
      </w:r>
      <w:r>
        <w:rPr>
          <w:rFonts w:cs="Arial"/>
        </w:rPr>
        <w:t xml:space="preserve"> u</w:t>
      </w:r>
      <w:r w:rsidRPr="00ED38E9">
        <w:rPr>
          <w:rFonts w:cs="Arial"/>
        </w:rPr>
        <w:t>m</w:t>
      </w:r>
      <w:r>
        <w:rPr>
          <w:rFonts w:cs="Arial"/>
        </w:rPr>
        <w:t>o</w:t>
      </w:r>
      <w:r w:rsidRPr="00ED38E9">
        <w:rPr>
          <w:rFonts w:cs="Arial"/>
        </w:rPr>
        <w:t>žň</w:t>
      </w:r>
      <w:r>
        <w:rPr>
          <w:rFonts w:cs="Arial"/>
        </w:rPr>
        <w:t>uje</w:t>
      </w:r>
      <w:r w:rsidRPr="00ED38E9">
        <w:rPr>
          <w:rFonts w:cs="Arial"/>
        </w:rPr>
        <w:t xml:space="preserve"> poskytování konkurenční výhody těm výrobcům, kteří síť míst </w:t>
      </w:r>
      <w:r>
        <w:rPr>
          <w:rFonts w:cs="Arial"/>
        </w:rPr>
        <w:t>ZO</w:t>
      </w:r>
      <w:r w:rsidRPr="00ED38E9">
        <w:rPr>
          <w:rFonts w:cs="Arial"/>
        </w:rPr>
        <w:t xml:space="preserve"> nevytváří, nebo ji provozují pouze v</w:t>
      </w:r>
      <w:r>
        <w:rPr>
          <w:rFonts w:cs="Arial"/>
        </w:rPr>
        <w:t> minimální míře</w:t>
      </w:r>
      <w:r w:rsidRPr="00ED38E9">
        <w:rPr>
          <w:rFonts w:cs="Arial"/>
        </w:rPr>
        <w:t>.</w:t>
      </w:r>
    </w:p>
    <w:p w:rsidR="001C24F5" w:rsidRPr="00CF75FD" w:rsidP="00CC0BB4" w14:paraId="3B8F8B88" w14:textId="77777777">
      <w:pPr>
        <w:pStyle w:val="Heading3"/>
        <w:spacing w:before="240"/>
      </w:pPr>
      <w:r w:rsidRPr="00CF75FD">
        <w:t>Zhodnocení rizika</w:t>
      </w:r>
    </w:p>
    <w:p w:rsidR="001C24F5" w:rsidRPr="001C24F5" w:rsidP="00CC0BB4" w14:paraId="53C59C85" w14:textId="40AA9CE1">
      <w:pPr>
        <w:rPr>
          <w:bCs/>
        </w:rPr>
      </w:pPr>
      <w:bookmarkStart w:id="227" w:name="_Toc13746069"/>
      <w:r>
        <w:t>Pokud nedojde k narovnání podmínek mezi výrobci plnícími své povinnosti individuálně a kolektivně, může dojít k ukončení činnosti jediného KS zaměřeného na odpadní pneumatiky z důvodu ekonomické neúnosnosti (z důvodu plnění povinností i za nezapojené výrobce), čímž by docházelo k hromadění odpadních pneumatik ve směsném komunálním odpadu, příkopech, lesích, na černých skládkách apod., kde představují riziko pro životní prostředí.</w:t>
      </w:r>
      <w:bookmarkEnd w:id="227"/>
    </w:p>
    <w:p w:rsidR="001C24F5" w:rsidP="00CC0BB4" w14:paraId="5F127B1F" w14:textId="77777777">
      <w:pPr>
        <w:pStyle w:val="Heading2"/>
        <w:spacing w:before="360"/>
        <w:ind w:left="578" w:hanging="578"/>
      </w:pPr>
      <w:r>
        <w:t>Návrh variant řešení</w:t>
      </w:r>
    </w:p>
    <w:p w:rsidR="001C24F5" w:rsidRPr="00E4631E" w:rsidP="001C24F5" w14:paraId="630A482D" w14:textId="77777777">
      <w:pPr>
        <w:pStyle w:val="Heading4"/>
        <w:numPr>
          <w:ilvl w:val="0"/>
          <w:numId w:val="0"/>
        </w:numPr>
        <w:spacing w:before="120" w:after="0"/>
        <w:ind w:left="864" w:hanging="864"/>
        <w:rPr>
          <w:szCs w:val="24"/>
        </w:rPr>
      </w:pPr>
      <w:r w:rsidRPr="00E4631E">
        <w:rPr>
          <w:b/>
          <w:sz w:val="24"/>
          <w:szCs w:val="24"/>
        </w:rPr>
        <w:t>Varianta 0</w:t>
      </w:r>
    </w:p>
    <w:p w:rsidR="001C24F5" w:rsidRPr="00C76426" w:rsidP="001C24F5" w14:paraId="1C7FC01D" w14:textId="77777777">
      <w:pPr>
        <w:rPr>
          <w:rFonts w:cs="Arial"/>
        </w:rPr>
      </w:pPr>
      <w:r w:rsidRPr="00ED38E9">
        <w:rPr>
          <w:rFonts w:cs="Arial"/>
        </w:rPr>
        <w:t xml:space="preserve">Ponechání současného stavu, kdy výrobce </w:t>
      </w:r>
      <w:r>
        <w:rPr>
          <w:rFonts w:cs="Arial"/>
        </w:rPr>
        <w:t xml:space="preserve">pneumatik </w:t>
      </w:r>
      <w:r w:rsidRPr="00C76426">
        <w:rPr>
          <w:rFonts w:cs="Arial"/>
        </w:rPr>
        <w:t>je povinen</w:t>
      </w:r>
      <w:r>
        <w:rPr>
          <w:rFonts w:cs="Arial"/>
        </w:rPr>
        <w:t xml:space="preserve"> zřídit </w:t>
      </w:r>
      <w:r w:rsidRPr="00C76426">
        <w:rPr>
          <w:rFonts w:cs="Arial"/>
        </w:rPr>
        <w:t xml:space="preserve">na vlastní náklady </w:t>
      </w:r>
      <w:r>
        <w:rPr>
          <w:rFonts w:cs="Arial"/>
        </w:rPr>
        <w:t>místa</w:t>
      </w:r>
      <w:r w:rsidRPr="00C76426">
        <w:rPr>
          <w:rFonts w:cs="Arial"/>
        </w:rPr>
        <w:t xml:space="preserve"> </w:t>
      </w:r>
      <w:r>
        <w:rPr>
          <w:rFonts w:cs="Arial"/>
        </w:rPr>
        <w:t xml:space="preserve">ZO, která </w:t>
      </w:r>
      <w:r w:rsidRPr="005328D7">
        <w:rPr>
          <w:rFonts w:cs="Arial"/>
        </w:rPr>
        <w:t>musí být pro konečné uživatele stejně dost</w:t>
      </w:r>
      <w:r>
        <w:rPr>
          <w:rFonts w:cs="Arial"/>
        </w:rPr>
        <w:t>upná jako místa prodeje pneumatik</w:t>
      </w:r>
      <w:r w:rsidRPr="005328D7">
        <w:rPr>
          <w:rFonts w:cs="Arial"/>
        </w:rPr>
        <w:t xml:space="preserve">. </w:t>
      </w:r>
      <w:r>
        <w:rPr>
          <w:rFonts w:cs="Arial"/>
        </w:rPr>
        <w:t>Výrobce je povinen</w:t>
      </w:r>
      <w:r w:rsidRPr="005328D7">
        <w:rPr>
          <w:rFonts w:cs="Arial"/>
        </w:rPr>
        <w:t xml:space="preserve"> zajistit </w:t>
      </w:r>
      <w:r>
        <w:rPr>
          <w:rFonts w:cs="Arial"/>
        </w:rPr>
        <w:t>ZO</w:t>
      </w:r>
      <w:r w:rsidRPr="005328D7">
        <w:rPr>
          <w:rFonts w:cs="Arial"/>
        </w:rPr>
        <w:t xml:space="preserve"> způsobem odpovídajícím obvyklým možnostem konečného uživatele bez jeho nadměrného zatížení.</w:t>
      </w:r>
    </w:p>
    <w:p w:rsidR="001C24F5" w:rsidRPr="00E4631E" w:rsidP="00CC0BB4" w14:paraId="6BF9E33C" w14:textId="77777777">
      <w:pPr>
        <w:pStyle w:val="Heading4"/>
        <w:numPr>
          <w:ilvl w:val="0"/>
          <w:numId w:val="0"/>
        </w:numPr>
        <w:spacing w:after="0"/>
        <w:ind w:left="862" w:hanging="862"/>
        <w:rPr>
          <w:szCs w:val="24"/>
        </w:rPr>
      </w:pPr>
      <w:r w:rsidRPr="00E4631E">
        <w:rPr>
          <w:b/>
          <w:sz w:val="24"/>
          <w:szCs w:val="24"/>
        </w:rPr>
        <w:t>Varianta 1</w:t>
      </w:r>
    </w:p>
    <w:p w:rsidR="001C24F5" w:rsidP="001C24F5" w14:paraId="6C8F78AB" w14:textId="6C313C33">
      <w:pPr>
        <w:widowControl w:val="0"/>
      </w:pPr>
      <w:r w:rsidRPr="00D94213">
        <w:t>Výrobce pn</w:t>
      </w:r>
      <w:r w:rsidRPr="003652A3">
        <w:t xml:space="preserve">eumatik je povinen zřídit na vlastní náklady místo ZO v každém vyšším územně samosprávném celku na 25 000 obyvatel tohoto vyššího územně samosprávného celku, přičemž místa ZO musí být v rámci něho rovnoměrně rozmístěna. Výrobce je dále povinen zřídit místo ZO </w:t>
      </w:r>
      <w:r w:rsidRPr="00CA0604" w:rsidR="00BF0225">
        <w:t>odpadních pneu</w:t>
      </w:r>
      <w:r w:rsidRPr="0039543B" w:rsidR="00BF0225">
        <w:t xml:space="preserve">matik </w:t>
      </w:r>
      <w:r w:rsidRPr="0039543B">
        <w:t>v každé obci, která o zřízení projeví zájem (za obdobných podmínek jako pro ostatní ob</w:t>
      </w:r>
      <w:r w:rsidRPr="00C85B53">
        <w:t>ce), pokud není ve vzdálenosti do 10 km již jiné veřejné místo ZO zřízené tímto výrobcem.</w:t>
      </w:r>
    </w:p>
    <w:p w:rsidR="001C24F5" w:rsidP="001C24F5" w14:paraId="57152C55" w14:textId="77777777">
      <w:pPr>
        <w:pStyle w:val="Heading2"/>
        <w:keepNext w:val="0"/>
        <w:widowControl w:val="0"/>
      </w:pPr>
      <w:r>
        <w:t>Vyhodnocení</w:t>
      </w:r>
      <w:r w:rsidRPr="00E4631E">
        <w:t xml:space="preserve"> </w:t>
      </w:r>
      <w:r>
        <w:t>nákladů a přínosů</w:t>
      </w:r>
    </w:p>
    <w:p w:rsidR="001C24F5" w:rsidP="001C24F5" w14:paraId="6252AE97" w14:textId="77777777">
      <w:pPr>
        <w:pStyle w:val="Heading4"/>
        <w:keepNext w:val="0"/>
        <w:widowControl w:val="0"/>
        <w:numPr>
          <w:ilvl w:val="0"/>
          <w:numId w:val="0"/>
        </w:numPr>
        <w:spacing w:before="120" w:after="0"/>
        <w:ind w:left="864" w:hanging="864"/>
        <w:rPr>
          <w:b/>
          <w:i/>
          <w:sz w:val="24"/>
          <w:szCs w:val="24"/>
        </w:rPr>
      </w:pPr>
      <w:r>
        <w:rPr>
          <w:b/>
          <w:i/>
          <w:sz w:val="24"/>
          <w:szCs w:val="24"/>
        </w:rPr>
        <w:t>Identifikace nákladů a přínosů</w:t>
      </w:r>
    </w:p>
    <w:p w:rsidR="001C24F5" w:rsidRPr="00E4631E" w:rsidP="001C24F5" w14:paraId="1900BE69" w14:textId="77777777">
      <w:pPr>
        <w:pStyle w:val="ListParagraph"/>
        <w:widowControl w:val="0"/>
        <w:numPr>
          <w:ilvl w:val="0"/>
          <w:numId w:val="137"/>
        </w:numPr>
        <w:spacing w:before="240" w:after="120"/>
        <w:contextualSpacing w:val="0"/>
        <w:rPr>
          <w:rFonts w:cs="Arial"/>
          <w:b/>
        </w:rPr>
      </w:pPr>
      <w:r w:rsidRPr="00E4631E">
        <w:rPr>
          <w:rFonts w:cs="Arial"/>
          <w:b/>
        </w:rPr>
        <w:t>Varianta 0</w:t>
      </w:r>
    </w:p>
    <w:p w:rsidR="001C24F5" w:rsidRPr="00ED38E9" w:rsidP="001C24F5" w14:paraId="4C9576AB" w14:textId="77777777">
      <w:pPr>
        <w:pStyle w:val="Normlntun"/>
        <w:keepNext w:val="0"/>
        <w:widowControl w:val="0"/>
        <w:spacing w:before="240"/>
        <w:rPr>
          <w:rFonts w:cs="Arial"/>
        </w:rPr>
      </w:pPr>
      <w:r w:rsidRPr="00ED38E9">
        <w:rPr>
          <w:rFonts w:cs="Arial"/>
        </w:rPr>
        <w:t>Dopady na státní rozpočet a ostatní veřejné rozpočty</w:t>
      </w:r>
    </w:p>
    <w:p w:rsidR="001C24F5" w:rsidP="001C24F5" w14:paraId="1CF664A0" w14:textId="77777777">
      <w:pPr>
        <w:widowControl w:val="0"/>
        <w:rPr>
          <w:rFonts w:cs="Arial"/>
        </w:rPr>
      </w:pPr>
      <w:r w:rsidRPr="00ED38E9">
        <w:rPr>
          <w:rFonts w:cs="Arial"/>
        </w:rPr>
        <w:t>Současný stav nepředstavuje dopady na státní rozpočet a ostatní veřejné rozpočty.</w:t>
      </w:r>
      <w:r>
        <w:rPr>
          <w:rFonts w:cs="Arial"/>
        </w:rPr>
        <w:t xml:space="preserve"> </w:t>
      </w:r>
      <w:r w:rsidRPr="00B1740A">
        <w:rPr>
          <w:rFonts w:cs="Arial"/>
        </w:rPr>
        <w:t xml:space="preserve">Problémem současného stavu je však </w:t>
      </w:r>
      <w:r>
        <w:rPr>
          <w:rFonts w:cs="Arial"/>
        </w:rPr>
        <w:t>nejasnost definice hustoty sběrné sítě odpadních pneumatik, a tím</w:t>
      </w:r>
      <w:r w:rsidRPr="00B1740A">
        <w:rPr>
          <w:rFonts w:cs="Arial"/>
        </w:rPr>
        <w:t xml:space="preserve"> </w:t>
      </w:r>
      <w:r>
        <w:rPr>
          <w:rFonts w:cs="Arial"/>
        </w:rPr>
        <w:t>omezená možnost kontroly a vynutitelnosti</w:t>
      </w:r>
      <w:r w:rsidRPr="00B1740A">
        <w:rPr>
          <w:rFonts w:cs="Arial"/>
        </w:rPr>
        <w:t xml:space="preserve"> </w:t>
      </w:r>
      <w:r>
        <w:rPr>
          <w:rFonts w:cs="Arial"/>
        </w:rPr>
        <w:t xml:space="preserve">ze strany kontrolních orgánů ohledně </w:t>
      </w:r>
      <w:r w:rsidRPr="00B1740A">
        <w:rPr>
          <w:rFonts w:cs="Arial"/>
        </w:rPr>
        <w:t xml:space="preserve">splnění podmínek nastavené hustoty sítě míst ZO </w:t>
      </w:r>
      <w:r>
        <w:rPr>
          <w:rFonts w:cs="Arial"/>
        </w:rPr>
        <w:t>výrobci</w:t>
      </w:r>
      <w:r w:rsidRPr="00B1740A">
        <w:rPr>
          <w:rFonts w:cs="Arial"/>
        </w:rPr>
        <w:t>.</w:t>
      </w:r>
    </w:p>
    <w:p w:rsidR="001C24F5" w:rsidRPr="00ED38E9" w:rsidP="001C24F5" w14:paraId="337F142F" w14:textId="77777777">
      <w:pPr>
        <w:pStyle w:val="Normlntun"/>
        <w:spacing w:before="240"/>
        <w:rPr>
          <w:rFonts w:cs="Arial"/>
        </w:rPr>
      </w:pPr>
      <w:r w:rsidRPr="00ED38E9">
        <w:rPr>
          <w:rFonts w:cs="Arial"/>
        </w:rPr>
        <w:t>Dopady na podnikatelské subjekty</w:t>
      </w:r>
    </w:p>
    <w:p w:rsidR="00383E64" w:rsidP="00C85B53" w14:paraId="4A779E48" w14:textId="7974760E">
      <w:pPr>
        <w:rPr>
          <w:rFonts w:cs="Arial"/>
        </w:rPr>
      </w:pPr>
      <w:r w:rsidRPr="00C85B53">
        <w:rPr>
          <w:rFonts w:cs="Arial"/>
        </w:rPr>
        <w:t xml:space="preserve">V současnosti </w:t>
      </w:r>
      <w:r w:rsidRPr="00C85B53" w:rsidR="00BF0225">
        <w:rPr>
          <w:rFonts w:cs="Arial"/>
        </w:rPr>
        <w:t>je hlavním problémem free-riding</w:t>
      </w:r>
      <w:r w:rsidRPr="00C85B53">
        <w:rPr>
          <w:rFonts w:cs="Arial"/>
        </w:rPr>
        <w:t>,</w:t>
      </w:r>
      <w:r w:rsidRPr="00C85B53" w:rsidR="00BF0225">
        <w:rPr>
          <w:rFonts w:cs="Arial"/>
        </w:rPr>
        <w:t xml:space="preserve"> </w:t>
      </w:r>
      <w:r w:rsidRPr="00383E64">
        <w:rPr>
          <w:rFonts w:cs="Arial"/>
        </w:rPr>
        <w:t>neboť současný zákon umožňuje poskytování konkurenční výhody těm výrobcům, kteří síť míst ZO nevytváří, nebo ji provozují pouze v minimální míře.</w:t>
      </w:r>
      <w:r w:rsidRPr="00C85B53">
        <w:rPr>
          <w:rFonts w:cs="Arial"/>
        </w:rPr>
        <w:t xml:space="preserve"> </w:t>
      </w:r>
      <w:r w:rsidRPr="00C85B53">
        <w:rPr>
          <w:rFonts w:cs="Arial"/>
        </w:rPr>
        <w:t xml:space="preserve">Sběrná síť </w:t>
      </w:r>
      <w:r w:rsidRPr="00C85B53" w:rsidR="00BF0225">
        <w:rPr>
          <w:rFonts w:cs="Arial"/>
        </w:rPr>
        <w:t>některých</w:t>
      </w:r>
      <w:r w:rsidRPr="00C85B53">
        <w:rPr>
          <w:rFonts w:cs="Arial"/>
        </w:rPr>
        <w:t xml:space="preserve"> </w:t>
      </w:r>
      <w:r w:rsidRPr="00C85B53">
        <w:rPr>
          <w:rFonts w:cs="Arial"/>
        </w:rPr>
        <w:t>výrobců pneumatik</w:t>
      </w:r>
      <w:r w:rsidRPr="00C85B53">
        <w:rPr>
          <w:rFonts w:cs="Arial"/>
        </w:rPr>
        <w:t xml:space="preserve"> </w:t>
      </w:r>
      <w:r>
        <w:rPr>
          <w:rFonts w:cs="Arial"/>
        </w:rPr>
        <w:t xml:space="preserve">(plnících zákonné povinnosti individuálně) </w:t>
      </w:r>
      <w:r w:rsidRPr="00C85B53">
        <w:rPr>
          <w:rFonts w:cs="Arial"/>
        </w:rPr>
        <w:t>buď vůbec neexist</w:t>
      </w:r>
      <w:r w:rsidRPr="00C85B53" w:rsidR="00BF0225">
        <w:rPr>
          <w:rFonts w:cs="Arial"/>
        </w:rPr>
        <w:t>uje</w:t>
      </w:r>
      <w:r w:rsidRPr="00C85B53">
        <w:rPr>
          <w:rFonts w:cs="Arial"/>
        </w:rPr>
        <w:t xml:space="preserve"> nebo </w:t>
      </w:r>
      <w:r w:rsidRPr="00C85B53" w:rsidR="00BF0225">
        <w:rPr>
          <w:rFonts w:cs="Arial"/>
        </w:rPr>
        <w:t>je</w:t>
      </w:r>
      <w:r w:rsidRPr="00C85B53">
        <w:rPr>
          <w:rFonts w:cs="Arial"/>
        </w:rPr>
        <w:t xml:space="preserve"> tvořena jen místy ZO v lokalitách s dobrou dostupností a</w:t>
      </w:r>
      <w:r>
        <w:rPr>
          <w:rFonts w:cs="Arial"/>
        </w:rPr>
        <w:t> </w:t>
      </w:r>
      <w:r w:rsidRPr="00C85B53">
        <w:rPr>
          <w:rFonts w:cs="Arial"/>
        </w:rPr>
        <w:t xml:space="preserve">možností sběru velkého množství odpadních </w:t>
      </w:r>
      <w:r w:rsidRPr="00C85B53" w:rsidR="00BF0225">
        <w:rPr>
          <w:rFonts w:cs="Arial"/>
        </w:rPr>
        <w:t>pneumatik</w:t>
      </w:r>
      <w:r w:rsidRPr="00C85B53">
        <w:rPr>
          <w:rFonts w:cs="Arial"/>
        </w:rPr>
        <w:t>. Taková</w:t>
      </w:r>
      <w:r w:rsidRPr="00C85B53" w:rsidR="00BF0225">
        <w:rPr>
          <w:rFonts w:cs="Arial"/>
        </w:rPr>
        <w:t>to sběrná síť má nižší náklady</w:t>
      </w:r>
      <w:r w:rsidRPr="00C85B53">
        <w:rPr>
          <w:rFonts w:cs="Arial"/>
        </w:rPr>
        <w:t xml:space="preserve"> na </w:t>
      </w:r>
      <w:r w:rsidRPr="00C85B53">
        <w:rPr>
          <w:rFonts w:cs="Arial"/>
        </w:rPr>
        <w:t xml:space="preserve">provoz a </w:t>
      </w:r>
      <w:r w:rsidRPr="00C85B53" w:rsidR="00BF0225">
        <w:rPr>
          <w:rFonts w:cs="Arial"/>
        </w:rPr>
        <w:t xml:space="preserve">výrobci </w:t>
      </w:r>
      <w:r w:rsidRPr="00C85B53">
        <w:rPr>
          <w:rFonts w:cs="Arial"/>
        </w:rPr>
        <w:t xml:space="preserve">pak </w:t>
      </w:r>
      <w:r w:rsidRPr="00C85B53" w:rsidR="00BF0225">
        <w:rPr>
          <w:rFonts w:cs="Arial"/>
        </w:rPr>
        <w:t xml:space="preserve">zajišťují </w:t>
      </w:r>
      <w:r w:rsidRPr="00C85B53">
        <w:rPr>
          <w:rFonts w:cs="Arial"/>
        </w:rPr>
        <w:t xml:space="preserve">pouze </w:t>
      </w:r>
      <w:r w:rsidRPr="00C85B53" w:rsidR="00BF0225">
        <w:rPr>
          <w:rFonts w:cs="Arial"/>
        </w:rPr>
        <w:t>minimální povinnou míru ZO odpadních pneumatik a zbytek pneumatik již neodebírají</w:t>
      </w:r>
      <w:r>
        <w:rPr>
          <w:rFonts w:cs="Arial"/>
        </w:rPr>
        <w:t>.</w:t>
      </w:r>
      <w:r w:rsidR="001D49B2">
        <w:rPr>
          <w:rFonts w:cs="Arial"/>
        </w:rPr>
        <w:t xml:space="preserve"> Úroveň ZO odpadních pneumatik u</w:t>
      </w:r>
      <w:r w:rsidR="0039543B">
        <w:rPr>
          <w:rFonts w:cs="Arial"/>
        </w:rPr>
        <w:t> </w:t>
      </w:r>
      <w:r w:rsidR="001D49B2">
        <w:rPr>
          <w:rFonts w:cs="Arial"/>
        </w:rPr>
        <w:t>výrobců plnících individuálně se pohybuje kolem 40 %</w:t>
      </w:r>
      <w:r w:rsidR="00DE1178">
        <w:rPr>
          <w:rFonts w:cs="Arial"/>
        </w:rPr>
        <w:t xml:space="preserve">. </w:t>
      </w:r>
      <w:r w:rsidRPr="00C85B53">
        <w:rPr>
          <w:rFonts w:cs="Arial"/>
        </w:rPr>
        <w:t>Naopak u výrobců, kteří</w:t>
      </w:r>
      <w:r>
        <w:rPr>
          <w:rFonts w:cs="Arial"/>
        </w:rPr>
        <w:t xml:space="preserve"> jsou zapojeni do</w:t>
      </w:r>
      <w:r w:rsidR="00DE1178">
        <w:rPr>
          <w:rFonts w:cs="Arial"/>
        </w:rPr>
        <w:t> </w:t>
      </w:r>
      <w:r>
        <w:rPr>
          <w:rFonts w:cs="Arial"/>
        </w:rPr>
        <w:t>kolektivního systému</w:t>
      </w:r>
      <w:r w:rsidR="001D49B2">
        <w:rPr>
          <w:rFonts w:cs="Arial"/>
        </w:rPr>
        <w:t xml:space="preserve"> ELTMA </w:t>
      </w:r>
      <w:r w:rsidR="00DE1178">
        <w:rPr>
          <w:rFonts w:cs="Arial"/>
        </w:rPr>
        <w:t>byla v roce 2018 úroveň ZO téměř 90 % (viz tabulka níže). Dochází tedy k tomu, že KS sbírá odpadní pneumatiky i za nezapojené výrobce a KS, potažmo výrobci zapojeni do KS financují ZO i za nezapojené výrobce, čímž se ZO zajišťovaný KS prodražuje</w:t>
      </w:r>
      <w:r w:rsidR="00DE1178">
        <w:rPr>
          <w:b/>
          <w:bCs/>
        </w:rPr>
        <w:t>.</w:t>
      </w:r>
    </w:p>
    <w:p w:rsidR="001C24F5" w:rsidRPr="00D70111" w:rsidP="001C24F5" w14:paraId="730959F7" w14:textId="5CCA5166">
      <w:pPr>
        <w:spacing w:before="240" w:after="120"/>
        <w:rPr>
          <w:rFonts w:cs="Arial"/>
          <w:b/>
          <w:sz w:val="20"/>
          <w:szCs w:val="20"/>
        </w:rPr>
      </w:pPr>
      <w:r>
        <w:rPr>
          <w:rFonts w:cs="Arial"/>
          <w:b/>
          <w:sz w:val="20"/>
          <w:szCs w:val="20"/>
        </w:rPr>
        <w:t>Tabulka 6</w:t>
      </w:r>
      <w:r w:rsidR="00925F10">
        <w:rPr>
          <w:rFonts w:cs="Arial"/>
          <w:b/>
          <w:sz w:val="20"/>
          <w:szCs w:val="20"/>
        </w:rPr>
        <w:t>2</w:t>
      </w:r>
      <w:r w:rsidRPr="00D70111">
        <w:rPr>
          <w:rFonts w:cs="Arial"/>
          <w:b/>
          <w:sz w:val="20"/>
          <w:szCs w:val="20"/>
        </w:rPr>
        <w:t xml:space="preserve">:  </w:t>
      </w:r>
      <w:r w:rsidR="001D49B2">
        <w:rPr>
          <w:rFonts w:cs="Arial"/>
          <w:b/>
          <w:sz w:val="20"/>
          <w:szCs w:val="20"/>
        </w:rPr>
        <w:t xml:space="preserve">Ukazatele ZO </w:t>
      </w:r>
      <w:r w:rsidRPr="001C24F5">
        <w:rPr>
          <w:rFonts w:cs="Arial"/>
          <w:b/>
          <w:sz w:val="20"/>
          <w:szCs w:val="20"/>
        </w:rPr>
        <w:t>odpadních pneumatik</w:t>
      </w:r>
      <w:r w:rsidRPr="00D70111">
        <w:rPr>
          <w:rFonts w:cs="Arial"/>
          <w:b/>
          <w:sz w:val="20"/>
          <w:szCs w:val="20"/>
        </w:rPr>
        <w:t xml:space="preserve"> u </w:t>
      </w:r>
      <w:r w:rsidR="001D49B2">
        <w:rPr>
          <w:rFonts w:cs="Arial"/>
          <w:b/>
          <w:sz w:val="20"/>
          <w:szCs w:val="20"/>
        </w:rPr>
        <w:t>kolektivní</w:t>
      </w:r>
      <w:r w:rsidRPr="00D70111">
        <w:rPr>
          <w:rFonts w:cs="Arial"/>
          <w:b/>
          <w:sz w:val="20"/>
          <w:szCs w:val="20"/>
        </w:rPr>
        <w:t>h</w:t>
      </w:r>
      <w:r w:rsidR="001D49B2">
        <w:rPr>
          <w:rFonts w:cs="Arial"/>
          <w:b/>
          <w:sz w:val="20"/>
          <w:szCs w:val="20"/>
        </w:rPr>
        <w:t>o systému ELTMA</w:t>
      </w:r>
    </w:p>
    <w:tbl>
      <w:tblPr>
        <w:tblStyle w:val="TableGrid"/>
        <w:tblW w:w="0" w:type="auto"/>
        <w:tblLook w:val="04A0"/>
      </w:tblPr>
      <w:tblGrid>
        <w:gridCol w:w="2972"/>
        <w:gridCol w:w="3402"/>
      </w:tblGrid>
      <w:tr w14:paraId="4D819561" w14:textId="77777777" w:rsidTr="001C24F5">
        <w:tblPrEx>
          <w:tblW w:w="0" w:type="auto"/>
          <w:tblLook w:val="04A0"/>
        </w:tblPrEx>
        <w:tc>
          <w:tcPr>
            <w:tcW w:w="2972" w:type="dxa"/>
          </w:tcPr>
          <w:p w:rsidR="001D49B2" w:rsidRPr="001D49B2" w:rsidP="001D49B2" w14:paraId="77479044" w14:textId="2ABBB2E2">
            <w:pPr>
              <w:jc w:val="left"/>
              <w:rPr>
                <w:rFonts w:cs="Arial"/>
              </w:rPr>
            </w:pPr>
            <w:r>
              <w:rPr>
                <w:rFonts w:cs="Arial"/>
              </w:rPr>
              <w:t>Počet zapojených výrobců</w:t>
            </w:r>
          </w:p>
        </w:tc>
        <w:tc>
          <w:tcPr>
            <w:tcW w:w="3402" w:type="dxa"/>
          </w:tcPr>
          <w:p w:rsidR="001D49B2" w:rsidRPr="001C24F5" w:rsidP="001D49B2" w14:paraId="0F766EB3" w14:textId="7DCA4E02">
            <w:pPr>
              <w:jc w:val="center"/>
              <w:rPr>
                <w:rFonts w:cs="Arial"/>
              </w:rPr>
            </w:pPr>
            <w:r>
              <w:rPr>
                <w:rFonts w:cs="Arial"/>
              </w:rPr>
              <w:t>60</w:t>
            </w:r>
          </w:p>
        </w:tc>
      </w:tr>
      <w:tr w14:paraId="0D713A66" w14:textId="77777777" w:rsidTr="001C24F5">
        <w:tblPrEx>
          <w:tblW w:w="0" w:type="auto"/>
          <w:tblLook w:val="04A0"/>
        </w:tblPrEx>
        <w:tc>
          <w:tcPr>
            <w:tcW w:w="2972" w:type="dxa"/>
          </w:tcPr>
          <w:p w:rsidR="001D49B2" w:rsidRPr="00C85B53" w:rsidP="00C85B53" w14:paraId="48CD5423" w14:textId="7E2961F7">
            <w:pPr>
              <w:jc w:val="left"/>
              <w:rPr>
                <w:rFonts w:cs="Arial"/>
              </w:rPr>
            </w:pPr>
            <w:r w:rsidRPr="00C85B53">
              <w:rPr>
                <w:rFonts w:cs="Arial"/>
              </w:rPr>
              <w:t>Počet sběrných míst</w:t>
            </w:r>
          </w:p>
        </w:tc>
        <w:tc>
          <w:tcPr>
            <w:tcW w:w="3402" w:type="dxa"/>
          </w:tcPr>
          <w:p w:rsidR="001D49B2" w:rsidRPr="00D70111" w:rsidP="001D49B2" w14:paraId="0821A2DA" w14:textId="4EA8B931">
            <w:pPr>
              <w:jc w:val="center"/>
              <w:rPr>
                <w:rFonts w:cs="Arial"/>
                <w:b/>
              </w:rPr>
            </w:pPr>
            <w:r w:rsidRPr="001C24F5">
              <w:rPr>
                <w:rFonts w:cs="Arial"/>
              </w:rPr>
              <w:t>2</w:t>
            </w:r>
            <w:r>
              <w:rPr>
                <w:rFonts w:cs="Arial"/>
              </w:rPr>
              <w:t> </w:t>
            </w:r>
            <w:r w:rsidRPr="001C24F5">
              <w:rPr>
                <w:rFonts w:cs="Arial"/>
              </w:rPr>
              <w:t>900</w:t>
            </w:r>
          </w:p>
        </w:tc>
      </w:tr>
      <w:tr w14:paraId="1F48EBA0" w14:textId="77777777" w:rsidTr="001C24F5">
        <w:tblPrEx>
          <w:tblW w:w="0" w:type="auto"/>
          <w:tblLook w:val="04A0"/>
        </w:tblPrEx>
        <w:tc>
          <w:tcPr>
            <w:tcW w:w="2972" w:type="dxa"/>
          </w:tcPr>
          <w:p w:rsidR="001D49B2" w:rsidRPr="00D70111" w:rsidP="001D49B2" w14:paraId="4BDA0D2E" w14:textId="3B487958">
            <w:pPr>
              <w:rPr>
                <w:rFonts w:cs="Arial"/>
              </w:rPr>
            </w:pPr>
            <w:r>
              <w:rPr>
                <w:rFonts w:cs="Arial"/>
              </w:rPr>
              <w:t>Uvedeno na trh</w:t>
            </w:r>
          </w:p>
        </w:tc>
        <w:tc>
          <w:tcPr>
            <w:tcW w:w="3402" w:type="dxa"/>
          </w:tcPr>
          <w:p w:rsidR="001D49B2" w:rsidRPr="00D70111" w:rsidP="001D49B2" w14:paraId="07388B69" w14:textId="2F1BB084">
            <w:pPr>
              <w:jc w:val="center"/>
              <w:rPr>
                <w:rFonts w:cs="Arial"/>
              </w:rPr>
            </w:pPr>
            <w:r>
              <w:rPr>
                <w:rFonts w:cs="Arial"/>
              </w:rPr>
              <w:t>53 140 t</w:t>
            </w:r>
          </w:p>
        </w:tc>
      </w:tr>
      <w:tr w14:paraId="336E4026" w14:textId="77777777" w:rsidTr="001C24F5">
        <w:tblPrEx>
          <w:tblW w:w="0" w:type="auto"/>
          <w:tblLook w:val="04A0"/>
        </w:tblPrEx>
        <w:tc>
          <w:tcPr>
            <w:tcW w:w="2972" w:type="dxa"/>
          </w:tcPr>
          <w:p w:rsidR="001D49B2" w:rsidRPr="00D70111" w:rsidP="001D49B2" w14:paraId="6CB23928" w14:textId="6663FB22">
            <w:pPr>
              <w:rPr>
                <w:rFonts w:cs="Arial"/>
              </w:rPr>
            </w:pPr>
            <w:r>
              <w:rPr>
                <w:rFonts w:cs="Arial"/>
              </w:rPr>
              <w:t>Zpětně odebráno</w:t>
            </w:r>
          </w:p>
        </w:tc>
        <w:tc>
          <w:tcPr>
            <w:tcW w:w="3402" w:type="dxa"/>
          </w:tcPr>
          <w:p w:rsidR="001D49B2" w:rsidRPr="00D70111" w:rsidP="001D49B2" w14:paraId="0C47A414" w14:textId="5813659D">
            <w:pPr>
              <w:jc w:val="center"/>
              <w:rPr>
                <w:rFonts w:cs="Arial"/>
              </w:rPr>
            </w:pPr>
            <w:r>
              <w:rPr>
                <w:rFonts w:cs="Arial"/>
              </w:rPr>
              <w:t>47 185 t</w:t>
            </w:r>
          </w:p>
        </w:tc>
      </w:tr>
      <w:tr w14:paraId="12F77B79" w14:textId="77777777" w:rsidTr="001C24F5">
        <w:tblPrEx>
          <w:tblW w:w="0" w:type="auto"/>
          <w:tblLook w:val="04A0"/>
        </w:tblPrEx>
        <w:tc>
          <w:tcPr>
            <w:tcW w:w="2972" w:type="dxa"/>
          </w:tcPr>
          <w:p w:rsidR="001D49B2" w:rsidRPr="00D70111" w:rsidP="001D49B2" w14:paraId="279FC414" w14:textId="09994171">
            <w:pPr>
              <w:rPr>
                <w:rFonts w:cs="Arial"/>
              </w:rPr>
            </w:pPr>
            <w:r>
              <w:rPr>
                <w:rFonts w:cs="Arial"/>
              </w:rPr>
              <w:t>Úroveň ZO</w:t>
            </w:r>
          </w:p>
        </w:tc>
        <w:tc>
          <w:tcPr>
            <w:tcW w:w="3402" w:type="dxa"/>
          </w:tcPr>
          <w:p w:rsidR="001D49B2" w:rsidRPr="00D70111" w:rsidP="001D49B2" w14:paraId="3731F7AD" w14:textId="577043B9">
            <w:pPr>
              <w:jc w:val="center"/>
              <w:rPr>
                <w:rFonts w:cs="Arial"/>
              </w:rPr>
            </w:pPr>
            <w:r>
              <w:rPr>
                <w:rFonts w:cs="Arial"/>
              </w:rPr>
              <w:t>89 %</w:t>
            </w:r>
          </w:p>
        </w:tc>
      </w:tr>
    </w:tbl>
    <w:p w:rsidR="001C24F5" w:rsidRPr="00D70111" w:rsidP="001C24F5" w14:paraId="4B84209B" w14:textId="1A9FBA05">
      <w:pPr>
        <w:rPr>
          <w:rFonts w:cs="Arial"/>
          <w:sz w:val="20"/>
          <w:szCs w:val="20"/>
        </w:rPr>
      </w:pPr>
      <w:r w:rsidRPr="00D70111">
        <w:rPr>
          <w:rFonts w:cs="Arial"/>
          <w:sz w:val="20"/>
          <w:szCs w:val="20"/>
        </w:rPr>
        <w:t xml:space="preserve">* </w:t>
      </w:r>
      <w:r w:rsidR="001D49B2">
        <w:rPr>
          <w:rFonts w:cs="Arial"/>
          <w:sz w:val="20"/>
          <w:szCs w:val="20"/>
        </w:rPr>
        <w:t>Informace jsou z Výročního shrnutí</w:t>
      </w:r>
      <w:r w:rsidRPr="00D70111">
        <w:rPr>
          <w:rFonts w:cs="Arial"/>
          <w:sz w:val="20"/>
          <w:szCs w:val="20"/>
        </w:rPr>
        <w:t xml:space="preserve"> z</w:t>
      </w:r>
      <w:r w:rsidR="001D49B2">
        <w:rPr>
          <w:rFonts w:cs="Arial"/>
          <w:sz w:val="20"/>
          <w:szCs w:val="20"/>
        </w:rPr>
        <w:t>a</w:t>
      </w:r>
      <w:r w:rsidRPr="00D70111">
        <w:rPr>
          <w:rFonts w:cs="Arial"/>
          <w:sz w:val="20"/>
          <w:szCs w:val="20"/>
        </w:rPr>
        <w:t xml:space="preserve"> rok 2018</w:t>
      </w:r>
      <w:r w:rsidR="001D49B2">
        <w:rPr>
          <w:rFonts w:cs="Arial"/>
          <w:sz w:val="20"/>
          <w:szCs w:val="20"/>
        </w:rPr>
        <w:t xml:space="preserve"> uváděný na internetových stránkách.</w:t>
      </w:r>
    </w:p>
    <w:p w:rsidR="001C24F5" w:rsidRPr="00C85B53" w:rsidP="001C24F5" w14:paraId="26E3BF17" w14:textId="77777777">
      <w:pPr>
        <w:pStyle w:val="Normlntun"/>
        <w:spacing w:before="240"/>
        <w:rPr>
          <w:rFonts w:cs="Arial"/>
        </w:rPr>
      </w:pPr>
      <w:r w:rsidRPr="00C85B53">
        <w:rPr>
          <w:rFonts w:cs="Arial"/>
        </w:rPr>
        <w:t xml:space="preserve">Dopady na územní samosprávné celky (obce, kraje) </w:t>
      </w:r>
    </w:p>
    <w:p w:rsidR="001C24F5" w:rsidRPr="00C85B53" w:rsidP="001C24F5" w14:paraId="0A269499" w14:textId="770FECAF">
      <w:pPr>
        <w:rPr>
          <w:rFonts w:cs="Arial"/>
        </w:rPr>
      </w:pPr>
      <w:r w:rsidRPr="00C85B53">
        <w:rPr>
          <w:rFonts w:cs="Arial"/>
        </w:rPr>
        <w:t xml:space="preserve">V případě, že </w:t>
      </w:r>
      <w:r w:rsidRPr="00C85B53" w:rsidR="00DE1178">
        <w:rPr>
          <w:rFonts w:cs="Arial"/>
        </w:rPr>
        <w:t>není zajištěna dostatečně hustá sběrná síť, může docházet k odhazování odpadních pneumatik do příkopů, na černé skládky apod., jej</w:t>
      </w:r>
      <w:r w:rsidR="00DE1178">
        <w:rPr>
          <w:rFonts w:cs="Arial"/>
        </w:rPr>
        <w:t>ichž likvidaci pak musí zajišťovat</w:t>
      </w:r>
      <w:r w:rsidRPr="00C85B53" w:rsidR="00DE1178">
        <w:rPr>
          <w:rFonts w:cs="Arial"/>
        </w:rPr>
        <w:t xml:space="preserve"> obce.</w:t>
      </w:r>
      <w:r w:rsidRPr="00C85B53">
        <w:rPr>
          <w:rFonts w:cs="Arial"/>
        </w:rPr>
        <w:t xml:space="preserve"> </w:t>
      </w:r>
    </w:p>
    <w:p w:rsidR="001C24F5" w:rsidRPr="00C85B53" w:rsidP="001C24F5" w14:paraId="051F70C0" w14:textId="77777777">
      <w:pPr>
        <w:pStyle w:val="Normlntun"/>
        <w:keepNext w:val="0"/>
        <w:widowControl w:val="0"/>
        <w:spacing w:before="240"/>
        <w:rPr>
          <w:rFonts w:cs="Arial"/>
        </w:rPr>
      </w:pPr>
      <w:r w:rsidRPr="00C85B53">
        <w:rPr>
          <w:rFonts w:cs="Arial"/>
        </w:rPr>
        <w:t>Sociální dopady</w:t>
      </w:r>
    </w:p>
    <w:p w:rsidR="001C24F5" w:rsidRPr="00C85B53" w:rsidP="001C24F5" w14:paraId="22352DF3" w14:textId="77777777">
      <w:pPr>
        <w:widowControl w:val="0"/>
        <w:rPr>
          <w:rFonts w:cs="Arial"/>
        </w:rPr>
      </w:pPr>
      <w:r w:rsidRPr="00C85B53">
        <w:rPr>
          <w:rFonts w:cs="Arial"/>
        </w:rPr>
        <w:t>V současnosti je hlavním problémem nerovnoměrnost sběrné sítě, a tím horší dostupnost pro občany v malých obcích.</w:t>
      </w:r>
    </w:p>
    <w:p w:rsidR="001C24F5" w:rsidRPr="00C85B53" w:rsidP="001C24F5" w14:paraId="6D307F98" w14:textId="77777777">
      <w:pPr>
        <w:pStyle w:val="Normlntun"/>
        <w:keepNext w:val="0"/>
        <w:widowControl w:val="0"/>
        <w:spacing w:before="240"/>
        <w:rPr>
          <w:rFonts w:cs="Arial"/>
        </w:rPr>
      </w:pPr>
      <w:r w:rsidRPr="00C85B53">
        <w:rPr>
          <w:rFonts w:cs="Arial"/>
        </w:rPr>
        <w:t>Dopady na životní prostředí</w:t>
      </w:r>
    </w:p>
    <w:p w:rsidR="001C24F5" w:rsidP="001C24F5" w14:paraId="789BCC86" w14:textId="1A1651A1">
      <w:pPr>
        <w:widowControl w:val="0"/>
        <w:rPr>
          <w:rFonts w:cs="Arial"/>
        </w:rPr>
      </w:pPr>
      <w:r w:rsidRPr="00C85B53">
        <w:rPr>
          <w:rFonts w:cs="Arial"/>
        </w:rPr>
        <w:t xml:space="preserve">S nižší dostupností míst ZO může </w:t>
      </w:r>
      <w:r w:rsidRPr="00DE1178" w:rsidR="00DE1178">
        <w:rPr>
          <w:rFonts w:cs="Arial"/>
        </w:rPr>
        <w:t>docházet k odhazování odpadních pneumatik do příkopů, na černé skládky apod., kde představují riziko pro životní prostředí.</w:t>
      </w:r>
    </w:p>
    <w:p w:rsidR="00DE1178" w:rsidRPr="001C24F5" w:rsidP="001C24F5" w14:paraId="12AD36A7" w14:textId="77777777">
      <w:pPr>
        <w:widowControl w:val="0"/>
        <w:rPr>
          <w:rFonts w:cs="Arial"/>
          <w:highlight w:val="yellow"/>
        </w:rPr>
      </w:pPr>
    </w:p>
    <w:p w:rsidR="001C24F5" w:rsidRPr="0030718E" w:rsidP="001C24F5" w14:paraId="0C021683" w14:textId="77777777">
      <w:pPr>
        <w:keepNext/>
        <w:spacing w:after="120"/>
        <w:ind w:left="357"/>
        <w:rPr>
          <w:rFonts w:cs="Arial"/>
          <w:b/>
        </w:rPr>
      </w:pPr>
      <w:r w:rsidRPr="0030718E">
        <w:rPr>
          <w:rFonts w:cs="Arial"/>
          <w:b/>
        </w:rPr>
        <w:t>b)  Varianta 1</w:t>
      </w:r>
    </w:p>
    <w:p w:rsidR="001C24F5" w:rsidRPr="0030718E" w:rsidP="001C24F5" w14:paraId="47264D5F" w14:textId="77777777">
      <w:pPr>
        <w:spacing w:after="120"/>
        <w:rPr>
          <w:rFonts w:cs="Arial"/>
        </w:rPr>
      </w:pPr>
      <w:r w:rsidRPr="0030718E">
        <w:rPr>
          <w:rFonts w:cs="Arial"/>
        </w:rPr>
        <w:t xml:space="preserve">Výrobce </w:t>
      </w:r>
      <w:r>
        <w:rPr>
          <w:rFonts w:cs="Arial"/>
        </w:rPr>
        <w:t>odpadních pneumatik</w:t>
      </w:r>
      <w:r w:rsidRPr="0030718E">
        <w:rPr>
          <w:rFonts w:cs="Arial"/>
        </w:rPr>
        <w:t xml:space="preserve"> je povinen zřídit na vlastní náklady místo </w:t>
      </w:r>
      <w:r w:rsidRPr="001C24F5">
        <w:rPr>
          <w:rFonts w:cs="Arial"/>
        </w:rPr>
        <w:t>ZO na každých 25</w:t>
      </w:r>
      <w:r w:rsidRPr="0030718E">
        <w:rPr>
          <w:rFonts w:cs="Arial"/>
        </w:rPr>
        <w:t xml:space="preserve"> tis. obyvatel vyššího územně samosprávného celku (v krajích), přičemž místa ZO musí být v rámci každého vyššího územně samosprávného celku</w:t>
      </w:r>
      <w:r w:rsidRPr="0030718E">
        <w:rPr>
          <w:rFonts w:cs="Arial"/>
          <w:u w:val="single"/>
        </w:rPr>
        <w:t xml:space="preserve"> </w:t>
      </w:r>
      <w:r w:rsidRPr="0030718E">
        <w:rPr>
          <w:rFonts w:cs="Arial"/>
        </w:rPr>
        <w:t>rovnoměrně rozmístěna. Jedná se o </w:t>
      </w:r>
      <w:r w:rsidRPr="001C24F5">
        <w:rPr>
          <w:rFonts w:cs="Arial"/>
        </w:rPr>
        <w:t>zpřesnění a</w:t>
      </w:r>
      <w:r>
        <w:rPr>
          <w:rFonts w:cs="Arial"/>
        </w:rPr>
        <w:t> </w:t>
      </w:r>
      <w:r w:rsidRPr="001C24F5">
        <w:rPr>
          <w:rFonts w:cs="Arial"/>
        </w:rPr>
        <w:t>jasné vydefinování hustoty a rozmístění sběrné sítě</w:t>
      </w:r>
      <w:r w:rsidRPr="0030718E">
        <w:rPr>
          <w:rFonts w:cs="Arial"/>
        </w:rPr>
        <w:t xml:space="preserve"> ZO </w:t>
      </w:r>
      <w:r w:rsidRPr="001C24F5">
        <w:rPr>
          <w:rFonts w:cs="Arial"/>
        </w:rPr>
        <w:t>odpadních pneumatik</w:t>
      </w:r>
      <w:r w:rsidRPr="0030718E">
        <w:rPr>
          <w:rFonts w:cs="Arial"/>
        </w:rPr>
        <w:t>.</w:t>
      </w:r>
    </w:p>
    <w:p w:rsidR="001C24F5" w:rsidRPr="0030718E" w:rsidP="001C24F5" w14:paraId="23730EAE" w14:textId="77777777">
      <w:pPr>
        <w:pStyle w:val="Normlntun"/>
        <w:spacing w:before="240"/>
        <w:rPr>
          <w:rFonts w:cs="Arial"/>
        </w:rPr>
      </w:pPr>
      <w:r w:rsidRPr="0030718E">
        <w:rPr>
          <w:rFonts w:cs="Arial"/>
        </w:rPr>
        <w:t>Dopady na státní rozpočet a ostatní veřejné rozpočty</w:t>
      </w:r>
    </w:p>
    <w:p w:rsidR="001C24F5" w:rsidRPr="0030718E" w:rsidP="001C24F5" w14:paraId="1006E289" w14:textId="77777777">
      <w:pPr>
        <w:rPr>
          <w:rFonts w:cs="Arial"/>
        </w:rPr>
      </w:pPr>
      <w:r w:rsidRPr="0030718E">
        <w:rPr>
          <w:rFonts w:cs="Arial"/>
        </w:rPr>
        <w:t xml:space="preserve">Nepředpokládáme dopad na státní rozpočet a ostatní veřejné rozpočty. Jedná se o zjednodušení a </w:t>
      </w:r>
      <w:r>
        <w:rPr>
          <w:rFonts w:cs="Arial"/>
        </w:rPr>
        <w:t xml:space="preserve">zejména </w:t>
      </w:r>
      <w:r w:rsidRPr="0030718E">
        <w:rPr>
          <w:rFonts w:cs="Arial"/>
        </w:rPr>
        <w:t xml:space="preserve">zpřehlednění současného systému, čímž se zjednodušuje možnost kontroly </w:t>
      </w:r>
      <w:r w:rsidRPr="00A34F90">
        <w:rPr>
          <w:rFonts w:cs="Arial"/>
        </w:rPr>
        <w:t>ohledně splnění podmínek nastavené hustoty sítě míst ZO</w:t>
      </w:r>
      <w:r>
        <w:rPr>
          <w:rFonts w:cs="Arial"/>
        </w:rPr>
        <w:t xml:space="preserve"> a zvyšuje se vymahatelnost </w:t>
      </w:r>
      <w:r w:rsidRPr="0030718E">
        <w:rPr>
          <w:rFonts w:cs="Arial"/>
        </w:rPr>
        <w:t>ze strany kontrolních orgánů.</w:t>
      </w:r>
    </w:p>
    <w:p w:rsidR="001C24F5" w:rsidRPr="0030718E" w:rsidP="001C24F5" w14:paraId="732D5385" w14:textId="77777777">
      <w:pPr>
        <w:pStyle w:val="Normlntun"/>
        <w:spacing w:before="240"/>
        <w:rPr>
          <w:rFonts w:cs="Arial"/>
        </w:rPr>
      </w:pPr>
      <w:r w:rsidRPr="0030718E">
        <w:rPr>
          <w:rFonts w:cs="Arial"/>
        </w:rPr>
        <w:t>Dopady na podnikatelské subjekty</w:t>
      </w:r>
    </w:p>
    <w:p w:rsidR="001C24F5" w:rsidRPr="0030718E" w:rsidP="0039543B" w14:paraId="2CEA0689" w14:textId="77777777">
      <w:pPr>
        <w:pStyle w:val="Normlntun"/>
        <w:keepNext w:val="0"/>
        <w:widowControl w:val="0"/>
        <w:spacing w:before="120" w:line="276" w:lineRule="auto"/>
        <w:rPr>
          <w:rFonts w:cs="Arial"/>
          <w:b w:val="0"/>
        </w:rPr>
      </w:pPr>
      <w:r w:rsidRPr="0030718E">
        <w:rPr>
          <w:rFonts w:cs="Arial"/>
          <w:b w:val="0"/>
        </w:rPr>
        <w:t>Dle varianty 1 je hustota sběrné sítě definov</w:t>
      </w:r>
      <w:r w:rsidRPr="001C24F5">
        <w:rPr>
          <w:rFonts w:cs="Arial"/>
          <w:b w:val="0"/>
        </w:rPr>
        <w:t>ána jako 1 místo ZO na každých 25</w:t>
      </w:r>
      <w:r w:rsidRPr="0030718E">
        <w:rPr>
          <w:rFonts w:cs="Arial"/>
          <w:b w:val="0"/>
        </w:rPr>
        <w:t xml:space="preserve"> tis. obyvatel v každém kraji. Počet míst ZO v jednotlivých krajích a celkovou hustotu sběrné sítě ukazuje následující tabulka.</w:t>
      </w:r>
    </w:p>
    <w:p w:rsidR="001C24F5" w:rsidRPr="0030718E" w:rsidP="004F2CF7" w14:paraId="29097AEE" w14:textId="494813CB">
      <w:pPr>
        <w:pStyle w:val="Normlntun"/>
        <w:spacing w:before="240" w:line="276" w:lineRule="auto"/>
        <w:rPr>
          <w:rFonts w:cs="Arial"/>
          <w:sz w:val="20"/>
        </w:rPr>
      </w:pPr>
      <w:r>
        <w:rPr>
          <w:rFonts w:cs="Arial"/>
          <w:sz w:val="20"/>
        </w:rPr>
        <w:t>Tabulka 63</w:t>
      </w:r>
      <w:r w:rsidRPr="00AF4885">
        <w:rPr>
          <w:rFonts w:cs="Arial"/>
          <w:sz w:val="20"/>
        </w:rPr>
        <w:t>:</w:t>
      </w:r>
      <w:r w:rsidRPr="0030718E">
        <w:rPr>
          <w:rFonts w:cs="Arial"/>
          <w:sz w:val="20"/>
        </w:rPr>
        <w:t xml:space="preserve"> Minimální počet sběrných míst u </w:t>
      </w:r>
      <w:r w:rsidRPr="001C24F5">
        <w:rPr>
          <w:rFonts w:cs="Arial"/>
          <w:sz w:val="20"/>
        </w:rPr>
        <w:t>odpadních pneumatik</w:t>
      </w:r>
      <w:r w:rsidRPr="0030718E">
        <w:rPr>
          <w:rFonts w:cs="Arial"/>
          <w:sz w:val="20"/>
        </w:rPr>
        <w:t xml:space="preserve"> při požadavku </w:t>
      </w:r>
      <w:r w:rsidRPr="001C24F5">
        <w:rPr>
          <w:rFonts w:cs="Arial"/>
          <w:sz w:val="20"/>
        </w:rPr>
        <w:t>zřízení 1 místa ZO na každých 25</w:t>
      </w:r>
      <w:r w:rsidRPr="0030718E">
        <w:rPr>
          <w:rFonts w:cs="Arial"/>
          <w:sz w:val="20"/>
        </w:rPr>
        <w:t xml:space="preserve"> tis. obyvatel v kraji</w:t>
      </w:r>
    </w:p>
    <w:tbl>
      <w:tblPr>
        <w:tblW w:w="6374" w:type="dxa"/>
        <w:tblCellMar>
          <w:left w:w="70" w:type="dxa"/>
          <w:right w:w="70" w:type="dxa"/>
        </w:tblCellMar>
        <w:tblLook w:val="04A0"/>
      </w:tblPr>
      <w:tblGrid>
        <w:gridCol w:w="2740"/>
        <w:gridCol w:w="1915"/>
        <w:gridCol w:w="1719"/>
      </w:tblGrid>
      <w:tr w14:paraId="6AD65088" w14:textId="77777777" w:rsidTr="001C24F5">
        <w:tblPrEx>
          <w:tblW w:w="6374" w:type="dxa"/>
          <w:tblCellMar>
            <w:left w:w="70" w:type="dxa"/>
            <w:right w:w="70" w:type="dxa"/>
          </w:tblCellMar>
          <w:tblLook w:val="04A0"/>
        </w:tblPrEx>
        <w:trPr>
          <w:trHeight w:val="313"/>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C24F5" w:rsidRPr="0030718E" w:rsidP="001C24F5" w14:paraId="6BBDC909" w14:textId="77777777">
            <w:pPr>
              <w:spacing w:before="40" w:after="40"/>
              <w:jc w:val="center"/>
              <w:rPr>
                <w:b/>
                <w:bCs/>
                <w:noProof w:val="0"/>
                <w:color w:val="000000"/>
                <w:lang w:eastAsia="cs-CZ" w:bidi="ar-SA"/>
              </w:rPr>
            </w:pPr>
            <w:r w:rsidRPr="0030718E">
              <w:rPr>
                <w:b/>
              </w:rPr>
              <w:t>Hustota sběrné sítě u přenosných BA</w:t>
            </w:r>
          </w:p>
        </w:tc>
      </w:tr>
      <w:tr w14:paraId="1DB05DF2" w14:textId="77777777" w:rsidTr="001C24F5">
        <w:tblPrEx>
          <w:tblW w:w="6374" w:type="dxa"/>
          <w:tblCellMar>
            <w:left w:w="70" w:type="dxa"/>
            <w:right w:w="70" w:type="dxa"/>
          </w:tblCellMar>
          <w:tblLook w:val="04A0"/>
        </w:tblPrEx>
        <w:trPr>
          <w:trHeight w:val="313"/>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4F5" w:rsidRPr="0030718E" w:rsidP="001C24F5" w14:paraId="3ADC71C2" w14:textId="77777777">
            <w:pPr>
              <w:spacing w:before="40" w:after="40"/>
              <w:jc w:val="center"/>
              <w:rPr>
                <w:b/>
                <w:noProof w:val="0"/>
                <w:lang w:eastAsia="cs-CZ" w:bidi="ar-SA"/>
              </w:rPr>
            </w:pPr>
            <w:r w:rsidRPr="0030718E">
              <w:rPr>
                <w:b/>
                <w:noProof w:val="0"/>
                <w:lang w:eastAsia="cs-CZ" w:bidi="ar-SA"/>
              </w:rPr>
              <w:t>Kraj</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1C24F5" w:rsidRPr="0030718E" w:rsidP="001C24F5" w14:paraId="3604FF29" w14:textId="77777777">
            <w:pPr>
              <w:spacing w:before="40" w:after="40"/>
              <w:jc w:val="center"/>
              <w:rPr>
                <w:b/>
                <w:noProof w:val="0"/>
                <w:lang w:eastAsia="cs-CZ" w:bidi="ar-SA"/>
              </w:rPr>
            </w:pPr>
            <w:r w:rsidRPr="0030718E">
              <w:rPr>
                <w:b/>
                <w:noProof w:val="0"/>
                <w:lang w:eastAsia="cs-CZ" w:bidi="ar-SA"/>
              </w:rPr>
              <w:t>Počet obyvatel</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rsidR="001C24F5" w:rsidRPr="0030718E" w:rsidP="001C24F5" w14:paraId="78BDA002" w14:textId="77777777">
            <w:pPr>
              <w:spacing w:before="40" w:after="40"/>
              <w:jc w:val="center"/>
              <w:rPr>
                <w:b/>
                <w:bCs/>
                <w:noProof w:val="0"/>
                <w:color w:val="000000"/>
                <w:lang w:eastAsia="cs-CZ" w:bidi="ar-SA"/>
              </w:rPr>
            </w:pPr>
            <w:r w:rsidRPr="0030718E">
              <w:rPr>
                <w:b/>
                <w:bCs/>
                <w:noProof w:val="0"/>
                <w:color w:val="000000"/>
                <w:lang w:eastAsia="cs-CZ" w:bidi="ar-SA"/>
              </w:rPr>
              <w:t>Počet míst ZO</w:t>
            </w:r>
          </w:p>
        </w:tc>
      </w:tr>
      <w:tr w14:paraId="13950D69"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1210D213" w14:textId="77777777">
            <w:pPr>
              <w:spacing w:before="40" w:after="40"/>
              <w:jc w:val="left"/>
              <w:rPr>
                <w:noProof w:val="0"/>
                <w:lang w:eastAsia="cs-CZ" w:bidi="ar-SA"/>
              </w:rPr>
            </w:pPr>
            <w:r w:rsidRPr="0030718E">
              <w:rPr>
                <w:noProof w:val="0"/>
                <w:lang w:eastAsia="cs-CZ" w:bidi="ar-SA"/>
              </w:rPr>
              <w:t>Hlavní město Praha</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2A57EF7B" w14:textId="77777777">
            <w:pPr>
              <w:spacing w:before="40" w:after="40"/>
              <w:jc w:val="center"/>
              <w:rPr>
                <w:noProof w:val="0"/>
                <w:lang w:eastAsia="cs-CZ" w:bidi="ar-SA"/>
              </w:rPr>
            </w:pPr>
            <w:r w:rsidRPr="0030718E">
              <w:rPr>
                <w:noProof w:val="0"/>
                <w:lang w:eastAsia="cs-CZ" w:bidi="ar-SA"/>
              </w:rPr>
              <w:t>1 308 632</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0A8B0D97" w14:textId="77777777">
            <w:pPr>
              <w:spacing w:before="40" w:after="40"/>
              <w:jc w:val="center"/>
              <w:rPr>
                <w:noProof w:val="0"/>
                <w:color w:val="000000"/>
                <w:lang w:eastAsia="cs-CZ" w:bidi="ar-SA"/>
              </w:rPr>
            </w:pPr>
            <w:r w:rsidRPr="0030718E">
              <w:rPr>
                <w:color w:val="000000"/>
              </w:rPr>
              <w:t>52</w:t>
            </w:r>
          </w:p>
        </w:tc>
      </w:tr>
      <w:tr w14:paraId="69223B76"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5830276C" w14:textId="77777777">
            <w:pPr>
              <w:spacing w:before="40" w:after="40"/>
              <w:jc w:val="left"/>
              <w:rPr>
                <w:noProof w:val="0"/>
                <w:lang w:eastAsia="cs-CZ" w:bidi="ar-SA"/>
              </w:rPr>
            </w:pPr>
            <w:r w:rsidRPr="0030718E">
              <w:rPr>
                <w:noProof w:val="0"/>
                <w:lang w:eastAsia="cs-CZ" w:bidi="ar-SA"/>
              </w:rPr>
              <w:t>Středočeský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4A652F81" w14:textId="77777777">
            <w:pPr>
              <w:spacing w:before="40" w:after="40"/>
              <w:jc w:val="center"/>
              <w:rPr>
                <w:noProof w:val="0"/>
                <w:lang w:eastAsia="cs-CZ" w:bidi="ar-SA"/>
              </w:rPr>
            </w:pPr>
            <w:r w:rsidRPr="0030718E">
              <w:rPr>
                <w:noProof w:val="0"/>
                <w:lang w:eastAsia="cs-CZ" w:bidi="ar-SA"/>
              </w:rPr>
              <w:t>1 369 332</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26DC3677" w14:textId="77777777">
            <w:pPr>
              <w:spacing w:before="40" w:after="40"/>
              <w:jc w:val="center"/>
              <w:rPr>
                <w:noProof w:val="0"/>
                <w:color w:val="000000"/>
                <w:lang w:eastAsia="cs-CZ" w:bidi="ar-SA"/>
              </w:rPr>
            </w:pPr>
            <w:r w:rsidRPr="0030718E">
              <w:rPr>
                <w:color w:val="000000"/>
              </w:rPr>
              <w:t>55</w:t>
            </w:r>
          </w:p>
        </w:tc>
      </w:tr>
      <w:tr w14:paraId="07F1C4AF"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614FFB9A" w14:textId="77777777">
            <w:pPr>
              <w:spacing w:before="40" w:after="40"/>
              <w:jc w:val="left"/>
              <w:rPr>
                <w:noProof w:val="0"/>
                <w:lang w:eastAsia="cs-CZ" w:bidi="ar-SA"/>
              </w:rPr>
            </w:pPr>
            <w:r w:rsidRPr="0030718E">
              <w:rPr>
                <w:noProof w:val="0"/>
                <w:lang w:eastAsia="cs-CZ" w:bidi="ar-SA"/>
              </w:rPr>
              <w:t>Jihočeský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547425B3" w14:textId="77777777">
            <w:pPr>
              <w:spacing w:before="40" w:after="40"/>
              <w:jc w:val="center"/>
              <w:rPr>
                <w:noProof w:val="0"/>
                <w:lang w:eastAsia="cs-CZ" w:bidi="ar-SA"/>
              </w:rPr>
            </w:pPr>
            <w:r w:rsidRPr="0030718E">
              <w:rPr>
                <w:noProof w:val="0"/>
                <w:lang w:eastAsia="cs-CZ" w:bidi="ar-SA"/>
              </w:rPr>
              <w:t>642 133</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06D72D4E" w14:textId="77777777">
            <w:pPr>
              <w:spacing w:before="40" w:after="40"/>
              <w:jc w:val="center"/>
              <w:rPr>
                <w:noProof w:val="0"/>
                <w:color w:val="000000"/>
                <w:lang w:eastAsia="cs-CZ" w:bidi="ar-SA"/>
              </w:rPr>
            </w:pPr>
            <w:r w:rsidRPr="0030718E">
              <w:rPr>
                <w:color w:val="000000"/>
              </w:rPr>
              <w:t>26</w:t>
            </w:r>
          </w:p>
        </w:tc>
      </w:tr>
      <w:tr w14:paraId="199F7A42"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61131BA7" w14:textId="77777777">
            <w:pPr>
              <w:spacing w:before="40" w:after="40"/>
              <w:jc w:val="left"/>
              <w:rPr>
                <w:noProof w:val="0"/>
                <w:lang w:eastAsia="cs-CZ" w:bidi="ar-SA"/>
              </w:rPr>
            </w:pPr>
            <w:r w:rsidRPr="0030718E">
              <w:rPr>
                <w:noProof w:val="0"/>
                <w:lang w:eastAsia="cs-CZ" w:bidi="ar-SA"/>
              </w:rPr>
              <w:t>Plzeňský</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3518CAB5" w14:textId="77777777">
            <w:pPr>
              <w:spacing w:before="40" w:after="40"/>
              <w:jc w:val="center"/>
              <w:rPr>
                <w:noProof w:val="0"/>
                <w:lang w:eastAsia="cs-CZ" w:bidi="ar-SA"/>
              </w:rPr>
            </w:pPr>
            <w:r w:rsidRPr="0030718E">
              <w:rPr>
                <w:noProof w:val="0"/>
                <w:lang w:eastAsia="cs-CZ" w:bidi="ar-SA"/>
              </w:rPr>
              <w:t>584 672</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132550F5" w14:textId="77777777">
            <w:pPr>
              <w:spacing w:before="40" w:after="40"/>
              <w:jc w:val="center"/>
              <w:rPr>
                <w:noProof w:val="0"/>
                <w:color w:val="000000"/>
                <w:lang w:eastAsia="cs-CZ" w:bidi="ar-SA"/>
              </w:rPr>
            </w:pPr>
            <w:r w:rsidRPr="0030718E">
              <w:rPr>
                <w:color w:val="000000"/>
              </w:rPr>
              <w:t>23</w:t>
            </w:r>
          </w:p>
        </w:tc>
      </w:tr>
      <w:tr w14:paraId="36CC4402"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1621F2BF" w14:textId="77777777">
            <w:pPr>
              <w:spacing w:before="40" w:after="40"/>
              <w:jc w:val="left"/>
              <w:rPr>
                <w:noProof w:val="0"/>
                <w:lang w:eastAsia="cs-CZ" w:bidi="ar-SA"/>
              </w:rPr>
            </w:pPr>
            <w:r w:rsidRPr="0030718E">
              <w:rPr>
                <w:noProof w:val="0"/>
                <w:lang w:eastAsia="cs-CZ" w:bidi="ar-SA"/>
              </w:rPr>
              <w:t xml:space="preserve">Karlovarský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2F6A48C7" w14:textId="77777777">
            <w:pPr>
              <w:spacing w:before="40" w:after="40"/>
              <w:jc w:val="center"/>
              <w:rPr>
                <w:noProof w:val="0"/>
                <w:lang w:eastAsia="cs-CZ" w:bidi="ar-SA"/>
              </w:rPr>
            </w:pPr>
            <w:r w:rsidRPr="0030718E">
              <w:rPr>
                <w:noProof w:val="0"/>
                <w:lang w:eastAsia="cs-CZ" w:bidi="ar-SA"/>
              </w:rPr>
              <w:t>294 896</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1B76C766" w14:textId="77777777">
            <w:pPr>
              <w:spacing w:before="40" w:after="40"/>
              <w:jc w:val="center"/>
              <w:rPr>
                <w:noProof w:val="0"/>
                <w:color w:val="000000"/>
                <w:lang w:eastAsia="cs-CZ" w:bidi="ar-SA"/>
              </w:rPr>
            </w:pPr>
            <w:r w:rsidRPr="0030718E">
              <w:rPr>
                <w:color w:val="000000"/>
              </w:rPr>
              <w:t>12</w:t>
            </w:r>
          </w:p>
        </w:tc>
      </w:tr>
      <w:tr w14:paraId="4B5AE276"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5559E428" w14:textId="77777777">
            <w:pPr>
              <w:spacing w:before="40" w:after="40"/>
              <w:jc w:val="left"/>
              <w:rPr>
                <w:noProof w:val="0"/>
                <w:lang w:eastAsia="cs-CZ" w:bidi="ar-SA"/>
              </w:rPr>
            </w:pPr>
            <w:r w:rsidRPr="0030718E">
              <w:rPr>
                <w:noProof w:val="0"/>
                <w:lang w:eastAsia="cs-CZ" w:bidi="ar-SA"/>
              </w:rPr>
              <w:t xml:space="preserve">Ústecký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7492ADCB" w14:textId="77777777">
            <w:pPr>
              <w:spacing w:before="40" w:after="40"/>
              <w:jc w:val="center"/>
              <w:rPr>
                <w:noProof w:val="0"/>
                <w:lang w:eastAsia="cs-CZ" w:bidi="ar-SA"/>
              </w:rPr>
            </w:pPr>
            <w:r w:rsidRPr="0030718E">
              <w:rPr>
                <w:noProof w:val="0"/>
                <w:lang w:eastAsia="cs-CZ" w:bidi="ar-SA"/>
              </w:rPr>
              <w:t>820 789</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3A2227BA" w14:textId="77777777">
            <w:pPr>
              <w:spacing w:before="40" w:after="40"/>
              <w:jc w:val="center"/>
              <w:rPr>
                <w:noProof w:val="0"/>
                <w:color w:val="000000"/>
                <w:lang w:eastAsia="cs-CZ" w:bidi="ar-SA"/>
              </w:rPr>
            </w:pPr>
            <w:r w:rsidRPr="0030718E">
              <w:rPr>
                <w:color w:val="000000"/>
              </w:rPr>
              <w:t>33</w:t>
            </w:r>
          </w:p>
        </w:tc>
      </w:tr>
      <w:tr w14:paraId="24BC07B3"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78AEA52D" w14:textId="77777777">
            <w:pPr>
              <w:spacing w:before="40" w:after="40"/>
              <w:jc w:val="left"/>
              <w:rPr>
                <w:noProof w:val="0"/>
                <w:lang w:eastAsia="cs-CZ" w:bidi="ar-SA"/>
              </w:rPr>
            </w:pPr>
            <w:r w:rsidRPr="0030718E">
              <w:rPr>
                <w:noProof w:val="0"/>
                <w:lang w:eastAsia="cs-CZ" w:bidi="ar-SA"/>
              </w:rPr>
              <w:t xml:space="preserve">Liberecký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5F03A728" w14:textId="77777777">
            <w:pPr>
              <w:spacing w:before="40" w:after="40"/>
              <w:jc w:val="center"/>
              <w:rPr>
                <w:noProof w:val="0"/>
                <w:lang w:eastAsia="cs-CZ" w:bidi="ar-SA"/>
              </w:rPr>
            </w:pPr>
            <w:r w:rsidRPr="0030718E">
              <w:rPr>
                <w:noProof w:val="0"/>
                <w:lang w:eastAsia="cs-CZ" w:bidi="ar-SA"/>
              </w:rPr>
              <w:t>442 356</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2A309475" w14:textId="77777777">
            <w:pPr>
              <w:spacing w:before="40" w:after="40"/>
              <w:jc w:val="center"/>
              <w:rPr>
                <w:noProof w:val="0"/>
                <w:color w:val="000000"/>
                <w:lang w:eastAsia="cs-CZ" w:bidi="ar-SA"/>
              </w:rPr>
            </w:pPr>
            <w:r w:rsidRPr="0030718E">
              <w:rPr>
                <w:color w:val="000000"/>
              </w:rPr>
              <w:t>18</w:t>
            </w:r>
          </w:p>
        </w:tc>
      </w:tr>
      <w:tr w14:paraId="7164EE9F"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5C802489" w14:textId="77777777">
            <w:pPr>
              <w:spacing w:before="40" w:after="40"/>
              <w:jc w:val="left"/>
              <w:rPr>
                <w:noProof w:val="0"/>
                <w:lang w:eastAsia="cs-CZ" w:bidi="ar-SA"/>
              </w:rPr>
            </w:pPr>
            <w:r w:rsidRPr="0030718E">
              <w:rPr>
                <w:noProof w:val="0"/>
                <w:lang w:eastAsia="cs-CZ" w:bidi="ar-SA"/>
              </w:rPr>
              <w:t xml:space="preserve">Královéhradecký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3B0672B0" w14:textId="77777777">
            <w:pPr>
              <w:spacing w:before="40" w:after="40"/>
              <w:jc w:val="center"/>
              <w:rPr>
                <w:noProof w:val="0"/>
                <w:lang w:eastAsia="cs-CZ" w:bidi="ar-SA"/>
              </w:rPr>
            </w:pPr>
            <w:r w:rsidRPr="0030718E">
              <w:rPr>
                <w:noProof w:val="0"/>
                <w:lang w:eastAsia="cs-CZ" w:bidi="ar-SA"/>
              </w:rPr>
              <w:t>551 021</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016A9864" w14:textId="77777777">
            <w:pPr>
              <w:spacing w:before="40" w:after="40"/>
              <w:jc w:val="center"/>
              <w:rPr>
                <w:noProof w:val="0"/>
                <w:color w:val="000000"/>
                <w:lang w:eastAsia="cs-CZ" w:bidi="ar-SA"/>
              </w:rPr>
            </w:pPr>
            <w:r w:rsidRPr="0030718E">
              <w:rPr>
                <w:color w:val="000000"/>
              </w:rPr>
              <w:t>22</w:t>
            </w:r>
          </w:p>
        </w:tc>
      </w:tr>
      <w:tr w14:paraId="1D881B83"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48232FBD" w14:textId="77777777">
            <w:pPr>
              <w:spacing w:before="40" w:after="40"/>
              <w:jc w:val="left"/>
              <w:rPr>
                <w:noProof w:val="0"/>
                <w:lang w:eastAsia="cs-CZ" w:bidi="ar-SA"/>
              </w:rPr>
            </w:pPr>
            <w:r w:rsidRPr="0030718E">
              <w:rPr>
                <w:noProof w:val="0"/>
                <w:lang w:eastAsia="cs-CZ" w:bidi="ar-SA"/>
              </w:rPr>
              <w:t xml:space="preserve">Pardubický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08EB5349" w14:textId="77777777">
            <w:pPr>
              <w:spacing w:before="40" w:after="40"/>
              <w:jc w:val="center"/>
              <w:rPr>
                <w:noProof w:val="0"/>
                <w:lang w:eastAsia="cs-CZ" w:bidi="ar-SA"/>
              </w:rPr>
            </w:pPr>
            <w:r w:rsidRPr="0030718E">
              <w:rPr>
                <w:noProof w:val="0"/>
                <w:lang w:eastAsia="cs-CZ" w:bidi="ar-SA"/>
              </w:rPr>
              <w:t>520 316</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46E6C108" w14:textId="77777777">
            <w:pPr>
              <w:spacing w:before="40" w:after="40"/>
              <w:jc w:val="center"/>
              <w:rPr>
                <w:noProof w:val="0"/>
                <w:color w:val="000000"/>
                <w:lang w:eastAsia="cs-CZ" w:bidi="ar-SA"/>
              </w:rPr>
            </w:pPr>
            <w:r w:rsidRPr="0030718E">
              <w:rPr>
                <w:color w:val="000000"/>
              </w:rPr>
              <w:t>21</w:t>
            </w:r>
          </w:p>
        </w:tc>
      </w:tr>
      <w:tr w14:paraId="194A6486"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09942EA2" w14:textId="77777777">
            <w:pPr>
              <w:spacing w:before="40" w:after="40"/>
              <w:jc w:val="left"/>
              <w:rPr>
                <w:noProof w:val="0"/>
                <w:lang w:eastAsia="cs-CZ" w:bidi="ar-SA"/>
              </w:rPr>
            </w:pPr>
            <w:r w:rsidRPr="0030718E">
              <w:rPr>
                <w:noProof w:val="0"/>
                <w:lang w:eastAsia="cs-CZ" w:bidi="ar-SA"/>
              </w:rPr>
              <w:t>Vysočina</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14CDBF9E" w14:textId="77777777">
            <w:pPr>
              <w:spacing w:before="40" w:after="40"/>
              <w:jc w:val="center"/>
              <w:rPr>
                <w:noProof w:val="0"/>
                <w:lang w:eastAsia="cs-CZ" w:bidi="ar-SA"/>
              </w:rPr>
            </w:pPr>
            <w:r w:rsidRPr="0030718E">
              <w:rPr>
                <w:noProof w:val="0"/>
                <w:lang w:eastAsia="cs-CZ" w:bidi="ar-SA"/>
              </w:rPr>
              <w:t>509 274</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343CBDCE" w14:textId="77777777">
            <w:pPr>
              <w:spacing w:before="40" w:after="40"/>
              <w:jc w:val="center"/>
              <w:rPr>
                <w:noProof w:val="0"/>
                <w:color w:val="000000"/>
                <w:lang w:eastAsia="cs-CZ" w:bidi="ar-SA"/>
              </w:rPr>
            </w:pPr>
            <w:r w:rsidRPr="0030718E">
              <w:rPr>
                <w:color w:val="000000"/>
              </w:rPr>
              <w:t>20</w:t>
            </w:r>
          </w:p>
        </w:tc>
      </w:tr>
      <w:tr w14:paraId="735A9FF5"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55FF369B" w14:textId="77777777">
            <w:pPr>
              <w:spacing w:before="40" w:after="40"/>
              <w:jc w:val="left"/>
              <w:rPr>
                <w:noProof w:val="0"/>
                <w:lang w:eastAsia="cs-CZ" w:bidi="ar-SA"/>
              </w:rPr>
            </w:pPr>
            <w:r w:rsidRPr="0030718E">
              <w:rPr>
                <w:noProof w:val="0"/>
                <w:lang w:eastAsia="cs-CZ" w:bidi="ar-SA"/>
              </w:rPr>
              <w:t xml:space="preserve">Jihomoravský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3ADEAE8D" w14:textId="77777777">
            <w:pPr>
              <w:spacing w:before="40" w:after="40"/>
              <w:jc w:val="center"/>
              <w:rPr>
                <w:noProof w:val="0"/>
                <w:lang w:eastAsia="cs-CZ" w:bidi="ar-SA"/>
              </w:rPr>
            </w:pPr>
            <w:r w:rsidRPr="0030718E">
              <w:rPr>
                <w:noProof w:val="0"/>
                <w:lang w:eastAsia="cs-CZ" w:bidi="ar-SA"/>
              </w:rPr>
              <w:t>1 187 667</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0BDB33B0" w14:textId="77777777">
            <w:pPr>
              <w:spacing w:before="40" w:after="40"/>
              <w:jc w:val="center"/>
              <w:rPr>
                <w:noProof w:val="0"/>
                <w:color w:val="000000"/>
                <w:lang w:eastAsia="cs-CZ" w:bidi="ar-SA"/>
              </w:rPr>
            </w:pPr>
            <w:r w:rsidRPr="0030718E">
              <w:rPr>
                <w:color w:val="000000"/>
              </w:rPr>
              <w:t>48</w:t>
            </w:r>
          </w:p>
        </w:tc>
      </w:tr>
      <w:tr w14:paraId="1E2E267E"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76B75C9B" w14:textId="77777777">
            <w:pPr>
              <w:spacing w:before="40" w:after="40"/>
              <w:jc w:val="left"/>
              <w:rPr>
                <w:noProof w:val="0"/>
                <w:lang w:eastAsia="cs-CZ" w:bidi="ar-SA"/>
              </w:rPr>
            </w:pPr>
            <w:r w:rsidRPr="0030718E">
              <w:rPr>
                <w:noProof w:val="0"/>
                <w:lang w:eastAsia="cs-CZ" w:bidi="ar-SA"/>
              </w:rPr>
              <w:t xml:space="preserve">Olomoucký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7368A802" w14:textId="77777777">
            <w:pPr>
              <w:spacing w:before="40" w:after="40"/>
              <w:jc w:val="center"/>
              <w:rPr>
                <w:noProof w:val="0"/>
                <w:lang w:eastAsia="cs-CZ" w:bidi="ar-SA"/>
              </w:rPr>
            </w:pPr>
            <w:r w:rsidRPr="0030718E">
              <w:rPr>
                <w:noProof w:val="0"/>
                <w:lang w:eastAsia="cs-CZ" w:bidi="ar-SA"/>
              </w:rPr>
              <w:t>632 492</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11023EC1" w14:textId="77777777">
            <w:pPr>
              <w:spacing w:before="40" w:after="40"/>
              <w:jc w:val="center"/>
              <w:rPr>
                <w:noProof w:val="0"/>
                <w:color w:val="000000"/>
                <w:lang w:eastAsia="cs-CZ" w:bidi="ar-SA"/>
              </w:rPr>
            </w:pPr>
            <w:r w:rsidRPr="0030718E">
              <w:rPr>
                <w:color w:val="000000"/>
              </w:rPr>
              <w:t>25</w:t>
            </w:r>
          </w:p>
        </w:tc>
      </w:tr>
      <w:tr w14:paraId="4B0DB846"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6B8761F9" w14:textId="77777777">
            <w:pPr>
              <w:spacing w:before="40" w:after="40"/>
              <w:jc w:val="left"/>
              <w:rPr>
                <w:noProof w:val="0"/>
                <w:lang w:eastAsia="cs-CZ" w:bidi="ar-SA"/>
              </w:rPr>
            </w:pPr>
            <w:r w:rsidRPr="0030718E">
              <w:rPr>
                <w:noProof w:val="0"/>
                <w:lang w:eastAsia="cs-CZ" w:bidi="ar-SA"/>
              </w:rPr>
              <w:t xml:space="preserve">Zlínský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43C6821F" w14:textId="77777777">
            <w:pPr>
              <w:spacing w:before="40" w:after="40"/>
              <w:jc w:val="center"/>
              <w:rPr>
                <w:noProof w:val="0"/>
                <w:lang w:eastAsia="cs-CZ" w:bidi="ar-SA"/>
              </w:rPr>
            </w:pPr>
            <w:r w:rsidRPr="0030718E">
              <w:rPr>
                <w:noProof w:val="0"/>
                <w:lang w:eastAsia="cs-CZ" w:bidi="ar-SA"/>
              </w:rPr>
              <w:t>582 921</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317AB20F" w14:textId="77777777">
            <w:pPr>
              <w:spacing w:before="40" w:after="40"/>
              <w:jc w:val="center"/>
              <w:rPr>
                <w:noProof w:val="0"/>
                <w:color w:val="000000"/>
                <w:lang w:eastAsia="cs-CZ" w:bidi="ar-SA"/>
              </w:rPr>
            </w:pPr>
            <w:r w:rsidRPr="0030718E">
              <w:rPr>
                <w:color w:val="000000"/>
              </w:rPr>
              <w:t>23</w:t>
            </w:r>
          </w:p>
        </w:tc>
      </w:tr>
      <w:tr w14:paraId="2007D8DF"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68633290" w14:textId="77777777">
            <w:pPr>
              <w:spacing w:before="40" w:after="40"/>
              <w:jc w:val="left"/>
              <w:rPr>
                <w:noProof w:val="0"/>
                <w:lang w:eastAsia="cs-CZ" w:bidi="ar-SA"/>
              </w:rPr>
            </w:pPr>
            <w:r w:rsidRPr="0030718E">
              <w:rPr>
                <w:noProof w:val="0"/>
                <w:lang w:eastAsia="cs-CZ" w:bidi="ar-SA"/>
              </w:rPr>
              <w:t xml:space="preserve">Moravskoslezský </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4097B60C" w14:textId="77777777">
            <w:pPr>
              <w:spacing w:before="40" w:after="40"/>
              <w:jc w:val="center"/>
              <w:rPr>
                <w:noProof w:val="0"/>
                <w:lang w:eastAsia="cs-CZ" w:bidi="ar-SA"/>
              </w:rPr>
            </w:pPr>
            <w:r w:rsidRPr="0030718E">
              <w:rPr>
                <w:noProof w:val="0"/>
                <w:lang w:eastAsia="cs-CZ" w:bidi="ar-SA"/>
              </w:rPr>
              <w:t>1 203 299</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172FCE3E" w14:textId="77777777">
            <w:pPr>
              <w:spacing w:before="40" w:after="40"/>
              <w:jc w:val="center"/>
              <w:rPr>
                <w:noProof w:val="0"/>
                <w:color w:val="000000"/>
                <w:lang w:eastAsia="cs-CZ" w:bidi="ar-SA"/>
              </w:rPr>
            </w:pPr>
            <w:r w:rsidRPr="0030718E">
              <w:rPr>
                <w:color w:val="000000"/>
              </w:rPr>
              <w:t>48</w:t>
            </w:r>
          </w:p>
        </w:tc>
      </w:tr>
      <w:tr w14:paraId="1BDB11C3" w14:textId="77777777" w:rsidTr="001C24F5">
        <w:tblPrEx>
          <w:tblW w:w="6374" w:type="dxa"/>
          <w:tblCellMar>
            <w:left w:w="70" w:type="dxa"/>
            <w:right w:w="70" w:type="dxa"/>
          </w:tblCellMar>
          <w:tblLook w:val="04A0"/>
        </w:tblPrEx>
        <w:trPr>
          <w:trHeight w:val="31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1C24F5" w:rsidRPr="0030718E" w:rsidP="001C24F5" w14:paraId="6817AD43" w14:textId="77777777">
            <w:pPr>
              <w:spacing w:before="40" w:after="40"/>
              <w:jc w:val="left"/>
              <w:rPr>
                <w:b/>
                <w:bCs/>
                <w:noProof w:val="0"/>
                <w:lang w:eastAsia="cs-CZ" w:bidi="ar-SA"/>
              </w:rPr>
            </w:pPr>
            <w:r w:rsidRPr="0030718E">
              <w:rPr>
                <w:b/>
                <w:bCs/>
                <w:noProof w:val="0"/>
                <w:lang w:eastAsia="cs-CZ" w:bidi="ar-SA"/>
              </w:rPr>
              <w:t>Celkem</w:t>
            </w:r>
          </w:p>
        </w:tc>
        <w:tc>
          <w:tcPr>
            <w:tcW w:w="1915" w:type="dxa"/>
            <w:tcBorders>
              <w:top w:val="nil"/>
              <w:left w:val="nil"/>
              <w:bottom w:val="single" w:sz="4" w:space="0" w:color="auto"/>
              <w:right w:val="single" w:sz="4" w:space="0" w:color="auto"/>
            </w:tcBorders>
            <w:shd w:val="clear" w:color="auto" w:fill="auto"/>
            <w:noWrap/>
            <w:vAlign w:val="bottom"/>
            <w:hideMark/>
          </w:tcPr>
          <w:p w:rsidR="001C24F5" w:rsidRPr="0030718E" w:rsidP="001C24F5" w14:paraId="6F5EE3C4" w14:textId="77777777">
            <w:pPr>
              <w:spacing w:before="40" w:after="40"/>
              <w:jc w:val="center"/>
              <w:rPr>
                <w:b/>
                <w:bCs/>
                <w:noProof w:val="0"/>
                <w:color w:val="000000"/>
                <w:lang w:eastAsia="cs-CZ" w:bidi="ar-SA"/>
              </w:rPr>
            </w:pPr>
            <w:r w:rsidRPr="0030718E">
              <w:rPr>
                <w:b/>
                <w:bCs/>
                <w:noProof w:val="0"/>
                <w:color w:val="000000"/>
                <w:lang w:eastAsia="cs-CZ" w:bidi="ar-SA"/>
              </w:rPr>
              <w:t>10 649 800</w:t>
            </w:r>
          </w:p>
        </w:tc>
        <w:tc>
          <w:tcPr>
            <w:tcW w:w="1719" w:type="dxa"/>
            <w:tcBorders>
              <w:top w:val="nil"/>
              <w:left w:val="nil"/>
              <w:bottom w:val="single" w:sz="4" w:space="0" w:color="auto"/>
              <w:right w:val="single" w:sz="4" w:space="0" w:color="auto"/>
            </w:tcBorders>
            <w:shd w:val="clear" w:color="auto" w:fill="auto"/>
            <w:noWrap/>
            <w:vAlign w:val="bottom"/>
          </w:tcPr>
          <w:p w:rsidR="001C24F5" w:rsidRPr="0030718E" w:rsidP="001C24F5" w14:paraId="2654BCC8" w14:textId="77777777">
            <w:pPr>
              <w:spacing w:before="40" w:after="40"/>
              <w:jc w:val="center"/>
              <w:rPr>
                <w:b/>
                <w:bCs/>
                <w:noProof w:val="0"/>
                <w:color w:val="000000"/>
                <w:lang w:eastAsia="cs-CZ" w:bidi="ar-SA"/>
              </w:rPr>
            </w:pPr>
            <w:r w:rsidRPr="0030718E">
              <w:rPr>
                <w:b/>
                <w:bCs/>
                <w:color w:val="000000"/>
              </w:rPr>
              <w:t>426</w:t>
            </w:r>
          </w:p>
        </w:tc>
      </w:tr>
    </w:tbl>
    <w:p w:rsidR="00CB0702" w:rsidRPr="004F2CF7" w:rsidP="001C24F5" w14:paraId="51BEA3AE" w14:textId="1BF32A83">
      <w:pPr>
        <w:pStyle w:val="Normlntun"/>
        <w:keepNext w:val="0"/>
        <w:widowControl w:val="0"/>
        <w:spacing w:before="240" w:line="276" w:lineRule="auto"/>
        <w:rPr>
          <w:rFonts w:cs="Arial"/>
          <w:b w:val="0"/>
        </w:rPr>
      </w:pPr>
      <w:r w:rsidRPr="004F2CF7">
        <w:rPr>
          <w:rFonts w:cs="Arial"/>
          <w:b w:val="0"/>
        </w:rPr>
        <w:t xml:space="preserve">Lze očekávat, že jasnou definicí hustoty sběrné sítě dojde k narovnání podmínek mezi výrobci plnícími povinnosti individuálně a kolektivně. </w:t>
      </w:r>
      <w:r w:rsidRPr="004F2CF7" w:rsidR="001C24F5">
        <w:rPr>
          <w:rFonts w:cs="Arial"/>
          <w:b w:val="0"/>
        </w:rPr>
        <w:t>Z </w:t>
      </w:r>
      <w:r w:rsidR="008853F0">
        <w:rPr>
          <w:rFonts w:cs="Arial"/>
          <w:b w:val="0"/>
        </w:rPr>
        <w:t>tabulky 63</w:t>
      </w:r>
      <w:r w:rsidRPr="004F2CF7" w:rsidR="00C85B53">
        <w:rPr>
          <w:rFonts w:cs="Arial"/>
          <w:b w:val="0"/>
        </w:rPr>
        <w:t xml:space="preserve"> </w:t>
      </w:r>
      <w:r w:rsidRPr="004F2CF7" w:rsidR="001C24F5">
        <w:rPr>
          <w:rFonts w:cs="Arial"/>
          <w:b w:val="0"/>
        </w:rPr>
        <w:t>vyplývá, že současná sběrná síť KS mnohonásobně převyšuje minimální požadavek na </w:t>
      </w:r>
      <w:r w:rsidRPr="004F2CF7">
        <w:rPr>
          <w:rFonts w:cs="Arial"/>
          <w:b w:val="0"/>
        </w:rPr>
        <w:t xml:space="preserve"> sběrnou síť, co do počtu míst, proto </w:t>
      </w:r>
      <w:r w:rsidRPr="004F2CF7" w:rsidR="001C24F5">
        <w:rPr>
          <w:rFonts w:cs="Arial"/>
          <w:b w:val="0"/>
        </w:rPr>
        <w:t xml:space="preserve">změna požadavku na hustotu sběrné sítě </w:t>
      </w:r>
      <w:r w:rsidRPr="004F2CF7">
        <w:rPr>
          <w:rFonts w:cs="Arial"/>
          <w:b w:val="0"/>
        </w:rPr>
        <w:t>nebude</w:t>
      </w:r>
      <w:r w:rsidRPr="004F2CF7" w:rsidR="001C24F5">
        <w:rPr>
          <w:rFonts w:cs="Arial"/>
          <w:b w:val="0"/>
        </w:rPr>
        <w:t xml:space="preserve"> mít pro KS </w:t>
      </w:r>
      <w:r w:rsidRPr="004F2CF7">
        <w:rPr>
          <w:rFonts w:cs="Arial"/>
          <w:b w:val="0"/>
        </w:rPr>
        <w:t>negativní dopad</w:t>
      </w:r>
      <w:r w:rsidRPr="004F2CF7" w:rsidR="001C24F5">
        <w:rPr>
          <w:rFonts w:cs="Arial"/>
          <w:b w:val="0"/>
        </w:rPr>
        <w:t>.</w:t>
      </w:r>
      <w:r w:rsidRPr="004F2CF7">
        <w:rPr>
          <w:rFonts w:cs="Arial"/>
          <w:b w:val="0"/>
        </w:rPr>
        <w:t xml:space="preserve"> Naopak se očekává, že dojde k zlevnění systému ZO odpadních pneumatik</w:t>
      </w:r>
      <w:r w:rsidR="00991F12">
        <w:rPr>
          <w:rFonts w:cs="Arial"/>
          <w:b w:val="0"/>
        </w:rPr>
        <w:t xml:space="preserve"> (v rámci KS)</w:t>
      </w:r>
      <w:r w:rsidRPr="004F2CF7">
        <w:rPr>
          <w:rFonts w:cs="Arial"/>
          <w:b w:val="0"/>
        </w:rPr>
        <w:t xml:space="preserve">, neboť </w:t>
      </w:r>
      <w:r w:rsidR="00991F12">
        <w:rPr>
          <w:rFonts w:cs="Arial"/>
          <w:b w:val="0"/>
        </w:rPr>
        <w:t>KS nebude zpětně odebírat</w:t>
      </w:r>
      <w:r w:rsidRPr="004F2CF7">
        <w:rPr>
          <w:rFonts w:cs="Arial"/>
          <w:b w:val="0"/>
        </w:rPr>
        <w:t xml:space="preserve">  pneumatiky za individuální výrobce, kteří </w:t>
      </w:r>
      <w:r w:rsidR="00991F12">
        <w:rPr>
          <w:rFonts w:cs="Arial"/>
          <w:b w:val="0"/>
        </w:rPr>
        <w:t xml:space="preserve">se </w:t>
      </w:r>
      <w:r w:rsidRPr="004F2CF7">
        <w:rPr>
          <w:rFonts w:cs="Arial"/>
          <w:b w:val="0"/>
        </w:rPr>
        <w:t xml:space="preserve">nyní </w:t>
      </w:r>
      <w:r w:rsidR="00991F12">
        <w:rPr>
          <w:rFonts w:cs="Arial"/>
          <w:b w:val="0"/>
        </w:rPr>
        <w:t>vyhýbali řádnému plnění</w:t>
      </w:r>
      <w:r w:rsidRPr="004F2CF7">
        <w:rPr>
          <w:rFonts w:cs="Arial"/>
          <w:b w:val="0"/>
        </w:rPr>
        <w:t xml:space="preserve"> zákonn</w:t>
      </w:r>
      <w:r w:rsidR="00991F12">
        <w:rPr>
          <w:rFonts w:cs="Arial"/>
          <w:b w:val="0"/>
        </w:rPr>
        <w:t>ých povinností</w:t>
      </w:r>
      <w:r w:rsidRPr="004F2CF7">
        <w:rPr>
          <w:rFonts w:cs="Arial"/>
          <w:b w:val="0"/>
        </w:rPr>
        <w:t xml:space="preserve">. Individuální výrobci budou nuceni vytvořit odpovídající sběrnou síť, která zajistí požadovanou míru ZO odpadních pneumatik, popř. se </w:t>
      </w:r>
      <w:r w:rsidR="00991F12">
        <w:rPr>
          <w:rFonts w:cs="Arial"/>
          <w:b w:val="0"/>
        </w:rPr>
        <w:t xml:space="preserve">tito výrobci </w:t>
      </w:r>
      <w:r w:rsidRPr="004F2CF7">
        <w:rPr>
          <w:rFonts w:cs="Arial"/>
          <w:b w:val="0"/>
        </w:rPr>
        <w:t>zapojí</w:t>
      </w:r>
      <w:r w:rsidR="00991F12">
        <w:rPr>
          <w:rFonts w:cs="Arial"/>
          <w:b w:val="0"/>
        </w:rPr>
        <w:t xml:space="preserve"> do</w:t>
      </w:r>
      <w:r w:rsidR="00D73208">
        <w:rPr>
          <w:rFonts w:cs="Arial"/>
          <w:b w:val="0"/>
        </w:rPr>
        <w:t> </w:t>
      </w:r>
      <w:r w:rsidR="00991F12">
        <w:rPr>
          <w:rFonts w:cs="Arial"/>
          <w:b w:val="0"/>
        </w:rPr>
        <w:t>KS, pokud to pro ně bude ekonomicky výhodnější.</w:t>
      </w:r>
    </w:p>
    <w:p w:rsidR="001C24F5" w:rsidRPr="0030718E" w:rsidP="001C24F5" w14:paraId="7B61F02C" w14:textId="77777777">
      <w:pPr>
        <w:pStyle w:val="Normlntun"/>
        <w:keepNext w:val="0"/>
        <w:widowControl w:val="0"/>
        <w:spacing w:before="240"/>
        <w:rPr>
          <w:rFonts w:cs="Arial"/>
        </w:rPr>
      </w:pPr>
      <w:r w:rsidRPr="0030718E">
        <w:rPr>
          <w:rFonts w:cs="Arial"/>
        </w:rPr>
        <w:t>Dopady na územní samosprávné celky (obce, kraje)</w:t>
      </w:r>
    </w:p>
    <w:p w:rsidR="001C24F5" w:rsidRPr="0030718E" w:rsidP="00D73208" w14:paraId="7747C99B" w14:textId="4B6CCEE2">
      <w:r w:rsidRPr="00D73208">
        <w:t>Tato úprava</w:t>
      </w:r>
      <w:r w:rsidRPr="0030718E">
        <w:t xml:space="preserve"> by měla zajistit rovnoměrn</w:t>
      </w:r>
      <w:r>
        <w:t>é</w:t>
      </w:r>
      <w:r w:rsidRPr="0030718E">
        <w:t xml:space="preserve"> rozmístění sběrné sítě</w:t>
      </w:r>
      <w:r>
        <w:t xml:space="preserve"> odpadních pneumatik</w:t>
      </w:r>
      <w:r w:rsidRPr="0030718E">
        <w:t xml:space="preserve">, a tím i zlepšení dostupnosti míst ZO občanům, a snížení množství </w:t>
      </w:r>
      <w:r w:rsidRPr="001C24F5">
        <w:t>pneumatik</w:t>
      </w:r>
      <w:r w:rsidRPr="0030718E">
        <w:t xml:space="preserve"> končících </w:t>
      </w:r>
      <w:r w:rsidRPr="001C24F5">
        <w:t xml:space="preserve">v příkopech, na černých skládkách či </w:t>
      </w:r>
      <w:r w:rsidRPr="0030718E">
        <w:t>v komunálním odpadu</w:t>
      </w:r>
      <w:r w:rsidRPr="00991F12">
        <w:t xml:space="preserve">, </w:t>
      </w:r>
      <w:r w:rsidRPr="004F2CF7" w:rsidR="00991F12">
        <w:t xml:space="preserve">jejichž likvidaci pak musí </w:t>
      </w:r>
      <w:r w:rsidR="00991F12">
        <w:t>financovat</w:t>
      </w:r>
      <w:r w:rsidRPr="004F2CF7" w:rsidR="00991F12">
        <w:t xml:space="preserve"> obce</w:t>
      </w:r>
      <w:r w:rsidRPr="00991F12">
        <w:t>.</w:t>
      </w:r>
    </w:p>
    <w:p w:rsidR="001C24F5" w:rsidRPr="0030718E" w:rsidP="001C24F5" w14:paraId="180E48CE" w14:textId="77777777">
      <w:pPr>
        <w:pStyle w:val="Normlntun"/>
        <w:keepNext w:val="0"/>
        <w:widowControl w:val="0"/>
        <w:spacing w:before="240"/>
        <w:rPr>
          <w:rFonts w:cs="Arial"/>
        </w:rPr>
      </w:pPr>
      <w:r w:rsidRPr="0030718E">
        <w:rPr>
          <w:rFonts w:cs="Arial"/>
        </w:rPr>
        <w:t>Sociální dopady</w:t>
      </w:r>
    </w:p>
    <w:p w:rsidR="001C24F5" w:rsidRPr="0030718E" w:rsidP="00D73208" w14:paraId="770BC64C" w14:textId="77777777">
      <w:r w:rsidRPr="0030718E">
        <w:t xml:space="preserve">Zlepšení dostupnosti míst ZO </w:t>
      </w:r>
      <w:r w:rsidRPr="001C24F5">
        <w:t xml:space="preserve">odpadních pneumatik </w:t>
      </w:r>
      <w:r w:rsidRPr="0030718E">
        <w:t>občanům.</w:t>
      </w:r>
    </w:p>
    <w:p w:rsidR="001C24F5" w:rsidRPr="0030718E" w:rsidP="001C24F5" w14:paraId="19C34C0B" w14:textId="77777777">
      <w:pPr>
        <w:pStyle w:val="Normlntun"/>
        <w:keepNext w:val="0"/>
        <w:widowControl w:val="0"/>
        <w:spacing w:before="240"/>
        <w:rPr>
          <w:rFonts w:cs="Arial"/>
        </w:rPr>
      </w:pPr>
      <w:r w:rsidRPr="0030718E">
        <w:rPr>
          <w:rFonts w:cs="Arial"/>
        </w:rPr>
        <w:t>Dopady na životní prostředí</w:t>
      </w:r>
    </w:p>
    <w:p w:rsidR="001C24F5" w:rsidRPr="001C24F5" w:rsidP="001C24F5" w14:paraId="74491457" w14:textId="7FB45C73">
      <w:pPr>
        <w:widowControl w:val="0"/>
        <w:rPr>
          <w:rFonts w:cs="Arial"/>
        </w:rPr>
      </w:pPr>
      <w:r w:rsidRPr="0030718E">
        <w:rPr>
          <w:rFonts w:cs="Arial"/>
        </w:rPr>
        <w:t xml:space="preserve">V případě vybudování kvalitní sběrné sítě, a tím zjednodušení odevzdání </w:t>
      </w:r>
      <w:r w:rsidRPr="001C24F5">
        <w:rPr>
          <w:rFonts w:cs="Arial"/>
        </w:rPr>
        <w:t xml:space="preserve">odpadních pneumatik, </w:t>
      </w:r>
      <w:r w:rsidRPr="0030718E">
        <w:rPr>
          <w:rFonts w:cs="Arial"/>
        </w:rPr>
        <w:t xml:space="preserve">lze očekávat zvýšení množství zpětně odebraných </w:t>
      </w:r>
      <w:r w:rsidRPr="001C24F5">
        <w:rPr>
          <w:rFonts w:cs="Arial"/>
        </w:rPr>
        <w:t>odpadních pneumatik</w:t>
      </w:r>
      <w:r w:rsidRPr="0030718E">
        <w:rPr>
          <w:rFonts w:cs="Arial"/>
        </w:rPr>
        <w:t xml:space="preserve">, které budou následně zrecyklovány a </w:t>
      </w:r>
      <w:r w:rsidRPr="001C24F5">
        <w:rPr>
          <w:rFonts w:cs="Arial"/>
        </w:rPr>
        <w:t>snížení množství pneumatik končících v příkopech, na</w:t>
      </w:r>
      <w:r w:rsidR="00D73208">
        <w:rPr>
          <w:rFonts w:cs="Arial"/>
        </w:rPr>
        <w:t> </w:t>
      </w:r>
      <w:r w:rsidRPr="001C24F5">
        <w:rPr>
          <w:rFonts w:cs="Arial"/>
        </w:rPr>
        <w:t>černých skládkách či</w:t>
      </w:r>
      <w:r>
        <w:rPr>
          <w:rFonts w:cs="Arial"/>
        </w:rPr>
        <w:t> </w:t>
      </w:r>
      <w:r w:rsidRPr="001C24F5">
        <w:rPr>
          <w:rFonts w:cs="Arial"/>
        </w:rPr>
        <w:t>v komunálním odpadu, kde představují riziko pro životní prostředí.</w:t>
      </w:r>
    </w:p>
    <w:p w:rsidR="00D73208" w:rsidP="00D73208" w14:paraId="454BABE0" w14:textId="77777777"/>
    <w:p w:rsidR="001C24F5" w:rsidRPr="004F2CF7" w:rsidP="00BF16B7" w14:paraId="7BF108FA" w14:textId="77777777">
      <w:pPr>
        <w:pStyle w:val="Heading3"/>
      </w:pPr>
      <w:r w:rsidRPr="004F2CF7">
        <w:t>Vyhodnocení nákladů a přínosů variant</w:t>
      </w:r>
    </w:p>
    <w:p w:rsidR="001C24F5" w:rsidRPr="004F2CF7" w:rsidP="001C24F5" w14:paraId="68F2623E" w14:textId="5443F651">
      <w:pPr>
        <w:pStyle w:val="Caption"/>
        <w:spacing w:before="120"/>
        <w:contextualSpacing w:val="0"/>
        <w:rPr>
          <w:rFonts w:cs="Arial"/>
          <w:sz w:val="20"/>
          <w:szCs w:val="20"/>
        </w:rPr>
      </w:pPr>
      <w:r>
        <w:rPr>
          <w:rFonts w:cs="Arial"/>
          <w:sz w:val="20"/>
          <w:szCs w:val="20"/>
        </w:rPr>
        <w:t>Tabulka 64</w:t>
      </w:r>
      <w:r w:rsidRPr="004F2CF7">
        <w:rPr>
          <w:rFonts w:cs="Arial"/>
          <w:sz w:val="20"/>
          <w:szCs w:val="20"/>
        </w:rPr>
        <w:t>: Porovnání nákladů a přínosů</w:t>
      </w:r>
    </w:p>
    <w:tbl>
      <w:tblPr>
        <w:tblStyle w:val="TableGrid"/>
        <w:tblW w:w="0" w:type="auto"/>
        <w:tblLook w:val="04A0"/>
      </w:tblPr>
      <w:tblGrid>
        <w:gridCol w:w="1213"/>
        <w:gridCol w:w="2277"/>
        <w:gridCol w:w="1250"/>
        <w:gridCol w:w="3052"/>
        <w:gridCol w:w="1270"/>
      </w:tblGrid>
      <w:tr w14:paraId="3C19FC49" w14:textId="77777777" w:rsidTr="003572FE">
        <w:tblPrEx>
          <w:tblW w:w="0" w:type="auto"/>
          <w:tblLook w:val="04A0"/>
        </w:tblPrEx>
        <w:tc>
          <w:tcPr>
            <w:tcW w:w="1213" w:type="dxa"/>
            <w:vAlign w:val="center"/>
          </w:tcPr>
          <w:p w:rsidR="001C24F5" w:rsidRPr="004F2CF7" w:rsidP="001C24F5" w14:paraId="35AFD571" w14:textId="77777777">
            <w:pPr>
              <w:jc w:val="center"/>
              <w:rPr>
                <w:sz w:val="20"/>
                <w:szCs w:val="20"/>
              </w:rPr>
            </w:pPr>
            <w:r w:rsidRPr="004F2CF7">
              <w:rPr>
                <w:b/>
                <w:bCs/>
                <w:sz w:val="20"/>
                <w:szCs w:val="20"/>
              </w:rPr>
              <w:t>Varianta</w:t>
            </w:r>
          </w:p>
        </w:tc>
        <w:tc>
          <w:tcPr>
            <w:tcW w:w="2277" w:type="dxa"/>
            <w:vAlign w:val="center"/>
          </w:tcPr>
          <w:p w:rsidR="001C24F5" w:rsidRPr="004F2CF7" w:rsidP="001C24F5" w14:paraId="359C1FA0" w14:textId="77777777">
            <w:pPr>
              <w:jc w:val="center"/>
              <w:rPr>
                <w:sz w:val="20"/>
                <w:szCs w:val="20"/>
              </w:rPr>
            </w:pPr>
            <w:r w:rsidRPr="004F2CF7">
              <w:rPr>
                <w:b/>
                <w:bCs/>
                <w:sz w:val="20"/>
                <w:szCs w:val="20"/>
              </w:rPr>
              <w:t>Přínosy</w:t>
            </w:r>
          </w:p>
        </w:tc>
        <w:tc>
          <w:tcPr>
            <w:tcW w:w="1250" w:type="dxa"/>
            <w:vAlign w:val="center"/>
          </w:tcPr>
          <w:p w:rsidR="001C24F5" w:rsidRPr="004F2CF7" w:rsidP="001C24F5" w14:paraId="41761338" w14:textId="77777777">
            <w:pPr>
              <w:jc w:val="center"/>
              <w:rPr>
                <w:sz w:val="20"/>
                <w:szCs w:val="20"/>
              </w:rPr>
            </w:pPr>
            <w:r w:rsidRPr="004F2CF7">
              <w:rPr>
                <w:b/>
                <w:bCs/>
                <w:sz w:val="20"/>
                <w:szCs w:val="20"/>
              </w:rPr>
              <w:t>Hodnocení</w:t>
            </w:r>
          </w:p>
        </w:tc>
        <w:tc>
          <w:tcPr>
            <w:tcW w:w="3052" w:type="dxa"/>
            <w:vAlign w:val="center"/>
          </w:tcPr>
          <w:p w:rsidR="001C24F5" w:rsidRPr="004F2CF7" w:rsidP="001C24F5" w14:paraId="69CC19DE" w14:textId="77777777">
            <w:pPr>
              <w:jc w:val="center"/>
              <w:rPr>
                <w:sz w:val="20"/>
                <w:szCs w:val="20"/>
              </w:rPr>
            </w:pPr>
            <w:r w:rsidRPr="004F2CF7">
              <w:rPr>
                <w:b/>
                <w:bCs/>
                <w:sz w:val="20"/>
                <w:szCs w:val="20"/>
              </w:rPr>
              <w:t>Náklady</w:t>
            </w:r>
          </w:p>
        </w:tc>
        <w:tc>
          <w:tcPr>
            <w:tcW w:w="1270" w:type="dxa"/>
            <w:vAlign w:val="center"/>
          </w:tcPr>
          <w:p w:rsidR="001C24F5" w:rsidRPr="004F2CF7" w:rsidP="001C24F5" w14:paraId="56094146" w14:textId="77777777">
            <w:pPr>
              <w:jc w:val="center"/>
              <w:rPr>
                <w:sz w:val="20"/>
                <w:szCs w:val="20"/>
              </w:rPr>
            </w:pPr>
            <w:r w:rsidRPr="004F2CF7">
              <w:rPr>
                <w:b/>
                <w:bCs/>
                <w:sz w:val="20"/>
                <w:szCs w:val="20"/>
              </w:rPr>
              <w:t>Hodnocení</w:t>
            </w:r>
          </w:p>
        </w:tc>
      </w:tr>
      <w:tr w14:paraId="3B496EA5" w14:textId="77777777" w:rsidTr="00442C7B">
        <w:tblPrEx>
          <w:tblW w:w="0" w:type="auto"/>
          <w:tblLook w:val="04A0"/>
        </w:tblPrEx>
        <w:tc>
          <w:tcPr>
            <w:tcW w:w="1213" w:type="dxa"/>
            <w:vMerge w:val="restart"/>
            <w:vAlign w:val="center"/>
          </w:tcPr>
          <w:p w:rsidR="001C24F5" w:rsidRPr="004F2CF7" w:rsidP="001C24F5" w14:paraId="4BF05EE6" w14:textId="77777777">
            <w:pPr>
              <w:rPr>
                <w:b/>
                <w:sz w:val="20"/>
                <w:szCs w:val="20"/>
              </w:rPr>
            </w:pPr>
            <w:r w:rsidRPr="004F2CF7">
              <w:rPr>
                <w:b/>
                <w:sz w:val="20"/>
                <w:szCs w:val="20"/>
              </w:rPr>
              <w:t>Varianta 0</w:t>
            </w:r>
          </w:p>
        </w:tc>
        <w:tc>
          <w:tcPr>
            <w:tcW w:w="7849" w:type="dxa"/>
            <w:gridSpan w:val="4"/>
            <w:vAlign w:val="center"/>
          </w:tcPr>
          <w:p w:rsidR="001C24F5" w:rsidRPr="004F2CF7" w:rsidP="001C24F5" w14:paraId="5F758A59" w14:textId="77777777">
            <w:pPr>
              <w:jc w:val="center"/>
              <w:rPr>
                <w:sz w:val="20"/>
                <w:szCs w:val="20"/>
              </w:rPr>
            </w:pPr>
            <w:r w:rsidRPr="004F2CF7">
              <w:rPr>
                <w:b/>
                <w:bCs/>
                <w:sz w:val="20"/>
                <w:szCs w:val="20"/>
              </w:rPr>
              <w:t>Státní rozpočet a ostatní veřejné rozpočty</w:t>
            </w:r>
          </w:p>
        </w:tc>
      </w:tr>
      <w:tr w14:paraId="7C6BE91A" w14:textId="77777777" w:rsidTr="003572FE">
        <w:tblPrEx>
          <w:tblW w:w="0" w:type="auto"/>
          <w:tblLook w:val="04A0"/>
        </w:tblPrEx>
        <w:tc>
          <w:tcPr>
            <w:tcW w:w="1213" w:type="dxa"/>
            <w:vMerge/>
            <w:vAlign w:val="center"/>
          </w:tcPr>
          <w:p w:rsidR="001C24F5" w:rsidRPr="004F2CF7" w:rsidP="001C24F5" w14:paraId="0B268284" w14:textId="77777777">
            <w:pPr>
              <w:rPr>
                <w:sz w:val="20"/>
                <w:szCs w:val="20"/>
              </w:rPr>
            </w:pPr>
          </w:p>
        </w:tc>
        <w:tc>
          <w:tcPr>
            <w:tcW w:w="2277" w:type="dxa"/>
            <w:vAlign w:val="center"/>
          </w:tcPr>
          <w:p w:rsidR="001C24F5" w:rsidRPr="004F2CF7" w:rsidP="001C24F5" w14:paraId="5F69BBDF" w14:textId="77777777">
            <w:pPr>
              <w:jc w:val="center"/>
              <w:rPr>
                <w:sz w:val="20"/>
                <w:szCs w:val="20"/>
              </w:rPr>
            </w:pPr>
            <w:r w:rsidRPr="004F2CF7">
              <w:rPr>
                <w:sz w:val="20"/>
                <w:szCs w:val="20"/>
              </w:rPr>
              <w:t>-</w:t>
            </w:r>
          </w:p>
        </w:tc>
        <w:tc>
          <w:tcPr>
            <w:tcW w:w="1250" w:type="dxa"/>
            <w:vAlign w:val="center"/>
          </w:tcPr>
          <w:p w:rsidR="001C24F5" w:rsidRPr="004F2CF7" w:rsidP="001C24F5" w14:paraId="76594382" w14:textId="77777777">
            <w:pPr>
              <w:jc w:val="center"/>
              <w:rPr>
                <w:sz w:val="20"/>
                <w:szCs w:val="20"/>
              </w:rPr>
            </w:pPr>
            <w:r w:rsidRPr="004F2CF7">
              <w:rPr>
                <w:sz w:val="20"/>
                <w:szCs w:val="20"/>
              </w:rPr>
              <w:t>-</w:t>
            </w:r>
          </w:p>
        </w:tc>
        <w:tc>
          <w:tcPr>
            <w:tcW w:w="3052" w:type="dxa"/>
            <w:vAlign w:val="center"/>
          </w:tcPr>
          <w:p w:rsidR="001C24F5" w:rsidRPr="004F2CF7" w:rsidP="001C24F5" w14:paraId="597FC8D6" w14:textId="77777777">
            <w:pPr>
              <w:jc w:val="center"/>
              <w:rPr>
                <w:sz w:val="20"/>
                <w:szCs w:val="20"/>
              </w:rPr>
            </w:pPr>
            <w:r w:rsidRPr="004F2CF7">
              <w:rPr>
                <w:sz w:val="20"/>
                <w:szCs w:val="20"/>
              </w:rPr>
              <w:t>Nepřehlednost a špatná kontrola splnění podmínek nastavené hustoty sítě míst ZO</w:t>
            </w:r>
          </w:p>
        </w:tc>
        <w:tc>
          <w:tcPr>
            <w:tcW w:w="1270" w:type="dxa"/>
            <w:vAlign w:val="center"/>
          </w:tcPr>
          <w:p w:rsidR="001C24F5" w:rsidRPr="004F2CF7" w:rsidP="001C24F5" w14:paraId="1648A844" w14:textId="77777777">
            <w:pPr>
              <w:jc w:val="center"/>
              <w:rPr>
                <w:sz w:val="20"/>
                <w:szCs w:val="20"/>
              </w:rPr>
            </w:pPr>
            <w:r w:rsidRPr="004F2CF7">
              <w:rPr>
                <w:sz w:val="20"/>
                <w:szCs w:val="20"/>
              </w:rPr>
              <w:t>**</w:t>
            </w:r>
          </w:p>
        </w:tc>
      </w:tr>
      <w:tr w14:paraId="5F80D00E" w14:textId="77777777" w:rsidTr="00442C7B">
        <w:tblPrEx>
          <w:tblW w:w="0" w:type="auto"/>
          <w:tblLook w:val="04A0"/>
        </w:tblPrEx>
        <w:tc>
          <w:tcPr>
            <w:tcW w:w="1213" w:type="dxa"/>
            <w:vMerge/>
            <w:vAlign w:val="center"/>
          </w:tcPr>
          <w:p w:rsidR="001C24F5" w:rsidRPr="004F2CF7" w:rsidP="001C24F5" w14:paraId="52DA97AF" w14:textId="77777777">
            <w:pPr>
              <w:rPr>
                <w:sz w:val="20"/>
                <w:szCs w:val="20"/>
              </w:rPr>
            </w:pPr>
          </w:p>
        </w:tc>
        <w:tc>
          <w:tcPr>
            <w:tcW w:w="7849" w:type="dxa"/>
            <w:gridSpan w:val="4"/>
            <w:vAlign w:val="center"/>
          </w:tcPr>
          <w:p w:rsidR="001C24F5" w:rsidRPr="004F2CF7" w:rsidP="001C24F5" w14:paraId="26F9FD8D" w14:textId="77777777">
            <w:pPr>
              <w:jc w:val="center"/>
              <w:rPr>
                <w:sz w:val="20"/>
                <w:szCs w:val="20"/>
              </w:rPr>
            </w:pPr>
            <w:r w:rsidRPr="004F2CF7">
              <w:rPr>
                <w:b/>
                <w:bCs/>
                <w:sz w:val="20"/>
                <w:szCs w:val="20"/>
              </w:rPr>
              <w:t>Podnikatelské subjekty</w:t>
            </w:r>
          </w:p>
        </w:tc>
      </w:tr>
      <w:tr w14:paraId="0B40EEDE" w14:textId="77777777" w:rsidTr="003572FE">
        <w:tblPrEx>
          <w:tblW w:w="0" w:type="auto"/>
          <w:tblLook w:val="04A0"/>
        </w:tblPrEx>
        <w:tc>
          <w:tcPr>
            <w:tcW w:w="1213" w:type="dxa"/>
            <w:vMerge/>
            <w:vAlign w:val="center"/>
          </w:tcPr>
          <w:p w:rsidR="001C24F5" w:rsidRPr="004F2CF7" w:rsidP="001C24F5" w14:paraId="6BBA8E03" w14:textId="77777777">
            <w:pPr>
              <w:rPr>
                <w:sz w:val="20"/>
                <w:szCs w:val="20"/>
              </w:rPr>
            </w:pPr>
          </w:p>
        </w:tc>
        <w:tc>
          <w:tcPr>
            <w:tcW w:w="2277" w:type="dxa"/>
            <w:vAlign w:val="center"/>
          </w:tcPr>
          <w:p w:rsidR="001C24F5" w:rsidRPr="004F2CF7" w:rsidP="001C24F5" w14:paraId="6EE6FCA0" w14:textId="77777777">
            <w:pPr>
              <w:jc w:val="center"/>
              <w:rPr>
                <w:sz w:val="20"/>
                <w:szCs w:val="20"/>
              </w:rPr>
            </w:pPr>
            <w:r w:rsidRPr="004F2CF7">
              <w:rPr>
                <w:sz w:val="20"/>
                <w:szCs w:val="20"/>
              </w:rPr>
              <w:t>-</w:t>
            </w:r>
          </w:p>
        </w:tc>
        <w:tc>
          <w:tcPr>
            <w:tcW w:w="1250" w:type="dxa"/>
            <w:vAlign w:val="center"/>
          </w:tcPr>
          <w:p w:rsidR="001C24F5" w:rsidRPr="004F2CF7" w:rsidP="001C24F5" w14:paraId="2E7689ED" w14:textId="77777777">
            <w:pPr>
              <w:jc w:val="center"/>
              <w:rPr>
                <w:sz w:val="20"/>
                <w:szCs w:val="20"/>
              </w:rPr>
            </w:pPr>
            <w:r w:rsidRPr="004F2CF7">
              <w:rPr>
                <w:sz w:val="20"/>
                <w:szCs w:val="20"/>
              </w:rPr>
              <w:t>-</w:t>
            </w:r>
          </w:p>
        </w:tc>
        <w:tc>
          <w:tcPr>
            <w:tcW w:w="3052" w:type="dxa"/>
            <w:vAlign w:val="center"/>
          </w:tcPr>
          <w:p w:rsidR="001C24F5" w:rsidRPr="004F2CF7" w:rsidP="001C24F5" w14:paraId="1496100F" w14:textId="4D29B296">
            <w:pPr>
              <w:jc w:val="center"/>
              <w:rPr>
                <w:sz w:val="20"/>
                <w:szCs w:val="20"/>
              </w:rPr>
            </w:pPr>
            <w:r>
              <w:rPr>
                <w:sz w:val="20"/>
                <w:szCs w:val="20"/>
              </w:rPr>
              <w:t>Free-riding u některých individuálně plnících výrobců a přenášení nákladů za ZO pneumatik na KS</w:t>
            </w:r>
          </w:p>
        </w:tc>
        <w:tc>
          <w:tcPr>
            <w:tcW w:w="1270" w:type="dxa"/>
            <w:vAlign w:val="center"/>
          </w:tcPr>
          <w:p w:rsidR="001C24F5" w:rsidRPr="004F2CF7" w:rsidP="001C24F5" w14:paraId="5BF2C373" w14:textId="08470AAB">
            <w:pPr>
              <w:jc w:val="center"/>
              <w:rPr>
                <w:sz w:val="20"/>
                <w:szCs w:val="20"/>
              </w:rPr>
            </w:pPr>
            <w:r>
              <w:rPr>
                <w:sz w:val="20"/>
                <w:szCs w:val="20"/>
              </w:rPr>
              <w:t>*****</w:t>
            </w:r>
          </w:p>
        </w:tc>
      </w:tr>
      <w:tr w14:paraId="30E2C7F8" w14:textId="77777777" w:rsidTr="003572FE">
        <w:tblPrEx>
          <w:tblW w:w="0" w:type="auto"/>
          <w:tblLook w:val="04A0"/>
        </w:tblPrEx>
        <w:tc>
          <w:tcPr>
            <w:tcW w:w="1213" w:type="dxa"/>
            <w:vMerge/>
            <w:vAlign w:val="center"/>
          </w:tcPr>
          <w:p w:rsidR="00C27B74" w:rsidRPr="00991F12" w:rsidP="001C24F5" w14:paraId="1584C3D1" w14:textId="77777777">
            <w:pPr>
              <w:rPr>
                <w:sz w:val="20"/>
                <w:szCs w:val="20"/>
              </w:rPr>
            </w:pPr>
          </w:p>
        </w:tc>
        <w:tc>
          <w:tcPr>
            <w:tcW w:w="2277" w:type="dxa"/>
            <w:vAlign w:val="center"/>
          </w:tcPr>
          <w:p w:rsidR="00C27B74" w:rsidRPr="00991F12" w:rsidP="001C24F5" w14:paraId="2158D895" w14:textId="77777777">
            <w:pPr>
              <w:jc w:val="center"/>
              <w:rPr>
                <w:sz w:val="20"/>
                <w:szCs w:val="20"/>
              </w:rPr>
            </w:pPr>
          </w:p>
        </w:tc>
        <w:tc>
          <w:tcPr>
            <w:tcW w:w="1250" w:type="dxa"/>
            <w:vAlign w:val="center"/>
          </w:tcPr>
          <w:p w:rsidR="00C27B74" w:rsidRPr="00991F12" w:rsidP="001C24F5" w14:paraId="687993AF" w14:textId="77777777">
            <w:pPr>
              <w:jc w:val="center"/>
              <w:rPr>
                <w:sz w:val="20"/>
                <w:szCs w:val="20"/>
              </w:rPr>
            </w:pPr>
          </w:p>
        </w:tc>
        <w:tc>
          <w:tcPr>
            <w:tcW w:w="3052" w:type="dxa"/>
            <w:vAlign w:val="center"/>
          </w:tcPr>
          <w:p w:rsidR="00C27B74" w14:paraId="1B238C53" w14:textId="4BD01DF8">
            <w:pPr>
              <w:jc w:val="center"/>
              <w:rPr>
                <w:sz w:val="20"/>
                <w:szCs w:val="20"/>
              </w:rPr>
            </w:pPr>
            <w:r>
              <w:rPr>
                <w:sz w:val="20"/>
                <w:szCs w:val="20"/>
              </w:rPr>
              <w:t>KS – vyšší náklady za ZO odpadních pneumatik z důvodu plnění i  za nezapojené subjekty</w:t>
            </w:r>
          </w:p>
        </w:tc>
        <w:tc>
          <w:tcPr>
            <w:tcW w:w="1270" w:type="dxa"/>
            <w:vAlign w:val="center"/>
          </w:tcPr>
          <w:p w:rsidR="00C27B74" w:rsidP="001C24F5" w14:paraId="3DCB0745" w14:textId="0A1A98A0">
            <w:pPr>
              <w:jc w:val="center"/>
              <w:rPr>
                <w:sz w:val="20"/>
                <w:szCs w:val="20"/>
              </w:rPr>
            </w:pPr>
            <w:r>
              <w:rPr>
                <w:sz w:val="20"/>
                <w:szCs w:val="20"/>
              </w:rPr>
              <w:t>***</w:t>
            </w:r>
          </w:p>
        </w:tc>
      </w:tr>
      <w:tr w14:paraId="1878B0C6" w14:textId="77777777" w:rsidTr="00442C7B">
        <w:tblPrEx>
          <w:tblW w:w="0" w:type="auto"/>
          <w:tblLook w:val="04A0"/>
        </w:tblPrEx>
        <w:tc>
          <w:tcPr>
            <w:tcW w:w="1213" w:type="dxa"/>
            <w:vMerge/>
            <w:vAlign w:val="center"/>
          </w:tcPr>
          <w:p w:rsidR="001C24F5" w:rsidRPr="004F2CF7" w:rsidP="001C24F5" w14:paraId="55187731" w14:textId="77777777">
            <w:pPr>
              <w:rPr>
                <w:sz w:val="20"/>
                <w:szCs w:val="20"/>
              </w:rPr>
            </w:pPr>
          </w:p>
        </w:tc>
        <w:tc>
          <w:tcPr>
            <w:tcW w:w="7849" w:type="dxa"/>
            <w:gridSpan w:val="4"/>
            <w:vAlign w:val="center"/>
          </w:tcPr>
          <w:p w:rsidR="001C24F5" w:rsidRPr="004F2CF7" w:rsidP="001C24F5" w14:paraId="26A163A6" w14:textId="77777777">
            <w:pPr>
              <w:jc w:val="center"/>
              <w:rPr>
                <w:sz w:val="20"/>
                <w:szCs w:val="20"/>
              </w:rPr>
            </w:pPr>
            <w:r w:rsidRPr="004F2CF7">
              <w:rPr>
                <w:b/>
                <w:bCs/>
                <w:sz w:val="20"/>
                <w:szCs w:val="20"/>
              </w:rPr>
              <w:t>Územní samosprávné celky (obce, kraje)</w:t>
            </w:r>
          </w:p>
        </w:tc>
      </w:tr>
      <w:tr w14:paraId="3C5BA416" w14:textId="77777777" w:rsidTr="003572FE">
        <w:tblPrEx>
          <w:tblW w:w="0" w:type="auto"/>
          <w:tblLook w:val="04A0"/>
        </w:tblPrEx>
        <w:trPr>
          <w:trHeight w:val="567"/>
        </w:trPr>
        <w:tc>
          <w:tcPr>
            <w:tcW w:w="1213" w:type="dxa"/>
            <w:vMerge/>
            <w:vAlign w:val="center"/>
          </w:tcPr>
          <w:p w:rsidR="001C24F5" w:rsidRPr="004F2CF7" w:rsidP="001C24F5" w14:paraId="69224AC2" w14:textId="77777777">
            <w:pPr>
              <w:rPr>
                <w:sz w:val="20"/>
                <w:szCs w:val="20"/>
              </w:rPr>
            </w:pPr>
          </w:p>
        </w:tc>
        <w:tc>
          <w:tcPr>
            <w:tcW w:w="2277" w:type="dxa"/>
            <w:vAlign w:val="center"/>
          </w:tcPr>
          <w:p w:rsidR="001C24F5" w:rsidRPr="004F2CF7" w:rsidP="001C24F5" w14:paraId="639AE278" w14:textId="77777777">
            <w:pPr>
              <w:jc w:val="center"/>
              <w:rPr>
                <w:sz w:val="20"/>
                <w:szCs w:val="20"/>
              </w:rPr>
            </w:pPr>
            <w:r w:rsidRPr="004F2CF7">
              <w:rPr>
                <w:sz w:val="20"/>
                <w:szCs w:val="20"/>
              </w:rPr>
              <w:t>-</w:t>
            </w:r>
          </w:p>
        </w:tc>
        <w:tc>
          <w:tcPr>
            <w:tcW w:w="1250" w:type="dxa"/>
            <w:vAlign w:val="center"/>
          </w:tcPr>
          <w:p w:rsidR="001C24F5" w:rsidRPr="004F2CF7" w:rsidP="001C24F5" w14:paraId="47EF084F" w14:textId="77777777">
            <w:pPr>
              <w:jc w:val="center"/>
              <w:rPr>
                <w:sz w:val="20"/>
                <w:szCs w:val="20"/>
              </w:rPr>
            </w:pPr>
            <w:r w:rsidRPr="004F2CF7">
              <w:rPr>
                <w:sz w:val="20"/>
                <w:szCs w:val="20"/>
              </w:rPr>
              <w:t>-</w:t>
            </w:r>
          </w:p>
        </w:tc>
        <w:tc>
          <w:tcPr>
            <w:tcW w:w="3052" w:type="dxa"/>
            <w:vAlign w:val="center"/>
          </w:tcPr>
          <w:p w:rsidR="001C24F5" w:rsidRPr="004F2CF7" w:rsidP="001C24F5" w14:paraId="381E9C10" w14:textId="06A55DFA">
            <w:pPr>
              <w:jc w:val="center"/>
              <w:rPr>
                <w:sz w:val="20"/>
                <w:szCs w:val="20"/>
              </w:rPr>
            </w:pPr>
            <w:r>
              <w:rPr>
                <w:rFonts w:cs="Arial"/>
                <w:sz w:val="20"/>
                <w:szCs w:val="20"/>
              </w:rPr>
              <w:t>Náklady na likvidaci odhozených odpadních pneumatik</w:t>
            </w:r>
          </w:p>
        </w:tc>
        <w:tc>
          <w:tcPr>
            <w:tcW w:w="1270" w:type="dxa"/>
            <w:vAlign w:val="center"/>
          </w:tcPr>
          <w:p w:rsidR="001C24F5" w:rsidRPr="004F2CF7" w:rsidP="001C24F5" w14:paraId="0955D1BB" w14:textId="1112F8EB">
            <w:pPr>
              <w:jc w:val="center"/>
              <w:rPr>
                <w:sz w:val="20"/>
                <w:szCs w:val="20"/>
              </w:rPr>
            </w:pPr>
            <w:r w:rsidRPr="004F2CF7">
              <w:rPr>
                <w:sz w:val="20"/>
                <w:szCs w:val="20"/>
              </w:rPr>
              <w:t>*</w:t>
            </w:r>
            <w:r w:rsidR="00991F12">
              <w:rPr>
                <w:sz w:val="20"/>
                <w:szCs w:val="20"/>
              </w:rPr>
              <w:t>**</w:t>
            </w:r>
          </w:p>
        </w:tc>
      </w:tr>
      <w:tr w14:paraId="4C46CD5D" w14:textId="77777777" w:rsidTr="00442C7B">
        <w:tblPrEx>
          <w:tblW w:w="0" w:type="auto"/>
          <w:tblLook w:val="04A0"/>
        </w:tblPrEx>
        <w:tc>
          <w:tcPr>
            <w:tcW w:w="1213" w:type="dxa"/>
            <w:vMerge/>
            <w:vAlign w:val="center"/>
          </w:tcPr>
          <w:p w:rsidR="001C24F5" w:rsidRPr="004F2CF7" w:rsidP="001C24F5" w14:paraId="22B2BFD4" w14:textId="77777777">
            <w:pPr>
              <w:rPr>
                <w:sz w:val="20"/>
                <w:szCs w:val="20"/>
              </w:rPr>
            </w:pPr>
          </w:p>
        </w:tc>
        <w:tc>
          <w:tcPr>
            <w:tcW w:w="7849" w:type="dxa"/>
            <w:gridSpan w:val="4"/>
            <w:vAlign w:val="center"/>
          </w:tcPr>
          <w:p w:rsidR="001C24F5" w:rsidRPr="004F2CF7" w:rsidP="001C24F5" w14:paraId="3E75E7B5" w14:textId="77777777">
            <w:pPr>
              <w:jc w:val="center"/>
              <w:rPr>
                <w:b/>
                <w:sz w:val="20"/>
                <w:szCs w:val="20"/>
              </w:rPr>
            </w:pPr>
            <w:r w:rsidRPr="004F2CF7">
              <w:rPr>
                <w:b/>
                <w:sz w:val="20"/>
                <w:szCs w:val="20"/>
              </w:rPr>
              <w:t>Sociální dopady</w:t>
            </w:r>
          </w:p>
        </w:tc>
      </w:tr>
      <w:tr w14:paraId="10522B36" w14:textId="77777777" w:rsidTr="003572FE">
        <w:tblPrEx>
          <w:tblW w:w="0" w:type="auto"/>
          <w:tblLook w:val="04A0"/>
        </w:tblPrEx>
        <w:trPr>
          <w:trHeight w:val="528"/>
        </w:trPr>
        <w:tc>
          <w:tcPr>
            <w:tcW w:w="1213" w:type="dxa"/>
            <w:vMerge/>
            <w:vAlign w:val="center"/>
          </w:tcPr>
          <w:p w:rsidR="001C24F5" w:rsidRPr="004F2CF7" w:rsidP="001C24F5" w14:paraId="534154FB" w14:textId="77777777">
            <w:pPr>
              <w:rPr>
                <w:sz w:val="20"/>
                <w:szCs w:val="20"/>
              </w:rPr>
            </w:pPr>
          </w:p>
        </w:tc>
        <w:tc>
          <w:tcPr>
            <w:tcW w:w="2277" w:type="dxa"/>
            <w:vAlign w:val="center"/>
          </w:tcPr>
          <w:p w:rsidR="001C24F5" w:rsidRPr="004F2CF7" w:rsidP="001C24F5" w14:paraId="0C66061E" w14:textId="77777777">
            <w:pPr>
              <w:jc w:val="center"/>
              <w:rPr>
                <w:sz w:val="20"/>
                <w:szCs w:val="20"/>
              </w:rPr>
            </w:pPr>
            <w:r w:rsidRPr="004F2CF7">
              <w:rPr>
                <w:sz w:val="20"/>
                <w:szCs w:val="20"/>
              </w:rPr>
              <w:t>-</w:t>
            </w:r>
          </w:p>
        </w:tc>
        <w:tc>
          <w:tcPr>
            <w:tcW w:w="1250" w:type="dxa"/>
            <w:vAlign w:val="center"/>
          </w:tcPr>
          <w:p w:rsidR="001C24F5" w:rsidRPr="004F2CF7" w:rsidP="001C24F5" w14:paraId="410553B6" w14:textId="77777777">
            <w:pPr>
              <w:jc w:val="center"/>
              <w:rPr>
                <w:sz w:val="20"/>
                <w:szCs w:val="20"/>
              </w:rPr>
            </w:pPr>
            <w:r w:rsidRPr="004F2CF7">
              <w:rPr>
                <w:sz w:val="20"/>
                <w:szCs w:val="20"/>
              </w:rPr>
              <w:t>-</w:t>
            </w:r>
          </w:p>
        </w:tc>
        <w:tc>
          <w:tcPr>
            <w:tcW w:w="3052" w:type="dxa"/>
            <w:vAlign w:val="center"/>
          </w:tcPr>
          <w:p w:rsidR="001C24F5" w:rsidRPr="004F2CF7" w14:paraId="04694A68" w14:textId="0BA9B559">
            <w:pPr>
              <w:jc w:val="center"/>
              <w:rPr>
                <w:sz w:val="20"/>
                <w:szCs w:val="20"/>
              </w:rPr>
            </w:pPr>
            <w:r w:rsidRPr="004F2CF7">
              <w:rPr>
                <w:sz w:val="20"/>
                <w:szCs w:val="20"/>
              </w:rPr>
              <w:t>Horší dostupnost míst ZO pro obyvatele </w:t>
            </w:r>
            <w:r w:rsidR="00991F12">
              <w:rPr>
                <w:sz w:val="20"/>
                <w:szCs w:val="20"/>
              </w:rPr>
              <w:t>menších</w:t>
            </w:r>
            <w:r w:rsidRPr="004F2CF7">
              <w:rPr>
                <w:sz w:val="20"/>
                <w:szCs w:val="20"/>
              </w:rPr>
              <w:t xml:space="preserve"> obcích</w:t>
            </w:r>
          </w:p>
        </w:tc>
        <w:tc>
          <w:tcPr>
            <w:tcW w:w="1270" w:type="dxa"/>
            <w:vAlign w:val="center"/>
          </w:tcPr>
          <w:p w:rsidR="001C24F5" w:rsidRPr="004F2CF7" w:rsidP="001C24F5" w14:paraId="565830BA" w14:textId="77777777">
            <w:pPr>
              <w:jc w:val="center"/>
              <w:rPr>
                <w:sz w:val="20"/>
                <w:szCs w:val="20"/>
              </w:rPr>
            </w:pPr>
            <w:r w:rsidRPr="004F2CF7">
              <w:rPr>
                <w:sz w:val="20"/>
                <w:szCs w:val="20"/>
              </w:rPr>
              <w:t>*</w:t>
            </w:r>
          </w:p>
        </w:tc>
      </w:tr>
      <w:tr w14:paraId="34D49785" w14:textId="77777777" w:rsidTr="00442C7B">
        <w:tblPrEx>
          <w:tblW w:w="0" w:type="auto"/>
          <w:tblLook w:val="04A0"/>
        </w:tblPrEx>
        <w:tc>
          <w:tcPr>
            <w:tcW w:w="1213" w:type="dxa"/>
            <w:vMerge/>
            <w:vAlign w:val="center"/>
          </w:tcPr>
          <w:p w:rsidR="001C24F5" w:rsidRPr="004F2CF7" w:rsidP="001C24F5" w14:paraId="3B506FB7" w14:textId="77777777">
            <w:pPr>
              <w:rPr>
                <w:sz w:val="20"/>
                <w:szCs w:val="20"/>
              </w:rPr>
            </w:pPr>
          </w:p>
        </w:tc>
        <w:tc>
          <w:tcPr>
            <w:tcW w:w="7849" w:type="dxa"/>
            <w:gridSpan w:val="4"/>
            <w:vAlign w:val="center"/>
          </w:tcPr>
          <w:p w:rsidR="001C24F5" w:rsidRPr="004F2CF7" w:rsidP="001C24F5" w14:paraId="17DA82B2" w14:textId="77777777">
            <w:pPr>
              <w:jc w:val="center"/>
              <w:rPr>
                <w:b/>
                <w:sz w:val="20"/>
                <w:szCs w:val="20"/>
              </w:rPr>
            </w:pPr>
            <w:r w:rsidRPr="004F2CF7">
              <w:rPr>
                <w:b/>
                <w:sz w:val="20"/>
                <w:szCs w:val="20"/>
              </w:rPr>
              <w:t>Životní prostředí</w:t>
            </w:r>
          </w:p>
        </w:tc>
      </w:tr>
      <w:tr w14:paraId="02B1105C" w14:textId="77777777" w:rsidTr="003572FE">
        <w:tblPrEx>
          <w:tblW w:w="0" w:type="auto"/>
          <w:tblLook w:val="04A0"/>
        </w:tblPrEx>
        <w:tc>
          <w:tcPr>
            <w:tcW w:w="1213" w:type="dxa"/>
            <w:vMerge/>
            <w:vAlign w:val="center"/>
          </w:tcPr>
          <w:p w:rsidR="001C24F5" w:rsidRPr="004F2CF7" w:rsidP="001C24F5" w14:paraId="5AC58D46" w14:textId="77777777">
            <w:pPr>
              <w:rPr>
                <w:sz w:val="20"/>
                <w:szCs w:val="20"/>
              </w:rPr>
            </w:pPr>
          </w:p>
        </w:tc>
        <w:tc>
          <w:tcPr>
            <w:tcW w:w="2277" w:type="dxa"/>
            <w:vAlign w:val="center"/>
          </w:tcPr>
          <w:p w:rsidR="001C24F5" w:rsidRPr="004F2CF7" w:rsidP="001C24F5" w14:paraId="67C9ACF7" w14:textId="77777777">
            <w:pPr>
              <w:jc w:val="center"/>
              <w:rPr>
                <w:sz w:val="20"/>
                <w:szCs w:val="20"/>
              </w:rPr>
            </w:pPr>
            <w:r w:rsidRPr="004F2CF7">
              <w:rPr>
                <w:sz w:val="20"/>
                <w:szCs w:val="20"/>
              </w:rPr>
              <w:t>-</w:t>
            </w:r>
          </w:p>
        </w:tc>
        <w:tc>
          <w:tcPr>
            <w:tcW w:w="1250" w:type="dxa"/>
            <w:vAlign w:val="center"/>
          </w:tcPr>
          <w:p w:rsidR="001C24F5" w:rsidRPr="004F2CF7" w:rsidP="001C24F5" w14:paraId="3EFD6735" w14:textId="77777777">
            <w:pPr>
              <w:jc w:val="center"/>
              <w:rPr>
                <w:sz w:val="20"/>
                <w:szCs w:val="20"/>
              </w:rPr>
            </w:pPr>
            <w:r w:rsidRPr="004F2CF7">
              <w:rPr>
                <w:sz w:val="20"/>
                <w:szCs w:val="20"/>
              </w:rPr>
              <w:t>-</w:t>
            </w:r>
          </w:p>
        </w:tc>
        <w:tc>
          <w:tcPr>
            <w:tcW w:w="3052" w:type="dxa"/>
            <w:vAlign w:val="center"/>
          </w:tcPr>
          <w:p w:rsidR="001C24F5" w:rsidRPr="004F2CF7" w14:paraId="1A6D302D" w14:textId="2295DC9B">
            <w:pPr>
              <w:jc w:val="center"/>
              <w:rPr>
                <w:sz w:val="20"/>
                <w:szCs w:val="20"/>
              </w:rPr>
            </w:pPr>
            <w:r w:rsidRPr="004F2CF7">
              <w:rPr>
                <w:sz w:val="20"/>
                <w:szCs w:val="20"/>
              </w:rPr>
              <w:t xml:space="preserve">Horší dostupnost míst ZO – více </w:t>
            </w:r>
            <w:r w:rsidRPr="00991F12" w:rsidR="00991F12">
              <w:rPr>
                <w:rFonts w:cs="Arial"/>
                <w:sz w:val="20"/>
                <w:szCs w:val="20"/>
              </w:rPr>
              <w:t xml:space="preserve">odhozených odpadních pneumatik, kde představují </w:t>
            </w:r>
            <w:r w:rsidRPr="004F2CF7" w:rsidR="00991F12">
              <w:rPr>
                <w:rFonts w:cs="Arial"/>
                <w:sz w:val="20"/>
                <w:szCs w:val="20"/>
              </w:rPr>
              <w:t>riziko pro ŽP</w:t>
            </w:r>
            <w:r w:rsidRPr="00991F12" w:rsidR="00991F12">
              <w:rPr>
                <w:sz w:val="20"/>
                <w:szCs w:val="20"/>
              </w:rPr>
              <w:t xml:space="preserve"> </w:t>
            </w:r>
          </w:p>
        </w:tc>
        <w:tc>
          <w:tcPr>
            <w:tcW w:w="1270" w:type="dxa"/>
            <w:vAlign w:val="center"/>
          </w:tcPr>
          <w:p w:rsidR="001C24F5" w:rsidRPr="004F2CF7" w:rsidP="001C24F5" w14:paraId="69DDF29B" w14:textId="5F6213F4">
            <w:pPr>
              <w:jc w:val="center"/>
              <w:rPr>
                <w:sz w:val="20"/>
                <w:szCs w:val="20"/>
              </w:rPr>
            </w:pPr>
            <w:r w:rsidRPr="004F2CF7">
              <w:rPr>
                <w:sz w:val="20"/>
                <w:szCs w:val="20"/>
              </w:rPr>
              <w:t>*</w:t>
            </w:r>
            <w:r w:rsidR="00991F12">
              <w:rPr>
                <w:sz w:val="20"/>
                <w:szCs w:val="20"/>
              </w:rPr>
              <w:t>**</w:t>
            </w:r>
          </w:p>
        </w:tc>
      </w:tr>
      <w:tr w14:paraId="0CF21A9F" w14:textId="77777777" w:rsidTr="00442C7B">
        <w:tblPrEx>
          <w:tblW w:w="0" w:type="auto"/>
          <w:tblLook w:val="04A0"/>
        </w:tblPrEx>
        <w:tc>
          <w:tcPr>
            <w:tcW w:w="1213" w:type="dxa"/>
            <w:vMerge w:val="restart"/>
            <w:vAlign w:val="center"/>
          </w:tcPr>
          <w:p w:rsidR="001C24F5" w:rsidRPr="004F2CF7" w:rsidP="001C24F5" w14:paraId="5DCD4A0D" w14:textId="77777777">
            <w:pPr>
              <w:rPr>
                <w:b/>
                <w:sz w:val="20"/>
                <w:szCs w:val="20"/>
              </w:rPr>
            </w:pPr>
            <w:r w:rsidRPr="004F2CF7">
              <w:rPr>
                <w:b/>
                <w:sz w:val="20"/>
                <w:szCs w:val="20"/>
              </w:rPr>
              <w:t>Varianta 1</w:t>
            </w:r>
          </w:p>
        </w:tc>
        <w:tc>
          <w:tcPr>
            <w:tcW w:w="7849" w:type="dxa"/>
            <w:gridSpan w:val="4"/>
            <w:vAlign w:val="center"/>
          </w:tcPr>
          <w:p w:rsidR="001C24F5" w:rsidRPr="004F2CF7" w:rsidP="001C24F5" w14:paraId="279EAA25" w14:textId="77777777">
            <w:pPr>
              <w:jc w:val="center"/>
              <w:rPr>
                <w:sz w:val="20"/>
                <w:szCs w:val="20"/>
              </w:rPr>
            </w:pPr>
            <w:r w:rsidRPr="004F2CF7">
              <w:rPr>
                <w:b/>
                <w:bCs/>
                <w:sz w:val="20"/>
                <w:szCs w:val="20"/>
              </w:rPr>
              <w:t>Státní rozpočet a ostatní veřejné rozpočty</w:t>
            </w:r>
          </w:p>
        </w:tc>
      </w:tr>
      <w:tr w14:paraId="3718842D" w14:textId="77777777" w:rsidTr="003572FE">
        <w:tblPrEx>
          <w:tblW w:w="0" w:type="auto"/>
          <w:tblLook w:val="04A0"/>
        </w:tblPrEx>
        <w:tc>
          <w:tcPr>
            <w:tcW w:w="1213" w:type="dxa"/>
            <w:vMerge/>
            <w:vAlign w:val="center"/>
          </w:tcPr>
          <w:p w:rsidR="001C24F5" w:rsidRPr="004F2CF7" w:rsidP="001C24F5" w14:paraId="3EF3FCAF" w14:textId="77777777">
            <w:pPr>
              <w:rPr>
                <w:sz w:val="20"/>
                <w:szCs w:val="20"/>
              </w:rPr>
            </w:pPr>
          </w:p>
        </w:tc>
        <w:tc>
          <w:tcPr>
            <w:tcW w:w="2277" w:type="dxa"/>
            <w:vAlign w:val="center"/>
          </w:tcPr>
          <w:p w:rsidR="001C24F5" w:rsidRPr="004F2CF7" w:rsidP="001C24F5" w14:paraId="3131A4E2" w14:textId="77777777">
            <w:pPr>
              <w:jc w:val="center"/>
              <w:rPr>
                <w:sz w:val="20"/>
                <w:szCs w:val="20"/>
              </w:rPr>
            </w:pPr>
            <w:r w:rsidRPr="004F2CF7">
              <w:rPr>
                <w:sz w:val="20"/>
                <w:szCs w:val="20"/>
              </w:rPr>
              <w:t>Snadnější kontrolovatelnost splnění podmínek nastavené hustoty sítě míst ZO</w:t>
            </w:r>
          </w:p>
        </w:tc>
        <w:tc>
          <w:tcPr>
            <w:tcW w:w="1250" w:type="dxa"/>
            <w:vAlign w:val="center"/>
          </w:tcPr>
          <w:p w:rsidR="001C24F5" w:rsidRPr="004F2CF7" w:rsidP="001C24F5" w14:paraId="588F4DBD" w14:textId="77777777">
            <w:pPr>
              <w:jc w:val="center"/>
              <w:rPr>
                <w:sz w:val="20"/>
                <w:szCs w:val="20"/>
              </w:rPr>
            </w:pPr>
            <w:r w:rsidRPr="004F2CF7">
              <w:rPr>
                <w:sz w:val="20"/>
                <w:szCs w:val="20"/>
              </w:rPr>
              <w:t>**</w:t>
            </w:r>
          </w:p>
        </w:tc>
        <w:tc>
          <w:tcPr>
            <w:tcW w:w="3052" w:type="dxa"/>
            <w:vAlign w:val="center"/>
          </w:tcPr>
          <w:p w:rsidR="001C24F5" w:rsidRPr="004F2CF7" w:rsidP="001C24F5" w14:paraId="0CA62B1F" w14:textId="77777777">
            <w:pPr>
              <w:jc w:val="center"/>
              <w:rPr>
                <w:sz w:val="20"/>
                <w:szCs w:val="20"/>
              </w:rPr>
            </w:pPr>
            <w:r w:rsidRPr="004F2CF7">
              <w:rPr>
                <w:sz w:val="20"/>
                <w:szCs w:val="20"/>
              </w:rPr>
              <w:t>-</w:t>
            </w:r>
          </w:p>
        </w:tc>
        <w:tc>
          <w:tcPr>
            <w:tcW w:w="1270" w:type="dxa"/>
            <w:vAlign w:val="center"/>
          </w:tcPr>
          <w:p w:rsidR="001C24F5" w:rsidRPr="004F2CF7" w:rsidP="001C24F5" w14:paraId="5DD10779" w14:textId="77777777">
            <w:pPr>
              <w:jc w:val="center"/>
              <w:rPr>
                <w:sz w:val="20"/>
                <w:szCs w:val="20"/>
              </w:rPr>
            </w:pPr>
            <w:r w:rsidRPr="004F2CF7">
              <w:rPr>
                <w:sz w:val="20"/>
                <w:szCs w:val="20"/>
              </w:rPr>
              <w:t>-</w:t>
            </w:r>
          </w:p>
        </w:tc>
      </w:tr>
      <w:tr w14:paraId="49AC467D" w14:textId="77777777" w:rsidTr="00442C7B">
        <w:tblPrEx>
          <w:tblW w:w="0" w:type="auto"/>
          <w:tblLook w:val="04A0"/>
        </w:tblPrEx>
        <w:tc>
          <w:tcPr>
            <w:tcW w:w="1213" w:type="dxa"/>
            <w:vMerge/>
            <w:vAlign w:val="center"/>
          </w:tcPr>
          <w:p w:rsidR="001C24F5" w:rsidRPr="004F2CF7" w:rsidP="001C24F5" w14:paraId="4293764F" w14:textId="77777777">
            <w:pPr>
              <w:rPr>
                <w:sz w:val="20"/>
                <w:szCs w:val="20"/>
              </w:rPr>
            </w:pPr>
          </w:p>
        </w:tc>
        <w:tc>
          <w:tcPr>
            <w:tcW w:w="7849" w:type="dxa"/>
            <w:gridSpan w:val="4"/>
            <w:vAlign w:val="center"/>
          </w:tcPr>
          <w:p w:rsidR="001C24F5" w:rsidRPr="004F2CF7" w:rsidP="001C24F5" w14:paraId="2E2E84E0" w14:textId="77777777">
            <w:pPr>
              <w:jc w:val="center"/>
              <w:rPr>
                <w:sz w:val="20"/>
                <w:szCs w:val="20"/>
              </w:rPr>
            </w:pPr>
            <w:r w:rsidRPr="004F2CF7">
              <w:rPr>
                <w:b/>
                <w:bCs/>
                <w:sz w:val="20"/>
                <w:szCs w:val="20"/>
              </w:rPr>
              <w:t>Podnikatelské subjekty</w:t>
            </w:r>
          </w:p>
        </w:tc>
      </w:tr>
      <w:tr w14:paraId="1124A1DA" w14:textId="77777777" w:rsidTr="003572FE">
        <w:tblPrEx>
          <w:tblW w:w="0" w:type="auto"/>
          <w:tblLook w:val="04A0"/>
        </w:tblPrEx>
        <w:trPr>
          <w:trHeight w:val="350"/>
        </w:trPr>
        <w:tc>
          <w:tcPr>
            <w:tcW w:w="1213" w:type="dxa"/>
            <w:vMerge/>
            <w:vAlign w:val="center"/>
          </w:tcPr>
          <w:p w:rsidR="001C24F5" w:rsidRPr="004F2CF7" w:rsidP="001C24F5" w14:paraId="7118FD54" w14:textId="77777777">
            <w:pPr>
              <w:rPr>
                <w:sz w:val="20"/>
                <w:szCs w:val="20"/>
              </w:rPr>
            </w:pPr>
          </w:p>
        </w:tc>
        <w:tc>
          <w:tcPr>
            <w:tcW w:w="2277" w:type="dxa"/>
            <w:vAlign w:val="center"/>
          </w:tcPr>
          <w:p w:rsidR="001C24F5" w:rsidRPr="004F2CF7" w14:paraId="66BB6A23" w14:textId="5829DC01">
            <w:pPr>
              <w:jc w:val="center"/>
              <w:rPr>
                <w:sz w:val="20"/>
                <w:szCs w:val="20"/>
              </w:rPr>
            </w:pPr>
            <w:r>
              <w:rPr>
                <w:sz w:val="20"/>
                <w:szCs w:val="20"/>
              </w:rPr>
              <w:t>Zamezení free-riding u individuálně plnících výrobců a přenášení nákladů za ZO pneumatik na KS</w:t>
            </w:r>
          </w:p>
        </w:tc>
        <w:tc>
          <w:tcPr>
            <w:tcW w:w="1250" w:type="dxa"/>
            <w:vAlign w:val="center"/>
          </w:tcPr>
          <w:p w:rsidR="001C24F5" w:rsidRPr="004F2CF7" w:rsidP="001C24F5" w14:paraId="3EE3ACD6" w14:textId="58E9FA4A">
            <w:pPr>
              <w:jc w:val="center"/>
              <w:rPr>
                <w:sz w:val="20"/>
                <w:szCs w:val="20"/>
              </w:rPr>
            </w:pPr>
            <w:r>
              <w:rPr>
                <w:sz w:val="20"/>
                <w:szCs w:val="20"/>
              </w:rPr>
              <w:t>*****</w:t>
            </w:r>
          </w:p>
        </w:tc>
        <w:tc>
          <w:tcPr>
            <w:tcW w:w="3052" w:type="dxa"/>
            <w:vAlign w:val="center"/>
          </w:tcPr>
          <w:p w:rsidR="001C24F5" w:rsidRPr="004F2CF7" w:rsidP="001C24F5" w14:paraId="3F6A6BB4" w14:textId="77777777">
            <w:pPr>
              <w:jc w:val="center"/>
              <w:rPr>
                <w:sz w:val="20"/>
                <w:szCs w:val="20"/>
              </w:rPr>
            </w:pPr>
            <w:r w:rsidRPr="004F2CF7">
              <w:rPr>
                <w:sz w:val="20"/>
                <w:szCs w:val="20"/>
              </w:rPr>
              <w:t>-</w:t>
            </w:r>
          </w:p>
        </w:tc>
        <w:tc>
          <w:tcPr>
            <w:tcW w:w="1270" w:type="dxa"/>
            <w:vAlign w:val="center"/>
          </w:tcPr>
          <w:p w:rsidR="001C24F5" w:rsidRPr="004F2CF7" w:rsidP="001C24F5" w14:paraId="70B2A9AF" w14:textId="77777777">
            <w:pPr>
              <w:jc w:val="center"/>
              <w:rPr>
                <w:sz w:val="20"/>
                <w:szCs w:val="20"/>
              </w:rPr>
            </w:pPr>
            <w:r w:rsidRPr="004F2CF7">
              <w:rPr>
                <w:sz w:val="20"/>
                <w:szCs w:val="20"/>
              </w:rPr>
              <w:t>-</w:t>
            </w:r>
          </w:p>
        </w:tc>
      </w:tr>
      <w:tr w14:paraId="3DED4A83" w14:textId="77777777" w:rsidTr="003572FE">
        <w:tblPrEx>
          <w:tblW w:w="0" w:type="auto"/>
          <w:tblLook w:val="04A0"/>
        </w:tblPrEx>
        <w:trPr>
          <w:trHeight w:val="350"/>
        </w:trPr>
        <w:tc>
          <w:tcPr>
            <w:tcW w:w="1213" w:type="dxa"/>
            <w:vMerge/>
            <w:vAlign w:val="center"/>
          </w:tcPr>
          <w:p w:rsidR="00991F12" w:rsidRPr="00991F12" w:rsidP="001C24F5" w14:paraId="74D6765C" w14:textId="77777777">
            <w:pPr>
              <w:rPr>
                <w:sz w:val="20"/>
                <w:szCs w:val="20"/>
              </w:rPr>
            </w:pPr>
          </w:p>
        </w:tc>
        <w:tc>
          <w:tcPr>
            <w:tcW w:w="2277" w:type="dxa"/>
            <w:vAlign w:val="center"/>
          </w:tcPr>
          <w:p w:rsidR="00991F12" w14:paraId="62879737" w14:textId="34BD1C57">
            <w:pPr>
              <w:jc w:val="center"/>
              <w:rPr>
                <w:sz w:val="20"/>
                <w:szCs w:val="20"/>
              </w:rPr>
            </w:pPr>
            <w:r>
              <w:rPr>
                <w:sz w:val="20"/>
                <w:szCs w:val="20"/>
              </w:rPr>
              <w:t>KS – s</w:t>
            </w:r>
            <w:r>
              <w:rPr>
                <w:sz w:val="20"/>
                <w:szCs w:val="20"/>
              </w:rPr>
              <w:t>nížení</w:t>
            </w:r>
            <w:r>
              <w:rPr>
                <w:sz w:val="20"/>
                <w:szCs w:val="20"/>
              </w:rPr>
              <w:t xml:space="preserve"> n</w:t>
            </w:r>
            <w:r>
              <w:rPr>
                <w:sz w:val="20"/>
                <w:szCs w:val="20"/>
              </w:rPr>
              <w:t xml:space="preserve">ákladů </w:t>
            </w:r>
            <w:r>
              <w:rPr>
                <w:sz w:val="20"/>
                <w:szCs w:val="20"/>
              </w:rPr>
              <w:t>n</w:t>
            </w:r>
            <w:r>
              <w:rPr>
                <w:sz w:val="20"/>
                <w:szCs w:val="20"/>
              </w:rPr>
              <w:t>a ZO odpadních pneumatik</w:t>
            </w:r>
          </w:p>
        </w:tc>
        <w:tc>
          <w:tcPr>
            <w:tcW w:w="1250" w:type="dxa"/>
            <w:vAlign w:val="center"/>
          </w:tcPr>
          <w:p w:rsidR="00991F12" w:rsidP="001C24F5" w14:paraId="06C0F31F" w14:textId="0A6E1043">
            <w:pPr>
              <w:jc w:val="center"/>
              <w:rPr>
                <w:sz w:val="20"/>
                <w:szCs w:val="20"/>
              </w:rPr>
            </w:pPr>
            <w:r>
              <w:rPr>
                <w:sz w:val="20"/>
                <w:szCs w:val="20"/>
              </w:rPr>
              <w:t>**</w:t>
            </w:r>
            <w:r w:rsidR="00C27B74">
              <w:rPr>
                <w:sz w:val="20"/>
                <w:szCs w:val="20"/>
              </w:rPr>
              <w:t>*</w:t>
            </w:r>
          </w:p>
        </w:tc>
        <w:tc>
          <w:tcPr>
            <w:tcW w:w="3052" w:type="dxa"/>
            <w:vAlign w:val="center"/>
          </w:tcPr>
          <w:p w:rsidR="00991F12" w:rsidRPr="00991F12" w:rsidP="001C24F5" w14:paraId="333BB372" w14:textId="77777777">
            <w:pPr>
              <w:jc w:val="center"/>
              <w:rPr>
                <w:sz w:val="20"/>
                <w:szCs w:val="20"/>
              </w:rPr>
            </w:pPr>
          </w:p>
        </w:tc>
        <w:tc>
          <w:tcPr>
            <w:tcW w:w="1270" w:type="dxa"/>
            <w:vAlign w:val="center"/>
          </w:tcPr>
          <w:p w:rsidR="00991F12" w:rsidRPr="00991F12" w:rsidP="001C24F5" w14:paraId="145FE553" w14:textId="77777777">
            <w:pPr>
              <w:jc w:val="center"/>
              <w:rPr>
                <w:sz w:val="20"/>
                <w:szCs w:val="20"/>
              </w:rPr>
            </w:pPr>
          </w:p>
        </w:tc>
      </w:tr>
      <w:tr w14:paraId="012DA5CE" w14:textId="77777777" w:rsidTr="00442C7B">
        <w:tblPrEx>
          <w:tblW w:w="0" w:type="auto"/>
          <w:tblLook w:val="04A0"/>
        </w:tblPrEx>
        <w:tc>
          <w:tcPr>
            <w:tcW w:w="1213" w:type="dxa"/>
            <w:vMerge/>
            <w:vAlign w:val="center"/>
          </w:tcPr>
          <w:p w:rsidR="001C24F5" w:rsidRPr="004F2CF7" w:rsidP="001C24F5" w14:paraId="4561E4AA" w14:textId="77777777">
            <w:pPr>
              <w:rPr>
                <w:sz w:val="20"/>
                <w:szCs w:val="20"/>
              </w:rPr>
            </w:pPr>
          </w:p>
        </w:tc>
        <w:tc>
          <w:tcPr>
            <w:tcW w:w="7849" w:type="dxa"/>
            <w:gridSpan w:val="4"/>
            <w:vAlign w:val="center"/>
          </w:tcPr>
          <w:p w:rsidR="001C24F5" w:rsidRPr="004F2CF7" w:rsidP="001C24F5" w14:paraId="578E17A3" w14:textId="77777777">
            <w:pPr>
              <w:jc w:val="center"/>
              <w:rPr>
                <w:sz w:val="20"/>
                <w:szCs w:val="20"/>
              </w:rPr>
            </w:pPr>
            <w:r w:rsidRPr="004F2CF7">
              <w:rPr>
                <w:b/>
                <w:bCs/>
                <w:sz w:val="20"/>
                <w:szCs w:val="20"/>
              </w:rPr>
              <w:t>Územní samosprávné celky (obce, kraje)</w:t>
            </w:r>
          </w:p>
        </w:tc>
      </w:tr>
      <w:tr w14:paraId="38E2B25C" w14:textId="77777777" w:rsidTr="003572FE">
        <w:tblPrEx>
          <w:tblW w:w="0" w:type="auto"/>
          <w:tblLook w:val="04A0"/>
        </w:tblPrEx>
        <w:tc>
          <w:tcPr>
            <w:tcW w:w="1213" w:type="dxa"/>
            <w:vMerge/>
            <w:vAlign w:val="center"/>
          </w:tcPr>
          <w:p w:rsidR="001C24F5" w:rsidRPr="004F2CF7" w:rsidP="001C24F5" w14:paraId="4F3E7E4A" w14:textId="77777777">
            <w:pPr>
              <w:rPr>
                <w:sz w:val="20"/>
                <w:szCs w:val="20"/>
              </w:rPr>
            </w:pPr>
          </w:p>
        </w:tc>
        <w:tc>
          <w:tcPr>
            <w:tcW w:w="2277" w:type="dxa"/>
            <w:vAlign w:val="center"/>
          </w:tcPr>
          <w:p w:rsidR="001C24F5" w:rsidRPr="004F2CF7" w14:paraId="2B7FCE67" w14:textId="07CADC12">
            <w:pPr>
              <w:jc w:val="center"/>
              <w:rPr>
                <w:sz w:val="20"/>
                <w:szCs w:val="20"/>
              </w:rPr>
            </w:pPr>
            <w:r w:rsidRPr="004F2CF7">
              <w:rPr>
                <w:rFonts w:cs="Arial"/>
                <w:sz w:val="20"/>
                <w:szCs w:val="20"/>
              </w:rPr>
              <w:t>Zlepšení možnosti zřízení míst ZO</w:t>
            </w:r>
            <w:r w:rsidR="00C27B74">
              <w:rPr>
                <w:rFonts w:cs="Arial"/>
                <w:sz w:val="20"/>
                <w:szCs w:val="20"/>
              </w:rPr>
              <w:t xml:space="preserve"> i</w:t>
            </w:r>
            <w:r w:rsidRPr="004F2CF7">
              <w:rPr>
                <w:rFonts w:cs="Arial"/>
                <w:sz w:val="20"/>
                <w:szCs w:val="20"/>
              </w:rPr>
              <w:t xml:space="preserve"> v </w:t>
            </w:r>
            <w:r w:rsidR="00C27B74">
              <w:rPr>
                <w:rFonts w:cs="Arial"/>
                <w:sz w:val="20"/>
                <w:szCs w:val="20"/>
              </w:rPr>
              <w:t>menších</w:t>
            </w:r>
            <w:r w:rsidRPr="004F2CF7">
              <w:rPr>
                <w:rFonts w:cs="Arial"/>
                <w:sz w:val="20"/>
                <w:szCs w:val="20"/>
              </w:rPr>
              <w:t xml:space="preserve"> obcí</w:t>
            </w:r>
          </w:p>
        </w:tc>
        <w:tc>
          <w:tcPr>
            <w:tcW w:w="1250" w:type="dxa"/>
            <w:vAlign w:val="center"/>
          </w:tcPr>
          <w:p w:rsidR="001C24F5" w:rsidRPr="004F2CF7" w:rsidP="001C24F5" w14:paraId="611E0B79" w14:textId="77777777">
            <w:pPr>
              <w:jc w:val="center"/>
              <w:rPr>
                <w:sz w:val="20"/>
                <w:szCs w:val="20"/>
              </w:rPr>
            </w:pPr>
            <w:r w:rsidRPr="004F2CF7">
              <w:rPr>
                <w:sz w:val="20"/>
                <w:szCs w:val="20"/>
              </w:rPr>
              <w:t>*</w:t>
            </w:r>
          </w:p>
        </w:tc>
        <w:tc>
          <w:tcPr>
            <w:tcW w:w="3052" w:type="dxa"/>
            <w:vAlign w:val="center"/>
          </w:tcPr>
          <w:p w:rsidR="001C24F5" w:rsidRPr="004F2CF7" w:rsidP="001C24F5" w14:paraId="58AB1ACA" w14:textId="77777777">
            <w:pPr>
              <w:jc w:val="center"/>
              <w:rPr>
                <w:sz w:val="20"/>
                <w:szCs w:val="20"/>
              </w:rPr>
            </w:pPr>
            <w:r w:rsidRPr="004F2CF7">
              <w:rPr>
                <w:sz w:val="20"/>
                <w:szCs w:val="20"/>
              </w:rPr>
              <w:t>-</w:t>
            </w:r>
          </w:p>
        </w:tc>
        <w:tc>
          <w:tcPr>
            <w:tcW w:w="1270" w:type="dxa"/>
            <w:vAlign w:val="center"/>
          </w:tcPr>
          <w:p w:rsidR="001C24F5" w:rsidRPr="004F2CF7" w:rsidP="001C24F5" w14:paraId="372F9E8F" w14:textId="77777777">
            <w:pPr>
              <w:jc w:val="center"/>
              <w:rPr>
                <w:sz w:val="20"/>
                <w:szCs w:val="20"/>
              </w:rPr>
            </w:pPr>
            <w:r w:rsidRPr="004F2CF7">
              <w:rPr>
                <w:sz w:val="20"/>
                <w:szCs w:val="20"/>
              </w:rPr>
              <w:t>-</w:t>
            </w:r>
          </w:p>
        </w:tc>
      </w:tr>
      <w:tr w14:paraId="5BF6097A" w14:textId="77777777" w:rsidTr="003572FE">
        <w:tblPrEx>
          <w:tblW w:w="0" w:type="auto"/>
          <w:tblLook w:val="04A0"/>
        </w:tblPrEx>
        <w:tc>
          <w:tcPr>
            <w:tcW w:w="1213" w:type="dxa"/>
            <w:vMerge/>
            <w:vAlign w:val="center"/>
          </w:tcPr>
          <w:p w:rsidR="00C27B74" w:rsidRPr="00991F12" w:rsidP="001C24F5" w14:paraId="64BB8A92" w14:textId="77777777">
            <w:pPr>
              <w:rPr>
                <w:sz w:val="20"/>
                <w:szCs w:val="20"/>
              </w:rPr>
            </w:pPr>
          </w:p>
        </w:tc>
        <w:tc>
          <w:tcPr>
            <w:tcW w:w="2277" w:type="dxa"/>
            <w:vAlign w:val="center"/>
          </w:tcPr>
          <w:p w:rsidR="00C27B74" w:rsidRPr="00991F12" w:rsidP="00C27B74" w14:paraId="09BFE845" w14:textId="08D6672A">
            <w:pPr>
              <w:jc w:val="center"/>
              <w:rPr>
                <w:rFonts w:cs="Arial"/>
                <w:sz w:val="20"/>
                <w:szCs w:val="20"/>
              </w:rPr>
            </w:pPr>
            <w:r>
              <w:rPr>
                <w:rFonts w:cs="Arial"/>
                <w:sz w:val="20"/>
                <w:szCs w:val="20"/>
              </w:rPr>
              <w:t>Snížení nákladů na likvidaci odhozených pneumatik</w:t>
            </w:r>
          </w:p>
        </w:tc>
        <w:tc>
          <w:tcPr>
            <w:tcW w:w="1250" w:type="dxa"/>
            <w:vAlign w:val="center"/>
          </w:tcPr>
          <w:p w:rsidR="00C27B74" w:rsidRPr="00991F12" w:rsidP="001C24F5" w14:paraId="223E61C1" w14:textId="24406192">
            <w:pPr>
              <w:jc w:val="center"/>
              <w:rPr>
                <w:sz w:val="20"/>
                <w:szCs w:val="20"/>
              </w:rPr>
            </w:pPr>
            <w:r>
              <w:rPr>
                <w:sz w:val="20"/>
                <w:szCs w:val="20"/>
              </w:rPr>
              <w:t>**</w:t>
            </w:r>
          </w:p>
        </w:tc>
        <w:tc>
          <w:tcPr>
            <w:tcW w:w="3052" w:type="dxa"/>
            <w:vAlign w:val="center"/>
          </w:tcPr>
          <w:p w:rsidR="00C27B74" w:rsidRPr="00991F12" w:rsidP="001C24F5" w14:paraId="4E38F5EA" w14:textId="77777777">
            <w:pPr>
              <w:jc w:val="center"/>
              <w:rPr>
                <w:sz w:val="20"/>
                <w:szCs w:val="20"/>
              </w:rPr>
            </w:pPr>
          </w:p>
        </w:tc>
        <w:tc>
          <w:tcPr>
            <w:tcW w:w="1270" w:type="dxa"/>
            <w:vAlign w:val="center"/>
          </w:tcPr>
          <w:p w:rsidR="00C27B74" w:rsidRPr="00991F12" w:rsidP="001C24F5" w14:paraId="7A3EF2D0" w14:textId="77777777">
            <w:pPr>
              <w:jc w:val="center"/>
              <w:rPr>
                <w:sz w:val="20"/>
                <w:szCs w:val="20"/>
              </w:rPr>
            </w:pPr>
          </w:p>
        </w:tc>
      </w:tr>
      <w:tr w14:paraId="090D8D11" w14:textId="77777777" w:rsidTr="00442C7B">
        <w:tblPrEx>
          <w:tblW w:w="0" w:type="auto"/>
          <w:tblLook w:val="04A0"/>
        </w:tblPrEx>
        <w:tc>
          <w:tcPr>
            <w:tcW w:w="1213" w:type="dxa"/>
            <w:vMerge/>
            <w:vAlign w:val="center"/>
          </w:tcPr>
          <w:p w:rsidR="001C24F5" w:rsidRPr="004F2CF7" w:rsidP="001C24F5" w14:paraId="6BE1482A" w14:textId="77777777">
            <w:pPr>
              <w:rPr>
                <w:sz w:val="20"/>
                <w:szCs w:val="20"/>
              </w:rPr>
            </w:pPr>
          </w:p>
        </w:tc>
        <w:tc>
          <w:tcPr>
            <w:tcW w:w="7849" w:type="dxa"/>
            <w:gridSpan w:val="4"/>
            <w:vAlign w:val="center"/>
          </w:tcPr>
          <w:p w:rsidR="001C24F5" w:rsidRPr="004F2CF7" w:rsidP="001C24F5" w14:paraId="3C9A5DCE" w14:textId="77777777">
            <w:pPr>
              <w:jc w:val="center"/>
              <w:rPr>
                <w:sz w:val="20"/>
                <w:szCs w:val="20"/>
              </w:rPr>
            </w:pPr>
            <w:r w:rsidRPr="004F2CF7">
              <w:rPr>
                <w:b/>
                <w:sz w:val="20"/>
                <w:szCs w:val="20"/>
              </w:rPr>
              <w:t>Sociální dopady</w:t>
            </w:r>
          </w:p>
        </w:tc>
      </w:tr>
      <w:tr w14:paraId="56B4599E" w14:textId="77777777" w:rsidTr="003572FE">
        <w:tblPrEx>
          <w:tblW w:w="0" w:type="auto"/>
          <w:tblLook w:val="04A0"/>
        </w:tblPrEx>
        <w:tc>
          <w:tcPr>
            <w:tcW w:w="1213" w:type="dxa"/>
            <w:vMerge/>
            <w:vAlign w:val="center"/>
          </w:tcPr>
          <w:p w:rsidR="001C24F5" w:rsidRPr="004F2CF7" w:rsidP="001C24F5" w14:paraId="67E987DC" w14:textId="77777777">
            <w:pPr>
              <w:rPr>
                <w:sz w:val="20"/>
                <w:szCs w:val="20"/>
              </w:rPr>
            </w:pPr>
          </w:p>
        </w:tc>
        <w:tc>
          <w:tcPr>
            <w:tcW w:w="2277" w:type="dxa"/>
            <w:vAlign w:val="center"/>
          </w:tcPr>
          <w:p w:rsidR="001C24F5" w:rsidRPr="004F2CF7" w14:paraId="050DF617" w14:textId="75C04766">
            <w:pPr>
              <w:jc w:val="center"/>
              <w:rPr>
                <w:sz w:val="20"/>
                <w:szCs w:val="20"/>
              </w:rPr>
            </w:pPr>
            <w:r w:rsidRPr="004F2CF7">
              <w:rPr>
                <w:sz w:val="20"/>
                <w:szCs w:val="20"/>
              </w:rPr>
              <w:t>Větší dostupnost míst ZO v </w:t>
            </w:r>
            <w:r w:rsidR="00C27B74">
              <w:rPr>
                <w:sz w:val="20"/>
                <w:szCs w:val="20"/>
              </w:rPr>
              <w:t>menších</w:t>
            </w:r>
            <w:r w:rsidRPr="004F2CF7">
              <w:rPr>
                <w:sz w:val="20"/>
                <w:szCs w:val="20"/>
              </w:rPr>
              <w:t xml:space="preserve"> obcích</w:t>
            </w:r>
          </w:p>
        </w:tc>
        <w:tc>
          <w:tcPr>
            <w:tcW w:w="1250" w:type="dxa"/>
            <w:vAlign w:val="center"/>
          </w:tcPr>
          <w:p w:rsidR="001C24F5" w:rsidRPr="004F2CF7" w:rsidP="001C24F5" w14:paraId="03A68ACE" w14:textId="77777777">
            <w:pPr>
              <w:jc w:val="center"/>
              <w:rPr>
                <w:sz w:val="20"/>
                <w:szCs w:val="20"/>
              </w:rPr>
            </w:pPr>
            <w:r w:rsidRPr="004F2CF7">
              <w:rPr>
                <w:sz w:val="20"/>
                <w:szCs w:val="20"/>
              </w:rPr>
              <w:t>*</w:t>
            </w:r>
          </w:p>
        </w:tc>
        <w:tc>
          <w:tcPr>
            <w:tcW w:w="3052" w:type="dxa"/>
            <w:vAlign w:val="center"/>
          </w:tcPr>
          <w:p w:rsidR="001C24F5" w:rsidRPr="004F2CF7" w:rsidP="001C24F5" w14:paraId="2727A806" w14:textId="77777777">
            <w:pPr>
              <w:jc w:val="center"/>
              <w:rPr>
                <w:sz w:val="20"/>
                <w:szCs w:val="20"/>
              </w:rPr>
            </w:pPr>
            <w:r w:rsidRPr="004F2CF7">
              <w:rPr>
                <w:sz w:val="20"/>
                <w:szCs w:val="20"/>
              </w:rPr>
              <w:t>-</w:t>
            </w:r>
          </w:p>
        </w:tc>
        <w:tc>
          <w:tcPr>
            <w:tcW w:w="1270" w:type="dxa"/>
            <w:vAlign w:val="center"/>
          </w:tcPr>
          <w:p w:rsidR="001C24F5" w:rsidRPr="004F2CF7" w:rsidP="001C24F5" w14:paraId="3765C7F2" w14:textId="77777777">
            <w:pPr>
              <w:jc w:val="center"/>
              <w:rPr>
                <w:sz w:val="20"/>
                <w:szCs w:val="20"/>
              </w:rPr>
            </w:pPr>
            <w:r w:rsidRPr="004F2CF7">
              <w:rPr>
                <w:sz w:val="20"/>
                <w:szCs w:val="20"/>
              </w:rPr>
              <w:t>-</w:t>
            </w:r>
          </w:p>
        </w:tc>
      </w:tr>
      <w:tr w14:paraId="4265C669" w14:textId="77777777" w:rsidTr="00442C7B">
        <w:tblPrEx>
          <w:tblW w:w="0" w:type="auto"/>
          <w:tblLook w:val="04A0"/>
        </w:tblPrEx>
        <w:tc>
          <w:tcPr>
            <w:tcW w:w="1213" w:type="dxa"/>
            <w:vMerge/>
            <w:vAlign w:val="center"/>
          </w:tcPr>
          <w:p w:rsidR="001C24F5" w:rsidRPr="004F2CF7" w:rsidP="001C24F5" w14:paraId="5FDEDFE8" w14:textId="77777777">
            <w:pPr>
              <w:rPr>
                <w:sz w:val="20"/>
                <w:szCs w:val="20"/>
              </w:rPr>
            </w:pPr>
          </w:p>
        </w:tc>
        <w:tc>
          <w:tcPr>
            <w:tcW w:w="7849" w:type="dxa"/>
            <w:gridSpan w:val="4"/>
            <w:vAlign w:val="center"/>
          </w:tcPr>
          <w:p w:rsidR="001C24F5" w:rsidRPr="004F2CF7" w:rsidP="001C24F5" w14:paraId="0440BB80" w14:textId="77777777">
            <w:pPr>
              <w:jc w:val="center"/>
              <w:rPr>
                <w:sz w:val="20"/>
                <w:szCs w:val="20"/>
              </w:rPr>
            </w:pPr>
            <w:r w:rsidRPr="004F2CF7">
              <w:rPr>
                <w:b/>
                <w:sz w:val="20"/>
                <w:szCs w:val="20"/>
              </w:rPr>
              <w:t>Životní prostředí</w:t>
            </w:r>
          </w:p>
        </w:tc>
      </w:tr>
      <w:tr w14:paraId="6103BAE1" w14:textId="77777777" w:rsidTr="003572FE">
        <w:tblPrEx>
          <w:tblW w:w="0" w:type="auto"/>
          <w:tblLook w:val="04A0"/>
        </w:tblPrEx>
        <w:tc>
          <w:tcPr>
            <w:tcW w:w="1213" w:type="dxa"/>
            <w:vMerge/>
            <w:vAlign w:val="center"/>
          </w:tcPr>
          <w:p w:rsidR="001C24F5" w:rsidRPr="004F2CF7" w:rsidP="001C24F5" w14:paraId="55798ABA" w14:textId="77777777">
            <w:pPr>
              <w:rPr>
                <w:sz w:val="20"/>
                <w:szCs w:val="20"/>
              </w:rPr>
            </w:pPr>
          </w:p>
        </w:tc>
        <w:tc>
          <w:tcPr>
            <w:tcW w:w="2277" w:type="dxa"/>
            <w:vAlign w:val="center"/>
          </w:tcPr>
          <w:p w:rsidR="001C24F5" w:rsidRPr="004F2CF7" w14:paraId="32CBE095" w14:textId="0679920A">
            <w:pPr>
              <w:jc w:val="center"/>
              <w:rPr>
                <w:sz w:val="20"/>
                <w:szCs w:val="20"/>
              </w:rPr>
            </w:pPr>
            <w:r w:rsidRPr="004F2CF7">
              <w:rPr>
                <w:sz w:val="20"/>
                <w:szCs w:val="20"/>
              </w:rPr>
              <w:t xml:space="preserve">Vyšší dostupnost míst ZO – nižší riziko </w:t>
            </w:r>
            <w:r w:rsidR="00C27B74">
              <w:rPr>
                <w:sz w:val="20"/>
                <w:szCs w:val="20"/>
              </w:rPr>
              <w:t>znečištění</w:t>
            </w:r>
            <w:r w:rsidRPr="004F2CF7">
              <w:rPr>
                <w:sz w:val="20"/>
                <w:szCs w:val="20"/>
              </w:rPr>
              <w:t xml:space="preserve"> ŽP</w:t>
            </w:r>
          </w:p>
        </w:tc>
        <w:tc>
          <w:tcPr>
            <w:tcW w:w="1250" w:type="dxa"/>
            <w:vAlign w:val="center"/>
          </w:tcPr>
          <w:p w:rsidR="001C24F5" w:rsidRPr="004F2CF7" w:rsidP="001C24F5" w14:paraId="527373E4" w14:textId="77777777">
            <w:pPr>
              <w:jc w:val="center"/>
              <w:rPr>
                <w:sz w:val="20"/>
                <w:szCs w:val="20"/>
              </w:rPr>
            </w:pPr>
            <w:r w:rsidRPr="004F2CF7">
              <w:rPr>
                <w:sz w:val="20"/>
                <w:szCs w:val="20"/>
              </w:rPr>
              <w:t>****</w:t>
            </w:r>
          </w:p>
        </w:tc>
        <w:tc>
          <w:tcPr>
            <w:tcW w:w="3052" w:type="dxa"/>
            <w:vAlign w:val="center"/>
          </w:tcPr>
          <w:p w:rsidR="001C24F5" w:rsidRPr="004F2CF7" w:rsidP="001C24F5" w14:paraId="3231E1C6" w14:textId="77777777">
            <w:pPr>
              <w:jc w:val="center"/>
              <w:rPr>
                <w:sz w:val="20"/>
                <w:szCs w:val="20"/>
              </w:rPr>
            </w:pPr>
            <w:r w:rsidRPr="004F2CF7">
              <w:rPr>
                <w:sz w:val="20"/>
                <w:szCs w:val="20"/>
              </w:rPr>
              <w:t>-</w:t>
            </w:r>
          </w:p>
        </w:tc>
        <w:tc>
          <w:tcPr>
            <w:tcW w:w="1270" w:type="dxa"/>
            <w:vAlign w:val="center"/>
          </w:tcPr>
          <w:p w:rsidR="001C24F5" w:rsidRPr="004F2CF7" w:rsidP="001C24F5" w14:paraId="3EAF2AA4" w14:textId="77777777">
            <w:pPr>
              <w:jc w:val="center"/>
              <w:rPr>
                <w:sz w:val="20"/>
                <w:szCs w:val="20"/>
              </w:rPr>
            </w:pPr>
            <w:r w:rsidRPr="004F2CF7">
              <w:rPr>
                <w:sz w:val="20"/>
                <w:szCs w:val="20"/>
              </w:rPr>
              <w:t>-</w:t>
            </w:r>
          </w:p>
        </w:tc>
      </w:tr>
    </w:tbl>
    <w:p w:rsidR="00D73208" w:rsidP="00D73208" w14:paraId="030D9336" w14:textId="77777777"/>
    <w:p w:rsidR="001C24F5" w:rsidRPr="004F2CF7" w:rsidP="001C24F5" w14:paraId="672539C1" w14:textId="77777777">
      <w:pPr>
        <w:pStyle w:val="Heading2"/>
        <w:spacing w:before="360"/>
        <w:ind w:left="578" w:hanging="578"/>
      </w:pPr>
      <w:r w:rsidRPr="004F2CF7">
        <w:t>Návrh řešení</w:t>
      </w:r>
    </w:p>
    <w:p w:rsidR="001C24F5" w:rsidRPr="004F2CF7" w:rsidP="001C24F5" w14:paraId="1A259029" w14:textId="77777777">
      <w:pPr>
        <w:pStyle w:val="Heading4"/>
        <w:numPr>
          <w:ilvl w:val="0"/>
          <w:numId w:val="0"/>
        </w:numPr>
        <w:spacing w:before="120" w:after="0"/>
        <w:ind w:left="864" w:hanging="864"/>
        <w:rPr>
          <w:b/>
          <w:i/>
          <w:sz w:val="24"/>
          <w:szCs w:val="24"/>
        </w:rPr>
      </w:pPr>
      <w:r w:rsidRPr="004F2CF7">
        <w:rPr>
          <w:b/>
          <w:i/>
          <w:sz w:val="24"/>
          <w:szCs w:val="24"/>
        </w:rPr>
        <w:t>Stanovení pořadí variant a výběr nejvhodnějšího řešení</w:t>
      </w:r>
    </w:p>
    <w:p w:rsidR="001C24F5" w:rsidRPr="004F2CF7" w:rsidP="001C24F5" w14:paraId="2E182FB7" w14:textId="77777777">
      <w:pPr>
        <w:pStyle w:val="ListParagraph"/>
        <w:numPr>
          <w:ilvl w:val="0"/>
          <w:numId w:val="136"/>
        </w:numPr>
        <w:spacing w:after="0" w:line="240" w:lineRule="auto"/>
        <w:contextualSpacing w:val="0"/>
        <w:rPr>
          <w:rFonts w:cs="Arial"/>
          <w:b/>
          <w:bCs/>
        </w:rPr>
      </w:pPr>
      <w:r w:rsidRPr="004F2CF7">
        <w:rPr>
          <w:rFonts w:cs="Arial"/>
          <w:b/>
          <w:bCs/>
        </w:rPr>
        <w:t>Varianta 1</w:t>
      </w:r>
    </w:p>
    <w:p w:rsidR="001C24F5" w:rsidRPr="004F2CF7" w:rsidP="001C24F5" w14:paraId="70EB4982" w14:textId="77777777">
      <w:pPr>
        <w:pStyle w:val="ListParagraph"/>
        <w:numPr>
          <w:ilvl w:val="0"/>
          <w:numId w:val="136"/>
        </w:numPr>
        <w:spacing w:after="0" w:line="240" w:lineRule="auto"/>
        <w:ind w:left="714" w:hanging="357"/>
        <w:contextualSpacing w:val="0"/>
        <w:rPr>
          <w:rFonts w:cs="Arial"/>
        </w:rPr>
      </w:pPr>
      <w:r w:rsidRPr="004F2CF7">
        <w:rPr>
          <w:rFonts w:cs="Arial"/>
        </w:rPr>
        <w:t>Varianta 0</w:t>
      </w:r>
    </w:p>
    <w:p w:rsidR="00C27B74" w:rsidRPr="004F2CF7" w:rsidP="003572FE" w14:paraId="125CC784" w14:textId="4ECF1529">
      <w:bookmarkStart w:id="228" w:name="_Toc13746070"/>
      <w:r w:rsidRPr="004F2CF7">
        <w:t xml:space="preserve">V souvislosti s potřebou </w:t>
      </w:r>
      <w:r w:rsidRPr="004F2CF7">
        <w:t xml:space="preserve">zamezení free-ridingu některých individuálně plnících výrobců a přenášení nákladů za ZO </w:t>
      </w:r>
      <w:r>
        <w:t xml:space="preserve">odpadních </w:t>
      </w:r>
      <w:r w:rsidRPr="004F2CF7">
        <w:t>pneumatik na KS, na úkor zapojených subjektů, a dále s ohledem na zajištění vyšší míry</w:t>
      </w:r>
      <w:r w:rsidRPr="004F2CF7">
        <w:t xml:space="preserve"> sběru a recyklace </w:t>
      </w:r>
      <w:r w:rsidRPr="004F2CF7">
        <w:t xml:space="preserve">odpadních pneumatik </w:t>
      </w:r>
      <w:r w:rsidRPr="004F2CF7">
        <w:t xml:space="preserve">a na možnost </w:t>
      </w:r>
      <w:r w:rsidRPr="004F2CF7">
        <w:t xml:space="preserve">lepší </w:t>
      </w:r>
      <w:r w:rsidRPr="004F2CF7">
        <w:t>kontroly</w:t>
      </w:r>
      <w:r w:rsidRPr="004F2CF7">
        <w:t xml:space="preserve">, a tím i vynutitelnosti </w:t>
      </w:r>
      <w:r w:rsidRPr="004F2CF7">
        <w:t>ze strany kontrolních orgánů d</w:t>
      </w:r>
      <w:r w:rsidR="007E1128">
        <w:t>oporučujeme přijmout Variantu 1. Tato varaianta</w:t>
      </w:r>
      <w:r w:rsidRPr="004F2CF7">
        <w:t xml:space="preserve"> </w:t>
      </w:r>
      <w:r w:rsidR="007E1128">
        <w:t>stanovuje</w:t>
      </w:r>
      <w:r w:rsidRPr="004F2CF7">
        <w:t xml:space="preserve"> povinnost pro výrobce </w:t>
      </w:r>
      <w:r w:rsidRPr="004F2CF7">
        <w:t>pneumatik</w:t>
      </w:r>
      <w:r w:rsidRPr="004F2CF7">
        <w:t xml:space="preserve"> vytvoř</w:t>
      </w:r>
      <w:r w:rsidR="007E1128">
        <w:t>it rovnoměrně rozmístěnou</w:t>
      </w:r>
      <w:r w:rsidRPr="004F2CF7">
        <w:t xml:space="preserve"> sběrn</w:t>
      </w:r>
      <w:r w:rsidR="007E1128">
        <w:t>ou síť</w:t>
      </w:r>
      <w:r w:rsidRPr="004F2CF7">
        <w:t>, a</w:t>
      </w:r>
      <w:r w:rsidRPr="004F2CF7">
        <w:t> </w:t>
      </w:r>
      <w:r w:rsidRPr="004F2CF7">
        <w:t>tím i zlepš</w:t>
      </w:r>
      <w:r w:rsidR="007E1128">
        <w:t>it</w:t>
      </w:r>
      <w:r w:rsidRPr="004F2CF7">
        <w:t xml:space="preserve"> dostupnost míst ZO </w:t>
      </w:r>
      <w:r w:rsidRPr="004F2CF7">
        <w:t>odpadní</w:t>
      </w:r>
      <w:r w:rsidR="007E1128">
        <w:t>ch pneumatik více obyvatelům a snížit</w:t>
      </w:r>
      <w:r w:rsidRPr="004F2CF7">
        <w:t xml:space="preserve"> </w:t>
      </w:r>
      <w:r w:rsidR="007E1128">
        <w:t>riziko</w:t>
      </w:r>
      <w:r w:rsidRPr="004F2CF7">
        <w:t xml:space="preserve"> odhazování pneumatik na černé skládky apod., kde představují </w:t>
      </w:r>
      <w:r w:rsidRPr="00B126C5" w:rsidR="007E1128">
        <w:t>riziko pro životní prostředí</w:t>
      </w:r>
      <w:r w:rsidRPr="00C27B74" w:rsidR="007E1128">
        <w:t xml:space="preserve"> </w:t>
      </w:r>
      <w:r w:rsidR="007E1128">
        <w:t xml:space="preserve">a </w:t>
      </w:r>
      <w:r w:rsidRPr="004F2CF7">
        <w:t xml:space="preserve">náklady na </w:t>
      </w:r>
      <w:r w:rsidR="007E1128">
        <w:t xml:space="preserve">jejich </w:t>
      </w:r>
      <w:r w:rsidRPr="004F2CF7">
        <w:t>likvidaci pro</w:t>
      </w:r>
      <w:r>
        <w:t> </w:t>
      </w:r>
      <w:r w:rsidRPr="004F2CF7">
        <w:t>obce.</w:t>
      </w:r>
      <w:bookmarkEnd w:id="228"/>
    </w:p>
    <w:p w:rsidR="005328D7" w:rsidRPr="001C24F5" w:rsidP="001C24F5" w14:paraId="5F83B683" w14:textId="77777777">
      <w:pPr>
        <w:pStyle w:val="Heading2"/>
        <w:numPr>
          <w:ilvl w:val="0"/>
          <w:numId w:val="0"/>
        </w:numPr>
        <w:ind w:left="576" w:hanging="576"/>
        <w:rPr>
          <w:bCs/>
        </w:rPr>
      </w:pPr>
    </w:p>
    <w:p w:rsidR="00304909" w:rsidP="003C445B" w14:paraId="5F2A1003" w14:textId="35A21340">
      <w:pPr>
        <w:pStyle w:val="Heading1"/>
        <w:numPr>
          <w:ilvl w:val="0"/>
          <w:numId w:val="96"/>
        </w:numPr>
      </w:pPr>
      <w:bookmarkStart w:id="229" w:name="_Toc14942100"/>
      <w:bookmarkStart w:id="230" w:name="_Toc256000026"/>
      <w:r>
        <w:t>Materiálové v</w:t>
      </w:r>
      <w:r w:rsidR="00C23A89">
        <w:t>yužití odpadních pneumatik (§ 94</w:t>
      </w:r>
      <w:r>
        <w:t>)</w:t>
      </w:r>
      <w:bookmarkEnd w:id="230"/>
      <w:bookmarkEnd w:id="229"/>
    </w:p>
    <w:p w:rsidR="00304909" w:rsidP="003C445B" w14:paraId="6BB53ECB" w14:textId="77777777">
      <w:pPr>
        <w:pStyle w:val="Heading2"/>
        <w:numPr>
          <w:ilvl w:val="1"/>
          <w:numId w:val="96"/>
        </w:numPr>
        <w:rPr>
          <w:b w:val="0"/>
        </w:rPr>
      </w:pPr>
      <w:r>
        <w:t>Důvod předložení a cíle</w:t>
      </w:r>
    </w:p>
    <w:p w:rsidR="00304909" w:rsidP="00BF16B7" w14:paraId="2336EDAE" w14:textId="77777777">
      <w:pPr>
        <w:pStyle w:val="Heading3"/>
      </w:pPr>
      <w:r>
        <w:t>Definice problému</w:t>
      </w:r>
    </w:p>
    <w:p w:rsidR="00304909" w:rsidP="00304909" w14:paraId="0D48F079" w14:textId="64154328">
      <w:r>
        <w:t xml:space="preserve">V současné době není legislativně stanoven žádný cíl pro materiálové využití odpadních pneumatik, platná legislativa tedy povinným osobám v oblasti </w:t>
      </w:r>
      <w:r w:rsidR="005B64ED">
        <w:t>ZO</w:t>
      </w:r>
      <w:r>
        <w:t xml:space="preserve"> pneumatik neukládá žádnou povinnost předávat odpadní pneumatiky ke zpracování. Plán odpadového hospodářství 2015 – 2024 stanovuje požadavek pro využití, recyklaci a opětovné použití při zpracování odpadních pneumatik cíl pro rok 2018 a roky následující 100 %. Pod tímto cílem je zahrnuto jak materiálové, tak i energetické využití. V hierarchii nakládání s odpady by měla být dle zákona o odpadech upřednostněna příprava k opětovnému použití a recyklace odpadů před jiným využitím včetně energetického využití a před odstraňováním odpadů. Tento cíl je tedy v souladu s hierarchií nakládání s odpady, a zároveň je klíčem pro dosažení vyššího podílu náhr</w:t>
      </w:r>
      <w:r w:rsidR="006E2211">
        <w:t>ady primárních surovin ve výrob</w:t>
      </w:r>
      <w:r>
        <w:t>ním procesu v rámci oběhového hospodářství. Materiál z</w:t>
      </w:r>
      <w:r w:rsidR="00802DCA">
        <w:t> </w:t>
      </w:r>
      <w:r>
        <w:t xml:space="preserve">odpadních pneumatik se tak může stát zdrojem pro výrobu široké škály výrobků. </w:t>
      </w:r>
    </w:p>
    <w:p w:rsidR="00304909" w:rsidP="00304909" w14:paraId="423E17A4" w14:textId="78565FE8">
      <w:pPr>
        <w:rPr>
          <w:rFonts w:cs="Arial"/>
        </w:rPr>
      </w:pPr>
      <w:r>
        <w:rPr>
          <w:rFonts w:cs="Arial"/>
        </w:rPr>
        <w:t xml:space="preserve">Dále současná legislativně stanovená minimání míra </w:t>
      </w:r>
      <w:r w:rsidR="005B64ED">
        <w:rPr>
          <w:rFonts w:cs="Arial"/>
        </w:rPr>
        <w:t>ZO</w:t>
      </w:r>
      <w:r>
        <w:rPr>
          <w:rFonts w:cs="Arial"/>
        </w:rPr>
        <w:t xml:space="preserve"> z pneumatik uvedených danou povinnou osobou v daném roce na trh v ČR je z hlediska dosažení cílů vnímána jako negativní, nevhodně stanovená a v konečném důsledku kontraproduktivní. Hodnota 35 %  </w:t>
      </w:r>
      <w:r w:rsidR="005B64ED">
        <w:rPr>
          <w:rFonts w:cs="Arial"/>
        </w:rPr>
        <w:t>ZO</w:t>
      </w:r>
      <w:r>
        <w:rPr>
          <w:rFonts w:cs="Arial"/>
        </w:rPr>
        <w:t xml:space="preserve"> je nedostatčná, v důsledku čehož dochází k tomu, že výrobci plnící své povinnosti individuálně zpětně </w:t>
      </w:r>
      <w:r w:rsidR="006E2211">
        <w:rPr>
          <w:rFonts w:cs="Arial"/>
        </w:rPr>
        <w:t>odebí</w:t>
      </w:r>
      <w:r>
        <w:rPr>
          <w:rFonts w:cs="Arial"/>
        </w:rPr>
        <w:t xml:space="preserve">rají jen taková množství pneumatik, aby si splnili minimání zákonnou povinnost, přičemž další (odpadní) pneumatiky záměrně od jejich držitelů neodebírají, což v praxi znamená, že např. neodváží pravidelně pneumatiky ze sběrných míst, která pak logicky v důsledku přeplnění skladovacích kapacit </w:t>
      </w:r>
      <w:r w:rsidR="005B64ED">
        <w:rPr>
          <w:rFonts w:cs="Arial"/>
        </w:rPr>
        <w:t>ZO</w:t>
      </w:r>
      <w:r>
        <w:rPr>
          <w:rFonts w:cs="Arial"/>
        </w:rPr>
        <w:t xml:space="preserve"> omezují</w:t>
      </w:r>
      <w:r w:rsidRPr="00231373">
        <w:rPr>
          <w:rFonts w:cs="Arial"/>
        </w:rPr>
        <w:t xml:space="preserve">. </w:t>
      </w:r>
      <w:r>
        <w:rPr>
          <w:rFonts w:cs="Arial"/>
        </w:rPr>
        <w:t xml:space="preserve">Vedle toho v rámci ČR působí </w:t>
      </w:r>
      <w:r w:rsidR="005B64ED">
        <w:rPr>
          <w:rFonts w:cs="Arial"/>
        </w:rPr>
        <w:t>KS</w:t>
      </w:r>
      <w:r>
        <w:rPr>
          <w:rFonts w:cs="Arial"/>
        </w:rPr>
        <w:t>, který vytváří sběrnou síť, jejíž provozovatelé sběr pneumatik nijak neomezují (v souladu s platnou legislativou</w:t>
      </w:r>
      <w:r w:rsidR="006E2211">
        <w:rPr>
          <w:rFonts w:cs="Arial"/>
        </w:rPr>
        <w:t>), a držitelé použitých pneumatik</w:t>
      </w:r>
      <w:r>
        <w:rPr>
          <w:rFonts w:cs="Arial"/>
        </w:rPr>
        <w:t xml:space="preserve"> tak proto častěji odkládají pneumatiky právě do sběrné sítě systému ELTMA. </w:t>
      </w:r>
      <w:r w:rsidRPr="00230019">
        <w:rPr>
          <w:rFonts w:cs="Arial"/>
        </w:rPr>
        <w:t xml:space="preserve">S přibývajícím množstvím zpětně odebraných pneumatik ze strany ELTMA </w:t>
      </w:r>
      <w:r>
        <w:rPr>
          <w:rFonts w:cs="Arial"/>
        </w:rPr>
        <w:t xml:space="preserve">však </w:t>
      </w:r>
      <w:r w:rsidRPr="00230019">
        <w:rPr>
          <w:rFonts w:cs="Arial"/>
        </w:rPr>
        <w:t xml:space="preserve">rostou náklady, které financují výrobci </w:t>
      </w:r>
      <w:r>
        <w:rPr>
          <w:rFonts w:cs="Arial"/>
        </w:rPr>
        <w:t xml:space="preserve">pneumatik </w:t>
      </w:r>
      <w:r w:rsidRPr="00230019">
        <w:rPr>
          <w:rFonts w:cs="Arial"/>
        </w:rPr>
        <w:t>do tohoto systému zapojení, ale individuálně plnící osoby plní jen minimální zákonnou povinnost a</w:t>
      </w:r>
      <w:r w:rsidR="005B64ED">
        <w:rPr>
          <w:rFonts w:cs="Arial"/>
        </w:rPr>
        <w:t> </w:t>
      </w:r>
      <w:r w:rsidRPr="00230019">
        <w:rPr>
          <w:rFonts w:cs="Arial"/>
        </w:rPr>
        <w:t xml:space="preserve">záměrně nepřijímají další pneumatiky navíc. </w:t>
      </w:r>
      <w:r w:rsidRPr="00231373">
        <w:rPr>
          <w:rFonts w:cs="Arial"/>
        </w:rPr>
        <w:t xml:space="preserve">Vzniká </w:t>
      </w:r>
      <w:r w:rsidRPr="00ED03C3">
        <w:rPr>
          <w:rFonts w:cs="Arial"/>
        </w:rPr>
        <w:t xml:space="preserve">tu pak významný rozdíl, který znamená nižší náklady </w:t>
      </w:r>
      <w:r w:rsidR="006E2211">
        <w:rPr>
          <w:rFonts w:cs="Arial"/>
        </w:rPr>
        <w:t xml:space="preserve">na </w:t>
      </w:r>
      <w:r w:rsidR="005B64ED">
        <w:rPr>
          <w:rFonts w:cs="Arial"/>
        </w:rPr>
        <w:t>ZO</w:t>
      </w:r>
      <w:r w:rsidR="006E2211">
        <w:rPr>
          <w:rFonts w:cs="Arial"/>
        </w:rPr>
        <w:t xml:space="preserve"> </w:t>
      </w:r>
      <w:r w:rsidRPr="00ED03C3">
        <w:rPr>
          <w:rFonts w:cs="Arial"/>
        </w:rPr>
        <w:t xml:space="preserve">povinných osob </w:t>
      </w:r>
      <w:r>
        <w:rPr>
          <w:rFonts w:cs="Arial"/>
        </w:rPr>
        <w:t xml:space="preserve">plnících </w:t>
      </w:r>
      <w:r w:rsidR="006E2211">
        <w:rPr>
          <w:rFonts w:cs="Arial"/>
        </w:rPr>
        <w:t xml:space="preserve">své povinnosti </w:t>
      </w:r>
      <w:r>
        <w:rPr>
          <w:rFonts w:cs="Arial"/>
        </w:rPr>
        <w:t>individuálně</w:t>
      </w:r>
      <w:r w:rsidRPr="00ED03C3">
        <w:rPr>
          <w:rFonts w:cs="Arial"/>
        </w:rPr>
        <w:t>, ale i nižší náklady na následné předání k využití těchto pneumatik.</w:t>
      </w:r>
      <w:r>
        <w:rPr>
          <w:rFonts w:cs="Arial"/>
        </w:rPr>
        <w:t xml:space="preserve"> </w:t>
      </w:r>
      <w:r w:rsidRPr="00230019">
        <w:rPr>
          <w:rFonts w:cs="Arial"/>
        </w:rPr>
        <w:t>Tento stav je dlouhodobě neudržitelný</w:t>
      </w:r>
      <w:r>
        <w:rPr>
          <w:rFonts w:cs="Arial"/>
        </w:rPr>
        <w:t xml:space="preserve">. </w:t>
      </w:r>
      <w:r w:rsidRPr="00F258C8">
        <w:rPr>
          <w:rFonts w:cs="Arial"/>
        </w:rPr>
        <w:t>Z</w:t>
      </w:r>
      <w:r w:rsidR="005B64ED">
        <w:rPr>
          <w:rFonts w:cs="Arial"/>
        </w:rPr>
        <w:t> </w:t>
      </w:r>
      <w:r w:rsidRPr="00F258C8">
        <w:rPr>
          <w:rFonts w:cs="Arial"/>
        </w:rPr>
        <w:t xml:space="preserve">tabulky </w:t>
      </w:r>
      <w:r w:rsidRPr="00F258C8" w:rsidR="00F258C8">
        <w:rPr>
          <w:rFonts w:cs="Arial"/>
        </w:rPr>
        <w:t>níže</w:t>
      </w:r>
      <w:r w:rsidRPr="00F258C8">
        <w:rPr>
          <w:rFonts w:cs="Arial"/>
        </w:rPr>
        <w:t xml:space="preserve"> je zřejmé</w:t>
      </w:r>
      <w:r>
        <w:rPr>
          <w:rFonts w:cs="Arial"/>
        </w:rPr>
        <w:t xml:space="preserve">, že průměrná míra </w:t>
      </w:r>
      <w:r w:rsidR="005B64ED">
        <w:rPr>
          <w:rFonts w:cs="Arial"/>
        </w:rPr>
        <w:t>ZO</w:t>
      </w:r>
      <w:r>
        <w:rPr>
          <w:rFonts w:cs="Arial"/>
        </w:rPr>
        <w:t xml:space="preserve"> mezi individuálně plnícícmi osobami dosahuje pouze 41,2 %, zatímco kolektivní systém ELTMA dosahuje míry </w:t>
      </w:r>
      <w:r w:rsidR="005B64ED">
        <w:rPr>
          <w:rFonts w:cs="Arial"/>
        </w:rPr>
        <w:t>ZO</w:t>
      </w:r>
      <w:r>
        <w:rPr>
          <w:rFonts w:cs="Arial"/>
        </w:rPr>
        <w:t xml:space="preserve"> již ve výši téměř 80 %. Při</w:t>
      </w:r>
      <w:r w:rsidR="006E2211">
        <w:rPr>
          <w:rFonts w:cs="Arial"/>
        </w:rPr>
        <w:t> </w:t>
      </w:r>
      <w:r>
        <w:rPr>
          <w:rFonts w:cs="Arial"/>
        </w:rPr>
        <w:t>zohlednění cca 20 % otěru hmotnosti pneumatiky během jejího používání to znaměná, že kolektivní systém ELTMA dnes sbírá prakticky 100 % hmotnosti pneumatik, které uvedli na</w:t>
      </w:r>
      <w:r w:rsidR="006E2211">
        <w:rPr>
          <w:rFonts w:cs="Arial"/>
        </w:rPr>
        <w:t> </w:t>
      </w:r>
      <w:r>
        <w:rPr>
          <w:rFonts w:cs="Arial"/>
        </w:rPr>
        <w:t>trh výrobci do </w:t>
      </w:r>
      <w:r w:rsidR="005B64ED">
        <w:rPr>
          <w:rFonts w:cs="Arial"/>
        </w:rPr>
        <w:t>KS</w:t>
      </w:r>
      <w:r>
        <w:rPr>
          <w:rFonts w:cs="Arial"/>
        </w:rPr>
        <w:t xml:space="preserve"> zapojení</w:t>
      </w:r>
      <w:r w:rsidRPr="00230019">
        <w:rPr>
          <w:rFonts w:cs="Arial"/>
        </w:rPr>
        <w:t>.</w:t>
      </w:r>
    </w:p>
    <w:p w:rsidR="00304909" w:rsidRPr="003265E8" w:rsidP="00CC0BB4" w14:paraId="658F300A" w14:textId="09A48684">
      <w:pPr>
        <w:keepNext/>
        <w:spacing w:before="240"/>
        <w:rPr>
          <w:rFonts w:cs="Arial"/>
          <w:b/>
          <w:sz w:val="20"/>
          <w:szCs w:val="20"/>
        </w:rPr>
      </w:pPr>
      <w:r>
        <w:rPr>
          <w:rFonts w:cs="Arial"/>
          <w:b/>
          <w:sz w:val="20"/>
          <w:szCs w:val="20"/>
        </w:rPr>
        <w:t xml:space="preserve">Tabulka </w:t>
      </w:r>
      <w:r w:rsidR="00C85B53">
        <w:rPr>
          <w:rFonts w:cs="Arial"/>
          <w:b/>
          <w:sz w:val="20"/>
          <w:szCs w:val="20"/>
        </w:rPr>
        <w:t>6</w:t>
      </w:r>
      <w:r w:rsidR="00925F10">
        <w:rPr>
          <w:rFonts w:cs="Arial"/>
          <w:b/>
          <w:sz w:val="20"/>
          <w:szCs w:val="20"/>
        </w:rPr>
        <w:t>5</w:t>
      </w:r>
      <w:r w:rsidRPr="003265E8">
        <w:rPr>
          <w:rFonts w:cs="Arial"/>
          <w:b/>
          <w:sz w:val="20"/>
          <w:szCs w:val="20"/>
        </w:rPr>
        <w:t xml:space="preserve">: Míra </w:t>
      </w:r>
      <w:r w:rsidR="005B64ED">
        <w:rPr>
          <w:rFonts w:cs="Arial"/>
          <w:b/>
          <w:sz w:val="20"/>
          <w:szCs w:val="20"/>
        </w:rPr>
        <w:t>ZO</w:t>
      </w:r>
      <w:r w:rsidRPr="003265E8">
        <w:rPr>
          <w:rFonts w:cs="Arial"/>
          <w:b/>
          <w:sz w:val="20"/>
          <w:szCs w:val="20"/>
        </w:rPr>
        <w:t xml:space="preserve"> odpadních pneumatik u výrobců plnících individuálně a kolektivně v letech 2016 a</w:t>
      </w:r>
      <w:r w:rsidR="005B64ED">
        <w:rPr>
          <w:rFonts w:cs="Arial"/>
          <w:b/>
          <w:sz w:val="20"/>
          <w:szCs w:val="20"/>
        </w:rPr>
        <w:t> </w:t>
      </w:r>
      <w:r w:rsidRPr="003265E8">
        <w:rPr>
          <w:rFonts w:cs="Arial"/>
          <w:b/>
          <w:sz w:val="20"/>
          <w:szCs w:val="20"/>
        </w:rPr>
        <w:t>2017</w:t>
      </w:r>
    </w:p>
    <w:tbl>
      <w:tblPr>
        <w:tblStyle w:val="TableGrid"/>
        <w:tblW w:w="0" w:type="auto"/>
        <w:jc w:val="center"/>
        <w:tblLook w:val="04A0"/>
      </w:tblPr>
      <w:tblGrid>
        <w:gridCol w:w="1779"/>
        <w:gridCol w:w="1779"/>
        <w:gridCol w:w="1779"/>
        <w:gridCol w:w="1779"/>
        <w:gridCol w:w="1780"/>
      </w:tblGrid>
      <w:tr w14:paraId="2B1504D4" w14:textId="77777777" w:rsidTr="003572FE">
        <w:tblPrEx>
          <w:tblW w:w="0" w:type="auto"/>
          <w:jc w:val="center"/>
          <w:tblLook w:val="04A0"/>
        </w:tblPrEx>
        <w:trPr>
          <w:trHeight w:val="158"/>
          <w:jc w:val="center"/>
        </w:trPr>
        <w:tc>
          <w:tcPr>
            <w:tcW w:w="1779" w:type="dxa"/>
            <w:vMerge w:val="restart"/>
            <w:vAlign w:val="center"/>
          </w:tcPr>
          <w:p w:rsidR="00304909" w:rsidRPr="003572FE" w:rsidP="00802DCA" w14:paraId="4132D5FC" w14:textId="77777777">
            <w:pPr>
              <w:keepNext/>
              <w:rPr>
                <w:rFonts w:cs="Arial"/>
                <w:b/>
                <w:sz w:val="20"/>
                <w:szCs w:val="22"/>
              </w:rPr>
            </w:pPr>
            <w:r w:rsidRPr="003572FE">
              <w:rPr>
                <w:rFonts w:cs="Arial"/>
                <w:b/>
                <w:sz w:val="20"/>
                <w:szCs w:val="22"/>
              </w:rPr>
              <w:t xml:space="preserve">Způsob plnění </w:t>
            </w:r>
          </w:p>
        </w:tc>
        <w:tc>
          <w:tcPr>
            <w:tcW w:w="3558" w:type="dxa"/>
            <w:gridSpan w:val="2"/>
            <w:vAlign w:val="center"/>
          </w:tcPr>
          <w:p w:rsidR="00304909" w:rsidRPr="003572FE" w:rsidP="00802DCA" w14:paraId="56480308" w14:textId="77777777">
            <w:pPr>
              <w:keepNext/>
              <w:jc w:val="center"/>
              <w:rPr>
                <w:rFonts w:cs="Arial"/>
                <w:b/>
                <w:sz w:val="20"/>
                <w:szCs w:val="22"/>
              </w:rPr>
            </w:pPr>
            <w:r w:rsidRPr="003572FE">
              <w:rPr>
                <w:rFonts w:cs="Arial"/>
                <w:b/>
                <w:sz w:val="20"/>
                <w:szCs w:val="22"/>
              </w:rPr>
              <w:t>2016</w:t>
            </w:r>
          </w:p>
        </w:tc>
        <w:tc>
          <w:tcPr>
            <w:tcW w:w="3559" w:type="dxa"/>
            <w:gridSpan w:val="2"/>
            <w:vAlign w:val="center"/>
          </w:tcPr>
          <w:p w:rsidR="00304909" w:rsidRPr="003572FE" w:rsidP="00802DCA" w14:paraId="23A9259F" w14:textId="77777777">
            <w:pPr>
              <w:keepNext/>
              <w:jc w:val="center"/>
              <w:rPr>
                <w:rFonts w:cs="Arial"/>
                <w:b/>
                <w:sz w:val="20"/>
                <w:szCs w:val="22"/>
              </w:rPr>
            </w:pPr>
            <w:r w:rsidRPr="003572FE">
              <w:rPr>
                <w:rFonts w:cs="Arial"/>
                <w:b/>
                <w:sz w:val="20"/>
                <w:szCs w:val="22"/>
              </w:rPr>
              <w:t>2017</w:t>
            </w:r>
          </w:p>
        </w:tc>
      </w:tr>
      <w:tr w14:paraId="43DFF04D" w14:textId="77777777" w:rsidTr="003265E8">
        <w:tblPrEx>
          <w:tblW w:w="0" w:type="auto"/>
          <w:jc w:val="center"/>
          <w:tblLook w:val="04A0"/>
        </w:tblPrEx>
        <w:trPr>
          <w:trHeight w:val="472"/>
          <w:jc w:val="center"/>
        </w:trPr>
        <w:tc>
          <w:tcPr>
            <w:tcW w:w="1779" w:type="dxa"/>
            <w:vMerge/>
            <w:vAlign w:val="center"/>
          </w:tcPr>
          <w:p w:rsidR="00304909" w:rsidRPr="003572FE" w:rsidP="006031E5" w14:paraId="6066F81B" w14:textId="77777777">
            <w:pPr>
              <w:rPr>
                <w:rFonts w:cs="Arial"/>
                <w:b/>
                <w:sz w:val="20"/>
                <w:szCs w:val="22"/>
              </w:rPr>
            </w:pPr>
          </w:p>
        </w:tc>
        <w:tc>
          <w:tcPr>
            <w:tcW w:w="1779" w:type="dxa"/>
            <w:vAlign w:val="center"/>
          </w:tcPr>
          <w:p w:rsidR="00304909" w:rsidRPr="003572FE" w:rsidP="006031E5" w14:paraId="6948FB66" w14:textId="77777777">
            <w:pPr>
              <w:jc w:val="center"/>
              <w:rPr>
                <w:rFonts w:cs="Arial"/>
                <w:b/>
                <w:sz w:val="20"/>
                <w:szCs w:val="22"/>
              </w:rPr>
            </w:pPr>
            <w:r w:rsidRPr="003572FE">
              <w:rPr>
                <w:rFonts w:cs="Arial"/>
                <w:b/>
                <w:sz w:val="20"/>
                <w:szCs w:val="22"/>
              </w:rPr>
              <w:t>Počet subjektů</w:t>
            </w:r>
          </w:p>
        </w:tc>
        <w:tc>
          <w:tcPr>
            <w:tcW w:w="1779" w:type="dxa"/>
            <w:vAlign w:val="center"/>
          </w:tcPr>
          <w:p w:rsidR="00304909" w:rsidRPr="003572FE" w:rsidP="006031E5" w14:paraId="2FE15EDC" w14:textId="77777777">
            <w:pPr>
              <w:jc w:val="center"/>
              <w:rPr>
                <w:rFonts w:cs="Arial"/>
                <w:b/>
                <w:sz w:val="20"/>
                <w:szCs w:val="22"/>
              </w:rPr>
            </w:pPr>
            <w:r w:rsidRPr="003572FE">
              <w:rPr>
                <w:rFonts w:cs="Arial"/>
                <w:b/>
                <w:sz w:val="20"/>
                <w:szCs w:val="22"/>
              </w:rPr>
              <w:t>Úroveň ZO (%)</w:t>
            </w:r>
          </w:p>
        </w:tc>
        <w:tc>
          <w:tcPr>
            <w:tcW w:w="1779" w:type="dxa"/>
            <w:vAlign w:val="center"/>
          </w:tcPr>
          <w:p w:rsidR="00304909" w:rsidRPr="003572FE" w:rsidP="006031E5" w14:paraId="7400D97D" w14:textId="77777777">
            <w:pPr>
              <w:jc w:val="center"/>
              <w:rPr>
                <w:rFonts w:cs="Arial"/>
                <w:b/>
                <w:sz w:val="20"/>
                <w:szCs w:val="22"/>
              </w:rPr>
            </w:pPr>
            <w:r w:rsidRPr="003572FE">
              <w:rPr>
                <w:rFonts w:cs="Arial"/>
                <w:b/>
                <w:sz w:val="20"/>
                <w:szCs w:val="22"/>
              </w:rPr>
              <w:t>Počet subjektů</w:t>
            </w:r>
          </w:p>
        </w:tc>
        <w:tc>
          <w:tcPr>
            <w:tcW w:w="1779" w:type="dxa"/>
            <w:vAlign w:val="center"/>
          </w:tcPr>
          <w:p w:rsidR="00304909" w:rsidRPr="003572FE" w:rsidP="006031E5" w14:paraId="5FA479C2" w14:textId="77777777">
            <w:pPr>
              <w:jc w:val="center"/>
              <w:rPr>
                <w:rFonts w:cs="Arial"/>
                <w:b/>
                <w:sz w:val="20"/>
                <w:szCs w:val="22"/>
              </w:rPr>
            </w:pPr>
            <w:r w:rsidRPr="003572FE">
              <w:rPr>
                <w:rFonts w:cs="Arial"/>
                <w:b/>
                <w:sz w:val="20"/>
                <w:szCs w:val="22"/>
              </w:rPr>
              <w:t>Úroveň ZO (%)</w:t>
            </w:r>
          </w:p>
        </w:tc>
      </w:tr>
      <w:tr w14:paraId="5F224151" w14:textId="77777777" w:rsidTr="003265E8">
        <w:tblPrEx>
          <w:tblW w:w="0" w:type="auto"/>
          <w:jc w:val="center"/>
          <w:tblLook w:val="04A0"/>
        </w:tblPrEx>
        <w:trPr>
          <w:trHeight w:val="457"/>
          <w:jc w:val="center"/>
        </w:trPr>
        <w:tc>
          <w:tcPr>
            <w:tcW w:w="1779" w:type="dxa"/>
            <w:vAlign w:val="center"/>
          </w:tcPr>
          <w:p w:rsidR="00304909" w:rsidRPr="003572FE" w:rsidP="006031E5" w14:paraId="0112983D" w14:textId="77777777">
            <w:pPr>
              <w:rPr>
                <w:rFonts w:cs="Arial"/>
                <w:b/>
                <w:sz w:val="20"/>
                <w:szCs w:val="22"/>
              </w:rPr>
            </w:pPr>
            <w:r w:rsidRPr="003572FE">
              <w:rPr>
                <w:rFonts w:cs="Arial"/>
                <w:b/>
                <w:sz w:val="20"/>
                <w:szCs w:val="22"/>
              </w:rPr>
              <w:t>Individuálně</w:t>
            </w:r>
          </w:p>
        </w:tc>
        <w:tc>
          <w:tcPr>
            <w:tcW w:w="1779" w:type="dxa"/>
            <w:vAlign w:val="center"/>
          </w:tcPr>
          <w:p w:rsidR="00304909" w:rsidRPr="003572FE" w:rsidP="006031E5" w14:paraId="4166FC9B" w14:textId="77777777">
            <w:pPr>
              <w:jc w:val="center"/>
              <w:rPr>
                <w:rFonts w:cs="Arial"/>
                <w:sz w:val="20"/>
                <w:szCs w:val="22"/>
              </w:rPr>
            </w:pPr>
            <w:r w:rsidRPr="003572FE">
              <w:rPr>
                <w:rFonts w:cs="Arial"/>
                <w:sz w:val="20"/>
                <w:szCs w:val="22"/>
              </w:rPr>
              <w:t>155</w:t>
            </w:r>
          </w:p>
        </w:tc>
        <w:tc>
          <w:tcPr>
            <w:tcW w:w="1779" w:type="dxa"/>
            <w:vAlign w:val="center"/>
          </w:tcPr>
          <w:p w:rsidR="00304909" w:rsidRPr="003572FE" w:rsidP="006031E5" w14:paraId="26F592BD" w14:textId="77777777">
            <w:pPr>
              <w:jc w:val="center"/>
              <w:rPr>
                <w:rFonts w:cs="Arial"/>
                <w:sz w:val="20"/>
                <w:szCs w:val="22"/>
              </w:rPr>
            </w:pPr>
            <w:r w:rsidRPr="003572FE">
              <w:rPr>
                <w:rFonts w:cs="Arial"/>
                <w:sz w:val="20"/>
                <w:szCs w:val="22"/>
              </w:rPr>
              <w:t>42,7</w:t>
            </w:r>
          </w:p>
        </w:tc>
        <w:tc>
          <w:tcPr>
            <w:tcW w:w="1779" w:type="dxa"/>
            <w:vAlign w:val="center"/>
          </w:tcPr>
          <w:p w:rsidR="00304909" w:rsidRPr="003572FE" w:rsidP="006031E5" w14:paraId="360B2617" w14:textId="77777777">
            <w:pPr>
              <w:jc w:val="center"/>
              <w:rPr>
                <w:rFonts w:cs="Arial"/>
                <w:sz w:val="20"/>
                <w:szCs w:val="22"/>
              </w:rPr>
            </w:pPr>
            <w:r w:rsidRPr="003572FE">
              <w:rPr>
                <w:rFonts w:cs="Arial"/>
                <w:sz w:val="20"/>
                <w:szCs w:val="22"/>
              </w:rPr>
              <w:t>140</w:t>
            </w:r>
          </w:p>
        </w:tc>
        <w:tc>
          <w:tcPr>
            <w:tcW w:w="1779" w:type="dxa"/>
            <w:vAlign w:val="center"/>
          </w:tcPr>
          <w:p w:rsidR="00304909" w:rsidRPr="003572FE" w:rsidP="006031E5" w14:paraId="64C11A7E" w14:textId="77777777">
            <w:pPr>
              <w:jc w:val="center"/>
              <w:rPr>
                <w:rFonts w:cs="Arial"/>
                <w:sz w:val="20"/>
                <w:szCs w:val="22"/>
              </w:rPr>
            </w:pPr>
            <w:r w:rsidRPr="003572FE">
              <w:rPr>
                <w:rFonts w:cs="Arial"/>
                <w:sz w:val="20"/>
                <w:szCs w:val="22"/>
              </w:rPr>
              <w:t>41,2</w:t>
            </w:r>
          </w:p>
        </w:tc>
      </w:tr>
      <w:tr w14:paraId="7C1B7532" w14:textId="77777777" w:rsidTr="003265E8">
        <w:tblPrEx>
          <w:tblW w:w="0" w:type="auto"/>
          <w:jc w:val="center"/>
          <w:tblLook w:val="04A0"/>
        </w:tblPrEx>
        <w:trPr>
          <w:trHeight w:val="472"/>
          <w:jc w:val="center"/>
        </w:trPr>
        <w:tc>
          <w:tcPr>
            <w:tcW w:w="1779" w:type="dxa"/>
            <w:vAlign w:val="center"/>
          </w:tcPr>
          <w:p w:rsidR="00304909" w:rsidRPr="003572FE" w:rsidP="006031E5" w14:paraId="4030AFB2" w14:textId="77777777">
            <w:pPr>
              <w:rPr>
                <w:rFonts w:cs="Arial"/>
                <w:b/>
                <w:sz w:val="20"/>
                <w:szCs w:val="22"/>
              </w:rPr>
            </w:pPr>
            <w:r w:rsidRPr="003572FE">
              <w:rPr>
                <w:rFonts w:cs="Arial"/>
                <w:b/>
                <w:sz w:val="20"/>
                <w:szCs w:val="22"/>
              </w:rPr>
              <w:t>Kolektivně</w:t>
            </w:r>
          </w:p>
        </w:tc>
        <w:tc>
          <w:tcPr>
            <w:tcW w:w="1779" w:type="dxa"/>
            <w:vAlign w:val="center"/>
          </w:tcPr>
          <w:p w:rsidR="00304909" w:rsidRPr="003572FE" w:rsidP="006031E5" w14:paraId="26D10F64" w14:textId="77777777">
            <w:pPr>
              <w:jc w:val="center"/>
              <w:rPr>
                <w:rFonts w:cs="Arial"/>
                <w:sz w:val="20"/>
                <w:szCs w:val="22"/>
              </w:rPr>
            </w:pPr>
            <w:r w:rsidRPr="003572FE">
              <w:rPr>
                <w:rFonts w:cs="Arial"/>
                <w:sz w:val="20"/>
                <w:szCs w:val="22"/>
              </w:rPr>
              <w:t>29</w:t>
            </w:r>
          </w:p>
        </w:tc>
        <w:tc>
          <w:tcPr>
            <w:tcW w:w="1779" w:type="dxa"/>
            <w:vAlign w:val="center"/>
          </w:tcPr>
          <w:p w:rsidR="00304909" w:rsidRPr="003572FE" w:rsidP="006031E5" w14:paraId="3D482CFF" w14:textId="77777777">
            <w:pPr>
              <w:jc w:val="center"/>
              <w:rPr>
                <w:rFonts w:cs="Arial"/>
                <w:sz w:val="20"/>
                <w:szCs w:val="22"/>
              </w:rPr>
            </w:pPr>
            <w:r w:rsidRPr="003572FE">
              <w:rPr>
                <w:rFonts w:cs="Arial"/>
                <w:sz w:val="20"/>
                <w:szCs w:val="22"/>
              </w:rPr>
              <w:t>71,2</w:t>
            </w:r>
          </w:p>
        </w:tc>
        <w:tc>
          <w:tcPr>
            <w:tcW w:w="1779" w:type="dxa"/>
            <w:vAlign w:val="center"/>
          </w:tcPr>
          <w:p w:rsidR="00304909" w:rsidRPr="003572FE" w:rsidP="006031E5" w14:paraId="14F2F8EC" w14:textId="77777777">
            <w:pPr>
              <w:jc w:val="center"/>
              <w:rPr>
                <w:rFonts w:cs="Arial"/>
                <w:sz w:val="20"/>
                <w:szCs w:val="22"/>
              </w:rPr>
            </w:pPr>
            <w:r w:rsidRPr="003572FE">
              <w:rPr>
                <w:rFonts w:cs="Arial"/>
                <w:sz w:val="20"/>
                <w:szCs w:val="22"/>
              </w:rPr>
              <w:t>51</w:t>
            </w:r>
          </w:p>
        </w:tc>
        <w:tc>
          <w:tcPr>
            <w:tcW w:w="1779" w:type="dxa"/>
            <w:vAlign w:val="center"/>
          </w:tcPr>
          <w:p w:rsidR="00304909" w:rsidRPr="003572FE" w:rsidP="006031E5" w14:paraId="484437BF" w14:textId="77777777">
            <w:pPr>
              <w:jc w:val="center"/>
              <w:rPr>
                <w:rFonts w:cs="Arial"/>
                <w:sz w:val="20"/>
                <w:szCs w:val="22"/>
              </w:rPr>
            </w:pPr>
            <w:r w:rsidRPr="003572FE">
              <w:rPr>
                <w:rFonts w:cs="Arial"/>
                <w:sz w:val="20"/>
                <w:szCs w:val="22"/>
              </w:rPr>
              <w:t>79,9</w:t>
            </w:r>
          </w:p>
        </w:tc>
      </w:tr>
    </w:tbl>
    <w:p w:rsidR="00304909" w:rsidP="00304909" w14:paraId="446C0510" w14:textId="77777777">
      <w:pPr>
        <w:rPr>
          <w:rFonts w:cs="Arial"/>
        </w:rPr>
      </w:pPr>
    </w:p>
    <w:p w:rsidR="00304909" w:rsidP="00304909" w14:paraId="7F0B0110" w14:textId="77777777">
      <w:pPr>
        <w:rPr>
          <w:rFonts w:cs="Arial"/>
        </w:rPr>
      </w:pPr>
      <w:r>
        <w:rPr>
          <w:rFonts w:cs="Arial"/>
        </w:rPr>
        <w:t>Dalším problémem je, že zpětně odebrané pneumatiky často nekončí u koncových zpracovatelů, ale z důvodu vysoké ceny za zpracování (a absenci zákonných limitů na zpracování pneumatik) dochází k dlouhodobému skladování odpadních pneumatik, které jsou volně ložené na různých prostranstvích a plochách. Nezřídka pak tyto „skládky“ pneumatik shoří, čímž do ovzduší uniká velké množství škodlivých látek.</w:t>
      </w:r>
    </w:p>
    <w:p w:rsidR="00304909" w:rsidP="00304909" w14:paraId="6434C33D" w14:textId="0AE803F4">
      <w:r>
        <w:t>Zavést do zákona povinnou míru materiálového využití je třeba i z důvodu ekonomické stability dnešních zpracovatelů pneumatik, a zároveň z důvodu podpory nových recyklačních technologií či projektů, pro které tak bude zajištěno stabilnější podnikatelské prostře</w:t>
      </w:r>
      <w:r w:rsidR="006E2211">
        <w:t>d</w:t>
      </w:r>
      <w:r>
        <w:t>í. Od zákonem stanovené míry materiálového využití tak očekáváme další ekonomický rozvoj tohoto recyklačního sektoru a minimalizaci rizik při investování do modernizace recyklačních technologií.</w:t>
      </w:r>
    </w:p>
    <w:p w:rsidR="00304909" w:rsidP="00CC0BB4" w14:paraId="5732E1E3" w14:textId="77777777">
      <w:pPr>
        <w:pStyle w:val="Heading3"/>
        <w:spacing w:before="240"/>
      </w:pPr>
      <w:r>
        <w:t>Popis existujícího právního stavu v dané oblasti</w:t>
      </w:r>
    </w:p>
    <w:p w:rsidR="00304909" w:rsidP="00304909" w14:paraId="56109C6D" w14:textId="7B13E30E">
      <w:pPr>
        <w:rPr>
          <w:rFonts w:cs="Arial"/>
        </w:rPr>
      </w:pPr>
      <w:r>
        <w:rPr>
          <w:rFonts w:cs="Arial"/>
        </w:rPr>
        <w:t xml:space="preserve">Podle současného zákona má výrobce pouze povinnost prokázat stanovenou míru </w:t>
      </w:r>
      <w:r w:rsidR="005B64ED">
        <w:rPr>
          <w:rFonts w:cs="Arial"/>
        </w:rPr>
        <w:t>ZO</w:t>
      </w:r>
      <w:r>
        <w:rPr>
          <w:rFonts w:cs="Arial"/>
        </w:rPr>
        <w:t xml:space="preserve"> pneumatik, a jejich předání oprávněné osobě, avšak výrobce by měl zajistit (financovat) celý řetězec pneumatiky s ukončenou životností až po její konečné využití, včetně materiálového. </w:t>
      </w:r>
    </w:p>
    <w:p w:rsidR="00304909" w:rsidP="00CC0BB4" w14:paraId="06D9477B" w14:textId="77777777">
      <w:pPr>
        <w:pStyle w:val="Heading3"/>
        <w:spacing w:before="240"/>
      </w:pPr>
      <w:r>
        <w:t>Identifikace dotčených subjektů</w:t>
      </w:r>
    </w:p>
    <w:p w:rsidR="00304909" w:rsidP="005B64ED" w14:paraId="5897E72A" w14:textId="77777777">
      <w:pPr>
        <w:pStyle w:val="ListParagraph"/>
        <w:numPr>
          <w:ilvl w:val="0"/>
          <w:numId w:val="102"/>
        </w:numPr>
        <w:ind w:left="714" w:hanging="357"/>
        <w:contextualSpacing w:val="0"/>
        <w:rPr>
          <w:rFonts w:cs="Arial"/>
        </w:rPr>
      </w:pPr>
      <w:r>
        <w:rPr>
          <w:rFonts w:cs="Arial"/>
        </w:rPr>
        <w:t>povinné osoby (výrobci) plnící individuálně,</w:t>
      </w:r>
    </w:p>
    <w:p w:rsidR="00304909" w:rsidP="005B64ED" w14:paraId="568C19E9" w14:textId="77777777">
      <w:pPr>
        <w:pStyle w:val="ListParagraph"/>
        <w:numPr>
          <w:ilvl w:val="0"/>
          <w:numId w:val="102"/>
        </w:numPr>
        <w:ind w:left="714" w:hanging="357"/>
        <w:contextualSpacing w:val="0"/>
        <w:rPr>
          <w:rFonts w:cs="Arial"/>
        </w:rPr>
      </w:pPr>
      <w:r>
        <w:rPr>
          <w:rFonts w:cs="Arial"/>
        </w:rPr>
        <w:t>povinné osoby (výrobci) plnící prostřednictvím kolektivního systému</w:t>
      </w:r>
    </w:p>
    <w:p w:rsidR="00304909" w:rsidP="005B64ED" w14:paraId="57CAEFD0" w14:textId="77777777">
      <w:pPr>
        <w:pStyle w:val="ListParagraph"/>
        <w:numPr>
          <w:ilvl w:val="0"/>
          <w:numId w:val="102"/>
        </w:numPr>
        <w:ind w:left="714" w:hanging="357"/>
        <w:contextualSpacing w:val="0"/>
        <w:rPr>
          <w:rFonts w:cs="Arial"/>
        </w:rPr>
      </w:pPr>
      <w:r>
        <w:rPr>
          <w:rFonts w:cs="Arial"/>
        </w:rPr>
        <w:t>kolektivní systém.</w:t>
      </w:r>
    </w:p>
    <w:p w:rsidR="00304909" w:rsidP="00BF16B7" w14:paraId="14251EA7" w14:textId="77777777">
      <w:pPr>
        <w:pStyle w:val="Heading3"/>
      </w:pPr>
      <w:r>
        <w:t>Popis cílového stavu</w:t>
      </w:r>
    </w:p>
    <w:p w:rsidR="00304909" w:rsidP="00304909" w14:paraId="6F15B772" w14:textId="77777777">
      <w:pPr>
        <w:rPr>
          <w:rFonts w:cs="Arial"/>
        </w:rPr>
      </w:pPr>
      <w:r>
        <w:rPr>
          <w:rFonts w:cs="Arial"/>
        </w:rPr>
        <w:t>Hlavním cílem je</w:t>
      </w:r>
      <w:r w:rsidRPr="00C80349">
        <w:rPr>
          <w:rFonts w:cs="Arial"/>
        </w:rPr>
        <w:t xml:space="preserve"> </w:t>
      </w:r>
      <w:r>
        <w:rPr>
          <w:rFonts w:cs="Arial"/>
        </w:rPr>
        <w:t xml:space="preserve">zvýšit materiálové zpracování pneumatik a zajistit legislativní oporu, a tím i investiční stabilitu v oblasti materiálového vyžívání pneumatik. Vedlejším efektem záměru je vyšší kontrolovatelnost řetězce zpětně odebraných pneumatik až po jejich následné využití tak, </w:t>
      </w:r>
      <w:r w:rsidRPr="00C80349">
        <w:rPr>
          <w:rFonts w:cs="Arial"/>
        </w:rPr>
        <w:t>aby zpětně odebrané p</w:t>
      </w:r>
      <w:r>
        <w:rPr>
          <w:rFonts w:cs="Arial"/>
        </w:rPr>
        <w:t xml:space="preserve">neumatiky nekončily na různých dočasných deponiích, s rizikem vzniku následného požáru, případně aby nekončily </w:t>
      </w:r>
      <w:r w:rsidRPr="00C80349">
        <w:rPr>
          <w:rFonts w:cs="Arial"/>
        </w:rPr>
        <w:t>volně v</w:t>
      </w:r>
      <w:r>
        <w:rPr>
          <w:rFonts w:cs="Arial"/>
        </w:rPr>
        <w:t xml:space="preserve"> </w:t>
      </w:r>
      <w:r w:rsidRPr="00C80349">
        <w:rPr>
          <w:rFonts w:cs="Arial"/>
        </w:rPr>
        <w:t xml:space="preserve">přírodě (černé skládky), </w:t>
      </w:r>
      <w:r>
        <w:rPr>
          <w:rFonts w:cs="Arial"/>
        </w:rPr>
        <w:t>čímž</w:t>
      </w:r>
      <w:r w:rsidRPr="00C80349">
        <w:rPr>
          <w:rFonts w:cs="Arial"/>
        </w:rPr>
        <w:t xml:space="preserve"> představují zátěž pro životní prostředí.</w:t>
      </w:r>
    </w:p>
    <w:p w:rsidR="00304909" w:rsidP="00304909" w14:paraId="2F2B74E5" w14:textId="77777777">
      <w:r>
        <w:t xml:space="preserve">Od povinnosti odevzdávat určité množství zpětně odebraných pneumatik k materiálovému využití lze očekávat rozvoj nových technologií v oblasti materiálového zpracování pneumatik. Již v současné době mají odpadní pneumatiky ve formě výrobků z pryžového granulátu různé využití, např. protihlukové stěny, antivibrační rohože, umělé trávníky, povrchy sportovních hřišť, dětských hřišť, jízdáren či gumoasfalt. Výrobky z pryžového granulátu získaného drcením pneumatik mají tedy poměrně široké využití již dnes, je zde však prostor pro další technologie či inovace, a zároveň zde existuje potenciál pro vyšší využívání granulátu. </w:t>
      </w:r>
    </w:p>
    <w:p w:rsidR="00304909" w:rsidP="00CC0BB4" w14:paraId="22ED9342" w14:textId="77777777">
      <w:pPr>
        <w:pStyle w:val="Heading3"/>
        <w:spacing w:before="240"/>
      </w:pPr>
      <w:r>
        <w:t>Zhodnocení rizika</w:t>
      </w:r>
    </w:p>
    <w:p w:rsidR="00304909" w:rsidP="00304909" w14:paraId="0F36FD8E" w14:textId="77777777">
      <w:pPr>
        <w:rPr>
          <w:rFonts w:cs="Arial"/>
        </w:rPr>
      </w:pPr>
      <w:r>
        <w:rPr>
          <w:rFonts w:cs="Arial"/>
        </w:rPr>
        <w:t>V současné době začíná být problematické a finančně nákladné energetické zpracování pneumatik v cementárnách, protože odpady z pneumatik jsou vytěsňovány na úkor odpadních plastů, kterými je trh v poslední době přesycen v důsledku  nedávného razantího omezení jejich vývozu do Číny. Tento problém je třeba řešit podpořením materiálového zpracování pneumatik (zajistit stabilitu současným zpracovatelům, podpořit nové technologie případných nových zpracovatelů pneumatik). Riziko spočívá v hromadění pneumatik na deponicíh  osob oprávněných nakládat s odpady  nebo v horším případě ve volné přírodě. Tyto pneumatiky jsou volně ložené na různých prostranstvích a plochách, kde představují zátěž pro životní prostředí, neboť v případě vznícení pneumatik, uniká do ovzduší velké množství škodlivých látek.</w:t>
      </w:r>
    </w:p>
    <w:p w:rsidR="00304909" w:rsidP="00CC0BB4" w14:paraId="531D0343" w14:textId="77777777">
      <w:pPr>
        <w:pStyle w:val="Heading2"/>
        <w:numPr>
          <w:ilvl w:val="1"/>
          <w:numId w:val="96"/>
        </w:numPr>
        <w:spacing w:before="360"/>
        <w:ind w:left="578" w:hanging="578"/>
        <w:rPr>
          <w:b w:val="0"/>
        </w:rPr>
      </w:pPr>
      <w:r>
        <w:t>Návrh variant řešení</w:t>
      </w:r>
    </w:p>
    <w:p w:rsidR="00304909" w:rsidP="00BF16B7" w14:paraId="1B13116F" w14:textId="77777777">
      <w:pPr>
        <w:pStyle w:val="Heading3"/>
      </w:pPr>
      <w:r>
        <w:t>Varianta 0</w:t>
      </w:r>
    </w:p>
    <w:p w:rsidR="00304909" w:rsidP="00304909" w14:paraId="45909EF9" w14:textId="7F14ED24">
      <w:pPr>
        <w:rPr>
          <w:rFonts w:cs="Arial"/>
        </w:rPr>
      </w:pPr>
      <w:r>
        <w:rPr>
          <w:rFonts w:cs="Arial"/>
        </w:rPr>
        <w:t xml:space="preserve">Ponechání současného stavu, tj. povinnost zajištění dané úrovně </w:t>
      </w:r>
      <w:r w:rsidR="005B64ED">
        <w:rPr>
          <w:rFonts w:cs="Arial"/>
        </w:rPr>
        <w:t>ZO</w:t>
      </w:r>
      <w:r>
        <w:rPr>
          <w:rFonts w:cs="Arial"/>
        </w:rPr>
        <w:t xml:space="preserve"> pneumatik bez</w:t>
      </w:r>
      <w:r w:rsidR="00CC0BB4">
        <w:rPr>
          <w:rFonts w:cs="Arial"/>
        </w:rPr>
        <w:t> </w:t>
      </w:r>
      <w:r>
        <w:rPr>
          <w:rFonts w:cs="Arial"/>
        </w:rPr>
        <w:t>povinnosti zajistit další materiálové využití.</w:t>
      </w:r>
    </w:p>
    <w:p w:rsidR="00304909" w:rsidP="00BF16B7" w14:paraId="582F9384" w14:textId="77777777">
      <w:pPr>
        <w:pStyle w:val="Heading3"/>
      </w:pPr>
      <w:r>
        <w:t>Varianta 1</w:t>
      </w:r>
    </w:p>
    <w:p w:rsidR="00304909" w:rsidP="00304909" w14:paraId="343B1FB9" w14:textId="21411267">
      <w:pPr>
        <w:rPr>
          <w:rFonts w:cs="Arial"/>
        </w:rPr>
      </w:pPr>
      <w:r>
        <w:rPr>
          <w:rFonts w:cs="Arial"/>
        </w:rPr>
        <w:t>Nastavení minimální míry materiálového využití zpětně odebraných odpadních pneumatik.</w:t>
      </w:r>
    </w:p>
    <w:p w:rsidR="00304909" w:rsidP="00CC0BB4" w14:paraId="444BE5CE" w14:textId="77777777">
      <w:pPr>
        <w:pStyle w:val="Heading2"/>
        <w:numPr>
          <w:ilvl w:val="1"/>
          <w:numId w:val="96"/>
        </w:numPr>
        <w:spacing w:before="360"/>
        <w:ind w:left="578" w:hanging="578"/>
        <w:rPr>
          <w:b w:val="0"/>
        </w:rPr>
      </w:pPr>
      <w:r>
        <w:t>Vyhodnocení nákladů a přínosů</w:t>
      </w:r>
    </w:p>
    <w:p w:rsidR="00304909" w:rsidRPr="00557C41" w:rsidP="00C722EA" w14:paraId="2EBBDD9D" w14:textId="77777777">
      <w:pPr>
        <w:pStyle w:val="Heading4"/>
        <w:numPr>
          <w:ilvl w:val="0"/>
          <w:numId w:val="0"/>
        </w:numPr>
        <w:rPr>
          <w:szCs w:val="24"/>
        </w:rPr>
      </w:pPr>
      <w:r w:rsidRPr="00C961B9">
        <w:rPr>
          <w:b/>
          <w:i/>
          <w:sz w:val="24"/>
          <w:szCs w:val="24"/>
        </w:rPr>
        <w:t>Identifikace nákladů a přínosů</w:t>
      </w:r>
    </w:p>
    <w:p w:rsidR="00304909" w:rsidRPr="00C722EA" w:rsidP="003C445B" w14:paraId="78319856" w14:textId="77777777">
      <w:pPr>
        <w:pStyle w:val="ListParagraph"/>
        <w:numPr>
          <w:ilvl w:val="0"/>
          <w:numId w:val="103"/>
        </w:numPr>
        <w:spacing w:before="240" w:after="120"/>
        <w:rPr>
          <w:rFonts w:cs="Arial"/>
          <w:b/>
        </w:rPr>
      </w:pPr>
      <w:r w:rsidRPr="00C722EA">
        <w:rPr>
          <w:rFonts w:cs="Arial"/>
          <w:b/>
        </w:rPr>
        <w:t>Varianta 0</w:t>
      </w:r>
    </w:p>
    <w:p w:rsidR="00304909" w:rsidRPr="009F1B2D" w:rsidP="004F2CF7" w14:paraId="21AE2650" w14:textId="77777777">
      <w:pPr>
        <w:spacing w:after="120"/>
        <w:rPr>
          <w:rFonts w:cs="Arial"/>
        </w:rPr>
      </w:pPr>
      <w:r w:rsidRPr="009F1B2D">
        <w:rPr>
          <w:rFonts w:cs="Arial"/>
          <w:b/>
        </w:rPr>
        <w:t>Dopady na podnikatelské subjekty</w:t>
      </w:r>
    </w:p>
    <w:p w:rsidR="00304909" w:rsidP="00304909" w14:paraId="31008356" w14:textId="55355DF4">
      <w:pPr>
        <w:rPr>
          <w:rFonts w:cs="Arial"/>
        </w:rPr>
      </w:pPr>
      <w:r>
        <w:rPr>
          <w:rFonts w:cs="Arial"/>
        </w:rPr>
        <w:t>V současnosti není stanovena</w:t>
      </w:r>
      <w:r w:rsidRPr="009F1B2D">
        <w:rPr>
          <w:rFonts w:cs="Arial"/>
        </w:rPr>
        <w:t xml:space="preserve"> odpovědnost výrobce </w:t>
      </w:r>
      <w:r>
        <w:rPr>
          <w:rFonts w:cs="Arial"/>
        </w:rPr>
        <w:t xml:space="preserve">za využití zpětně odebraných odpadních pneumatik, přičemž v Plánu odpadového hospodářství pro období 2015 – 2024 tato povinnost stanovena je. V případě ponechání stávající situace bude pravděpodobně docházet k občasnému hromadění odpadních pneumatik, pro jejichž energetické využití v cementárnách není příliš prostor (tento způsob zpracování je finančně čím dál více nákladný), a zároveň je zde nedostatek subjektů, které by pneumatiky materiálově zpracovávaly na jiné výrobky. Situaci nepomáhají ani významné rozdíly v míře dosaženého </w:t>
      </w:r>
      <w:r w:rsidR="005B64ED">
        <w:rPr>
          <w:rFonts w:cs="Arial"/>
        </w:rPr>
        <w:t>ZO</w:t>
      </w:r>
      <w:r>
        <w:rPr>
          <w:rFonts w:cs="Arial"/>
        </w:rPr>
        <w:t xml:space="preserve"> mezi individuálně plnícícmi osobami a kolektivním systémem ELTMA, resp. nízká úrověň sběru </w:t>
      </w:r>
      <w:r>
        <w:rPr>
          <w:rFonts w:cs="Arial"/>
          <w:noProof w:val="0"/>
        </w:rPr>
        <w:t>pneumatik</w:t>
      </w:r>
      <w:r>
        <w:rPr>
          <w:rFonts w:cs="Arial"/>
        </w:rPr>
        <w:t xml:space="preserve"> ze strany individuálně plnících osob obecně vede k dlouhodobému podfinancování celé oblasti systému sběru a</w:t>
      </w:r>
      <w:r w:rsidR="005B64ED">
        <w:rPr>
          <w:rFonts w:cs="Arial"/>
        </w:rPr>
        <w:t> </w:t>
      </w:r>
      <w:r>
        <w:rPr>
          <w:rFonts w:cs="Arial"/>
        </w:rPr>
        <w:t xml:space="preserve">zpracování pneumatik, což je problematické zejména v současné době, kdy se výzamně zvýšily náklady na využití pneumatik. </w:t>
      </w:r>
    </w:p>
    <w:p w:rsidR="00304909" w:rsidRPr="00ED38E9" w:rsidP="004F2CF7" w14:paraId="5934423A" w14:textId="77777777">
      <w:pPr>
        <w:pStyle w:val="Normlntun"/>
        <w:spacing w:before="240" w:after="0" w:line="276" w:lineRule="auto"/>
        <w:rPr>
          <w:rFonts w:cs="Arial"/>
        </w:rPr>
      </w:pPr>
      <w:r w:rsidRPr="00ED38E9">
        <w:rPr>
          <w:rFonts w:cs="Arial"/>
        </w:rPr>
        <w:t>Dopady na životní prostředí</w:t>
      </w:r>
    </w:p>
    <w:p w:rsidR="00304909" w:rsidP="00304909" w14:paraId="031DDADA" w14:textId="3E513D23">
      <w:pPr>
        <w:rPr>
          <w:rFonts w:cs="Arial"/>
        </w:rPr>
      </w:pPr>
      <w:r>
        <w:rPr>
          <w:rFonts w:cs="Arial"/>
        </w:rPr>
        <w:t>Jak bylo zmíněno výše zpětně odebrané pneumatiky často nekončí u koncových zpracovatelů, ale z důvodu vysoké ceny za zpracování dochází k volnému skladování odpadních pneumatik na různých prostranstvích a plochách (např. při předávání mezi zpracovatelskými zařízeními, která nemají dostatečnou kapacitu). Nezřídka se pak tyto skládky pneumatik vznítí, čímž do ovzduší uniká velké množství škodlivých látek.</w:t>
      </w:r>
      <w:r w:rsidRPr="005C748C">
        <w:rPr>
          <w:rFonts w:cs="Arial"/>
        </w:rPr>
        <w:t xml:space="preserve"> </w:t>
      </w:r>
      <w:r>
        <w:rPr>
          <w:rFonts w:cs="Arial"/>
        </w:rPr>
        <w:t>Tím vzniká významné riziko pro životního prostředí.</w:t>
      </w:r>
    </w:p>
    <w:p w:rsidR="00304909" w:rsidRPr="00C722EA" w:rsidP="003C445B" w14:paraId="2B6196AB" w14:textId="77777777">
      <w:pPr>
        <w:pStyle w:val="ListParagraph"/>
        <w:keepNext/>
        <w:numPr>
          <w:ilvl w:val="0"/>
          <w:numId w:val="103"/>
        </w:numPr>
        <w:spacing w:before="240" w:after="120"/>
        <w:ind w:left="714" w:hanging="357"/>
        <w:contextualSpacing w:val="0"/>
        <w:rPr>
          <w:rFonts w:cs="Arial"/>
          <w:b/>
        </w:rPr>
      </w:pPr>
      <w:r w:rsidRPr="00C722EA">
        <w:rPr>
          <w:rFonts w:cs="Arial"/>
          <w:b/>
        </w:rPr>
        <w:t xml:space="preserve"> Varianta 1</w:t>
      </w:r>
    </w:p>
    <w:p w:rsidR="00304909" w:rsidRPr="00C750B5" w:rsidP="00304909" w14:paraId="59DDDDD0" w14:textId="77777777">
      <w:pPr>
        <w:rPr>
          <w:rFonts w:cs="Arial"/>
          <w:b/>
        </w:rPr>
      </w:pPr>
      <w:r w:rsidRPr="00C750B5">
        <w:rPr>
          <w:rFonts w:cs="Arial"/>
          <w:b/>
        </w:rPr>
        <w:t>Dopady na podnikatelské subjekty</w:t>
      </w:r>
    </w:p>
    <w:p w:rsidR="00304909" w:rsidP="00304909" w14:paraId="2F934E2E" w14:textId="77777777">
      <w:pPr>
        <w:rPr>
          <w:rFonts w:cs="Arial"/>
        </w:rPr>
      </w:pPr>
      <w:r w:rsidRPr="00897A12">
        <w:rPr>
          <w:rFonts w:cs="Arial"/>
        </w:rPr>
        <w:t>Nastavení minimální povinné úrovně materiálového využití odpadn</w:t>
      </w:r>
      <w:r>
        <w:rPr>
          <w:rFonts w:cs="Arial"/>
        </w:rPr>
        <w:t xml:space="preserve">ích pneumatik přináší zvýšenou </w:t>
      </w:r>
      <w:r w:rsidRPr="00897A12">
        <w:rPr>
          <w:rFonts w:cs="Arial"/>
        </w:rPr>
        <w:t xml:space="preserve">odpovědnost výrobců za </w:t>
      </w:r>
      <w:r>
        <w:rPr>
          <w:rFonts w:cs="Arial"/>
        </w:rPr>
        <w:t>zpětně odebrané pneumatiky.</w:t>
      </w:r>
    </w:p>
    <w:p w:rsidR="00304909" w:rsidP="00304909" w14:paraId="412AF77A" w14:textId="26615E17">
      <w:pPr>
        <w:spacing w:after="0"/>
        <w:rPr>
          <w:rFonts w:cs="Arial"/>
        </w:rPr>
      </w:pPr>
      <w:r>
        <w:rPr>
          <w:rFonts w:cs="Arial"/>
        </w:rPr>
        <w:t xml:space="preserve">S ohledem na hierarchii nakládání s odpady je materiálové využítí odpadů upřednostňováno před energetickým využitím. Z toho důvodu chce ministerstvo zavést povinnou míru materiálového využití pneumatik, která by měla spolu s navýšením míry </w:t>
      </w:r>
      <w:r w:rsidR="005B64ED">
        <w:rPr>
          <w:rFonts w:cs="Arial"/>
        </w:rPr>
        <w:t>ZO</w:t>
      </w:r>
      <w:r>
        <w:rPr>
          <w:rFonts w:cs="Arial"/>
        </w:rPr>
        <w:t xml:space="preserve"> pneumatik zajistit i vyšší prokazatelnost způsobů nakládání s pneumatikami v rámci celého řetězce </w:t>
      </w:r>
      <w:r w:rsidR="005B64ED">
        <w:rPr>
          <w:rFonts w:cs="Arial"/>
        </w:rPr>
        <w:t>ZO</w:t>
      </w:r>
      <w:r>
        <w:rPr>
          <w:rFonts w:cs="Arial"/>
        </w:rPr>
        <w:t xml:space="preserve"> až po</w:t>
      </w:r>
      <w:r w:rsidR="005B64ED">
        <w:rPr>
          <w:rFonts w:cs="Arial"/>
        </w:rPr>
        <w:t> </w:t>
      </w:r>
      <w:r>
        <w:rPr>
          <w:rFonts w:cs="Arial"/>
        </w:rPr>
        <w:t>následné využití pneumatik, vyšší míru jejich využití  a omezit tak množství pneumatik, které jsou předmětem nelegálního nakládání. Dále se očekává postupné zvýšení kapacit zařízení, které materiálově zpracovávají pneumatiky (ať už současných zařízení či nově vybudovaných) a zajištění vyšší ekonomické stability těchto subjektů.</w:t>
      </w:r>
    </w:p>
    <w:p w:rsidR="00304909" w:rsidP="00304909" w14:paraId="2864E913" w14:textId="42381270">
      <w:pPr>
        <w:spacing w:after="0"/>
        <w:rPr>
          <w:rFonts w:cs="Arial"/>
        </w:rPr>
      </w:pPr>
      <w:r>
        <w:rPr>
          <w:rFonts w:cs="Arial"/>
        </w:rPr>
        <w:t xml:space="preserve">Pneumatiky jsou po </w:t>
      </w:r>
      <w:r w:rsidR="005B64ED">
        <w:rPr>
          <w:rFonts w:cs="Arial"/>
        </w:rPr>
        <w:t>ZO</w:t>
      </w:r>
      <w:r>
        <w:rPr>
          <w:rFonts w:cs="Arial"/>
        </w:rPr>
        <w:t xml:space="preserve"> využívány buď energeticky (v cementárnách) nebo materiálově. V současnosti vzhledem k zákazu vývozu méně kvalitních vytříděných plastových odpadů do</w:t>
      </w:r>
      <w:r w:rsidR="005B64ED">
        <w:rPr>
          <w:rFonts w:cs="Arial"/>
        </w:rPr>
        <w:t> </w:t>
      </w:r>
      <w:r>
        <w:rPr>
          <w:rFonts w:cs="Arial"/>
        </w:rPr>
        <w:t>Číny jsou právě plastové odpady používány v cementárnách jako vysoce energetické palivo, čímž se snižuje zájem o odpadní pneumatiky a roste cena za jejich příjem do zařízení.</w:t>
      </w:r>
    </w:p>
    <w:p w:rsidR="00304909" w:rsidP="00304909" w14:paraId="424E4B01" w14:textId="77777777">
      <w:pPr>
        <w:spacing w:after="0"/>
        <w:rPr>
          <w:rFonts w:cs="Arial"/>
        </w:rPr>
      </w:pPr>
      <w:r>
        <w:rPr>
          <w:rFonts w:cs="Arial"/>
        </w:rPr>
        <w:t xml:space="preserve">Podle současného zjištění náklady na energetické a materiálové využití jsou obdobné cca 1 000 – 1 250 Kč/t odpadních pneumatik (bez logistiky). Tyto náklady jsou odhadovány na základě cen na evropském trhu. Bližší porovnání ekonomické náročnosti energetického a materiálového využití odpadních pneumatik v ČR nelze z dostupných údajů odvodit, neboť společnosti zabývající materiálovým a energetickým využitím odpadních pneumatik v ČR odmítají sdělit tyto informce z důvodu obchodního tajemství. </w:t>
      </w:r>
    </w:p>
    <w:p w:rsidR="00304909" w:rsidP="00304909" w14:paraId="50A03BAE" w14:textId="77777777">
      <w:pPr>
        <w:spacing w:after="0"/>
        <w:rPr>
          <w:rFonts w:cs="Arial"/>
        </w:rPr>
      </w:pPr>
      <w:r>
        <w:rPr>
          <w:rFonts w:cs="Arial"/>
        </w:rPr>
        <w:t xml:space="preserve">Vzhledem ke stanovenému cíli lze očekávat, že cena materiálového využití bude v návaznosti na stanovenou minimální míru </w:t>
      </w:r>
      <w:r>
        <w:rPr>
          <w:rFonts w:cs="Arial"/>
          <w:noProof w:val="0"/>
        </w:rPr>
        <w:t>materiálového</w:t>
      </w:r>
      <w:r>
        <w:rPr>
          <w:rFonts w:cs="Arial"/>
        </w:rPr>
        <w:t xml:space="preserve"> využití mírně narůstat, ale v současnosti nelze tento dopad kvantifikovat.</w:t>
      </w:r>
    </w:p>
    <w:p w:rsidR="00304909" w:rsidP="00304909" w14:paraId="2E1E65A4" w14:textId="77777777">
      <w:pPr>
        <w:spacing w:after="0"/>
        <w:rPr>
          <w:rFonts w:cs="Arial"/>
        </w:rPr>
      </w:pPr>
      <w:r>
        <w:rPr>
          <w:rFonts w:cs="Arial"/>
        </w:rPr>
        <w:t>Pozitivním dopadem této varianty je ekonomická stabilita pro společnosti, které již dnes materiálově využívají pneumatiky, a minimalizace rizik při investování do modernizace recyklační technologie.</w:t>
      </w:r>
    </w:p>
    <w:p w:rsidR="00304909" w:rsidP="00304909" w14:paraId="5F2E1FD7" w14:textId="26AD6B35">
      <w:pPr>
        <w:spacing w:after="0"/>
        <w:rPr>
          <w:rFonts w:cs="Arial"/>
        </w:rPr>
      </w:pPr>
      <w:r>
        <w:rPr>
          <w:rFonts w:cs="Arial"/>
        </w:rPr>
        <w:t>Zavedení minimální úrovně materiálového využití pneumatik je třeba nastavit tak, aby se procentická míra využití postupně navyšovala. V současnosti je totiž v ČR nedostatečná kapacita zařízení na materiálové využití pneumatik. Lze tedy očekávat, že toto opatření podpoří vznik nových zařízení na materiálové využití pneumatik. Naplánováno je tedy pro rok 2021 zavést 10% minimální úroveň recyklace a přípravy k opětovnému použití, pro rok 2022 pak 15</w:t>
      </w:r>
      <w:r w:rsidR="00F068A9">
        <w:rPr>
          <w:rFonts w:cs="Arial"/>
        </w:rPr>
        <w:t> </w:t>
      </w:r>
      <w:r>
        <w:rPr>
          <w:rFonts w:cs="Arial"/>
        </w:rPr>
        <w:t>%, pro rok 2023 25 % a od roku 2024 je navrhována minimální úroveň 30 % jako cílová hodnota.</w:t>
      </w:r>
    </w:p>
    <w:p w:rsidR="00304909" w:rsidRPr="00ED38E9" w:rsidP="004F2CF7" w14:paraId="158E49D0" w14:textId="77777777">
      <w:pPr>
        <w:pStyle w:val="Normlntun"/>
        <w:spacing w:before="240" w:after="0" w:line="276" w:lineRule="auto"/>
        <w:rPr>
          <w:rFonts w:cs="Arial"/>
        </w:rPr>
      </w:pPr>
      <w:r w:rsidRPr="00ED38E9">
        <w:rPr>
          <w:rFonts w:cs="Arial"/>
        </w:rPr>
        <w:t>Dopady na státní rozpočet a ostatní veřejné rozpočty</w:t>
      </w:r>
    </w:p>
    <w:p w:rsidR="00304909" w:rsidP="00304909" w14:paraId="0EB25F8C" w14:textId="77777777">
      <w:pPr>
        <w:spacing w:after="0"/>
        <w:rPr>
          <w:rFonts w:cs="Arial"/>
        </w:rPr>
      </w:pPr>
      <w:r>
        <w:rPr>
          <w:rFonts w:cs="Arial"/>
        </w:rPr>
        <w:t>Vzhledm k navrhovanému opatření bude třeba podpořit vznik nových zařízení na materiálové využití pneumatik z důvodu současné nedostatečné kapacity těchto zařízení v ČR. Lze očekávat, že v návaznosti na toto opatření bude vytvořen dotační program, který podpoří vznik nových kapacit.</w:t>
      </w:r>
    </w:p>
    <w:p w:rsidR="00304909" w:rsidRPr="00C750B5" w:rsidP="004F2CF7" w14:paraId="10B5A94A" w14:textId="77777777">
      <w:pPr>
        <w:spacing w:before="240" w:after="0"/>
        <w:rPr>
          <w:rFonts w:cs="Arial"/>
          <w:b/>
        </w:rPr>
      </w:pPr>
      <w:r w:rsidRPr="00C750B5">
        <w:rPr>
          <w:rFonts w:cs="Arial"/>
          <w:b/>
        </w:rPr>
        <w:t>Dopady na územní samosprávné celky (obce, kraje)</w:t>
      </w:r>
    </w:p>
    <w:p w:rsidR="00304909" w:rsidP="00304909" w14:paraId="242C33B5" w14:textId="500E7486">
      <w:pPr>
        <w:spacing w:after="0"/>
        <w:rPr>
          <w:rFonts w:cs="Arial"/>
        </w:rPr>
      </w:pPr>
      <w:r>
        <w:rPr>
          <w:rFonts w:cs="Arial"/>
        </w:rPr>
        <w:t xml:space="preserve">Lze očekávat, že pokud bude lépe probíhat celý řetězec </w:t>
      </w:r>
      <w:r w:rsidR="005B64ED">
        <w:rPr>
          <w:rFonts w:cs="Arial"/>
        </w:rPr>
        <w:t>ZO</w:t>
      </w:r>
      <w:r>
        <w:rPr>
          <w:rFonts w:cs="Arial"/>
        </w:rPr>
        <w:t xml:space="preserve"> a následného využití odpadních pneumatik, sníží se množství těchto pneumatik na černých skládkách,</w:t>
      </w:r>
      <w:r w:rsidRPr="00C750B5">
        <w:rPr>
          <w:rFonts w:cs="Arial"/>
        </w:rPr>
        <w:t xml:space="preserve"> </w:t>
      </w:r>
      <w:r>
        <w:rPr>
          <w:rFonts w:cs="Arial"/>
        </w:rPr>
        <w:t>v příkopech u silnic, v</w:t>
      </w:r>
      <w:r w:rsidR="005B64ED">
        <w:rPr>
          <w:rFonts w:cs="Arial"/>
        </w:rPr>
        <w:t> </w:t>
      </w:r>
      <w:r>
        <w:rPr>
          <w:rFonts w:cs="Arial"/>
        </w:rPr>
        <w:t>lesích apod., a tím pádem se sníží i náklady obcí, příp. soukromých subjektů, na likvidaci těchto odpadů.</w:t>
      </w:r>
    </w:p>
    <w:p w:rsidR="00304909" w:rsidRPr="00ED38E9" w:rsidP="00304909" w14:paraId="7914A5C3" w14:textId="77777777">
      <w:pPr>
        <w:pStyle w:val="Normlntun"/>
        <w:spacing w:after="0" w:line="276" w:lineRule="auto"/>
        <w:rPr>
          <w:rFonts w:cs="Arial"/>
        </w:rPr>
      </w:pPr>
      <w:r w:rsidRPr="00ED38E9">
        <w:rPr>
          <w:rFonts w:cs="Arial"/>
        </w:rPr>
        <w:t>Dopady na životní prostředí</w:t>
      </w:r>
    </w:p>
    <w:p w:rsidR="00304909" w:rsidP="00304909" w14:paraId="28283429" w14:textId="6A90DF32">
      <w:pPr>
        <w:spacing w:after="0"/>
        <w:rPr>
          <w:rFonts w:cs="Arial"/>
        </w:rPr>
      </w:pPr>
      <w:r>
        <w:rPr>
          <w:rFonts w:cs="Arial"/>
        </w:rPr>
        <w:t xml:space="preserve">Rozšířením odpovědnosti výrobců za celý řetězec </w:t>
      </w:r>
      <w:r w:rsidR="005B64ED">
        <w:rPr>
          <w:rFonts w:cs="Arial"/>
        </w:rPr>
        <w:t>ZO</w:t>
      </w:r>
      <w:r>
        <w:rPr>
          <w:rFonts w:cs="Arial"/>
        </w:rPr>
        <w:t xml:space="preserve"> pneumatik až po jejich materiálové využití dojde ke snížení množství skladovaných odpadních pneumatik, a tím i</w:t>
      </w:r>
      <w:r w:rsidR="003B74C0">
        <w:rPr>
          <w:rFonts w:cs="Arial"/>
        </w:rPr>
        <w:t> </w:t>
      </w:r>
      <w:r>
        <w:rPr>
          <w:rFonts w:cs="Arial"/>
        </w:rPr>
        <w:t>ke</w:t>
      </w:r>
      <w:r w:rsidR="003B74C0">
        <w:rPr>
          <w:rFonts w:cs="Arial"/>
        </w:rPr>
        <w:t> </w:t>
      </w:r>
      <w:r>
        <w:rPr>
          <w:rFonts w:cs="Arial"/>
        </w:rPr>
        <w:t>snížení rizika úniku škodlivých látek do ovzduší (</w:t>
      </w:r>
      <w:r w:rsidRPr="0084129F">
        <w:rPr>
          <w:rFonts w:cs="Arial"/>
        </w:rPr>
        <w:t>kontaminace ŽP</w:t>
      </w:r>
      <w:r>
        <w:rPr>
          <w:rFonts w:cs="Arial"/>
        </w:rPr>
        <w:t>)</w:t>
      </w:r>
      <w:r w:rsidRPr="0084129F">
        <w:rPr>
          <w:rFonts w:cs="Arial"/>
        </w:rPr>
        <w:t xml:space="preserve"> </w:t>
      </w:r>
      <w:r>
        <w:rPr>
          <w:rFonts w:cs="Arial"/>
        </w:rPr>
        <w:t>v případě jejich vznícení.</w:t>
      </w:r>
    </w:p>
    <w:p w:rsidR="00304909" w:rsidP="00304909" w14:paraId="40C4457E" w14:textId="578BDBDA">
      <w:pPr>
        <w:spacing w:after="0"/>
        <w:rPr>
          <w:rFonts w:cs="Arial"/>
        </w:rPr>
      </w:pPr>
      <w:r>
        <w:rPr>
          <w:rFonts w:cs="Arial"/>
        </w:rPr>
        <w:t>Dále p</w:t>
      </w:r>
      <w:r w:rsidRPr="00ED38E9">
        <w:rPr>
          <w:rFonts w:cs="Arial"/>
        </w:rPr>
        <w:t xml:space="preserve">ředpokládáme, že dojde ke snížení množství </w:t>
      </w:r>
      <w:r>
        <w:rPr>
          <w:rFonts w:cs="Arial"/>
        </w:rPr>
        <w:t>odpadních pneumatik</w:t>
      </w:r>
      <w:r w:rsidRPr="00ED38E9">
        <w:rPr>
          <w:rFonts w:cs="Arial"/>
        </w:rPr>
        <w:t>, které končí ve</w:t>
      </w:r>
      <w:r>
        <w:rPr>
          <w:rFonts w:cs="Arial"/>
        </w:rPr>
        <w:t> </w:t>
      </w:r>
      <w:r w:rsidRPr="00ED38E9">
        <w:rPr>
          <w:rFonts w:cs="Arial"/>
        </w:rPr>
        <w:t>směsném komunálním odpadu</w:t>
      </w:r>
      <w:r>
        <w:rPr>
          <w:rFonts w:cs="Arial"/>
        </w:rPr>
        <w:t xml:space="preserve"> a na černých skládkách</w:t>
      </w:r>
      <w:r w:rsidRPr="00ED38E9">
        <w:rPr>
          <w:rFonts w:cs="Arial"/>
        </w:rPr>
        <w:t xml:space="preserve">, </w:t>
      </w:r>
      <w:r>
        <w:rPr>
          <w:rFonts w:cs="Arial"/>
        </w:rPr>
        <w:t>což</w:t>
      </w:r>
      <w:r w:rsidRPr="00ED38E9">
        <w:rPr>
          <w:rFonts w:cs="Arial"/>
        </w:rPr>
        <w:t xml:space="preserve"> je podmíněno v současné době již reflektovanou potřebou včasné přípravy výrobců na narůstající požadavky na plnění minimálních úrovní </w:t>
      </w:r>
      <w:r>
        <w:rPr>
          <w:rFonts w:cs="Arial"/>
        </w:rPr>
        <w:t xml:space="preserve">materiálového využití a navýšení míry </w:t>
      </w:r>
      <w:r w:rsidR="005B64ED">
        <w:rPr>
          <w:rFonts w:cs="Arial"/>
        </w:rPr>
        <w:t>ZO</w:t>
      </w:r>
      <w:r>
        <w:rPr>
          <w:rFonts w:cs="Arial"/>
        </w:rPr>
        <w:t xml:space="preserve"> odpadních pneumatik</w:t>
      </w:r>
      <w:r w:rsidRPr="00ED38E9">
        <w:rPr>
          <w:rFonts w:cs="Arial"/>
        </w:rPr>
        <w:t xml:space="preserve"> podle požadavků</w:t>
      </w:r>
      <w:r>
        <w:rPr>
          <w:rFonts w:cs="Arial"/>
        </w:rPr>
        <w:t xml:space="preserve"> zákona.</w:t>
      </w:r>
    </w:p>
    <w:p w:rsidR="00D73208" w:rsidP="00304909" w14:paraId="3AD52222" w14:textId="77777777">
      <w:pPr>
        <w:spacing w:after="0"/>
        <w:rPr>
          <w:rFonts w:cs="Arial"/>
        </w:rPr>
      </w:pPr>
    </w:p>
    <w:p w:rsidR="00304909" w:rsidRPr="006C066F" w:rsidP="00D73208" w14:paraId="44AAC4F8" w14:textId="77777777">
      <w:pPr>
        <w:pStyle w:val="Heading4"/>
        <w:numPr>
          <w:ilvl w:val="0"/>
          <w:numId w:val="0"/>
        </w:numPr>
        <w:ind w:left="864" w:hanging="864"/>
        <w:rPr>
          <w:b/>
          <w:i/>
          <w:sz w:val="24"/>
          <w:szCs w:val="24"/>
        </w:rPr>
      </w:pPr>
      <w:r w:rsidRPr="006C066F">
        <w:rPr>
          <w:b/>
          <w:i/>
          <w:sz w:val="24"/>
          <w:szCs w:val="24"/>
        </w:rPr>
        <w:t>Vyhodnocení nákladů a přínosů variant</w:t>
      </w:r>
    </w:p>
    <w:p w:rsidR="00304909" w:rsidRPr="003265E8" w:rsidP="00D73208" w14:paraId="665341E5" w14:textId="4B1374F6">
      <w:pPr>
        <w:keepNext/>
        <w:spacing w:after="120"/>
        <w:rPr>
          <w:b/>
          <w:spacing w:val="10"/>
          <w:sz w:val="20"/>
          <w:szCs w:val="20"/>
        </w:rPr>
      </w:pPr>
      <w:r w:rsidRPr="003265E8">
        <w:rPr>
          <w:b/>
          <w:spacing w:val="10"/>
          <w:sz w:val="20"/>
          <w:szCs w:val="20"/>
        </w:rPr>
        <w:t xml:space="preserve">Tabulka </w:t>
      </w:r>
      <w:r w:rsidR="00C85B53">
        <w:rPr>
          <w:b/>
          <w:spacing w:val="10"/>
          <w:sz w:val="20"/>
          <w:szCs w:val="20"/>
        </w:rPr>
        <w:t>6</w:t>
      </w:r>
      <w:r w:rsidR="00925F10">
        <w:rPr>
          <w:b/>
          <w:spacing w:val="10"/>
          <w:sz w:val="20"/>
          <w:szCs w:val="20"/>
        </w:rPr>
        <w:t>6</w:t>
      </w:r>
      <w:r w:rsidRPr="003265E8">
        <w:rPr>
          <w:b/>
          <w:spacing w:val="10"/>
          <w:sz w:val="20"/>
          <w:szCs w:val="20"/>
        </w:rPr>
        <w:t>: Porovnání přínosů a nákladů</w:t>
      </w:r>
    </w:p>
    <w:tbl>
      <w:tblPr>
        <w:tblStyle w:val="TableGrid"/>
        <w:tblW w:w="0" w:type="auto"/>
        <w:tblLook w:val="04A0"/>
      </w:tblPr>
      <w:tblGrid>
        <w:gridCol w:w="1420"/>
        <w:gridCol w:w="2264"/>
        <w:gridCol w:w="1459"/>
        <w:gridCol w:w="2078"/>
        <w:gridCol w:w="1770"/>
      </w:tblGrid>
      <w:tr w14:paraId="3C588334" w14:textId="77777777" w:rsidTr="006031E5">
        <w:tblPrEx>
          <w:tblW w:w="0" w:type="auto"/>
          <w:tblLook w:val="04A0"/>
        </w:tblPrEx>
        <w:trPr>
          <w:trHeight w:val="424"/>
        </w:trPr>
        <w:tc>
          <w:tcPr>
            <w:tcW w:w="1420" w:type="dxa"/>
            <w:noWrap/>
            <w:vAlign w:val="center"/>
            <w:hideMark/>
          </w:tcPr>
          <w:p w:rsidR="00304909" w:rsidRPr="003265E8" w:rsidP="006031E5" w14:paraId="2313EC4C" w14:textId="77777777">
            <w:pPr>
              <w:jc w:val="center"/>
              <w:rPr>
                <w:b/>
                <w:bCs/>
                <w:sz w:val="20"/>
                <w:szCs w:val="20"/>
              </w:rPr>
            </w:pPr>
            <w:r w:rsidRPr="003265E8">
              <w:rPr>
                <w:b/>
                <w:bCs/>
                <w:sz w:val="20"/>
                <w:szCs w:val="20"/>
              </w:rPr>
              <w:t>Varianta</w:t>
            </w:r>
          </w:p>
        </w:tc>
        <w:tc>
          <w:tcPr>
            <w:tcW w:w="2264" w:type="dxa"/>
            <w:noWrap/>
            <w:vAlign w:val="center"/>
            <w:hideMark/>
          </w:tcPr>
          <w:p w:rsidR="00304909" w:rsidRPr="003265E8" w:rsidP="006031E5" w14:paraId="4E5CEDFC" w14:textId="77777777">
            <w:pPr>
              <w:jc w:val="center"/>
              <w:rPr>
                <w:b/>
                <w:bCs/>
                <w:sz w:val="20"/>
                <w:szCs w:val="20"/>
              </w:rPr>
            </w:pPr>
            <w:r w:rsidRPr="003265E8">
              <w:rPr>
                <w:b/>
                <w:bCs/>
                <w:sz w:val="20"/>
                <w:szCs w:val="20"/>
              </w:rPr>
              <w:t>Přínosy</w:t>
            </w:r>
          </w:p>
        </w:tc>
        <w:tc>
          <w:tcPr>
            <w:tcW w:w="1459" w:type="dxa"/>
            <w:noWrap/>
            <w:vAlign w:val="center"/>
            <w:hideMark/>
          </w:tcPr>
          <w:p w:rsidR="00304909" w:rsidRPr="003265E8" w:rsidP="006031E5" w14:paraId="5E22B63C" w14:textId="77777777">
            <w:pPr>
              <w:jc w:val="center"/>
              <w:rPr>
                <w:b/>
                <w:bCs/>
                <w:sz w:val="20"/>
                <w:szCs w:val="20"/>
              </w:rPr>
            </w:pPr>
            <w:r w:rsidRPr="003265E8">
              <w:rPr>
                <w:b/>
                <w:bCs/>
                <w:sz w:val="20"/>
                <w:szCs w:val="20"/>
              </w:rPr>
              <w:t>Hodnocení</w:t>
            </w:r>
          </w:p>
        </w:tc>
        <w:tc>
          <w:tcPr>
            <w:tcW w:w="2078" w:type="dxa"/>
            <w:noWrap/>
            <w:vAlign w:val="center"/>
            <w:hideMark/>
          </w:tcPr>
          <w:p w:rsidR="00304909" w:rsidRPr="003265E8" w:rsidP="006031E5" w14:paraId="74B605E4" w14:textId="77777777">
            <w:pPr>
              <w:jc w:val="center"/>
              <w:rPr>
                <w:b/>
                <w:bCs/>
                <w:sz w:val="20"/>
                <w:szCs w:val="20"/>
              </w:rPr>
            </w:pPr>
            <w:r w:rsidRPr="003265E8">
              <w:rPr>
                <w:b/>
                <w:bCs/>
                <w:sz w:val="20"/>
                <w:szCs w:val="20"/>
              </w:rPr>
              <w:t>Náklady</w:t>
            </w:r>
          </w:p>
        </w:tc>
        <w:tc>
          <w:tcPr>
            <w:tcW w:w="1770" w:type="dxa"/>
            <w:noWrap/>
            <w:vAlign w:val="center"/>
            <w:hideMark/>
          </w:tcPr>
          <w:p w:rsidR="00304909" w:rsidRPr="003265E8" w:rsidP="006031E5" w14:paraId="060D03D4" w14:textId="77777777">
            <w:pPr>
              <w:jc w:val="center"/>
              <w:rPr>
                <w:b/>
                <w:bCs/>
                <w:sz w:val="20"/>
                <w:szCs w:val="20"/>
              </w:rPr>
            </w:pPr>
            <w:r w:rsidRPr="003265E8">
              <w:rPr>
                <w:b/>
                <w:bCs/>
                <w:sz w:val="20"/>
                <w:szCs w:val="20"/>
              </w:rPr>
              <w:t>Hodnocení</w:t>
            </w:r>
          </w:p>
        </w:tc>
      </w:tr>
      <w:tr w14:paraId="43F917CF" w14:textId="77777777" w:rsidTr="006031E5">
        <w:tblPrEx>
          <w:tblW w:w="0" w:type="auto"/>
          <w:tblLook w:val="04A0"/>
        </w:tblPrEx>
        <w:trPr>
          <w:trHeight w:val="504"/>
        </w:trPr>
        <w:tc>
          <w:tcPr>
            <w:tcW w:w="1420" w:type="dxa"/>
            <w:vMerge w:val="restart"/>
            <w:noWrap/>
            <w:vAlign w:val="center"/>
            <w:hideMark/>
          </w:tcPr>
          <w:p w:rsidR="00304909" w:rsidRPr="003265E8" w:rsidP="006031E5" w14:paraId="2AAE3BA8" w14:textId="77777777">
            <w:pPr>
              <w:jc w:val="center"/>
              <w:rPr>
                <w:b/>
                <w:bCs/>
                <w:sz w:val="20"/>
                <w:szCs w:val="20"/>
              </w:rPr>
            </w:pPr>
            <w:r w:rsidRPr="003265E8">
              <w:rPr>
                <w:b/>
                <w:bCs/>
                <w:sz w:val="20"/>
                <w:szCs w:val="20"/>
              </w:rPr>
              <w:t>Varianta 0</w:t>
            </w:r>
          </w:p>
        </w:tc>
        <w:tc>
          <w:tcPr>
            <w:tcW w:w="7571" w:type="dxa"/>
            <w:gridSpan w:val="4"/>
            <w:vAlign w:val="center"/>
            <w:hideMark/>
          </w:tcPr>
          <w:p w:rsidR="00304909" w:rsidRPr="003265E8" w:rsidP="006031E5" w14:paraId="793366BB" w14:textId="77777777">
            <w:pPr>
              <w:jc w:val="center"/>
              <w:rPr>
                <w:b/>
                <w:bCs/>
                <w:sz w:val="20"/>
                <w:szCs w:val="20"/>
              </w:rPr>
            </w:pPr>
            <w:r w:rsidRPr="003265E8">
              <w:rPr>
                <w:b/>
                <w:bCs/>
                <w:sz w:val="20"/>
                <w:szCs w:val="20"/>
              </w:rPr>
              <w:t>Státní rozpočet a ostatní veřejné rozpočty</w:t>
            </w:r>
          </w:p>
        </w:tc>
      </w:tr>
      <w:tr w14:paraId="18AA374F" w14:textId="77777777" w:rsidTr="006031E5">
        <w:tblPrEx>
          <w:tblW w:w="0" w:type="auto"/>
          <w:tblLook w:val="04A0"/>
        </w:tblPrEx>
        <w:trPr>
          <w:trHeight w:val="430"/>
        </w:trPr>
        <w:tc>
          <w:tcPr>
            <w:tcW w:w="1420" w:type="dxa"/>
            <w:vMerge/>
            <w:vAlign w:val="center"/>
            <w:hideMark/>
          </w:tcPr>
          <w:p w:rsidR="00304909" w:rsidRPr="003265E8" w:rsidP="006031E5" w14:paraId="46132E0D" w14:textId="77777777">
            <w:pPr>
              <w:jc w:val="center"/>
              <w:rPr>
                <w:b/>
                <w:bCs/>
                <w:sz w:val="20"/>
                <w:szCs w:val="20"/>
              </w:rPr>
            </w:pPr>
          </w:p>
        </w:tc>
        <w:tc>
          <w:tcPr>
            <w:tcW w:w="2264" w:type="dxa"/>
            <w:vAlign w:val="center"/>
          </w:tcPr>
          <w:p w:rsidR="00304909" w:rsidRPr="003265E8" w:rsidP="006031E5" w14:paraId="68DA77FF" w14:textId="77777777">
            <w:pPr>
              <w:jc w:val="center"/>
              <w:rPr>
                <w:sz w:val="20"/>
                <w:szCs w:val="20"/>
              </w:rPr>
            </w:pPr>
            <w:r w:rsidRPr="003265E8">
              <w:rPr>
                <w:sz w:val="20"/>
                <w:szCs w:val="20"/>
              </w:rPr>
              <w:t>-</w:t>
            </w:r>
          </w:p>
        </w:tc>
        <w:tc>
          <w:tcPr>
            <w:tcW w:w="1459" w:type="dxa"/>
            <w:vAlign w:val="center"/>
          </w:tcPr>
          <w:p w:rsidR="00304909" w:rsidRPr="003265E8" w:rsidP="006031E5" w14:paraId="203A5239" w14:textId="77777777">
            <w:pPr>
              <w:jc w:val="center"/>
              <w:rPr>
                <w:sz w:val="20"/>
                <w:szCs w:val="20"/>
              </w:rPr>
            </w:pPr>
            <w:r w:rsidRPr="003265E8">
              <w:rPr>
                <w:sz w:val="20"/>
                <w:szCs w:val="20"/>
              </w:rPr>
              <w:t>-</w:t>
            </w:r>
          </w:p>
        </w:tc>
        <w:tc>
          <w:tcPr>
            <w:tcW w:w="2078" w:type="dxa"/>
            <w:vAlign w:val="center"/>
          </w:tcPr>
          <w:p w:rsidR="00304909" w:rsidRPr="003265E8" w:rsidP="006031E5" w14:paraId="78710D5A" w14:textId="77777777">
            <w:pPr>
              <w:jc w:val="center"/>
              <w:rPr>
                <w:sz w:val="20"/>
                <w:szCs w:val="20"/>
              </w:rPr>
            </w:pPr>
            <w:r w:rsidRPr="003265E8">
              <w:rPr>
                <w:sz w:val="20"/>
                <w:szCs w:val="20"/>
              </w:rPr>
              <w:t>-</w:t>
            </w:r>
          </w:p>
        </w:tc>
        <w:tc>
          <w:tcPr>
            <w:tcW w:w="1770" w:type="dxa"/>
            <w:vAlign w:val="center"/>
          </w:tcPr>
          <w:p w:rsidR="00304909" w:rsidRPr="003265E8" w:rsidP="006031E5" w14:paraId="241A1BD3" w14:textId="77777777">
            <w:pPr>
              <w:jc w:val="center"/>
              <w:rPr>
                <w:sz w:val="20"/>
                <w:szCs w:val="20"/>
              </w:rPr>
            </w:pPr>
            <w:r w:rsidRPr="003265E8">
              <w:rPr>
                <w:sz w:val="20"/>
                <w:szCs w:val="20"/>
              </w:rPr>
              <w:t>-</w:t>
            </w:r>
          </w:p>
        </w:tc>
      </w:tr>
      <w:tr w14:paraId="65D16543" w14:textId="77777777" w:rsidTr="006031E5">
        <w:tblPrEx>
          <w:tblW w:w="0" w:type="auto"/>
          <w:tblLook w:val="04A0"/>
        </w:tblPrEx>
        <w:trPr>
          <w:trHeight w:val="504"/>
        </w:trPr>
        <w:tc>
          <w:tcPr>
            <w:tcW w:w="1420" w:type="dxa"/>
            <w:vMerge/>
            <w:vAlign w:val="center"/>
            <w:hideMark/>
          </w:tcPr>
          <w:p w:rsidR="00304909" w:rsidRPr="003265E8" w:rsidP="006031E5" w14:paraId="55189A61" w14:textId="77777777">
            <w:pPr>
              <w:jc w:val="center"/>
              <w:rPr>
                <w:b/>
                <w:bCs/>
                <w:sz w:val="20"/>
                <w:szCs w:val="20"/>
              </w:rPr>
            </w:pPr>
          </w:p>
        </w:tc>
        <w:tc>
          <w:tcPr>
            <w:tcW w:w="7571" w:type="dxa"/>
            <w:gridSpan w:val="4"/>
            <w:vAlign w:val="center"/>
            <w:hideMark/>
          </w:tcPr>
          <w:p w:rsidR="00304909" w:rsidRPr="003265E8" w:rsidP="006031E5" w14:paraId="2BE75C6C" w14:textId="77777777">
            <w:pPr>
              <w:jc w:val="center"/>
              <w:rPr>
                <w:b/>
                <w:bCs/>
                <w:sz w:val="20"/>
                <w:szCs w:val="20"/>
              </w:rPr>
            </w:pPr>
            <w:r w:rsidRPr="003265E8">
              <w:rPr>
                <w:b/>
                <w:bCs/>
                <w:sz w:val="20"/>
                <w:szCs w:val="20"/>
              </w:rPr>
              <w:t>Podnikatelské subjekty</w:t>
            </w:r>
          </w:p>
        </w:tc>
      </w:tr>
      <w:tr w14:paraId="512B8683" w14:textId="77777777" w:rsidTr="006031E5">
        <w:tblPrEx>
          <w:tblW w:w="0" w:type="auto"/>
          <w:tblLook w:val="04A0"/>
        </w:tblPrEx>
        <w:trPr>
          <w:trHeight w:val="900"/>
        </w:trPr>
        <w:tc>
          <w:tcPr>
            <w:tcW w:w="1420" w:type="dxa"/>
            <w:vMerge/>
            <w:vAlign w:val="center"/>
            <w:hideMark/>
          </w:tcPr>
          <w:p w:rsidR="00304909" w:rsidRPr="003265E8" w:rsidP="006031E5" w14:paraId="2D26A6DD" w14:textId="77777777">
            <w:pPr>
              <w:jc w:val="center"/>
              <w:rPr>
                <w:b/>
                <w:bCs/>
                <w:sz w:val="20"/>
                <w:szCs w:val="20"/>
              </w:rPr>
            </w:pPr>
          </w:p>
        </w:tc>
        <w:tc>
          <w:tcPr>
            <w:tcW w:w="2264" w:type="dxa"/>
            <w:vAlign w:val="center"/>
          </w:tcPr>
          <w:p w:rsidR="00304909" w:rsidRPr="003265E8" w:rsidP="006031E5" w14:paraId="3EDC38DD" w14:textId="77777777">
            <w:pPr>
              <w:jc w:val="center"/>
              <w:rPr>
                <w:sz w:val="20"/>
                <w:szCs w:val="20"/>
              </w:rPr>
            </w:pPr>
            <w:r w:rsidRPr="003265E8">
              <w:rPr>
                <w:sz w:val="20"/>
                <w:szCs w:val="20"/>
              </w:rPr>
              <w:t xml:space="preserve">Chybí odpovědnost výrobce – není finanční zajištění recyklace pneumatik </w:t>
            </w:r>
          </w:p>
        </w:tc>
        <w:tc>
          <w:tcPr>
            <w:tcW w:w="1459" w:type="dxa"/>
            <w:noWrap/>
            <w:vAlign w:val="center"/>
          </w:tcPr>
          <w:p w:rsidR="00304909" w:rsidRPr="003265E8" w:rsidP="006031E5" w14:paraId="217E4231" w14:textId="77777777">
            <w:pPr>
              <w:jc w:val="center"/>
              <w:rPr>
                <w:sz w:val="20"/>
                <w:szCs w:val="20"/>
              </w:rPr>
            </w:pPr>
            <w:r w:rsidRPr="003265E8">
              <w:rPr>
                <w:sz w:val="20"/>
                <w:szCs w:val="20"/>
              </w:rPr>
              <w:t>****</w:t>
            </w:r>
          </w:p>
        </w:tc>
        <w:tc>
          <w:tcPr>
            <w:tcW w:w="2078" w:type="dxa"/>
            <w:vAlign w:val="center"/>
          </w:tcPr>
          <w:p w:rsidR="00304909" w:rsidRPr="003265E8" w:rsidP="00035D6D" w14:paraId="03BE055B" w14:textId="6E1EDF31">
            <w:pPr>
              <w:jc w:val="center"/>
              <w:rPr>
                <w:sz w:val="20"/>
                <w:szCs w:val="20"/>
              </w:rPr>
            </w:pPr>
            <w:r>
              <w:rPr>
                <w:sz w:val="20"/>
                <w:szCs w:val="20"/>
              </w:rPr>
              <w:t>Nes</w:t>
            </w:r>
            <w:r w:rsidRPr="003265E8">
              <w:rPr>
                <w:sz w:val="20"/>
                <w:szCs w:val="20"/>
              </w:rPr>
              <w:t xml:space="preserve">tabilní investiční prostředí </w:t>
            </w:r>
            <w:r>
              <w:rPr>
                <w:sz w:val="20"/>
                <w:szCs w:val="20"/>
              </w:rPr>
              <w:t>pro recyklační sektor</w:t>
            </w:r>
          </w:p>
        </w:tc>
        <w:tc>
          <w:tcPr>
            <w:tcW w:w="1770" w:type="dxa"/>
            <w:noWrap/>
            <w:vAlign w:val="center"/>
          </w:tcPr>
          <w:p w:rsidR="00304909" w:rsidRPr="003265E8" w:rsidP="006031E5" w14:paraId="2BE02656" w14:textId="06C0B028">
            <w:pPr>
              <w:jc w:val="center"/>
              <w:rPr>
                <w:sz w:val="20"/>
                <w:szCs w:val="20"/>
              </w:rPr>
            </w:pPr>
            <w:r w:rsidRPr="003265E8">
              <w:rPr>
                <w:sz w:val="20"/>
                <w:szCs w:val="20"/>
              </w:rPr>
              <w:t>*</w:t>
            </w:r>
            <w:r w:rsidR="00035D6D">
              <w:rPr>
                <w:sz w:val="20"/>
                <w:szCs w:val="20"/>
              </w:rPr>
              <w:t>***</w:t>
            </w:r>
          </w:p>
        </w:tc>
      </w:tr>
      <w:tr w14:paraId="45CF3EA4" w14:textId="77777777" w:rsidTr="006031E5">
        <w:tblPrEx>
          <w:tblW w:w="0" w:type="auto"/>
          <w:tblLook w:val="04A0"/>
        </w:tblPrEx>
        <w:trPr>
          <w:trHeight w:val="424"/>
        </w:trPr>
        <w:tc>
          <w:tcPr>
            <w:tcW w:w="1420" w:type="dxa"/>
            <w:vMerge/>
            <w:vAlign w:val="center"/>
          </w:tcPr>
          <w:p w:rsidR="00304909" w:rsidRPr="003265E8" w:rsidP="006031E5" w14:paraId="0DD41E31" w14:textId="77777777">
            <w:pPr>
              <w:jc w:val="center"/>
              <w:rPr>
                <w:b/>
                <w:bCs/>
                <w:sz w:val="20"/>
                <w:szCs w:val="20"/>
              </w:rPr>
            </w:pPr>
          </w:p>
        </w:tc>
        <w:tc>
          <w:tcPr>
            <w:tcW w:w="7571" w:type="dxa"/>
            <w:gridSpan w:val="4"/>
            <w:vAlign w:val="center"/>
          </w:tcPr>
          <w:p w:rsidR="00304909" w:rsidRPr="003265E8" w:rsidP="006031E5" w14:paraId="1D970609" w14:textId="77777777">
            <w:pPr>
              <w:jc w:val="center"/>
              <w:rPr>
                <w:sz w:val="20"/>
                <w:szCs w:val="20"/>
              </w:rPr>
            </w:pPr>
            <w:r w:rsidRPr="003265E8">
              <w:rPr>
                <w:b/>
                <w:bCs/>
                <w:sz w:val="20"/>
                <w:szCs w:val="20"/>
              </w:rPr>
              <w:t>Územní samosprávné celky (obce, kraje)</w:t>
            </w:r>
          </w:p>
        </w:tc>
      </w:tr>
      <w:tr w14:paraId="163CFD15" w14:textId="77777777" w:rsidTr="006031E5">
        <w:tblPrEx>
          <w:tblW w:w="0" w:type="auto"/>
          <w:tblLook w:val="04A0"/>
        </w:tblPrEx>
        <w:trPr>
          <w:trHeight w:val="416"/>
        </w:trPr>
        <w:tc>
          <w:tcPr>
            <w:tcW w:w="1420" w:type="dxa"/>
            <w:vMerge/>
            <w:vAlign w:val="center"/>
          </w:tcPr>
          <w:p w:rsidR="00304909" w:rsidRPr="003265E8" w:rsidP="006031E5" w14:paraId="3AA2FC56" w14:textId="77777777">
            <w:pPr>
              <w:jc w:val="center"/>
              <w:rPr>
                <w:b/>
                <w:bCs/>
                <w:sz w:val="20"/>
                <w:szCs w:val="20"/>
              </w:rPr>
            </w:pPr>
          </w:p>
        </w:tc>
        <w:tc>
          <w:tcPr>
            <w:tcW w:w="2264" w:type="dxa"/>
            <w:vAlign w:val="center"/>
          </w:tcPr>
          <w:p w:rsidR="00304909" w:rsidRPr="003265E8" w:rsidP="006031E5" w14:paraId="19B73228" w14:textId="77777777">
            <w:pPr>
              <w:jc w:val="center"/>
              <w:rPr>
                <w:sz w:val="20"/>
                <w:szCs w:val="20"/>
              </w:rPr>
            </w:pPr>
            <w:r w:rsidRPr="003265E8">
              <w:rPr>
                <w:sz w:val="20"/>
                <w:szCs w:val="20"/>
              </w:rPr>
              <w:t>-</w:t>
            </w:r>
          </w:p>
        </w:tc>
        <w:tc>
          <w:tcPr>
            <w:tcW w:w="1459" w:type="dxa"/>
            <w:noWrap/>
            <w:vAlign w:val="center"/>
          </w:tcPr>
          <w:p w:rsidR="00304909" w:rsidRPr="003265E8" w:rsidP="006031E5" w14:paraId="240BE3E0" w14:textId="77777777">
            <w:pPr>
              <w:jc w:val="center"/>
              <w:rPr>
                <w:sz w:val="20"/>
                <w:szCs w:val="20"/>
              </w:rPr>
            </w:pPr>
            <w:r w:rsidRPr="003265E8">
              <w:rPr>
                <w:sz w:val="20"/>
                <w:szCs w:val="20"/>
              </w:rPr>
              <w:t>-</w:t>
            </w:r>
          </w:p>
        </w:tc>
        <w:tc>
          <w:tcPr>
            <w:tcW w:w="2078" w:type="dxa"/>
            <w:vAlign w:val="center"/>
          </w:tcPr>
          <w:p w:rsidR="00304909" w:rsidRPr="003265E8" w:rsidP="006031E5" w14:paraId="7731DCD1" w14:textId="77777777">
            <w:pPr>
              <w:jc w:val="center"/>
              <w:rPr>
                <w:sz w:val="20"/>
                <w:szCs w:val="20"/>
              </w:rPr>
            </w:pPr>
            <w:r w:rsidRPr="003265E8">
              <w:rPr>
                <w:sz w:val="20"/>
                <w:szCs w:val="20"/>
              </w:rPr>
              <w:t xml:space="preserve">Vyšší náklady na likvidaci pneumatik odhozených na černých skládkách, v příkopech apod. </w:t>
            </w:r>
          </w:p>
        </w:tc>
        <w:tc>
          <w:tcPr>
            <w:tcW w:w="1770" w:type="dxa"/>
            <w:noWrap/>
            <w:vAlign w:val="center"/>
          </w:tcPr>
          <w:p w:rsidR="00304909" w:rsidRPr="003265E8" w:rsidP="006031E5" w14:paraId="4EF132F7" w14:textId="77777777">
            <w:pPr>
              <w:jc w:val="center"/>
              <w:rPr>
                <w:sz w:val="20"/>
                <w:szCs w:val="20"/>
              </w:rPr>
            </w:pPr>
            <w:r w:rsidRPr="003265E8">
              <w:rPr>
                <w:sz w:val="20"/>
                <w:szCs w:val="20"/>
              </w:rPr>
              <w:t>***</w:t>
            </w:r>
          </w:p>
        </w:tc>
      </w:tr>
      <w:tr w14:paraId="65704FE1" w14:textId="77777777" w:rsidTr="006031E5">
        <w:tblPrEx>
          <w:tblW w:w="0" w:type="auto"/>
          <w:tblLook w:val="04A0"/>
        </w:tblPrEx>
        <w:trPr>
          <w:trHeight w:val="416"/>
        </w:trPr>
        <w:tc>
          <w:tcPr>
            <w:tcW w:w="1420" w:type="dxa"/>
            <w:vMerge/>
            <w:vAlign w:val="center"/>
          </w:tcPr>
          <w:p w:rsidR="00304909" w:rsidRPr="003265E8" w:rsidP="006031E5" w14:paraId="3CC5CFD1" w14:textId="77777777">
            <w:pPr>
              <w:jc w:val="center"/>
              <w:rPr>
                <w:b/>
                <w:bCs/>
                <w:sz w:val="20"/>
                <w:szCs w:val="20"/>
              </w:rPr>
            </w:pPr>
          </w:p>
        </w:tc>
        <w:tc>
          <w:tcPr>
            <w:tcW w:w="2264" w:type="dxa"/>
            <w:vAlign w:val="center"/>
          </w:tcPr>
          <w:p w:rsidR="00304909" w:rsidRPr="003265E8" w:rsidP="006031E5" w14:paraId="0BC25FD1" w14:textId="77777777">
            <w:pPr>
              <w:jc w:val="center"/>
              <w:rPr>
                <w:sz w:val="20"/>
                <w:szCs w:val="20"/>
              </w:rPr>
            </w:pPr>
          </w:p>
        </w:tc>
        <w:tc>
          <w:tcPr>
            <w:tcW w:w="1459" w:type="dxa"/>
            <w:noWrap/>
            <w:vAlign w:val="center"/>
          </w:tcPr>
          <w:p w:rsidR="00304909" w:rsidRPr="003265E8" w:rsidP="006031E5" w14:paraId="3AE29511" w14:textId="77777777">
            <w:pPr>
              <w:jc w:val="center"/>
              <w:rPr>
                <w:sz w:val="20"/>
                <w:szCs w:val="20"/>
              </w:rPr>
            </w:pPr>
          </w:p>
        </w:tc>
        <w:tc>
          <w:tcPr>
            <w:tcW w:w="2078" w:type="dxa"/>
            <w:vAlign w:val="center"/>
          </w:tcPr>
          <w:p w:rsidR="00304909" w:rsidRPr="003265E8" w:rsidP="006031E5" w14:paraId="217D733C" w14:textId="77777777">
            <w:pPr>
              <w:jc w:val="center"/>
              <w:rPr>
                <w:sz w:val="20"/>
                <w:szCs w:val="20"/>
              </w:rPr>
            </w:pPr>
            <w:r w:rsidRPr="003265E8">
              <w:rPr>
                <w:sz w:val="20"/>
                <w:szCs w:val="20"/>
              </w:rPr>
              <w:t>Náklady na hašení požárů skládek</w:t>
            </w:r>
          </w:p>
        </w:tc>
        <w:tc>
          <w:tcPr>
            <w:tcW w:w="1770" w:type="dxa"/>
            <w:noWrap/>
            <w:vAlign w:val="center"/>
          </w:tcPr>
          <w:p w:rsidR="00304909" w:rsidRPr="003265E8" w:rsidP="006031E5" w14:paraId="64BA9844" w14:textId="77777777">
            <w:pPr>
              <w:jc w:val="center"/>
              <w:rPr>
                <w:sz w:val="20"/>
                <w:szCs w:val="20"/>
              </w:rPr>
            </w:pPr>
            <w:r w:rsidRPr="003265E8">
              <w:rPr>
                <w:sz w:val="20"/>
                <w:szCs w:val="20"/>
              </w:rPr>
              <w:t>**</w:t>
            </w:r>
          </w:p>
        </w:tc>
      </w:tr>
      <w:tr w14:paraId="2CFBE469" w14:textId="77777777" w:rsidTr="006031E5">
        <w:tblPrEx>
          <w:tblW w:w="0" w:type="auto"/>
          <w:tblLook w:val="04A0"/>
        </w:tblPrEx>
        <w:trPr>
          <w:trHeight w:val="422"/>
        </w:trPr>
        <w:tc>
          <w:tcPr>
            <w:tcW w:w="1420" w:type="dxa"/>
            <w:vMerge/>
            <w:vAlign w:val="center"/>
          </w:tcPr>
          <w:p w:rsidR="00304909" w:rsidRPr="003265E8" w:rsidP="006031E5" w14:paraId="20B54926" w14:textId="77777777">
            <w:pPr>
              <w:jc w:val="center"/>
              <w:rPr>
                <w:b/>
                <w:bCs/>
                <w:sz w:val="20"/>
                <w:szCs w:val="20"/>
              </w:rPr>
            </w:pPr>
          </w:p>
        </w:tc>
        <w:tc>
          <w:tcPr>
            <w:tcW w:w="7571" w:type="dxa"/>
            <w:gridSpan w:val="4"/>
            <w:vAlign w:val="center"/>
          </w:tcPr>
          <w:p w:rsidR="00304909" w:rsidRPr="003265E8" w:rsidP="006031E5" w14:paraId="65C40B8C" w14:textId="77777777">
            <w:pPr>
              <w:jc w:val="center"/>
              <w:rPr>
                <w:sz w:val="20"/>
                <w:szCs w:val="20"/>
              </w:rPr>
            </w:pPr>
            <w:r w:rsidRPr="003265E8">
              <w:rPr>
                <w:b/>
                <w:bCs/>
                <w:sz w:val="20"/>
                <w:szCs w:val="20"/>
              </w:rPr>
              <w:t>Sociální dopady</w:t>
            </w:r>
          </w:p>
        </w:tc>
      </w:tr>
      <w:tr w14:paraId="037E872D" w14:textId="77777777" w:rsidTr="006031E5">
        <w:tblPrEx>
          <w:tblW w:w="0" w:type="auto"/>
          <w:tblLook w:val="04A0"/>
        </w:tblPrEx>
        <w:trPr>
          <w:trHeight w:val="413"/>
        </w:trPr>
        <w:tc>
          <w:tcPr>
            <w:tcW w:w="1420" w:type="dxa"/>
            <w:vMerge/>
            <w:vAlign w:val="center"/>
          </w:tcPr>
          <w:p w:rsidR="00304909" w:rsidRPr="003265E8" w:rsidP="006031E5" w14:paraId="56764EDC" w14:textId="77777777">
            <w:pPr>
              <w:jc w:val="center"/>
              <w:rPr>
                <w:b/>
                <w:bCs/>
                <w:sz w:val="20"/>
                <w:szCs w:val="20"/>
              </w:rPr>
            </w:pPr>
          </w:p>
        </w:tc>
        <w:tc>
          <w:tcPr>
            <w:tcW w:w="2264" w:type="dxa"/>
            <w:vAlign w:val="center"/>
          </w:tcPr>
          <w:p w:rsidR="00304909" w:rsidRPr="003265E8" w:rsidP="006031E5" w14:paraId="13BC290A" w14:textId="77777777">
            <w:pPr>
              <w:jc w:val="center"/>
              <w:rPr>
                <w:sz w:val="20"/>
                <w:szCs w:val="20"/>
              </w:rPr>
            </w:pPr>
            <w:r w:rsidRPr="003265E8">
              <w:rPr>
                <w:sz w:val="20"/>
                <w:szCs w:val="20"/>
              </w:rPr>
              <w:t>-</w:t>
            </w:r>
          </w:p>
        </w:tc>
        <w:tc>
          <w:tcPr>
            <w:tcW w:w="1459" w:type="dxa"/>
            <w:noWrap/>
            <w:vAlign w:val="center"/>
          </w:tcPr>
          <w:p w:rsidR="00304909" w:rsidRPr="003265E8" w:rsidP="006031E5" w14:paraId="347F1350" w14:textId="77777777">
            <w:pPr>
              <w:jc w:val="center"/>
              <w:rPr>
                <w:sz w:val="20"/>
                <w:szCs w:val="20"/>
              </w:rPr>
            </w:pPr>
            <w:r w:rsidRPr="003265E8">
              <w:rPr>
                <w:sz w:val="20"/>
                <w:szCs w:val="20"/>
              </w:rPr>
              <w:t>-</w:t>
            </w:r>
          </w:p>
        </w:tc>
        <w:tc>
          <w:tcPr>
            <w:tcW w:w="2078" w:type="dxa"/>
            <w:vAlign w:val="center"/>
          </w:tcPr>
          <w:p w:rsidR="00304909" w:rsidRPr="003265E8" w:rsidP="006031E5" w14:paraId="0A14C420" w14:textId="77777777">
            <w:pPr>
              <w:jc w:val="center"/>
              <w:rPr>
                <w:sz w:val="20"/>
                <w:szCs w:val="20"/>
              </w:rPr>
            </w:pPr>
            <w:r w:rsidRPr="003265E8">
              <w:rPr>
                <w:sz w:val="20"/>
                <w:szCs w:val="20"/>
              </w:rPr>
              <w:t>-</w:t>
            </w:r>
          </w:p>
        </w:tc>
        <w:tc>
          <w:tcPr>
            <w:tcW w:w="1770" w:type="dxa"/>
            <w:noWrap/>
            <w:vAlign w:val="center"/>
          </w:tcPr>
          <w:p w:rsidR="00304909" w:rsidRPr="003265E8" w:rsidP="006031E5" w14:paraId="59B4ADDB" w14:textId="77777777">
            <w:pPr>
              <w:jc w:val="center"/>
              <w:rPr>
                <w:sz w:val="20"/>
                <w:szCs w:val="20"/>
              </w:rPr>
            </w:pPr>
            <w:r w:rsidRPr="003265E8">
              <w:rPr>
                <w:sz w:val="20"/>
                <w:szCs w:val="20"/>
              </w:rPr>
              <w:t>-</w:t>
            </w:r>
          </w:p>
        </w:tc>
      </w:tr>
      <w:tr w14:paraId="212F1919" w14:textId="77777777" w:rsidTr="006031E5">
        <w:tblPrEx>
          <w:tblW w:w="0" w:type="auto"/>
          <w:tblLook w:val="04A0"/>
        </w:tblPrEx>
        <w:trPr>
          <w:trHeight w:val="504"/>
        </w:trPr>
        <w:tc>
          <w:tcPr>
            <w:tcW w:w="1420" w:type="dxa"/>
            <w:vMerge/>
            <w:vAlign w:val="center"/>
            <w:hideMark/>
          </w:tcPr>
          <w:p w:rsidR="00304909" w:rsidRPr="003265E8" w:rsidP="006031E5" w14:paraId="281469F1" w14:textId="77777777">
            <w:pPr>
              <w:jc w:val="center"/>
              <w:rPr>
                <w:b/>
                <w:bCs/>
                <w:sz w:val="20"/>
                <w:szCs w:val="20"/>
              </w:rPr>
            </w:pPr>
          </w:p>
        </w:tc>
        <w:tc>
          <w:tcPr>
            <w:tcW w:w="7571" w:type="dxa"/>
            <w:gridSpan w:val="4"/>
            <w:vAlign w:val="center"/>
            <w:hideMark/>
          </w:tcPr>
          <w:p w:rsidR="00304909" w:rsidRPr="003265E8" w:rsidP="006031E5" w14:paraId="32311CEA" w14:textId="77777777">
            <w:pPr>
              <w:jc w:val="center"/>
              <w:rPr>
                <w:b/>
                <w:bCs/>
                <w:sz w:val="20"/>
                <w:szCs w:val="20"/>
              </w:rPr>
            </w:pPr>
            <w:r w:rsidRPr="003265E8">
              <w:rPr>
                <w:b/>
                <w:bCs/>
                <w:sz w:val="20"/>
                <w:szCs w:val="20"/>
              </w:rPr>
              <w:t>Životní prostředí</w:t>
            </w:r>
          </w:p>
        </w:tc>
      </w:tr>
      <w:tr w14:paraId="63281812" w14:textId="77777777" w:rsidTr="006031E5">
        <w:tblPrEx>
          <w:tblW w:w="0" w:type="auto"/>
          <w:tblLook w:val="04A0"/>
        </w:tblPrEx>
        <w:trPr>
          <w:trHeight w:val="617"/>
        </w:trPr>
        <w:tc>
          <w:tcPr>
            <w:tcW w:w="1420" w:type="dxa"/>
            <w:vMerge/>
            <w:vAlign w:val="center"/>
          </w:tcPr>
          <w:p w:rsidR="00304909" w:rsidRPr="003265E8" w:rsidP="006031E5" w14:paraId="26E290A0" w14:textId="77777777">
            <w:pPr>
              <w:jc w:val="center"/>
              <w:rPr>
                <w:b/>
                <w:bCs/>
                <w:sz w:val="20"/>
                <w:szCs w:val="20"/>
              </w:rPr>
            </w:pPr>
          </w:p>
        </w:tc>
        <w:tc>
          <w:tcPr>
            <w:tcW w:w="2264" w:type="dxa"/>
            <w:vAlign w:val="center"/>
          </w:tcPr>
          <w:p w:rsidR="00304909" w:rsidRPr="003265E8" w:rsidP="006031E5" w14:paraId="5CD31AF9" w14:textId="77777777">
            <w:pPr>
              <w:jc w:val="center"/>
              <w:rPr>
                <w:sz w:val="20"/>
                <w:szCs w:val="20"/>
              </w:rPr>
            </w:pPr>
          </w:p>
        </w:tc>
        <w:tc>
          <w:tcPr>
            <w:tcW w:w="1459" w:type="dxa"/>
            <w:vAlign w:val="center"/>
          </w:tcPr>
          <w:p w:rsidR="00304909" w:rsidRPr="003265E8" w:rsidP="006031E5" w14:paraId="29BE9BEC" w14:textId="77777777">
            <w:pPr>
              <w:jc w:val="center"/>
              <w:rPr>
                <w:sz w:val="20"/>
                <w:szCs w:val="20"/>
              </w:rPr>
            </w:pPr>
          </w:p>
        </w:tc>
        <w:tc>
          <w:tcPr>
            <w:tcW w:w="2078" w:type="dxa"/>
            <w:vAlign w:val="center"/>
          </w:tcPr>
          <w:p w:rsidR="00304909" w:rsidRPr="003265E8" w:rsidP="006031E5" w14:paraId="107081EE" w14:textId="77777777">
            <w:pPr>
              <w:jc w:val="center"/>
              <w:rPr>
                <w:sz w:val="20"/>
                <w:szCs w:val="20"/>
              </w:rPr>
            </w:pPr>
            <w:r w:rsidRPr="003265E8">
              <w:rPr>
                <w:color w:val="000000"/>
                <w:sz w:val="20"/>
                <w:szCs w:val="20"/>
              </w:rPr>
              <w:t>Riziko úniku nebezpečných látek z deponií pneumatik při vznícení</w:t>
            </w:r>
          </w:p>
        </w:tc>
        <w:tc>
          <w:tcPr>
            <w:tcW w:w="1770" w:type="dxa"/>
            <w:vAlign w:val="center"/>
          </w:tcPr>
          <w:p w:rsidR="00304909" w:rsidRPr="003265E8" w:rsidP="006031E5" w14:paraId="47354F18" w14:textId="77777777">
            <w:pPr>
              <w:jc w:val="center"/>
              <w:rPr>
                <w:sz w:val="20"/>
                <w:szCs w:val="20"/>
              </w:rPr>
            </w:pPr>
            <w:r w:rsidRPr="003265E8">
              <w:rPr>
                <w:sz w:val="20"/>
                <w:szCs w:val="20"/>
              </w:rPr>
              <w:t>****</w:t>
            </w:r>
          </w:p>
        </w:tc>
      </w:tr>
      <w:tr w14:paraId="65F9A75A" w14:textId="77777777" w:rsidTr="006031E5">
        <w:tblPrEx>
          <w:tblW w:w="0" w:type="auto"/>
          <w:tblLook w:val="04A0"/>
        </w:tblPrEx>
        <w:trPr>
          <w:trHeight w:val="617"/>
        </w:trPr>
        <w:tc>
          <w:tcPr>
            <w:tcW w:w="1420" w:type="dxa"/>
            <w:vMerge/>
            <w:vAlign w:val="center"/>
            <w:hideMark/>
          </w:tcPr>
          <w:p w:rsidR="00304909" w:rsidRPr="003265E8" w:rsidP="006031E5" w14:paraId="143047E7" w14:textId="77777777">
            <w:pPr>
              <w:jc w:val="center"/>
              <w:rPr>
                <w:b/>
                <w:bCs/>
                <w:sz w:val="20"/>
                <w:szCs w:val="20"/>
              </w:rPr>
            </w:pPr>
          </w:p>
        </w:tc>
        <w:tc>
          <w:tcPr>
            <w:tcW w:w="2264" w:type="dxa"/>
            <w:vAlign w:val="center"/>
            <w:hideMark/>
          </w:tcPr>
          <w:p w:rsidR="00304909" w:rsidRPr="003265E8" w:rsidP="006031E5" w14:paraId="1B4328D6" w14:textId="77777777">
            <w:pPr>
              <w:jc w:val="center"/>
              <w:rPr>
                <w:sz w:val="20"/>
                <w:szCs w:val="20"/>
              </w:rPr>
            </w:pPr>
          </w:p>
        </w:tc>
        <w:tc>
          <w:tcPr>
            <w:tcW w:w="1459" w:type="dxa"/>
            <w:vAlign w:val="center"/>
            <w:hideMark/>
          </w:tcPr>
          <w:p w:rsidR="00304909" w:rsidRPr="003265E8" w:rsidP="006031E5" w14:paraId="7A824AE4" w14:textId="77777777">
            <w:pPr>
              <w:jc w:val="center"/>
              <w:rPr>
                <w:sz w:val="20"/>
                <w:szCs w:val="20"/>
              </w:rPr>
            </w:pPr>
          </w:p>
        </w:tc>
        <w:tc>
          <w:tcPr>
            <w:tcW w:w="2078" w:type="dxa"/>
            <w:vAlign w:val="center"/>
          </w:tcPr>
          <w:p w:rsidR="00304909" w:rsidRPr="003265E8" w:rsidP="006031E5" w14:paraId="73801306" w14:textId="77777777">
            <w:pPr>
              <w:jc w:val="center"/>
              <w:rPr>
                <w:color w:val="000000"/>
                <w:sz w:val="20"/>
                <w:szCs w:val="20"/>
              </w:rPr>
            </w:pPr>
            <w:r w:rsidRPr="003265E8">
              <w:rPr>
                <w:color w:val="000000"/>
                <w:sz w:val="20"/>
                <w:szCs w:val="20"/>
              </w:rPr>
              <w:t>Nízká úroveň recyklace pneumatik – riziko pro ŽP</w:t>
            </w:r>
          </w:p>
        </w:tc>
        <w:tc>
          <w:tcPr>
            <w:tcW w:w="1770" w:type="dxa"/>
            <w:vAlign w:val="center"/>
          </w:tcPr>
          <w:p w:rsidR="00304909" w:rsidRPr="003265E8" w:rsidP="006031E5" w14:paraId="1366B34F" w14:textId="77777777">
            <w:pPr>
              <w:jc w:val="center"/>
              <w:rPr>
                <w:sz w:val="20"/>
                <w:szCs w:val="20"/>
              </w:rPr>
            </w:pPr>
            <w:r w:rsidRPr="003265E8">
              <w:rPr>
                <w:sz w:val="20"/>
                <w:szCs w:val="20"/>
              </w:rPr>
              <w:t>***</w:t>
            </w:r>
          </w:p>
        </w:tc>
      </w:tr>
      <w:tr w14:paraId="61CBF57F" w14:textId="77777777" w:rsidTr="006031E5">
        <w:tblPrEx>
          <w:tblW w:w="0" w:type="auto"/>
          <w:tblLook w:val="04A0"/>
        </w:tblPrEx>
        <w:trPr>
          <w:trHeight w:val="570"/>
        </w:trPr>
        <w:tc>
          <w:tcPr>
            <w:tcW w:w="1420" w:type="dxa"/>
            <w:vMerge w:val="restart"/>
            <w:noWrap/>
            <w:vAlign w:val="center"/>
            <w:hideMark/>
          </w:tcPr>
          <w:p w:rsidR="00304909" w:rsidRPr="003265E8" w:rsidP="006031E5" w14:paraId="359616BD" w14:textId="77777777">
            <w:pPr>
              <w:jc w:val="center"/>
              <w:rPr>
                <w:b/>
                <w:bCs/>
                <w:sz w:val="20"/>
                <w:szCs w:val="20"/>
              </w:rPr>
            </w:pPr>
            <w:r w:rsidRPr="003265E8">
              <w:rPr>
                <w:b/>
                <w:bCs/>
                <w:sz w:val="20"/>
                <w:szCs w:val="20"/>
              </w:rPr>
              <w:t>Varianta 1</w:t>
            </w:r>
          </w:p>
        </w:tc>
        <w:tc>
          <w:tcPr>
            <w:tcW w:w="7571" w:type="dxa"/>
            <w:gridSpan w:val="4"/>
            <w:vAlign w:val="center"/>
            <w:hideMark/>
          </w:tcPr>
          <w:p w:rsidR="00304909" w:rsidRPr="003265E8" w:rsidP="006031E5" w14:paraId="59F331D7" w14:textId="77777777">
            <w:pPr>
              <w:jc w:val="center"/>
              <w:rPr>
                <w:b/>
                <w:bCs/>
                <w:sz w:val="20"/>
                <w:szCs w:val="20"/>
              </w:rPr>
            </w:pPr>
            <w:r w:rsidRPr="003265E8">
              <w:rPr>
                <w:b/>
                <w:bCs/>
                <w:sz w:val="20"/>
                <w:szCs w:val="20"/>
              </w:rPr>
              <w:t>Státní rozpočet a ostatní veřejné rozpočty</w:t>
            </w:r>
          </w:p>
        </w:tc>
      </w:tr>
      <w:tr w14:paraId="41005C5F" w14:textId="77777777" w:rsidTr="006031E5">
        <w:tblPrEx>
          <w:tblW w:w="0" w:type="auto"/>
          <w:tblLook w:val="04A0"/>
        </w:tblPrEx>
        <w:trPr>
          <w:trHeight w:val="420"/>
        </w:trPr>
        <w:tc>
          <w:tcPr>
            <w:tcW w:w="1420" w:type="dxa"/>
            <w:vMerge/>
            <w:vAlign w:val="center"/>
            <w:hideMark/>
          </w:tcPr>
          <w:p w:rsidR="00304909" w:rsidRPr="003265E8" w:rsidP="006031E5" w14:paraId="6895F4A8" w14:textId="77777777">
            <w:pPr>
              <w:jc w:val="center"/>
              <w:rPr>
                <w:b/>
                <w:bCs/>
                <w:sz w:val="20"/>
                <w:szCs w:val="20"/>
              </w:rPr>
            </w:pPr>
          </w:p>
        </w:tc>
        <w:tc>
          <w:tcPr>
            <w:tcW w:w="2264" w:type="dxa"/>
            <w:vAlign w:val="center"/>
          </w:tcPr>
          <w:p w:rsidR="00304909" w:rsidRPr="003265E8" w:rsidP="006031E5" w14:paraId="5BD7C3F8" w14:textId="77777777">
            <w:pPr>
              <w:jc w:val="center"/>
              <w:rPr>
                <w:sz w:val="20"/>
                <w:szCs w:val="20"/>
              </w:rPr>
            </w:pPr>
          </w:p>
        </w:tc>
        <w:tc>
          <w:tcPr>
            <w:tcW w:w="1459" w:type="dxa"/>
            <w:vAlign w:val="center"/>
          </w:tcPr>
          <w:p w:rsidR="00304909" w:rsidRPr="003265E8" w:rsidP="006031E5" w14:paraId="7F85F35B" w14:textId="77777777">
            <w:pPr>
              <w:jc w:val="center"/>
              <w:rPr>
                <w:sz w:val="20"/>
                <w:szCs w:val="20"/>
              </w:rPr>
            </w:pPr>
          </w:p>
        </w:tc>
        <w:tc>
          <w:tcPr>
            <w:tcW w:w="2078" w:type="dxa"/>
            <w:vAlign w:val="center"/>
            <w:hideMark/>
          </w:tcPr>
          <w:p w:rsidR="00304909" w:rsidRPr="003265E8" w:rsidP="006031E5" w14:paraId="50D5EA56" w14:textId="77777777">
            <w:pPr>
              <w:jc w:val="center"/>
              <w:rPr>
                <w:sz w:val="20"/>
                <w:szCs w:val="20"/>
              </w:rPr>
            </w:pPr>
            <w:r w:rsidRPr="003265E8">
              <w:rPr>
                <w:sz w:val="20"/>
                <w:szCs w:val="20"/>
              </w:rPr>
              <w:t>Finanční podpora vzniku nových kapacit na materiálové využití pneumatik</w:t>
            </w:r>
          </w:p>
        </w:tc>
        <w:tc>
          <w:tcPr>
            <w:tcW w:w="1770" w:type="dxa"/>
            <w:vAlign w:val="center"/>
            <w:hideMark/>
          </w:tcPr>
          <w:p w:rsidR="00304909" w:rsidRPr="003265E8" w:rsidP="006031E5" w14:paraId="398BBDE2" w14:textId="77777777">
            <w:pPr>
              <w:jc w:val="center"/>
              <w:rPr>
                <w:sz w:val="20"/>
                <w:szCs w:val="20"/>
              </w:rPr>
            </w:pPr>
            <w:r w:rsidRPr="003265E8">
              <w:rPr>
                <w:sz w:val="20"/>
                <w:szCs w:val="20"/>
              </w:rPr>
              <w:t>***</w:t>
            </w:r>
          </w:p>
        </w:tc>
      </w:tr>
      <w:tr w14:paraId="505F4BF0" w14:textId="77777777" w:rsidTr="006031E5">
        <w:tblPrEx>
          <w:tblW w:w="0" w:type="auto"/>
          <w:tblLook w:val="04A0"/>
        </w:tblPrEx>
        <w:trPr>
          <w:trHeight w:val="504"/>
        </w:trPr>
        <w:tc>
          <w:tcPr>
            <w:tcW w:w="1420" w:type="dxa"/>
            <w:vMerge/>
            <w:vAlign w:val="center"/>
            <w:hideMark/>
          </w:tcPr>
          <w:p w:rsidR="00304909" w:rsidRPr="003265E8" w:rsidP="006031E5" w14:paraId="45E4771D" w14:textId="77777777">
            <w:pPr>
              <w:jc w:val="center"/>
              <w:rPr>
                <w:b/>
                <w:bCs/>
                <w:sz w:val="20"/>
                <w:szCs w:val="20"/>
              </w:rPr>
            </w:pPr>
          </w:p>
        </w:tc>
        <w:tc>
          <w:tcPr>
            <w:tcW w:w="7571" w:type="dxa"/>
            <w:gridSpan w:val="4"/>
            <w:vAlign w:val="center"/>
            <w:hideMark/>
          </w:tcPr>
          <w:p w:rsidR="00304909" w:rsidRPr="003265E8" w:rsidP="006031E5" w14:paraId="68BA5BC4" w14:textId="77777777">
            <w:pPr>
              <w:jc w:val="center"/>
              <w:rPr>
                <w:b/>
                <w:bCs/>
                <w:sz w:val="20"/>
                <w:szCs w:val="20"/>
              </w:rPr>
            </w:pPr>
            <w:r w:rsidRPr="003265E8">
              <w:rPr>
                <w:b/>
                <w:bCs/>
                <w:sz w:val="20"/>
                <w:szCs w:val="20"/>
              </w:rPr>
              <w:t>Podnikatelské subjekty</w:t>
            </w:r>
          </w:p>
        </w:tc>
      </w:tr>
      <w:tr w14:paraId="24E459A2" w14:textId="77777777" w:rsidTr="006031E5">
        <w:tblPrEx>
          <w:tblW w:w="0" w:type="auto"/>
          <w:tblLook w:val="04A0"/>
        </w:tblPrEx>
        <w:trPr>
          <w:trHeight w:val="1136"/>
        </w:trPr>
        <w:tc>
          <w:tcPr>
            <w:tcW w:w="1420" w:type="dxa"/>
            <w:vMerge/>
            <w:vAlign w:val="center"/>
            <w:hideMark/>
          </w:tcPr>
          <w:p w:rsidR="00304909" w:rsidRPr="003265E8" w:rsidP="006031E5" w14:paraId="72F118F1" w14:textId="77777777">
            <w:pPr>
              <w:jc w:val="center"/>
              <w:rPr>
                <w:b/>
                <w:bCs/>
                <w:sz w:val="20"/>
                <w:szCs w:val="20"/>
              </w:rPr>
            </w:pPr>
          </w:p>
        </w:tc>
        <w:tc>
          <w:tcPr>
            <w:tcW w:w="2264" w:type="dxa"/>
            <w:vAlign w:val="center"/>
          </w:tcPr>
          <w:p w:rsidR="00304909" w:rsidRPr="003265E8" w:rsidP="006031E5" w14:paraId="2656BED4" w14:textId="03E571C2">
            <w:pPr>
              <w:jc w:val="center"/>
              <w:rPr>
                <w:sz w:val="20"/>
                <w:szCs w:val="20"/>
              </w:rPr>
            </w:pPr>
            <w:r w:rsidRPr="003265E8">
              <w:rPr>
                <w:sz w:val="20"/>
                <w:szCs w:val="20"/>
              </w:rPr>
              <w:t>Stabilní investiční pros</w:t>
            </w:r>
            <w:r w:rsidR="00035D6D">
              <w:rPr>
                <w:sz w:val="20"/>
                <w:szCs w:val="20"/>
              </w:rPr>
              <w:t>tředí a další rozvoj recyklační</w:t>
            </w:r>
            <w:r w:rsidRPr="003265E8">
              <w:rPr>
                <w:sz w:val="20"/>
                <w:szCs w:val="20"/>
              </w:rPr>
              <w:t>ho sektoru</w:t>
            </w:r>
          </w:p>
        </w:tc>
        <w:tc>
          <w:tcPr>
            <w:tcW w:w="1459" w:type="dxa"/>
            <w:noWrap/>
            <w:vAlign w:val="center"/>
          </w:tcPr>
          <w:p w:rsidR="00304909" w:rsidRPr="003265E8" w:rsidP="006031E5" w14:paraId="68E3866E" w14:textId="77777777">
            <w:pPr>
              <w:jc w:val="center"/>
              <w:rPr>
                <w:sz w:val="20"/>
                <w:szCs w:val="20"/>
              </w:rPr>
            </w:pPr>
            <w:r w:rsidRPr="003265E8">
              <w:rPr>
                <w:sz w:val="20"/>
                <w:szCs w:val="20"/>
              </w:rPr>
              <w:t>****</w:t>
            </w:r>
          </w:p>
        </w:tc>
        <w:tc>
          <w:tcPr>
            <w:tcW w:w="2078" w:type="dxa"/>
            <w:vAlign w:val="center"/>
          </w:tcPr>
          <w:p w:rsidR="00304909" w:rsidRPr="003265E8" w:rsidP="006031E5" w14:paraId="7BA92BBC" w14:textId="77777777">
            <w:pPr>
              <w:jc w:val="center"/>
              <w:rPr>
                <w:sz w:val="20"/>
                <w:szCs w:val="20"/>
              </w:rPr>
            </w:pPr>
            <w:r w:rsidRPr="003265E8">
              <w:rPr>
                <w:sz w:val="20"/>
                <w:szCs w:val="20"/>
              </w:rPr>
              <w:t>Rozšíření odpovědnosti výrobce – finanční zajištění recyklace pneumatik</w:t>
            </w:r>
          </w:p>
        </w:tc>
        <w:tc>
          <w:tcPr>
            <w:tcW w:w="1770" w:type="dxa"/>
            <w:noWrap/>
            <w:vAlign w:val="center"/>
          </w:tcPr>
          <w:p w:rsidR="00304909" w:rsidRPr="003265E8" w:rsidP="006031E5" w14:paraId="23FFBC37" w14:textId="77777777">
            <w:pPr>
              <w:jc w:val="center"/>
              <w:rPr>
                <w:sz w:val="20"/>
                <w:szCs w:val="20"/>
              </w:rPr>
            </w:pPr>
            <w:r w:rsidRPr="003265E8">
              <w:rPr>
                <w:sz w:val="20"/>
                <w:szCs w:val="20"/>
              </w:rPr>
              <w:t>***</w:t>
            </w:r>
          </w:p>
        </w:tc>
      </w:tr>
      <w:tr w14:paraId="5A2AA320" w14:textId="77777777" w:rsidTr="006031E5">
        <w:tblPrEx>
          <w:tblW w:w="0" w:type="auto"/>
          <w:tblLook w:val="04A0"/>
        </w:tblPrEx>
        <w:trPr>
          <w:trHeight w:val="504"/>
        </w:trPr>
        <w:tc>
          <w:tcPr>
            <w:tcW w:w="1420" w:type="dxa"/>
            <w:vMerge/>
            <w:vAlign w:val="center"/>
            <w:hideMark/>
          </w:tcPr>
          <w:p w:rsidR="00304909" w:rsidRPr="003265E8" w:rsidP="006031E5" w14:paraId="674F528C" w14:textId="77777777">
            <w:pPr>
              <w:jc w:val="center"/>
              <w:rPr>
                <w:b/>
                <w:bCs/>
                <w:sz w:val="20"/>
                <w:szCs w:val="20"/>
              </w:rPr>
            </w:pPr>
          </w:p>
        </w:tc>
        <w:tc>
          <w:tcPr>
            <w:tcW w:w="7571" w:type="dxa"/>
            <w:gridSpan w:val="4"/>
            <w:vAlign w:val="center"/>
            <w:hideMark/>
          </w:tcPr>
          <w:p w:rsidR="00304909" w:rsidRPr="003265E8" w:rsidP="006031E5" w14:paraId="691EB5A0" w14:textId="77777777">
            <w:pPr>
              <w:jc w:val="center"/>
              <w:rPr>
                <w:b/>
                <w:bCs/>
                <w:sz w:val="20"/>
                <w:szCs w:val="20"/>
              </w:rPr>
            </w:pPr>
            <w:r w:rsidRPr="003265E8">
              <w:rPr>
                <w:b/>
                <w:bCs/>
                <w:sz w:val="20"/>
                <w:szCs w:val="20"/>
              </w:rPr>
              <w:t>Územní samosprávné celky (obce, kraje)</w:t>
            </w:r>
          </w:p>
        </w:tc>
      </w:tr>
      <w:tr w14:paraId="17EF8B74" w14:textId="77777777" w:rsidTr="006031E5">
        <w:tblPrEx>
          <w:tblW w:w="0" w:type="auto"/>
          <w:tblLook w:val="04A0"/>
        </w:tblPrEx>
        <w:trPr>
          <w:trHeight w:val="480"/>
        </w:trPr>
        <w:tc>
          <w:tcPr>
            <w:tcW w:w="1420" w:type="dxa"/>
            <w:vMerge/>
            <w:vAlign w:val="center"/>
            <w:hideMark/>
          </w:tcPr>
          <w:p w:rsidR="00304909" w:rsidRPr="003265E8" w:rsidP="006031E5" w14:paraId="30C0E0F6" w14:textId="77777777">
            <w:pPr>
              <w:jc w:val="center"/>
              <w:rPr>
                <w:b/>
                <w:bCs/>
                <w:sz w:val="20"/>
                <w:szCs w:val="20"/>
              </w:rPr>
            </w:pPr>
          </w:p>
        </w:tc>
        <w:tc>
          <w:tcPr>
            <w:tcW w:w="2264" w:type="dxa"/>
            <w:vAlign w:val="center"/>
          </w:tcPr>
          <w:p w:rsidR="00304909" w:rsidRPr="003265E8" w:rsidP="006031E5" w14:paraId="72830B24" w14:textId="77777777">
            <w:pPr>
              <w:jc w:val="center"/>
              <w:rPr>
                <w:sz w:val="20"/>
                <w:szCs w:val="20"/>
              </w:rPr>
            </w:pPr>
            <w:r w:rsidRPr="003265E8">
              <w:rPr>
                <w:sz w:val="20"/>
                <w:szCs w:val="20"/>
              </w:rPr>
              <w:t xml:space="preserve">Snížení nákladů na likvidaci pneumatik odhozených na černých skládkách, v příkopech aj. </w:t>
            </w:r>
          </w:p>
        </w:tc>
        <w:tc>
          <w:tcPr>
            <w:tcW w:w="1459" w:type="dxa"/>
            <w:noWrap/>
            <w:vAlign w:val="center"/>
          </w:tcPr>
          <w:p w:rsidR="00304909" w:rsidRPr="003265E8" w:rsidP="006031E5" w14:paraId="284F52C0" w14:textId="77777777">
            <w:pPr>
              <w:jc w:val="center"/>
              <w:rPr>
                <w:sz w:val="20"/>
                <w:szCs w:val="20"/>
              </w:rPr>
            </w:pPr>
            <w:r w:rsidRPr="003265E8">
              <w:rPr>
                <w:sz w:val="20"/>
                <w:szCs w:val="20"/>
              </w:rPr>
              <w:t>***</w:t>
            </w:r>
          </w:p>
        </w:tc>
        <w:tc>
          <w:tcPr>
            <w:tcW w:w="2078" w:type="dxa"/>
            <w:noWrap/>
            <w:vAlign w:val="center"/>
            <w:hideMark/>
          </w:tcPr>
          <w:p w:rsidR="00304909" w:rsidRPr="003265E8" w:rsidP="006031E5" w14:paraId="06264E2B" w14:textId="77777777">
            <w:pPr>
              <w:jc w:val="center"/>
              <w:rPr>
                <w:sz w:val="20"/>
                <w:szCs w:val="20"/>
              </w:rPr>
            </w:pPr>
            <w:r w:rsidRPr="003265E8">
              <w:rPr>
                <w:sz w:val="20"/>
                <w:szCs w:val="20"/>
              </w:rPr>
              <w:t>-</w:t>
            </w:r>
          </w:p>
        </w:tc>
        <w:tc>
          <w:tcPr>
            <w:tcW w:w="1770" w:type="dxa"/>
            <w:noWrap/>
            <w:vAlign w:val="center"/>
            <w:hideMark/>
          </w:tcPr>
          <w:p w:rsidR="00304909" w:rsidRPr="003265E8" w:rsidP="006031E5" w14:paraId="069186DD" w14:textId="77777777">
            <w:pPr>
              <w:jc w:val="center"/>
              <w:rPr>
                <w:sz w:val="20"/>
                <w:szCs w:val="20"/>
              </w:rPr>
            </w:pPr>
            <w:r w:rsidRPr="003265E8">
              <w:rPr>
                <w:sz w:val="20"/>
                <w:szCs w:val="20"/>
              </w:rPr>
              <w:t>-</w:t>
            </w:r>
          </w:p>
        </w:tc>
      </w:tr>
      <w:tr w14:paraId="5EF90A62" w14:textId="77777777" w:rsidTr="006031E5">
        <w:tblPrEx>
          <w:tblW w:w="0" w:type="auto"/>
          <w:tblLook w:val="04A0"/>
        </w:tblPrEx>
        <w:trPr>
          <w:trHeight w:val="480"/>
        </w:trPr>
        <w:tc>
          <w:tcPr>
            <w:tcW w:w="1420" w:type="dxa"/>
            <w:vMerge/>
            <w:vAlign w:val="center"/>
          </w:tcPr>
          <w:p w:rsidR="00304909" w:rsidRPr="003265E8" w:rsidP="006031E5" w14:paraId="5BC59956" w14:textId="77777777">
            <w:pPr>
              <w:jc w:val="center"/>
              <w:rPr>
                <w:b/>
                <w:bCs/>
                <w:sz w:val="20"/>
                <w:szCs w:val="20"/>
              </w:rPr>
            </w:pPr>
          </w:p>
        </w:tc>
        <w:tc>
          <w:tcPr>
            <w:tcW w:w="2264" w:type="dxa"/>
            <w:vAlign w:val="center"/>
          </w:tcPr>
          <w:p w:rsidR="00304909" w:rsidRPr="003265E8" w:rsidP="006031E5" w14:paraId="46985AEC" w14:textId="77777777">
            <w:pPr>
              <w:jc w:val="center"/>
              <w:rPr>
                <w:sz w:val="20"/>
                <w:szCs w:val="20"/>
              </w:rPr>
            </w:pPr>
            <w:r w:rsidRPr="003265E8">
              <w:rPr>
                <w:sz w:val="20"/>
                <w:szCs w:val="20"/>
              </w:rPr>
              <w:t xml:space="preserve">Snížení nákladů na hašení hořících skládek pneumatik  </w:t>
            </w:r>
          </w:p>
        </w:tc>
        <w:tc>
          <w:tcPr>
            <w:tcW w:w="1459" w:type="dxa"/>
            <w:noWrap/>
            <w:vAlign w:val="center"/>
          </w:tcPr>
          <w:p w:rsidR="00304909" w:rsidRPr="003265E8" w:rsidP="006031E5" w14:paraId="5DE4F20A" w14:textId="77777777">
            <w:pPr>
              <w:jc w:val="center"/>
              <w:rPr>
                <w:sz w:val="20"/>
                <w:szCs w:val="20"/>
              </w:rPr>
            </w:pPr>
            <w:r w:rsidRPr="003265E8">
              <w:rPr>
                <w:sz w:val="20"/>
                <w:szCs w:val="20"/>
              </w:rPr>
              <w:t>**</w:t>
            </w:r>
          </w:p>
        </w:tc>
        <w:tc>
          <w:tcPr>
            <w:tcW w:w="2078" w:type="dxa"/>
            <w:noWrap/>
            <w:vAlign w:val="center"/>
          </w:tcPr>
          <w:p w:rsidR="00304909" w:rsidRPr="003265E8" w:rsidP="006031E5" w14:paraId="33264F76" w14:textId="77777777">
            <w:pPr>
              <w:jc w:val="center"/>
              <w:rPr>
                <w:sz w:val="20"/>
                <w:szCs w:val="20"/>
              </w:rPr>
            </w:pPr>
          </w:p>
        </w:tc>
        <w:tc>
          <w:tcPr>
            <w:tcW w:w="1770" w:type="dxa"/>
            <w:noWrap/>
            <w:vAlign w:val="center"/>
          </w:tcPr>
          <w:p w:rsidR="00304909" w:rsidRPr="003265E8" w:rsidP="006031E5" w14:paraId="5FC335EF" w14:textId="77777777">
            <w:pPr>
              <w:jc w:val="center"/>
              <w:rPr>
                <w:sz w:val="20"/>
                <w:szCs w:val="20"/>
              </w:rPr>
            </w:pPr>
          </w:p>
        </w:tc>
      </w:tr>
      <w:tr w14:paraId="267D190E" w14:textId="77777777" w:rsidTr="006031E5">
        <w:tblPrEx>
          <w:tblW w:w="0" w:type="auto"/>
          <w:tblLook w:val="04A0"/>
        </w:tblPrEx>
        <w:trPr>
          <w:trHeight w:val="504"/>
        </w:trPr>
        <w:tc>
          <w:tcPr>
            <w:tcW w:w="1420" w:type="dxa"/>
            <w:vMerge/>
            <w:vAlign w:val="center"/>
            <w:hideMark/>
          </w:tcPr>
          <w:p w:rsidR="00304909" w:rsidRPr="003265E8" w:rsidP="006031E5" w14:paraId="13103569" w14:textId="77777777">
            <w:pPr>
              <w:jc w:val="center"/>
              <w:rPr>
                <w:b/>
                <w:bCs/>
                <w:sz w:val="20"/>
                <w:szCs w:val="20"/>
              </w:rPr>
            </w:pPr>
          </w:p>
        </w:tc>
        <w:tc>
          <w:tcPr>
            <w:tcW w:w="7571" w:type="dxa"/>
            <w:gridSpan w:val="4"/>
            <w:vAlign w:val="center"/>
            <w:hideMark/>
          </w:tcPr>
          <w:p w:rsidR="00304909" w:rsidRPr="003265E8" w:rsidP="006031E5" w14:paraId="6FDDAE85" w14:textId="77777777">
            <w:pPr>
              <w:jc w:val="center"/>
              <w:rPr>
                <w:b/>
                <w:bCs/>
                <w:sz w:val="20"/>
                <w:szCs w:val="20"/>
              </w:rPr>
            </w:pPr>
            <w:r w:rsidRPr="003265E8">
              <w:rPr>
                <w:b/>
                <w:bCs/>
                <w:sz w:val="20"/>
                <w:szCs w:val="20"/>
              </w:rPr>
              <w:t>Sociální dopady</w:t>
            </w:r>
          </w:p>
        </w:tc>
      </w:tr>
      <w:tr w14:paraId="1236576B" w14:textId="77777777" w:rsidTr="006031E5">
        <w:tblPrEx>
          <w:tblW w:w="0" w:type="auto"/>
          <w:tblLook w:val="04A0"/>
        </w:tblPrEx>
        <w:trPr>
          <w:trHeight w:val="479"/>
        </w:trPr>
        <w:tc>
          <w:tcPr>
            <w:tcW w:w="1420" w:type="dxa"/>
            <w:vMerge/>
            <w:vAlign w:val="center"/>
            <w:hideMark/>
          </w:tcPr>
          <w:p w:rsidR="00304909" w:rsidRPr="003265E8" w:rsidP="006031E5" w14:paraId="283707ED" w14:textId="77777777">
            <w:pPr>
              <w:jc w:val="center"/>
              <w:rPr>
                <w:b/>
                <w:bCs/>
                <w:sz w:val="20"/>
                <w:szCs w:val="20"/>
              </w:rPr>
            </w:pPr>
          </w:p>
        </w:tc>
        <w:tc>
          <w:tcPr>
            <w:tcW w:w="2264" w:type="dxa"/>
            <w:vAlign w:val="center"/>
          </w:tcPr>
          <w:p w:rsidR="00304909" w:rsidRPr="003265E8" w:rsidP="006031E5" w14:paraId="6237E0C5" w14:textId="77777777">
            <w:pPr>
              <w:jc w:val="center"/>
              <w:rPr>
                <w:sz w:val="20"/>
                <w:szCs w:val="20"/>
              </w:rPr>
            </w:pPr>
            <w:r w:rsidRPr="003265E8">
              <w:rPr>
                <w:sz w:val="20"/>
                <w:szCs w:val="20"/>
              </w:rPr>
              <w:t>-</w:t>
            </w:r>
          </w:p>
        </w:tc>
        <w:tc>
          <w:tcPr>
            <w:tcW w:w="1459" w:type="dxa"/>
            <w:vAlign w:val="center"/>
          </w:tcPr>
          <w:p w:rsidR="00304909" w:rsidRPr="003265E8" w:rsidP="006031E5" w14:paraId="14B6BEF5" w14:textId="77777777">
            <w:pPr>
              <w:jc w:val="center"/>
              <w:rPr>
                <w:sz w:val="20"/>
                <w:szCs w:val="20"/>
              </w:rPr>
            </w:pPr>
            <w:r w:rsidRPr="003265E8">
              <w:rPr>
                <w:sz w:val="20"/>
                <w:szCs w:val="20"/>
              </w:rPr>
              <w:t>-</w:t>
            </w:r>
          </w:p>
        </w:tc>
        <w:tc>
          <w:tcPr>
            <w:tcW w:w="2078" w:type="dxa"/>
            <w:vAlign w:val="center"/>
          </w:tcPr>
          <w:p w:rsidR="00304909" w:rsidRPr="003265E8" w:rsidP="006031E5" w14:paraId="41C88B3B" w14:textId="77777777">
            <w:pPr>
              <w:jc w:val="center"/>
              <w:rPr>
                <w:sz w:val="20"/>
                <w:szCs w:val="20"/>
              </w:rPr>
            </w:pPr>
            <w:r w:rsidRPr="003265E8">
              <w:rPr>
                <w:sz w:val="20"/>
                <w:szCs w:val="20"/>
              </w:rPr>
              <w:t>-</w:t>
            </w:r>
          </w:p>
        </w:tc>
        <w:tc>
          <w:tcPr>
            <w:tcW w:w="1770" w:type="dxa"/>
            <w:vAlign w:val="center"/>
          </w:tcPr>
          <w:p w:rsidR="00304909" w:rsidRPr="003265E8" w:rsidP="006031E5" w14:paraId="45922230" w14:textId="77777777">
            <w:pPr>
              <w:jc w:val="center"/>
              <w:rPr>
                <w:sz w:val="20"/>
                <w:szCs w:val="20"/>
              </w:rPr>
            </w:pPr>
            <w:r w:rsidRPr="003265E8">
              <w:rPr>
                <w:sz w:val="20"/>
                <w:szCs w:val="20"/>
              </w:rPr>
              <w:t>-</w:t>
            </w:r>
          </w:p>
        </w:tc>
      </w:tr>
      <w:tr w14:paraId="1BBBB87A" w14:textId="77777777" w:rsidTr="006031E5">
        <w:tblPrEx>
          <w:tblW w:w="0" w:type="auto"/>
          <w:tblLook w:val="04A0"/>
        </w:tblPrEx>
        <w:trPr>
          <w:trHeight w:val="504"/>
        </w:trPr>
        <w:tc>
          <w:tcPr>
            <w:tcW w:w="1420" w:type="dxa"/>
            <w:vMerge/>
            <w:vAlign w:val="center"/>
            <w:hideMark/>
          </w:tcPr>
          <w:p w:rsidR="00304909" w:rsidRPr="003265E8" w:rsidP="006031E5" w14:paraId="49C45E64" w14:textId="77777777">
            <w:pPr>
              <w:jc w:val="center"/>
              <w:rPr>
                <w:b/>
                <w:bCs/>
                <w:sz w:val="20"/>
                <w:szCs w:val="20"/>
              </w:rPr>
            </w:pPr>
          </w:p>
        </w:tc>
        <w:tc>
          <w:tcPr>
            <w:tcW w:w="7571" w:type="dxa"/>
            <w:gridSpan w:val="4"/>
            <w:vAlign w:val="center"/>
            <w:hideMark/>
          </w:tcPr>
          <w:p w:rsidR="00304909" w:rsidRPr="003265E8" w:rsidP="006031E5" w14:paraId="0D65F6DA" w14:textId="77777777">
            <w:pPr>
              <w:jc w:val="center"/>
              <w:rPr>
                <w:b/>
                <w:bCs/>
                <w:sz w:val="20"/>
                <w:szCs w:val="20"/>
              </w:rPr>
            </w:pPr>
            <w:r w:rsidRPr="003265E8">
              <w:rPr>
                <w:b/>
                <w:bCs/>
                <w:sz w:val="20"/>
                <w:szCs w:val="20"/>
              </w:rPr>
              <w:t>Životní prostředí</w:t>
            </w:r>
          </w:p>
        </w:tc>
      </w:tr>
      <w:tr w14:paraId="13462C65" w14:textId="77777777" w:rsidTr="006031E5">
        <w:tblPrEx>
          <w:tblW w:w="0" w:type="auto"/>
          <w:tblLook w:val="04A0"/>
        </w:tblPrEx>
        <w:trPr>
          <w:trHeight w:val="688"/>
        </w:trPr>
        <w:tc>
          <w:tcPr>
            <w:tcW w:w="1420" w:type="dxa"/>
            <w:vMerge/>
            <w:vAlign w:val="center"/>
          </w:tcPr>
          <w:p w:rsidR="00304909" w:rsidRPr="003265E8" w:rsidP="006031E5" w14:paraId="0BA0EB67" w14:textId="77777777">
            <w:pPr>
              <w:jc w:val="center"/>
              <w:rPr>
                <w:b/>
                <w:bCs/>
                <w:sz w:val="20"/>
                <w:szCs w:val="20"/>
              </w:rPr>
            </w:pPr>
          </w:p>
        </w:tc>
        <w:tc>
          <w:tcPr>
            <w:tcW w:w="2264" w:type="dxa"/>
            <w:vAlign w:val="center"/>
          </w:tcPr>
          <w:p w:rsidR="00304909" w:rsidRPr="003265E8" w:rsidP="006031E5" w14:paraId="3773820B" w14:textId="77777777">
            <w:pPr>
              <w:jc w:val="center"/>
              <w:rPr>
                <w:color w:val="000000"/>
                <w:sz w:val="20"/>
                <w:szCs w:val="20"/>
              </w:rPr>
            </w:pPr>
            <w:r w:rsidRPr="003265E8">
              <w:rPr>
                <w:color w:val="000000"/>
                <w:sz w:val="20"/>
                <w:szCs w:val="20"/>
              </w:rPr>
              <w:t>Snížení rizika úniku nebezpečných látek z deponií pneumatik při vznícení a kontaminace ŽP</w:t>
            </w:r>
          </w:p>
        </w:tc>
        <w:tc>
          <w:tcPr>
            <w:tcW w:w="1459" w:type="dxa"/>
            <w:vAlign w:val="center"/>
          </w:tcPr>
          <w:p w:rsidR="00304909" w:rsidRPr="003265E8" w:rsidP="006031E5" w14:paraId="6550BF9A" w14:textId="77777777">
            <w:pPr>
              <w:jc w:val="center"/>
              <w:rPr>
                <w:sz w:val="20"/>
                <w:szCs w:val="20"/>
              </w:rPr>
            </w:pPr>
            <w:r w:rsidRPr="003265E8">
              <w:rPr>
                <w:sz w:val="20"/>
                <w:szCs w:val="20"/>
              </w:rPr>
              <w:t>***</w:t>
            </w:r>
          </w:p>
        </w:tc>
        <w:tc>
          <w:tcPr>
            <w:tcW w:w="2078" w:type="dxa"/>
            <w:vAlign w:val="center"/>
          </w:tcPr>
          <w:p w:rsidR="00304909" w:rsidRPr="003265E8" w:rsidP="006031E5" w14:paraId="65D36E74" w14:textId="77777777">
            <w:pPr>
              <w:jc w:val="center"/>
              <w:rPr>
                <w:sz w:val="20"/>
                <w:szCs w:val="20"/>
              </w:rPr>
            </w:pPr>
          </w:p>
        </w:tc>
        <w:tc>
          <w:tcPr>
            <w:tcW w:w="1770" w:type="dxa"/>
            <w:vAlign w:val="center"/>
          </w:tcPr>
          <w:p w:rsidR="00304909" w:rsidRPr="003265E8" w:rsidP="006031E5" w14:paraId="7B414D7A" w14:textId="77777777">
            <w:pPr>
              <w:jc w:val="center"/>
              <w:rPr>
                <w:sz w:val="20"/>
                <w:szCs w:val="20"/>
              </w:rPr>
            </w:pPr>
          </w:p>
        </w:tc>
      </w:tr>
      <w:tr w14:paraId="2914E5AF" w14:textId="77777777" w:rsidTr="006031E5">
        <w:tblPrEx>
          <w:tblW w:w="0" w:type="auto"/>
          <w:tblLook w:val="04A0"/>
        </w:tblPrEx>
        <w:trPr>
          <w:trHeight w:val="688"/>
        </w:trPr>
        <w:tc>
          <w:tcPr>
            <w:tcW w:w="1420" w:type="dxa"/>
            <w:vMerge/>
            <w:vAlign w:val="center"/>
            <w:hideMark/>
          </w:tcPr>
          <w:p w:rsidR="00304909" w:rsidRPr="003265E8" w:rsidP="006031E5" w14:paraId="0621E7E6" w14:textId="77777777">
            <w:pPr>
              <w:jc w:val="center"/>
              <w:rPr>
                <w:b/>
                <w:bCs/>
                <w:sz w:val="20"/>
                <w:szCs w:val="20"/>
              </w:rPr>
            </w:pPr>
          </w:p>
        </w:tc>
        <w:tc>
          <w:tcPr>
            <w:tcW w:w="2264" w:type="dxa"/>
            <w:vAlign w:val="center"/>
          </w:tcPr>
          <w:p w:rsidR="00304909" w:rsidRPr="003265E8" w:rsidP="006031E5" w14:paraId="5DCA27C9" w14:textId="77777777">
            <w:pPr>
              <w:jc w:val="center"/>
              <w:rPr>
                <w:sz w:val="20"/>
                <w:szCs w:val="20"/>
              </w:rPr>
            </w:pPr>
            <w:r w:rsidRPr="003265E8">
              <w:rPr>
                <w:color w:val="000000"/>
                <w:sz w:val="20"/>
                <w:szCs w:val="20"/>
              </w:rPr>
              <w:t>Úspora materiálů a energie při recyklaci</w:t>
            </w:r>
          </w:p>
        </w:tc>
        <w:tc>
          <w:tcPr>
            <w:tcW w:w="1459" w:type="dxa"/>
            <w:vAlign w:val="center"/>
          </w:tcPr>
          <w:p w:rsidR="00304909" w:rsidRPr="003265E8" w:rsidP="006031E5" w14:paraId="2F6543EE" w14:textId="77777777">
            <w:pPr>
              <w:jc w:val="center"/>
              <w:rPr>
                <w:sz w:val="20"/>
                <w:szCs w:val="20"/>
              </w:rPr>
            </w:pPr>
            <w:r w:rsidRPr="003265E8">
              <w:rPr>
                <w:sz w:val="20"/>
                <w:szCs w:val="20"/>
              </w:rPr>
              <w:t>***</w:t>
            </w:r>
          </w:p>
        </w:tc>
        <w:tc>
          <w:tcPr>
            <w:tcW w:w="2078" w:type="dxa"/>
            <w:vAlign w:val="center"/>
            <w:hideMark/>
          </w:tcPr>
          <w:p w:rsidR="00304909" w:rsidRPr="003265E8" w:rsidP="006031E5" w14:paraId="5AEBC93E" w14:textId="77777777">
            <w:pPr>
              <w:jc w:val="center"/>
              <w:rPr>
                <w:sz w:val="20"/>
                <w:szCs w:val="20"/>
              </w:rPr>
            </w:pPr>
          </w:p>
        </w:tc>
        <w:tc>
          <w:tcPr>
            <w:tcW w:w="1770" w:type="dxa"/>
            <w:vAlign w:val="center"/>
            <w:hideMark/>
          </w:tcPr>
          <w:p w:rsidR="00304909" w:rsidRPr="003265E8" w:rsidP="006031E5" w14:paraId="229429D0" w14:textId="77777777">
            <w:pPr>
              <w:jc w:val="center"/>
              <w:rPr>
                <w:sz w:val="20"/>
                <w:szCs w:val="20"/>
              </w:rPr>
            </w:pPr>
          </w:p>
        </w:tc>
      </w:tr>
    </w:tbl>
    <w:p w:rsidR="00304909" w:rsidRPr="003265E8" w:rsidP="00304909" w14:paraId="21BC2B3D" w14:textId="77777777">
      <w:pPr>
        <w:rPr>
          <w:sz w:val="20"/>
          <w:szCs w:val="20"/>
        </w:rPr>
      </w:pPr>
      <w:r w:rsidRPr="003265E8">
        <w:rPr>
          <w:sz w:val="20"/>
          <w:szCs w:val="20"/>
        </w:rPr>
        <w:t>Pozn.: - bez dopadů, * velmi nízké, ** nízké, *** střední, **** vysoké, ***** velmi vysoké</w:t>
      </w:r>
    </w:p>
    <w:p w:rsidR="00304909" w:rsidP="00304909" w14:paraId="4AD393A2" w14:textId="77777777">
      <w:pPr>
        <w:rPr>
          <w:sz w:val="20"/>
          <w:szCs w:val="20"/>
        </w:rPr>
      </w:pPr>
    </w:p>
    <w:p w:rsidR="00304909" w:rsidP="003C445B" w14:paraId="31D38AD7" w14:textId="77777777">
      <w:pPr>
        <w:pStyle w:val="Heading2"/>
        <w:numPr>
          <w:ilvl w:val="1"/>
          <w:numId w:val="96"/>
        </w:numPr>
        <w:rPr>
          <w:b w:val="0"/>
        </w:rPr>
      </w:pPr>
      <w:r>
        <w:t>Návrh řešení</w:t>
      </w:r>
    </w:p>
    <w:p w:rsidR="00304909" w:rsidP="003C445B" w14:paraId="1B821D8B" w14:textId="77777777">
      <w:pPr>
        <w:pStyle w:val="ListParagraph"/>
        <w:numPr>
          <w:ilvl w:val="0"/>
          <w:numId w:val="104"/>
        </w:numPr>
        <w:spacing w:after="0" w:line="240" w:lineRule="auto"/>
        <w:ind w:left="714" w:hanging="357"/>
        <w:contextualSpacing w:val="0"/>
        <w:rPr>
          <w:rFonts w:cs="Arial"/>
          <w:b/>
          <w:bCs/>
        </w:rPr>
      </w:pPr>
      <w:r>
        <w:rPr>
          <w:rFonts w:cs="Arial"/>
          <w:b/>
          <w:bCs/>
        </w:rPr>
        <w:t>Varianta 1</w:t>
      </w:r>
    </w:p>
    <w:p w:rsidR="00304909" w:rsidP="003C445B" w14:paraId="69B42341" w14:textId="77777777">
      <w:pPr>
        <w:pStyle w:val="ListParagraph"/>
        <w:numPr>
          <w:ilvl w:val="0"/>
          <w:numId w:val="104"/>
        </w:numPr>
        <w:spacing w:after="0" w:line="240" w:lineRule="auto"/>
        <w:ind w:left="714" w:hanging="357"/>
        <w:contextualSpacing w:val="0"/>
        <w:rPr>
          <w:rFonts w:cs="Arial"/>
        </w:rPr>
      </w:pPr>
      <w:r>
        <w:rPr>
          <w:rFonts w:cs="Arial"/>
        </w:rPr>
        <w:t>Varianta 0</w:t>
      </w:r>
    </w:p>
    <w:p w:rsidR="00304909" w:rsidP="00304909" w14:paraId="3EB95293" w14:textId="77777777">
      <w:pPr>
        <w:rPr>
          <w:rFonts w:cs="Arial"/>
        </w:rPr>
      </w:pPr>
      <w:r>
        <w:rPr>
          <w:rFonts w:cs="Arial"/>
        </w:rPr>
        <w:t>Hlavním cílem je, aby odpadní pneumatiky byly dále využívány, zvýšila se míra materiálového využití a současně došlo k rozvoji nových recyklačních technologií. K tomu je třeba stanovit vyšší  odpovědnost výrobců za pneumatiky, které uvádějí na trh v ČR, aby bylo eliminováno riziko pro životní prostředí spojené s nelegálním naládání s pneumatikami. Nastavení úrovně materiálového využití je jednou z možností, které napomůže vyplnit tento cíl, proto navrhujeme přijmout Variantu 1.</w:t>
      </w:r>
    </w:p>
    <w:p w:rsidR="0015529A" w:rsidP="00324860" w14:paraId="598AF175" w14:textId="77777777">
      <w:pPr>
        <w:rPr>
          <w:rFonts w:cs="Arial"/>
        </w:rPr>
      </w:pPr>
      <w:bookmarkEnd w:id="208"/>
    </w:p>
    <w:p w:rsidR="00B61F73" w:rsidRPr="0013705A" w:rsidP="00712C9A" w14:paraId="0BE7BC52" w14:textId="77777777">
      <w:pPr>
        <w:keepNext/>
        <w:jc w:val="center"/>
        <w:rPr>
          <w:rFonts w:cs="Arial"/>
          <w:b/>
          <w:bCs/>
          <w:kern w:val="32"/>
          <w:sz w:val="32"/>
          <w:szCs w:val="32"/>
          <w:u w:val="single"/>
        </w:rPr>
      </w:pPr>
      <w:bookmarkStart w:id="231" w:name="_Toc438037554"/>
      <w:bookmarkStart w:id="232" w:name="_Toc438037561"/>
      <w:bookmarkStart w:id="233" w:name="_Toc438037563"/>
      <w:bookmarkStart w:id="234" w:name="_Toc438037566"/>
      <w:bookmarkStart w:id="235" w:name="_Toc438037568"/>
      <w:bookmarkStart w:id="236" w:name="_Toc438037570"/>
      <w:bookmarkStart w:id="237" w:name="_Toc438037573"/>
      <w:bookmarkStart w:id="238" w:name="_Toc438037592"/>
      <w:bookmarkStart w:id="239" w:name="_Toc438037597"/>
      <w:bookmarkStart w:id="240" w:name="_Toc438037609"/>
      <w:bookmarkStart w:id="241" w:name="_Toc438037611"/>
      <w:bookmarkStart w:id="242" w:name="_Toc438037612"/>
      <w:bookmarkStart w:id="243" w:name="_Toc441759945"/>
      <w:bookmarkEnd w:id="231"/>
      <w:bookmarkEnd w:id="232"/>
      <w:bookmarkEnd w:id="233"/>
      <w:bookmarkEnd w:id="234"/>
      <w:bookmarkEnd w:id="235"/>
      <w:bookmarkEnd w:id="236"/>
      <w:bookmarkEnd w:id="237"/>
      <w:bookmarkEnd w:id="238"/>
      <w:bookmarkEnd w:id="239"/>
      <w:bookmarkEnd w:id="240"/>
      <w:bookmarkEnd w:id="241"/>
      <w:bookmarkEnd w:id="242"/>
      <w:r>
        <w:rPr>
          <w:rFonts w:cs="Arial"/>
          <w:b/>
          <w:bCs/>
          <w:kern w:val="32"/>
          <w:sz w:val="32"/>
          <w:szCs w:val="32"/>
          <w:u w:val="single"/>
        </w:rPr>
        <w:t>VI. Vozidla</w:t>
      </w:r>
    </w:p>
    <w:p w:rsidR="00BE2D4A" w:rsidRPr="0046292D" w:rsidP="0011664A" w14:paraId="3971EE16" w14:textId="77777777">
      <w:pPr>
        <w:pStyle w:val="Heading1"/>
      </w:pPr>
      <w:bookmarkStart w:id="244" w:name="_Toc455135563"/>
      <w:bookmarkStart w:id="245" w:name="_Toc441759955"/>
      <w:bookmarkStart w:id="246" w:name="_Toc14942101"/>
      <w:bookmarkEnd w:id="243"/>
      <w:bookmarkEnd w:id="244"/>
      <w:bookmarkStart w:id="247" w:name="_Toc256000027"/>
      <w:r w:rsidRPr="0046292D">
        <w:t xml:space="preserve">Povinnosti výrobců </w:t>
      </w:r>
      <w:r w:rsidRPr="0046292D" w:rsidR="008D450B">
        <w:t xml:space="preserve">vozidel </w:t>
      </w:r>
      <w:r w:rsidRPr="0046292D">
        <w:t>a akreditovaných zástupců – roční zprávy</w:t>
      </w:r>
      <w:bookmarkEnd w:id="247"/>
      <w:bookmarkEnd w:id="245"/>
      <w:bookmarkEnd w:id="246"/>
    </w:p>
    <w:p w:rsidR="00BE2D4A" w:rsidRPr="00ED38E9" w:rsidP="0011664A" w14:paraId="62C7825B" w14:textId="77777777">
      <w:pPr>
        <w:pStyle w:val="Heading2"/>
      </w:pPr>
      <w:bookmarkStart w:id="248" w:name="_Toc441759956"/>
      <w:r w:rsidRPr="0046292D">
        <w:t>Důvod předložení</w:t>
      </w:r>
      <w:r w:rsidRPr="00ED38E9">
        <w:t xml:space="preserve"> a cíle</w:t>
      </w:r>
      <w:bookmarkEnd w:id="248"/>
    </w:p>
    <w:p w:rsidR="00BE2D4A" w:rsidRPr="00ED38E9" w:rsidP="00BF16B7" w14:paraId="1AE0B806" w14:textId="77777777">
      <w:pPr>
        <w:pStyle w:val="Heading3"/>
      </w:pPr>
      <w:r w:rsidRPr="00ED38E9">
        <w:t>Definice problému</w:t>
      </w:r>
    </w:p>
    <w:p w:rsidR="00BE2D4A" w:rsidP="00C24C27" w14:paraId="3A00854A" w14:textId="28A2ADC6">
      <w:pPr>
        <w:rPr>
          <w:rFonts w:cs="Arial"/>
        </w:rPr>
      </w:pPr>
      <w:r w:rsidRPr="001F7AC0">
        <w:rPr>
          <w:rFonts w:cs="Arial"/>
        </w:rPr>
        <w:t>Na základě zkuše</w:t>
      </w:r>
      <w:r>
        <w:rPr>
          <w:rFonts w:cs="Arial"/>
        </w:rPr>
        <w:t>ností z praxe bylo zjištěno,</w:t>
      </w:r>
      <w:r w:rsidRPr="00ED38E9">
        <w:rPr>
          <w:rFonts w:cs="Arial"/>
        </w:rPr>
        <w:t xml:space="preserve"> že povinnost</w:t>
      </w:r>
      <w:r>
        <w:rPr>
          <w:rFonts w:cs="Arial"/>
        </w:rPr>
        <w:t xml:space="preserve"> výrobců vozidel včetně akreditovaných zástupců zahraničních výrobců předkládat roční zprávy</w:t>
      </w:r>
      <w:r w:rsidR="00AC5170">
        <w:rPr>
          <w:rFonts w:cs="Arial"/>
        </w:rPr>
        <w:t xml:space="preserve"> </w:t>
      </w:r>
      <w:r w:rsidRPr="00ED38E9">
        <w:rPr>
          <w:rFonts w:cs="Arial"/>
        </w:rPr>
        <w:t xml:space="preserve">představuje zbytečnou administrativní zátěž, </w:t>
      </w:r>
      <w:r w:rsidR="00C24C27">
        <w:rPr>
          <w:rFonts w:cs="Arial"/>
        </w:rPr>
        <w:t>neboť d</w:t>
      </w:r>
      <w:r w:rsidR="00C24C27">
        <w:t>ata, která se ve zprávách vyskytují, jsou reportována i jinde, popř.</w:t>
      </w:r>
      <w:r w:rsidR="005B64ED">
        <w:t> </w:t>
      </w:r>
      <w:r w:rsidR="00C24C27">
        <w:t xml:space="preserve">jsou jinak dohledatelná (např. počty vozidel uvedených na trh lze zjistit od Svazu výrobců a dovozců automobilů). </w:t>
      </w:r>
    </w:p>
    <w:p w:rsidR="00BE2D4A" w:rsidRPr="00ED38E9" w:rsidP="00CC0BB4" w14:paraId="247F3123" w14:textId="77777777">
      <w:pPr>
        <w:pStyle w:val="Heading3"/>
        <w:keepNext/>
        <w:widowControl/>
      </w:pPr>
      <w:r w:rsidRPr="00ED38E9">
        <w:t>Popis existujícího právního stavu v</w:t>
      </w:r>
      <w:r w:rsidRPr="00ED38E9" w:rsidR="00333557">
        <w:t> </w:t>
      </w:r>
      <w:r w:rsidRPr="00ED38E9">
        <w:t>dané oblasti</w:t>
      </w:r>
    </w:p>
    <w:p w:rsidR="00BE2D4A" w:rsidP="00BE2D4A" w14:paraId="3E8CC902" w14:textId="42BA2E76">
      <w:pPr>
        <w:rPr>
          <w:rFonts w:cs="Arial"/>
        </w:rPr>
      </w:pPr>
      <w:r w:rsidRPr="00ED38E9">
        <w:rPr>
          <w:rFonts w:cs="Arial"/>
        </w:rPr>
        <w:t>Současný zákon o odpadech uvádí, že výrobce a akreditovaný zástupce jsou povinni zpracovávat roční zprávu pro vlastní značku o plnění cílů stanovených v § 37</w:t>
      </w:r>
      <w:r w:rsidRPr="00ED38E9" w:rsidR="00EF59AB">
        <w:rPr>
          <w:rFonts w:cs="Arial"/>
        </w:rPr>
        <w:t>a</w:t>
      </w:r>
      <w:r w:rsidRPr="00ED38E9">
        <w:rPr>
          <w:rFonts w:cs="Arial"/>
        </w:rPr>
        <w:t xml:space="preserve"> odst. </w:t>
      </w:r>
      <w:r w:rsidRPr="00ED38E9" w:rsidR="00EF59AB">
        <w:rPr>
          <w:rFonts w:cs="Arial"/>
        </w:rPr>
        <w:t>5</w:t>
      </w:r>
      <w:r w:rsidRPr="00ED38E9">
        <w:rPr>
          <w:rFonts w:cs="Arial"/>
        </w:rPr>
        <w:t xml:space="preserve"> písm. b) za uplynulý kalendářní rok v</w:t>
      </w:r>
      <w:r w:rsidRPr="00ED38E9" w:rsidR="00333557">
        <w:rPr>
          <w:rFonts w:cs="Arial"/>
        </w:rPr>
        <w:t> </w:t>
      </w:r>
      <w:r w:rsidRPr="00ED38E9">
        <w:rPr>
          <w:rFonts w:cs="Arial"/>
        </w:rPr>
        <w:t>rozsahu stanoveném prováděcím právním předpisem (vyhláška č.</w:t>
      </w:r>
      <w:r w:rsidR="00F068A9">
        <w:rPr>
          <w:rFonts w:cs="Arial"/>
        </w:rPr>
        <w:t> </w:t>
      </w:r>
      <w:r w:rsidRPr="00ED38E9">
        <w:rPr>
          <w:rFonts w:cs="Arial"/>
        </w:rPr>
        <w:t>352/2008 Sb.) a tuto zprávu zaslat ministerstvu do 31. března</w:t>
      </w:r>
      <w:r w:rsidR="001F7AC0">
        <w:rPr>
          <w:rFonts w:cs="Arial"/>
        </w:rPr>
        <w:t xml:space="preserve"> následujícího roku</w:t>
      </w:r>
      <w:r w:rsidRPr="00ED38E9">
        <w:rPr>
          <w:rFonts w:cs="Arial"/>
        </w:rPr>
        <w:t>.</w:t>
      </w:r>
    </w:p>
    <w:p w:rsidR="00BE2D4A" w:rsidRPr="00ED38E9" w:rsidP="00CC0BB4" w14:paraId="64150705" w14:textId="77777777">
      <w:pPr>
        <w:pStyle w:val="Heading3"/>
        <w:spacing w:before="240"/>
      </w:pPr>
      <w:r w:rsidRPr="00ED38E9">
        <w:t>Identifikace dotčených subjektů</w:t>
      </w:r>
    </w:p>
    <w:p w:rsidR="00BE2D4A" w:rsidRPr="00ED38E9" w:rsidP="005B64ED" w14:paraId="15BB4A1F" w14:textId="77777777">
      <w:pPr>
        <w:pStyle w:val="ListParagraph"/>
        <w:numPr>
          <w:ilvl w:val="0"/>
          <w:numId w:val="20"/>
        </w:numPr>
        <w:ind w:left="714" w:hanging="357"/>
        <w:contextualSpacing w:val="0"/>
        <w:rPr>
          <w:rFonts w:cs="Arial"/>
        </w:rPr>
      </w:pPr>
      <w:r w:rsidRPr="00ED38E9">
        <w:rPr>
          <w:rFonts w:cs="Arial"/>
        </w:rPr>
        <w:t>výrobci a akreditovaní zástupci,</w:t>
      </w:r>
    </w:p>
    <w:p w:rsidR="00BE2D4A" w:rsidP="005B64ED" w14:paraId="4D17520A" w14:textId="77777777">
      <w:pPr>
        <w:pStyle w:val="ListParagraph"/>
        <w:numPr>
          <w:ilvl w:val="0"/>
          <w:numId w:val="20"/>
        </w:numPr>
        <w:ind w:left="714" w:hanging="357"/>
        <w:contextualSpacing w:val="0"/>
        <w:rPr>
          <w:rFonts w:cs="Arial"/>
        </w:rPr>
      </w:pPr>
      <w:r w:rsidRPr="00ED38E9">
        <w:rPr>
          <w:rFonts w:cs="Arial"/>
        </w:rPr>
        <w:t>CENIA.</w:t>
      </w:r>
    </w:p>
    <w:p w:rsidR="00BE2D4A" w:rsidRPr="00ED38E9" w:rsidP="00CC0BB4" w14:paraId="7EFCD843" w14:textId="77777777">
      <w:pPr>
        <w:pStyle w:val="Heading3"/>
        <w:spacing w:before="240"/>
      </w:pPr>
      <w:r w:rsidRPr="00ED38E9">
        <w:t>Popis cílového stavu</w:t>
      </w:r>
    </w:p>
    <w:p w:rsidR="00BE2D4A" w:rsidP="00BE2D4A" w14:paraId="4501785A" w14:textId="77777777">
      <w:pPr>
        <w:rPr>
          <w:rFonts w:cs="Arial"/>
          <w:lang w:eastAsia="cs-CZ" w:bidi="ar-SA"/>
        </w:rPr>
      </w:pPr>
      <w:r w:rsidRPr="00ED38E9">
        <w:rPr>
          <w:rFonts w:cs="Arial"/>
          <w:lang w:eastAsia="cs-CZ" w:bidi="ar-SA"/>
        </w:rPr>
        <w:t>Cílem je snížit administrativní zátěž dotčený</w:t>
      </w:r>
      <w:r w:rsidR="00C24C27">
        <w:rPr>
          <w:rFonts w:cs="Arial"/>
          <w:lang w:eastAsia="cs-CZ" w:bidi="ar-SA"/>
        </w:rPr>
        <w:t>ch</w:t>
      </w:r>
      <w:r w:rsidRPr="00ED38E9">
        <w:rPr>
          <w:rFonts w:cs="Arial"/>
          <w:lang w:eastAsia="cs-CZ" w:bidi="ar-SA"/>
        </w:rPr>
        <w:t xml:space="preserve"> subjektů bez ztráty potřebných dat.</w:t>
      </w:r>
    </w:p>
    <w:p w:rsidR="00BE2D4A" w:rsidRPr="00ED38E9" w:rsidP="00CC0BB4" w14:paraId="28B449C1" w14:textId="77777777">
      <w:pPr>
        <w:pStyle w:val="Heading3"/>
        <w:spacing w:before="240"/>
      </w:pPr>
      <w:r w:rsidRPr="00ED38E9">
        <w:t>Zhodnocení rizika</w:t>
      </w:r>
    </w:p>
    <w:p w:rsidR="00BE2D4A" w:rsidP="00BE2D4A" w14:paraId="277E2EA2" w14:textId="77777777">
      <w:pPr>
        <w:rPr>
          <w:rFonts w:cs="Arial"/>
        </w:rPr>
      </w:pPr>
      <w:r w:rsidRPr="00ED38E9">
        <w:rPr>
          <w:rFonts w:cs="Arial"/>
        </w:rPr>
        <w:t xml:space="preserve">Nepřijetím změny nehrozí závažná rizika, ale </w:t>
      </w:r>
      <w:r w:rsidR="00C24C27">
        <w:rPr>
          <w:rFonts w:cs="Arial"/>
        </w:rPr>
        <w:t xml:space="preserve">zrušením (příp. omezením) povinnosti zpracovávat roční zprávu </w:t>
      </w:r>
      <w:r w:rsidRPr="00ED38E9" w:rsidR="00C24C27">
        <w:rPr>
          <w:rFonts w:cs="Arial"/>
        </w:rPr>
        <w:t>pro vlastní značku o plnění cílů stanovených v § 37 odst. 7 písm. b) zákon</w:t>
      </w:r>
      <w:r w:rsidR="00C24C27">
        <w:rPr>
          <w:rFonts w:cs="Arial"/>
        </w:rPr>
        <w:t>a</w:t>
      </w:r>
      <w:r w:rsidRPr="00ED38E9" w:rsidR="00C24C27">
        <w:rPr>
          <w:rFonts w:cs="Arial"/>
        </w:rPr>
        <w:t xml:space="preserve"> o</w:t>
      </w:r>
      <w:r w:rsidR="00C24C27">
        <w:rPr>
          <w:rFonts w:cs="Arial"/>
        </w:rPr>
        <w:t> </w:t>
      </w:r>
      <w:r w:rsidRPr="00ED38E9" w:rsidR="00C24C27">
        <w:rPr>
          <w:rFonts w:cs="Arial"/>
        </w:rPr>
        <w:t>odpadech za uplynulý rok</w:t>
      </w:r>
      <w:r w:rsidRPr="00ED38E9" w:rsidR="00C24C27">
        <w:rPr>
          <w:rFonts w:cs="Arial"/>
        </w:rPr>
        <w:t xml:space="preserve"> </w:t>
      </w:r>
      <w:r w:rsidRPr="00ED38E9">
        <w:rPr>
          <w:rFonts w:cs="Arial"/>
        </w:rPr>
        <w:t>je možné sn</w:t>
      </w:r>
      <w:r w:rsidR="00C24C27">
        <w:rPr>
          <w:rFonts w:cs="Arial"/>
        </w:rPr>
        <w:t>í</w:t>
      </w:r>
      <w:r w:rsidRPr="00ED38E9">
        <w:rPr>
          <w:rFonts w:cs="Arial"/>
        </w:rPr>
        <w:t>ž</w:t>
      </w:r>
      <w:r w:rsidR="00C24C27">
        <w:rPr>
          <w:rFonts w:cs="Arial"/>
        </w:rPr>
        <w:t>i</w:t>
      </w:r>
      <w:r w:rsidRPr="00ED38E9">
        <w:rPr>
          <w:rFonts w:cs="Arial"/>
        </w:rPr>
        <w:t>t administrativní zátěž.</w:t>
      </w:r>
    </w:p>
    <w:p w:rsidR="0015529A" w:rsidRPr="00ED38E9" w:rsidP="00BE2D4A" w14:paraId="6DCD3C12" w14:textId="77777777">
      <w:pPr>
        <w:rPr>
          <w:rFonts w:cs="Arial"/>
        </w:rPr>
      </w:pPr>
    </w:p>
    <w:p w:rsidR="00BE2D4A" w:rsidRPr="00ED38E9" w:rsidP="007A2E3D" w14:paraId="2ECFB533" w14:textId="77777777">
      <w:pPr>
        <w:pStyle w:val="Heading2"/>
      </w:pPr>
      <w:bookmarkStart w:id="249" w:name="_Toc441759957"/>
      <w:r w:rsidRPr="00ED38E9">
        <w:t>Návrh variant řešení</w:t>
      </w:r>
      <w:bookmarkEnd w:id="249"/>
    </w:p>
    <w:p w:rsidR="00BE2D4A" w:rsidRPr="00ED38E9" w:rsidP="00BF16B7" w14:paraId="71672FC7" w14:textId="77777777">
      <w:pPr>
        <w:pStyle w:val="Heading3"/>
      </w:pPr>
      <w:r w:rsidRPr="00ED38E9">
        <w:t>Varianta 0</w:t>
      </w:r>
    </w:p>
    <w:p w:rsidR="00BE2D4A" w:rsidP="00BE2D4A" w14:paraId="1EA0E5B9" w14:textId="77777777">
      <w:pPr>
        <w:rPr>
          <w:rFonts w:cs="Arial"/>
        </w:rPr>
      </w:pPr>
      <w:r w:rsidRPr="00ED38E9">
        <w:rPr>
          <w:rFonts w:cs="Arial"/>
        </w:rPr>
        <w:t xml:space="preserve">Ponechání současného stavu, kdy výrobci a akreditovaní zástupci jsou povinni zpracovávat roční zprávu pro vlastní značku o plnění cílů stanovených v § 37 odst. 7 písm. b) </w:t>
      </w:r>
      <w:r w:rsidRPr="00ED38E9" w:rsidR="00C03A13">
        <w:rPr>
          <w:rFonts w:cs="Arial"/>
        </w:rPr>
        <w:t>zákon</w:t>
      </w:r>
      <w:r w:rsidR="00C03A13">
        <w:rPr>
          <w:rFonts w:cs="Arial"/>
        </w:rPr>
        <w:t>a</w:t>
      </w:r>
      <w:r w:rsidRPr="00ED38E9" w:rsidR="00C03A13">
        <w:rPr>
          <w:rFonts w:cs="Arial"/>
        </w:rPr>
        <w:t xml:space="preserve"> o</w:t>
      </w:r>
      <w:r w:rsidR="00BF6101">
        <w:rPr>
          <w:rFonts w:cs="Arial"/>
        </w:rPr>
        <w:t> </w:t>
      </w:r>
      <w:r w:rsidRPr="00ED38E9" w:rsidR="00C03A13">
        <w:rPr>
          <w:rFonts w:cs="Arial"/>
        </w:rPr>
        <w:t xml:space="preserve">odpadech </w:t>
      </w:r>
      <w:r w:rsidRPr="00ED38E9">
        <w:rPr>
          <w:rFonts w:cs="Arial"/>
        </w:rPr>
        <w:t>za uplynulý rok v</w:t>
      </w:r>
      <w:r w:rsidRPr="00ED38E9" w:rsidR="00333557">
        <w:rPr>
          <w:rFonts w:cs="Arial"/>
        </w:rPr>
        <w:t> </w:t>
      </w:r>
      <w:r w:rsidRPr="00ED38E9">
        <w:rPr>
          <w:rFonts w:cs="Arial"/>
        </w:rPr>
        <w:t>rozsahu přílohy č. 5 k</w:t>
      </w:r>
      <w:r w:rsidRPr="00ED38E9" w:rsidR="00333557">
        <w:rPr>
          <w:rFonts w:cs="Arial"/>
        </w:rPr>
        <w:t> </w:t>
      </w:r>
      <w:r w:rsidRPr="00ED38E9">
        <w:rPr>
          <w:rFonts w:cs="Arial"/>
        </w:rPr>
        <w:t>vyhlášce č. 352/2008 Sb.</w:t>
      </w:r>
    </w:p>
    <w:p w:rsidR="00BE2D4A" w:rsidRPr="00ED38E9" w:rsidP="00BF16B7" w14:paraId="1D99AA93" w14:textId="77777777">
      <w:pPr>
        <w:pStyle w:val="Heading3"/>
      </w:pPr>
      <w:r w:rsidRPr="00ED38E9">
        <w:t>Varianta 1</w:t>
      </w:r>
    </w:p>
    <w:p w:rsidR="00BE2D4A" w:rsidP="003C6BA1" w14:paraId="2B317E01" w14:textId="77777777">
      <w:pPr>
        <w:rPr>
          <w:rFonts w:cs="Arial"/>
        </w:rPr>
      </w:pPr>
      <w:r w:rsidRPr="00ED38E9">
        <w:rPr>
          <w:rFonts w:cs="Arial"/>
        </w:rPr>
        <w:t xml:space="preserve">Tato varianta předpokládá ponechání roční periodicity zasílání zpráv, ale </w:t>
      </w:r>
      <w:r w:rsidR="00C03A13">
        <w:rPr>
          <w:rFonts w:cs="Arial"/>
        </w:rPr>
        <w:t xml:space="preserve">současně </w:t>
      </w:r>
      <w:r w:rsidRPr="00ED38E9">
        <w:rPr>
          <w:rFonts w:cs="Arial"/>
        </w:rPr>
        <w:t>úpravu přílohy č. 5 k</w:t>
      </w:r>
      <w:r w:rsidRPr="00ED38E9" w:rsidR="00333557">
        <w:rPr>
          <w:rFonts w:cs="Arial"/>
        </w:rPr>
        <w:t> </w:t>
      </w:r>
      <w:r w:rsidRPr="00ED38E9">
        <w:rPr>
          <w:rFonts w:cs="Arial"/>
        </w:rPr>
        <w:t>vyhlášce č. 352/2008 Sb. Předpokládá se, že některé údaje není třeba požadovat, protože je možné je získat z</w:t>
      </w:r>
      <w:r w:rsidRPr="00ED38E9" w:rsidR="00333557">
        <w:rPr>
          <w:rFonts w:cs="Arial"/>
        </w:rPr>
        <w:t> </w:t>
      </w:r>
      <w:r w:rsidRPr="00ED38E9">
        <w:rPr>
          <w:rFonts w:cs="Arial"/>
        </w:rPr>
        <w:t>jiných zdrojů.</w:t>
      </w:r>
    </w:p>
    <w:p w:rsidR="00BE2D4A" w:rsidRPr="00ED38E9" w:rsidP="00BF16B7" w14:paraId="24BBB379" w14:textId="77777777">
      <w:pPr>
        <w:pStyle w:val="Heading3"/>
      </w:pPr>
      <w:r w:rsidRPr="00ED38E9">
        <w:t>Varianta 2</w:t>
      </w:r>
    </w:p>
    <w:p w:rsidR="002C4386" w:rsidP="003C6BA1" w14:paraId="4FE0EAE5" w14:textId="5770BECE">
      <w:pPr>
        <w:rPr>
          <w:rFonts w:cs="Arial"/>
        </w:rPr>
      </w:pPr>
      <w:r w:rsidRPr="00ED38E9">
        <w:rPr>
          <w:rFonts w:cs="Arial"/>
        </w:rPr>
        <w:t xml:space="preserve">Systém hlášení stejný jako u varianty předchozí, </w:t>
      </w:r>
      <w:r w:rsidR="00F8698F">
        <w:rPr>
          <w:rFonts w:cs="Arial"/>
        </w:rPr>
        <w:t>m</w:t>
      </w:r>
      <w:r w:rsidRPr="00ED38E9">
        <w:rPr>
          <w:rFonts w:cs="Arial"/>
        </w:rPr>
        <w:t>ění se pouze interval ohlašovaní z</w:t>
      </w:r>
      <w:r w:rsidRPr="00ED38E9" w:rsidR="00333557">
        <w:rPr>
          <w:rFonts w:cs="Arial"/>
        </w:rPr>
        <w:t> </w:t>
      </w:r>
      <w:r w:rsidRPr="00ED38E9">
        <w:rPr>
          <w:rFonts w:cs="Arial"/>
        </w:rPr>
        <w:t>1 roku na</w:t>
      </w:r>
      <w:r w:rsidR="0012681B">
        <w:rPr>
          <w:rFonts w:cs="Arial"/>
        </w:rPr>
        <w:t> </w:t>
      </w:r>
      <w:r w:rsidRPr="00ED38E9">
        <w:rPr>
          <w:rFonts w:cs="Arial"/>
        </w:rPr>
        <w:t>1x za 3 roky.</w:t>
      </w:r>
    </w:p>
    <w:p w:rsidR="002C4386" w:rsidRPr="00ED38E9" w:rsidP="00BF16B7" w14:paraId="02A0270A" w14:textId="77777777">
      <w:pPr>
        <w:pStyle w:val="Heading3"/>
      </w:pPr>
      <w:r w:rsidRPr="00ED38E9">
        <w:t>Varianta 3</w:t>
      </w:r>
    </w:p>
    <w:p w:rsidR="00BE2D4A" w:rsidP="003C6BA1" w14:paraId="550667EC" w14:textId="77777777">
      <w:pPr>
        <w:rPr>
          <w:rFonts w:cs="Arial"/>
        </w:rPr>
      </w:pPr>
      <w:r w:rsidRPr="00ED38E9">
        <w:rPr>
          <w:rFonts w:cs="Arial"/>
        </w:rPr>
        <w:t xml:space="preserve">Poslední varianta předpokládá úplné zrušení této povinnosti, protože veškerá </w:t>
      </w:r>
      <w:r w:rsidR="00F8698F">
        <w:rPr>
          <w:rFonts w:cs="Arial"/>
        </w:rPr>
        <w:t xml:space="preserve">potřebná </w:t>
      </w:r>
      <w:r w:rsidRPr="00ED38E9">
        <w:rPr>
          <w:rFonts w:cs="Arial"/>
        </w:rPr>
        <w:t>data je možné získat z</w:t>
      </w:r>
      <w:r w:rsidRPr="00ED38E9" w:rsidR="00333557">
        <w:rPr>
          <w:rFonts w:cs="Arial"/>
        </w:rPr>
        <w:t> </w:t>
      </w:r>
      <w:r w:rsidRPr="00ED38E9">
        <w:rPr>
          <w:rFonts w:cs="Arial"/>
        </w:rPr>
        <w:t>jiných zdrojů (</w:t>
      </w:r>
      <w:r w:rsidRPr="00ED38E9" w:rsidR="00A56310">
        <w:rPr>
          <w:rFonts w:cs="Arial"/>
        </w:rPr>
        <w:t>registr silničních vozidel</w:t>
      </w:r>
      <w:r w:rsidRPr="00ED38E9">
        <w:rPr>
          <w:rFonts w:cs="Arial"/>
        </w:rPr>
        <w:t>, roční hlášení od zpracovatelů vozidel s</w:t>
      </w:r>
      <w:r w:rsidRPr="00ED38E9" w:rsidR="00333557">
        <w:rPr>
          <w:rFonts w:cs="Arial"/>
        </w:rPr>
        <w:t> </w:t>
      </w:r>
      <w:r w:rsidRPr="00ED38E9">
        <w:rPr>
          <w:rFonts w:cs="Arial"/>
        </w:rPr>
        <w:t>ukončenou životností).</w:t>
      </w:r>
    </w:p>
    <w:p w:rsidR="00BE2D4A" w:rsidRPr="00ED38E9" w:rsidP="00CC0BB4" w14:paraId="7C3B6389" w14:textId="77777777">
      <w:pPr>
        <w:pStyle w:val="Heading2"/>
        <w:spacing w:before="360"/>
        <w:ind w:left="578" w:hanging="578"/>
      </w:pPr>
      <w:bookmarkStart w:id="250" w:name="_Toc441759958"/>
      <w:r w:rsidRPr="00ED38E9">
        <w:t>Vyhodnocení nákladů a přínosů</w:t>
      </w:r>
      <w:bookmarkEnd w:id="250"/>
    </w:p>
    <w:p w:rsidR="00BE2D4A" w:rsidRPr="00ED38E9" w:rsidP="00CC0BB4" w14:paraId="0D667516" w14:textId="77777777">
      <w:pPr>
        <w:pStyle w:val="Heading3"/>
        <w:keepNext/>
        <w:widowControl/>
      </w:pPr>
      <w:r w:rsidRPr="00ED38E9">
        <w:t>Identifikace nákladů a přínosů</w:t>
      </w:r>
    </w:p>
    <w:p w:rsidR="00BE2D4A" w:rsidRPr="00D10146" w:rsidP="00CC0BB4" w14:paraId="2EA67947" w14:textId="77777777">
      <w:pPr>
        <w:pStyle w:val="ListParagraph"/>
        <w:keepNext/>
        <w:numPr>
          <w:ilvl w:val="0"/>
          <w:numId w:val="21"/>
        </w:numPr>
        <w:spacing w:before="240" w:after="120"/>
        <w:rPr>
          <w:rFonts w:cs="Arial"/>
          <w:b/>
        </w:rPr>
      </w:pPr>
      <w:r w:rsidRPr="00D10146">
        <w:rPr>
          <w:rFonts w:cs="Arial"/>
          <w:b/>
        </w:rPr>
        <w:t>Varianta 0</w:t>
      </w:r>
    </w:p>
    <w:p w:rsidR="00902A83" w:rsidP="00BE2D4A" w14:paraId="438759AE" w14:textId="77777777">
      <w:r>
        <w:t>Administrativní zátěž CENIA související se zpracováním zaslaných ročních hlášení přes ISPOP je odhadována na 60 hod/rok. V tomto časovém odhadu je zahrnuto také každoroční testování ohlašovacího formuláře před ohlašováním, komunikace s ohlašovateli v případě chyb aj. Při započítání hodinových nákladů CENIA</w:t>
      </w:r>
      <w:r>
        <w:rPr>
          <w:rStyle w:val="FootnoteReference"/>
        </w:rPr>
        <w:footnoteReference w:id="15"/>
      </w:r>
      <w:r>
        <w:t xml:space="preserve">, které činí 382 Kč/hod, je celková roční administrativní zátěž související se zpracováním zaslaných ročních hlášení </w:t>
      </w:r>
      <w:r w:rsidR="008D450B">
        <w:rPr>
          <w:rFonts w:cs="Arial"/>
        </w:rPr>
        <w:t>výrobců</w:t>
      </w:r>
      <w:r w:rsidRPr="00ED38E9" w:rsidR="008D450B">
        <w:rPr>
          <w:rFonts w:cs="Arial"/>
        </w:rPr>
        <w:t xml:space="preserve"> </w:t>
      </w:r>
      <w:r w:rsidR="008D450B">
        <w:rPr>
          <w:rFonts w:cs="Arial"/>
        </w:rPr>
        <w:t xml:space="preserve">vozidel </w:t>
      </w:r>
      <w:r w:rsidRPr="00ED38E9" w:rsidR="008D450B">
        <w:rPr>
          <w:rFonts w:cs="Arial"/>
        </w:rPr>
        <w:t>a</w:t>
      </w:r>
      <w:r w:rsidR="008D450B">
        <w:rPr>
          <w:rFonts w:cs="Arial"/>
        </w:rPr>
        <w:t> </w:t>
      </w:r>
      <w:r w:rsidRPr="00ED38E9" w:rsidR="008D450B">
        <w:rPr>
          <w:rFonts w:cs="Arial"/>
        </w:rPr>
        <w:t>akreditovaný</w:t>
      </w:r>
      <w:r w:rsidR="008D450B">
        <w:rPr>
          <w:rFonts w:cs="Arial"/>
        </w:rPr>
        <w:t>ch</w:t>
      </w:r>
      <w:r w:rsidRPr="00ED38E9" w:rsidR="008D450B">
        <w:rPr>
          <w:rFonts w:cs="Arial"/>
        </w:rPr>
        <w:t xml:space="preserve"> zástupc</w:t>
      </w:r>
      <w:r w:rsidR="008D450B">
        <w:rPr>
          <w:rFonts w:cs="Arial"/>
        </w:rPr>
        <w:t>ů</w:t>
      </w:r>
      <w:r w:rsidRPr="00ED38E9" w:rsidR="008D450B">
        <w:rPr>
          <w:rFonts w:cs="Arial"/>
        </w:rPr>
        <w:t xml:space="preserve"> </w:t>
      </w:r>
      <w:r>
        <w:t>22 920 Kč.</w:t>
      </w:r>
    </w:p>
    <w:p w:rsidR="00902A83" w:rsidP="00BE2D4A" w14:paraId="3A884D97" w14:textId="2E66BCD5">
      <w:pPr>
        <w:rPr>
          <w:rFonts w:cs="Arial"/>
        </w:rPr>
      </w:pPr>
      <w:r>
        <w:rPr>
          <w:rFonts w:cs="Arial"/>
        </w:rPr>
        <w:t xml:space="preserve">Náklady </w:t>
      </w:r>
      <w:r w:rsidRPr="00ED38E9">
        <w:rPr>
          <w:rFonts w:cs="Arial"/>
        </w:rPr>
        <w:t xml:space="preserve">výrobců </w:t>
      </w:r>
      <w:r>
        <w:rPr>
          <w:rFonts w:cs="Arial"/>
        </w:rPr>
        <w:t xml:space="preserve">vozidel </w:t>
      </w:r>
      <w:r w:rsidRPr="00ED38E9">
        <w:rPr>
          <w:rFonts w:cs="Arial"/>
        </w:rPr>
        <w:t xml:space="preserve">a akreditovaných zástupců na </w:t>
      </w:r>
      <w:r>
        <w:rPr>
          <w:rFonts w:cs="Arial"/>
        </w:rPr>
        <w:t xml:space="preserve">zpracování a následné </w:t>
      </w:r>
      <w:r w:rsidRPr="00ED38E9">
        <w:rPr>
          <w:rFonts w:cs="Arial"/>
        </w:rPr>
        <w:t>zaslání roční zprávy přes ISPOP</w:t>
      </w:r>
      <w:r>
        <w:rPr>
          <w:rFonts w:cs="Arial"/>
        </w:rPr>
        <w:t xml:space="preserve"> je odhadováno na cca 40 hodin. C</w:t>
      </w:r>
      <w:r>
        <w:t xml:space="preserve">elková roční administrativní zátěž související se zasláním ročních hlášení </w:t>
      </w:r>
      <w:r>
        <w:rPr>
          <w:rFonts w:cs="Arial"/>
        </w:rPr>
        <w:t>výrobců</w:t>
      </w:r>
      <w:r w:rsidRPr="00ED38E9">
        <w:rPr>
          <w:rFonts w:cs="Arial"/>
        </w:rPr>
        <w:t xml:space="preserve"> </w:t>
      </w:r>
      <w:r>
        <w:rPr>
          <w:rFonts w:cs="Arial"/>
        </w:rPr>
        <w:t xml:space="preserve">vozidel </w:t>
      </w:r>
      <w:r w:rsidRPr="00ED38E9">
        <w:rPr>
          <w:rFonts w:cs="Arial"/>
        </w:rPr>
        <w:t>a</w:t>
      </w:r>
      <w:r>
        <w:rPr>
          <w:rFonts w:cs="Arial"/>
        </w:rPr>
        <w:t> </w:t>
      </w:r>
      <w:r w:rsidRPr="00ED38E9">
        <w:rPr>
          <w:rFonts w:cs="Arial"/>
        </w:rPr>
        <w:t>akreditovaný</w:t>
      </w:r>
      <w:r>
        <w:rPr>
          <w:rFonts w:cs="Arial"/>
        </w:rPr>
        <w:t>ch</w:t>
      </w:r>
      <w:r w:rsidRPr="00ED38E9">
        <w:rPr>
          <w:rFonts w:cs="Arial"/>
        </w:rPr>
        <w:t xml:space="preserve"> zástupc</w:t>
      </w:r>
      <w:r>
        <w:rPr>
          <w:rFonts w:cs="Arial"/>
        </w:rPr>
        <w:t xml:space="preserve">ů činí </w:t>
      </w:r>
      <w:r w:rsidR="00F251E9">
        <w:rPr>
          <w:rFonts w:cs="Arial"/>
        </w:rPr>
        <w:t>304</w:t>
      </w:r>
      <w:r>
        <w:rPr>
          <w:rFonts w:cs="Arial"/>
        </w:rPr>
        <w:t> tis.</w:t>
      </w:r>
      <w:r w:rsidR="00F068A9">
        <w:rPr>
          <w:rFonts w:cs="Arial"/>
        </w:rPr>
        <w:t> </w:t>
      </w:r>
      <w:r>
        <w:rPr>
          <w:rFonts w:cs="Arial"/>
        </w:rPr>
        <w:t>Kč.</w:t>
      </w:r>
    </w:p>
    <w:p w:rsidR="00BE2D4A" w:rsidRPr="003265E8" w:rsidP="00CC0BB4" w14:paraId="1A156A7B" w14:textId="37C55719">
      <w:pPr>
        <w:pStyle w:val="Caption"/>
        <w:contextualSpacing w:val="0"/>
        <w:rPr>
          <w:rFonts w:cs="Arial"/>
          <w:sz w:val="20"/>
          <w:szCs w:val="20"/>
        </w:rPr>
      </w:pPr>
      <w:r w:rsidRPr="003265E8">
        <w:rPr>
          <w:rFonts w:cs="Arial"/>
          <w:sz w:val="20"/>
          <w:szCs w:val="20"/>
        </w:rPr>
        <w:t xml:space="preserve">Tabulka </w:t>
      </w:r>
      <w:r w:rsidR="00C85B53">
        <w:rPr>
          <w:rFonts w:cs="Arial"/>
          <w:sz w:val="20"/>
          <w:szCs w:val="20"/>
        </w:rPr>
        <w:t>6</w:t>
      </w:r>
      <w:r w:rsidR="00925F10">
        <w:rPr>
          <w:rFonts w:cs="Arial"/>
          <w:sz w:val="20"/>
          <w:szCs w:val="20"/>
        </w:rPr>
        <w:t>7</w:t>
      </w:r>
      <w:r w:rsidRPr="003265E8">
        <w:rPr>
          <w:rFonts w:cs="Arial"/>
          <w:sz w:val="20"/>
          <w:szCs w:val="20"/>
        </w:rPr>
        <w:t>: Náklady na zaslání ročního hlášení přes ISPOP</w:t>
      </w:r>
    </w:p>
    <w:tbl>
      <w:tblPr>
        <w:tblW w:w="9035" w:type="dxa"/>
        <w:tblInd w:w="80" w:type="dxa"/>
        <w:tblCellMar>
          <w:left w:w="70" w:type="dxa"/>
          <w:right w:w="70" w:type="dxa"/>
        </w:tblCellMar>
        <w:tblLook w:val="04A0"/>
      </w:tblPr>
      <w:tblGrid>
        <w:gridCol w:w="7233"/>
        <w:gridCol w:w="1802"/>
      </w:tblGrid>
      <w:tr w14:paraId="39070523" w14:textId="77777777" w:rsidTr="007428B9">
        <w:tblPrEx>
          <w:tblW w:w="9035" w:type="dxa"/>
          <w:tblInd w:w="80" w:type="dxa"/>
          <w:tblCellMar>
            <w:left w:w="70" w:type="dxa"/>
            <w:right w:w="70" w:type="dxa"/>
          </w:tblCellMar>
          <w:tblLook w:val="04A0"/>
        </w:tblPrEx>
        <w:trPr>
          <w:trHeight w:val="550"/>
        </w:trPr>
        <w:tc>
          <w:tcPr>
            <w:tcW w:w="7233" w:type="dxa"/>
            <w:tcBorders>
              <w:top w:val="single" w:sz="4" w:space="0" w:color="auto"/>
              <w:left w:val="single" w:sz="8" w:space="0" w:color="auto"/>
              <w:bottom w:val="single" w:sz="4" w:space="0" w:color="auto"/>
              <w:right w:val="nil"/>
            </w:tcBorders>
            <w:shd w:val="clear" w:color="auto" w:fill="auto"/>
            <w:noWrap/>
            <w:vAlign w:val="center"/>
            <w:hideMark/>
          </w:tcPr>
          <w:p w:rsidR="00923717" w:rsidRPr="007428B9" w:rsidP="00221615" w14:paraId="42A2B53E" w14:textId="77777777">
            <w:pPr>
              <w:spacing w:before="0" w:after="0" w:line="240" w:lineRule="auto"/>
              <w:jc w:val="left"/>
              <w:rPr>
                <w:noProof w:val="0"/>
                <w:color w:val="000000"/>
                <w:sz w:val="20"/>
                <w:szCs w:val="20"/>
                <w:lang w:eastAsia="cs-CZ" w:bidi="ar-SA"/>
              </w:rPr>
            </w:pPr>
            <w:r w:rsidRPr="007428B9">
              <w:rPr>
                <w:noProof w:val="0"/>
                <w:color w:val="000000"/>
                <w:sz w:val="20"/>
                <w:szCs w:val="20"/>
                <w:lang w:eastAsia="cs-CZ" w:bidi="ar-SA"/>
              </w:rPr>
              <w:t>počet subjektů podávajících hlášení (ks)</w:t>
            </w:r>
          </w:p>
        </w:tc>
        <w:tc>
          <w:tcPr>
            <w:tcW w:w="18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3717" w:rsidRPr="007428B9" w:rsidP="00221615" w14:paraId="770FED14" w14:textId="77777777">
            <w:pPr>
              <w:spacing w:before="0" w:after="0" w:line="240" w:lineRule="auto"/>
              <w:jc w:val="center"/>
              <w:rPr>
                <w:noProof w:val="0"/>
                <w:sz w:val="20"/>
                <w:szCs w:val="20"/>
                <w:lang w:eastAsia="cs-CZ" w:bidi="ar-SA"/>
              </w:rPr>
            </w:pPr>
            <w:r w:rsidRPr="007428B9">
              <w:rPr>
                <w:noProof w:val="0"/>
                <w:sz w:val="20"/>
                <w:szCs w:val="20"/>
                <w:lang w:eastAsia="cs-CZ" w:bidi="ar-SA"/>
              </w:rPr>
              <w:t>24</w:t>
            </w:r>
          </w:p>
        </w:tc>
      </w:tr>
      <w:tr w14:paraId="64B40B85" w14:textId="77777777" w:rsidTr="007428B9">
        <w:tblPrEx>
          <w:tblW w:w="9035" w:type="dxa"/>
          <w:tblInd w:w="80" w:type="dxa"/>
          <w:tblCellMar>
            <w:left w:w="70" w:type="dxa"/>
            <w:right w:w="70" w:type="dxa"/>
          </w:tblCellMar>
          <w:tblLook w:val="04A0"/>
        </w:tblPrEx>
        <w:trPr>
          <w:trHeight w:val="416"/>
        </w:trPr>
        <w:tc>
          <w:tcPr>
            <w:tcW w:w="7233" w:type="dxa"/>
            <w:tcBorders>
              <w:top w:val="nil"/>
              <w:left w:val="single" w:sz="8" w:space="0" w:color="auto"/>
              <w:bottom w:val="single" w:sz="4" w:space="0" w:color="auto"/>
              <w:right w:val="nil"/>
            </w:tcBorders>
            <w:shd w:val="clear" w:color="auto" w:fill="auto"/>
            <w:noWrap/>
            <w:vAlign w:val="center"/>
            <w:hideMark/>
          </w:tcPr>
          <w:p w:rsidR="00923717" w:rsidRPr="007428B9" w:rsidP="00221615" w14:paraId="5D5CE6B5" w14:textId="77777777">
            <w:pPr>
              <w:spacing w:before="0" w:after="0" w:line="240" w:lineRule="auto"/>
              <w:jc w:val="left"/>
              <w:rPr>
                <w:noProof w:val="0"/>
                <w:color w:val="000000"/>
                <w:sz w:val="20"/>
                <w:szCs w:val="20"/>
                <w:lang w:eastAsia="cs-CZ" w:bidi="ar-SA"/>
              </w:rPr>
            </w:pPr>
            <w:r w:rsidRPr="007428B9">
              <w:rPr>
                <w:noProof w:val="0"/>
                <w:color w:val="000000"/>
                <w:sz w:val="20"/>
                <w:szCs w:val="20"/>
                <w:lang w:eastAsia="cs-CZ" w:bidi="ar-SA"/>
              </w:rPr>
              <w:t>max. časová náročnost na vyplnění hlášení (hod)</w:t>
            </w:r>
          </w:p>
        </w:tc>
        <w:tc>
          <w:tcPr>
            <w:tcW w:w="1802" w:type="dxa"/>
            <w:tcBorders>
              <w:top w:val="nil"/>
              <w:left w:val="single" w:sz="8" w:space="0" w:color="auto"/>
              <w:bottom w:val="single" w:sz="4" w:space="0" w:color="auto"/>
              <w:right w:val="single" w:sz="4" w:space="0" w:color="auto"/>
            </w:tcBorders>
            <w:shd w:val="clear" w:color="auto" w:fill="auto"/>
            <w:noWrap/>
            <w:vAlign w:val="center"/>
            <w:hideMark/>
          </w:tcPr>
          <w:p w:rsidR="00923717" w:rsidRPr="007428B9" w:rsidP="00221615" w14:paraId="500B832C" w14:textId="77777777">
            <w:pPr>
              <w:spacing w:before="0" w:after="0" w:line="240" w:lineRule="auto"/>
              <w:jc w:val="center"/>
              <w:rPr>
                <w:noProof w:val="0"/>
                <w:sz w:val="20"/>
                <w:szCs w:val="20"/>
                <w:lang w:eastAsia="cs-CZ" w:bidi="ar-SA"/>
              </w:rPr>
            </w:pPr>
            <w:r w:rsidRPr="007428B9">
              <w:rPr>
                <w:noProof w:val="0"/>
                <w:sz w:val="20"/>
                <w:szCs w:val="20"/>
                <w:lang w:eastAsia="cs-CZ" w:bidi="ar-SA"/>
              </w:rPr>
              <w:t>40</w:t>
            </w:r>
          </w:p>
        </w:tc>
      </w:tr>
      <w:tr w14:paraId="153A8706" w14:textId="77777777" w:rsidTr="007428B9">
        <w:tblPrEx>
          <w:tblW w:w="9035" w:type="dxa"/>
          <w:tblInd w:w="80" w:type="dxa"/>
          <w:tblCellMar>
            <w:left w:w="70" w:type="dxa"/>
            <w:right w:w="70" w:type="dxa"/>
          </w:tblCellMar>
          <w:tblLook w:val="04A0"/>
        </w:tblPrEx>
        <w:trPr>
          <w:trHeight w:val="431"/>
        </w:trPr>
        <w:tc>
          <w:tcPr>
            <w:tcW w:w="7233" w:type="dxa"/>
            <w:tcBorders>
              <w:top w:val="nil"/>
              <w:left w:val="single" w:sz="8" w:space="0" w:color="auto"/>
              <w:bottom w:val="nil"/>
              <w:right w:val="nil"/>
            </w:tcBorders>
            <w:shd w:val="clear" w:color="auto" w:fill="auto"/>
            <w:noWrap/>
            <w:vAlign w:val="center"/>
            <w:hideMark/>
          </w:tcPr>
          <w:p w:rsidR="00923717" w:rsidRPr="007428B9" w:rsidP="00221615" w14:paraId="6A2AD3AB" w14:textId="77777777">
            <w:pPr>
              <w:spacing w:before="0" w:after="0" w:line="240" w:lineRule="auto"/>
              <w:jc w:val="left"/>
              <w:rPr>
                <w:noProof w:val="0"/>
                <w:color w:val="000000"/>
                <w:sz w:val="20"/>
                <w:szCs w:val="20"/>
                <w:lang w:eastAsia="cs-CZ" w:bidi="ar-SA"/>
              </w:rPr>
            </w:pPr>
            <w:r w:rsidRPr="007428B9">
              <w:rPr>
                <w:noProof w:val="0"/>
                <w:color w:val="000000"/>
                <w:sz w:val="20"/>
                <w:szCs w:val="20"/>
                <w:lang w:eastAsia="cs-CZ" w:bidi="ar-SA"/>
              </w:rPr>
              <w:t>hodinová mzda odpovědného pracovníka (Kč/hod)</w:t>
            </w:r>
          </w:p>
        </w:tc>
        <w:tc>
          <w:tcPr>
            <w:tcW w:w="1802" w:type="dxa"/>
            <w:tcBorders>
              <w:top w:val="nil"/>
              <w:left w:val="single" w:sz="8" w:space="0" w:color="auto"/>
              <w:bottom w:val="nil"/>
              <w:right w:val="single" w:sz="4" w:space="0" w:color="auto"/>
            </w:tcBorders>
            <w:shd w:val="clear" w:color="auto" w:fill="auto"/>
            <w:noWrap/>
            <w:vAlign w:val="center"/>
            <w:hideMark/>
          </w:tcPr>
          <w:p w:rsidR="00923717" w:rsidRPr="007428B9" w:rsidP="00F251E9" w14:paraId="0807259C" w14:textId="08CBEA6A">
            <w:pPr>
              <w:spacing w:before="0" w:after="0" w:line="240" w:lineRule="auto"/>
              <w:jc w:val="center"/>
              <w:rPr>
                <w:noProof w:val="0"/>
                <w:sz w:val="20"/>
                <w:szCs w:val="20"/>
                <w:lang w:eastAsia="cs-CZ" w:bidi="ar-SA"/>
              </w:rPr>
            </w:pPr>
            <w:r w:rsidRPr="007428B9">
              <w:rPr>
                <w:noProof w:val="0"/>
                <w:sz w:val="20"/>
                <w:szCs w:val="20"/>
                <w:lang w:eastAsia="cs-CZ" w:bidi="ar-SA"/>
              </w:rPr>
              <w:t>3</w:t>
            </w:r>
            <w:r w:rsidR="00F251E9">
              <w:rPr>
                <w:noProof w:val="0"/>
                <w:sz w:val="20"/>
                <w:szCs w:val="20"/>
                <w:lang w:eastAsia="cs-CZ" w:bidi="ar-SA"/>
              </w:rPr>
              <w:t>17</w:t>
            </w:r>
          </w:p>
        </w:tc>
      </w:tr>
      <w:tr w14:paraId="511D5A69" w14:textId="77777777" w:rsidTr="007428B9">
        <w:tblPrEx>
          <w:tblW w:w="9035" w:type="dxa"/>
          <w:tblInd w:w="80" w:type="dxa"/>
          <w:tblCellMar>
            <w:left w:w="70" w:type="dxa"/>
            <w:right w:w="70" w:type="dxa"/>
          </w:tblCellMar>
          <w:tblLook w:val="04A0"/>
        </w:tblPrEx>
        <w:trPr>
          <w:trHeight w:val="646"/>
        </w:trPr>
        <w:tc>
          <w:tcPr>
            <w:tcW w:w="7233" w:type="dxa"/>
            <w:tcBorders>
              <w:top w:val="single" w:sz="8" w:space="0" w:color="auto"/>
              <w:left w:val="single" w:sz="8" w:space="0" w:color="auto"/>
              <w:bottom w:val="single" w:sz="8" w:space="0" w:color="auto"/>
              <w:right w:val="nil"/>
            </w:tcBorders>
            <w:shd w:val="clear" w:color="auto" w:fill="auto"/>
            <w:vAlign w:val="center"/>
            <w:hideMark/>
          </w:tcPr>
          <w:p w:rsidR="00923717" w:rsidRPr="007428B9" w:rsidP="00221615" w14:paraId="015AB13F" w14:textId="77777777">
            <w:pPr>
              <w:spacing w:before="0" w:after="0" w:line="240" w:lineRule="auto"/>
              <w:jc w:val="left"/>
              <w:rPr>
                <w:b/>
                <w:bCs/>
                <w:noProof w:val="0"/>
                <w:color w:val="000000"/>
                <w:sz w:val="20"/>
                <w:szCs w:val="20"/>
                <w:lang w:eastAsia="cs-CZ" w:bidi="ar-SA"/>
              </w:rPr>
            </w:pPr>
            <w:r w:rsidRPr="007428B9">
              <w:rPr>
                <w:b/>
                <w:bCs/>
                <w:noProof w:val="0"/>
                <w:color w:val="000000"/>
                <w:sz w:val="20"/>
                <w:szCs w:val="20"/>
                <w:lang w:eastAsia="cs-CZ" w:bidi="ar-SA"/>
              </w:rPr>
              <w:t>Celkové náklady na administrativu spojenou s vyplněním přílohy č. 5 vyhlášky 352/2008 Sb. (Kč)</w:t>
            </w:r>
          </w:p>
        </w:tc>
        <w:tc>
          <w:tcPr>
            <w:tcW w:w="180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23717" w:rsidRPr="007428B9" w:rsidP="00221615" w14:paraId="0F4E7CFB" w14:textId="3C30947D">
            <w:pPr>
              <w:spacing w:before="0" w:after="0" w:line="240" w:lineRule="auto"/>
              <w:jc w:val="center"/>
              <w:rPr>
                <w:b/>
                <w:bCs/>
                <w:noProof w:val="0"/>
                <w:sz w:val="20"/>
                <w:szCs w:val="20"/>
                <w:lang w:eastAsia="cs-CZ" w:bidi="ar-SA"/>
              </w:rPr>
            </w:pPr>
            <w:r>
              <w:rPr>
                <w:b/>
                <w:bCs/>
                <w:noProof w:val="0"/>
                <w:sz w:val="20"/>
                <w:szCs w:val="20"/>
                <w:lang w:eastAsia="cs-CZ" w:bidi="ar-SA"/>
              </w:rPr>
              <w:t>304 320</w:t>
            </w:r>
          </w:p>
        </w:tc>
      </w:tr>
    </w:tbl>
    <w:p w:rsidR="00BE2D4A" w:rsidRPr="00D10146" w:rsidP="00CC0BB4" w14:paraId="37DAE5F5" w14:textId="77777777">
      <w:pPr>
        <w:pStyle w:val="ListParagraph"/>
        <w:numPr>
          <w:ilvl w:val="0"/>
          <w:numId w:val="21"/>
        </w:numPr>
        <w:spacing w:before="360" w:after="120"/>
        <w:ind w:left="714" w:hanging="357"/>
        <w:rPr>
          <w:rFonts w:cs="Arial"/>
          <w:b/>
        </w:rPr>
      </w:pPr>
      <w:r w:rsidRPr="00D10146">
        <w:rPr>
          <w:rFonts w:cs="Arial"/>
          <w:b/>
        </w:rPr>
        <w:t>Varianta 1</w:t>
      </w:r>
    </w:p>
    <w:p w:rsidR="00BE2D4A" w:rsidRPr="00ED38E9" w:rsidP="00937FFC" w14:paraId="63B4BB3F" w14:textId="77777777">
      <w:pPr>
        <w:spacing w:after="120"/>
        <w:rPr>
          <w:rFonts w:cs="Arial"/>
        </w:rPr>
      </w:pPr>
      <w:r w:rsidRPr="00ED38E9">
        <w:rPr>
          <w:rFonts w:cs="Arial"/>
        </w:rPr>
        <w:t>Tato varianta představuje změnu zasílaného formuláře. V</w:t>
      </w:r>
      <w:r w:rsidRPr="00ED38E9" w:rsidR="00333557">
        <w:rPr>
          <w:rFonts w:cs="Arial"/>
        </w:rPr>
        <w:t> </w:t>
      </w:r>
      <w:r w:rsidRPr="00ED38E9">
        <w:rPr>
          <w:rFonts w:cs="Arial"/>
        </w:rPr>
        <w:t xml:space="preserve">případě, že by se jednalo o změnu malého rozsahu, která by vyžadovala činnost jednoho programátora po dobu jednoho dne, tak náklady na tuto změnu se pohybují kolem 17 tis. Kč. Pokud by ale bylo nutné vytvořit formulář </w:t>
      </w:r>
      <w:r w:rsidR="00AC5170">
        <w:rPr>
          <w:rFonts w:cs="Arial"/>
        </w:rPr>
        <w:t>nový</w:t>
      </w:r>
      <w:r w:rsidRPr="00ED38E9">
        <w:rPr>
          <w:rFonts w:cs="Arial"/>
        </w:rPr>
        <w:t xml:space="preserve">, </w:t>
      </w:r>
      <w:r w:rsidR="00AC5170">
        <w:rPr>
          <w:rFonts w:cs="Arial"/>
        </w:rPr>
        <w:t xml:space="preserve">náklady by se pohybovaly </w:t>
      </w:r>
      <w:r w:rsidRPr="00ED38E9">
        <w:rPr>
          <w:rFonts w:cs="Arial"/>
        </w:rPr>
        <w:t>v</w:t>
      </w:r>
      <w:r w:rsidRPr="00ED38E9" w:rsidR="00333557">
        <w:rPr>
          <w:rFonts w:cs="Arial"/>
        </w:rPr>
        <w:t> </w:t>
      </w:r>
      <w:r w:rsidRPr="00ED38E9">
        <w:rPr>
          <w:rFonts w:cs="Arial"/>
        </w:rPr>
        <w:t xml:space="preserve">částkách cca 200–400 tis. Kč (zdroj: CENIA). Roční náklady </w:t>
      </w:r>
      <w:r w:rsidR="00B74697">
        <w:rPr>
          <w:rFonts w:cs="Arial"/>
        </w:rPr>
        <w:t>MŽP</w:t>
      </w:r>
      <w:r w:rsidR="00AC5170">
        <w:rPr>
          <w:rFonts w:cs="Arial"/>
        </w:rPr>
        <w:t xml:space="preserve"> </w:t>
      </w:r>
      <w:r w:rsidRPr="00ED38E9">
        <w:rPr>
          <w:rFonts w:cs="Arial"/>
        </w:rPr>
        <w:t xml:space="preserve">na zpracování hlášení odhadujeme opět na cca </w:t>
      </w:r>
      <w:r w:rsidR="00DC05C0">
        <w:rPr>
          <w:rFonts w:cs="Arial"/>
        </w:rPr>
        <w:t>23 tis.</w:t>
      </w:r>
      <w:r w:rsidRPr="00ED38E9">
        <w:rPr>
          <w:rFonts w:cs="Arial"/>
        </w:rPr>
        <w:t xml:space="preserve"> Kč</w:t>
      </w:r>
      <w:r w:rsidR="00DC05C0">
        <w:rPr>
          <w:rFonts w:cs="Arial"/>
        </w:rPr>
        <w:t>/rok</w:t>
      </w:r>
      <w:r w:rsidRPr="00ED38E9">
        <w:rPr>
          <w:rFonts w:cs="Arial"/>
        </w:rPr>
        <w:t>.</w:t>
      </w:r>
    </w:p>
    <w:p w:rsidR="00DC05C0" w:rsidP="00BE2D4A" w14:paraId="27805886" w14:textId="6E3467CD">
      <w:pPr>
        <w:spacing w:before="240" w:after="120"/>
        <w:contextualSpacing/>
        <w:rPr>
          <w:rFonts w:cs="Arial"/>
        </w:rPr>
      </w:pPr>
      <w:r>
        <w:rPr>
          <w:rFonts w:cs="Arial"/>
        </w:rPr>
        <w:t xml:space="preserve">Pro podnikatelské subjekty </w:t>
      </w:r>
      <w:r w:rsidRPr="00ED38E9">
        <w:rPr>
          <w:rFonts w:cs="Arial"/>
        </w:rPr>
        <w:t xml:space="preserve">předpokládáme </w:t>
      </w:r>
      <w:r>
        <w:rPr>
          <w:rFonts w:cs="Arial"/>
        </w:rPr>
        <w:t>stejnou č</w:t>
      </w:r>
      <w:r w:rsidRPr="00ED38E9" w:rsidR="00BE2D4A">
        <w:rPr>
          <w:rFonts w:cs="Arial"/>
        </w:rPr>
        <w:t xml:space="preserve">asovou náročnost na </w:t>
      </w:r>
      <w:r>
        <w:rPr>
          <w:rFonts w:cs="Arial"/>
        </w:rPr>
        <w:t>zpracování a</w:t>
      </w:r>
      <w:r w:rsidR="00D73208">
        <w:rPr>
          <w:rFonts w:cs="Arial"/>
        </w:rPr>
        <w:t> </w:t>
      </w:r>
      <w:r>
        <w:rPr>
          <w:rFonts w:cs="Arial"/>
        </w:rPr>
        <w:t xml:space="preserve">zaslání roční zprávy, tj. </w:t>
      </w:r>
      <w:r w:rsidR="00F251E9">
        <w:rPr>
          <w:rFonts w:cs="Arial"/>
        </w:rPr>
        <w:t>304</w:t>
      </w:r>
      <w:r>
        <w:rPr>
          <w:rFonts w:cs="Arial"/>
        </w:rPr>
        <w:t xml:space="preserve"> tis. Kč/rok.</w:t>
      </w:r>
    </w:p>
    <w:p w:rsidR="00BE2D4A" w:rsidRPr="00D10146" w:rsidP="003C6BA1" w14:paraId="42F232FA" w14:textId="77777777">
      <w:pPr>
        <w:pStyle w:val="ListParagraph"/>
        <w:numPr>
          <w:ilvl w:val="0"/>
          <w:numId w:val="21"/>
        </w:numPr>
        <w:spacing w:before="360" w:after="120"/>
        <w:ind w:left="714" w:hanging="357"/>
        <w:contextualSpacing w:val="0"/>
        <w:rPr>
          <w:rFonts w:cs="Arial"/>
          <w:b/>
        </w:rPr>
      </w:pPr>
      <w:r w:rsidRPr="00D10146">
        <w:rPr>
          <w:rFonts w:cs="Arial"/>
          <w:b/>
        </w:rPr>
        <w:t>Varianta 2</w:t>
      </w:r>
    </w:p>
    <w:p w:rsidR="00DC05C0" w:rsidP="00BE2D4A" w14:paraId="609A6F92" w14:textId="08AEBA9C">
      <w:pPr>
        <w:rPr>
          <w:rFonts w:cs="Arial"/>
        </w:rPr>
      </w:pPr>
      <w:r w:rsidRPr="00ED38E9">
        <w:rPr>
          <w:rFonts w:cs="Arial"/>
        </w:rPr>
        <w:t>Tato varianta počítá se změnou zasílání hlášení výrobců a akreditovaných zástupců z</w:t>
      </w:r>
      <w:r w:rsidRPr="00ED38E9" w:rsidR="00333557">
        <w:rPr>
          <w:rFonts w:cs="Arial"/>
        </w:rPr>
        <w:t> </w:t>
      </w:r>
      <w:r w:rsidRPr="00ED38E9">
        <w:rPr>
          <w:rFonts w:cs="Arial"/>
        </w:rPr>
        <w:t>roční periodicity na tříletou. V</w:t>
      </w:r>
      <w:r w:rsidRPr="00ED38E9" w:rsidR="00333557">
        <w:rPr>
          <w:rFonts w:cs="Arial"/>
        </w:rPr>
        <w:t> </w:t>
      </w:r>
      <w:r w:rsidRPr="00ED38E9">
        <w:rPr>
          <w:rFonts w:cs="Arial"/>
        </w:rPr>
        <w:t xml:space="preserve">tomto případě předpokládáme snížení ročních nákladů </w:t>
      </w:r>
      <w:r>
        <w:rPr>
          <w:rFonts w:cs="Arial"/>
        </w:rPr>
        <w:t xml:space="preserve">zhruba </w:t>
      </w:r>
      <w:r w:rsidRPr="00ED38E9">
        <w:rPr>
          <w:rFonts w:cs="Arial"/>
        </w:rPr>
        <w:t>na</w:t>
      </w:r>
      <w:r>
        <w:rPr>
          <w:rFonts w:cs="Arial"/>
        </w:rPr>
        <w:t> </w:t>
      </w:r>
      <w:r w:rsidRPr="00ED38E9">
        <w:rPr>
          <w:rFonts w:cs="Arial"/>
        </w:rPr>
        <w:t xml:space="preserve">třetinu, tj. náklady výrobců </w:t>
      </w:r>
      <w:r>
        <w:rPr>
          <w:rFonts w:cs="Arial"/>
        </w:rPr>
        <w:t>vozidel budou činit cca 100 tis. Kč/rok</w:t>
      </w:r>
      <w:r w:rsidRPr="00ED38E9">
        <w:rPr>
          <w:rFonts w:cs="Arial"/>
        </w:rPr>
        <w:t xml:space="preserve"> a náklady </w:t>
      </w:r>
      <w:r>
        <w:rPr>
          <w:rFonts w:cs="Arial"/>
        </w:rPr>
        <w:t>CENIA</w:t>
      </w:r>
      <w:r w:rsidRPr="00ED38E9">
        <w:rPr>
          <w:rFonts w:cs="Arial"/>
        </w:rPr>
        <w:t xml:space="preserve"> </w:t>
      </w:r>
      <w:r w:rsidRPr="00ED38E9">
        <w:rPr>
          <w:rFonts w:cs="Arial"/>
        </w:rPr>
        <w:t>cca</w:t>
      </w:r>
      <w:r w:rsidR="00F068A9">
        <w:rPr>
          <w:rFonts w:cs="Arial"/>
        </w:rPr>
        <w:t> </w:t>
      </w:r>
      <w:r>
        <w:rPr>
          <w:rFonts w:cs="Arial"/>
        </w:rPr>
        <w:t>7 640</w:t>
      </w:r>
      <w:r w:rsidRPr="00ED38E9">
        <w:rPr>
          <w:rFonts w:cs="Arial"/>
        </w:rPr>
        <w:t xml:space="preserve"> </w:t>
      </w:r>
      <w:r w:rsidRPr="00ED38E9">
        <w:rPr>
          <w:rFonts w:cs="Arial"/>
        </w:rPr>
        <w:t xml:space="preserve">Kč ročně. </w:t>
      </w:r>
    </w:p>
    <w:p w:rsidR="00BE2D4A" w:rsidP="00BE2D4A" w14:paraId="1FB72136" w14:textId="67D8DAC9">
      <w:pPr>
        <w:rPr>
          <w:rFonts w:cs="Arial"/>
        </w:rPr>
      </w:pPr>
      <w:r w:rsidRPr="00ED38E9">
        <w:rPr>
          <w:rFonts w:cs="Arial"/>
        </w:rPr>
        <w:t>V</w:t>
      </w:r>
      <w:r w:rsidRPr="00ED38E9" w:rsidR="00333557">
        <w:rPr>
          <w:rFonts w:cs="Arial"/>
        </w:rPr>
        <w:t> </w:t>
      </w:r>
      <w:r w:rsidRPr="00ED38E9">
        <w:rPr>
          <w:rFonts w:cs="Arial"/>
        </w:rPr>
        <w:t>případě, že bude formulář upraven, tak jednorázové náklady na jeho úpravu mohou být cca</w:t>
      </w:r>
      <w:r w:rsidR="00F068A9">
        <w:rPr>
          <w:rFonts w:cs="Arial"/>
        </w:rPr>
        <w:t> </w:t>
      </w:r>
      <w:r w:rsidRPr="00ED38E9">
        <w:rPr>
          <w:rFonts w:cs="Arial"/>
        </w:rPr>
        <w:t xml:space="preserve">17–400 tis. Kč dle náročnosti úpravy. Mezi přínosy můžeme zařadit mírné snížení administrativní zátěže výrobců a akreditovaných zástupců, ale naopak očekáváme mírné navýšení administrativní zátěže </w:t>
      </w:r>
      <w:r w:rsidR="00DC05C0">
        <w:rPr>
          <w:rFonts w:cs="Arial"/>
        </w:rPr>
        <w:t>CENIA</w:t>
      </w:r>
      <w:r w:rsidRPr="00ED38E9" w:rsidR="00DC05C0">
        <w:rPr>
          <w:rFonts w:cs="Arial"/>
        </w:rPr>
        <w:t xml:space="preserve"> </w:t>
      </w:r>
      <w:r w:rsidRPr="00ED38E9">
        <w:rPr>
          <w:rFonts w:cs="Arial"/>
        </w:rPr>
        <w:t>nebo dalších orgánů, které budou muset vést evidenci výrobců a akreditovaných zátupců o tom, ve kterém roce zasílají hlášení a jestli splnili svoji povinnost.</w:t>
      </w:r>
    </w:p>
    <w:p w:rsidR="00BE2D4A" w:rsidRPr="00D10146" w:rsidP="003C6BA1" w14:paraId="44A34753" w14:textId="77777777">
      <w:pPr>
        <w:pStyle w:val="ListParagraph"/>
        <w:numPr>
          <w:ilvl w:val="0"/>
          <w:numId w:val="21"/>
        </w:numPr>
        <w:spacing w:before="360" w:after="120"/>
        <w:ind w:left="714" w:hanging="357"/>
        <w:contextualSpacing w:val="0"/>
        <w:rPr>
          <w:rFonts w:cs="Arial"/>
          <w:b/>
        </w:rPr>
      </w:pPr>
      <w:r w:rsidRPr="00D10146">
        <w:rPr>
          <w:rFonts w:cs="Arial"/>
          <w:b/>
        </w:rPr>
        <w:t>Varianta 3</w:t>
      </w:r>
    </w:p>
    <w:p w:rsidR="00BE2D4A" w:rsidP="00BE2D4A" w14:paraId="46F41D4F" w14:textId="023A1E9F">
      <w:pPr>
        <w:rPr>
          <w:rFonts w:cs="Arial"/>
        </w:rPr>
      </w:pPr>
      <w:r w:rsidRPr="00ED38E9">
        <w:rPr>
          <w:rFonts w:cs="Arial"/>
        </w:rPr>
        <w:t xml:space="preserve">Varianta 3 představuje úplné zrušení informační povinnosti pro výrobce a akreditované zástupce. </w:t>
      </w:r>
      <w:r w:rsidR="00B74697">
        <w:rPr>
          <w:rFonts w:cs="Arial"/>
        </w:rPr>
        <w:t xml:space="preserve">Tato varianta </w:t>
      </w:r>
      <w:r w:rsidRPr="00ED38E9">
        <w:rPr>
          <w:rFonts w:cs="Arial"/>
        </w:rPr>
        <w:t>předs</w:t>
      </w:r>
      <w:r w:rsidRPr="00ED38E9" w:rsidR="007B7D80">
        <w:rPr>
          <w:rFonts w:cs="Arial"/>
        </w:rPr>
        <w:t>t</w:t>
      </w:r>
      <w:r w:rsidRPr="00ED38E9">
        <w:rPr>
          <w:rFonts w:cs="Arial"/>
        </w:rPr>
        <w:t xml:space="preserve">avuje </w:t>
      </w:r>
      <w:r w:rsidRPr="005F42B3" w:rsidR="005F42B3">
        <w:rPr>
          <w:rFonts w:cs="Arial"/>
        </w:rPr>
        <w:t xml:space="preserve">pro výrobce a akreditované zástupce </w:t>
      </w:r>
      <w:r w:rsidRPr="00ED38E9">
        <w:rPr>
          <w:rFonts w:cs="Arial"/>
        </w:rPr>
        <w:t>roční úsporu cca</w:t>
      </w:r>
      <w:r w:rsidR="00F068A9">
        <w:rPr>
          <w:rFonts w:cs="Arial"/>
        </w:rPr>
        <w:t> </w:t>
      </w:r>
      <w:r w:rsidR="00F251E9">
        <w:rPr>
          <w:rFonts w:cs="Arial"/>
        </w:rPr>
        <w:t>304</w:t>
      </w:r>
      <w:r w:rsidR="00DC05C0">
        <w:rPr>
          <w:rFonts w:cs="Arial"/>
        </w:rPr>
        <w:t> tis.</w:t>
      </w:r>
      <w:r w:rsidRPr="00ED38E9">
        <w:rPr>
          <w:rFonts w:cs="Arial"/>
        </w:rPr>
        <w:t xml:space="preserve"> Kč</w:t>
      </w:r>
      <w:r w:rsidR="00DC05C0">
        <w:rPr>
          <w:rFonts w:cs="Arial"/>
        </w:rPr>
        <w:t>/rok</w:t>
      </w:r>
      <w:r w:rsidRPr="00ED38E9">
        <w:rPr>
          <w:rFonts w:cs="Arial"/>
        </w:rPr>
        <w:t xml:space="preserve"> </w:t>
      </w:r>
      <w:r w:rsidR="00DC05C0">
        <w:rPr>
          <w:rFonts w:cs="Arial"/>
        </w:rPr>
        <w:t xml:space="preserve">a pro CENIA cca 23 tis. Kč/rok </w:t>
      </w:r>
      <w:r w:rsidRPr="00ED38E9">
        <w:rPr>
          <w:rFonts w:cs="Arial"/>
        </w:rPr>
        <w:t>za administrativní činnosti spojené s</w:t>
      </w:r>
      <w:r w:rsidRPr="00ED38E9" w:rsidR="00333557">
        <w:rPr>
          <w:rFonts w:cs="Arial"/>
        </w:rPr>
        <w:t> </w:t>
      </w:r>
      <w:r w:rsidRPr="00ED38E9">
        <w:rPr>
          <w:rFonts w:cs="Arial"/>
        </w:rPr>
        <w:t>touto agendou.</w:t>
      </w:r>
    </w:p>
    <w:p w:rsidR="00C85B53" w:rsidRPr="00ED38E9" w:rsidP="00BE2D4A" w14:paraId="6DD0AB1F" w14:textId="77777777">
      <w:pPr>
        <w:rPr>
          <w:rFonts w:cs="Arial"/>
        </w:rPr>
      </w:pPr>
    </w:p>
    <w:p w:rsidR="00BE2D4A" w:rsidRPr="00ED38E9" w:rsidP="00BF16B7" w14:paraId="2F02782B" w14:textId="77777777">
      <w:pPr>
        <w:pStyle w:val="Heading3"/>
      </w:pPr>
      <w:r w:rsidRPr="00ED38E9">
        <w:t>Vyhodnocení nákladů a přínosů variant</w:t>
      </w:r>
    </w:p>
    <w:p w:rsidR="00BE2D4A" w:rsidRPr="003265E8" w:rsidP="00D10146" w14:paraId="0CC8DB12" w14:textId="4C976386">
      <w:pPr>
        <w:pStyle w:val="Caption"/>
        <w:spacing w:before="120"/>
        <w:contextualSpacing w:val="0"/>
        <w:rPr>
          <w:rFonts w:cs="Arial"/>
          <w:sz w:val="20"/>
          <w:szCs w:val="20"/>
        </w:rPr>
      </w:pPr>
      <w:r w:rsidRPr="003265E8">
        <w:rPr>
          <w:rFonts w:cs="Arial"/>
          <w:sz w:val="20"/>
          <w:szCs w:val="20"/>
        </w:rPr>
        <w:t>Tabulka</w:t>
      </w:r>
      <w:r w:rsidRPr="003265E8" w:rsidR="00CB0162">
        <w:rPr>
          <w:rFonts w:cs="Arial"/>
          <w:sz w:val="20"/>
          <w:szCs w:val="20"/>
        </w:rPr>
        <w:t xml:space="preserve"> </w:t>
      </w:r>
      <w:r w:rsidR="00C85B53">
        <w:rPr>
          <w:rFonts w:cs="Arial"/>
          <w:sz w:val="20"/>
          <w:szCs w:val="20"/>
        </w:rPr>
        <w:t>6</w:t>
      </w:r>
      <w:r w:rsidR="00925F10">
        <w:rPr>
          <w:rFonts w:cs="Arial"/>
          <w:sz w:val="20"/>
          <w:szCs w:val="20"/>
        </w:rPr>
        <w:t>8</w:t>
      </w:r>
      <w:r w:rsidRPr="003265E8">
        <w:rPr>
          <w:rFonts w:cs="Arial"/>
          <w:sz w:val="20"/>
          <w:szCs w:val="20"/>
        </w:rPr>
        <w:t>: Porovnání nákladů a přínosů</w:t>
      </w:r>
    </w:p>
    <w:tbl>
      <w:tblPr>
        <w:tblStyle w:val="TableGrid"/>
        <w:tblW w:w="0" w:type="auto"/>
        <w:tblLook w:val="04A0"/>
      </w:tblPr>
      <w:tblGrid>
        <w:gridCol w:w="1806"/>
        <w:gridCol w:w="1822"/>
        <w:gridCol w:w="1807"/>
        <w:gridCol w:w="1819"/>
        <w:gridCol w:w="1808"/>
      </w:tblGrid>
      <w:tr w14:paraId="7F7B0D77" w14:textId="77777777" w:rsidTr="009C3AE8">
        <w:tblPrEx>
          <w:tblW w:w="0" w:type="auto"/>
          <w:tblLook w:val="04A0"/>
        </w:tblPrEx>
        <w:tc>
          <w:tcPr>
            <w:tcW w:w="1842" w:type="dxa"/>
          </w:tcPr>
          <w:p w:rsidR="009C3AE8" w:rsidRPr="003265E8" w:rsidP="00937FFC" w14:paraId="10890607" w14:textId="77777777">
            <w:pPr>
              <w:jc w:val="left"/>
              <w:rPr>
                <w:b/>
                <w:sz w:val="20"/>
                <w:szCs w:val="20"/>
              </w:rPr>
            </w:pPr>
            <w:r w:rsidRPr="003265E8">
              <w:rPr>
                <w:b/>
                <w:sz w:val="20"/>
                <w:szCs w:val="20"/>
              </w:rPr>
              <w:t>Varianta</w:t>
            </w:r>
          </w:p>
        </w:tc>
        <w:tc>
          <w:tcPr>
            <w:tcW w:w="1842" w:type="dxa"/>
          </w:tcPr>
          <w:p w:rsidR="009C3AE8" w:rsidRPr="003265E8" w:rsidP="00937FFC" w14:paraId="73B8EEC4" w14:textId="77777777">
            <w:pPr>
              <w:jc w:val="center"/>
              <w:rPr>
                <w:b/>
                <w:sz w:val="20"/>
                <w:szCs w:val="20"/>
              </w:rPr>
            </w:pPr>
            <w:r w:rsidRPr="003265E8">
              <w:rPr>
                <w:b/>
                <w:sz w:val="20"/>
                <w:szCs w:val="20"/>
              </w:rPr>
              <w:t>Přínosy</w:t>
            </w:r>
          </w:p>
        </w:tc>
        <w:tc>
          <w:tcPr>
            <w:tcW w:w="1842" w:type="dxa"/>
          </w:tcPr>
          <w:p w:rsidR="009C3AE8" w:rsidRPr="003265E8" w:rsidP="00937FFC" w14:paraId="18ACC633" w14:textId="77777777">
            <w:pPr>
              <w:jc w:val="center"/>
              <w:rPr>
                <w:b/>
                <w:sz w:val="20"/>
                <w:szCs w:val="20"/>
              </w:rPr>
            </w:pPr>
            <w:r w:rsidRPr="003265E8">
              <w:rPr>
                <w:b/>
                <w:sz w:val="20"/>
                <w:szCs w:val="20"/>
              </w:rPr>
              <w:t>Hodnocení</w:t>
            </w:r>
          </w:p>
        </w:tc>
        <w:tc>
          <w:tcPr>
            <w:tcW w:w="1843" w:type="dxa"/>
          </w:tcPr>
          <w:p w:rsidR="009C3AE8" w:rsidRPr="003265E8" w:rsidP="00937FFC" w14:paraId="373C42B5" w14:textId="77777777">
            <w:pPr>
              <w:jc w:val="center"/>
              <w:rPr>
                <w:b/>
                <w:sz w:val="20"/>
                <w:szCs w:val="20"/>
              </w:rPr>
            </w:pPr>
            <w:r w:rsidRPr="003265E8">
              <w:rPr>
                <w:b/>
                <w:sz w:val="20"/>
                <w:szCs w:val="20"/>
              </w:rPr>
              <w:t>Náklady</w:t>
            </w:r>
          </w:p>
        </w:tc>
        <w:tc>
          <w:tcPr>
            <w:tcW w:w="1843" w:type="dxa"/>
          </w:tcPr>
          <w:p w:rsidR="009C3AE8" w:rsidRPr="003265E8" w:rsidP="00937FFC" w14:paraId="1DD7EBBA" w14:textId="77777777">
            <w:pPr>
              <w:jc w:val="center"/>
              <w:rPr>
                <w:b/>
                <w:sz w:val="20"/>
                <w:szCs w:val="20"/>
              </w:rPr>
            </w:pPr>
            <w:r w:rsidRPr="003265E8">
              <w:rPr>
                <w:b/>
                <w:sz w:val="20"/>
                <w:szCs w:val="20"/>
              </w:rPr>
              <w:t>Hodnocení</w:t>
            </w:r>
          </w:p>
        </w:tc>
      </w:tr>
      <w:tr w14:paraId="3E4A81DF" w14:textId="77777777" w:rsidTr="00E27670">
        <w:tblPrEx>
          <w:tblW w:w="0" w:type="auto"/>
          <w:tblLook w:val="04A0"/>
        </w:tblPrEx>
        <w:tc>
          <w:tcPr>
            <w:tcW w:w="1842" w:type="dxa"/>
            <w:vMerge w:val="restart"/>
          </w:tcPr>
          <w:p w:rsidR="00E27670" w:rsidRPr="003265E8" w:rsidP="003C6BA1" w14:paraId="2EC098B3" w14:textId="77777777">
            <w:pPr>
              <w:spacing w:before="40" w:after="40"/>
              <w:rPr>
                <w:b/>
                <w:sz w:val="20"/>
                <w:szCs w:val="20"/>
              </w:rPr>
            </w:pPr>
            <w:r w:rsidRPr="003265E8">
              <w:rPr>
                <w:b/>
                <w:sz w:val="20"/>
                <w:szCs w:val="20"/>
              </w:rPr>
              <w:t>Varianta 0</w:t>
            </w:r>
          </w:p>
          <w:p w:rsidR="009C3AE8" w:rsidRPr="003265E8" w:rsidP="003C6BA1" w14:paraId="2DAED848" w14:textId="77777777">
            <w:pPr>
              <w:spacing w:before="40" w:after="40"/>
              <w:rPr>
                <w:sz w:val="20"/>
                <w:szCs w:val="20"/>
              </w:rPr>
            </w:pPr>
            <w:r w:rsidRPr="003265E8">
              <w:rPr>
                <w:sz w:val="20"/>
                <w:szCs w:val="20"/>
              </w:rPr>
              <w:t>(ponechání roční zprávy)</w:t>
            </w:r>
          </w:p>
          <w:p w:rsidR="009C3AE8" w:rsidRPr="003265E8" w:rsidP="003C6BA1" w14:paraId="27AC000D" w14:textId="77777777">
            <w:pPr>
              <w:spacing w:before="40" w:after="40"/>
              <w:rPr>
                <w:sz w:val="20"/>
                <w:szCs w:val="20"/>
              </w:rPr>
            </w:pPr>
          </w:p>
        </w:tc>
        <w:tc>
          <w:tcPr>
            <w:tcW w:w="7370" w:type="dxa"/>
            <w:gridSpan w:val="4"/>
          </w:tcPr>
          <w:p w:rsidR="009C3AE8" w:rsidRPr="003265E8" w:rsidP="003C6BA1" w14:paraId="0C8AA78D" w14:textId="77777777">
            <w:pPr>
              <w:spacing w:before="40" w:after="40"/>
              <w:jc w:val="center"/>
              <w:rPr>
                <w:b/>
                <w:sz w:val="20"/>
                <w:szCs w:val="20"/>
              </w:rPr>
            </w:pPr>
            <w:r w:rsidRPr="003265E8">
              <w:rPr>
                <w:b/>
                <w:sz w:val="20"/>
                <w:szCs w:val="20"/>
              </w:rPr>
              <w:t>Státní rozpočet a ostatní veřejné rozpočty</w:t>
            </w:r>
          </w:p>
        </w:tc>
      </w:tr>
      <w:tr w14:paraId="39A62D81" w14:textId="77777777" w:rsidTr="00E27670">
        <w:tblPrEx>
          <w:tblW w:w="0" w:type="auto"/>
          <w:tblLook w:val="04A0"/>
        </w:tblPrEx>
        <w:tc>
          <w:tcPr>
            <w:tcW w:w="1842" w:type="dxa"/>
            <w:vMerge/>
          </w:tcPr>
          <w:p w:rsidR="009C3AE8" w:rsidRPr="003265E8" w:rsidP="003C6BA1" w14:paraId="4B6523F3" w14:textId="77777777">
            <w:pPr>
              <w:spacing w:before="40" w:after="40"/>
              <w:rPr>
                <w:sz w:val="20"/>
                <w:szCs w:val="20"/>
              </w:rPr>
            </w:pPr>
          </w:p>
        </w:tc>
        <w:tc>
          <w:tcPr>
            <w:tcW w:w="1842" w:type="dxa"/>
            <w:vAlign w:val="center"/>
          </w:tcPr>
          <w:p w:rsidR="009C3AE8" w:rsidRPr="003265E8" w:rsidP="003C6BA1" w14:paraId="0220F640" w14:textId="77777777">
            <w:pPr>
              <w:spacing w:before="40" w:after="40"/>
              <w:rPr>
                <w:sz w:val="20"/>
                <w:szCs w:val="20"/>
              </w:rPr>
            </w:pPr>
            <w:r w:rsidRPr="003265E8">
              <w:rPr>
                <w:noProof w:val="0"/>
                <w:color w:val="000000"/>
                <w:sz w:val="20"/>
                <w:szCs w:val="20"/>
                <w:lang w:eastAsia="cs-CZ" w:bidi="ar-SA"/>
              </w:rPr>
              <w:t>MŽP/CENIA - data od výrobců</w:t>
            </w:r>
          </w:p>
        </w:tc>
        <w:tc>
          <w:tcPr>
            <w:tcW w:w="1842" w:type="dxa"/>
            <w:vAlign w:val="center"/>
          </w:tcPr>
          <w:p w:rsidR="009C3AE8" w:rsidRPr="003265E8" w:rsidP="003C6BA1" w14:paraId="4593A7FA" w14:textId="77777777">
            <w:pPr>
              <w:spacing w:before="40" w:after="40"/>
              <w:jc w:val="center"/>
              <w:rPr>
                <w:sz w:val="20"/>
                <w:szCs w:val="20"/>
              </w:rPr>
            </w:pPr>
            <w:r w:rsidRPr="003265E8">
              <w:rPr>
                <w:noProof w:val="0"/>
                <w:color w:val="000000"/>
                <w:sz w:val="20"/>
                <w:szCs w:val="20"/>
                <w:lang w:eastAsia="cs-CZ" w:bidi="ar-SA"/>
              </w:rPr>
              <w:t>**</w:t>
            </w:r>
          </w:p>
        </w:tc>
        <w:tc>
          <w:tcPr>
            <w:tcW w:w="1843" w:type="dxa"/>
            <w:vAlign w:val="center"/>
          </w:tcPr>
          <w:p w:rsidR="009C3AE8" w:rsidRPr="003265E8" w:rsidP="003C6BA1" w14:paraId="4C9FFA8A" w14:textId="77777777">
            <w:pPr>
              <w:spacing w:before="40" w:after="40"/>
              <w:rPr>
                <w:sz w:val="20"/>
                <w:szCs w:val="20"/>
              </w:rPr>
            </w:pPr>
            <w:r w:rsidRPr="003265E8">
              <w:rPr>
                <w:noProof w:val="0"/>
                <w:color w:val="000000"/>
                <w:sz w:val="20"/>
                <w:szCs w:val="20"/>
                <w:lang w:eastAsia="cs-CZ" w:bidi="ar-SA"/>
              </w:rPr>
              <w:t xml:space="preserve">CENIA - náklady na zpracování dat </w:t>
            </w:r>
          </w:p>
        </w:tc>
        <w:tc>
          <w:tcPr>
            <w:tcW w:w="1843" w:type="dxa"/>
            <w:vAlign w:val="center"/>
          </w:tcPr>
          <w:p w:rsidR="009C3AE8" w:rsidRPr="003265E8" w:rsidP="003C6BA1" w14:paraId="305B4D03" w14:textId="77777777">
            <w:pPr>
              <w:spacing w:before="40" w:after="40"/>
              <w:rPr>
                <w:sz w:val="20"/>
                <w:szCs w:val="20"/>
              </w:rPr>
            </w:pPr>
            <w:r w:rsidRPr="003265E8">
              <w:rPr>
                <w:noProof w:val="0"/>
                <w:color w:val="000000"/>
                <w:sz w:val="20"/>
                <w:szCs w:val="20"/>
                <w:lang w:eastAsia="cs-CZ" w:bidi="ar-SA"/>
              </w:rPr>
              <w:t>23 tis. Kč/rok</w:t>
            </w:r>
          </w:p>
        </w:tc>
      </w:tr>
      <w:tr w14:paraId="261D6A02" w14:textId="77777777" w:rsidTr="003C6BA1">
        <w:tblPrEx>
          <w:tblW w:w="0" w:type="auto"/>
          <w:tblLook w:val="04A0"/>
        </w:tblPrEx>
        <w:tc>
          <w:tcPr>
            <w:tcW w:w="1842" w:type="dxa"/>
            <w:vMerge/>
          </w:tcPr>
          <w:p w:rsidR="009C3AE8" w:rsidRPr="003265E8" w:rsidP="003C6BA1" w14:paraId="372C774B" w14:textId="77777777">
            <w:pPr>
              <w:spacing w:before="40" w:after="40"/>
              <w:rPr>
                <w:sz w:val="20"/>
                <w:szCs w:val="20"/>
              </w:rPr>
            </w:pPr>
          </w:p>
        </w:tc>
        <w:tc>
          <w:tcPr>
            <w:tcW w:w="1842" w:type="dxa"/>
            <w:vAlign w:val="center"/>
          </w:tcPr>
          <w:p w:rsidR="009C3AE8" w:rsidRPr="003265E8" w:rsidP="003C6BA1" w14:paraId="3FE95263" w14:textId="77777777">
            <w:pPr>
              <w:spacing w:before="40" w:after="40"/>
              <w:rPr>
                <w:sz w:val="20"/>
                <w:szCs w:val="20"/>
              </w:rPr>
            </w:pPr>
          </w:p>
        </w:tc>
        <w:tc>
          <w:tcPr>
            <w:tcW w:w="1842" w:type="dxa"/>
            <w:vAlign w:val="center"/>
          </w:tcPr>
          <w:p w:rsidR="009C3AE8" w:rsidRPr="003265E8" w:rsidP="003C6BA1" w14:paraId="750A6725" w14:textId="77777777">
            <w:pPr>
              <w:spacing w:before="40" w:after="40"/>
              <w:rPr>
                <w:sz w:val="20"/>
                <w:szCs w:val="20"/>
              </w:rPr>
            </w:pPr>
          </w:p>
        </w:tc>
        <w:tc>
          <w:tcPr>
            <w:tcW w:w="1843" w:type="dxa"/>
          </w:tcPr>
          <w:p w:rsidR="009C3AE8" w:rsidRPr="003265E8" w:rsidP="003C6BA1" w14:paraId="2B23E5B6" w14:textId="77777777">
            <w:pPr>
              <w:spacing w:before="40" w:after="40"/>
              <w:rPr>
                <w:sz w:val="20"/>
                <w:szCs w:val="20"/>
              </w:rPr>
            </w:pPr>
            <w:r w:rsidRPr="003265E8">
              <w:rPr>
                <w:noProof w:val="0"/>
                <w:color w:val="000000"/>
                <w:sz w:val="20"/>
                <w:szCs w:val="20"/>
                <w:lang w:eastAsia="cs-CZ" w:bidi="ar-SA"/>
              </w:rPr>
              <w:t>CENIA - náklady na úpravu formuláře</w:t>
            </w:r>
          </w:p>
        </w:tc>
        <w:tc>
          <w:tcPr>
            <w:tcW w:w="1843" w:type="dxa"/>
            <w:vAlign w:val="center"/>
          </w:tcPr>
          <w:p w:rsidR="009C3AE8" w:rsidRPr="003265E8" w:rsidP="003C6BA1" w14:paraId="1B3046EB" w14:textId="77777777">
            <w:pPr>
              <w:spacing w:before="40" w:after="40"/>
              <w:rPr>
                <w:sz w:val="20"/>
                <w:szCs w:val="20"/>
              </w:rPr>
            </w:pPr>
            <w:r w:rsidRPr="003265E8">
              <w:rPr>
                <w:sz w:val="20"/>
                <w:szCs w:val="20"/>
              </w:rPr>
              <w:t>17 tis. Kč/rok</w:t>
            </w:r>
          </w:p>
        </w:tc>
      </w:tr>
      <w:tr w14:paraId="5C483E45" w14:textId="77777777" w:rsidTr="00E27670">
        <w:tblPrEx>
          <w:tblW w:w="0" w:type="auto"/>
          <w:tblLook w:val="04A0"/>
        </w:tblPrEx>
        <w:tc>
          <w:tcPr>
            <w:tcW w:w="1842" w:type="dxa"/>
            <w:vMerge/>
          </w:tcPr>
          <w:p w:rsidR="009C3AE8" w:rsidRPr="003265E8" w:rsidP="003C6BA1" w14:paraId="517890E3" w14:textId="77777777">
            <w:pPr>
              <w:spacing w:before="40" w:after="40"/>
              <w:rPr>
                <w:sz w:val="20"/>
                <w:szCs w:val="20"/>
              </w:rPr>
            </w:pPr>
          </w:p>
        </w:tc>
        <w:tc>
          <w:tcPr>
            <w:tcW w:w="7370" w:type="dxa"/>
            <w:gridSpan w:val="4"/>
          </w:tcPr>
          <w:p w:rsidR="009C3AE8" w:rsidRPr="003265E8" w:rsidP="003C6BA1" w14:paraId="195B3D38" w14:textId="77777777">
            <w:pPr>
              <w:spacing w:before="40" w:after="40"/>
              <w:jc w:val="center"/>
              <w:rPr>
                <w:b/>
                <w:sz w:val="20"/>
                <w:szCs w:val="20"/>
              </w:rPr>
            </w:pPr>
            <w:r w:rsidRPr="003265E8">
              <w:rPr>
                <w:b/>
                <w:sz w:val="20"/>
                <w:szCs w:val="20"/>
              </w:rPr>
              <w:t>Podnikatelské subjekty</w:t>
            </w:r>
          </w:p>
        </w:tc>
      </w:tr>
      <w:tr w14:paraId="6C742B27" w14:textId="77777777" w:rsidTr="00E27670">
        <w:tblPrEx>
          <w:tblW w:w="0" w:type="auto"/>
          <w:tblLook w:val="04A0"/>
        </w:tblPrEx>
        <w:tc>
          <w:tcPr>
            <w:tcW w:w="1842" w:type="dxa"/>
            <w:vMerge/>
          </w:tcPr>
          <w:p w:rsidR="009C3AE8" w:rsidRPr="003265E8" w:rsidP="003C6BA1" w14:paraId="5A89CE5B" w14:textId="77777777">
            <w:pPr>
              <w:spacing w:before="40" w:after="40"/>
              <w:rPr>
                <w:sz w:val="20"/>
                <w:szCs w:val="20"/>
              </w:rPr>
            </w:pPr>
          </w:p>
        </w:tc>
        <w:tc>
          <w:tcPr>
            <w:tcW w:w="1842" w:type="dxa"/>
          </w:tcPr>
          <w:p w:rsidR="009C3AE8" w:rsidRPr="003265E8" w:rsidP="003C6BA1" w14:paraId="73BE6B79" w14:textId="77777777">
            <w:pPr>
              <w:spacing w:before="40" w:after="40"/>
              <w:rPr>
                <w:sz w:val="20"/>
                <w:szCs w:val="20"/>
              </w:rPr>
            </w:pPr>
          </w:p>
        </w:tc>
        <w:tc>
          <w:tcPr>
            <w:tcW w:w="1842" w:type="dxa"/>
          </w:tcPr>
          <w:p w:rsidR="009C3AE8" w:rsidRPr="003265E8" w:rsidP="003C6BA1" w14:paraId="6B2DE8CE" w14:textId="77777777">
            <w:pPr>
              <w:spacing w:before="40" w:after="40"/>
              <w:rPr>
                <w:sz w:val="20"/>
                <w:szCs w:val="20"/>
              </w:rPr>
            </w:pPr>
          </w:p>
        </w:tc>
        <w:tc>
          <w:tcPr>
            <w:tcW w:w="1843" w:type="dxa"/>
            <w:vAlign w:val="center"/>
          </w:tcPr>
          <w:p w:rsidR="009C3AE8" w:rsidRPr="003265E8" w:rsidP="003C6BA1" w14:paraId="5B491DBF" w14:textId="77777777">
            <w:pPr>
              <w:spacing w:before="40" w:after="40"/>
              <w:rPr>
                <w:sz w:val="20"/>
                <w:szCs w:val="20"/>
              </w:rPr>
            </w:pPr>
            <w:r w:rsidRPr="003265E8">
              <w:rPr>
                <w:noProof w:val="0"/>
                <w:color w:val="000000"/>
                <w:sz w:val="20"/>
                <w:szCs w:val="20"/>
                <w:lang w:eastAsia="cs-CZ" w:bidi="ar-SA"/>
              </w:rPr>
              <w:t>Výrobci - náklady na zpracování a zaslání ročních zpráv</w:t>
            </w:r>
          </w:p>
        </w:tc>
        <w:tc>
          <w:tcPr>
            <w:tcW w:w="1843" w:type="dxa"/>
            <w:vAlign w:val="center"/>
          </w:tcPr>
          <w:p w:rsidR="009C3AE8" w:rsidRPr="003265E8" w:rsidP="003C6BA1" w14:paraId="1F070C6B" w14:textId="6A60CF09">
            <w:pPr>
              <w:spacing w:before="40" w:after="40"/>
              <w:rPr>
                <w:sz w:val="20"/>
                <w:szCs w:val="20"/>
              </w:rPr>
            </w:pPr>
            <w:r>
              <w:rPr>
                <w:noProof w:val="0"/>
                <w:color w:val="000000"/>
                <w:sz w:val="20"/>
                <w:szCs w:val="20"/>
                <w:lang w:eastAsia="cs-CZ" w:bidi="ar-SA"/>
              </w:rPr>
              <w:t>304</w:t>
            </w:r>
            <w:r w:rsidRPr="003265E8">
              <w:rPr>
                <w:noProof w:val="0"/>
                <w:color w:val="000000"/>
                <w:sz w:val="20"/>
                <w:szCs w:val="20"/>
                <w:lang w:eastAsia="cs-CZ" w:bidi="ar-SA"/>
              </w:rPr>
              <w:t xml:space="preserve"> tis. Kč/rok</w:t>
            </w:r>
          </w:p>
        </w:tc>
      </w:tr>
      <w:tr w14:paraId="5E8191DD" w14:textId="77777777" w:rsidTr="00E27670">
        <w:tblPrEx>
          <w:tblW w:w="0" w:type="auto"/>
          <w:tblLook w:val="04A0"/>
        </w:tblPrEx>
        <w:tc>
          <w:tcPr>
            <w:tcW w:w="1842" w:type="dxa"/>
            <w:vMerge w:val="restart"/>
          </w:tcPr>
          <w:p w:rsidR="009C3AE8" w:rsidRPr="003265E8" w:rsidP="003C6BA1" w14:paraId="3FA85F8B" w14:textId="77777777">
            <w:pPr>
              <w:spacing w:before="40" w:after="40"/>
              <w:rPr>
                <w:b/>
                <w:sz w:val="20"/>
                <w:szCs w:val="20"/>
              </w:rPr>
            </w:pPr>
            <w:r w:rsidRPr="003265E8">
              <w:rPr>
                <w:b/>
                <w:sz w:val="20"/>
                <w:szCs w:val="20"/>
              </w:rPr>
              <w:t>Varianta 1</w:t>
            </w:r>
          </w:p>
          <w:p w:rsidR="00E27670" w:rsidRPr="003265E8" w:rsidP="003C6BA1" w14:paraId="39663263" w14:textId="77777777">
            <w:pPr>
              <w:spacing w:before="40" w:after="40"/>
              <w:rPr>
                <w:sz w:val="20"/>
                <w:szCs w:val="20"/>
              </w:rPr>
            </w:pPr>
            <w:r w:rsidRPr="003265E8">
              <w:rPr>
                <w:sz w:val="20"/>
                <w:szCs w:val="20"/>
              </w:rPr>
              <w:t>(změna formuláře, roční pericdicita)</w:t>
            </w:r>
          </w:p>
        </w:tc>
        <w:tc>
          <w:tcPr>
            <w:tcW w:w="7370" w:type="dxa"/>
            <w:gridSpan w:val="4"/>
          </w:tcPr>
          <w:p w:rsidR="009C3AE8" w:rsidRPr="003265E8" w:rsidP="003C6BA1" w14:paraId="20A7C01B" w14:textId="77777777">
            <w:pPr>
              <w:spacing w:before="40" w:after="40"/>
              <w:jc w:val="center"/>
              <w:rPr>
                <w:sz w:val="20"/>
                <w:szCs w:val="20"/>
              </w:rPr>
            </w:pPr>
            <w:r w:rsidRPr="003265E8">
              <w:rPr>
                <w:b/>
                <w:sz w:val="20"/>
                <w:szCs w:val="20"/>
              </w:rPr>
              <w:t>Státní rozpočet a ostatní veřejné rozpočty</w:t>
            </w:r>
          </w:p>
        </w:tc>
      </w:tr>
      <w:tr w14:paraId="26EAECAF" w14:textId="77777777" w:rsidTr="00E27670">
        <w:tblPrEx>
          <w:tblW w:w="0" w:type="auto"/>
          <w:tblLook w:val="04A0"/>
        </w:tblPrEx>
        <w:tc>
          <w:tcPr>
            <w:tcW w:w="1842" w:type="dxa"/>
            <w:vMerge/>
          </w:tcPr>
          <w:p w:rsidR="009C3AE8" w:rsidRPr="003265E8" w:rsidP="003C6BA1" w14:paraId="2BC5C51F" w14:textId="77777777">
            <w:pPr>
              <w:spacing w:before="40" w:after="40"/>
              <w:rPr>
                <w:sz w:val="20"/>
                <w:szCs w:val="20"/>
              </w:rPr>
            </w:pPr>
          </w:p>
        </w:tc>
        <w:tc>
          <w:tcPr>
            <w:tcW w:w="1842" w:type="dxa"/>
          </w:tcPr>
          <w:p w:rsidR="009C3AE8" w:rsidRPr="003265E8" w:rsidP="003C6BA1" w14:paraId="5D27F713" w14:textId="77777777">
            <w:pPr>
              <w:spacing w:before="40" w:after="40"/>
              <w:rPr>
                <w:sz w:val="20"/>
                <w:szCs w:val="20"/>
              </w:rPr>
            </w:pPr>
          </w:p>
        </w:tc>
        <w:tc>
          <w:tcPr>
            <w:tcW w:w="1842" w:type="dxa"/>
          </w:tcPr>
          <w:p w:rsidR="009C3AE8" w:rsidRPr="003265E8" w:rsidP="003C6BA1" w14:paraId="613E724F" w14:textId="77777777">
            <w:pPr>
              <w:spacing w:before="40" w:after="40"/>
              <w:rPr>
                <w:sz w:val="20"/>
                <w:szCs w:val="20"/>
              </w:rPr>
            </w:pPr>
          </w:p>
        </w:tc>
        <w:tc>
          <w:tcPr>
            <w:tcW w:w="1843" w:type="dxa"/>
            <w:vAlign w:val="center"/>
          </w:tcPr>
          <w:p w:rsidR="009C3AE8" w:rsidRPr="003265E8" w:rsidP="003C6BA1" w14:paraId="33B43BCF" w14:textId="77777777">
            <w:pPr>
              <w:spacing w:before="40" w:after="40"/>
              <w:rPr>
                <w:sz w:val="20"/>
                <w:szCs w:val="20"/>
              </w:rPr>
            </w:pPr>
            <w:r w:rsidRPr="003265E8">
              <w:rPr>
                <w:noProof w:val="0"/>
                <w:color w:val="000000"/>
                <w:sz w:val="20"/>
                <w:szCs w:val="20"/>
                <w:lang w:eastAsia="cs-CZ" w:bidi="ar-SA"/>
              </w:rPr>
              <w:t>CENIA - náklady na zpracování dat</w:t>
            </w:r>
          </w:p>
        </w:tc>
        <w:tc>
          <w:tcPr>
            <w:tcW w:w="1843" w:type="dxa"/>
            <w:vAlign w:val="center"/>
          </w:tcPr>
          <w:p w:rsidR="009C3AE8" w:rsidRPr="003265E8" w:rsidP="003C6BA1" w14:paraId="24673863" w14:textId="77777777">
            <w:pPr>
              <w:spacing w:before="40" w:after="40"/>
              <w:rPr>
                <w:sz w:val="20"/>
                <w:szCs w:val="20"/>
              </w:rPr>
            </w:pPr>
            <w:r w:rsidRPr="003265E8">
              <w:rPr>
                <w:noProof w:val="0"/>
                <w:color w:val="000000"/>
                <w:sz w:val="20"/>
                <w:szCs w:val="20"/>
                <w:lang w:eastAsia="cs-CZ" w:bidi="ar-SA"/>
              </w:rPr>
              <w:t>23 tis. Kč/rok</w:t>
            </w:r>
          </w:p>
        </w:tc>
      </w:tr>
      <w:tr w14:paraId="19CC7374" w14:textId="77777777" w:rsidTr="00E27670">
        <w:tblPrEx>
          <w:tblW w:w="0" w:type="auto"/>
          <w:tblLook w:val="04A0"/>
        </w:tblPrEx>
        <w:tc>
          <w:tcPr>
            <w:tcW w:w="1842" w:type="dxa"/>
            <w:vMerge/>
          </w:tcPr>
          <w:p w:rsidR="009C3AE8" w:rsidRPr="003265E8" w:rsidP="003C6BA1" w14:paraId="1D86AA53" w14:textId="77777777">
            <w:pPr>
              <w:spacing w:before="40" w:after="40"/>
              <w:rPr>
                <w:sz w:val="20"/>
                <w:szCs w:val="20"/>
              </w:rPr>
            </w:pPr>
          </w:p>
        </w:tc>
        <w:tc>
          <w:tcPr>
            <w:tcW w:w="1842" w:type="dxa"/>
          </w:tcPr>
          <w:p w:rsidR="009C3AE8" w:rsidRPr="003265E8" w:rsidP="003C6BA1" w14:paraId="52410732" w14:textId="77777777">
            <w:pPr>
              <w:spacing w:before="40" w:after="40"/>
              <w:rPr>
                <w:sz w:val="20"/>
                <w:szCs w:val="20"/>
              </w:rPr>
            </w:pPr>
          </w:p>
        </w:tc>
        <w:tc>
          <w:tcPr>
            <w:tcW w:w="1842" w:type="dxa"/>
          </w:tcPr>
          <w:p w:rsidR="009C3AE8" w:rsidRPr="003265E8" w:rsidP="003C6BA1" w14:paraId="23BDE939" w14:textId="77777777">
            <w:pPr>
              <w:spacing w:before="40" w:after="40"/>
              <w:rPr>
                <w:sz w:val="20"/>
                <w:szCs w:val="20"/>
              </w:rPr>
            </w:pPr>
          </w:p>
        </w:tc>
        <w:tc>
          <w:tcPr>
            <w:tcW w:w="1843" w:type="dxa"/>
            <w:vAlign w:val="center"/>
          </w:tcPr>
          <w:p w:rsidR="009C3AE8" w:rsidRPr="003265E8" w:rsidP="003C6BA1" w14:paraId="47A9044D" w14:textId="77777777">
            <w:pPr>
              <w:spacing w:before="40" w:after="40"/>
              <w:rPr>
                <w:sz w:val="20"/>
                <w:szCs w:val="20"/>
              </w:rPr>
            </w:pPr>
            <w:r w:rsidRPr="003265E8">
              <w:rPr>
                <w:noProof w:val="0"/>
                <w:color w:val="000000"/>
                <w:sz w:val="20"/>
                <w:szCs w:val="20"/>
                <w:lang w:eastAsia="cs-CZ" w:bidi="ar-SA"/>
              </w:rPr>
              <w:t>CENIA - náklady na úpravu formuláře</w:t>
            </w:r>
          </w:p>
        </w:tc>
        <w:tc>
          <w:tcPr>
            <w:tcW w:w="1843" w:type="dxa"/>
            <w:vAlign w:val="center"/>
          </w:tcPr>
          <w:p w:rsidR="009C3AE8" w:rsidRPr="003265E8" w:rsidP="003C6BA1" w14:paraId="3A16DA96" w14:textId="77777777">
            <w:pPr>
              <w:spacing w:before="40" w:after="40"/>
              <w:rPr>
                <w:sz w:val="20"/>
                <w:szCs w:val="20"/>
              </w:rPr>
            </w:pPr>
            <w:r w:rsidRPr="003265E8">
              <w:rPr>
                <w:noProof w:val="0"/>
                <w:color w:val="000000"/>
                <w:sz w:val="20"/>
                <w:szCs w:val="20"/>
                <w:lang w:eastAsia="cs-CZ" w:bidi="ar-SA"/>
              </w:rPr>
              <w:t>17-400 tis. Kč</w:t>
            </w:r>
          </w:p>
        </w:tc>
      </w:tr>
      <w:tr w14:paraId="150E502B" w14:textId="77777777" w:rsidTr="00E27670">
        <w:tblPrEx>
          <w:tblW w:w="0" w:type="auto"/>
          <w:tblLook w:val="04A0"/>
        </w:tblPrEx>
        <w:tc>
          <w:tcPr>
            <w:tcW w:w="1842" w:type="dxa"/>
            <w:vMerge/>
          </w:tcPr>
          <w:p w:rsidR="009C3AE8" w:rsidRPr="003265E8" w:rsidP="003C6BA1" w14:paraId="5375DD24" w14:textId="77777777">
            <w:pPr>
              <w:spacing w:before="40" w:after="40"/>
              <w:rPr>
                <w:sz w:val="20"/>
                <w:szCs w:val="20"/>
              </w:rPr>
            </w:pPr>
          </w:p>
        </w:tc>
        <w:tc>
          <w:tcPr>
            <w:tcW w:w="7370" w:type="dxa"/>
            <w:gridSpan w:val="4"/>
          </w:tcPr>
          <w:p w:rsidR="009C3AE8" w:rsidRPr="003265E8" w:rsidP="003C6BA1" w14:paraId="6BB18A2A" w14:textId="77777777">
            <w:pPr>
              <w:spacing w:before="40" w:after="40"/>
              <w:jc w:val="center"/>
              <w:rPr>
                <w:sz w:val="20"/>
                <w:szCs w:val="20"/>
              </w:rPr>
            </w:pPr>
            <w:r w:rsidRPr="003265E8">
              <w:rPr>
                <w:b/>
                <w:sz w:val="20"/>
                <w:szCs w:val="20"/>
              </w:rPr>
              <w:t>Podnikatelské subjekty</w:t>
            </w:r>
          </w:p>
        </w:tc>
      </w:tr>
      <w:tr w14:paraId="5CC81C73" w14:textId="77777777" w:rsidTr="003C6BA1">
        <w:tblPrEx>
          <w:tblW w:w="0" w:type="auto"/>
          <w:tblLook w:val="04A0"/>
        </w:tblPrEx>
        <w:trPr>
          <w:trHeight w:val="1386"/>
        </w:trPr>
        <w:tc>
          <w:tcPr>
            <w:tcW w:w="1842" w:type="dxa"/>
            <w:vMerge/>
          </w:tcPr>
          <w:p w:rsidR="009C3AE8" w:rsidRPr="003265E8" w:rsidP="003C6BA1" w14:paraId="61262C1B" w14:textId="77777777">
            <w:pPr>
              <w:spacing w:before="40" w:after="40"/>
              <w:rPr>
                <w:sz w:val="20"/>
                <w:szCs w:val="20"/>
              </w:rPr>
            </w:pPr>
          </w:p>
        </w:tc>
        <w:tc>
          <w:tcPr>
            <w:tcW w:w="1842" w:type="dxa"/>
          </w:tcPr>
          <w:p w:rsidR="009C3AE8" w:rsidRPr="003265E8" w:rsidP="003C6BA1" w14:paraId="1076E147" w14:textId="77777777">
            <w:pPr>
              <w:spacing w:before="40" w:after="40"/>
              <w:rPr>
                <w:sz w:val="20"/>
                <w:szCs w:val="20"/>
              </w:rPr>
            </w:pPr>
            <w:r w:rsidRPr="003265E8">
              <w:rPr>
                <w:noProof w:val="0"/>
                <w:color w:val="000000"/>
                <w:sz w:val="20"/>
                <w:szCs w:val="20"/>
                <w:lang w:eastAsia="cs-CZ" w:bidi="ar-SA"/>
              </w:rPr>
              <w:t>Výrobci – mírné snížení administrativní zátěže při změně formuláře</w:t>
            </w:r>
          </w:p>
        </w:tc>
        <w:tc>
          <w:tcPr>
            <w:tcW w:w="1842" w:type="dxa"/>
            <w:vAlign w:val="center"/>
          </w:tcPr>
          <w:p w:rsidR="009C3AE8" w:rsidRPr="003265E8" w:rsidP="003C6BA1" w14:paraId="3BAD0FA0" w14:textId="77777777">
            <w:pPr>
              <w:spacing w:before="40" w:after="40"/>
              <w:jc w:val="center"/>
              <w:rPr>
                <w:sz w:val="20"/>
                <w:szCs w:val="20"/>
              </w:rPr>
            </w:pPr>
            <w:r w:rsidRPr="003265E8">
              <w:rPr>
                <w:sz w:val="20"/>
                <w:szCs w:val="20"/>
              </w:rPr>
              <w:t>*</w:t>
            </w:r>
          </w:p>
        </w:tc>
        <w:tc>
          <w:tcPr>
            <w:tcW w:w="1843" w:type="dxa"/>
            <w:vAlign w:val="center"/>
          </w:tcPr>
          <w:p w:rsidR="009C3AE8" w:rsidRPr="003265E8" w:rsidP="003C6BA1" w14:paraId="793D34C1" w14:textId="77777777">
            <w:pPr>
              <w:spacing w:before="40" w:after="40"/>
              <w:rPr>
                <w:sz w:val="20"/>
                <w:szCs w:val="20"/>
              </w:rPr>
            </w:pPr>
            <w:r w:rsidRPr="003265E8">
              <w:rPr>
                <w:noProof w:val="0"/>
                <w:color w:val="000000"/>
                <w:sz w:val="20"/>
                <w:szCs w:val="20"/>
                <w:lang w:eastAsia="cs-CZ" w:bidi="ar-SA"/>
              </w:rPr>
              <w:t xml:space="preserve">Výrobci - náklady na zpracování a zaslání ročních zpráv </w:t>
            </w:r>
          </w:p>
        </w:tc>
        <w:tc>
          <w:tcPr>
            <w:tcW w:w="1843" w:type="dxa"/>
            <w:vAlign w:val="center"/>
          </w:tcPr>
          <w:p w:rsidR="009C3AE8" w:rsidRPr="003265E8" w:rsidP="003C6BA1" w14:paraId="3C1DC2D4" w14:textId="7C8F1F96">
            <w:pPr>
              <w:spacing w:before="40" w:after="40"/>
              <w:rPr>
                <w:sz w:val="20"/>
                <w:szCs w:val="20"/>
              </w:rPr>
            </w:pPr>
            <w:r>
              <w:rPr>
                <w:noProof w:val="0"/>
                <w:color w:val="000000"/>
                <w:sz w:val="20"/>
                <w:szCs w:val="20"/>
                <w:lang w:eastAsia="cs-CZ" w:bidi="ar-SA"/>
              </w:rPr>
              <w:t>304</w:t>
            </w:r>
            <w:r w:rsidRPr="003265E8">
              <w:rPr>
                <w:noProof w:val="0"/>
                <w:color w:val="000000"/>
                <w:sz w:val="20"/>
                <w:szCs w:val="20"/>
                <w:lang w:eastAsia="cs-CZ" w:bidi="ar-SA"/>
              </w:rPr>
              <w:t xml:space="preserve"> tis. Kč/rok</w:t>
            </w:r>
          </w:p>
        </w:tc>
      </w:tr>
      <w:tr w14:paraId="30B91834" w14:textId="77777777" w:rsidTr="00937FFC">
        <w:tblPrEx>
          <w:tblW w:w="0" w:type="auto"/>
          <w:tblLook w:val="04A0"/>
        </w:tblPrEx>
        <w:tc>
          <w:tcPr>
            <w:tcW w:w="1842" w:type="dxa"/>
            <w:vMerge w:val="restart"/>
          </w:tcPr>
          <w:p w:rsidR="00A0708B" w:rsidRPr="003265E8" w:rsidP="003C6BA1" w14:paraId="03F85507" w14:textId="77777777">
            <w:pPr>
              <w:spacing w:before="40" w:after="40"/>
              <w:rPr>
                <w:b/>
                <w:sz w:val="20"/>
                <w:szCs w:val="20"/>
              </w:rPr>
            </w:pPr>
            <w:r w:rsidRPr="003265E8">
              <w:rPr>
                <w:b/>
                <w:sz w:val="20"/>
                <w:szCs w:val="20"/>
              </w:rPr>
              <w:t xml:space="preserve">Varianta 2 </w:t>
            </w:r>
          </w:p>
          <w:p w:rsidR="00A0708B" w:rsidRPr="003265E8" w:rsidP="003C6BA1" w14:paraId="68E29A93" w14:textId="77777777">
            <w:pPr>
              <w:spacing w:before="40" w:after="40"/>
              <w:rPr>
                <w:sz w:val="20"/>
                <w:szCs w:val="20"/>
              </w:rPr>
            </w:pPr>
            <w:r w:rsidRPr="003265E8">
              <w:rPr>
                <w:sz w:val="20"/>
                <w:szCs w:val="20"/>
              </w:rPr>
              <w:t>(změna formuláře, tříletá pericdicita)</w:t>
            </w:r>
          </w:p>
        </w:tc>
        <w:tc>
          <w:tcPr>
            <w:tcW w:w="7370" w:type="dxa"/>
            <w:gridSpan w:val="4"/>
          </w:tcPr>
          <w:p w:rsidR="00A0708B" w:rsidRPr="003265E8" w:rsidP="003C6BA1" w14:paraId="5850D99C" w14:textId="77777777">
            <w:pPr>
              <w:spacing w:before="40" w:after="40"/>
              <w:jc w:val="center"/>
              <w:rPr>
                <w:sz w:val="20"/>
                <w:szCs w:val="20"/>
              </w:rPr>
            </w:pPr>
            <w:r w:rsidRPr="003265E8">
              <w:rPr>
                <w:b/>
                <w:sz w:val="20"/>
                <w:szCs w:val="20"/>
              </w:rPr>
              <w:t>Státní rozpočet a ostatní veřejné rozpočty</w:t>
            </w:r>
          </w:p>
        </w:tc>
      </w:tr>
      <w:tr w14:paraId="34823B4F" w14:textId="77777777" w:rsidTr="00937FFC">
        <w:tblPrEx>
          <w:tblW w:w="0" w:type="auto"/>
          <w:tblLook w:val="04A0"/>
        </w:tblPrEx>
        <w:tc>
          <w:tcPr>
            <w:tcW w:w="1842" w:type="dxa"/>
            <w:vMerge/>
          </w:tcPr>
          <w:p w:rsidR="00A0708B" w:rsidRPr="003265E8" w:rsidP="003C6BA1" w14:paraId="47E25742" w14:textId="77777777">
            <w:pPr>
              <w:spacing w:before="40" w:after="40"/>
              <w:rPr>
                <w:sz w:val="20"/>
                <w:szCs w:val="20"/>
              </w:rPr>
            </w:pPr>
          </w:p>
        </w:tc>
        <w:tc>
          <w:tcPr>
            <w:tcW w:w="1842" w:type="dxa"/>
          </w:tcPr>
          <w:p w:rsidR="00A0708B" w:rsidRPr="003265E8" w:rsidP="003C6BA1" w14:paraId="513A6D0C" w14:textId="77777777">
            <w:pPr>
              <w:spacing w:before="40" w:after="40"/>
              <w:rPr>
                <w:sz w:val="20"/>
                <w:szCs w:val="20"/>
              </w:rPr>
            </w:pPr>
          </w:p>
        </w:tc>
        <w:tc>
          <w:tcPr>
            <w:tcW w:w="1842" w:type="dxa"/>
          </w:tcPr>
          <w:p w:rsidR="00A0708B" w:rsidRPr="003265E8" w:rsidP="003C6BA1" w14:paraId="497638AE" w14:textId="77777777">
            <w:pPr>
              <w:spacing w:before="40" w:after="40"/>
              <w:rPr>
                <w:sz w:val="20"/>
                <w:szCs w:val="20"/>
              </w:rPr>
            </w:pPr>
          </w:p>
        </w:tc>
        <w:tc>
          <w:tcPr>
            <w:tcW w:w="1843" w:type="dxa"/>
            <w:vAlign w:val="center"/>
          </w:tcPr>
          <w:p w:rsidR="00A0708B" w:rsidRPr="003265E8" w:rsidP="003C6BA1" w14:paraId="57694473" w14:textId="77777777">
            <w:pPr>
              <w:spacing w:before="40" w:after="40"/>
              <w:rPr>
                <w:sz w:val="20"/>
                <w:szCs w:val="20"/>
              </w:rPr>
            </w:pPr>
            <w:r w:rsidRPr="003265E8">
              <w:rPr>
                <w:noProof w:val="0"/>
                <w:color w:val="000000"/>
                <w:sz w:val="20"/>
                <w:szCs w:val="20"/>
                <w:lang w:eastAsia="cs-CZ" w:bidi="ar-SA"/>
              </w:rPr>
              <w:t>CENIA - náklady na zpracování dat</w:t>
            </w:r>
          </w:p>
        </w:tc>
        <w:tc>
          <w:tcPr>
            <w:tcW w:w="1843" w:type="dxa"/>
            <w:vAlign w:val="center"/>
          </w:tcPr>
          <w:p w:rsidR="00A0708B" w:rsidRPr="003265E8" w:rsidP="003C6BA1" w14:paraId="7C73D66D" w14:textId="77777777">
            <w:pPr>
              <w:spacing w:before="40" w:after="40" w:line="240" w:lineRule="auto"/>
              <w:jc w:val="left"/>
              <w:rPr>
                <w:noProof w:val="0"/>
                <w:color w:val="000000"/>
                <w:sz w:val="20"/>
                <w:szCs w:val="20"/>
                <w:lang w:eastAsia="cs-CZ" w:bidi="ar-SA"/>
              </w:rPr>
            </w:pPr>
            <w:r w:rsidRPr="003265E8">
              <w:rPr>
                <w:noProof w:val="0"/>
                <w:color w:val="000000"/>
                <w:sz w:val="20"/>
                <w:szCs w:val="20"/>
                <w:lang w:eastAsia="cs-CZ" w:bidi="ar-SA"/>
              </w:rPr>
              <w:t>7 640 Kč/rok</w:t>
            </w:r>
          </w:p>
          <w:p w:rsidR="00A0708B" w:rsidRPr="003265E8" w:rsidP="003C6BA1" w14:paraId="02F60DF6" w14:textId="77777777">
            <w:pPr>
              <w:spacing w:before="40" w:after="40"/>
              <w:rPr>
                <w:sz w:val="20"/>
                <w:szCs w:val="20"/>
              </w:rPr>
            </w:pPr>
          </w:p>
        </w:tc>
      </w:tr>
      <w:tr w14:paraId="115D6318" w14:textId="77777777" w:rsidTr="00937FFC">
        <w:tblPrEx>
          <w:tblW w:w="0" w:type="auto"/>
          <w:tblLook w:val="04A0"/>
        </w:tblPrEx>
        <w:tc>
          <w:tcPr>
            <w:tcW w:w="1842" w:type="dxa"/>
            <w:vMerge/>
          </w:tcPr>
          <w:p w:rsidR="00A0708B" w:rsidRPr="003265E8" w:rsidP="003C6BA1" w14:paraId="032A0E3C" w14:textId="77777777">
            <w:pPr>
              <w:spacing w:before="40" w:after="40"/>
              <w:rPr>
                <w:sz w:val="20"/>
                <w:szCs w:val="20"/>
              </w:rPr>
            </w:pPr>
          </w:p>
        </w:tc>
        <w:tc>
          <w:tcPr>
            <w:tcW w:w="1842" w:type="dxa"/>
          </w:tcPr>
          <w:p w:rsidR="00A0708B" w:rsidRPr="003265E8" w:rsidP="003C6BA1" w14:paraId="7F70D7AE" w14:textId="77777777">
            <w:pPr>
              <w:spacing w:before="40" w:after="40"/>
              <w:rPr>
                <w:sz w:val="20"/>
                <w:szCs w:val="20"/>
              </w:rPr>
            </w:pPr>
          </w:p>
        </w:tc>
        <w:tc>
          <w:tcPr>
            <w:tcW w:w="1842" w:type="dxa"/>
          </w:tcPr>
          <w:p w:rsidR="00A0708B" w:rsidRPr="003265E8" w:rsidP="003C6BA1" w14:paraId="270F1DC9" w14:textId="77777777">
            <w:pPr>
              <w:spacing w:before="40" w:after="40"/>
              <w:rPr>
                <w:sz w:val="20"/>
                <w:szCs w:val="20"/>
              </w:rPr>
            </w:pPr>
          </w:p>
        </w:tc>
        <w:tc>
          <w:tcPr>
            <w:tcW w:w="1843" w:type="dxa"/>
            <w:vAlign w:val="center"/>
          </w:tcPr>
          <w:p w:rsidR="00A0708B" w:rsidRPr="003265E8" w:rsidP="003C6BA1" w14:paraId="09F65DE6" w14:textId="77777777">
            <w:pPr>
              <w:spacing w:before="40" w:after="40"/>
              <w:rPr>
                <w:sz w:val="20"/>
                <w:szCs w:val="20"/>
              </w:rPr>
            </w:pPr>
            <w:r w:rsidRPr="003265E8">
              <w:rPr>
                <w:noProof w:val="0"/>
                <w:color w:val="000000"/>
                <w:sz w:val="20"/>
                <w:szCs w:val="20"/>
                <w:lang w:eastAsia="cs-CZ" w:bidi="ar-SA"/>
              </w:rPr>
              <w:t>CENIA - náklady na úpravu formuláře</w:t>
            </w:r>
          </w:p>
        </w:tc>
        <w:tc>
          <w:tcPr>
            <w:tcW w:w="1843" w:type="dxa"/>
            <w:vAlign w:val="center"/>
          </w:tcPr>
          <w:p w:rsidR="00A0708B" w:rsidRPr="003265E8" w:rsidP="003C6BA1" w14:paraId="4B7CE4AB" w14:textId="77777777">
            <w:pPr>
              <w:spacing w:before="40" w:after="40"/>
              <w:rPr>
                <w:sz w:val="20"/>
                <w:szCs w:val="20"/>
              </w:rPr>
            </w:pPr>
            <w:r w:rsidRPr="003265E8">
              <w:rPr>
                <w:noProof w:val="0"/>
                <w:color w:val="000000"/>
                <w:sz w:val="20"/>
                <w:szCs w:val="20"/>
                <w:lang w:eastAsia="cs-CZ" w:bidi="ar-SA"/>
              </w:rPr>
              <w:t>17-400 tis. Kč/ 3 roky</w:t>
            </w:r>
          </w:p>
        </w:tc>
      </w:tr>
      <w:tr w14:paraId="4AF410C5" w14:textId="77777777" w:rsidTr="00937FFC">
        <w:tblPrEx>
          <w:tblW w:w="0" w:type="auto"/>
          <w:tblLook w:val="04A0"/>
        </w:tblPrEx>
        <w:tc>
          <w:tcPr>
            <w:tcW w:w="1842" w:type="dxa"/>
            <w:vMerge/>
          </w:tcPr>
          <w:p w:rsidR="00A0708B" w:rsidRPr="003265E8" w:rsidP="003C6BA1" w14:paraId="46AF4392" w14:textId="77777777">
            <w:pPr>
              <w:spacing w:before="40" w:after="40"/>
              <w:rPr>
                <w:sz w:val="20"/>
                <w:szCs w:val="20"/>
              </w:rPr>
            </w:pPr>
          </w:p>
        </w:tc>
        <w:tc>
          <w:tcPr>
            <w:tcW w:w="1842" w:type="dxa"/>
          </w:tcPr>
          <w:p w:rsidR="00A0708B" w:rsidRPr="003265E8" w:rsidP="003C6BA1" w14:paraId="4CC00630" w14:textId="77777777">
            <w:pPr>
              <w:spacing w:before="40" w:after="40"/>
              <w:rPr>
                <w:sz w:val="20"/>
                <w:szCs w:val="20"/>
              </w:rPr>
            </w:pPr>
          </w:p>
        </w:tc>
        <w:tc>
          <w:tcPr>
            <w:tcW w:w="1842" w:type="dxa"/>
          </w:tcPr>
          <w:p w:rsidR="00A0708B" w:rsidRPr="003265E8" w:rsidP="003C6BA1" w14:paraId="7DBA4A95" w14:textId="77777777">
            <w:pPr>
              <w:spacing w:before="40" w:after="40"/>
              <w:rPr>
                <w:sz w:val="20"/>
                <w:szCs w:val="20"/>
              </w:rPr>
            </w:pPr>
          </w:p>
        </w:tc>
        <w:tc>
          <w:tcPr>
            <w:tcW w:w="1843" w:type="dxa"/>
            <w:vAlign w:val="center"/>
          </w:tcPr>
          <w:p w:rsidR="00A0708B" w:rsidRPr="003265E8" w:rsidP="003C6BA1" w14:paraId="6ECC2C97" w14:textId="77777777">
            <w:pPr>
              <w:spacing w:before="40" w:after="40"/>
              <w:rPr>
                <w:sz w:val="20"/>
                <w:szCs w:val="20"/>
              </w:rPr>
            </w:pPr>
            <w:r w:rsidRPr="003265E8">
              <w:rPr>
                <w:noProof w:val="0"/>
                <w:color w:val="000000"/>
                <w:sz w:val="20"/>
                <w:szCs w:val="20"/>
                <w:lang w:eastAsia="cs-CZ" w:bidi="ar-SA"/>
              </w:rPr>
              <w:t>CENIA, kontrolní orgány - navýšení administrativy spojené s kontrolou zasílání hlášení v časovém období 1 x za 3 roky</w:t>
            </w:r>
          </w:p>
        </w:tc>
        <w:tc>
          <w:tcPr>
            <w:tcW w:w="1843" w:type="dxa"/>
            <w:vAlign w:val="center"/>
          </w:tcPr>
          <w:p w:rsidR="00A0708B" w:rsidRPr="003265E8" w:rsidP="003C6BA1" w14:paraId="29D77D71" w14:textId="77777777">
            <w:pPr>
              <w:spacing w:before="40" w:after="40"/>
              <w:jc w:val="center"/>
              <w:rPr>
                <w:sz w:val="20"/>
                <w:szCs w:val="20"/>
              </w:rPr>
            </w:pPr>
            <w:r w:rsidRPr="003265E8">
              <w:rPr>
                <w:noProof w:val="0"/>
                <w:color w:val="000000"/>
                <w:sz w:val="20"/>
                <w:szCs w:val="20"/>
                <w:lang w:eastAsia="cs-CZ" w:bidi="ar-SA"/>
              </w:rPr>
              <w:t>**</w:t>
            </w:r>
          </w:p>
        </w:tc>
      </w:tr>
      <w:tr w14:paraId="3115DB6F" w14:textId="77777777" w:rsidTr="00937FFC">
        <w:tblPrEx>
          <w:tblW w:w="0" w:type="auto"/>
          <w:tblLook w:val="04A0"/>
        </w:tblPrEx>
        <w:tc>
          <w:tcPr>
            <w:tcW w:w="1842" w:type="dxa"/>
            <w:vMerge/>
          </w:tcPr>
          <w:p w:rsidR="00A0708B" w:rsidRPr="003265E8" w:rsidP="003C6BA1" w14:paraId="103442AA" w14:textId="77777777">
            <w:pPr>
              <w:spacing w:before="40" w:after="40"/>
              <w:rPr>
                <w:sz w:val="20"/>
                <w:szCs w:val="20"/>
              </w:rPr>
            </w:pPr>
          </w:p>
        </w:tc>
        <w:tc>
          <w:tcPr>
            <w:tcW w:w="7370" w:type="dxa"/>
            <w:gridSpan w:val="4"/>
          </w:tcPr>
          <w:p w:rsidR="00A0708B" w:rsidRPr="003265E8" w:rsidP="003C6BA1" w14:paraId="3FEE3937" w14:textId="77777777">
            <w:pPr>
              <w:spacing w:before="40" w:after="40"/>
              <w:jc w:val="center"/>
              <w:rPr>
                <w:sz w:val="20"/>
                <w:szCs w:val="20"/>
              </w:rPr>
            </w:pPr>
            <w:r w:rsidRPr="003265E8">
              <w:rPr>
                <w:b/>
                <w:sz w:val="20"/>
                <w:szCs w:val="20"/>
              </w:rPr>
              <w:t>Podnikatelské subjekty</w:t>
            </w:r>
          </w:p>
        </w:tc>
      </w:tr>
      <w:tr w14:paraId="2F4CC69D" w14:textId="77777777" w:rsidTr="00937FFC">
        <w:tblPrEx>
          <w:tblW w:w="0" w:type="auto"/>
          <w:tblLook w:val="04A0"/>
        </w:tblPrEx>
        <w:tc>
          <w:tcPr>
            <w:tcW w:w="1842" w:type="dxa"/>
            <w:vMerge/>
          </w:tcPr>
          <w:p w:rsidR="00A0708B" w:rsidRPr="003265E8" w:rsidP="003C6BA1" w14:paraId="2E8FECBE" w14:textId="77777777">
            <w:pPr>
              <w:spacing w:before="40" w:after="40"/>
              <w:rPr>
                <w:sz w:val="20"/>
                <w:szCs w:val="20"/>
              </w:rPr>
            </w:pPr>
          </w:p>
        </w:tc>
        <w:tc>
          <w:tcPr>
            <w:tcW w:w="1842" w:type="dxa"/>
          </w:tcPr>
          <w:p w:rsidR="00A0708B" w:rsidRPr="003265E8" w:rsidP="003C6BA1" w14:paraId="627A106F" w14:textId="77777777">
            <w:pPr>
              <w:spacing w:before="40" w:after="40"/>
              <w:rPr>
                <w:sz w:val="20"/>
                <w:szCs w:val="20"/>
              </w:rPr>
            </w:pPr>
          </w:p>
        </w:tc>
        <w:tc>
          <w:tcPr>
            <w:tcW w:w="1842" w:type="dxa"/>
          </w:tcPr>
          <w:p w:rsidR="00A0708B" w:rsidRPr="003265E8" w:rsidP="003C6BA1" w14:paraId="7FD5633D" w14:textId="77777777">
            <w:pPr>
              <w:spacing w:before="40" w:after="40"/>
              <w:rPr>
                <w:sz w:val="20"/>
                <w:szCs w:val="20"/>
              </w:rPr>
            </w:pPr>
          </w:p>
        </w:tc>
        <w:tc>
          <w:tcPr>
            <w:tcW w:w="1843" w:type="dxa"/>
            <w:vAlign w:val="center"/>
          </w:tcPr>
          <w:p w:rsidR="00A0708B" w:rsidRPr="003265E8" w:rsidP="003C6BA1" w14:paraId="384D1119" w14:textId="77777777">
            <w:pPr>
              <w:spacing w:before="40" w:after="40"/>
              <w:rPr>
                <w:sz w:val="20"/>
                <w:szCs w:val="20"/>
              </w:rPr>
            </w:pPr>
            <w:r w:rsidRPr="003265E8">
              <w:rPr>
                <w:noProof w:val="0"/>
                <w:color w:val="000000"/>
                <w:sz w:val="20"/>
                <w:szCs w:val="20"/>
                <w:lang w:eastAsia="cs-CZ" w:bidi="ar-SA"/>
              </w:rPr>
              <w:t>Výrobci - náklady na zaslání ročních zpráv</w:t>
            </w:r>
          </w:p>
        </w:tc>
        <w:tc>
          <w:tcPr>
            <w:tcW w:w="1843" w:type="dxa"/>
            <w:vAlign w:val="center"/>
          </w:tcPr>
          <w:p w:rsidR="00A0708B" w:rsidRPr="003265E8" w:rsidP="003C6BA1" w14:paraId="7F95C252" w14:textId="77777777">
            <w:pPr>
              <w:spacing w:before="40" w:after="40"/>
              <w:rPr>
                <w:sz w:val="20"/>
                <w:szCs w:val="20"/>
              </w:rPr>
            </w:pPr>
            <w:r w:rsidRPr="003265E8">
              <w:rPr>
                <w:noProof w:val="0"/>
                <w:color w:val="000000"/>
                <w:sz w:val="20"/>
                <w:szCs w:val="20"/>
                <w:lang w:eastAsia="cs-CZ" w:bidi="ar-SA"/>
              </w:rPr>
              <w:t>100 tis. Kč/rok</w:t>
            </w:r>
          </w:p>
        </w:tc>
      </w:tr>
      <w:tr w14:paraId="5E319562" w14:textId="77777777" w:rsidTr="00937FFC">
        <w:tblPrEx>
          <w:tblW w:w="0" w:type="auto"/>
          <w:tblLook w:val="04A0"/>
        </w:tblPrEx>
        <w:tc>
          <w:tcPr>
            <w:tcW w:w="1842" w:type="dxa"/>
            <w:vMerge w:val="restart"/>
          </w:tcPr>
          <w:p w:rsidR="00A0708B" w:rsidRPr="003265E8" w:rsidP="003C6BA1" w14:paraId="2F6C5492" w14:textId="77777777">
            <w:pPr>
              <w:spacing w:before="40" w:after="40"/>
              <w:rPr>
                <w:b/>
                <w:sz w:val="20"/>
                <w:szCs w:val="20"/>
              </w:rPr>
            </w:pPr>
            <w:r w:rsidRPr="003265E8">
              <w:rPr>
                <w:b/>
                <w:sz w:val="20"/>
                <w:szCs w:val="20"/>
              </w:rPr>
              <w:t>Varianta 3</w:t>
            </w:r>
          </w:p>
          <w:p w:rsidR="00A0708B" w:rsidRPr="003265E8" w:rsidP="003C6BA1" w14:paraId="69F52F37" w14:textId="77777777">
            <w:pPr>
              <w:spacing w:before="40" w:after="40"/>
              <w:rPr>
                <w:sz w:val="20"/>
                <w:szCs w:val="20"/>
              </w:rPr>
            </w:pPr>
            <w:r w:rsidRPr="003265E8">
              <w:rPr>
                <w:sz w:val="20"/>
                <w:szCs w:val="20"/>
              </w:rPr>
              <w:t>(zrušení roční zprávy)</w:t>
            </w:r>
          </w:p>
        </w:tc>
        <w:tc>
          <w:tcPr>
            <w:tcW w:w="7370" w:type="dxa"/>
            <w:gridSpan w:val="4"/>
          </w:tcPr>
          <w:p w:rsidR="00A0708B" w:rsidRPr="003265E8" w:rsidP="003C6BA1" w14:paraId="7E214A70" w14:textId="77777777">
            <w:pPr>
              <w:spacing w:before="40" w:after="40"/>
              <w:jc w:val="center"/>
              <w:rPr>
                <w:sz w:val="20"/>
                <w:szCs w:val="20"/>
              </w:rPr>
            </w:pPr>
            <w:r w:rsidRPr="003265E8">
              <w:rPr>
                <w:b/>
                <w:sz w:val="20"/>
                <w:szCs w:val="20"/>
              </w:rPr>
              <w:t>Státní rozpočet a ostatní veřejné rozpočty</w:t>
            </w:r>
          </w:p>
        </w:tc>
      </w:tr>
      <w:tr w14:paraId="35B68C2F" w14:textId="77777777" w:rsidTr="00937FFC">
        <w:tblPrEx>
          <w:tblW w:w="0" w:type="auto"/>
          <w:tblLook w:val="04A0"/>
        </w:tblPrEx>
        <w:tc>
          <w:tcPr>
            <w:tcW w:w="1842" w:type="dxa"/>
            <w:vMerge/>
          </w:tcPr>
          <w:p w:rsidR="00A0708B" w:rsidRPr="003265E8" w:rsidP="003C6BA1" w14:paraId="2F3CC39E" w14:textId="77777777">
            <w:pPr>
              <w:spacing w:before="40" w:after="40"/>
              <w:rPr>
                <w:sz w:val="20"/>
                <w:szCs w:val="20"/>
              </w:rPr>
            </w:pPr>
          </w:p>
        </w:tc>
        <w:tc>
          <w:tcPr>
            <w:tcW w:w="1842" w:type="dxa"/>
            <w:vAlign w:val="center"/>
          </w:tcPr>
          <w:p w:rsidR="00A0708B" w:rsidRPr="003265E8" w:rsidP="003C6BA1" w14:paraId="49295745" w14:textId="77777777">
            <w:pPr>
              <w:spacing w:before="40" w:after="40"/>
              <w:rPr>
                <w:sz w:val="20"/>
                <w:szCs w:val="20"/>
              </w:rPr>
            </w:pPr>
            <w:r w:rsidRPr="003265E8">
              <w:rPr>
                <w:noProof w:val="0"/>
                <w:color w:val="000000"/>
                <w:sz w:val="20"/>
                <w:szCs w:val="20"/>
                <w:lang w:eastAsia="cs-CZ" w:bidi="ar-SA"/>
              </w:rPr>
              <w:t xml:space="preserve">CENIA - snížení administrativní zátěže </w:t>
            </w:r>
          </w:p>
        </w:tc>
        <w:tc>
          <w:tcPr>
            <w:tcW w:w="1842" w:type="dxa"/>
            <w:vAlign w:val="center"/>
          </w:tcPr>
          <w:p w:rsidR="00A0708B" w:rsidRPr="003265E8" w:rsidP="003C6BA1" w14:paraId="5205C7DC" w14:textId="77777777">
            <w:pPr>
              <w:spacing w:before="40" w:after="40"/>
              <w:rPr>
                <w:sz w:val="20"/>
                <w:szCs w:val="20"/>
              </w:rPr>
            </w:pPr>
            <w:r w:rsidRPr="003265E8">
              <w:rPr>
                <w:noProof w:val="0"/>
                <w:color w:val="000000"/>
                <w:sz w:val="20"/>
                <w:szCs w:val="20"/>
                <w:lang w:eastAsia="cs-CZ" w:bidi="ar-SA"/>
              </w:rPr>
              <w:t>23 tis. Kč/rok</w:t>
            </w:r>
          </w:p>
        </w:tc>
        <w:tc>
          <w:tcPr>
            <w:tcW w:w="1843" w:type="dxa"/>
          </w:tcPr>
          <w:p w:rsidR="00A0708B" w:rsidRPr="003265E8" w:rsidP="003C6BA1" w14:paraId="42D11BF0" w14:textId="77777777">
            <w:pPr>
              <w:spacing w:before="40" w:after="40"/>
              <w:rPr>
                <w:sz w:val="20"/>
                <w:szCs w:val="20"/>
              </w:rPr>
            </w:pPr>
          </w:p>
        </w:tc>
        <w:tc>
          <w:tcPr>
            <w:tcW w:w="1843" w:type="dxa"/>
          </w:tcPr>
          <w:p w:rsidR="00A0708B" w:rsidRPr="003265E8" w:rsidP="003C6BA1" w14:paraId="6B2997EF" w14:textId="77777777">
            <w:pPr>
              <w:spacing w:before="40" w:after="40"/>
              <w:rPr>
                <w:sz w:val="20"/>
                <w:szCs w:val="20"/>
              </w:rPr>
            </w:pPr>
          </w:p>
        </w:tc>
      </w:tr>
      <w:tr w14:paraId="056C091A" w14:textId="77777777" w:rsidTr="00937FFC">
        <w:tblPrEx>
          <w:tblW w:w="0" w:type="auto"/>
          <w:tblLook w:val="04A0"/>
        </w:tblPrEx>
        <w:tc>
          <w:tcPr>
            <w:tcW w:w="1842" w:type="dxa"/>
            <w:vMerge/>
          </w:tcPr>
          <w:p w:rsidR="00A0708B" w:rsidRPr="003265E8" w:rsidP="003C6BA1" w14:paraId="372CB154" w14:textId="77777777">
            <w:pPr>
              <w:spacing w:before="40" w:after="40"/>
              <w:rPr>
                <w:sz w:val="20"/>
                <w:szCs w:val="20"/>
              </w:rPr>
            </w:pPr>
          </w:p>
        </w:tc>
        <w:tc>
          <w:tcPr>
            <w:tcW w:w="1842" w:type="dxa"/>
            <w:vAlign w:val="center"/>
          </w:tcPr>
          <w:p w:rsidR="00A0708B" w:rsidRPr="003265E8" w:rsidP="003C6BA1" w14:paraId="489BBD94" w14:textId="77777777">
            <w:pPr>
              <w:spacing w:before="40" w:after="40"/>
              <w:rPr>
                <w:noProof w:val="0"/>
                <w:color w:val="000000"/>
                <w:sz w:val="20"/>
                <w:szCs w:val="20"/>
                <w:lang w:eastAsia="cs-CZ" w:bidi="ar-SA"/>
              </w:rPr>
            </w:pPr>
            <w:r w:rsidRPr="003265E8">
              <w:rPr>
                <w:noProof w:val="0"/>
                <w:color w:val="000000"/>
                <w:sz w:val="20"/>
                <w:szCs w:val="20"/>
                <w:lang w:eastAsia="cs-CZ" w:bidi="ar-SA"/>
              </w:rPr>
              <w:t>CENIA – snížení nákladů na úpravu formuláře</w:t>
            </w:r>
          </w:p>
        </w:tc>
        <w:tc>
          <w:tcPr>
            <w:tcW w:w="1842" w:type="dxa"/>
            <w:vAlign w:val="center"/>
          </w:tcPr>
          <w:p w:rsidR="00A0708B" w:rsidRPr="003265E8" w:rsidP="003C6BA1" w14:paraId="19C4BD58" w14:textId="77777777">
            <w:pPr>
              <w:spacing w:before="40" w:after="40"/>
              <w:rPr>
                <w:noProof w:val="0"/>
                <w:color w:val="000000"/>
                <w:sz w:val="20"/>
                <w:szCs w:val="20"/>
                <w:lang w:eastAsia="cs-CZ" w:bidi="ar-SA"/>
              </w:rPr>
            </w:pPr>
            <w:r w:rsidRPr="003265E8">
              <w:rPr>
                <w:noProof w:val="0"/>
                <w:color w:val="000000"/>
                <w:sz w:val="20"/>
                <w:szCs w:val="20"/>
                <w:lang w:eastAsia="cs-CZ" w:bidi="ar-SA"/>
              </w:rPr>
              <w:t>17 tis. Kč/rok</w:t>
            </w:r>
          </w:p>
        </w:tc>
        <w:tc>
          <w:tcPr>
            <w:tcW w:w="1843" w:type="dxa"/>
          </w:tcPr>
          <w:p w:rsidR="00A0708B" w:rsidRPr="003265E8" w:rsidP="003C6BA1" w14:paraId="2BA0A5FF" w14:textId="77777777">
            <w:pPr>
              <w:spacing w:before="40" w:after="40"/>
              <w:rPr>
                <w:sz w:val="20"/>
                <w:szCs w:val="20"/>
              </w:rPr>
            </w:pPr>
          </w:p>
        </w:tc>
        <w:tc>
          <w:tcPr>
            <w:tcW w:w="1843" w:type="dxa"/>
          </w:tcPr>
          <w:p w:rsidR="00A0708B" w:rsidRPr="003265E8" w:rsidP="003C6BA1" w14:paraId="4D0CF6FC" w14:textId="77777777">
            <w:pPr>
              <w:spacing w:before="40" w:after="40"/>
              <w:rPr>
                <w:sz w:val="20"/>
                <w:szCs w:val="20"/>
              </w:rPr>
            </w:pPr>
          </w:p>
        </w:tc>
      </w:tr>
      <w:tr w14:paraId="7FD4D1A3" w14:textId="77777777" w:rsidTr="00937FFC">
        <w:tblPrEx>
          <w:tblW w:w="0" w:type="auto"/>
          <w:tblLook w:val="04A0"/>
        </w:tblPrEx>
        <w:tc>
          <w:tcPr>
            <w:tcW w:w="1842" w:type="dxa"/>
            <w:vMerge/>
          </w:tcPr>
          <w:p w:rsidR="00A0708B" w:rsidRPr="003265E8" w:rsidP="003C6BA1" w14:paraId="1CA5DEF9" w14:textId="77777777">
            <w:pPr>
              <w:spacing w:before="40" w:after="40"/>
              <w:rPr>
                <w:sz w:val="20"/>
                <w:szCs w:val="20"/>
              </w:rPr>
            </w:pPr>
          </w:p>
        </w:tc>
        <w:tc>
          <w:tcPr>
            <w:tcW w:w="7370" w:type="dxa"/>
            <w:gridSpan w:val="4"/>
          </w:tcPr>
          <w:p w:rsidR="00A0708B" w:rsidRPr="003265E8" w:rsidP="003C6BA1" w14:paraId="2267B699" w14:textId="77777777">
            <w:pPr>
              <w:spacing w:before="40" w:after="40"/>
              <w:jc w:val="center"/>
              <w:rPr>
                <w:sz w:val="20"/>
                <w:szCs w:val="20"/>
              </w:rPr>
            </w:pPr>
            <w:r w:rsidRPr="003265E8">
              <w:rPr>
                <w:b/>
                <w:sz w:val="20"/>
                <w:szCs w:val="20"/>
              </w:rPr>
              <w:t>Podnikatelské subjekty</w:t>
            </w:r>
          </w:p>
        </w:tc>
      </w:tr>
      <w:tr w14:paraId="5F898989" w14:textId="77777777" w:rsidTr="00937FFC">
        <w:tblPrEx>
          <w:tblW w:w="0" w:type="auto"/>
          <w:tblLook w:val="04A0"/>
        </w:tblPrEx>
        <w:tc>
          <w:tcPr>
            <w:tcW w:w="1842" w:type="dxa"/>
            <w:vMerge/>
          </w:tcPr>
          <w:p w:rsidR="00A0708B" w:rsidRPr="003265E8" w:rsidP="003C6BA1" w14:paraId="227B540D" w14:textId="77777777">
            <w:pPr>
              <w:spacing w:before="40" w:after="40"/>
              <w:rPr>
                <w:sz w:val="20"/>
                <w:szCs w:val="20"/>
              </w:rPr>
            </w:pPr>
          </w:p>
        </w:tc>
        <w:tc>
          <w:tcPr>
            <w:tcW w:w="1842" w:type="dxa"/>
            <w:vAlign w:val="center"/>
          </w:tcPr>
          <w:p w:rsidR="00A0708B" w:rsidRPr="003265E8" w:rsidP="003C6BA1" w14:paraId="705437AF" w14:textId="77777777">
            <w:pPr>
              <w:spacing w:before="40" w:after="40"/>
              <w:rPr>
                <w:sz w:val="20"/>
                <w:szCs w:val="20"/>
              </w:rPr>
            </w:pPr>
            <w:r w:rsidRPr="003265E8">
              <w:rPr>
                <w:noProof w:val="0"/>
                <w:color w:val="000000"/>
                <w:sz w:val="20"/>
                <w:szCs w:val="20"/>
                <w:lang w:eastAsia="cs-CZ" w:bidi="ar-SA"/>
              </w:rPr>
              <w:t xml:space="preserve">Výrobci - snížení administrativní zátěže </w:t>
            </w:r>
          </w:p>
        </w:tc>
        <w:tc>
          <w:tcPr>
            <w:tcW w:w="1842" w:type="dxa"/>
            <w:vAlign w:val="center"/>
          </w:tcPr>
          <w:p w:rsidR="00A0708B" w:rsidRPr="003265E8" w:rsidP="003C6BA1" w14:paraId="69E920EB" w14:textId="4F4A0B5D">
            <w:pPr>
              <w:spacing w:before="40" w:after="40"/>
              <w:rPr>
                <w:sz w:val="20"/>
                <w:szCs w:val="20"/>
              </w:rPr>
            </w:pPr>
            <w:r>
              <w:rPr>
                <w:noProof w:val="0"/>
                <w:color w:val="000000"/>
                <w:sz w:val="20"/>
                <w:szCs w:val="20"/>
                <w:lang w:eastAsia="cs-CZ" w:bidi="ar-SA"/>
              </w:rPr>
              <w:t>304</w:t>
            </w:r>
            <w:r w:rsidRPr="003265E8">
              <w:rPr>
                <w:noProof w:val="0"/>
                <w:color w:val="000000"/>
                <w:sz w:val="20"/>
                <w:szCs w:val="20"/>
                <w:lang w:eastAsia="cs-CZ" w:bidi="ar-SA"/>
              </w:rPr>
              <w:t xml:space="preserve"> tis. Kč/rok</w:t>
            </w:r>
            <w:r w:rsidRPr="003265E8">
              <w:rPr>
                <w:noProof w:val="0"/>
                <w:color w:val="000000"/>
                <w:sz w:val="20"/>
                <w:szCs w:val="20"/>
                <w:lang w:eastAsia="cs-CZ" w:bidi="ar-SA"/>
              </w:rPr>
              <w:t xml:space="preserve"> </w:t>
            </w:r>
          </w:p>
        </w:tc>
        <w:tc>
          <w:tcPr>
            <w:tcW w:w="1843" w:type="dxa"/>
          </w:tcPr>
          <w:p w:rsidR="00A0708B" w:rsidRPr="003265E8" w:rsidP="003C6BA1" w14:paraId="2FA0CA63" w14:textId="77777777">
            <w:pPr>
              <w:spacing w:before="40" w:after="40"/>
              <w:rPr>
                <w:sz w:val="20"/>
                <w:szCs w:val="20"/>
              </w:rPr>
            </w:pPr>
          </w:p>
        </w:tc>
        <w:tc>
          <w:tcPr>
            <w:tcW w:w="1843" w:type="dxa"/>
          </w:tcPr>
          <w:p w:rsidR="00A0708B" w:rsidRPr="003265E8" w:rsidP="003C6BA1" w14:paraId="46810AD6" w14:textId="77777777">
            <w:pPr>
              <w:spacing w:before="40" w:after="40"/>
              <w:rPr>
                <w:sz w:val="20"/>
                <w:szCs w:val="20"/>
              </w:rPr>
            </w:pPr>
          </w:p>
        </w:tc>
      </w:tr>
    </w:tbl>
    <w:p w:rsidR="009C3AE8" w:rsidRPr="003265E8" w:rsidP="00937FFC" w14:paraId="3A6E25C9" w14:textId="77777777">
      <w:pPr>
        <w:rPr>
          <w:sz w:val="20"/>
          <w:szCs w:val="20"/>
        </w:rPr>
      </w:pPr>
    </w:p>
    <w:p w:rsidR="00BE2D4A" w:rsidRPr="00ED38E9" w:rsidP="00D73208" w14:paraId="2EAC61C5" w14:textId="77777777">
      <w:pPr>
        <w:pStyle w:val="Heading2"/>
      </w:pPr>
      <w:bookmarkStart w:id="251" w:name="_Toc441759959"/>
      <w:r w:rsidRPr="00ED38E9">
        <w:t>Návrh řešení</w:t>
      </w:r>
      <w:bookmarkEnd w:id="251"/>
    </w:p>
    <w:p w:rsidR="00BE2D4A" w:rsidRPr="00ED38E9" w:rsidP="00BF16B7" w14:paraId="262F7C90" w14:textId="77777777">
      <w:pPr>
        <w:pStyle w:val="Heading3"/>
      </w:pPr>
      <w:r w:rsidRPr="00ED38E9">
        <w:t>Stanovení pořadí variant a výběr nejvhodnějšího řešení</w:t>
      </w:r>
    </w:p>
    <w:p w:rsidR="00BE2D4A" w:rsidRPr="00ED38E9" w:rsidP="003C445B" w14:paraId="06CA6A6C" w14:textId="77777777">
      <w:pPr>
        <w:pStyle w:val="ListParagraph"/>
        <w:numPr>
          <w:ilvl w:val="0"/>
          <w:numId w:val="22"/>
        </w:numPr>
        <w:spacing w:line="240" w:lineRule="auto"/>
        <w:ind w:left="714" w:hanging="357"/>
        <w:contextualSpacing w:val="0"/>
        <w:rPr>
          <w:rFonts w:cs="Arial"/>
          <w:b/>
        </w:rPr>
      </w:pPr>
      <w:r w:rsidRPr="00ED38E9">
        <w:rPr>
          <w:rFonts w:cs="Arial"/>
          <w:b/>
        </w:rPr>
        <w:t>Varianta 3</w:t>
      </w:r>
    </w:p>
    <w:p w:rsidR="00BE2D4A" w:rsidRPr="00ED38E9" w:rsidP="003C445B" w14:paraId="1E615700" w14:textId="77777777">
      <w:pPr>
        <w:pStyle w:val="ListParagraph"/>
        <w:numPr>
          <w:ilvl w:val="0"/>
          <w:numId w:val="22"/>
        </w:numPr>
        <w:spacing w:line="240" w:lineRule="auto"/>
        <w:ind w:left="714" w:hanging="357"/>
        <w:contextualSpacing w:val="0"/>
        <w:rPr>
          <w:rFonts w:cs="Arial"/>
        </w:rPr>
      </w:pPr>
      <w:r w:rsidRPr="00ED38E9">
        <w:rPr>
          <w:rFonts w:cs="Arial"/>
        </w:rPr>
        <w:t>Varianta 0</w:t>
      </w:r>
    </w:p>
    <w:p w:rsidR="00BE2D4A" w:rsidRPr="00ED38E9" w:rsidP="003C445B" w14:paraId="17536375" w14:textId="77777777">
      <w:pPr>
        <w:pStyle w:val="ListParagraph"/>
        <w:numPr>
          <w:ilvl w:val="0"/>
          <w:numId w:val="22"/>
        </w:numPr>
        <w:spacing w:line="240" w:lineRule="auto"/>
        <w:ind w:left="714" w:hanging="357"/>
        <w:contextualSpacing w:val="0"/>
        <w:rPr>
          <w:rFonts w:cs="Arial"/>
        </w:rPr>
      </w:pPr>
      <w:r w:rsidRPr="00ED38E9">
        <w:rPr>
          <w:rFonts w:cs="Arial"/>
        </w:rPr>
        <w:t>Varianta 1</w:t>
      </w:r>
    </w:p>
    <w:p w:rsidR="00BE2D4A" w:rsidRPr="00ED38E9" w:rsidP="003C445B" w14:paraId="751B4BC7" w14:textId="77777777">
      <w:pPr>
        <w:pStyle w:val="ListParagraph"/>
        <w:numPr>
          <w:ilvl w:val="0"/>
          <w:numId w:val="22"/>
        </w:numPr>
        <w:spacing w:line="240" w:lineRule="auto"/>
        <w:ind w:left="714" w:hanging="357"/>
        <w:contextualSpacing w:val="0"/>
        <w:rPr>
          <w:rFonts w:cs="Arial"/>
        </w:rPr>
      </w:pPr>
      <w:r w:rsidRPr="00ED38E9">
        <w:rPr>
          <w:rFonts w:cs="Arial"/>
        </w:rPr>
        <w:t>Varianta 2</w:t>
      </w:r>
    </w:p>
    <w:p w:rsidR="00BE2D4A" w:rsidP="00BE2D4A" w14:paraId="33370E0D" w14:textId="77777777">
      <w:pPr>
        <w:rPr>
          <w:rFonts w:cs="Arial"/>
        </w:rPr>
      </w:pPr>
      <w:r>
        <w:rPr>
          <w:rFonts w:cs="Arial"/>
        </w:rPr>
        <w:t>Po změně vyhlášky č. 352/2008 Sb., o podrobnostech nakládáním s autovraky MŽP disponuje veškerými daty z jiných zdrojů. Proto doporučujeme variantu 3.</w:t>
      </w:r>
    </w:p>
    <w:p w:rsidR="0046292D" w:rsidP="00BE2D4A" w14:paraId="6222CCD5" w14:textId="77777777">
      <w:pPr>
        <w:rPr>
          <w:rFonts w:cs="Arial"/>
        </w:rPr>
      </w:pPr>
    </w:p>
    <w:p w:rsidR="00C860DC" w:rsidRPr="00C860DC" w:rsidP="00C860DC" w14:paraId="6C18E57D" w14:textId="77777777">
      <w:pPr>
        <w:keepNext/>
        <w:jc w:val="center"/>
        <w:rPr>
          <w:rFonts w:cs="Arial"/>
          <w:b/>
          <w:sz w:val="32"/>
          <w:szCs w:val="32"/>
          <w:u w:val="single"/>
        </w:rPr>
      </w:pPr>
      <w:r w:rsidRPr="00C860DC">
        <w:rPr>
          <w:rFonts w:cs="Arial"/>
          <w:b/>
          <w:sz w:val="32"/>
          <w:szCs w:val="32"/>
          <w:u w:val="single"/>
        </w:rPr>
        <w:t>VII. Výkon státní správy</w:t>
      </w:r>
    </w:p>
    <w:p w:rsidR="002C485C" w:rsidRPr="00ED38E9" w:rsidP="007A2E3D" w14:paraId="1228CBA6" w14:textId="35D857F6">
      <w:pPr>
        <w:pStyle w:val="Heading1"/>
      </w:pPr>
      <w:bookmarkStart w:id="252" w:name="_Toc438037714"/>
      <w:bookmarkStart w:id="253" w:name="_Toc438037720"/>
      <w:bookmarkStart w:id="254" w:name="_Toc438037729"/>
      <w:bookmarkStart w:id="255" w:name="_Toc438037732"/>
      <w:bookmarkStart w:id="256" w:name="_Toc438037734"/>
      <w:bookmarkStart w:id="257" w:name="_Toc438037735"/>
      <w:bookmarkStart w:id="258" w:name="_Toc438037737"/>
      <w:bookmarkStart w:id="259" w:name="_Toc438037744"/>
      <w:bookmarkStart w:id="260" w:name="_Toc438037747"/>
      <w:bookmarkStart w:id="261" w:name="_Toc438037748"/>
      <w:bookmarkStart w:id="262" w:name="_Toc438037750"/>
      <w:bookmarkStart w:id="263" w:name="_Toc438037755"/>
      <w:bookmarkStart w:id="264" w:name="_Toc438037757"/>
      <w:bookmarkStart w:id="265" w:name="_Toc441759965"/>
      <w:bookmarkStart w:id="266" w:name="_Toc14942102"/>
      <w:bookmarkEnd w:id="252"/>
      <w:bookmarkEnd w:id="253"/>
      <w:bookmarkEnd w:id="254"/>
      <w:bookmarkEnd w:id="255"/>
      <w:bookmarkEnd w:id="256"/>
      <w:bookmarkEnd w:id="257"/>
      <w:bookmarkEnd w:id="258"/>
      <w:bookmarkEnd w:id="259"/>
      <w:bookmarkEnd w:id="260"/>
      <w:bookmarkEnd w:id="261"/>
      <w:bookmarkEnd w:id="262"/>
      <w:bookmarkEnd w:id="263"/>
      <w:bookmarkEnd w:id="264"/>
      <w:bookmarkStart w:id="267" w:name="_Toc256000028"/>
      <w:r w:rsidRPr="00ED38E9">
        <w:t>Rozšíření působnosti ČOI</w:t>
      </w:r>
      <w:bookmarkEnd w:id="265"/>
      <w:r w:rsidR="005D7988">
        <w:t xml:space="preserve"> (§ 1</w:t>
      </w:r>
      <w:r w:rsidR="00C23A89">
        <w:t>2</w:t>
      </w:r>
      <w:r w:rsidR="005D7988">
        <w:t>3)</w:t>
      </w:r>
      <w:bookmarkEnd w:id="267"/>
      <w:bookmarkEnd w:id="266"/>
    </w:p>
    <w:p w:rsidR="002C485C" w:rsidRPr="00ED38E9" w:rsidP="007A2E3D" w14:paraId="42194DAF" w14:textId="77777777">
      <w:pPr>
        <w:pStyle w:val="Heading2"/>
      </w:pPr>
      <w:bookmarkStart w:id="268" w:name="_Toc441759966"/>
      <w:r w:rsidRPr="00ED38E9">
        <w:t>Důvod předložení a cíle</w:t>
      </w:r>
      <w:bookmarkEnd w:id="268"/>
    </w:p>
    <w:p w:rsidR="002C485C" w:rsidRPr="00ED38E9" w:rsidP="00BF16B7" w14:paraId="5FC61D1F" w14:textId="77777777">
      <w:pPr>
        <w:pStyle w:val="Heading3"/>
      </w:pPr>
      <w:r w:rsidRPr="00ED38E9">
        <w:t>Definice problému</w:t>
      </w:r>
    </w:p>
    <w:p w:rsidR="002C485C" w:rsidP="002C485C" w14:paraId="4E581357" w14:textId="77777777">
      <w:pPr>
        <w:rPr>
          <w:rFonts w:cs="Arial"/>
          <w:noProof w:val="0"/>
          <w:lang w:bidi="ar-SA"/>
        </w:rPr>
      </w:pPr>
      <w:r w:rsidRPr="00ED38E9">
        <w:rPr>
          <w:rFonts w:cs="Arial"/>
          <w:noProof w:val="0"/>
          <w:lang w:bidi="ar-SA"/>
        </w:rPr>
        <w:t>V</w:t>
      </w:r>
      <w:r w:rsidRPr="00ED38E9" w:rsidR="00333557">
        <w:rPr>
          <w:rFonts w:cs="Arial"/>
          <w:noProof w:val="0"/>
          <w:lang w:bidi="ar-SA"/>
        </w:rPr>
        <w:t> </w:t>
      </w:r>
      <w:r w:rsidRPr="00ED38E9">
        <w:rPr>
          <w:rFonts w:cs="Arial"/>
          <w:noProof w:val="0"/>
          <w:lang w:bidi="ar-SA"/>
        </w:rPr>
        <w:t xml:space="preserve">současné legislativě nejsou dostatečně rozděleny pravomoci mezi kontrolní orgány. </w:t>
      </w:r>
      <w:r w:rsidR="00C20D79">
        <w:rPr>
          <w:rFonts w:cs="Arial"/>
          <w:noProof w:val="0"/>
          <w:lang w:bidi="ar-SA"/>
        </w:rPr>
        <w:t xml:space="preserve">Kontrola některých </w:t>
      </w:r>
      <w:r w:rsidRPr="00ED38E9">
        <w:rPr>
          <w:rFonts w:cs="Arial"/>
          <w:noProof w:val="0"/>
          <w:lang w:bidi="ar-SA"/>
        </w:rPr>
        <w:t xml:space="preserve"> </w:t>
      </w:r>
      <w:r w:rsidRPr="00ED38E9" w:rsidR="00C20D79">
        <w:rPr>
          <w:rFonts w:cs="Arial"/>
          <w:noProof w:val="0"/>
          <w:lang w:bidi="ar-SA"/>
        </w:rPr>
        <w:t>oblast</w:t>
      </w:r>
      <w:r w:rsidR="00C20D79">
        <w:rPr>
          <w:rFonts w:cs="Arial"/>
          <w:noProof w:val="0"/>
          <w:lang w:bidi="ar-SA"/>
        </w:rPr>
        <w:t>í</w:t>
      </w:r>
      <w:r w:rsidRPr="00ED38E9" w:rsidR="00C20D79">
        <w:rPr>
          <w:rFonts w:cs="Arial"/>
          <w:noProof w:val="0"/>
          <w:lang w:bidi="ar-SA"/>
        </w:rPr>
        <w:t xml:space="preserve"> </w:t>
      </w:r>
      <w:r w:rsidRPr="00ED38E9">
        <w:rPr>
          <w:rFonts w:cs="Arial"/>
          <w:noProof w:val="0"/>
          <w:lang w:bidi="ar-SA"/>
        </w:rPr>
        <w:t>úplně chybí. Činnosti, které jsou nově uvedeny v</w:t>
      </w:r>
      <w:r w:rsidRPr="00ED38E9" w:rsidR="00333557">
        <w:rPr>
          <w:rFonts w:cs="Arial"/>
          <w:noProof w:val="0"/>
          <w:lang w:bidi="ar-SA"/>
        </w:rPr>
        <w:t> </w:t>
      </w:r>
      <w:r w:rsidRPr="00ED38E9">
        <w:rPr>
          <w:rFonts w:cs="Arial"/>
          <w:noProof w:val="0"/>
          <w:lang w:bidi="ar-SA"/>
        </w:rPr>
        <w:t>zákoně o </w:t>
      </w:r>
      <w:r w:rsidR="00CA6CDD">
        <w:rPr>
          <w:rFonts w:cs="Arial"/>
          <w:noProof w:val="0"/>
          <w:lang w:bidi="ar-SA"/>
        </w:rPr>
        <w:t xml:space="preserve">vybraných </w:t>
      </w:r>
      <w:r w:rsidRPr="00ED38E9">
        <w:rPr>
          <w:rFonts w:cs="Arial"/>
          <w:noProof w:val="0"/>
          <w:lang w:bidi="ar-SA"/>
        </w:rPr>
        <w:t>výrobcích s</w:t>
      </w:r>
      <w:r w:rsidRPr="00ED38E9" w:rsidR="00333557">
        <w:rPr>
          <w:rFonts w:cs="Arial"/>
          <w:noProof w:val="0"/>
          <w:lang w:bidi="ar-SA"/>
        </w:rPr>
        <w:t> </w:t>
      </w:r>
      <w:r w:rsidRPr="00ED38E9">
        <w:rPr>
          <w:rFonts w:cs="Arial"/>
          <w:noProof w:val="0"/>
          <w:lang w:bidi="ar-SA"/>
        </w:rPr>
        <w:t>ukončenou životností, nemohla provádět ČIŽP</w:t>
      </w:r>
      <w:r w:rsidR="00C20D79">
        <w:rPr>
          <w:rFonts w:cs="Arial"/>
          <w:noProof w:val="0"/>
          <w:lang w:bidi="ar-SA"/>
        </w:rPr>
        <w:t>,</w:t>
      </w:r>
      <w:r w:rsidRPr="00ED38E9">
        <w:rPr>
          <w:rFonts w:cs="Arial"/>
          <w:noProof w:val="0"/>
          <w:lang w:bidi="ar-SA"/>
        </w:rPr>
        <w:t xml:space="preserve"> a nebyla k</w:t>
      </w:r>
      <w:r w:rsidRPr="00ED38E9" w:rsidR="00333557">
        <w:rPr>
          <w:rFonts w:cs="Arial"/>
          <w:noProof w:val="0"/>
          <w:lang w:bidi="ar-SA"/>
        </w:rPr>
        <w:t> </w:t>
      </w:r>
      <w:r w:rsidRPr="00ED38E9">
        <w:rPr>
          <w:rFonts w:cs="Arial"/>
          <w:noProof w:val="0"/>
          <w:lang w:bidi="ar-SA"/>
        </w:rPr>
        <w:t xml:space="preserve">tomu oprávněna ani </w:t>
      </w:r>
      <w:r w:rsidRPr="00ED38E9" w:rsidR="0032492C">
        <w:rPr>
          <w:rFonts w:cs="Arial"/>
          <w:noProof w:val="0"/>
          <w:lang w:bidi="ar-SA"/>
        </w:rPr>
        <w:t xml:space="preserve">Česká obchodní inspekce </w:t>
      </w:r>
      <w:r w:rsidR="0032492C">
        <w:rPr>
          <w:rFonts w:cs="Arial"/>
          <w:noProof w:val="0"/>
          <w:lang w:bidi="ar-SA"/>
        </w:rPr>
        <w:t xml:space="preserve"> (</w:t>
      </w:r>
      <w:r w:rsidRPr="00ED38E9">
        <w:rPr>
          <w:rFonts w:cs="Arial"/>
          <w:noProof w:val="0"/>
          <w:lang w:bidi="ar-SA"/>
        </w:rPr>
        <w:t>ČOI</w:t>
      </w:r>
      <w:r w:rsidR="0032492C">
        <w:rPr>
          <w:rFonts w:cs="Arial"/>
          <w:noProof w:val="0"/>
          <w:lang w:bidi="ar-SA"/>
        </w:rPr>
        <w:t>)</w:t>
      </w:r>
      <w:r w:rsidRPr="00ED38E9">
        <w:rPr>
          <w:rFonts w:cs="Arial"/>
          <w:noProof w:val="0"/>
          <w:lang w:bidi="ar-SA"/>
        </w:rPr>
        <w:t>.</w:t>
      </w:r>
    </w:p>
    <w:p w:rsidR="002C485C" w:rsidRPr="00ED38E9" w:rsidP="00BF16B7" w14:paraId="019626E4" w14:textId="77777777">
      <w:pPr>
        <w:pStyle w:val="Heading3"/>
      </w:pPr>
      <w:r w:rsidRPr="00ED38E9">
        <w:t>Popis existujícího právního stavu v</w:t>
      </w:r>
      <w:r w:rsidRPr="00ED38E9" w:rsidR="00333557">
        <w:t> </w:t>
      </w:r>
      <w:r w:rsidRPr="00ED38E9">
        <w:t>dané oblasti</w:t>
      </w:r>
    </w:p>
    <w:p w:rsidR="002C485C" w:rsidP="002C485C" w14:paraId="785EB285" w14:textId="57CD6DBC">
      <w:pPr>
        <w:rPr>
          <w:rFonts w:cs="Arial"/>
          <w:noProof w:val="0"/>
          <w:lang w:bidi="ar-SA"/>
        </w:rPr>
      </w:pPr>
      <w:r w:rsidRPr="00ED38E9">
        <w:rPr>
          <w:rFonts w:cs="Arial"/>
          <w:noProof w:val="0"/>
          <w:lang w:bidi="ar-SA"/>
        </w:rPr>
        <w:t>Dle § 76a zákona o odpadech Č</w:t>
      </w:r>
      <w:r w:rsidR="0032492C">
        <w:rPr>
          <w:rFonts w:cs="Arial"/>
          <w:noProof w:val="0"/>
          <w:lang w:bidi="ar-SA"/>
        </w:rPr>
        <w:t xml:space="preserve">OI </w:t>
      </w:r>
      <w:r w:rsidRPr="00ED38E9">
        <w:rPr>
          <w:rFonts w:cs="Arial"/>
          <w:noProof w:val="0"/>
          <w:lang w:bidi="ar-SA"/>
        </w:rPr>
        <w:t>kontroluje plnění povinností týkajících se uvádění baterií a</w:t>
      </w:r>
      <w:r w:rsidR="0032492C">
        <w:rPr>
          <w:rFonts w:cs="Arial"/>
          <w:noProof w:val="0"/>
          <w:lang w:bidi="ar-SA"/>
        </w:rPr>
        <w:t> </w:t>
      </w:r>
      <w:r w:rsidRPr="00ED38E9">
        <w:rPr>
          <w:rFonts w:cs="Arial"/>
          <w:noProof w:val="0"/>
          <w:lang w:bidi="ar-SA"/>
        </w:rPr>
        <w:t>akumulátorů na trh nebo do oběhu, jejich označování a</w:t>
      </w:r>
      <w:r w:rsidRPr="00ED38E9" w:rsidR="00586864">
        <w:rPr>
          <w:rFonts w:cs="Arial"/>
          <w:noProof w:val="0"/>
          <w:lang w:bidi="ar-SA"/>
        </w:rPr>
        <w:t> </w:t>
      </w:r>
      <w:r w:rsidRPr="00ED38E9">
        <w:rPr>
          <w:rFonts w:cs="Arial"/>
          <w:noProof w:val="0"/>
          <w:lang w:bidi="ar-SA"/>
        </w:rPr>
        <w:t>zajištění zpětného odběru výrobcem a posledním prodejcem</w:t>
      </w:r>
      <w:r w:rsidR="00C20D79">
        <w:rPr>
          <w:rFonts w:cs="Arial"/>
          <w:noProof w:val="0"/>
          <w:lang w:bidi="ar-SA"/>
        </w:rPr>
        <w:t>, kteří jsou</w:t>
      </w:r>
      <w:r w:rsidRPr="00ED38E9">
        <w:rPr>
          <w:rFonts w:cs="Arial"/>
          <w:noProof w:val="0"/>
          <w:lang w:bidi="ar-SA"/>
        </w:rPr>
        <w:t xml:space="preserve"> </w:t>
      </w:r>
      <w:r w:rsidRPr="00ED38E9" w:rsidR="00C20D79">
        <w:rPr>
          <w:rFonts w:cs="Arial"/>
          <w:noProof w:val="0"/>
          <w:lang w:bidi="ar-SA"/>
        </w:rPr>
        <w:t>povinn</w:t>
      </w:r>
      <w:r w:rsidR="00C20D79">
        <w:rPr>
          <w:rFonts w:cs="Arial"/>
          <w:noProof w:val="0"/>
          <w:lang w:bidi="ar-SA"/>
        </w:rPr>
        <w:t>i</w:t>
      </w:r>
      <w:r w:rsidRPr="00ED38E9" w:rsidR="00C20D79">
        <w:rPr>
          <w:rFonts w:cs="Arial"/>
          <w:noProof w:val="0"/>
          <w:lang w:bidi="ar-SA"/>
        </w:rPr>
        <w:t xml:space="preserve"> </w:t>
      </w:r>
      <w:r w:rsidRPr="00ED38E9">
        <w:rPr>
          <w:rFonts w:cs="Arial"/>
          <w:noProof w:val="0"/>
          <w:lang w:bidi="ar-SA"/>
        </w:rPr>
        <w:t xml:space="preserve">jí na žádost prokázat způsob zajištění </w:t>
      </w:r>
      <w:r w:rsidR="00DB35B5">
        <w:rPr>
          <w:rFonts w:cs="Arial"/>
          <w:noProof w:val="0"/>
          <w:lang w:bidi="ar-SA"/>
        </w:rPr>
        <w:t>ZO</w:t>
      </w:r>
      <w:r w:rsidRPr="00ED38E9">
        <w:rPr>
          <w:rFonts w:cs="Arial"/>
          <w:noProof w:val="0"/>
          <w:lang w:bidi="ar-SA"/>
        </w:rPr>
        <w:t>.</w:t>
      </w:r>
    </w:p>
    <w:p w:rsidR="002C485C" w:rsidRPr="00ED38E9" w:rsidP="00BF16B7" w14:paraId="1265CCA8" w14:textId="77777777">
      <w:pPr>
        <w:pStyle w:val="Heading3"/>
      </w:pPr>
      <w:r w:rsidRPr="00ED38E9">
        <w:t>Identifikace dotčených subjektů</w:t>
      </w:r>
    </w:p>
    <w:p w:rsidR="002C485C" w:rsidRPr="00ED38E9" w:rsidP="003C445B" w14:paraId="666915E8" w14:textId="77777777">
      <w:pPr>
        <w:numPr>
          <w:ilvl w:val="0"/>
          <w:numId w:val="39"/>
        </w:numPr>
        <w:rPr>
          <w:rFonts w:cs="Arial"/>
          <w:noProof w:val="0"/>
          <w:lang w:bidi="ar-SA"/>
        </w:rPr>
      </w:pPr>
      <w:r w:rsidRPr="00ED38E9">
        <w:rPr>
          <w:rFonts w:cs="Arial"/>
          <w:noProof w:val="0"/>
          <w:lang w:bidi="ar-SA"/>
        </w:rPr>
        <w:t>Česká obchodní inspekce,</w:t>
      </w:r>
    </w:p>
    <w:p w:rsidR="002C485C" w:rsidRPr="00ED38E9" w:rsidP="003C445B" w14:paraId="687A4D0E" w14:textId="77777777">
      <w:pPr>
        <w:numPr>
          <w:ilvl w:val="0"/>
          <w:numId w:val="39"/>
        </w:numPr>
        <w:rPr>
          <w:rFonts w:cs="Arial"/>
          <w:noProof w:val="0"/>
          <w:lang w:bidi="ar-SA"/>
        </w:rPr>
      </w:pPr>
      <w:r w:rsidRPr="00ED38E9">
        <w:rPr>
          <w:rFonts w:cs="Arial"/>
          <w:noProof w:val="0"/>
          <w:lang w:bidi="ar-SA"/>
        </w:rPr>
        <w:t>spotřebitel,</w:t>
      </w:r>
    </w:p>
    <w:p w:rsidR="002C485C" w:rsidP="003C445B" w14:paraId="36EB01E1" w14:textId="77777777">
      <w:pPr>
        <w:numPr>
          <w:ilvl w:val="0"/>
          <w:numId w:val="39"/>
        </w:numPr>
        <w:rPr>
          <w:rFonts w:cs="Arial"/>
          <w:noProof w:val="0"/>
          <w:lang w:bidi="ar-SA"/>
        </w:rPr>
      </w:pPr>
      <w:r w:rsidRPr="00ED38E9">
        <w:rPr>
          <w:rFonts w:cs="Arial"/>
          <w:noProof w:val="0"/>
          <w:lang w:bidi="ar-SA"/>
        </w:rPr>
        <w:t>výrobce, poslední prodejce.</w:t>
      </w:r>
    </w:p>
    <w:p w:rsidR="002C485C" w:rsidRPr="00ED38E9" w:rsidP="00BF16B7" w14:paraId="41DFF4EC" w14:textId="77777777">
      <w:pPr>
        <w:pStyle w:val="Heading3"/>
      </w:pPr>
      <w:r w:rsidRPr="00ED38E9">
        <w:t>Popis cílového stavu</w:t>
      </w:r>
    </w:p>
    <w:p w:rsidR="002C485C" w:rsidP="002C485C" w14:paraId="47C3CACA" w14:textId="77777777">
      <w:pPr>
        <w:rPr>
          <w:rFonts w:cs="Arial"/>
          <w:noProof w:val="0"/>
          <w:lang w:bidi="ar-SA"/>
        </w:rPr>
      </w:pPr>
      <w:r w:rsidRPr="00ED38E9">
        <w:rPr>
          <w:rFonts w:cs="Arial"/>
          <w:noProof w:val="0"/>
          <w:lang w:bidi="ar-SA"/>
        </w:rPr>
        <w:t>Cílem je rozšíření pravomocí orgánu, v</w:t>
      </w:r>
      <w:r w:rsidRPr="00ED38E9" w:rsidR="00333557">
        <w:rPr>
          <w:rFonts w:cs="Arial"/>
          <w:noProof w:val="0"/>
          <w:lang w:bidi="ar-SA"/>
        </w:rPr>
        <w:t> </w:t>
      </w:r>
      <w:r w:rsidRPr="00ED38E9">
        <w:rPr>
          <w:rFonts w:cs="Arial"/>
          <w:noProof w:val="0"/>
          <w:lang w:bidi="ar-SA"/>
        </w:rPr>
        <w:t>jehož gesci jsou kontroly</w:t>
      </w:r>
      <w:r w:rsidR="005703DF">
        <w:rPr>
          <w:rFonts w:cs="Arial"/>
          <w:noProof w:val="0"/>
          <w:lang w:bidi="ar-SA"/>
        </w:rPr>
        <w:t xml:space="preserve"> cílené na ochranu</w:t>
      </w:r>
      <w:r w:rsidRPr="00ED38E9">
        <w:rPr>
          <w:rFonts w:cs="Arial"/>
          <w:noProof w:val="0"/>
          <w:lang w:bidi="ar-SA"/>
        </w:rPr>
        <w:t xml:space="preserve"> spotřebitele.</w:t>
      </w:r>
    </w:p>
    <w:p w:rsidR="002C485C" w:rsidRPr="00ED38E9" w:rsidP="00BF16B7" w14:paraId="7BC7D2C8" w14:textId="77777777">
      <w:pPr>
        <w:pStyle w:val="Heading3"/>
      </w:pPr>
      <w:r w:rsidRPr="00ED38E9">
        <w:t>Zhodnocení rizika</w:t>
      </w:r>
    </w:p>
    <w:p w:rsidR="002C485C" w:rsidP="002C485C" w14:paraId="3BEE300D" w14:textId="77777777">
      <w:pPr>
        <w:rPr>
          <w:rFonts w:cs="Arial"/>
          <w:noProof w:val="0"/>
          <w:lang w:bidi="ar-SA"/>
        </w:rPr>
      </w:pPr>
      <w:r w:rsidRPr="00ED38E9">
        <w:rPr>
          <w:rFonts w:cs="Arial"/>
          <w:noProof w:val="0"/>
          <w:lang w:bidi="ar-SA"/>
        </w:rPr>
        <w:t xml:space="preserve">Bez konkrétního rozdělení a rozšíření pravomocí je možné, že nebudou dostatečně </w:t>
      </w:r>
      <w:r w:rsidRPr="00ED38E9" w:rsidR="00C20D79">
        <w:rPr>
          <w:rFonts w:cs="Arial"/>
          <w:noProof w:val="0"/>
          <w:lang w:bidi="ar-SA"/>
        </w:rPr>
        <w:t>chráněn</w:t>
      </w:r>
      <w:r w:rsidR="00C20D79">
        <w:rPr>
          <w:rFonts w:cs="Arial"/>
          <w:noProof w:val="0"/>
          <w:lang w:bidi="ar-SA"/>
        </w:rPr>
        <w:t>a</w:t>
      </w:r>
      <w:r w:rsidRPr="00ED38E9" w:rsidR="00C20D79">
        <w:rPr>
          <w:rFonts w:cs="Arial"/>
          <w:noProof w:val="0"/>
          <w:lang w:bidi="ar-SA"/>
        </w:rPr>
        <w:t xml:space="preserve"> </w:t>
      </w:r>
      <w:r w:rsidRPr="00ED38E9">
        <w:rPr>
          <w:rFonts w:cs="Arial"/>
          <w:noProof w:val="0"/>
          <w:lang w:bidi="ar-SA"/>
        </w:rPr>
        <w:t>práva spotřebitelů a některé oblasti zůstanou bez možnosti kontroly ČIŽP nebo ČOI.</w:t>
      </w:r>
    </w:p>
    <w:p w:rsidR="0014043D" w:rsidP="002C485C" w14:paraId="729DF884" w14:textId="77777777">
      <w:pPr>
        <w:rPr>
          <w:rFonts w:cs="Arial"/>
          <w:noProof w:val="0"/>
          <w:lang w:bidi="ar-SA"/>
        </w:rPr>
      </w:pPr>
    </w:p>
    <w:p w:rsidR="002C485C" w:rsidRPr="00ED38E9" w:rsidP="007A2E3D" w14:paraId="5A5DA50D" w14:textId="77777777">
      <w:pPr>
        <w:pStyle w:val="Heading2"/>
      </w:pPr>
      <w:bookmarkStart w:id="269" w:name="_Toc441759967"/>
      <w:r w:rsidRPr="00ED38E9">
        <w:t>Návrh variant řešení</w:t>
      </w:r>
      <w:bookmarkEnd w:id="269"/>
    </w:p>
    <w:p w:rsidR="002C485C" w:rsidRPr="00ED38E9" w:rsidP="00BF16B7" w14:paraId="5591C700" w14:textId="77777777">
      <w:pPr>
        <w:pStyle w:val="Heading3"/>
      </w:pPr>
      <w:r w:rsidRPr="00ED38E9">
        <w:t>Varianta 0</w:t>
      </w:r>
    </w:p>
    <w:p w:rsidR="002C485C" w:rsidP="002C485C" w14:paraId="548C3EB0" w14:textId="0C12C447">
      <w:pPr>
        <w:rPr>
          <w:rFonts w:cs="Arial"/>
          <w:noProof w:val="0"/>
          <w:lang w:bidi="ar-SA"/>
        </w:rPr>
      </w:pPr>
      <w:r w:rsidRPr="00ED38E9">
        <w:rPr>
          <w:rFonts w:cs="Arial"/>
          <w:noProof w:val="0"/>
          <w:lang w:bidi="ar-SA"/>
        </w:rPr>
        <w:t>Ponechání současného stavu, kdy ČOI kontroluje jen plnění povinností týkající</w:t>
      </w:r>
      <w:r w:rsidR="00C20D79">
        <w:rPr>
          <w:rFonts w:cs="Arial"/>
          <w:noProof w:val="0"/>
          <w:lang w:bidi="ar-SA"/>
        </w:rPr>
        <w:t>ch</w:t>
      </w:r>
      <w:r w:rsidRPr="00ED38E9">
        <w:rPr>
          <w:rFonts w:cs="Arial"/>
          <w:noProof w:val="0"/>
          <w:lang w:bidi="ar-SA"/>
        </w:rPr>
        <w:t xml:space="preserve"> se uvádění baterií a akumulátorů na trh nebo do oběhu (označování, zajištění </w:t>
      </w:r>
      <w:r w:rsidR="00DB35B5">
        <w:rPr>
          <w:rFonts w:cs="Arial"/>
          <w:noProof w:val="0"/>
          <w:lang w:bidi="ar-SA"/>
        </w:rPr>
        <w:t>ZO</w:t>
      </w:r>
      <w:r w:rsidRPr="00ED38E9">
        <w:rPr>
          <w:rFonts w:cs="Arial"/>
          <w:noProof w:val="0"/>
          <w:lang w:bidi="ar-SA"/>
        </w:rPr>
        <w:t>).</w:t>
      </w:r>
    </w:p>
    <w:p w:rsidR="002C485C" w:rsidRPr="00ED38E9" w:rsidP="00BF16B7" w14:paraId="7B5DE8F5" w14:textId="77777777">
      <w:pPr>
        <w:pStyle w:val="Heading3"/>
      </w:pPr>
      <w:r w:rsidRPr="00ED38E9">
        <w:t>Varianta 1</w:t>
      </w:r>
    </w:p>
    <w:p w:rsidR="002C485C" w:rsidRPr="00ED38E9" w:rsidP="002C485C" w14:paraId="5CBF01C1" w14:textId="77777777">
      <w:pPr>
        <w:keepNext/>
        <w:rPr>
          <w:rFonts w:cs="Arial"/>
          <w:noProof w:val="0"/>
          <w:lang w:bidi="ar-SA"/>
        </w:rPr>
      </w:pPr>
      <w:r w:rsidRPr="00ED38E9">
        <w:rPr>
          <w:rFonts w:cs="Arial"/>
          <w:noProof w:val="0"/>
          <w:lang w:bidi="ar-SA"/>
        </w:rPr>
        <w:t>Rozšíření činností a pravomocí ČOI:</w:t>
      </w:r>
    </w:p>
    <w:p w:rsidR="002C485C" w:rsidRPr="00ED38E9" w:rsidP="003C445B" w14:paraId="26B3219B" w14:textId="7CB4B32C">
      <w:pPr>
        <w:numPr>
          <w:ilvl w:val="0"/>
          <w:numId w:val="36"/>
        </w:numPr>
        <w:rPr>
          <w:rFonts w:cs="Arial"/>
          <w:noProof w:val="0"/>
          <w:lang w:bidi="ar-SA"/>
        </w:rPr>
      </w:pPr>
      <w:r w:rsidRPr="00ED38E9">
        <w:rPr>
          <w:rFonts w:cs="Arial"/>
          <w:noProof w:val="0"/>
          <w:lang w:bidi="ar-SA"/>
        </w:rPr>
        <w:t xml:space="preserve">kontroluje označování </w:t>
      </w:r>
      <w:r w:rsidR="00DB35B5">
        <w:rPr>
          <w:rFonts w:cs="Arial"/>
          <w:noProof w:val="0"/>
          <w:lang w:bidi="ar-SA"/>
        </w:rPr>
        <w:t>EEZ</w:t>
      </w:r>
      <w:r w:rsidR="00D10B20">
        <w:rPr>
          <w:rFonts w:cs="Arial"/>
          <w:noProof w:val="0"/>
          <w:lang w:bidi="ar-SA"/>
        </w:rPr>
        <w:t xml:space="preserve"> a </w:t>
      </w:r>
      <w:r w:rsidRPr="00F871D9" w:rsidR="00D10B20">
        <w:t>baterií a akumulátorů</w:t>
      </w:r>
      <w:r w:rsidR="008602EB">
        <w:t xml:space="preserve"> </w:t>
      </w:r>
      <w:r w:rsidRPr="00ED38E9">
        <w:rPr>
          <w:rFonts w:cs="Arial"/>
          <w:noProof w:val="0"/>
          <w:lang w:bidi="ar-SA"/>
        </w:rPr>
        <w:t>a dodržování stanoveného obsahu nebezpečných látek u baterií a akumulátorů,</w:t>
      </w:r>
    </w:p>
    <w:p w:rsidR="002C485C" w:rsidRPr="00ED38E9" w:rsidP="003C445B" w14:paraId="411CFEA4" w14:textId="26352BB6">
      <w:pPr>
        <w:numPr>
          <w:ilvl w:val="0"/>
          <w:numId w:val="36"/>
        </w:numPr>
        <w:rPr>
          <w:rFonts w:cs="Arial"/>
          <w:noProof w:val="0"/>
          <w:lang w:bidi="ar-SA"/>
        </w:rPr>
      </w:pPr>
      <w:r w:rsidRPr="00ED38E9">
        <w:rPr>
          <w:rFonts w:cs="Arial"/>
          <w:noProof w:val="0"/>
          <w:lang w:bidi="ar-SA"/>
        </w:rPr>
        <w:t xml:space="preserve">kontroluje plnění povinností posledních prodejců zajistit </w:t>
      </w:r>
      <w:r w:rsidR="00DB35B5">
        <w:rPr>
          <w:rFonts w:cs="Arial"/>
          <w:noProof w:val="0"/>
          <w:lang w:bidi="ar-SA"/>
        </w:rPr>
        <w:t>ZO</w:t>
      </w:r>
      <w:r w:rsidRPr="00ED38E9">
        <w:rPr>
          <w:rFonts w:cs="Arial"/>
          <w:noProof w:val="0"/>
          <w:lang w:bidi="ar-SA"/>
        </w:rPr>
        <w:t xml:space="preserve"> </w:t>
      </w:r>
      <w:r w:rsidR="008602EB">
        <w:rPr>
          <w:rFonts w:cs="Arial"/>
          <w:noProof w:val="0"/>
          <w:lang w:bidi="ar-SA"/>
        </w:rPr>
        <w:t xml:space="preserve">odpadních </w:t>
      </w:r>
      <w:r w:rsidR="0032492C">
        <w:rPr>
          <w:rFonts w:cs="Arial"/>
          <w:noProof w:val="0"/>
          <w:lang w:bidi="ar-SA"/>
        </w:rPr>
        <w:t xml:space="preserve">EEZ </w:t>
      </w:r>
      <w:r w:rsidR="008602EB">
        <w:rPr>
          <w:rFonts w:cs="Arial"/>
          <w:noProof w:val="0"/>
          <w:lang w:bidi="ar-SA"/>
        </w:rPr>
        <w:t>a</w:t>
      </w:r>
      <w:r w:rsidR="00DB35B5">
        <w:rPr>
          <w:rFonts w:cs="Arial"/>
          <w:noProof w:val="0"/>
          <w:lang w:bidi="ar-SA"/>
        </w:rPr>
        <w:t> </w:t>
      </w:r>
      <w:r w:rsidR="008602EB">
        <w:rPr>
          <w:rFonts w:cs="Arial"/>
          <w:noProof w:val="0"/>
          <w:lang w:bidi="ar-SA"/>
        </w:rPr>
        <w:t xml:space="preserve">odpadních </w:t>
      </w:r>
      <w:r w:rsidRPr="00F871D9" w:rsidR="008602EB">
        <w:t>baterií a akumulátorů</w:t>
      </w:r>
      <w:r w:rsidRPr="00ED38E9">
        <w:rPr>
          <w:rFonts w:cs="Arial"/>
          <w:noProof w:val="0"/>
          <w:lang w:bidi="ar-SA"/>
        </w:rPr>
        <w:t xml:space="preserve"> a i</w:t>
      </w:r>
      <w:r w:rsidR="00F94CE8">
        <w:rPr>
          <w:rFonts w:cs="Arial"/>
          <w:noProof w:val="0"/>
          <w:lang w:bidi="ar-SA"/>
        </w:rPr>
        <w:t>nformovat konečného uživatele o </w:t>
      </w:r>
      <w:r w:rsidRPr="00ED38E9">
        <w:rPr>
          <w:rFonts w:cs="Arial"/>
          <w:noProof w:val="0"/>
          <w:lang w:bidi="ar-SA"/>
        </w:rPr>
        <w:t xml:space="preserve">způsobu zajištění </w:t>
      </w:r>
      <w:r w:rsidR="00DB35B5">
        <w:rPr>
          <w:rFonts w:cs="Arial"/>
          <w:noProof w:val="0"/>
          <w:lang w:bidi="ar-SA"/>
        </w:rPr>
        <w:t>ZO</w:t>
      </w:r>
      <w:r w:rsidR="008602EB">
        <w:rPr>
          <w:rFonts w:cs="Arial"/>
          <w:noProof w:val="0"/>
          <w:lang w:bidi="ar-SA"/>
        </w:rPr>
        <w:t xml:space="preserve"> těchto výrobků s ukončenou životností</w:t>
      </w:r>
      <w:r w:rsidRPr="00ED38E9">
        <w:rPr>
          <w:rFonts w:cs="Arial"/>
          <w:noProof w:val="0"/>
          <w:lang w:bidi="ar-SA"/>
        </w:rPr>
        <w:t>,</w:t>
      </w:r>
    </w:p>
    <w:p w:rsidR="002C485C" w:rsidRPr="00ED38E9" w:rsidP="003C445B" w14:paraId="1061B06C" w14:textId="77777777">
      <w:pPr>
        <w:numPr>
          <w:ilvl w:val="0"/>
          <w:numId w:val="36"/>
        </w:numPr>
        <w:rPr>
          <w:rFonts w:cs="Arial"/>
          <w:noProof w:val="0"/>
          <w:lang w:bidi="ar-SA"/>
        </w:rPr>
      </w:pPr>
      <w:r w:rsidRPr="00ED38E9">
        <w:rPr>
          <w:rFonts w:cs="Arial"/>
          <w:noProof w:val="0"/>
          <w:lang w:bidi="ar-SA"/>
        </w:rPr>
        <w:t>ukládá právnickým osobám a fyzickým osobám oprávněným k</w:t>
      </w:r>
      <w:r w:rsidRPr="00ED38E9" w:rsidR="00333557">
        <w:rPr>
          <w:rFonts w:cs="Arial"/>
          <w:noProof w:val="0"/>
          <w:lang w:bidi="ar-SA"/>
        </w:rPr>
        <w:t> </w:t>
      </w:r>
      <w:r w:rsidRPr="00ED38E9">
        <w:rPr>
          <w:rFonts w:cs="Arial"/>
          <w:noProof w:val="0"/>
          <w:lang w:bidi="ar-SA"/>
        </w:rPr>
        <w:t>podnikání pokuty za</w:t>
      </w:r>
      <w:r w:rsidR="0032492C">
        <w:rPr>
          <w:rFonts w:cs="Arial"/>
          <w:noProof w:val="0"/>
          <w:lang w:bidi="ar-SA"/>
        </w:rPr>
        <w:t> </w:t>
      </w:r>
      <w:r w:rsidRPr="00ED38E9">
        <w:rPr>
          <w:rFonts w:cs="Arial"/>
          <w:noProof w:val="0"/>
          <w:lang w:bidi="ar-SA"/>
        </w:rPr>
        <w:t>porušení povinností, jejichž plnění je oprávněna kontrolovat, současně může stanovit opatření a lhůty pro zjednání nápravy samostatným rozhodnutím, nositelé těchto povinností jsou povinni jí na žádost prokázat zajištění plnění kontrolovaných povinností,</w:t>
      </w:r>
    </w:p>
    <w:p w:rsidR="002C485C" w:rsidP="003C445B" w14:paraId="0EB9E6B8" w14:textId="77777777">
      <w:pPr>
        <w:numPr>
          <w:ilvl w:val="0"/>
          <w:numId w:val="36"/>
        </w:numPr>
        <w:rPr>
          <w:rFonts w:cs="Arial"/>
          <w:noProof w:val="0"/>
          <w:lang w:bidi="ar-SA"/>
        </w:rPr>
      </w:pPr>
      <w:r w:rsidRPr="00ED38E9">
        <w:rPr>
          <w:rFonts w:cs="Arial"/>
          <w:noProof w:val="0"/>
          <w:lang w:bidi="ar-SA"/>
        </w:rPr>
        <w:t>ukládá zákaz uvádět na trh, až do zjednání nápravy výrobcem, baterie a akumulátory, které nesplňují požadavky stanovené zákonem</w:t>
      </w:r>
      <w:r w:rsidR="008602EB">
        <w:rPr>
          <w:rFonts w:cs="Arial"/>
          <w:noProof w:val="0"/>
          <w:lang w:bidi="ar-SA"/>
        </w:rPr>
        <w:t>;</w:t>
      </w:r>
      <w:r w:rsidRPr="00ED38E9">
        <w:rPr>
          <w:rFonts w:cs="Arial"/>
          <w:noProof w:val="0"/>
          <w:lang w:bidi="ar-SA"/>
        </w:rPr>
        <w:t xml:space="preserve"> hrozí-li poškození lidského zdraví nebo životního prostředí nebo již k</w:t>
      </w:r>
      <w:r w:rsidRPr="00ED38E9" w:rsidR="00333557">
        <w:rPr>
          <w:rFonts w:cs="Arial"/>
          <w:noProof w:val="0"/>
          <w:lang w:bidi="ar-SA"/>
        </w:rPr>
        <w:t> </w:t>
      </w:r>
      <w:r w:rsidRPr="00ED38E9">
        <w:rPr>
          <w:rFonts w:cs="Arial"/>
          <w:noProof w:val="0"/>
          <w:lang w:bidi="ar-SA"/>
        </w:rPr>
        <w:t>němu došlo, může současně nařídit jejich stažení z</w:t>
      </w:r>
      <w:r w:rsidR="008602EB">
        <w:rPr>
          <w:rFonts w:cs="Arial"/>
          <w:noProof w:val="0"/>
          <w:lang w:bidi="ar-SA"/>
        </w:rPr>
        <w:t> </w:t>
      </w:r>
      <w:r w:rsidRPr="00ED38E9">
        <w:rPr>
          <w:rFonts w:cs="Arial"/>
          <w:noProof w:val="0"/>
          <w:lang w:bidi="ar-SA"/>
        </w:rPr>
        <w:t>trhu</w:t>
      </w:r>
      <w:r w:rsidR="008602EB">
        <w:rPr>
          <w:rFonts w:cs="Arial"/>
          <w:noProof w:val="0"/>
          <w:lang w:bidi="ar-SA"/>
        </w:rPr>
        <w:t>.</w:t>
      </w:r>
    </w:p>
    <w:p w:rsidR="0032492C" w:rsidRPr="00ED38E9" w:rsidP="00221615" w14:paraId="0CD4DF43" w14:textId="77777777">
      <w:pPr>
        <w:ind w:left="720"/>
        <w:rPr>
          <w:rFonts w:cs="Arial"/>
          <w:noProof w:val="0"/>
          <w:lang w:bidi="ar-SA"/>
        </w:rPr>
      </w:pPr>
    </w:p>
    <w:p w:rsidR="002C485C" w:rsidRPr="00ED38E9" w:rsidP="007A2E3D" w14:paraId="5D85CC94" w14:textId="77777777">
      <w:pPr>
        <w:pStyle w:val="Heading2"/>
      </w:pPr>
      <w:bookmarkStart w:id="270" w:name="_Toc441759968"/>
      <w:r w:rsidRPr="00ED38E9">
        <w:t>Vyhodnocení nákladů a přínosů</w:t>
      </w:r>
      <w:bookmarkEnd w:id="270"/>
    </w:p>
    <w:p w:rsidR="002C485C" w:rsidRPr="00ED38E9" w:rsidP="00BF16B7" w14:paraId="71062F4A" w14:textId="77777777">
      <w:pPr>
        <w:pStyle w:val="Heading3"/>
      </w:pPr>
      <w:r w:rsidRPr="00ED38E9">
        <w:t>Identifikace nákladů a přínosů</w:t>
      </w:r>
    </w:p>
    <w:p w:rsidR="002C485C" w:rsidRPr="00D10146" w:rsidP="003C445B" w14:paraId="15512ECF" w14:textId="77777777">
      <w:pPr>
        <w:keepNext/>
        <w:numPr>
          <w:ilvl w:val="0"/>
          <w:numId w:val="116"/>
        </w:numPr>
        <w:spacing w:before="240" w:after="120"/>
        <w:rPr>
          <w:rFonts w:cs="Arial"/>
          <w:b/>
          <w:noProof w:val="0"/>
          <w:lang w:bidi="ar-SA"/>
        </w:rPr>
      </w:pPr>
      <w:r w:rsidRPr="00D10146">
        <w:rPr>
          <w:rFonts w:cs="Arial"/>
          <w:b/>
          <w:noProof w:val="0"/>
          <w:lang w:bidi="ar-SA"/>
        </w:rPr>
        <w:t>Varianta 0</w:t>
      </w:r>
    </w:p>
    <w:p w:rsidR="002C485C" w:rsidRPr="00ED38E9" w:rsidP="0011180B" w14:paraId="667D77AA" w14:textId="77777777">
      <w:pPr>
        <w:keepNext/>
        <w:rPr>
          <w:rFonts w:cs="Arial"/>
          <w:b/>
          <w:noProof w:val="0"/>
          <w:lang w:bidi="ar-SA"/>
        </w:rPr>
      </w:pPr>
      <w:r w:rsidRPr="00ED38E9">
        <w:rPr>
          <w:rFonts w:cs="Arial"/>
          <w:b/>
          <w:noProof w:val="0"/>
          <w:lang w:bidi="ar-SA"/>
        </w:rPr>
        <w:t>Dopady na státní rozp</w:t>
      </w:r>
      <w:r w:rsidRPr="00ED38E9" w:rsidR="0011180B">
        <w:rPr>
          <w:rFonts w:cs="Arial"/>
          <w:b/>
          <w:noProof w:val="0"/>
          <w:lang w:bidi="ar-SA"/>
        </w:rPr>
        <w:t>očet a ostatní veřejné rozpočty</w:t>
      </w:r>
    </w:p>
    <w:p w:rsidR="0011180B" w:rsidP="001877BD" w14:paraId="7664A4FF" w14:textId="77777777">
      <w:pPr>
        <w:rPr>
          <w:rFonts w:cs="Arial"/>
          <w:noProof w:val="0"/>
          <w:lang w:bidi="ar-SA"/>
        </w:rPr>
      </w:pPr>
      <w:r w:rsidRPr="00ED38E9">
        <w:rPr>
          <w:rFonts w:cs="Arial"/>
          <w:noProof w:val="0"/>
          <w:lang w:bidi="ar-SA"/>
        </w:rPr>
        <w:t>Podle informací uvedených v</w:t>
      </w:r>
      <w:r w:rsidRPr="00ED38E9" w:rsidR="00333557">
        <w:rPr>
          <w:rFonts w:cs="Arial"/>
          <w:noProof w:val="0"/>
          <w:lang w:bidi="ar-SA"/>
        </w:rPr>
        <w:t> </w:t>
      </w:r>
      <w:r w:rsidRPr="00ED38E9">
        <w:rPr>
          <w:rFonts w:cs="Arial"/>
          <w:noProof w:val="0"/>
          <w:lang w:bidi="ar-SA"/>
        </w:rPr>
        <w:t xml:space="preserve">informačním systému ČOI </w:t>
      </w:r>
      <w:r w:rsidR="0037205D">
        <w:rPr>
          <w:rFonts w:cs="Arial"/>
          <w:noProof w:val="0"/>
          <w:lang w:bidi="ar-SA"/>
        </w:rPr>
        <w:t>je</w:t>
      </w:r>
      <w:r w:rsidRPr="00ED38E9">
        <w:rPr>
          <w:rFonts w:cs="Arial"/>
          <w:noProof w:val="0"/>
          <w:lang w:bidi="ar-SA"/>
        </w:rPr>
        <w:t xml:space="preserve"> provedeno v</w:t>
      </w:r>
      <w:r w:rsidRPr="00ED38E9" w:rsidR="00333557">
        <w:rPr>
          <w:rFonts w:cs="Arial"/>
          <w:noProof w:val="0"/>
          <w:lang w:bidi="ar-SA"/>
        </w:rPr>
        <w:t> </w:t>
      </w:r>
      <w:r w:rsidRPr="00ED38E9">
        <w:rPr>
          <w:rFonts w:cs="Arial"/>
          <w:noProof w:val="0"/>
          <w:lang w:bidi="ar-SA"/>
        </w:rPr>
        <w:t xml:space="preserve">průměru cca 400 kontrol za rok zaměřených na povinnosti </w:t>
      </w:r>
      <w:r w:rsidRPr="00ED38E9" w:rsidR="007C3F24">
        <w:rPr>
          <w:rFonts w:cs="Arial"/>
          <w:noProof w:val="0"/>
          <w:lang w:bidi="ar-SA"/>
        </w:rPr>
        <w:t>dle § 76a zákona o odpadech. Časovou náročnost kontroly je poměrně obtížné definovat a tak tato data nemáme k</w:t>
      </w:r>
      <w:r w:rsidRPr="00ED38E9" w:rsidR="00333557">
        <w:rPr>
          <w:rFonts w:cs="Arial"/>
          <w:noProof w:val="0"/>
          <w:lang w:bidi="ar-SA"/>
        </w:rPr>
        <w:t> </w:t>
      </w:r>
      <w:r w:rsidRPr="00ED38E9" w:rsidR="007C3F24">
        <w:rPr>
          <w:rFonts w:cs="Arial"/>
          <w:noProof w:val="0"/>
          <w:lang w:bidi="ar-SA"/>
        </w:rPr>
        <w:t>dispozici.</w:t>
      </w:r>
    </w:p>
    <w:p w:rsidR="002C485C" w:rsidRPr="00ED38E9" w:rsidP="00DB35B5" w14:paraId="35742563" w14:textId="77777777">
      <w:pPr>
        <w:keepNext/>
        <w:spacing w:before="360"/>
        <w:rPr>
          <w:rFonts w:cs="Arial"/>
          <w:b/>
          <w:noProof w:val="0"/>
          <w:lang w:bidi="ar-SA"/>
        </w:rPr>
      </w:pPr>
      <w:r w:rsidRPr="00ED38E9">
        <w:rPr>
          <w:rFonts w:cs="Arial"/>
          <w:b/>
          <w:noProof w:val="0"/>
          <w:lang w:bidi="ar-SA"/>
        </w:rPr>
        <w:t>Dopady na životní prostředí</w:t>
      </w:r>
    </w:p>
    <w:p w:rsidR="00D9139C" w:rsidP="001877BD" w14:paraId="43CB1916" w14:textId="5904920A">
      <w:pPr>
        <w:rPr>
          <w:rFonts w:cs="Arial"/>
          <w:noProof w:val="0"/>
          <w:lang w:bidi="ar-SA"/>
        </w:rPr>
      </w:pPr>
      <w:r w:rsidRPr="00ED38E9">
        <w:rPr>
          <w:rFonts w:cs="Arial"/>
          <w:noProof w:val="0"/>
          <w:lang w:bidi="ar-SA"/>
        </w:rPr>
        <w:t>Současný stav nepředstavuje žádné přímé dopady na životní prostředí. Nedostatečná kontrola plnění povinností v</w:t>
      </w:r>
      <w:r w:rsidRPr="00ED38E9" w:rsidR="00333557">
        <w:rPr>
          <w:rFonts w:cs="Arial"/>
          <w:noProof w:val="0"/>
          <w:lang w:bidi="ar-SA"/>
        </w:rPr>
        <w:t> </w:t>
      </w:r>
      <w:r w:rsidRPr="00ED38E9">
        <w:rPr>
          <w:rFonts w:cs="Arial"/>
          <w:noProof w:val="0"/>
          <w:lang w:bidi="ar-SA"/>
        </w:rPr>
        <w:t xml:space="preserve">oblasti </w:t>
      </w:r>
      <w:r w:rsidR="00DB35B5">
        <w:rPr>
          <w:rFonts w:cs="Arial"/>
          <w:noProof w:val="0"/>
          <w:lang w:bidi="ar-SA"/>
        </w:rPr>
        <w:t>ZO</w:t>
      </w:r>
      <w:r w:rsidRPr="00ED38E9">
        <w:rPr>
          <w:rFonts w:cs="Arial"/>
          <w:noProof w:val="0"/>
          <w:lang w:bidi="ar-SA"/>
        </w:rPr>
        <w:t xml:space="preserve"> ale určitým způsobem může mít </w:t>
      </w:r>
      <w:r w:rsidR="009D021C">
        <w:rPr>
          <w:rFonts w:cs="Arial"/>
          <w:noProof w:val="0"/>
          <w:lang w:bidi="ar-SA"/>
        </w:rPr>
        <w:t>spíše</w:t>
      </w:r>
      <w:r w:rsidRPr="00ED38E9">
        <w:rPr>
          <w:rFonts w:cs="Arial"/>
          <w:noProof w:val="0"/>
          <w:lang w:bidi="ar-SA"/>
        </w:rPr>
        <w:t xml:space="preserve"> </w:t>
      </w:r>
      <w:r w:rsidR="009D021C">
        <w:rPr>
          <w:rFonts w:cs="Arial"/>
          <w:noProof w:val="0"/>
          <w:lang w:bidi="ar-SA"/>
        </w:rPr>
        <w:t xml:space="preserve">negativní </w:t>
      </w:r>
      <w:r w:rsidRPr="00ED38E9">
        <w:rPr>
          <w:rFonts w:cs="Arial"/>
          <w:noProof w:val="0"/>
          <w:lang w:bidi="ar-SA"/>
        </w:rPr>
        <w:t>dopad na</w:t>
      </w:r>
      <w:r w:rsidR="00CC0BB4">
        <w:rPr>
          <w:rFonts w:cs="Arial"/>
          <w:noProof w:val="0"/>
          <w:lang w:bidi="ar-SA"/>
        </w:rPr>
        <w:t> </w:t>
      </w:r>
      <w:r w:rsidRPr="00ED38E9">
        <w:rPr>
          <w:rFonts w:cs="Arial"/>
          <w:noProof w:val="0"/>
          <w:lang w:bidi="ar-SA"/>
        </w:rPr>
        <w:t>životní prostředí.</w:t>
      </w:r>
    </w:p>
    <w:p w:rsidR="0032492C" w:rsidRPr="00ED38E9" w:rsidP="001877BD" w14:paraId="618E3DD4" w14:textId="77777777">
      <w:pPr>
        <w:rPr>
          <w:rFonts w:cs="Arial"/>
          <w:noProof w:val="0"/>
          <w:lang w:bidi="ar-SA"/>
        </w:rPr>
      </w:pPr>
    </w:p>
    <w:p w:rsidR="002C485C" w:rsidRPr="00D10146" w:rsidP="003C445B" w14:paraId="28E6C9E1" w14:textId="77777777">
      <w:pPr>
        <w:keepNext/>
        <w:numPr>
          <w:ilvl w:val="0"/>
          <w:numId w:val="116"/>
        </w:numPr>
        <w:spacing w:before="240" w:after="120"/>
        <w:ind w:left="714" w:hanging="357"/>
        <w:rPr>
          <w:rFonts w:cs="Arial"/>
          <w:b/>
          <w:noProof w:val="0"/>
          <w:lang w:bidi="ar-SA"/>
        </w:rPr>
      </w:pPr>
      <w:r w:rsidRPr="00D10146">
        <w:rPr>
          <w:rFonts w:cs="Arial"/>
          <w:b/>
          <w:noProof w:val="0"/>
          <w:lang w:bidi="ar-SA"/>
        </w:rPr>
        <w:t>Varianta 1</w:t>
      </w:r>
    </w:p>
    <w:p w:rsidR="00962C68" w:rsidRPr="00ED38E9" w:rsidP="002C485C" w14:paraId="38DB8ABD" w14:textId="77777777">
      <w:pPr>
        <w:keepNext/>
        <w:rPr>
          <w:rFonts w:cs="Arial"/>
          <w:b/>
          <w:noProof w:val="0"/>
          <w:lang w:bidi="ar-SA"/>
        </w:rPr>
      </w:pPr>
      <w:r w:rsidRPr="00ED38E9">
        <w:rPr>
          <w:rFonts w:cs="Arial"/>
          <w:b/>
          <w:noProof w:val="0"/>
          <w:lang w:bidi="ar-SA"/>
        </w:rPr>
        <w:t>Dopady na státní rozp</w:t>
      </w:r>
      <w:r w:rsidRPr="00ED38E9">
        <w:rPr>
          <w:rFonts w:cs="Arial"/>
          <w:b/>
          <w:noProof w:val="0"/>
          <w:lang w:bidi="ar-SA"/>
        </w:rPr>
        <w:t>očet a ostatní veřejné rozpočty</w:t>
      </w:r>
    </w:p>
    <w:p w:rsidR="00962C68" w:rsidP="00962C68" w14:paraId="596651DF" w14:textId="04F4AD21">
      <w:pPr>
        <w:rPr>
          <w:rFonts w:cs="Arial"/>
          <w:noProof w:val="0"/>
          <w:lang w:bidi="ar-SA"/>
        </w:rPr>
      </w:pPr>
      <w:r w:rsidRPr="00ED38E9">
        <w:rPr>
          <w:rFonts w:cs="Arial"/>
          <w:noProof w:val="0"/>
          <w:lang w:bidi="ar-SA"/>
        </w:rPr>
        <w:t>V</w:t>
      </w:r>
      <w:r w:rsidRPr="00ED38E9" w:rsidR="00333557">
        <w:rPr>
          <w:rFonts w:cs="Arial"/>
          <w:noProof w:val="0"/>
          <w:lang w:bidi="ar-SA"/>
        </w:rPr>
        <w:t> </w:t>
      </w:r>
      <w:r w:rsidRPr="00ED38E9">
        <w:rPr>
          <w:rFonts w:cs="Arial"/>
          <w:noProof w:val="0"/>
          <w:lang w:bidi="ar-SA"/>
        </w:rPr>
        <w:t>případě, že dojde k</w:t>
      </w:r>
      <w:r w:rsidRPr="00ED38E9" w:rsidR="00333557">
        <w:rPr>
          <w:rFonts w:cs="Arial"/>
          <w:noProof w:val="0"/>
          <w:lang w:bidi="ar-SA"/>
        </w:rPr>
        <w:t> </w:t>
      </w:r>
      <w:r w:rsidRPr="00ED38E9">
        <w:rPr>
          <w:rFonts w:cs="Arial"/>
          <w:noProof w:val="0"/>
          <w:lang w:bidi="ar-SA"/>
        </w:rPr>
        <w:t xml:space="preserve">rozšíření kompetencí ČOI, tak </w:t>
      </w:r>
      <w:r w:rsidRPr="00ED38E9" w:rsidR="00356641">
        <w:rPr>
          <w:rFonts w:cs="Arial"/>
          <w:noProof w:val="0"/>
          <w:lang w:bidi="ar-SA"/>
        </w:rPr>
        <w:t>v</w:t>
      </w:r>
      <w:r w:rsidRPr="00ED38E9" w:rsidR="00333557">
        <w:rPr>
          <w:rFonts w:cs="Arial"/>
          <w:noProof w:val="0"/>
          <w:lang w:bidi="ar-SA"/>
        </w:rPr>
        <w:t> </w:t>
      </w:r>
      <w:r w:rsidRPr="00ED38E9">
        <w:rPr>
          <w:rFonts w:cs="Arial"/>
          <w:noProof w:val="0"/>
          <w:lang w:bidi="ar-SA"/>
        </w:rPr>
        <w:t>řadě případů se může jednat o</w:t>
      </w:r>
      <w:r w:rsidRPr="00ED38E9" w:rsidR="00F920A9">
        <w:rPr>
          <w:rFonts w:cs="Arial"/>
          <w:noProof w:val="0"/>
          <w:lang w:bidi="ar-SA"/>
        </w:rPr>
        <w:t> </w:t>
      </w:r>
      <w:r w:rsidRPr="00ED38E9">
        <w:rPr>
          <w:rFonts w:cs="Arial"/>
          <w:noProof w:val="0"/>
          <w:lang w:bidi="ar-SA"/>
        </w:rPr>
        <w:t>prodloužení času kontroly v</w:t>
      </w:r>
      <w:r w:rsidRPr="00ED38E9" w:rsidR="00333557">
        <w:rPr>
          <w:rFonts w:cs="Arial"/>
          <w:noProof w:val="0"/>
          <w:lang w:bidi="ar-SA"/>
        </w:rPr>
        <w:t> </w:t>
      </w:r>
      <w:r w:rsidRPr="00ED38E9">
        <w:rPr>
          <w:rFonts w:cs="Arial"/>
          <w:noProof w:val="0"/>
          <w:lang w:bidi="ar-SA"/>
        </w:rPr>
        <w:t>provozovnách spojen</w:t>
      </w:r>
      <w:r w:rsidR="00C20D79">
        <w:rPr>
          <w:rFonts w:cs="Arial"/>
          <w:noProof w:val="0"/>
          <w:lang w:bidi="ar-SA"/>
        </w:rPr>
        <w:t>ého</w:t>
      </w:r>
      <w:r w:rsidRPr="00ED38E9">
        <w:rPr>
          <w:rFonts w:cs="Arial"/>
          <w:noProof w:val="0"/>
          <w:lang w:bidi="ar-SA"/>
        </w:rPr>
        <w:t xml:space="preserve"> s</w:t>
      </w:r>
      <w:r w:rsidRPr="00ED38E9" w:rsidR="00333557">
        <w:rPr>
          <w:rFonts w:cs="Arial"/>
          <w:noProof w:val="0"/>
          <w:lang w:bidi="ar-SA"/>
        </w:rPr>
        <w:t> </w:t>
      </w:r>
      <w:r w:rsidRPr="00ED38E9">
        <w:rPr>
          <w:rFonts w:cs="Arial"/>
          <w:noProof w:val="0"/>
          <w:lang w:bidi="ar-SA"/>
        </w:rPr>
        <w:t>ověřením,</w:t>
      </w:r>
      <w:r w:rsidRPr="00ED38E9" w:rsidR="002945EB">
        <w:rPr>
          <w:rFonts w:cs="Arial"/>
          <w:noProof w:val="0"/>
          <w:lang w:bidi="ar-SA"/>
        </w:rPr>
        <w:t xml:space="preserve"> zda jsou vybrané výrobky označeny v</w:t>
      </w:r>
      <w:r w:rsidRPr="00ED38E9" w:rsidR="00333557">
        <w:rPr>
          <w:rFonts w:cs="Arial"/>
          <w:noProof w:val="0"/>
          <w:lang w:bidi="ar-SA"/>
        </w:rPr>
        <w:t> </w:t>
      </w:r>
      <w:r w:rsidRPr="00ED38E9" w:rsidR="002945EB">
        <w:rPr>
          <w:rFonts w:cs="Arial"/>
          <w:noProof w:val="0"/>
          <w:lang w:bidi="ar-SA"/>
        </w:rPr>
        <w:t>souladu s</w:t>
      </w:r>
      <w:r w:rsidRPr="00ED38E9" w:rsidR="00333557">
        <w:rPr>
          <w:rFonts w:cs="Arial"/>
          <w:noProof w:val="0"/>
          <w:lang w:bidi="ar-SA"/>
        </w:rPr>
        <w:t> </w:t>
      </w:r>
      <w:r w:rsidRPr="00ED38E9" w:rsidR="002945EB">
        <w:rPr>
          <w:rFonts w:cs="Arial"/>
          <w:noProof w:val="0"/>
          <w:lang w:bidi="ar-SA"/>
        </w:rPr>
        <w:t>požadavky nové právní úpravy a zda jsou plněny povinnosti spočívající v</w:t>
      </w:r>
      <w:r w:rsidRPr="00ED38E9" w:rsidR="00333557">
        <w:rPr>
          <w:rFonts w:cs="Arial"/>
          <w:noProof w:val="0"/>
          <w:lang w:bidi="ar-SA"/>
        </w:rPr>
        <w:t> </w:t>
      </w:r>
      <w:r w:rsidRPr="00ED38E9" w:rsidR="002945EB">
        <w:rPr>
          <w:rFonts w:cs="Arial"/>
          <w:noProof w:val="0"/>
          <w:lang w:bidi="ar-SA"/>
        </w:rPr>
        <w:t xml:space="preserve">zajištění </w:t>
      </w:r>
      <w:r w:rsidR="00DB35B5">
        <w:rPr>
          <w:rFonts w:cs="Arial"/>
          <w:noProof w:val="0"/>
          <w:lang w:bidi="ar-SA"/>
        </w:rPr>
        <w:t>ZO</w:t>
      </w:r>
      <w:r w:rsidRPr="00ED38E9" w:rsidR="002945EB">
        <w:rPr>
          <w:rFonts w:cs="Arial"/>
          <w:noProof w:val="0"/>
          <w:lang w:bidi="ar-SA"/>
        </w:rPr>
        <w:t xml:space="preserve"> výrobků</w:t>
      </w:r>
      <w:r w:rsidR="00491C98">
        <w:rPr>
          <w:rFonts w:cs="Arial"/>
          <w:noProof w:val="0"/>
          <w:lang w:bidi="ar-SA"/>
        </w:rPr>
        <w:t xml:space="preserve"> s ukončenou životností</w:t>
      </w:r>
      <w:r w:rsidRPr="00ED38E9" w:rsidR="002945EB">
        <w:rPr>
          <w:rFonts w:cs="Arial"/>
          <w:noProof w:val="0"/>
          <w:lang w:bidi="ar-SA"/>
        </w:rPr>
        <w:t>. Na toto šetření pak může navazovat další šetření u distributorů a výrobců vybraných výrobků. S</w:t>
      </w:r>
      <w:r w:rsidRPr="00ED38E9" w:rsidR="00333557">
        <w:rPr>
          <w:rFonts w:cs="Arial"/>
          <w:noProof w:val="0"/>
          <w:lang w:bidi="ar-SA"/>
        </w:rPr>
        <w:t> </w:t>
      </w:r>
      <w:r w:rsidRPr="00ED38E9" w:rsidR="002945EB">
        <w:rPr>
          <w:rFonts w:cs="Arial"/>
          <w:noProof w:val="0"/>
          <w:lang w:bidi="ar-SA"/>
        </w:rPr>
        <w:t>tím souvisí i</w:t>
      </w:r>
      <w:r w:rsidRPr="00ED38E9" w:rsidR="00842291">
        <w:rPr>
          <w:rFonts w:cs="Arial"/>
          <w:noProof w:val="0"/>
          <w:lang w:bidi="ar-SA"/>
        </w:rPr>
        <w:t> </w:t>
      </w:r>
      <w:r w:rsidRPr="00ED38E9" w:rsidR="002945EB">
        <w:rPr>
          <w:rFonts w:cs="Arial"/>
          <w:noProof w:val="0"/>
          <w:lang w:bidi="ar-SA"/>
        </w:rPr>
        <w:t>administrativa od počátku kontroly až po případné uložení opatření nebo pokuty.</w:t>
      </w:r>
      <w:r w:rsidRPr="00ED38E9">
        <w:rPr>
          <w:rFonts w:cs="Arial"/>
          <w:noProof w:val="0"/>
          <w:lang w:bidi="ar-SA"/>
        </w:rPr>
        <w:t xml:space="preserve"> </w:t>
      </w:r>
      <w:r w:rsidR="0032492C">
        <w:rPr>
          <w:rFonts w:cs="Arial"/>
          <w:noProof w:val="0"/>
          <w:lang w:bidi="ar-SA"/>
        </w:rPr>
        <w:t>ČOI</w:t>
      </w:r>
      <w:r w:rsidRPr="00ED38E9" w:rsidR="00356641">
        <w:rPr>
          <w:rFonts w:cs="Arial"/>
          <w:noProof w:val="0"/>
          <w:lang w:bidi="ar-SA"/>
        </w:rPr>
        <w:t xml:space="preserve"> odhaduje, že na zajištění výkonu dozoru podle </w:t>
      </w:r>
      <w:r w:rsidR="00DB35B5">
        <w:rPr>
          <w:rFonts w:cs="Arial"/>
          <w:noProof w:val="0"/>
          <w:lang w:bidi="ar-SA"/>
        </w:rPr>
        <w:t xml:space="preserve">nového </w:t>
      </w:r>
      <w:r w:rsidRPr="00ED38E9" w:rsidR="00356641">
        <w:rPr>
          <w:rFonts w:cs="Arial"/>
          <w:noProof w:val="0"/>
          <w:lang w:bidi="ar-SA"/>
        </w:rPr>
        <w:t>zákona si vyžádá navýšení finančních prostředků o</w:t>
      </w:r>
      <w:r w:rsidRPr="00ED38E9" w:rsidR="00F920A9">
        <w:rPr>
          <w:rFonts w:cs="Arial"/>
          <w:noProof w:val="0"/>
          <w:lang w:bidi="ar-SA"/>
        </w:rPr>
        <w:t> </w:t>
      </w:r>
      <w:r w:rsidRPr="00ED38E9" w:rsidR="00356641">
        <w:rPr>
          <w:rFonts w:cs="Arial"/>
          <w:noProof w:val="0"/>
          <w:lang w:bidi="ar-SA"/>
        </w:rPr>
        <w:t xml:space="preserve">cca </w:t>
      </w:r>
      <w:r w:rsidR="0074158A">
        <w:rPr>
          <w:rFonts w:cs="Arial"/>
          <w:noProof w:val="0"/>
          <w:lang w:bidi="ar-SA"/>
        </w:rPr>
        <w:t xml:space="preserve">1 140 </w:t>
      </w:r>
      <w:r w:rsidR="0037205D">
        <w:rPr>
          <w:rFonts w:cs="Arial"/>
          <w:noProof w:val="0"/>
          <w:lang w:bidi="ar-SA"/>
        </w:rPr>
        <w:t>000</w:t>
      </w:r>
      <w:r w:rsidRPr="00ED38E9" w:rsidR="00356641">
        <w:rPr>
          <w:rFonts w:cs="Arial"/>
          <w:noProof w:val="0"/>
          <w:lang w:bidi="ar-SA"/>
        </w:rPr>
        <w:t xml:space="preserve"> Kč (</w:t>
      </w:r>
      <w:r w:rsidR="0074158A">
        <w:rPr>
          <w:rFonts w:cs="Arial"/>
          <w:noProof w:val="0"/>
          <w:lang w:bidi="ar-SA"/>
        </w:rPr>
        <w:t>nárůst administrativní zátěže o cca 4000 hodin/rok</w:t>
      </w:r>
      <w:r w:rsidRPr="00ED38E9" w:rsidR="00356641">
        <w:rPr>
          <w:rFonts w:cs="Arial"/>
          <w:noProof w:val="0"/>
          <w:lang w:bidi="ar-SA"/>
        </w:rPr>
        <w:t>)</w:t>
      </w:r>
      <w:r w:rsidRPr="00ED38E9" w:rsidR="0004362D">
        <w:rPr>
          <w:rFonts w:cs="Arial"/>
          <w:noProof w:val="0"/>
          <w:lang w:bidi="ar-SA"/>
        </w:rPr>
        <w:t>.</w:t>
      </w:r>
    </w:p>
    <w:p w:rsidR="002C485C" w:rsidRPr="00ED38E9" w:rsidP="00F068A9" w14:paraId="02FD4C75" w14:textId="77777777">
      <w:pPr>
        <w:keepNext/>
        <w:spacing w:before="360"/>
        <w:rPr>
          <w:rFonts w:cs="Arial"/>
          <w:b/>
          <w:noProof w:val="0"/>
          <w:lang w:bidi="ar-SA"/>
        </w:rPr>
      </w:pPr>
      <w:r w:rsidRPr="00ED38E9">
        <w:rPr>
          <w:rFonts w:cs="Arial"/>
          <w:b/>
          <w:noProof w:val="0"/>
          <w:lang w:bidi="ar-SA"/>
        </w:rPr>
        <w:t>Dopady na podnikatelské subjekty</w:t>
      </w:r>
    </w:p>
    <w:p w:rsidR="002945EB" w:rsidRPr="00ED38E9" w:rsidP="00D10D79" w14:paraId="4A6ADD39" w14:textId="77777777">
      <w:pPr>
        <w:rPr>
          <w:rFonts w:cs="Arial"/>
          <w:noProof w:val="0"/>
          <w:lang w:bidi="ar-SA"/>
        </w:rPr>
      </w:pPr>
      <w:r w:rsidRPr="00ED38E9">
        <w:rPr>
          <w:rFonts w:cs="Arial"/>
          <w:noProof w:val="0"/>
          <w:lang w:bidi="ar-SA"/>
        </w:rPr>
        <w:t>Rozšířením kompetencí ČOI neočekáváme žádné výrazné navýšení nákladů podnikatelských subjektů.</w:t>
      </w:r>
    </w:p>
    <w:p w:rsidR="002C485C" w:rsidRPr="00ED38E9" w:rsidP="00F068A9" w14:paraId="00B5C0CF" w14:textId="77777777">
      <w:pPr>
        <w:keepNext/>
        <w:spacing w:before="360"/>
        <w:rPr>
          <w:rFonts w:cs="Arial"/>
          <w:b/>
          <w:noProof w:val="0"/>
          <w:lang w:bidi="ar-SA"/>
        </w:rPr>
      </w:pPr>
      <w:r w:rsidRPr="00ED38E9">
        <w:rPr>
          <w:rFonts w:cs="Arial"/>
          <w:b/>
          <w:noProof w:val="0"/>
          <w:lang w:bidi="ar-SA"/>
        </w:rPr>
        <w:t>Dopady na územní samosprávné celky (obce, kraje)</w:t>
      </w:r>
    </w:p>
    <w:p w:rsidR="002C485C" w:rsidP="00DD370D" w14:paraId="57B27B4C" w14:textId="77777777">
      <w:pPr>
        <w:rPr>
          <w:rFonts w:cs="Arial"/>
          <w:noProof w:val="0"/>
          <w:lang w:bidi="ar-SA"/>
        </w:rPr>
      </w:pPr>
      <w:r w:rsidRPr="00ED38E9">
        <w:rPr>
          <w:rFonts w:cs="Arial"/>
          <w:noProof w:val="0"/>
          <w:lang w:bidi="ar-SA"/>
        </w:rPr>
        <w:t>Každé zlepšení informovanosti spotřebitele vedoucí ke správnému nakládání s</w:t>
      </w:r>
      <w:r w:rsidRPr="00ED38E9" w:rsidR="00333557">
        <w:rPr>
          <w:rFonts w:cs="Arial"/>
          <w:noProof w:val="0"/>
          <w:lang w:bidi="ar-SA"/>
        </w:rPr>
        <w:t> </w:t>
      </w:r>
      <w:r w:rsidRPr="00ED38E9">
        <w:rPr>
          <w:rFonts w:cs="Arial"/>
          <w:noProof w:val="0"/>
          <w:lang w:bidi="ar-SA"/>
        </w:rPr>
        <w:t>odpady má pozitivní dopad na obce, které vynakládají ročně nemalé finanční</w:t>
      </w:r>
      <w:r w:rsidRPr="00ED38E9" w:rsidR="00962C68">
        <w:rPr>
          <w:rFonts w:cs="Arial"/>
          <w:noProof w:val="0"/>
          <w:lang w:bidi="ar-SA"/>
        </w:rPr>
        <w:t xml:space="preserve"> prostředky na </w:t>
      </w:r>
      <w:r w:rsidR="00977513">
        <w:rPr>
          <w:rFonts w:cs="Arial"/>
          <w:noProof w:val="0"/>
          <w:lang w:bidi="ar-SA"/>
        </w:rPr>
        <w:t>odstraňování</w:t>
      </w:r>
      <w:r w:rsidRPr="00ED38E9" w:rsidR="00977513">
        <w:rPr>
          <w:rFonts w:cs="Arial"/>
          <w:noProof w:val="0"/>
          <w:lang w:bidi="ar-SA"/>
        </w:rPr>
        <w:t xml:space="preserve"> </w:t>
      </w:r>
      <w:r w:rsidRPr="00ED38E9" w:rsidR="00962C68">
        <w:rPr>
          <w:rFonts w:cs="Arial"/>
          <w:noProof w:val="0"/>
          <w:lang w:bidi="ar-SA"/>
        </w:rPr>
        <w:t>odpadu, zejména černých skládek.</w:t>
      </w:r>
    </w:p>
    <w:p w:rsidR="002C485C" w:rsidRPr="00ED38E9" w:rsidP="00F068A9" w14:paraId="71C08B57" w14:textId="77777777">
      <w:pPr>
        <w:keepNext/>
        <w:spacing w:before="360"/>
        <w:rPr>
          <w:rFonts w:cs="Arial"/>
          <w:b/>
          <w:noProof w:val="0"/>
          <w:lang w:bidi="ar-SA"/>
        </w:rPr>
      </w:pPr>
      <w:r w:rsidRPr="00ED38E9">
        <w:rPr>
          <w:rFonts w:cs="Arial"/>
          <w:b/>
          <w:noProof w:val="0"/>
          <w:lang w:bidi="ar-SA"/>
        </w:rPr>
        <w:t>Sociální dopady</w:t>
      </w:r>
    </w:p>
    <w:p w:rsidR="00473CF8" w:rsidP="00D10D79" w14:paraId="02AE825E" w14:textId="77777777">
      <w:pPr>
        <w:rPr>
          <w:rFonts w:cs="Arial"/>
          <w:noProof w:val="0"/>
          <w:lang w:bidi="ar-SA"/>
        </w:rPr>
      </w:pPr>
      <w:r w:rsidRPr="00ED38E9">
        <w:rPr>
          <w:rFonts w:cs="Arial"/>
          <w:noProof w:val="0"/>
          <w:lang w:bidi="ar-SA"/>
        </w:rPr>
        <w:t>Rozšíření</w:t>
      </w:r>
      <w:r w:rsidRPr="00ED38E9" w:rsidR="00065E44">
        <w:rPr>
          <w:rFonts w:cs="Arial"/>
          <w:noProof w:val="0"/>
          <w:lang w:bidi="ar-SA"/>
        </w:rPr>
        <w:t>m</w:t>
      </w:r>
      <w:r w:rsidRPr="00ED38E9">
        <w:rPr>
          <w:rFonts w:cs="Arial"/>
          <w:noProof w:val="0"/>
          <w:lang w:bidi="ar-SA"/>
        </w:rPr>
        <w:t xml:space="preserve"> kompetencí ČOI očekáváme lepší informovanost a ochranu spotřebitele.</w:t>
      </w:r>
    </w:p>
    <w:p w:rsidR="002C485C" w:rsidRPr="00ED38E9" w:rsidP="00F068A9" w14:paraId="5DAB17AD" w14:textId="77777777">
      <w:pPr>
        <w:keepNext/>
        <w:spacing w:before="360"/>
        <w:rPr>
          <w:rFonts w:cs="Arial"/>
          <w:b/>
          <w:noProof w:val="0"/>
          <w:lang w:bidi="ar-SA"/>
        </w:rPr>
      </w:pPr>
      <w:r w:rsidRPr="00ED38E9">
        <w:rPr>
          <w:rFonts w:cs="Arial"/>
          <w:b/>
          <w:noProof w:val="0"/>
          <w:lang w:bidi="ar-SA"/>
        </w:rPr>
        <w:t>Dopady na životní prostředí</w:t>
      </w:r>
    </w:p>
    <w:p w:rsidR="00473CF8" w:rsidP="005E0005" w14:paraId="07B82F2D" w14:textId="77777777">
      <w:pPr>
        <w:rPr>
          <w:rFonts w:cs="Arial"/>
          <w:noProof w:val="0"/>
          <w:lang w:bidi="ar-SA"/>
        </w:rPr>
      </w:pPr>
      <w:r w:rsidRPr="00ED38E9">
        <w:rPr>
          <w:rFonts w:cs="Arial"/>
          <w:noProof w:val="0"/>
          <w:lang w:bidi="ar-SA"/>
        </w:rPr>
        <w:t>Rozšířením kompetencí ČOI předpokládáme, že výrobci se budou chovat odpovědněji a</w:t>
      </w:r>
      <w:r w:rsidRPr="00ED38E9" w:rsidR="00F920A9">
        <w:rPr>
          <w:rFonts w:cs="Arial"/>
          <w:noProof w:val="0"/>
          <w:lang w:bidi="ar-SA"/>
        </w:rPr>
        <w:t> </w:t>
      </w:r>
      <w:r w:rsidRPr="00ED38E9">
        <w:rPr>
          <w:rFonts w:cs="Arial"/>
          <w:noProof w:val="0"/>
          <w:lang w:bidi="ar-SA"/>
        </w:rPr>
        <w:t>bude zlepšena informovanost konečného uživatele, který pak bude nakládat s</w:t>
      </w:r>
      <w:r w:rsidRPr="00ED38E9" w:rsidR="00333557">
        <w:rPr>
          <w:rFonts w:cs="Arial"/>
          <w:noProof w:val="0"/>
          <w:lang w:bidi="ar-SA"/>
        </w:rPr>
        <w:t> </w:t>
      </w:r>
      <w:r w:rsidRPr="00ED38E9">
        <w:rPr>
          <w:rFonts w:cs="Arial"/>
          <w:noProof w:val="0"/>
          <w:lang w:bidi="ar-SA"/>
        </w:rPr>
        <w:t>výrobkem po</w:t>
      </w:r>
      <w:r w:rsidR="0032492C">
        <w:rPr>
          <w:rFonts w:cs="Arial"/>
          <w:noProof w:val="0"/>
          <w:lang w:bidi="ar-SA"/>
        </w:rPr>
        <w:t> </w:t>
      </w:r>
      <w:r w:rsidRPr="00ED38E9">
        <w:rPr>
          <w:rFonts w:cs="Arial"/>
          <w:noProof w:val="0"/>
          <w:lang w:bidi="ar-SA"/>
        </w:rPr>
        <w:t>ukončení jeho životnosti tak, aby dopady na životní prostředí byly co nejmenší.</w:t>
      </w:r>
    </w:p>
    <w:p w:rsidR="0032492C" w:rsidRPr="00ED38E9" w:rsidP="005E0005" w14:paraId="3FF69755" w14:textId="77777777">
      <w:pPr>
        <w:rPr>
          <w:rFonts w:cs="Arial"/>
          <w:noProof w:val="0"/>
          <w:lang w:bidi="ar-SA"/>
        </w:rPr>
      </w:pPr>
    </w:p>
    <w:p w:rsidR="002C485C" w:rsidRPr="00ED38E9" w:rsidP="00BF16B7" w14:paraId="72186461" w14:textId="77777777">
      <w:pPr>
        <w:pStyle w:val="Heading3"/>
      </w:pPr>
      <w:r w:rsidRPr="00ED38E9">
        <w:t>Vyhodnocení nákladů a přínosů variant</w:t>
      </w:r>
    </w:p>
    <w:p w:rsidR="00315395" w:rsidRPr="003265E8" w:rsidP="00F068A9" w14:paraId="2CCFC889" w14:textId="1F1F5CD1">
      <w:pPr>
        <w:pStyle w:val="Caption"/>
        <w:spacing w:before="120"/>
        <w:contextualSpacing w:val="0"/>
        <w:jc w:val="left"/>
        <w:rPr>
          <w:rFonts w:cs="Arial"/>
          <w:sz w:val="20"/>
          <w:szCs w:val="20"/>
        </w:rPr>
      </w:pPr>
      <w:r w:rsidRPr="003265E8">
        <w:rPr>
          <w:rFonts w:cs="Arial"/>
          <w:sz w:val="20"/>
          <w:szCs w:val="20"/>
        </w:rPr>
        <w:t>Tabulka</w:t>
      </w:r>
      <w:r w:rsidRPr="003265E8" w:rsidR="00CB0162">
        <w:rPr>
          <w:rFonts w:cs="Arial"/>
          <w:sz w:val="20"/>
          <w:szCs w:val="20"/>
        </w:rPr>
        <w:t xml:space="preserve"> </w:t>
      </w:r>
      <w:r w:rsidR="00C85B53">
        <w:rPr>
          <w:rFonts w:cs="Arial"/>
          <w:sz w:val="20"/>
          <w:szCs w:val="20"/>
        </w:rPr>
        <w:t>6</w:t>
      </w:r>
      <w:r w:rsidR="00925F10">
        <w:rPr>
          <w:rFonts w:cs="Arial"/>
          <w:sz w:val="20"/>
          <w:szCs w:val="20"/>
        </w:rPr>
        <w:t>9</w:t>
      </w:r>
      <w:r w:rsidRPr="003265E8">
        <w:rPr>
          <w:rFonts w:cs="Arial"/>
          <w:sz w:val="20"/>
          <w:szCs w:val="20"/>
        </w:rPr>
        <w:t>: Porovnání nákladů a přínosů variant</w:t>
      </w:r>
    </w:p>
    <w:tbl>
      <w:tblPr>
        <w:tblW w:w="9030" w:type="dxa"/>
        <w:tblInd w:w="75" w:type="dxa"/>
        <w:tblCellMar>
          <w:left w:w="70" w:type="dxa"/>
          <w:right w:w="70" w:type="dxa"/>
        </w:tblCellMar>
        <w:tblLook w:val="04A0"/>
      </w:tblPr>
      <w:tblGrid>
        <w:gridCol w:w="1505"/>
        <w:gridCol w:w="1505"/>
        <w:gridCol w:w="1505"/>
        <w:gridCol w:w="1505"/>
        <w:gridCol w:w="1505"/>
        <w:gridCol w:w="1505"/>
      </w:tblGrid>
      <w:tr w14:paraId="2FBDC121" w14:textId="77777777" w:rsidTr="00315395">
        <w:tblPrEx>
          <w:tblW w:w="9030" w:type="dxa"/>
          <w:tblInd w:w="75" w:type="dxa"/>
          <w:tblCellMar>
            <w:left w:w="70" w:type="dxa"/>
            <w:right w:w="70" w:type="dxa"/>
          </w:tblCellMar>
          <w:tblLook w:val="04A0"/>
        </w:tblPrEx>
        <w:trPr>
          <w:trHeight w:val="410"/>
        </w:trPr>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395" w:rsidRPr="003265E8" w:rsidP="00F068A9" w14:paraId="3A4D0DCE"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315395" w:rsidRPr="003265E8" w:rsidP="00F068A9" w14:paraId="3917701A"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Stručný obsah</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315395" w:rsidRPr="003265E8" w:rsidP="00F068A9" w14:paraId="53346E3C"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Přínosy</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315395" w:rsidRPr="003265E8" w:rsidP="00F068A9" w14:paraId="1D75D701"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Hodnocení</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315395" w:rsidRPr="003265E8" w:rsidP="00F068A9" w14:paraId="4CC607B8"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Náklady</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315395" w:rsidRPr="003265E8" w:rsidP="00F068A9" w14:paraId="64230D2F" w14:textId="77777777">
            <w:pPr>
              <w:keepNext/>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Hodnocení</w:t>
            </w:r>
          </w:p>
        </w:tc>
      </w:tr>
      <w:tr w14:paraId="3236C82A" w14:textId="77777777" w:rsidTr="00C1498C">
        <w:tblPrEx>
          <w:tblW w:w="9030" w:type="dxa"/>
          <w:tblInd w:w="75" w:type="dxa"/>
          <w:tblCellMar>
            <w:left w:w="70" w:type="dxa"/>
            <w:right w:w="70" w:type="dxa"/>
          </w:tblCellMar>
          <w:tblLook w:val="04A0"/>
        </w:tblPrEx>
        <w:trPr>
          <w:trHeight w:val="486"/>
        </w:trPr>
        <w:tc>
          <w:tcPr>
            <w:tcW w:w="1505" w:type="dxa"/>
            <w:vMerge w:val="restart"/>
            <w:tcBorders>
              <w:top w:val="nil"/>
              <w:left w:val="single" w:sz="4" w:space="0" w:color="auto"/>
              <w:bottom w:val="nil"/>
              <w:right w:val="single" w:sz="4" w:space="0" w:color="auto"/>
            </w:tcBorders>
            <w:shd w:val="clear" w:color="auto" w:fill="auto"/>
            <w:noWrap/>
            <w:vAlign w:val="center"/>
            <w:hideMark/>
          </w:tcPr>
          <w:p w:rsidR="00315395" w:rsidRPr="003265E8" w:rsidP="00315395" w14:paraId="1DA6EEE6"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 0</w:t>
            </w:r>
          </w:p>
        </w:tc>
        <w:tc>
          <w:tcPr>
            <w:tcW w:w="1505" w:type="dxa"/>
            <w:vMerge w:val="restart"/>
            <w:tcBorders>
              <w:top w:val="nil"/>
              <w:left w:val="single" w:sz="4" w:space="0" w:color="auto"/>
              <w:bottom w:val="nil"/>
              <w:right w:val="single" w:sz="4" w:space="0" w:color="auto"/>
            </w:tcBorders>
            <w:shd w:val="clear" w:color="auto" w:fill="auto"/>
            <w:vAlign w:val="center"/>
            <w:hideMark/>
          </w:tcPr>
          <w:p w:rsidR="00315395" w:rsidRPr="003265E8" w:rsidP="00315395" w14:paraId="2827B437"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současný stav</w:t>
            </w: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16396079"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Státní rozpočet a ostatní veřejné rozpočty</w:t>
            </w:r>
          </w:p>
        </w:tc>
      </w:tr>
      <w:tr w14:paraId="2CDA06A8" w14:textId="77777777" w:rsidTr="00315395">
        <w:tblPrEx>
          <w:tblW w:w="9030" w:type="dxa"/>
          <w:tblInd w:w="75" w:type="dxa"/>
          <w:tblCellMar>
            <w:left w:w="70" w:type="dxa"/>
            <w:right w:w="70" w:type="dxa"/>
          </w:tblCellMar>
          <w:tblLook w:val="04A0"/>
        </w:tblPrEx>
        <w:trPr>
          <w:trHeight w:val="978"/>
        </w:trPr>
        <w:tc>
          <w:tcPr>
            <w:tcW w:w="1505" w:type="dxa"/>
            <w:vMerge/>
            <w:tcBorders>
              <w:top w:val="nil"/>
              <w:left w:val="single" w:sz="4" w:space="0" w:color="auto"/>
              <w:bottom w:val="nil"/>
              <w:right w:val="single" w:sz="4" w:space="0" w:color="auto"/>
            </w:tcBorders>
            <w:vAlign w:val="center"/>
            <w:hideMark/>
          </w:tcPr>
          <w:p w:rsidR="00315395" w:rsidRPr="003265E8" w:rsidP="00315395" w14:paraId="7AA9D4A9" w14:textId="77777777">
            <w:pPr>
              <w:spacing w:line="240" w:lineRule="auto"/>
              <w:jc w:val="left"/>
              <w:rPr>
                <w:b/>
                <w:bCs/>
                <w:noProof w:val="0"/>
                <w:color w:val="000000"/>
                <w:sz w:val="20"/>
                <w:szCs w:val="20"/>
                <w:lang w:eastAsia="cs-CZ" w:bidi="ar-SA"/>
              </w:rPr>
            </w:pPr>
          </w:p>
        </w:tc>
        <w:tc>
          <w:tcPr>
            <w:tcW w:w="1505" w:type="dxa"/>
            <w:vMerge/>
            <w:tcBorders>
              <w:top w:val="nil"/>
              <w:left w:val="single" w:sz="4" w:space="0" w:color="auto"/>
              <w:bottom w:val="nil"/>
              <w:right w:val="single" w:sz="4" w:space="0" w:color="auto"/>
            </w:tcBorders>
            <w:vAlign w:val="center"/>
            <w:hideMark/>
          </w:tcPr>
          <w:p w:rsidR="00315395" w:rsidRPr="003265E8" w:rsidP="00315395" w14:paraId="60505CB1"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0600D18A"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úspora finančních prostředků na provoz ČOI</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68734970"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až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29D53145"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72CFE6E6"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r>
      <w:tr w14:paraId="12BA78B7" w14:textId="77777777" w:rsidTr="00C1498C">
        <w:tblPrEx>
          <w:tblW w:w="9030" w:type="dxa"/>
          <w:tblInd w:w="75" w:type="dxa"/>
          <w:tblCellMar>
            <w:left w:w="70" w:type="dxa"/>
            <w:right w:w="70" w:type="dxa"/>
          </w:tblCellMar>
          <w:tblLook w:val="04A0"/>
        </w:tblPrEx>
        <w:trPr>
          <w:trHeight w:val="486"/>
        </w:trPr>
        <w:tc>
          <w:tcPr>
            <w:tcW w:w="1505" w:type="dxa"/>
            <w:vMerge/>
            <w:tcBorders>
              <w:top w:val="nil"/>
              <w:left w:val="single" w:sz="4" w:space="0" w:color="auto"/>
              <w:bottom w:val="nil"/>
              <w:right w:val="single" w:sz="4" w:space="0" w:color="auto"/>
            </w:tcBorders>
            <w:vAlign w:val="center"/>
            <w:hideMark/>
          </w:tcPr>
          <w:p w:rsidR="00315395" w:rsidRPr="003265E8" w:rsidP="00315395" w14:paraId="433E33AC" w14:textId="77777777">
            <w:pPr>
              <w:spacing w:line="240" w:lineRule="auto"/>
              <w:jc w:val="left"/>
              <w:rPr>
                <w:b/>
                <w:bCs/>
                <w:noProof w:val="0"/>
                <w:color w:val="000000"/>
                <w:sz w:val="20"/>
                <w:szCs w:val="20"/>
                <w:lang w:eastAsia="cs-CZ" w:bidi="ar-SA"/>
              </w:rPr>
            </w:pPr>
          </w:p>
        </w:tc>
        <w:tc>
          <w:tcPr>
            <w:tcW w:w="1505" w:type="dxa"/>
            <w:vMerge/>
            <w:tcBorders>
              <w:top w:val="nil"/>
              <w:left w:val="single" w:sz="4" w:space="0" w:color="auto"/>
              <w:bottom w:val="nil"/>
              <w:right w:val="single" w:sz="4" w:space="0" w:color="auto"/>
            </w:tcBorders>
            <w:vAlign w:val="center"/>
            <w:hideMark/>
          </w:tcPr>
          <w:p w:rsidR="00315395" w:rsidRPr="003265E8" w:rsidP="00315395" w14:paraId="445122C1" w14:textId="77777777">
            <w:pPr>
              <w:spacing w:line="240" w:lineRule="auto"/>
              <w:jc w:val="left"/>
              <w:rPr>
                <w:noProof w:val="0"/>
                <w:color w:val="000000"/>
                <w:sz w:val="20"/>
                <w:szCs w:val="20"/>
                <w:lang w:eastAsia="cs-CZ" w:bidi="ar-SA"/>
              </w:rPr>
            </w:pP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77AF14B6"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Životní prostředí</w:t>
            </w:r>
          </w:p>
        </w:tc>
      </w:tr>
      <w:tr w14:paraId="57891734" w14:textId="77777777" w:rsidTr="00315395">
        <w:tblPrEx>
          <w:tblW w:w="9030" w:type="dxa"/>
          <w:tblInd w:w="75" w:type="dxa"/>
          <w:tblCellMar>
            <w:left w:w="70" w:type="dxa"/>
            <w:right w:w="70" w:type="dxa"/>
          </w:tblCellMar>
          <w:tblLook w:val="04A0"/>
        </w:tblPrEx>
        <w:trPr>
          <w:trHeight w:val="1464"/>
        </w:trPr>
        <w:tc>
          <w:tcPr>
            <w:tcW w:w="1505" w:type="dxa"/>
            <w:vMerge/>
            <w:tcBorders>
              <w:top w:val="nil"/>
              <w:left w:val="single" w:sz="4" w:space="0" w:color="auto"/>
              <w:bottom w:val="nil"/>
              <w:right w:val="single" w:sz="4" w:space="0" w:color="auto"/>
            </w:tcBorders>
            <w:vAlign w:val="center"/>
            <w:hideMark/>
          </w:tcPr>
          <w:p w:rsidR="00315395" w:rsidRPr="003265E8" w:rsidP="00315395" w14:paraId="16B5BBDB" w14:textId="77777777">
            <w:pPr>
              <w:spacing w:line="240" w:lineRule="auto"/>
              <w:jc w:val="left"/>
              <w:rPr>
                <w:b/>
                <w:bCs/>
                <w:noProof w:val="0"/>
                <w:color w:val="000000"/>
                <w:sz w:val="20"/>
                <w:szCs w:val="20"/>
                <w:lang w:eastAsia="cs-CZ" w:bidi="ar-SA"/>
              </w:rPr>
            </w:pPr>
          </w:p>
        </w:tc>
        <w:tc>
          <w:tcPr>
            <w:tcW w:w="1505" w:type="dxa"/>
            <w:vMerge/>
            <w:tcBorders>
              <w:top w:val="nil"/>
              <w:left w:val="single" w:sz="4" w:space="0" w:color="auto"/>
              <w:bottom w:val="nil"/>
              <w:right w:val="single" w:sz="4" w:space="0" w:color="auto"/>
            </w:tcBorders>
            <w:vAlign w:val="center"/>
            <w:hideMark/>
          </w:tcPr>
          <w:p w:rsidR="00315395" w:rsidRPr="003265E8" w:rsidP="00315395" w14:paraId="54F47CF3"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426A5F8D"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05E085E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117ECFE9"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nedostatečná kontrola povinností vedoucích ke správnému nakládání s odpady</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48FAC5F5"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7DAF61A4" w14:textId="77777777" w:rsidTr="00C1498C">
        <w:tblPrEx>
          <w:tblW w:w="9030" w:type="dxa"/>
          <w:tblInd w:w="75" w:type="dxa"/>
          <w:tblCellMar>
            <w:left w:w="70" w:type="dxa"/>
            <w:right w:w="70" w:type="dxa"/>
          </w:tblCellMar>
          <w:tblLook w:val="04A0"/>
        </w:tblPrEx>
        <w:trPr>
          <w:trHeight w:val="486"/>
        </w:trPr>
        <w:tc>
          <w:tcPr>
            <w:tcW w:w="1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395" w:rsidRPr="003265E8" w:rsidP="00315395" w14:paraId="414BFF81"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Varianta 1</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5395" w:rsidRPr="003265E8" w:rsidP="00315395" w14:paraId="1B95DAFF"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rozšíření kompetencí ČOI</w:t>
            </w: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5EFF2806"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Státní rozpočet a ostatní veřejné rozpočty</w:t>
            </w:r>
          </w:p>
        </w:tc>
      </w:tr>
      <w:tr w14:paraId="56FBA484" w14:textId="77777777" w:rsidTr="00315395">
        <w:tblPrEx>
          <w:tblW w:w="9030" w:type="dxa"/>
          <w:tblInd w:w="75" w:type="dxa"/>
          <w:tblCellMar>
            <w:left w:w="70" w:type="dxa"/>
            <w:right w:w="70" w:type="dxa"/>
          </w:tblCellMar>
          <w:tblLook w:val="04A0"/>
        </w:tblPrEx>
        <w:trPr>
          <w:trHeight w:val="978"/>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4C41CD42"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136C4069"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3AEFB10B"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1867D5FB"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6288AFA2"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MPO - navýšení nákladů na provoz ČOI</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601960" w14:paraId="30C6D58F" w14:textId="1FADD1F3">
            <w:pPr>
              <w:spacing w:line="240" w:lineRule="auto"/>
              <w:jc w:val="center"/>
              <w:rPr>
                <w:noProof w:val="0"/>
                <w:color w:val="000000"/>
                <w:sz w:val="20"/>
                <w:szCs w:val="20"/>
                <w:lang w:eastAsia="cs-CZ" w:bidi="ar-SA"/>
              </w:rPr>
            </w:pPr>
            <w:r w:rsidRPr="003265E8">
              <w:rPr>
                <w:noProof w:val="0"/>
                <w:color w:val="000000"/>
                <w:sz w:val="20"/>
                <w:szCs w:val="20"/>
                <w:lang w:eastAsia="cs-CZ" w:bidi="ar-SA"/>
              </w:rPr>
              <w:t xml:space="preserve">cca </w:t>
            </w:r>
            <w:r w:rsidR="00601960">
              <w:rPr>
                <w:noProof w:val="0"/>
                <w:color w:val="000000"/>
                <w:sz w:val="20"/>
                <w:szCs w:val="20"/>
                <w:lang w:eastAsia="cs-CZ" w:bidi="ar-SA"/>
              </w:rPr>
              <w:t>1 140</w:t>
            </w:r>
            <w:r w:rsidRPr="003265E8" w:rsidR="00601960">
              <w:rPr>
                <w:noProof w:val="0"/>
                <w:color w:val="000000"/>
                <w:sz w:val="20"/>
                <w:szCs w:val="20"/>
                <w:lang w:eastAsia="cs-CZ" w:bidi="ar-SA"/>
              </w:rPr>
              <w:t xml:space="preserve"> </w:t>
            </w:r>
            <w:r w:rsidRPr="003265E8" w:rsidR="0037205D">
              <w:rPr>
                <w:noProof w:val="0"/>
                <w:color w:val="000000"/>
                <w:sz w:val="20"/>
                <w:szCs w:val="20"/>
                <w:lang w:eastAsia="cs-CZ" w:bidi="ar-SA"/>
              </w:rPr>
              <w:t>tis</w:t>
            </w:r>
            <w:r w:rsidRPr="003265E8">
              <w:rPr>
                <w:noProof w:val="0"/>
                <w:color w:val="000000"/>
                <w:sz w:val="20"/>
                <w:szCs w:val="20"/>
                <w:lang w:eastAsia="cs-CZ" w:bidi="ar-SA"/>
              </w:rPr>
              <w:t>. Kč</w:t>
            </w:r>
          </w:p>
        </w:tc>
      </w:tr>
      <w:tr w14:paraId="59226D94" w14:textId="77777777" w:rsidTr="00C1498C">
        <w:tblPrEx>
          <w:tblW w:w="9030" w:type="dxa"/>
          <w:tblInd w:w="75" w:type="dxa"/>
          <w:tblCellMar>
            <w:left w:w="70" w:type="dxa"/>
            <w:right w:w="70" w:type="dxa"/>
          </w:tblCellMar>
          <w:tblLook w:val="04A0"/>
        </w:tblPrEx>
        <w:trPr>
          <w:trHeight w:val="486"/>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0EE3466E"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4011A1B5" w14:textId="77777777">
            <w:pPr>
              <w:spacing w:line="240" w:lineRule="auto"/>
              <w:jc w:val="left"/>
              <w:rPr>
                <w:noProof w:val="0"/>
                <w:color w:val="000000"/>
                <w:sz w:val="20"/>
                <w:szCs w:val="20"/>
                <w:lang w:eastAsia="cs-CZ" w:bidi="ar-SA"/>
              </w:rPr>
            </w:pP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7F757BFC"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Podnikatelské subjekty</w:t>
            </w:r>
          </w:p>
        </w:tc>
      </w:tr>
      <w:tr w14:paraId="261CBBEC" w14:textId="77777777" w:rsidTr="00315395">
        <w:tblPrEx>
          <w:tblW w:w="9030" w:type="dxa"/>
          <w:tblInd w:w="75" w:type="dxa"/>
          <w:tblCellMar>
            <w:left w:w="70" w:type="dxa"/>
            <w:right w:w="70" w:type="dxa"/>
          </w:tblCellMar>
          <w:tblLook w:val="04A0"/>
        </w:tblPrEx>
        <w:trPr>
          <w:trHeight w:val="486"/>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18D2AA7F"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64E39AE8"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0ABAAF25"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36DDD165"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76B6D6F2"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5F60F826"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r>
      <w:tr w14:paraId="663DDEF5" w14:textId="77777777" w:rsidTr="00C1498C">
        <w:tblPrEx>
          <w:tblW w:w="9030" w:type="dxa"/>
          <w:tblInd w:w="75" w:type="dxa"/>
          <w:tblCellMar>
            <w:left w:w="70" w:type="dxa"/>
            <w:right w:w="70" w:type="dxa"/>
          </w:tblCellMar>
          <w:tblLook w:val="04A0"/>
        </w:tblPrEx>
        <w:trPr>
          <w:trHeight w:val="486"/>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376218B6"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495ADF00" w14:textId="77777777">
            <w:pPr>
              <w:spacing w:line="240" w:lineRule="auto"/>
              <w:jc w:val="left"/>
              <w:rPr>
                <w:noProof w:val="0"/>
                <w:color w:val="000000"/>
                <w:sz w:val="20"/>
                <w:szCs w:val="20"/>
                <w:lang w:eastAsia="cs-CZ" w:bidi="ar-SA"/>
              </w:rPr>
            </w:pP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3E29D785"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Územní samosprávné celky (obce, kraje)</w:t>
            </w:r>
          </w:p>
        </w:tc>
      </w:tr>
      <w:tr w14:paraId="709C7B90" w14:textId="77777777" w:rsidTr="00315395">
        <w:tblPrEx>
          <w:tblW w:w="9030" w:type="dxa"/>
          <w:tblInd w:w="75" w:type="dxa"/>
          <w:tblCellMar>
            <w:left w:w="70" w:type="dxa"/>
            <w:right w:w="70" w:type="dxa"/>
          </w:tblCellMar>
          <w:tblLook w:val="04A0"/>
        </w:tblPrEx>
        <w:trPr>
          <w:trHeight w:val="1464"/>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6E9F4E71"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70914566"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1020601B"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lepší kontrola může vést k úbytku černých skládek, snížení nákladů na jejich likvidaci</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45139DA3"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až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1C93480A"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noWrap/>
            <w:vAlign w:val="center"/>
            <w:hideMark/>
          </w:tcPr>
          <w:p w:rsidR="00315395" w:rsidRPr="003265E8" w:rsidP="00315395" w14:paraId="593F6898"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r>
      <w:tr w14:paraId="632152FA" w14:textId="77777777" w:rsidTr="00C1498C">
        <w:tblPrEx>
          <w:tblW w:w="9030" w:type="dxa"/>
          <w:tblInd w:w="75" w:type="dxa"/>
          <w:tblCellMar>
            <w:left w:w="70" w:type="dxa"/>
            <w:right w:w="70" w:type="dxa"/>
          </w:tblCellMar>
          <w:tblLook w:val="04A0"/>
        </w:tblPrEx>
        <w:trPr>
          <w:trHeight w:val="486"/>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3E3D362E"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4D5447B8" w14:textId="77777777">
            <w:pPr>
              <w:spacing w:line="240" w:lineRule="auto"/>
              <w:jc w:val="left"/>
              <w:rPr>
                <w:noProof w:val="0"/>
                <w:color w:val="000000"/>
                <w:sz w:val="20"/>
                <w:szCs w:val="20"/>
                <w:lang w:eastAsia="cs-CZ" w:bidi="ar-SA"/>
              </w:rPr>
            </w:pPr>
          </w:p>
        </w:tc>
        <w:tc>
          <w:tcPr>
            <w:tcW w:w="6020" w:type="dxa"/>
            <w:gridSpan w:val="4"/>
            <w:tcBorders>
              <w:top w:val="single" w:sz="4" w:space="0" w:color="auto"/>
              <w:left w:val="nil"/>
              <w:bottom w:val="single" w:sz="4" w:space="0" w:color="auto"/>
              <w:right w:val="single" w:sz="4" w:space="0" w:color="auto"/>
            </w:tcBorders>
            <w:shd w:val="clear" w:color="auto" w:fill="auto"/>
            <w:vAlign w:val="center"/>
            <w:hideMark/>
          </w:tcPr>
          <w:p w:rsidR="00315395" w:rsidRPr="003265E8" w:rsidP="00315395" w14:paraId="355042D9" w14:textId="77777777">
            <w:pPr>
              <w:spacing w:line="240" w:lineRule="auto"/>
              <w:jc w:val="center"/>
              <w:rPr>
                <w:b/>
                <w:bCs/>
                <w:noProof w:val="0"/>
                <w:color w:val="000000"/>
                <w:sz w:val="20"/>
                <w:szCs w:val="20"/>
                <w:lang w:eastAsia="cs-CZ" w:bidi="ar-SA"/>
              </w:rPr>
            </w:pPr>
            <w:r w:rsidRPr="003265E8">
              <w:rPr>
                <w:b/>
                <w:bCs/>
                <w:noProof w:val="0"/>
                <w:color w:val="000000"/>
                <w:sz w:val="20"/>
                <w:szCs w:val="20"/>
                <w:lang w:eastAsia="cs-CZ" w:bidi="ar-SA"/>
              </w:rPr>
              <w:t>Sociální dopady, životní prostředí</w:t>
            </w:r>
          </w:p>
        </w:tc>
      </w:tr>
      <w:tr w14:paraId="4DA89B40" w14:textId="77777777" w:rsidTr="00315395">
        <w:tblPrEx>
          <w:tblW w:w="9030" w:type="dxa"/>
          <w:tblInd w:w="75" w:type="dxa"/>
          <w:tblCellMar>
            <w:left w:w="70" w:type="dxa"/>
            <w:right w:w="70" w:type="dxa"/>
          </w:tblCellMar>
          <w:tblLook w:val="04A0"/>
        </w:tblPrEx>
        <w:trPr>
          <w:trHeight w:val="978"/>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107919FD"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10E6B83C"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7E36878C"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lepší informovanost a ochrana spotřebitele</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0CFAF714"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12E57F6D"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0956452E"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r>
      <w:tr w14:paraId="71DEA489" w14:textId="77777777" w:rsidTr="00315395">
        <w:tblPrEx>
          <w:tblW w:w="9030" w:type="dxa"/>
          <w:tblInd w:w="75" w:type="dxa"/>
          <w:tblCellMar>
            <w:left w:w="70" w:type="dxa"/>
            <w:right w:w="70" w:type="dxa"/>
          </w:tblCellMar>
          <w:tblLook w:val="04A0"/>
        </w:tblPrEx>
        <w:trPr>
          <w:trHeight w:val="978"/>
        </w:trPr>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5858C02A" w14:textId="77777777">
            <w:pPr>
              <w:spacing w:line="240" w:lineRule="auto"/>
              <w:jc w:val="left"/>
              <w:rPr>
                <w:b/>
                <w:bCs/>
                <w:noProof w:val="0"/>
                <w:color w:val="000000"/>
                <w:sz w:val="20"/>
                <w:szCs w:val="20"/>
                <w:lang w:eastAsia="cs-CZ" w:bidi="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315395" w:rsidRPr="003265E8" w:rsidP="00315395" w14:paraId="5FD0E3E5" w14:textId="77777777">
            <w:pPr>
              <w:spacing w:line="240" w:lineRule="auto"/>
              <w:jc w:val="left"/>
              <w:rPr>
                <w:noProof w:val="0"/>
                <w:color w:val="000000"/>
                <w:sz w:val="20"/>
                <w:szCs w:val="20"/>
                <w:lang w:eastAsia="cs-CZ" w:bidi="ar-SA"/>
              </w:rPr>
            </w:pP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6BC3C3D2"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méně odpadu uloženého mimo místa určená</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503C4440"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až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331339EC"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w:t>
            </w:r>
          </w:p>
        </w:tc>
        <w:tc>
          <w:tcPr>
            <w:tcW w:w="1505" w:type="dxa"/>
            <w:tcBorders>
              <w:top w:val="nil"/>
              <w:left w:val="nil"/>
              <w:bottom w:val="single" w:sz="4" w:space="0" w:color="auto"/>
              <w:right w:val="single" w:sz="4" w:space="0" w:color="auto"/>
            </w:tcBorders>
            <w:shd w:val="clear" w:color="auto" w:fill="auto"/>
            <w:vAlign w:val="center"/>
            <w:hideMark/>
          </w:tcPr>
          <w:p w:rsidR="00315395" w:rsidRPr="003265E8" w:rsidP="00315395" w14:paraId="03A1D114" w14:textId="77777777">
            <w:pPr>
              <w:spacing w:line="240" w:lineRule="auto"/>
              <w:jc w:val="center"/>
              <w:rPr>
                <w:noProof w:val="0"/>
                <w:color w:val="000000"/>
                <w:sz w:val="20"/>
                <w:szCs w:val="20"/>
                <w:lang w:eastAsia="cs-CZ" w:bidi="ar-SA"/>
              </w:rPr>
            </w:pPr>
            <w:r w:rsidRPr="003265E8">
              <w:rPr>
                <w:noProof w:val="0"/>
                <w:color w:val="000000"/>
                <w:sz w:val="20"/>
                <w:szCs w:val="20"/>
                <w:lang w:eastAsia="cs-CZ" w:bidi="ar-SA"/>
              </w:rPr>
              <w:t> </w:t>
            </w:r>
          </w:p>
        </w:tc>
      </w:tr>
      <w:tr w14:paraId="0FEBB836" w14:textId="77777777" w:rsidTr="00C1498C">
        <w:tblPrEx>
          <w:tblW w:w="9030" w:type="dxa"/>
          <w:tblInd w:w="75" w:type="dxa"/>
          <w:tblCellMar>
            <w:left w:w="70" w:type="dxa"/>
            <w:right w:w="70" w:type="dxa"/>
          </w:tblCellMar>
          <w:tblLook w:val="04A0"/>
        </w:tblPrEx>
        <w:trPr>
          <w:trHeight w:val="292"/>
        </w:trPr>
        <w:tc>
          <w:tcPr>
            <w:tcW w:w="9030" w:type="dxa"/>
            <w:gridSpan w:val="6"/>
            <w:tcBorders>
              <w:top w:val="single" w:sz="4" w:space="0" w:color="auto"/>
              <w:left w:val="nil"/>
              <w:bottom w:val="nil"/>
              <w:right w:val="nil"/>
            </w:tcBorders>
            <w:shd w:val="clear" w:color="auto" w:fill="auto"/>
            <w:noWrap/>
            <w:vAlign w:val="center"/>
            <w:hideMark/>
          </w:tcPr>
          <w:p w:rsidR="00315395" w:rsidRPr="003265E8" w:rsidP="00315395" w14:paraId="055B056C" w14:textId="77777777">
            <w:pPr>
              <w:spacing w:line="240" w:lineRule="auto"/>
              <w:jc w:val="left"/>
              <w:rPr>
                <w:noProof w:val="0"/>
                <w:color w:val="000000"/>
                <w:sz w:val="20"/>
                <w:szCs w:val="20"/>
                <w:lang w:eastAsia="cs-CZ" w:bidi="ar-SA"/>
              </w:rPr>
            </w:pPr>
            <w:r w:rsidRPr="003265E8">
              <w:rPr>
                <w:noProof w:val="0"/>
                <w:color w:val="000000"/>
                <w:sz w:val="20"/>
                <w:szCs w:val="20"/>
                <w:lang w:eastAsia="cs-CZ" w:bidi="ar-SA"/>
              </w:rPr>
              <w:t>- bez dopadů, * velmi nízké, ** nízké, *** střední, **** vysoké, ***** velmi vysoké</w:t>
            </w:r>
          </w:p>
        </w:tc>
      </w:tr>
    </w:tbl>
    <w:p w:rsidR="002C485C" w:rsidRPr="00ED38E9" w:rsidP="00DB35B5" w14:paraId="54DCD636" w14:textId="77777777">
      <w:pPr>
        <w:pStyle w:val="Heading2"/>
        <w:spacing w:before="360"/>
        <w:ind w:left="578" w:hanging="578"/>
      </w:pPr>
      <w:bookmarkStart w:id="271" w:name="_Toc441759969"/>
      <w:r w:rsidRPr="00ED38E9">
        <w:t>Návrh řešení</w:t>
      </w:r>
      <w:bookmarkEnd w:id="271"/>
    </w:p>
    <w:p w:rsidR="002C485C" w:rsidRPr="00ED38E9" w:rsidP="00BF16B7" w14:paraId="3712BA52" w14:textId="77777777">
      <w:pPr>
        <w:pStyle w:val="Heading3"/>
      </w:pPr>
      <w:r w:rsidRPr="00ED38E9">
        <w:t>Stanovení pořadí variant a výběr nejvhodnějšího řešení</w:t>
      </w:r>
    </w:p>
    <w:p w:rsidR="002C485C" w:rsidRPr="00ED38E9" w:rsidP="003C445B" w14:paraId="6482BA6C" w14:textId="77777777">
      <w:pPr>
        <w:numPr>
          <w:ilvl w:val="0"/>
          <w:numId w:val="117"/>
        </w:numPr>
        <w:spacing w:line="240" w:lineRule="auto"/>
        <w:ind w:left="714" w:hanging="357"/>
        <w:rPr>
          <w:rFonts w:cs="Arial"/>
          <w:b/>
          <w:bCs/>
          <w:noProof w:val="0"/>
          <w:lang w:bidi="ar-SA"/>
        </w:rPr>
      </w:pPr>
      <w:r w:rsidRPr="00ED38E9">
        <w:rPr>
          <w:rFonts w:cs="Arial"/>
          <w:b/>
          <w:bCs/>
          <w:noProof w:val="0"/>
          <w:lang w:bidi="ar-SA"/>
        </w:rPr>
        <w:t xml:space="preserve">Varianta </w:t>
      </w:r>
      <w:r w:rsidRPr="00ED38E9" w:rsidR="00671D1B">
        <w:rPr>
          <w:rFonts w:cs="Arial"/>
          <w:b/>
          <w:bCs/>
          <w:noProof w:val="0"/>
          <w:lang w:bidi="ar-SA"/>
        </w:rPr>
        <w:t>1</w:t>
      </w:r>
    </w:p>
    <w:p w:rsidR="002C485C" w:rsidRPr="00ED38E9" w:rsidP="003C445B" w14:paraId="0636AAE3" w14:textId="77777777">
      <w:pPr>
        <w:numPr>
          <w:ilvl w:val="0"/>
          <w:numId w:val="117"/>
        </w:numPr>
        <w:spacing w:line="240" w:lineRule="auto"/>
        <w:ind w:left="714" w:hanging="357"/>
        <w:rPr>
          <w:rFonts w:cs="Arial"/>
          <w:noProof w:val="0"/>
          <w:lang w:bidi="ar-SA"/>
        </w:rPr>
      </w:pPr>
      <w:r w:rsidRPr="00ED38E9">
        <w:rPr>
          <w:rFonts w:cs="Arial"/>
          <w:noProof w:val="0"/>
          <w:lang w:bidi="ar-SA"/>
        </w:rPr>
        <w:t xml:space="preserve">Varianta </w:t>
      </w:r>
      <w:r w:rsidRPr="00ED38E9" w:rsidR="00671D1B">
        <w:rPr>
          <w:rFonts w:cs="Arial"/>
          <w:noProof w:val="0"/>
          <w:lang w:bidi="ar-SA"/>
        </w:rPr>
        <w:t>0</w:t>
      </w:r>
    </w:p>
    <w:p w:rsidR="0084001B" w:rsidP="0084001B" w14:paraId="7A467E48" w14:textId="77777777">
      <w:pPr>
        <w:rPr>
          <w:rFonts w:cs="Arial"/>
          <w:noProof w:val="0"/>
          <w:lang w:bidi="ar-SA"/>
        </w:rPr>
      </w:pPr>
      <w:r w:rsidRPr="00ED38E9">
        <w:rPr>
          <w:rFonts w:cs="Arial"/>
          <w:noProof w:val="0"/>
          <w:lang w:bidi="ar-SA"/>
        </w:rPr>
        <w:t>Současný stav ukazuje, že je třeba rozšířit působnost Č</w:t>
      </w:r>
      <w:r w:rsidR="0032492C">
        <w:rPr>
          <w:rFonts w:cs="Arial"/>
          <w:noProof w:val="0"/>
          <w:lang w:bidi="ar-SA"/>
        </w:rPr>
        <w:t>OI</w:t>
      </w:r>
      <w:r w:rsidRPr="00ED38E9">
        <w:rPr>
          <w:rFonts w:cs="Arial"/>
          <w:noProof w:val="0"/>
          <w:lang w:bidi="ar-SA"/>
        </w:rPr>
        <w:t>, protože její činnost může vést k</w:t>
      </w:r>
      <w:r w:rsidRPr="00ED38E9" w:rsidR="00333557">
        <w:rPr>
          <w:rFonts w:cs="Arial"/>
          <w:noProof w:val="0"/>
          <w:lang w:bidi="ar-SA"/>
        </w:rPr>
        <w:t> </w:t>
      </w:r>
      <w:r w:rsidRPr="00ED38E9">
        <w:rPr>
          <w:rFonts w:cs="Arial"/>
          <w:noProof w:val="0"/>
          <w:lang w:bidi="ar-SA"/>
        </w:rPr>
        <w:t>lepšímu nakládání s</w:t>
      </w:r>
      <w:r w:rsidRPr="00ED38E9" w:rsidR="00333557">
        <w:rPr>
          <w:rFonts w:cs="Arial"/>
          <w:noProof w:val="0"/>
          <w:lang w:bidi="ar-SA"/>
        </w:rPr>
        <w:t> </w:t>
      </w:r>
      <w:r w:rsidRPr="00ED38E9">
        <w:rPr>
          <w:rFonts w:cs="Arial"/>
          <w:noProof w:val="0"/>
          <w:lang w:bidi="ar-SA"/>
        </w:rPr>
        <w:t xml:space="preserve">odpadem, který určitým způsobem může ohrožovat životní prostředí. </w:t>
      </w:r>
    </w:p>
    <w:p w:rsidR="0014043D" w14:paraId="0AF435C2" w14:textId="3153DF42">
      <w:pPr>
        <w:rPr>
          <w:rFonts w:cs="Arial"/>
          <w:noProof w:val="0"/>
          <w:lang w:bidi="ar-SA"/>
        </w:rPr>
      </w:pPr>
      <w:r>
        <w:rPr>
          <w:rFonts w:cs="Arial"/>
          <w:noProof w:val="0"/>
          <w:lang w:bidi="ar-SA"/>
        </w:rPr>
        <w:br w:type="page"/>
      </w:r>
    </w:p>
    <w:p w:rsidR="003D0F3F" w:rsidRPr="00ED38E9" w:rsidP="007A2E3D" w14:paraId="55BF1124" w14:textId="6A6B44E2">
      <w:pPr>
        <w:pStyle w:val="Heading1"/>
      </w:pPr>
      <w:bookmarkStart w:id="272" w:name="_Toc3450116"/>
      <w:bookmarkStart w:id="273" w:name="_Toc441759970"/>
      <w:bookmarkStart w:id="274" w:name="_Toc14942103"/>
      <w:bookmarkStart w:id="275" w:name="_Toc256000029"/>
      <w:r>
        <w:t>Celkové shrnutí nákladů a přínosů</w:t>
      </w:r>
      <w:bookmarkEnd w:id="272"/>
      <w:r w:rsidRPr="00ED38E9">
        <w:t xml:space="preserve"> </w:t>
      </w:r>
      <w:bookmarkEnd w:id="273"/>
      <w:r w:rsidR="008D7904">
        <w:t>návrhu zákona</w:t>
      </w:r>
      <w:bookmarkEnd w:id="275"/>
      <w:bookmarkEnd w:id="274"/>
    </w:p>
    <w:p w:rsidR="00E5691D" w:rsidP="00E5691D" w14:paraId="5BD0654F" w14:textId="550686F5">
      <w:pPr>
        <w:rPr>
          <w:rFonts w:cs="Arial"/>
        </w:rPr>
      </w:pPr>
      <w:r>
        <w:rPr>
          <w:noProof w:val="0"/>
          <w:lang w:eastAsia="cs-CZ" w:bidi="ar-SA"/>
        </w:rPr>
        <w:t>P</w:t>
      </w:r>
      <w:r>
        <w:rPr>
          <w:rFonts w:cs="Arial"/>
        </w:rPr>
        <w:t>řehled souhrných dopadů  navrhované právní úpravy je shrnut v následující tabulce.</w:t>
      </w:r>
    </w:p>
    <w:p w:rsidR="003742E5" w:rsidP="003742E5" w14:paraId="3F4D6839" w14:textId="77777777">
      <w:pPr>
        <w:pStyle w:val="Caption"/>
        <w:spacing w:before="360"/>
        <w:contextualSpacing w:val="0"/>
      </w:pPr>
      <w:bookmarkStart w:id="276" w:name="_Toc435094746"/>
      <w:bookmarkStart w:id="277" w:name="_Toc441759971"/>
      <w:bookmarkEnd w:id="276"/>
      <w:r>
        <w:t>Tabulka 70:  Souhrn dopadů navrhovaných variant</w:t>
      </w:r>
    </w:p>
    <w:tbl>
      <w:tblPr>
        <w:tblStyle w:val="TableGrid"/>
        <w:tblW w:w="0" w:type="auto"/>
        <w:tblLook w:val="04A0"/>
      </w:tblPr>
      <w:tblGrid>
        <w:gridCol w:w="572"/>
        <w:gridCol w:w="2905"/>
        <w:gridCol w:w="1352"/>
        <w:gridCol w:w="2605"/>
        <w:gridCol w:w="1628"/>
      </w:tblGrid>
      <w:tr w14:paraId="70A26E79" w14:textId="77777777" w:rsidTr="00DE3380">
        <w:tblPrEx>
          <w:tblW w:w="0" w:type="auto"/>
          <w:tblLook w:val="04A0"/>
        </w:tblPrEx>
        <w:tc>
          <w:tcPr>
            <w:tcW w:w="572" w:type="dxa"/>
            <w:vAlign w:val="center"/>
          </w:tcPr>
          <w:p w:rsidR="003742E5" w:rsidRPr="005E5A71" w:rsidP="00DE3380" w14:paraId="17A42A60" w14:textId="77777777">
            <w:pPr>
              <w:jc w:val="center"/>
              <w:rPr>
                <w:b/>
                <w:sz w:val="16"/>
                <w:szCs w:val="16"/>
              </w:rPr>
            </w:pPr>
            <w:r w:rsidRPr="005E5A71">
              <w:rPr>
                <w:b/>
                <w:sz w:val="16"/>
                <w:szCs w:val="16"/>
              </w:rPr>
              <w:t>Bod</w:t>
            </w:r>
          </w:p>
        </w:tc>
        <w:tc>
          <w:tcPr>
            <w:tcW w:w="2905" w:type="dxa"/>
            <w:vAlign w:val="center"/>
          </w:tcPr>
          <w:p w:rsidR="003742E5" w:rsidRPr="00B13055" w:rsidP="00DE3380" w14:paraId="0FFA6C49" w14:textId="77777777">
            <w:pPr>
              <w:jc w:val="center"/>
              <w:rPr>
                <w:b/>
                <w:sz w:val="16"/>
                <w:szCs w:val="16"/>
              </w:rPr>
            </w:pPr>
            <w:r w:rsidRPr="00B13055">
              <w:rPr>
                <w:b/>
                <w:sz w:val="16"/>
                <w:szCs w:val="16"/>
              </w:rPr>
              <w:t>Přínosy</w:t>
            </w:r>
          </w:p>
        </w:tc>
        <w:tc>
          <w:tcPr>
            <w:tcW w:w="1352" w:type="dxa"/>
            <w:vAlign w:val="center"/>
          </w:tcPr>
          <w:p w:rsidR="003742E5" w:rsidRPr="00B13055" w:rsidP="00DE3380" w14:paraId="1518E3F8" w14:textId="77777777">
            <w:pPr>
              <w:jc w:val="center"/>
              <w:rPr>
                <w:b/>
                <w:sz w:val="16"/>
                <w:szCs w:val="16"/>
              </w:rPr>
            </w:pPr>
            <w:r w:rsidRPr="00B13055">
              <w:rPr>
                <w:b/>
                <w:sz w:val="16"/>
                <w:szCs w:val="16"/>
              </w:rPr>
              <w:t>Hodnocení</w:t>
            </w:r>
          </w:p>
        </w:tc>
        <w:tc>
          <w:tcPr>
            <w:tcW w:w="2605" w:type="dxa"/>
            <w:vAlign w:val="center"/>
          </w:tcPr>
          <w:p w:rsidR="003742E5" w:rsidRPr="00B13055" w:rsidP="00DE3380" w14:paraId="76EE6474" w14:textId="77777777">
            <w:pPr>
              <w:jc w:val="center"/>
              <w:rPr>
                <w:b/>
                <w:sz w:val="16"/>
                <w:szCs w:val="16"/>
              </w:rPr>
            </w:pPr>
            <w:r w:rsidRPr="00B13055">
              <w:rPr>
                <w:b/>
                <w:sz w:val="16"/>
                <w:szCs w:val="16"/>
              </w:rPr>
              <w:t>Náklady</w:t>
            </w:r>
          </w:p>
        </w:tc>
        <w:tc>
          <w:tcPr>
            <w:tcW w:w="1628" w:type="dxa"/>
            <w:vAlign w:val="center"/>
          </w:tcPr>
          <w:p w:rsidR="003742E5" w:rsidRPr="00B13055" w:rsidP="00DE3380" w14:paraId="32909B4C" w14:textId="77777777">
            <w:pPr>
              <w:jc w:val="center"/>
              <w:rPr>
                <w:b/>
                <w:sz w:val="16"/>
                <w:szCs w:val="16"/>
              </w:rPr>
            </w:pPr>
            <w:r w:rsidRPr="00B13055">
              <w:rPr>
                <w:b/>
                <w:sz w:val="16"/>
                <w:szCs w:val="16"/>
              </w:rPr>
              <w:t>Hodnocení</w:t>
            </w:r>
          </w:p>
        </w:tc>
      </w:tr>
      <w:tr w14:paraId="01ED460E" w14:textId="77777777" w:rsidTr="00DE3380">
        <w:tblPrEx>
          <w:tblW w:w="0" w:type="auto"/>
          <w:tblLook w:val="04A0"/>
        </w:tblPrEx>
        <w:trPr>
          <w:trHeight w:val="428"/>
        </w:trPr>
        <w:tc>
          <w:tcPr>
            <w:tcW w:w="9062" w:type="dxa"/>
            <w:gridSpan w:val="5"/>
            <w:vAlign w:val="center"/>
          </w:tcPr>
          <w:p w:rsidR="003742E5" w:rsidRPr="001F6A94" w:rsidP="00DE3380" w14:paraId="22751D2F" w14:textId="77777777">
            <w:pPr>
              <w:jc w:val="center"/>
              <w:rPr>
                <w:sz w:val="20"/>
                <w:szCs w:val="20"/>
              </w:rPr>
            </w:pPr>
            <w:r w:rsidRPr="001F6A94">
              <w:rPr>
                <w:b/>
                <w:sz w:val="20"/>
                <w:szCs w:val="20"/>
              </w:rPr>
              <w:t>Dopady na státní rozpočet</w:t>
            </w:r>
          </w:p>
        </w:tc>
      </w:tr>
      <w:tr w14:paraId="34DE9222" w14:textId="77777777" w:rsidTr="00DE3380">
        <w:tblPrEx>
          <w:tblW w:w="0" w:type="auto"/>
          <w:tblLook w:val="04A0"/>
        </w:tblPrEx>
        <w:tc>
          <w:tcPr>
            <w:tcW w:w="572" w:type="dxa"/>
            <w:vAlign w:val="center"/>
          </w:tcPr>
          <w:p w:rsidR="003742E5" w:rsidRPr="005E5A71" w:rsidP="00DE3380" w14:paraId="06A5407C" w14:textId="77777777">
            <w:pPr>
              <w:jc w:val="center"/>
              <w:rPr>
                <w:sz w:val="16"/>
                <w:szCs w:val="16"/>
              </w:rPr>
            </w:pPr>
            <w:r w:rsidRPr="005E5A71">
              <w:rPr>
                <w:sz w:val="16"/>
                <w:szCs w:val="16"/>
              </w:rPr>
              <w:t>1</w:t>
            </w:r>
          </w:p>
        </w:tc>
        <w:tc>
          <w:tcPr>
            <w:tcW w:w="2905" w:type="dxa"/>
            <w:vAlign w:val="center"/>
          </w:tcPr>
          <w:p w:rsidR="003742E5" w:rsidRPr="0090753D" w:rsidP="003742E5" w14:paraId="0CA78DC6" w14:textId="77777777">
            <w:pPr>
              <w:rPr>
                <w:sz w:val="16"/>
                <w:szCs w:val="16"/>
              </w:rPr>
            </w:pPr>
            <w:r>
              <w:rPr>
                <w:sz w:val="16"/>
                <w:szCs w:val="16"/>
              </w:rPr>
              <w:t>M</w:t>
            </w:r>
            <w:r w:rsidRPr="0090753D">
              <w:rPr>
                <w:sz w:val="16"/>
                <w:szCs w:val="16"/>
              </w:rPr>
              <w:t xml:space="preserve">ožnosti kontrolní činnosti ze strany kontrolních orgánů (ministerstvo, ČIŽP) </w:t>
            </w:r>
          </w:p>
        </w:tc>
        <w:tc>
          <w:tcPr>
            <w:tcW w:w="1352" w:type="dxa"/>
            <w:vAlign w:val="center"/>
          </w:tcPr>
          <w:p w:rsidR="003742E5" w:rsidRPr="0090753D" w:rsidP="00DE3380" w14:paraId="12F69C4C" w14:textId="77777777">
            <w:pPr>
              <w:jc w:val="center"/>
              <w:rPr>
                <w:sz w:val="16"/>
                <w:szCs w:val="16"/>
              </w:rPr>
            </w:pPr>
            <w:r w:rsidRPr="0090753D">
              <w:rPr>
                <w:sz w:val="16"/>
                <w:szCs w:val="16"/>
              </w:rPr>
              <w:t>**</w:t>
            </w:r>
          </w:p>
        </w:tc>
        <w:tc>
          <w:tcPr>
            <w:tcW w:w="2605" w:type="dxa"/>
            <w:vAlign w:val="center"/>
          </w:tcPr>
          <w:p w:rsidR="003742E5" w:rsidRPr="0090753D" w:rsidP="00DE3380" w14:paraId="19D6BCBF" w14:textId="77777777">
            <w:pPr>
              <w:jc w:val="center"/>
              <w:rPr>
                <w:sz w:val="16"/>
                <w:szCs w:val="16"/>
              </w:rPr>
            </w:pPr>
          </w:p>
        </w:tc>
        <w:tc>
          <w:tcPr>
            <w:tcW w:w="1628" w:type="dxa"/>
            <w:vAlign w:val="center"/>
          </w:tcPr>
          <w:p w:rsidR="003742E5" w:rsidRPr="00F727A9" w:rsidP="00DE3380" w14:paraId="5E13B39E" w14:textId="77777777">
            <w:pPr>
              <w:jc w:val="center"/>
              <w:rPr>
                <w:sz w:val="16"/>
                <w:szCs w:val="16"/>
              </w:rPr>
            </w:pPr>
          </w:p>
        </w:tc>
      </w:tr>
      <w:tr w14:paraId="2B088FB3" w14:textId="77777777" w:rsidTr="00DE3380">
        <w:tblPrEx>
          <w:tblW w:w="0" w:type="auto"/>
          <w:tblLook w:val="04A0"/>
        </w:tblPrEx>
        <w:tc>
          <w:tcPr>
            <w:tcW w:w="572" w:type="dxa"/>
            <w:vAlign w:val="center"/>
          </w:tcPr>
          <w:p w:rsidR="003742E5" w:rsidRPr="005E5A71" w:rsidP="00DE3380" w14:paraId="5999051B" w14:textId="77777777">
            <w:pPr>
              <w:jc w:val="center"/>
              <w:rPr>
                <w:sz w:val="16"/>
                <w:szCs w:val="16"/>
              </w:rPr>
            </w:pPr>
            <w:r>
              <w:rPr>
                <w:sz w:val="16"/>
                <w:szCs w:val="16"/>
              </w:rPr>
              <w:t>2</w:t>
            </w:r>
          </w:p>
        </w:tc>
        <w:tc>
          <w:tcPr>
            <w:tcW w:w="2905" w:type="dxa"/>
            <w:vAlign w:val="center"/>
          </w:tcPr>
          <w:p w:rsidR="003742E5" w:rsidRPr="0090753D" w:rsidP="003742E5" w14:paraId="5E65C615" w14:textId="77777777">
            <w:pPr>
              <w:spacing w:before="20" w:after="20"/>
              <w:rPr>
                <w:rFonts w:cs="Arial"/>
                <w:sz w:val="16"/>
                <w:szCs w:val="16"/>
              </w:rPr>
            </w:pPr>
            <w:r w:rsidRPr="0090753D">
              <w:rPr>
                <w:rFonts w:cs="Arial"/>
                <w:sz w:val="16"/>
                <w:szCs w:val="16"/>
              </w:rPr>
              <w:t>Při správném nastavení minimální výše prostředků na propagaci a</w:t>
            </w:r>
            <w:r>
              <w:rPr>
                <w:rFonts w:cs="Arial"/>
                <w:sz w:val="16"/>
                <w:szCs w:val="16"/>
              </w:rPr>
              <w:t> </w:t>
            </w:r>
            <w:r w:rsidRPr="0090753D">
              <w:rPr>
                <w:rFonts w:cs="Arial"/>
                <w:sz w:val="16"/>
                <w:szCs w:val="16"/>
              </w:rPr>
              <w:t>osvětu možnost dosažení vyšší úrovně sběru</w:t>
            </w:r>
          </w:p>
        </w:tc>
        <w:tc>
          <w:tcPr>
            <w:tcW w:w="1352" w:type="dxa"/>
            <w:vAlign w:val="center"/>
          </w:tcPr>
          <w:p w:rsidR="003742E5" w:rsidRPr="0090753D" w:rsidP="00DE3380" w14:paraId="016CF557" w14:textId="77777777">
            <w:pPr>
              <w:jc w:val="center"/>
              <w:rPr>
                <w:sz w:val="16"/>
                <w:szCs w:val="16"/>
              </w:rPr>
            </w:pPr>
            <w:r w:rsidRPr="0090753D">
              <w:rPr>
                <w:sz w:val="16"/>
                <w:szCs w:val="16"/>
              </w:rPr>
              <w:t>**</w:t>
            </w:r>
          </w:p>
        </w:tc>
        <w:tc>
          <w:tcPr>
            <w:tcW w:w="2605" w:type="dxa"/>
            <w:vAlign w:val="center"/>
          </w:tcPr>
          <w:p w:rsidR="003742E5" w:rsidRPr="0090753D" w:rsidP="003742E5" w14:paraId="4C0CB8B0" w14:textId="77777777">
            <w:pPr>
              <w:rPr>
                <w:sz w:val="16"/>
                <w:szCs w:val="16"/>
              </w:rPr>
            </w:pPr>
            <w:r>
              <w:rPr>
                <w:rFonts w:cs="Arial"/>
                <w:sz w:val="16"/>
                <w:szCs w:val="16"/>
              </w:rPr>
              <w:t>P</w:t>
            </w:r>
            <w:r w:rsidRPr="0090753D">
              <w:rPr>
                <w:rFonts w:cs="Arial"/>
                <w:sz w:val="16"/>
                <w:szCs w:val="16"/>
              </w:rPr>
              <w:t>otřeba kontroly KS ohledně výše minimálních investic do</w:t>
            </w:r>
            <w:r>
              <w:rPr>
                <w:rFonts w:cs="Arial"/>
                <w:sz w:val="16"/>
                <w:szCs w:val="16"/>
              </w:rPr>
              <w:t> </w:t>
            </w:r>
            <w:r w:rsidRPr="0090753D">
              <w:rPr>
                <w:rFonts w:cs="Arial"/>
                <w:sz w:val="16"/>
                <w:szCs w:val="16"/>
              </w:rPr>
              <w:t>propagace a osvěty</w:t>
            </w:r>
          </w:p>
        </w:tc>
        <w:tc>
          <w:tcPr>
            <w:tcW w:w="1628" w:type="dxa"/>
            <w:vAlign w:val="center"/>
          </w:tcPr>
          <w:p w:rsidR="003742E5" w:rsidRPr="00F727A9" w:rsidP="00DE3380" w14:paraId="1F16069E" w14:textId="77777777">
            <w:pPr>
              <w:jc w:val="center"/>
              <w:rPr>
                <w:sz w:val="16"/>
                <w:szCs w:val="16"/>
              </w:rPr>
            </w:pPr>
            <w:r>
              <w:rPr>
                <w:sz w:val="16"/>
                <w:szCs w:val="16"/>
              </w:rPr>
              <w:t>*</w:t>
            </w:r>
          </w:p>
        </w:tc>
      </w:tr>
      <w:tr w14:paraId="16743A42" w14:textId="77777777" w:rsidTr="00DE3380">
        <w:tblPrEx>
          <w:tblW w:w="0" w:type="auto"/>
          <w:tblLook w:val="04A0"/>
        </w:tblPrEx>
        <w:trPr>
          <w:trHeight w:val="507"/>
        </w:trPr>
        <w:tc>
          <w:tcPr>
            <w:tcW w:w="572" w:type="dxa"/>
            <w:vMerge w:val="restart"/>
            <w:vAlign w:val="center"/>
          </w:tcPr>
          <w:p w:rsidR="003742E5" w:rsidRPr="005E5A71" w:rsidP="00DE3380" w14:paraId="027D97A1" w14:textId="77777777">
            <w:pPr>
              <w:jc w:val="center"/>
              <w:rPr>
                <w:sz w:val="16"/>
                <w:szCs w:val="16"/>
              </w:rPr>
            </w:pPr>
            <w:r>
              <w:rPr>
                <w:sz w:val="16"/>
                <w:szCs w:val="16"/>
              </w:rPr>
              <w:t>3</w:t>
            </w:r>
          </w:p>
        </w:tc>
        <w:tc>
          <w:tcPr>
            <w:tcW w:w="2905" w:type="dxa"/>
            <w:vMerge w:val="restart"/>
            <w:vAlign w:val="center"/>
          </w:tcPr>
          <w:p w:rsidR="003742E5" w:rsidRPr="0090753D" w:rsidP="00DE3380" w14:paraId="272EA78C" w14:textId="77777777">
            <w:pPr>
              <w:jc w:val="center"/>
              <w:rPr>
                <w:sz w:val="16"/>
                <w:szCs w:val="16"/>
              </w:rPr>
            </w:pPr>
          </w:p>
        </w:tc>
        <w:tc>
          <w:tcPr>
            <w:tcW w:w="1352" w:type="dxa"/>
            <w:vMerge w:val="restart"/>
            <w:vAlign w:val="center"/>
          </w:tcPr>
          <w:p w:rsidR="003742E5" w:rsidRPr="0090753D" w:rsidP="00DE3380" w14:paraId="43DE7835" w14:textId="77777777">
            <w:pPr>
              <w:jc w:val="center"/>
              <w:rPr>
                <w:sz w:val="16"/>
                <w:szCs w:val="16"/>
              </w:rPr>
            </w:pPr>
          </w:p>
        </w:tc>
        <w:tc>
          <w:tcPr>
            <w:tcW w:w="2605" w:type="dxa"/>
            <w:vAlign w:val="center"/>
          </w:tcPr>
          <w:p w:rsidR="003742E5" w:rsidRPr="0090753D" w:rsidP="003742E5" w14:paraId="48B66BA2" w14:textId="77777777">
            <w:pPr>
              <w:rPr>
                <w:sz w:val="16"/>
                <w:szCs w:val="16"/>
              </w:rPr>
            </w:pPr>
            <w:r w:rsidRPr="0090753D">
              <w:rPr>
                <w:sz w:val="16"/>
                <w:szCs w:val="16"/>
              </w:rPr>
              <w:t xml:space="preserve">MŽP - rozšíření aktuálního sytému EEZ  </w:t>
            </w:r>
          </w:p>
        </w:tc>
        <w:tc>
          <w:tcPr>
            <w:tcW w:w="1628" w:type="dxa"/>
            <w:vAlign w:val="center"/>
          </w:tcPr>
          <w:p w:rsidR="003742E5" w:rsidRPr="00F727A9" w:rsidP="00DE3380" w14:paraId="194C12A6" w14:textId="77777777">
            <w:pPr>
              <w:jc w:val="center"/>
              <w:rPr>
                <w:sz w:val="16"/>
                <w:szCs w:val="16"/>
              </w:rPr>
            </w:pPr>
            <w:r>
              <w:rPr>
                <w:sz w:val="16"/>
                <w:szCs w:val="16"/>
              </w:rPr>
              <w:t>1,4 mil.</w:t>
            </w:r>
            <w:r w:rsidRPr="00F727A9">
              <w:rPr>
                <w:sz w:val="16"/>
                <w:szCs w:val="16"/>
              </w:rPr>
              <w:t xml:space="preserve"> Kč</w:t>
            </w:r>
          </w:p>
        </w:tc>
      </w:tr>
      <w:tr w14:paraId="448423C4" w14:textId="77777777" w:rsidTr="00DE3380">
        <w:tblPrEx>
          <w:tblW w:w="0" w:type="auto"/>
          <w:tblLook w:val="04A0"/>
        </w:tblPrEx>
        <w:trPr>
          <w:trHeight w:val="509"/>
        </w:trPr>
        <w:tc>
          <w:tcPr>
            <w:tcW w:w="572" w:type="dxa"/>
            <w:vMerge/>
            <w:vAlign w:val="center"/>
          </w:tcPr>
          <w:p w:rsidR="003742E5" w:rsidRPr="005E5A71" w:rsidP="00DE3380" w14:paraId="03EBA230" w14:textId="77777777">
            <w:pPr>
              <w:jc w:val="center"/>
              <w:rPr>
                <w:sz w:val="16"/>
                <w:szCs w:val="16"/>
              </w:rPr>
            </w:pPr>
          </w:p>
        </w:tc>
        <w:tc>
          <w:tcPr>
            <w:tcW w:w="2905" w:type="dxa"/>
            <w:vMerge/>
            <w:vAlign w:val="center"/>
          </w:tcPr>
          <w:p w:rsidR="003742E5" w:rsidRPr="0090753D" w:rsidP="00DE3380" w14:paraId="01B9C55C" w14:textId="77777777">
            <w:pPr>
              <w:jc w:val="center"/>
              <w:rPr>
                <w:sz w:val="16"/>
                <w:szCs w:val="16"/>
              </w:rPr>
            </w:pPr>
          </w:p>
        </w:tc>
        <w:tc>
          <w:tcPr>
            <w:tcW w:w="1352" w:type="dxa"/>
            <w:vMerge/>
            <w:vAlign w:val="center"/>
          </w:tcPr>
          <w:p w:rsidR="003742E5" w:rsidRPr="0090753D" w:rsidP="00DE3380" w14:paraId="4ED51D8F" w14:textId="77777777">
            <w:pPr>
              <w:jc w:val="center"/>
              <w:rPr>
                <w:sz w:val="16"/>
                <w:szCs w:val="16"/>
              </w:rPr>
            </w:pPr>
          </w:p>
        </w:tc>
        <w:tc>
          <w:tcPr>
            <w:tcW w:w="2605" w:type="dxa"/>
            <w:vAlign w:val="center"/>
          </w:tcPr>
          <w:p w:rsidR="003742E5" w:rsidRPr="0090753D" w:rsidP="003742E5" w14:paraId="60DBC733" w14:textId="77777777">
            <w:pPr>
              <w:rPr>
                <w:sz w:val="16"/>
                <w:szCs w:val="16"/>
              </w:rPr>
            </w:pPr>
            <w:r w:rsidRPr="0090753D">
              <w:rPr>
                <w:sz w:val="16"/>
                <w:szCs w:val="16"/>
              </w:rPr>
              <w:t>MŽP- přístup oprávněných osob</w:t>
            </w:r>
          </w:p>
        </w:tc>
        <w:tc>
          <w:tcPr>
            <w:tcW w:w="1628" w:type="dxa"/>
            <w:vAlign w:val="center"/>
          </w:tcPr>
          <w:p w:rsidR="003742E5" w:rsidRPr="00F727A9" w:rsidP="00DE3380" w14:paraId="6A75CE9C" w14:textId="77777777">
            <w:pPr>
              <w:jc w:val="center"/>
              <w:rPr>
                <w:sz w:val="16"/>
                <w:szCs w:val="16"/>
              </w:rPr>
            </w:pPr>
            <w:r w:rsidRPr="00F727A9">
              <w:rPr>
                <w:sz w:val="16"/>
                <w:szCs w:val="16"/>
              </w:rPr>
              <w:t>3</w:t>
            </w:r>
            <w:r>
              <w:rPr>
                <w:sz w:val="16"/>
                <w:szCs w:val="16"/>
              </w:rPr>
              <w:t>,5</w:t>
            </w:r>
            <w:r w:rsidRPr="00F727A9">
              <w:rPr>
                <w:sz w:val="16"/>
                <w:szCs w:val="16"/>
              </w:rPr>
              <w:t xml:space="preserve"> tis. Kč</w:t>
            </w:r>
          </w:p>
        </w:tc>
      </w:tr>
      <w:tr w14:paraId="3206FCCF" w14:textId="77777777" w:rsidTr="00DE3380">
        <w:tblPrEx>
          <w:tblW w:w="0" w:type="auto"/>
          <w:tblLook w:val="04A0"/>
        </w:tblPrEx>
        <w:trPr>
          <w:trHeight w:val="907"/>
        </w:trPr>
        <w:tc>
          <w:tcPr>
            <w:tcW w:w="572" w:type="dxa"/>
            <w:vAlign w:val="center"/>
          </w:tcPr>
          <w:p w:rsidR="003742E5" w:rsidRPr="005E5A71" w:rsidP="00DE3380" w14:paraId="1C5D0207" w14:textId="77777777">
            <w:pPr>
              <w:jc w:val="center"/>
              <w:rPr>
                <w:sz w:val="16"/>
                <w:szCs w:val="16"/>
              </w:rPr>
            </w:pPr>
            <w:r>
              <w:rPr>
                <w:sz w:val="16"/>
                <w:szCs w:val="16"/>
              </w:rPr>
              <w:t>4</w:t>
            </w:r>
          </w:p>
        </w:tc>
        <w:tc>
          <w:tcPr>
            <w:tcW w:w="2905" w:type="dxa"/>
            <w:vAlign w:val="center"/>
          </w:tcPr>
          <w:p w:rsidR="003742E5" w:rsidRPr="0090753D" w:rsidP="003742E5" w14:paraId="372388A1" w14:textId="77777777">
            <w:pPr>
              <w:rPr>
                <w:sz w:val="16"/>
                <w:szCs w:val="16"/>
              </w:rPr>
            </w:pPr>
            <w:r>
              <w:rPr>
                <w:sz w:val="16"/>
                <w:szCs w:val="16"/>
              </w:rPr>
              <w:t>S</w:t>
            </w:r>
            <w:r w:rsidRPr="0090753D">
              <w:rPr>
                <w:sz w:val="16"/>
                <w:szCs w:val="16"/>
              </w:rPr>
              <w:t xml:space="preserve">jednocení podmínek pro udělení oprávnění k provozování KS, </w:t>
            </w:r>
            <w:r w:rsidRPr="0090753D">
              <w:rPr>
                <w:rFonts w:cs="Arial"/>
                <w:sz w:val="16"/>
                <w:szCs w:val="16"/>
              </w:rPr>
              <w:t>Transparentnější prostředí</w:t>
            </w:r>
          </w:p>
        </w:tc>
        <w:tc>
          <w:tcPr>
            <w:tcW w:w="1352" w:type="dxa"/>
            <w:vAlign w:val="center"/>
          </w:tcPr>
          <w:p w:rsidR="003742E5" w:rsidRPr="0090753D" w:rsidP="00DE3380" w14:paraId="693D6A44" w14:textId="77777777">
            <w:pPr>
              <w:jc w:val="center"/>
              <w:rPr>
                <w:sz w:val="16"/>
                <w:szCs w:val="16"/>
              </w:rPr>
            </w:pPr>
            <w:r w:rsidRPr="0090753D">
              <w:rPr>
                <w:sz w:val="16"/>
                <w:szCs w:val="16"/>
              </w:rPr>
              <w:t>***</w:t>
            </w:r>
          </w:p>
        </w:tc>
        <w:tc>
          <w:tcPr>
            <w:tcW w:w="2605" w:type="dxa"/>
            <w:vAlign w:val="center"/>
          </w:tcPr>
          <w:p w:rsidR="003742E5" w:rsidRPr="0090753D" w:rsidP="003742E5" w14:paraId="7422B47A" w14:textId="77777777">
            <w:pPr>
              <w:rPr>
                <w:sz w:val="16"/>
                <w:szCs w:val="16"/>
              </w:rPr>
            </w:pPr>
            <w:r w:rsidRPr="0090753D">
              <w:rPr>
                <w:sz w:val="16"/>
                <w:szCs w:val="16"/>
              </w:rPr>
              <w:t>MŽP- jednorázové náklady spojené s žádostmi o vydání oprávnění</w:t>
            </w:r>
          </w:p>
        </w:tc>
        <w:tc>
          <w:tcPr>
            <w:tcW w:w="1628" w:type="dxa"/>
            <w:vAlign w:val="center"/>
          </w:tcPr>
          <w:p w:rsidR="003742E5" w:rsidRPr="00F727A9" w:rsidP="00DE3380" w14:paraId="72729D3C" w14:textId="77777777">
            <w:pPr>
              <w:jc w:val="center"/>
              <w:rPr>
                <w:sz w:val="16"/>
                <w:szCs w:val="16"/>
              </w:rPr>
            </w:pPr>
            <w:r>
              <w:rPr>
                <w:sz w:val="16"/>
                <w:szCs w:val="16"/>
              </w:rPr>
              <w:t>730</w:t>
            </w:r>
            <w:r w:rsidRPr="00F727A9">
              <w:rPr>
                <w:sz w:val="16"/>
                <w:szCs w:val="16"/>
              </w:rPr>
              <w:t xml:space="preserve"> tis. Kč</w:t>
            </w:r>
          </w:p>
        </w:tc>
      </w:tr>
      <w:tr w14:paraId="3AD94F0A" w14:textId="77777777" w:rsidTr="00DE3380">
        <w:tblPrEx>
          <w:tblW w:w="0" w:type="auto"/>
          <w:tblLook w:val="04A0"/>
        </w:tblPrEx>
        <w:tc>
          <w:tcPr>
            <w:tcW w:w="572" w:type="dxa"/>
            <w:vAlign w:val="center"/>
          </w:tcPr>
          <w:p w:rsidR="003742E5" w:rsidRPr="005E5A71" w:rsidP="00DE3380" w14:paraId="511D6E56" w14:textId="77777777">
            <w:pPr>
              <w:jc w:val="center"/>
              <w:rPr>
                <w:rFonts w:cs="Arial"/>
                <w:sz w:val="16"/>
                <w:szCs w:val="16"/>
              </w:rPr>
            </w:pPr>
            <w:r>
              <w:rPr>
                <w:rFonts w:cs="Arial"/>
                <w:sz w:val="16"/>
                <w:szCs w:val="16"/>
              </w:rPr>
              <w:t>5</w:t>
            </w:r>
          </w:p>
        </w:tc>
        <w:tc>
          <w:tcPr>
            <w:tcW w:w="2905" w:type="dxa"/>
            <w:vAlign w:val="center"/>
          </w:tcPr>
          <w:p w:rsidR="003742E5" w:rsidRPr="0090753D" w:rsidP="003742E5" w14:paraId="711EAA9D" w14:textId="77777777">
            <w:pPr>
              <w:rPr>
                <w:sz w:val="16"/>
                <w:szCs w:val="16"/>
              </w:rPr>
            </w:pPr>
            <w:r>
              <w:rPr>
                <w:rFonts w:cs="Arial"/>
                <w:sz w:val="16"/>
                <w:szCs w:val="16"/>
              </w:rPr>
              <w:t>V</w:t>
            </w:r>
            <w:r w:rsidRPr="0090753D">
              <w:rPr>
                <w:rFonts w:cs="Arial"/>
                <w:sz w:val="16"/>
                <w:szCs w:val="16"/>
              </w:rPr>
              <w:t>yšší transparentnost z důvodu jednotnosti podmínek pro všechny KS</w:t>
            </w:r>
          </w:p>
        </w:tc>
        <w:tc>
          <w:tcPr>
            <w:tcW w:w="1352" w:type="dxa"/>
            <w:vAlign w:val="center"/>
          </w:tcPr>
          <w:p w:rsidR="003742E5" w:rsidRPr="0090753D" w:rsidP="00DE3380" w14:paraId="40842CEA" w14:textId="77777777">
            <w:pPr>
              <w:jc w:val="center"/>
              <w:rPr>
                <w:sz w:val="16"/>
                <w:szCs w:val="16"/>
              </w:rPr>
            </w:pPr>
            <w:r w:rsidRPr="0090753D">
              <w:rPr>
                <w:sz w:val="16"/>
                <w:szCs w:val="16"/>
              </w:rPr>
              <w:t>*</w:t>
            </w:r>
          </w:p>
        </w:tc>
        <w:tc>
          <w:tcPr>
            <w:tcW w:w="2605" w:type="dxa"/>
            <w:vAlign w:val="center"/>
          </w:tcPr>
          <w:p w:rsidR="003742E5" w:rsidRPr="0090753D" w:rsidP="00DE3380" w14:paraId="29BBEBCB" w14:textId="77777777">
            <w:pPr>
              <w:jc w:val="center"/>
              <w:rPr>
                <w:sz w:val="16"/>
                <w:szCs w:val="16"/>
              </w:rPr>
            </w:pPr>
          </w:p>
        </w:tc>
        <w:tc>
          <w:tcPr>
            <w:tcW w:w="1628" w:type="dxa"/>
            <w:vAlign w:val="center"/>
          </w:tcPr>
          <w:p w:rsidR="003742E5" w:rsidRPr="00F727A9" w:rsidP="00DE3380" w14:paraId="29519BF8" w14:textId="77777777">
            <w:pPr>
              <w:jc w:val="center"/>
              <w:rPr>
                <w:sz w:val="16"/>
                <w:szCs w:val="16"/>
              </w:rPr>
            </w:pPr>
          </w:p>
        </w:tc>
      </w:tr>
      <w:tr w14:paraId="0862498F" w14:textId="77777777" w:rsidTr="00DE3380">
        <w:tblPrEx>
          <w:tblW w:w="0" w:type="auto"/>
          <w:tblLook w:val="04A0"/>
        </w:tblPrEx>
        <w:tc>
          <w:tcPr>
            <w:tcW w:w="572" w:type="dxa"/>
            <w:vAlign w:val="center"/>
          </w:tcPr>
          <w:p w:rsidR="003742E5" w:rsidP="00DE3380" w14:paraId="3DB9F339" w14:textId="77777777">
            <w:pPr>
              <w:jc w:val="center"/>
              <w:rPr>
                <w:rFonts w:cs="Arial"/>
                <w:sz w:val="16"/>
                <w:szCs w:val="16"/>
              </w:rPr>
            </w:pPr>
            <w:r>
              <w:rPr>
                <w:rFonts w:cs="Arial"/>
                <w:sz w:val="16"/>
                <w:szCs w:val="16"/>
              </w:rPr>
              <w:t>6</w:t>
            </w:r>
          </w:p>
        </w:tc>
        <w:tc>
          <w:tcPr>
            <w:tcW w:w="2905" w:type="dxa"/>
            <w:vAlign w:val="center"/>
          </w:tcPr>
          <w:p w:rsidR="003742E5" w:rsidRPr="0090753D" w:rsidP="00DE3380" w14:paraId="21B49B37" w14:textId="77777777">
            <w:pPr>
              <w:jc w:val="center"/>
              <w:rPr>
                <w:rFonts w:cs="Arial"/>
                <w:sz w:val="16"/>
                <w:szCs w:val="16"/>
              </w:rPr>
            </w:pPr>
          </w:p>
        </w:tc>
        <w:tc>
          <w:tcPr>
            <w:tcW w:w="1352" w:type="dxa"/>
            <w:vAlign w:val="center"/>
          </w:tcPr>
          <w:p w:rsidR="003742E5" w:rsidRPr="0090753D" w:rsidP="00DE3380" w14:paraId="28B347BA" w14:textId="77777777">
            <w:pPr>
              <w:jc w:val="center"/>
              <w:rPr>
                <w:sz w:val="16"/>
                <w:szCs w:val="16"/>
              </w:rPr>
            </w:pPr>
          </w:p>
        </w:tc>
        <w:tc>
          <w:tcPr>
            <w:tcW w:w="2605" w:type="dxa"/>
            <w:vAlign w:val="center"/>
          </w:tcPr>
          <w:p w:rsidR="003742E5" w:rsidRPr="0090753D" w:rsidP="003742E5" w14:paraId="00D36DA3" w14:textId="77777777">
            <w:pPr>
              <w:rPr>
                <w:sz w:val="16"/>
                <w:szCs w:val="16"/>
              </w:rPr>
            </w:pPr>
            <w:r w:rsidRPr="0090753D">
              <w:rPr>
                <w:sz w:val="16"/>
                <w:szCs w:val="16"/>
              </w:rPr>
              <w:t xml:space="preserve">MŽP – administrativní zátěž spojená s kontrolou prokázání dostatečných záruk KS - </w:t>
            </w:r>
            <w:r w:rsidRPr="0090753D">
              <w:rPr>
                <w:rFonts w:cs="Arial"/>
                <w:sz w:val="16"/>
                <w:szCs w:val="16"/>
              </w:rPr>
              <w:t xml:space="preserve">zahrnuto v nákladech na </w:t>
            </w:r>
            <w:r>
              <w:rPr>
                <w:rFonts w:cs="Arial"/>
                <w:sz w:val="16"/>
                <w:szCs w:val="16"/>
              </w:rPr>
              <w:t>žádost o vydání oprávnění (bod 4</w:t>
            </w:r>
            <w:r w:rsidRPr="0090753D">
              <w:rPr>
                <w:rFonts w:cs="Arial"/>
                <w:sz w:val="16"/>
                <w:szCs w:val="16"/>
              </w:rPr>
              <w:t>)</w:t>
            </w:r>
          </w:p>
        </w:tc>
        <w:tc>
          <w:tcPr>
            <w:tcW w:w="1628" w:type="dxa"/>
            <w:vAlign w:val="center"/>
          </w:tcPr>
          <w:p w:rsidR="003742E5" w:rsidRPr="00F727A9" w:rsidP="00DE3380" w14:paraId="4A21A922" w14:textId="77777777">
            <w:pPr>
              <w:jc w:val="center"/>
              <w:rPr>
                <w:sz w:val="16"/>
                <w:szCs w:val="16"/>
              </w:rPr>
            </w:pPr>
          </w:p>
        </w:tc>
      </w:tr>
      <w:tr w14:paraId="0117BC9C" w14:textId="77777777" w:rsidTr="00DE3380">
        <w:tblPrEx>
          <w:tblW w:w="0" w:type="auto"/>
          <w:tblLook w:val="04A0"/>
        </w:tblPrEx>
        <w:tc>
          <w:tcPr>
            <w:tcW w:w="572" w:type="dxa"/>
            <w:vMerge w:val="restart"/>
            <w:vAlign w:val="center"/>
          </w:tcPr>
          <w:p w:rsidR="003742E5" w:rsidRPr="00D27F5A" w:rsidP="00DE3380" w14:paraId="3DACA779" w14:textId="77777777">
            <w:pPr>
              <w:jc w:val="center"/>
              <w:rPr>
                <w:sz w:val="16"/>
                <w:szCs w:val="16"/>
              </w:rPr>
            </w:pPr>
            <w:r>
              <w:rPr>
                <w:sz w:val="16"/>
                <w:szCs w:val="16"/>
              </w:rPr>
              <w:t>7</w:t>
            </w:r>
          </w:p>
        </w:tc>
        <w:tc>
          <w:tcPr>
            <w:tcW w:w="2905" w:type="dxa"/>
            <w:vMerge w:val="restart"/>
            <w:vAlign w:val="center"/>
          </w:tcPr>
          <w:p w:rsidR="003742E5" w:rsidRPr="00D27F5A" w:rsidP="00DE3380" w14:paraId="23A1B376" w14:textId="77777777">
            <w:pPr>
              <w:jc w:val="center"/>
              <w:rPr>
                <w:sz w:val="16"/>
                <w:szCs w:val="16"/>
              </w:rPr>
            </w:pPr>
          </w:p>
        </w:tc>
        <w:tc>
          <w:tcPr>
            <w:tcW w:w="1352" w:type="dxa"/>
            <w:vMerge w:val="restart"/>
            <w:vAlign w:val="center"/>
          </w:tcPr>
          <w:p w:rsidR="003742E5" w:rsidRPr="00D27F5A" w:rsidP="00DE3380" w14:paraId="0D6E7BEE" w14:textId="77777777">
            <w:pPr>
              <w:jc w:val="center"/>
              <w:rPr>
                <w:sz w:val="16"/>
                <w:szCs w:val="16"/>
              </w:rPr>
            </w:pPr>
          </w:p>
        </w:tc>
        <w:tc>
          <w:tcPr>
            <w:tcW w:w="2605" w:type="dxa"/>
            <w:vAlign w:val="center"/>
          </w:tcPr>
          <w:p w:rsidR="003742E5" w:rsidRPr="00D27F5A" w:rsidP="003742E5" w14:paraId="62950691" w14:textId="77777777">
            <w:pPr>
              <w:rPr>
                <w:sz w:val="16"/>
                <w:szCs w:val="16"/>
              </w:rPr>
            </w:pPr>
            <w:r w:rsidRPr="00D27F5A">
              <w:rPr>
                <w:sz w:val="16"/>
                <w:szCs w:val="16"/>
              </w:rPr>
              <w:t xml:space="preserve">MŽP – náklady na komunikaci s MPO </w:t>
            </w:r>
          </w:p>
        </w:tc>
        <w:tc>
          <w:tcPr>
            <w:tcW w:w="1628" w:type="dxa"/>
            <w:vAlign w:val="center"/>
          </w:tcPr>
          <w:p w:rsidR="003742E5" w:rsidRPr="00D27F5A" w:rsidP="00DE3380" w14:paraId="0A29CFDB" w14:textId="77777777">
            <w:pPr>
              <w:jc w:val="center"/>
              <w:rPr>
                <w:sz w:val="16"/>
                <w:szCs w:val="16"/>
              </w:rPr>
            </w:pPr>
            <w:r w:rsidRPr="00D27F5A">
              <w:rPr>
                <w:sz w:val="16"/>
                <w:szCs w:val="16"/>
              </w:rPr>
              <w:t>550 Kč/žádost</w:t>
            </w:r>
          </w:p>
        </w:tc>
      </w:tr>
      <w:tr w14:paraId="0C13D7A5" w14:textId="77777777" w:rsidTr="00DE3380">
        <w:tblPrEx>
          <w:tblW w:w="0" w:type="auto"/>
          <w:tblLook w:val="04A0"/>
        </w:tblPrEx>
        <w:tc>
          <w:tcPr>
            <w:tcW w:w="572" w:type="dxa"/>
            <w:vMerge/>
            <w:vAlign w:val="center"/>
          </w:tcPr>
          <w:p w:rsidR="003742E5" w:rsidRPr="00D27F5A" w:rsidP="00DE3380" w14:paraId="06AB5B0E" w14:textId="77777777">
            <w:pPr>
              <w:jc w:val="center"/>
              <w:rPr>
                <w:sz w:val="16"/>
                <w:szCs w:val="16"/>
              </w:rPr>
            </w:pPr>
          </w:p>
        </w:tc>
        <w:tc>
          <w:tcPr>
            <w:tcW w:w="2905" w:type="dxa"/>
            <w:vMerge/>
            <w:vAlign w:val="center"/>
          </w:tcPr>
          <w:p w:rsidR="003742E5" w:rsidRPr="00D27F5A" w:rsidP="00DE3380" w14:paraId="76D0EC45" w14:textId="77777777">
            <w:pPr>
              <w:jc w:val="center"/>
              <w:rPr>
                <w:sz w:val="16"/>
                <w:szCs w:val="16"/>
              </w:rPr>
            </w:pPr>
          </w:p>
        </w:tc>
        <w:tc>
          <w:tcPr>
            <w:tcW w:w="1352" w:type="dxa"/>
            <w:vMerge/>
            <w:vAlign w:val="center"/>
          </w:tcPr>
          <w:p w:rsidR="003742E5" w:rsidRPr="00D27F5A" w:rsidP="00DE3380" w14:paraId="480503A4" w14:textId="77777777">
            <w:pPr>
              <w:jc w:val="center"/>
              <w:rPr>
                <w:sz w:val="16"/>
                <w:szCs w:val="16"/>
              </w:rPr>
            </w:pPr>
          </w:p>
        </w:tc>
        <w:tc>
          <w:tcPr>
            <w:tcW w:w="2605" w:type="dxa"/>
            <w:vAlign w:val="center"/>
          </w:tcPr>
          <w:p w:rsidR="003742E5" w:rsidRPr="00D27F5A" w:rsidP="003742E5" w14:paraId="03698CD0" w14:textId="77777777">
            <w:pPr>
              <w:rPr>
                <w:sz w:val="16"/>
                <w:szCs w:val="16"/>
              </w:rPr>
            </w:pPr>
            <w:r w:rsidRPr="00D27F5A">
              <w:rPr>
                <w:sz w:val="16"/>
                <w:szCs w:val="16"/>
              </w:rPr>
              <w:t>MPO - náklady na zpracování zaslaných materiálů a vytvoření stanoviska</w:t>
            </w:r>
          </w:p>
        </w:tc>
        <w:tc>
          <w:tcPr>
            <w:tcW w:w="1628" w:type="dxa"/>
            <w:vAlign w:val="center"/>
          </w:tcPr>
          <w:p w:rsidR="003742E5" w:rsidRPr="00D27F5A" w:rsidP="00DE3380" w14:paraId="034BC010" w14:textId="77777777">
            <w:pPr>
              <w:jc w:val="center"/>
              <w:rPr>
                <w:sz w:val="16"/>
                <w:szCs w:val="16"/>
                <w:highlight w:val="yellow"/>
              </w:rPr>
            </w:pPr>
            <w:r w:rsidRPr="00D27F5A">
              <w:rPr>
                <w:sz w:val="16"/>
                <w:szCs w:val="16"/>
              </w:rPr>
              <w:t xml:space="preserve"> 11 700 Kč/žádost</w:t>
            </w:r>
          </w:p>
        </w:tc>
      </w:tr>
      <w:tr w14:paraId="69630AC3" w14:textId="77777777" w:rsidTr="00DE3380">
        <w:tblPrEx>
          <w:tblW w:w="0" w:type="auto"/>
          <w:tblLook w:val="04A0"/>
        </w:tblPrEx>
        <w:tc>
          <w:tcPr>
            <w:tcW w:w="572" w:type="dxa"/>
            <w:vAlign w:val="center"/>
          </w:tcPr>
          <w:p w:rsidR="003742E5" w:rsidRPr="005E5A71" w:rsidP="00DE3380" w14:paraId="70448066" w14:textId="77777777">
            <w:pPr>
              <w:spacing w:before="20" w:after="20"/>
              <w:jc w:val="center"/>
              <w:rPr>
                <w:rFonts w:cs="Arial"/>
                <w:sz w:val="16"/>
                <w:szCs w:val="16"/>
              </w:rPr>
            </w:pPr>
            <w:r>
              <w:rPr>
                <w:rFonts w:cs="Arial"/>
                <w:sz w:val="16"/>
                <w:szCs w:val="16"/>
              </w:rPr>
              <w:t>8</w:t>
            </w:r>
          </w:p>
        </w:tc>
        <w:tc>
          <w:tcPr>
            <w:tcW w:w="2905" w:type="dxa"/>
            <w:vAlign w:val="center"/>
          </w:tcPr>
          <w:p w:rsidR="003742E5" w:rsidRPr="0090753D" w:rsidP="003742E5" w14:paraId="0EFEC761" w14:textId="77777777">
            <w:pPr>
              <w:rPr>
                <w:sz w:val="16"/>
                <w:szCs w:val="16"/>
              </w:rPr>
            </w:pPr>
            <w:r w:rsidRPr="0090753D">
              <w:rPr>
                <w:sz w:val="16"/>
                <w:szCs w:val="16"/>
              </w:rPr>
              <w:t>Zamezení infringementu</w:t>
            </w:r>
          </w:p>
        </w:tc>
        <w:tc>
          <w:tcPr>
            <w:tcW w:w="1352" w:type="dxa"/>
            <w:vAlign w:val="center"/>
          </w:tcPr>
          <w:p w:rsidR="003742E5" w:rsidRPr="0090753D" w:rsidP="00DE3380" w14:paraId="5F338205" w14:textId="77777777">
            <w:pPr>
              <w:jc w:val="center"/>
              <w:rPr>
                <w:sz w:val="16"/>
                <w:szCs w:val="16"/>
              </w:rPr>
            </w:pPr>
            <w:r w:rsidRPr="0090753D">
              <w:rPr>
                <w:sz w:val="16"/>
                <w:szCs w:val="16"/>
              </w:rPr>
              <w:t>*****</w:t>
            </w:r>
          </w:p>
        </w:tc>
        <w:tc>
          <w:tcPr>
            <w:tcW w:w="2605" w:type="dxa"/>
            <w:vAlign w:val="center"/>
          </w:tcPr>
          <w:p w:rsidR="003742E5" w:rsidRPr="0090753D" w:rsidP="00DE3380" w14:paraId="560FD2FB" w14:textId="77777777">
            <w:pPr>
              <w:jc w:val="center"/>
              <w:rPr>
                <w:sz w:val="16"/>
                <w:szCs w:val="16"/>
              </w:rPr>
            </w:pPr>
          </w:p>
        </w:tc>
        <w:tc>
          <w:tcPr>
            <w:tcW w:w="1628" w:type="dxa"/>
            <w:vAlign w:val="center"/>
          </w:tcPr>
          <w:p w:rsidR="003742E5" w:rsidRPr="00F727A9" w:rsidP="00DE3380" w14:paraId="381DC6DE" w14:textId="77777777">
            <w:pPr>
              <w:jc w:val="center"/>
              <w:rPr>
                <w:sz w:val="16"/>
                <w:szCs w:val="16"/>
              </w:rPr>
            </w:pPr>
          </w:p>
        </w:tc>
      </w:tr>
      <w:tr w14:paraId="7AB88CF9" w14:textId="77777777" w:rsidTr="00DE3380">
        <w:tblPrEx>
          <w:tblW w:w="0" w:type="auto"/>
          <w:tblLook w:val="04A0"/>
        </w:tblPrEx>
        <w:tc>
          <w:tcPr>
            <w:tcW w:w="572" w:type="dxa"/>
            <w:vAlign w:val="center"/>
          </w:tcPr>
          <w:p w:rsidR="003742E5" w:rsidRPr="006A4FFE" w:rsidP="00DE3380" w14:paraId="17A0CC0F" w14:textId="77777777">
            <w:pPr>
              <w:jc w:val="center"/>
              <w:rPr>
                <w:sz w:val="16"/>
                <w:szCs w:val="16"/>
              </w:rPr>
            </w:pPr>
            <w:r>
              <w:rPr>
                <w:sz w:val="16"/>
                <w:szCs w:val="16"/>
              </w:rPr>
              <w:t>10</w:t>
            </w:r>
          </w:p>
        </w:tc>
        <w:tc>
          <w:tcPr>
            <w:tcW w:w="2905" w:type="dxa"/>
            <w:vAlign w:val="center"/>
          </w:tcPr>
          <w:p w:rsidR="003742E5" w:rsidRPr="0090753D" w:rsidP="003742E5" w14:paraId="0EC12089" w14:textId="77777777">
            <w:pPr>
              <w:rPr>
                <w:sz w:val="16"/>
                <w:szCs w:val="16"/>
              </w:rPr>
            </w:pPr>
            <w:r w:rsidRPr="0090753D">
              <w:rPr>
                <w:sz w:val="16"/>
                <w:szCs w:val="16"/>
              </w:rPr>
              <w:t>Možnost optimalizace sběru</w:t>
            </w:r>
          </w:p>
        </w:tc>
        <w:tc>
          <w:tcPr>
            <w:tcW w:w="1352" w:type="dxa"/>
            <w:vAlign w:val="center"/>
          </w:tcPr>
          <w:p w:rsidR="003742E5" w:rsidRPr="0090753D" w:rsidP="00DE3380" w14:paraId="2209ED61" w14:textId="77777777">
            <w:pPr>
              <w:jc w:val="center"/>
              <w:rPr>
                <w:sz w:val="16"/>
                <w:szCs w:val="16"/>
              </w:rPr>
            </w:pPr>
            <w:r w:rsidRPr="0090753D">
              <w:rPr>
                <w:sz w:val="16"/>
                <w:szCs w:val="16"/>
              </w:rPr>
              <w:t>**</w:t>
            </w:r>
          </w:p>
        </w:tc>
        <w:tc>
          <w:tcPr>
            <w:tcW w:w="2605" w:type="dxa"/>
            <w:vAlign w:val="center"/>
          </w:tcPr>
          <w:p w:rsidR="003742E5" w:rsidRPr="0090753D" w:rsidP="003742E5" w14:paraId="71E47242" w14:textId="77777777">
            <w:pPr>
              <w:rPr>
                <w:sz w:val="16"/>
                <w:szCs w:val="16"/>
              </w:rPr>
            </w:pPr>
            <w:r>
              <w:rPr>
                <w:rFonts w:cs="Arial"/>
                <w:sz w:val="16"/>
                <w:szCs w:val="16"/>
              </w:rPr>
              <w:t>N</w:t>
            </w:r>
            <w:r w:rsidRPr="0090753D">
              <w:rPr>
                <w:rFonts w:cs="Arial"/>
                <w:sz w:val="16"/>
                <w:szCs w:val="16"/>
              </w:rPr>
              <w:t>áklady pro MŽP spojené s dodatečnou kontrolou zejména v případě povolení clearingu</w:t>
            </w:r>
          </w:p>
        </w:tc>
        <w:tc>
          <w:tcPr>
            <w:tcW w:w="1628" w:type="dxa"/>
            <w:vAlign w:val="center"/>
          </w:tcPr>
          <w:p w:rsidR="003742E5" w:rsidRPr="00F727A9" w:rsidP="00DE3380" w14:paraId="64004DE1" w14:textId="77777777">
            <w:pPr>
              <w:jc w:val="center"/>
              <w:rPr>
                <w:sz w:val="16"/>
                <w:szCs w:val="16"/>
              </w:rPr>
            </w:pPr>
            <w:r>
              <w:rPr>
                <w:sz w:val="16"/>
                <w:szCs w:val="16"/>
              </w:rPr>
              <w:t>*</w:t>
            </w:r>
          </w:p>
        </w:tc>
      </w:tr>
      <w:tr w14:paraId="79594B6B" w14:textId="77777777" w:rsidTr="00DE3380">
        <w:tblPrEx>
          <w:tblW w:w="0" w:type="auto"/>
          <w:tblLook w:val="04A0"/>
        </w:tblPrEx>
        <w:tc>
          <w:tcPr>
            <w:tcW w:w="572" w:type="dxa"/>
            <w:vAlign w:val="center"/>
          </w:tcPr>
          <w:p w:rsidR="003742E5" w:rsidRPr="006A4FFE" w:rsidP="00DE3380" w14:paraId="15051D4D" w14:textId="77777777">
            <w:pPr>
              <w:jc w:val="center"/>
              <w:rPr>
                <w:sz w:val="16"/>
                <w:szCs w:val="16"/>
              </w:rPr>
            </w:pPr>
            <w:r>
              <w:rPr>
                <w:sz w:val="16"/>
                <w:szCs w:val="16"/>
              </w:rPr>
              <w:t>11</w:t>
            </w:r>
          </w:p>
        </w:tc>
        <w:tc>
          <w:tcPr>
            <w:tcW w:w="2905" w:type="dxa"/>
            <w:vAlign w:val="center"/>
          </w:tcPr>
          <w:p w:rsidR="003742E5" w:rsidRPr="0090753D" w:rsidP="003742E5" w14:paraId="0041DBBB" w14:textId="77777777">
            <w:pPr>
              <w:rPr>
                <w:sz w:val="16"/>
                <w:szCs w:val="16"/>
              </w:rPr>
            </w:pPr>
            <w:r>
              <w:rPr>
                <w:sz w:val="16"/>
                <w:szCs w:val="16"/>
              </w:rPr>
              <w:t>P</w:t>
            </w:r>
            <w:r w:rsidRPr="0090753D">
              <w:rPr>
                <w:sz w:val="16"/>
                <w:szCs w:val="16"/>
              </w:rPr>
              <w:t>růběžná kontrola KS- informace pro</w:t>
            </w:r>
            <w:r>
              <w:rPr>
                <w:sz w:val="16"/>
                <w:szCs w:val="16"/>
              </w:rPr>
              <w:t> </w:t>
            </w:r>
            <w:r w:rsidRPr="0090753D">
              <w:rPr>
                <w:sz w:val="16"/>
                <w:szCs w:val="16"/>
              </w:rPr>
              <w:t xml:space="preserve">MŽP </w:t>
            </w:r>
          </w:p>
        </w:tc>
        <w:tc>
          <w:tcPr>
            <w:tcW w:w="1352" w:type="dxa"/>
            <w:vAlign w:val="center"/>
          </w:tcPr>
          <w:p w:rsidR="003742E5" w:rsidRPr="0090753D" w:rsidP="00DE3380" w14:paraId="799756B8" w14:textId="77777777">
            <w:pPr>
              <w:jc w:val="center"/>
              <w:rPr>
                <w:sz w:val="16"/>
                <w:szCs w:val="16"/>
              </w:rPr>
            </w:pPr>
            <w:r w:rsidRPr="0090753D">
              <w:rPr>
                <w:sz w:val="16"/>
                <w:szCs w:val="16"/>
              </w:rPr>
              <w:t>****</w:t>
            </w:r>
          </w:p>
        </w:tc>
        <w:tc>
          <w:tcPr>
            <w:tcW w:w="2605" w:type="dxa"/>
            <w:vAlign w:val="center"/>
          </w:tcPr>
          <w:p w:rsidR="003742E5" w:rsidRPr="0090753D" w:rsidP="003742E5" w14:paraId="3DE6BD1E" w14:textId="77777777">
            <w:pPr>
              <w:rPr>
                <w:rFonts w:cs="Arial"/>
                <w:sz w:val="16"/>
                <w:szCs w:val="16"/>
              </w:rPr>
            </w:pPr>
          </w:p>
        </w:tc>
        <w:tc>
          <w:tcPr>
            <w:tcW w:w="1628" w:type="dxa"/>
            <w:vAlign w:val="center"/>
          </w:tcPr>
          <w:p w:rsidR="003742E5" w:rsidRPr="00F727A9" w:rsidP="00DE3380" w14:paraId="57F1FBE4" w14:textId="77777777">
            <w:pPr>
              <w:jc w:val="center"/>
              <w:rPr>
                <w:sz w:val="16"/>
                <w:szCs w:val="16"/>
              </w:rPr>
            </w:pPr>
          </w:p>
        </w:tc>
      </w:tr>
      <w:tr w14:paraId="0DFA1C7C" w14:textId="77777777" w:rsidTr="00DE3380">
        <w:tblPrEx>
          <w:tblW w:w="0" w:type="auto"/>
          <w:tblLook w:val="04A0"/>
        </w:tblPrEx>
        <w:tc>
          <w:tcPr>
            <w:tcW w:w="572" w:type="dxa"/>
            <w:vMerge w:val="restart"/>
            <w:vAlign w:val="center"/>
          </w:tcPr>
          <w:p w:rsidR="003742E5" w:rsidRPr="00D27F5A" w:rsidP="00DE3380" w14:paraId="71AF2FCB" w14:textId="77777777">
            <w:pPr>
              <w:jc w:val="center"/>
              <w:rPr>
                <w:sz w:val="16"/>
                <w:szCs w:val="16"/>
              </w:rPr>
            </w:pPr>
            <w:r>
              <w:rPr>
                <w:sz w:val="16"/>
                <w:szCs w:val="16"/>
              </w:rPr>
              <w:t>12</w:t>
            </w:r>
          </w:p>
        </w:tc>
        <w:tc>
          <w:tcPr>
            <w:tcW w:w="2905" w:type="dxa"/>
            <w:vAlign w:val="center"/>
          </w:tcPr>
          <w:p w:rsidR="003742E5" w:rsidRPr="00D27F5A" w:rsidP="003742E5" w14:paraId="68C97C8C" w14:textId="77777777">
            <w:pPr>
              <w:rPr>
                <w:sz w:val="16"/>
                <w:szCs w:val="16"/>
              </w:rPr>
            </w:pPr>
            <w:r w:rsidRPr="00D27F5A">
              <w:rPr>
                <w:sz w:val="16"/>
                <w:szCs w:val="16"/>
              </w:rPr>
              <w:t>Transparetnost systému</w:t>
            </w:r>
          </w:p>
        </w:tc>
        <w:tc>
          <w:tcPr>
            <w:tcW w:w="1352" w:type="dxa"/>
            <w:vAlign w:val="center"/>
          </w:tcPr>
          <w:p w:rsidR="003742E5" w:rsidRPr="0090753D" w:rsidP="00DE3380" w14:paraId="14BC062A" w14:textId="77777777">
            <w:pPr>
              <w:jc w:val="center"/>
              <w:rPr>
                <w:sz w:val="16"/>
                <w:szCs w:val="16"/>
              </w:rPr>
            </w:pPr>
            <w:r w:rsidRPr="0090753D">
              <w:rPr>
                <w:sz w:val="16"/>
                <w:szCs w:val="16"/>
              </w:rPr>
              <w:t>****</w:t>
            </w:r>
          </w:p>
        </w:tc>
        <w:tc>
          <w:tcPr>
            <w:tcW w:w="2605" w:type="dxa"/>
            <w:vAlign w:val="center"/>
          </w:tcPr>
          <w:p w:rsidR="003742E5" w:rsidRPr="0090753D" w:rsidP="003742E5" w14:paraId="0C45440A" w14:textId="77777777">
            <w:pPr>
              <w:rPr>
                <w:rFonts w:cs="Arial"/>
                <w:sz w:val="16"/>
                <w:szCs w:val="16"/>
              </w:rPr>
            </w:pPr>
            <w:r w:rsidRPr="0090753D">
              <w:rPr>
                <w:rFonts w:cs="Arial"/>
                <w:sz w:val="16"/>
                <w:szCs w:val="16"/>
              </w:rPr>
              <w:t xml:space="preserve">MŽP - náklady na monitorování plnění povinností KS </w:t>
            </w:r>
          </w:p>
        </w:tc>
        <w:tc>
          <w:tcPr>
            <w:tcW w:w="1628" w:type="dxa"/>
            <w:vAlign w:val="center"/>
          </w:tcPr>
          <w:p w:rsidR="003742E5" w:rsidRPr="00F727A9" w:rsidP="00DE3380" w14:paraId="584FF1BF" w14:textId="77777777">
            <w:pPr>
              <w:jc w:val="center"/>
              <w:rPr>
                <w:sz w:val="16"/>
                <w:szCs w:val="16"/>
              </w:rPr>
            </w:pPr>
            <w:r>
              <w:rPr>
                <w:sz w:val="16"/>
                <w:szCs w:val="16"/>
              </w:rPr>
              <w:t>**</w:t>
            </w:r>
          </w:p>
        </w:tc>
      </w:tr>
      <w:tr w14:paraId="6D81B1C8" w14:textId="77777777" w:rsidTr="00DE3380">
        <w:tblPrEx>
          <w:tblW w:w="0" w:type="auto"/>
          <w:tblLook w:val="04A0"/>
        </w:tblPrEx>
        <w:tc>
          <w:tcPr>
            <w:tcW w:w="572" w:type="dxa"/>
            <w:vMerge/>
            <w:vAlign w:val="center"/>
          </w:tcPr>
          <w:p w:rsidR="003742E5" w:rsidRPr="00D27F5A" w:rsidP="00DE3380" w14:paraId="4F236A55" w14:textId="77777777">
            <w:pPr>
              <w:jc w:val="center"/>
              <w:rPr>
                <w:sz w:val="16"/>
                <w:szCs w:val="16"/>
              </w:rPr>
            </w:pPr>
          </w:p>
        </w:tc>
        <w:tc>
          <w:tcPr>
            <w:tcW w:w="2905" w:type="dxa"/>
            <w:vAlign w:val="center"/>
          </w:tcPr>
          <w:p w:rsidR="003742E5" w:rsidRPr="00D27F5A" w:rsidP="003742E5" w14:paraId="1CB31BF1" w14:textId="77777777">
            <w:pPr>
              <w:rPr>
                <w:sz w:val="16"/>
                <w:szCs w:val="16"/>
              </w:rPr>
            </w:pPr>
            <w:r w:rsidRPr="00D27F5A">
              <w:rPr>
                <w:sz w:val="16"/>
                <w:szCs w:val="16"/>
              </w:rPr>
              <w:t>Možnost sankcí vůči KS neplnícímu stanovené povinnosti</w:t>
            </w:r>
          </w:p>
        </w:tc>
        <w:tc>
          <w:tcPr>
            <w:tcW w:w="1352" w:type="dxa"/>
            <w:vAlign w:val="center"/>
          </w:tcPr>
          <w:p w:rsidR="003742E5" w:rsidRPr="0090753D" w:rsidP="00DE3380" w14:paraId="1E43B6F5" w14:textId="77777777">
            <w:pPr>
              <w:jc w:val="center"/>
              <w:rPr>
                <w:sz w:val="16"/>
                <w:szCs w:val="16"/>
              </w:rPr>
            </w:pPr>
            <w:r w:rsidRPr="0090753D">
              <w:rPr>
                <w:sz w:val="16"/>
                <w:szCs w:val="16"/>
              </w:rPr>
              <w:t>****</w:t>
            </w:r>
          </w:p>
        </w:tc>
        <w:tc>
          <w:tcPr>
            <w:tcW w:w="2605" w:type="dxa"/>
            <w:vAlign w:val="center"/>
          </w:tcPr>
          <w:p w:rsidR="003742E5" w:rsidRPr="0090753D" w:rsidP="003742E5" w14:paraId="26CE96A5" w14:textId="77777777">
            <w:pPr>
              <w:rPr>
                <w:rFonts w:cs="Arial"/>
                <w:sz w:val="16"/>
                <w:szCs w:val="16"/>
              </w:rPr>
            </w:pPr>
            <w:r w:rsidRPr="0090753D">
              <w:rPr>
                <w:sz w:val="16"/>
                <w:szCs w:val="16"/>
              </w:rPr>
              <w:t>MŽP - náklady na případné správní řízení o odebrání oprávnění k provozování KS</w:t>
            </w:r>
          </w:p>
        </w:tc>
        <w:tc>
          <w:tcPr>
            <w:tcW w:w="1628" w:type="dxa"/>
            <w:vAlign w:val="center"/>
          </w:tcPr>
          <w:p w:rsidR="003742E5" w:rsidRPr="00F727A9" w:rsidP="00DE3380" w14:paraId="5E75EFE9" w14:textId="77777777">
            <w:pPr>
              <w:jc w:val="center"/>
              <w:rPr>
                <w:sz w:val="16"/>
                <w:szCs w:val="16"/>
              </w:rPr>
            </w:pPr>
            <w:r>
              <w:rPr>
                <w:sz w:val="16"/>
                <w:szCs w:val="16"/>
              </w:rPr>
              <w:t>55</w:t>
            </w:r>
            <w:r w:rsidRPr="00F727A9">
              <w:rPr>
                <w:sz w:val="16"/>
                <w:szCs w:val="16"/>
              </w:rPr>
              <w:t xml:space="preserve"> tis. Kč</w:t>
            </w:r>
          </w:p>
        </w:tc>
      </w:tr>
      <w:tr w14:paraId="740FE116" w14:textId="77777777" w:rsidTr="00DE3380">
        <w:tblPrEx>
          <w:tblW w:w="0" w:type="auto"/>
          <w:tblLook w:val="04A0"/>
        </w:tblPrEx>
        <w:tc>
          <w:tcPr>
            <w:tcW w:w="572" w:type="dxa"/>
            <w:vMerge/>
            <w:vAlign w:val="center"/>
          </w:tcPr>
          <w:p w:rsidR="003742E5" w:rsidRPr="00D27F5A" w:rsidP="00DE3380" w14:paraId="238E3454" w14:textId="77777777">
            <w:pPr>
              <w:jc w:val="center"/>
              <w:rPr>
                <w:sz w:val="16"/>
                <w:szCs w:val="16"/>
              </w:rPr>
            </w:pPr>
          </w:p>
        </w:tc>
        <w:tc>
          <w:tcPr>
            <w:tcW w:w="2905" w:type="dxa"/>
            <w:vAlign w:val="center"/>
          </w:tcPr>
          <w:p w:rsidR="003742E5" w:rsidRPr="00D27F5A" w:rsidP="003742E5" w14:paraId="217A38EF" w14:textId="77777777">
            <w:pPr>
              <w:rPr>
                <w:sz w:val="16"/>
                <w:szCs w:val="16"/>
              </w:rPr>
            </w:pPr>
            <w:r w:rsidRPr="00D27F5A">
              <w:rPr>
                <w:sz w:val="16"/>
                <w:szCs w:val="16"/>
              </w:rPr>
              <w:t>Snížení rizika infringementu za neplnění cílů sběru</w:t>
            </w:r>
          </w:p>
        </w:tc>
        <w:tc>
          <w:tcPr>
            <w:tcW w:w="1352" w:type="dxa"/>
            <w:vAlign w:val="center"/>
          </w:tcPr>
          <w:p w:rsidR="003742E5" w:rsidRPr="0090753D" w:rsidP="00DE3380" w14:paraId="68E6E810" w14:textId="77777777">
            <w:pPr>
              <w:jc w:val="center"/>
              <w:rPr>
                <w:sz w:val="16"/>
                <w:szCs w:val="16"/>
              </w:rPr>
            </w:pPr>
            <w:r w:rsidRPr="0090753D">
              <w:rPr>
                <w:sz w:val="16"/>
                <w:szCs w:val="16"/>
              </w:rPr>
              <w:t>*****</w:t>
            </w:r>
          </w:p>
        </w:tc>
        <w:tc>
          <w:tcPr>
            <w:tcW w:w="2605" w:type="dxa"/>
            <w:vAlign w:val="center"/>
          </w:tcPr>
          <w:p w:rsidR="003742E5" w:rsidRPr="0090753D" w:rsidP="00DE3380" w14:paraId="7D619356" w14:textId="77777777">
            <w:pPr>
              <w:jc w:val="center"/>
              <w:rPr>
                <w:sz w:val="16"/>
                <w:szCs w:val="16"/>
              </w:rPr>
            </w:pPr>
          </w:p>
        </w:tc>
        <w:tc>
          <w:tcPr>
            <w:tcW w:w="1628" w:type="dxa"/>
            <w:vAlign w:val="center"/>
          </w:tcPr>
          <w:p w:rsidR="003742E5" w:rsidRPr="00F727A9" w:rsidP="00DE3380" w14:paraId="235E4F2B" w14:textId="77777777">
            <w:pPr>
              <w:jc w:val="center"/>
              <w:rPr>
                <w:sz w:val="16"/>
                <w:szCs w:val="16"/>
              </w:rPr>
            </w:pPr>
          </w:p>
        </w:tc>
      </w:tr>
      <w:tr w14:paraId="50EC33F6" w14:textId="77777777" w:rsidTr="00DE3380">
        <w:tblPrEx>
          <w:tblW w:w="0" w:type="auto"/>
          <w:tblLook w:val="04A0"/>
        </w:tblPrEx>
        <w:tc>
          <w:tcPr>
            <w:tcW w:w="572" w:type="dxa"/>
            <w:vAlign w:val="center"/>
          </w:tcPr>
          <w:p w:rsidR="003742E5" w:rsidP="00DE3380" w14:paraId="203AF93D" w14:textId="77777777">
            <w:pPr>
              <w:jc w:val="center"/>
              <w:rPr>
                <w:sz w:val="16"/>
                <w:szCs w:val="16"/>
              </w:rPr>
            </w:pPr>
            <w:r>
              <w:rPr>
                <w:sz w:val="16"/>
                <w:szCs w:val="16"/>
              </w:rPr>
              <w:t>13</w:t>
            </w:r>
          </w:p>
        </w:tc>
        <w:tc>
          <w:tcPr>
            <w:tcW w:w="2905" w:type="dxa"/>
            <w:vAlign w:val="center"/>
          </w:tcPr>
          <w:p w:rsidR="003742E5" w:rsidRPr="002E710D" w:rsidP="003742E5" w14:paraId="11785089" w14:textId="77777777">
            <w:pPr>
              <w:rPr>
                <w:sz w:val="16"/>
                <w:szCs w:val="16"/>
              </w:rPr>
            </w:pPr>
            <w:r w:rsidRPr="002E710D">
              <w:rPr>
                <w:sz w:val="16"/>
                <w:szCs w:val="16"/>
              </w:rPr>
              <w:t>SFŽP - finanční prostředky z rezervy KS (v případě jeho zániku) na</w:t>
            </w:r>
            <w:r>
              <w:rPr>
                <w:sz w:val="16"/>
                <w:szCs w:val="16"/>
              </w:rPr>
              <w:t> </w:t>
            </w:r>
            <w:r w:rsidRPr="002E710D">
              <w:rPr>
                <w:sz w:val="16"/>
                <w:szCs w:val="16"/>
              </w:rPr>
              <w:t xml:space="preserve">zajištění nakládání s VUŽ </w:t>
            </w:r>
          </w:p>
        </w:tc>
        <w:tc>
          <w:tcPr>
            <w:tcW w:w="1352" w:type="dxa"/>
            <w:vAlign w:val="center"/>
          </w:tcPr>
          <w:p w:rsidR="003742E5" w:rsidRPr="002E710D" w:rsidP="00DE3380" w14:paraId="4FB65429" w14:textId="77777777">
            <w:pPr>
              <w:jc w:val="center"/>
              <w:rPr>
                <w:sz w:val="16"/>
                <w:szCs w:val="16"/>
              </w:rPr>
            </w:pPr>
            <w:r w:rsidRPr="002E710D">
              <w:rPr>
                <w:sz w:val="16"/>
                <w:szCs w:val="16"/>
              </w:rPr>
              <w:t>***</w:t>
            </w:r>
          </w:p>
        </w:tc>
        <w:tc>
          <w:tcPr>
            <w:tcW w:w="2605" w:type="dxa"/>
            <w:vAlign w:val="center"/>
          </w:tcPr>
          <w:p w:rsidR="003742E5" w:rsidRPr="0090753D" w:rsidP="00DE3380" w14:paraId="20C7922C" w14:textId="77777777">
            <w:pPr>
              <w:jc w:val="center"/>
              <w:rPr>
                <w:sz w:val="16"/>
                <w:szCs w:val="16"/>
              </w:rPr>
            </w:pPr>
          </w:p>
        </w:tc>
        <w:tc>
          <w:tcPr>
            <w:tcW w:w="1628" w:type="dxa"/>
            <w:vAlign w:val="center"/>
          </w:tcPr>
          <w:p w:rsidR="003742E5" w:rsidRPr="00F727A9" w:rsidP="00DE3380" w14:paraId="233F5D54" w14:textId="77777777">
            <w:pPr>
              <w:jc w:val="center"/>
              <w:rPr>
                <w:sz w:val="16"/>
                <w:szCs w:val="16"/>
              </w:rPr>
            </w:pPr>
          </w:p>
        </w:tc>
      </w:tr>
      <w:tr w14:paraId="33EF8703" w14:textId="77777777" w:rsidTr="00DE3380">
        <w:tblPrEx>
          <w:tblW w:w="0" w:type="auto"/>
          <w:tblLook w:val="04A0"/>
        </w:tblPrEx>
        <w:tc>
          <w:tcPr>
            <w:tcW w:w="572" w:type="dxa"/>
            <w:vAlign w:val="center"/>
          </w:tcPr>
          <w:p w:rsidR="003742E5" w:rsidP="00DE3380" w14:paraId="1092330C" w14:textId="77777777">
            <w:pPr>
              <w:jc w:val="center"/>
              <w:rPr>
                <w:sz w:val="16"/>
                <w:szCs w:val="16"/>
              </w:rPr>
            </w:pPr>
            <w:r>
              <w:rPr>
                <w:sz w:val="16"/>
                <w:szCs w:val="16"/>
              </w:rPr>
              <w:t>15</w:t>
            </w:r>
          </w:p>
        </w:tc>
        <w:tc>
          <w:tcPr>
            <w:tcW w:w="2905" w:type="dxa"/>
            <w:vAlign w:val="center"/>
          </w:tcPr>
          <w:p w:rsidR="003742E5" w:rsidRPr="002E710D" w:rsidP="003742E5" w14:paraId="53BCFC32" w14:textId="77777777">
            <w:pPr>
              <w:rPr>
                <w:sz w:val="16"/>
                <w:szCs w:val="16"/>
              </w:rPr>
            </w:pPr>
            <w:r w:rsidRPr="002E710D">
              <w:rPr>
                <w:sz w:val="16"/>
                <w:szCs w:val="16"/>
              </w:rPr>
              <w:t>Vymahatelnost zákonných požadavků rozšířené odpovědnosti výrobců EEZ</w:t>
            </w:r>
          </w:p>
        </w:tc>
        <w:tc>
          <w:tcPr>
            <w:tcW w:w="1352" w:type="dxa"/>
            <w:vAlign w:val="center"/>
          </w:tcPr>
          <w:p w:rsidR="003742E5" w:rsidRPr="002E710D" w:rsidP="00DE3380" w14:paraId="1423E3C8" w14:textId="77777777">
            <w:pPr>
              <w:jc w:val="center"/>
              <w:rPr>
                <w:sz w:val="16"/>
                <w:szCs w:val="16"/>
              </w:rPr>
            </w:pPr>
            <w:r w:rsidRPr="002E710D">
              <w:rPr>
                <w:sz w:val="16"/>
                <w:szCs w:val="16"/>
              </w:rPr>
              <w:t>***</w:t>
            </w:r>
          </w:p>
        </w:tc>
        <w:tc>
          <w:tcPr>
            <w:tcW w:w="2605" w:type="dxa"/>
            <w:vAlign w:val="center"/>
          </w:tcPr>
          <w:p w:rsidR="003742E5" w:rsidRPr="002E710D" w:rsidP="003742E5" w14:paraId="3FE62C6C" w14:textId="77777777">
            <w:pPr>
              <w:rPr>
                <w:sz w:val="16"/>
                <w:szCs w:val="16"/>
              </w:rPr>
            </w:pPr>
            <w:r w:rsidRPr="002E710D">
              <w:rPr>
                <w:sz w:val="16"/>
                <w:szCs w:val="16"/>
              </w:rPr>
              <w:t>MŽP - vydávání Seznamu nepovolených internetových obchodů EEZ</w:t>
            </w:r>
          </w:p>
        </w:tc>
        <w:tc>
          <w:tcPr>
            <w:tcW w:w="1628" w:type="dxa"/>
            <w:vAlign w:val="center"/>
          </w:tcPr>
          <w:p w:rsidR="003742E5" w:rsidRPr="002E710D" w:rsidP="00DE3380" w14:paraId="7C4310FC" w14:textId="77777777">
            <w:pPr>
              <w:jc w:val="center"/>
              <w:rPr>
                <w:sz w:val="16"/>
                <w:szCs w:val="16"/>
              </w:rPr>
            </w:pPr>
            <w:r w:rsidRPr="002E710D">
              <w:rPr>
                <w:sz w:val="16"/>
                <w:szCs w:val="16"/>
              </w:rPr>
              <w:t>*</w:t>
            </w:r>
          </w:p>
        </w:tc>
      </w:tr>
      <w:tr w14:paraId="35A31EA5" w14:textId="77777777" w:rsidTr="00DE3380">
        <w:tblPrEx>
          <w:tblW w:w="0" w:type="auto"/>
          <w:tblLook w:val="04A0"/>
        </w:tblPrEx>
        <w:tc>
          <w:tcPr>
            <w:tcW w:w="572" w:type="dxa"/>
            <w:vAlign w:val="center"/>
          </w:tcPr>
          <w:p w:rsidR="003742E5" w:rsidRPr="005E5A71" w:rsidP="00DE3380" w14:paraId="071B547C" w14:textId="77777777">
            <w:pPr>
              <w:jc w:val="center"/>
              <w:rPr>
                <w:sz w:val="16"/>
                <w:szCs w:val="16"/>
              </w:rPr>
            </w:pPr>
            <w:r>
              <w:rPr>
                <w:sz w:val="16"/>
                <w:szCs w:val="16"/>
              </w:rPr>
              <w:t>16</w:t>
            </w:r>
          </w:p>
        </w:tc>
        <w:tc>
          <w:tcPr>
            <w:tcW w:w="2905" w:type="dxa"/>
            <w:vAlign w:val="center"/>
          </w:tcPr>
          <w:p w:rsidR="003742E5" w:rsidRPr="0090753D" w:rsidP="003742E5" w14:paraId="3E84DD15" w14:textId="77777777">
            <w:pPr>
              <w:rPr>
                <w:sz w:val="16"/>
                <w:szCs w:val="16"/>
              </w:rPr>
            </w:pPr>
            <w:r w:rsidRPr="0090753D">
              <w:rPr>
                <w:sz w:val="16"/>
                <w:szCs w:val="16"/>
              </w:rPr>
              <w:t>Snížení rizika infringementu za</w:t>
            </w:r>
            <w:r>
              <w:rPr>
                <w:sz w:val="16"/>
                <w:szCs w:val="16"/>
              </w:rPr>
              <w:t> </w:t>
            </w:r>
            <w:r w:rsidRPr="0090753D">
              <w:rPr>
                <w:sz w:val="16"/>
                <w:szCs w:val="16"/>
              </w:rPr>
              <w:t>neplnění cílů sběru EEZ</w:t>
            </w:r>
          </w:p>
        </w:tc>
        <w:tc>
          <w:tcPr>
            <w:tcW w:w="1352" w:type="dxa"/>
            <w:vAlign w:val="center"/>
          </w:tcPr>
          <w:p w:rsidR="003742E5" w:rsidRPr="0090753D" w:rsidP="00DE3380" w14:paraId="0A2245C6" w14:textId="77777777">
            <w:pPr>
              <w:jc w:val="center"/>
              <w:rPr>
                <w:sz w:val="16"/>
                <w:szCs w:val="16"/>
              </w:rPr>
            </w:pPr>
            <w:r w:rsidRPr="0090753D">
              <w:rPr>
                <w:sz w:val="16"/>
                <w:szCs w:val="16"/>
              </w:rPr>
              <w:t>*****</w:t>
            </w:r>
          </w:p>
        </w:tc>
        <w:tc>
          <w:tcPr>
            <w:tcW w:w="2605" w:type="dxa"/>
            <w:vAlign w:val="center"/>
          </w:tcPr>
          <w:p w:rsidR="003742E5" w:rsidRPr="0090753D" w:rsidP="00DE3380" w14:paraId="5FDB79EB" w14:textId="77777777">
            <w:pPr>
              <w:jc w:val="center"/>
              <w:rPr>
                <w:sz w:val="16"/>
                <w:szCs w:val="16"/>
              </w:rPr>
            </w:pPr>
          </w:p>
        </w:tc>
        <w:tc>
          <w:tcPr>
            <w:tcW w:w="1628" w:type="dxa"/>
            <w:vAlign w:val="center"/>
          </w:tcPr>
          <w:p w:rsidR="003742E5" w:rsidRPr="00F727A9" w:rsidP="00DE3380" w14:paraId="01E12708" w14:textId="77777777">
            <w:pPr>
              <w:jc w:val="center"/>
              <w:rPr>
                <w:sz w:val="16"/>
                <w:szCs w:val="16"/>
              </w:rPr>
            </w:pPr>
          </w:p>
        </w:tc>
      </w:tr>
      <w:tr w14:paraId="13075C4F" w14:textId="77777777" w:rsidTr="00DE3380">
        <w:tblPrEx>
          <w:tblW w:w="0" w:type="auto"/>
          <w:tblLook w:val="04A0"/>
        </w:tblPrEx>
        <w:tc>
          <w:tcPr>
            <w:tcW w:w="572" w:type="dxa"/>
            <w:vAlign w:val="center"/>
          </w:tcPr>
          <w:p w:rsidR="003742E5" w:rsidRPr="005E5A71" w:rsidP="00DE3380" w14:paraId="4DDB7762" w14:textId="77777777">
            <w:pPr>
              <w:jc w:val="center"/>
              <w:rPr>
                <w:sz w:val="16"/>
                <w:szCs w:val="16"/>
              </w:rPr>
            </w:pPr>
            <w:r>
              <w:rPr>
                <w:sz w:val="16"/>
                <w:szCs w:val="16"/>
              </w:rPr>
              <w:t>17</w:t>
            </w:r>
          </w:p>
        </w:tc>
        <w:tc>
          <w:tcPr>
            <w:tcW w:w="2905" w:type="dxa"/>
            <w:vAlign w:val="center"/>
          </w:tcPr>
          <w:p w:rsidR="003742E5" w:rsidRPr="0090753D" w:rsidP="003742E5" w14:paraId="777FDA77" w14:textId="77777777">
            <w:pPr>
              <w:rPr>
                <w:sz w:val="16"/>
                <w:szCs w:val="16"/>
              </w:rPr>
            </w:pPr>
            <w:r>
              <w:rPr>
                <w:sz w:val="16"/>
                <w:szCs w:val="16"/>
              </w:rPr>
              <w:t>S</w:t>
            </w:r>
            <w:r w:rsidRPr="0090753D">
              <w:rPr>
                <w:sz w:val="16"/>
                <w:szCs w:val="16"/>
              </w:rPr>
              <w:t>nížení AZ kontrolních orgánů</w:t>
            </w:r>
          </w:p>
        </w:tc>
        <w:tc>
          <w:tcPr>
            <w:tcW w:w="1352" w:type="dxa"/>
            <w:vAlign w:val="center"/>
          </w:tcPr>
          <w:p w:rsidR="003742E5" w:rsidRPr="0090753D" w:rsidP="00DE3380" w14:paraId="7EED0EB3" w14:textId="77777777">
            <w:pPr>
              <w:jc w:val="center"/>
              <w:rPr>
                <w:sz w:val="16"/>
                <w:szCs w:val="16"/>
              </w:rPr>
            </w:pPr>
            <w:r w:rsidRPr="0090753D">
              <w:rPr>
                <w:sz w:val="16"/>
                <w:szCs w:val="16"/>
              </w:rPr>
              <w:t>***</w:t>
            </w:r>
          </w:p>
        </w:tc>
        <w:tc>
          <w:tcPr>
            <w:tcW w:w="2605" w:type="dxa"/>
            <w:vAlign w:val="center"/>
          </w:tcPr>
          <w:p w:rsidR="003742E5" w:rsidRPr="0090753D" w:rsidP="00DE3380" w14:paraId="6759D273" w14:textId="77777777">
            <w:pPr>
              <w:jc w:val="center"/>
              <w:rPr>
                <w:sz w:val="16"/>
                <w:szCs w:val="16"/>
              </w:rPr>
            </w:pPr>
          </w:p>
        </w:tc>
        <w:tc>
          <w:tcPr>
            <w:tcW w:w="1628" w:type="dxa"/>
            <w:vAlign w:val="center"/>
          </w:tcPr>
          <w:p w:rsidR="003742E5" w:rsidRPr="00F727A9" w:rsidP="00DE3380" w14:paraId="7BEB757E" w14:textId="77777777">
            <w:pPr>
              <w:jc w:val="center"/>
              <w:rPr>
                <w:sz w:val="16"/>
                <w:szCs w:val="16"/>
              </w:rPr>
            </w:pPr>
          </w:p>
        </w:tc>
      </w:tr>
      <w:tr w14:paraId="726E8AB9" w14:textId="77777777" w:rsidTr="00DE3380">
        <w:tblPrEx>
          <w:tblW w:w="0" w:type="auto"/>
          <w:tblLook w:val="04A0"/>
        </w:tblPrEx>
        <w:tc>
          <w:tcPr>
            <w:tcW w:w="572" w:type="dxa"/>
            <w:vAlign w:val="center"/>
          </w:tcPr>
          <w:p w:rsidR="003742E5" w:rsidP="00DE3380" w14:paraId="1C6D0E28" w14:textId="77777777">
            <w:pPr>
              <w:jc w:val="center"/>
              <w:rPr>
                <w:rFonts w:cs="Arial"/>
                <w:sz w:val="16"/>
                <w:szCs w:val="16"/>
              </w:rPr>
            </w:pPr>
            <w:r>
              <w:rPr>
                <w:rFonts w:cs="Arial"/>
                <w:sz w:val="16"/>
                <w:szCs w:val="16"/>
              </w:rPr>
              <w:t>18</w:t>
            </w:r>
          </w:p>
        </w:tc>
        <w:tc>
          <w:tcPr>
            <w:tcW w:w="2905" w:type="dxa"/>
            <w:vAlign w:val="center"/>
          </w:tcPr>
          <w:p w:rsidR="003742E5" w:rsidRPr="00AF4885" w:rsidP="003742E5" w14:paraId="1EC4C4A3" w14:textId="77777777">
            <w:pPr>
              <w:rPr>
                <w:rFonts w:cs="Arial"/>
                <w:sz w:val="16"/>
                <w:szCs w:val="16"/>
              </w:rPr>
            </w:pPr>
            <w:r w:rsidRPr="00FB7994">
              <w:rPr>
                <w:sz w:val="16"/>
                <w:szCs w:val="16"/>
              </w:rPr>
              <w:t xml:space="preserve">Snadnější kontrolovatelnost splnění podmínek nastavené hustoty </w:t>
            </w:r>
            <w:r>
              <w:rPr>
                <w:sz w:val="16"/>
                <w:szCs w:val="16"/>
              </w:rPr>
              <w:t xml:space="preserve">sběrné </w:t>
            </w:r>
            <w:r w:rsidRPr="00FB7994">
              <w:rPr>
                <w:sz w:val="16"/>
                <w:szCs w:val="16"/>
              </w:rPr>
              <w:t xml:space="preserve">sítě </w:t>
            </w:r>
            <w:r>
              <w:rPr>
                <w:sz w:val="16"/>
                <w:szCs w:val="16"/>
              </w:rPr>
              <w:t>míst ZO OEEZ</w:t>
            </w:r>
          </w:p>
        </w:tc>
        <w:tc>
          <w:tcPr>
            <w:tcW w:w="1352" w:type="dxa"/>
            <w:vAlign w:val="center"/>
          </w:tcPr>
          <w:p w:rsidR="003742E5" w:rsidRPr="00AF4885" w:rsidP="00DE3380" w14:paraId="7DB86C37" w14:textId="77777777">
            <w:pPr>
              <w:jc w:val="center"/>
              <w:rPr>
                <w:sz w:val="16"/>
                <w:szCs w:val="16"/>
              </w:rPr>
            </w:pPr>
            <w:r w:rsidRPr="00FB7994">
              <w:rPr>
                <w:sz w:val="16"/>
                <w:szCs w:val="16"/>
              </w:rPr>
              <w:t>***</w:t>
            </w:r>
          </w:p>
        </w:tc>
        <w:tc>
          <w:tcPr>
            <w:tcW w:w="2605" w:type="dxa"/>
            <w:vAlign w:val="center"/>
          </w:tcPr>
          <w:p w:rsidR="003742E5" w:rsidRPr="0090753D" w:rsidP="00DE3380" w14:paraId="271C735E" w14:textId="77777777">
            <w:pPr>
              <w:jc w:val="center"/>
              <w:rPr>
                <w:sz w:val="16"/>
                <w:szCs w:val="16"/>
              </w:rPr>
            </w:pPr>
          </w:p>
        </w:tc>
        <w:tc>
          <w:tcPr>
            <w:tcW w:w="1628" w:type="dxa"/>
            <w:vAlign w:val="center"/>
          </w:tcPr>
          <w:p w:rsidR="003742E5" w:rsidRPr="001F241A" w:rsidP="00DE3380" w14:paraId="09829A85" w14:textId="77777777">
            <w:pPr>
              <w:jc w:val="center"/>
              <w:rPr>
                <w:sz w:val="16"/>
                <w:szCs w:val="16"/>
              </w:rPr>
            </w:pPr>
          </w:p>
        </w:tc>
      </w:tr>
      <w:tr w14:paraId="16FD6BC1" w14:textId="77777777" w:rsidTr="00DE3380">
        <w:tblPrEx>
          <w:tblW w:w="0" w:type="auto"/>
          <w:tblLook w:val="04A0"/>
        </w:tblPrEx>
        <w:tc>
          <w:tcPr>
            <w:tcW w:w="572" w:type="dxa"/>
            <w:vAlign w:val="center"/>
          </w:tcPr>
          <w:p w:rsidR="003742E5" w:rsidP="00DE3380" w14:paraId="15CCD412" w14:textId="77777777">
            <w:pPr>
              <w:jc w:val="center"/>
              <w:rPr>
                <w:rFonts w:cs="Arial"/>
                <w:sz w:val="16"/>
                <w:szCs w:val="16"/>
              </w:rPr>
            </w:pPr>
            <w:r>
              <w:rPr>
                <w:rFonts w:cs="Arial"/>
                <w:sz w:val="16"/>
                <w:szCs w:val="16"/>
              </w:rPr>
              <w:t>19</w:t>
            </w:r>
          </w:p>
        </w:tc>
        <w:tc>
          <w:tcPr>
            <w:tcW w:w="2905" w:type="dxa"/>
            <w:vAlign w:val="center"/>
          </w:tcPr>
          <w:p w:rsidR="003742E5" w:rsidRPr="00AF4885" w:rsidP="003742E5" w14:paraId="6DF06990" w14:textId="77777777">
            <w:pPr>
              <w:rPr>
                <w:sz w:val="16"/>
                <w:szCs w:val="16"/>
              </w:rPr>
            </w:pPr>
            <w:r w:rsidRPr="00FB7994">
              <w:rPr>
                <w:sz w:val="16"/>
                <w:szCs w:val="16"/>
              </w:rPr>
              <w:t>Snadnější kontrolovatelnost splnění podmínek nastavené hustoty sběrné sítě přenosných BA</w:t>
            </w:r>
          </w:p>
        </w:tc>
        <w:tc>
          <w:tcPr>
            <w:tcW w:w="1352" w:type="dxa"/>
            <w:vAlign w:val="center"/>
          </w:tcPr>
          <w:p w:rsidR="003742E5" w:rsidRPr="00AF4885" w:rsidP="00DE3380" w14:paraId="3B0EADE7" w14:textId="77777777">
            <w:pPr>
              <w:jc w:val="center"/>
              <w:rPr>
                <w:sz w:val="16"/>
                <w:szCs w:val="16"/>
              </w:rPr>
            </w:pPr>
            <w:r>
              <w:rPr>
                <w:sz w:val="16"/>
                <w:szCs w:val="16"/>
              </w:rPr>
              <w:t>**</w:t>
            </w:r>
          </w:p>
        </w:tc>
        <w:tc>
          <w:tcPr>
            <w:tcW w:w="2605" w:type="dxa"/>
            <w:vAlign w:val="center"/>
          </w:tcPr>
          <w:p w:rsidR="003742E5" w:rsidRPr="0090753D" w:rsidP="00DE3380" w14:paraId="3D3242AC" w14:textId="77777777">
            <w:pPr>
              <w:jc w:val="center"/>
              <w:rPr>
                <w:sz w:val="16"/>
                <w:szCs w:val="16"/>
              </w:rPr>
            </w:pPr>
          </w:p>
        </w:tc>
        <w:tc>
          <w:tcPr>
            <w:tcW w:w="1628" w:type="dxa"/>
            <w:vAlign w:val="center"/>
          </w:tcPr>
          <w:p w:rsidR="003742E5" w:rsidRPr="001F241A" w:rsidP="00DE3380" w14:paraId="4C348C76" w14:textId="77777777">
            <w:pPr>
              <w:jc w:val="center"/>
              <w:rPr>
                <w:sz w:val="16"/>
                <w:szCs w:val="16"/>
              </w:rPr>
            </w:pPr>
          </w:p>
        </w:tc>
      </w:tr>
      <w:tr w14:paraId="0C0F5C51" w14:textId="77777777" w:rsidTr="00DE3380">
        <w:tblPrEx>
          <w:tblW w:w="0" w:type="auto"/>
          <w:tblLook w:val="04A0"/>
        </w:tblPrEx>
        <w:tc>
          <w:tcPr>
            <w:tcW w:w="572" w:type="dxa"/>
            <w:vAlign w:val="center"/>
          </w:tcPr>
          <w:p w:rsidR="003742E5" w:rsidP="00DE3380" w14:paraId="131B7946" w14:textId="77777777">
            <w:pPr>
              <w:jc w:val="center"/>
              <w:rPr>
                <w:rFonts w:cs="Arial"/>
                <w:sz w:val="16"/>
                <w:szCs w:val="16"/>
              </w:rPr>
            </w:pPr>
            <w:r>
              <w:rPr>
                <w:rFonts w:cs="Arial"/>
                <w:sz w:val="16"/>
                <w:szCs w:val="16"/>
              </w:rPr>
              <w:t>20</w:t>
            </w:r>
          </w:p>
        </w:tc>
        <w:tc>
          <w:tcPr>
            <w:tcW w:w="2905" w:type="dxa"/>
            <w:vAlign w:val="center"/>
          </w:tcPr>
          <w:p w:rsidR="003742E5" w:rsidRPr="00AF4885" w:rsidP="003742E5" w14:paraId="200821B6" w14:textId="77777777">
            <w:pPr>
              <w:rPr>
                <w:sz w:val="16"/>
                <w:szCs w:val="16"/>
              </w:rPr>
            </w:pPr>
            <w:r w:rsidRPr="00FB7994">
              <w:rPr>
                <w:sz w:val="16"/>
                <w:szCs w:val="16"/>
              </w:rPr>
              <w:t>Možnost kontroly splnění podmínek nastavení hustoty sběrné sítě automobilových BA</w:t>
            </w:r>
          </w:p>
        </w:tc>
        <w:tc>
          <w:tcPr>
            <w:tcW w:w="1352" w:type="dxa"/>
            <w:vAlign w:val="center"/>
          </w:tcPr>
          <w:p w:rsidR="003742E5" w:rsidP="00DE3380" w14:paraId="73020E31" w14:textId="77777777">
            <w:pPr>
              <w:jc w:val="center"/>
              <w:rPr>
                <w:sz w:val="16"/>
                <w:szCs w:val="16"/>
              </w:rPr>
            </w:pPr>
            <w:r>
              <w:rPr>
                <w:sz w:val="16"/>
                <w:szCs w:val="16"/>
              </w:rPr>
              <w:t>**</w:t>
            </w:r>
          </w:p>
        </w:tc>
        <w:tc>
          <w:tcPr>
            <w:tcW w:w="2605" w:type="dxa"/>
            <w:vAlign w:val="center"/>
          </w:tcPr>
          <w:p w:rsidR="003742E5" w:rsidRPr="0090753D" w:rsidP="00DE3380" w14:paraId="30E76E27" w14:textId="77777777">
            <w:pPr>
              <w:jc w:val="center"/>
              <w:rPr>
                <w:sz w:val="16"/>
                <w:szCs w:val="16"/>
              </w:rPr>
            </w:pPr>
          </w:p>
        </w:tc>
        <w:tc>
          <w:tcPr>
            <w:tcW w:w="1628" w:type="dxa"/>
            <w:vAlign w:val="center"/>
          </w:tcPr>
          <w:p w:rsidR="003742E5" w:rsidRPr="001F241A" w:rsidP="00DE3380" w14:paraId="3979ADDA" w14:textId="77777777">
            <w:pPr>
              <w:jc w:val="center"/>
              <w:rPr>
                <w:sz w:val="16"/>
                <w:szCs w:val="16"/>
              </w:rPr>
            </w:pPr>
          </w:p>
        </w:tc>
      </w:tr>
      <w:tr w14:paraId="4D8A4392" w14:textId="77777777" w:rsidTr="00DE3380">
        <w:tblPrEx>
          <w:tblW w:w="0" w:type="auto"/>
          <w:tblLook w:val="04A0"/>
        </w:tblPrEx>
        <w:tc>
          <w:tcPr>
            <w:tcW w:w="572" w:type="dxa"/>
            <w:vAlign w:val="center"/>
          </w:tcPr>
          <w:p w:rsidR="003742E5" w:rsidP="00DE3380" w14:paraId="445533EA" w14:textId="77777777">
            <w:pPr>
              <w:jc w:val="center"/>
              <w:rPr>
                <w:rFonts w:cs="Arial"/>
                <w:sz w:val="16"/>
                <w:szCs w:val="16"/>
              </w:rPr>
            </w:pPr>
            <w:r>
              <w:rPr>
                <w:rFonts w:cs="Arial"/>
                <w:sz w:val="16"/>
                <w:szCs w:val="16"/>
              </w:rPr>
              <w:t>23</w:t>
            </w:r>
          </w:p>
        </w:tc>
        <w:tc>
          <w:tcPr>
            <w:tcW w:w="2905" w:type="dxa"/>
            <w:vAlign w:val="center"/>
          </w:tcPr>
          <w:p w:rsidR="003742E5" w:rsidRPr="00AF4885" w:rsidP="003742E5" w14:paraId="13B58375" w14:textId="77777777">
            <w:pPr>
              <w:rPr>
                <w:sz w:val="16"/>
                <w:szCs w:val="16"/>
              </w:rPr>
            </w:pPr>
            <w:r w:rsidRPr="00FB7994">
              <w:rPr>
                <w:sz w:val="16"/>
                <w:szCs w:val="16"/>
              </w:rPr>
              <w:t xml:space="preserve">Snadnější kontrolovatelnost splnění podmínek </w:t>
            </w:r>
            <w:r w:rsidRPr="00716CF8">
              <w:rPr>
                <w:sz w:val="16"/>
                <w:szCs w:val="16"/>
              </w:rPr>
              <w:t>nastavení hustoty sběrné sítě</w:t>
            </w:r>
            <w:r>
              <w:rPr>
                <w:sz w:val="16"/>
                <w:szCs w:val="16"/>
              </w:rPr>
              <w:t xml:space="preserve"> odpadních pneumatik</w:t>
            </w:r>
          </w:p>
        </w:tc>
        <w:tc>
          <w:tcPr>
            <w:tcW w:w="1352" w:type="dxa"/>
            <w:vAlign w:val="center"/>
          </w:tcPr>
          <w:p w:rsidR="003742E5" w:rsidRPr="0090753D" w:rsidP="00DE3380" w14:paraId="3580E51D" w14:textId="77777777">
            <w:pPr>
              <w:jc w:val="center"/>
              <w:rPr>
                <w:sz w:val="16"/>
                <w:szCs w:val="16"/>
              </w:rPr>
            </w:pPr>
            <w:r w:rsidRPr="00FB7994">
              <w:rPr>
                <w:sz w:val="16"/>
                <w:szCs w:val="16"/>
              </w:rPr>
              <w:t>**</w:t>
            </w:r>
          </w:p>
        </w:tc>
        <w:tc>
          <w:tcPr>
            <w:tcW w:w="2605" w:type="dxa"/>
            <w:vAlign w:val="center"/>
          </w:tcPr>
          <w:p w:rsidR="003742E5" w:rsidRPr="0090753D" w:rsidP="00DE3380" w14:paraId="2CE2598F" w14:textId="77777777">
            <w:pPr>
              <w:jc w:val="center"/>
              <w:rPr>
                <w:sz w:val="16"/>
                <w:szCs w:val="16"/>
              </w:rPr>
            </w:pPr>
          </w:p>
        </w:tc>
        <w:tc>
          <w:tcPr>
            <w:tcW w:w="1628" w:type="dxa"/>
            <w:vAlign w:val="center"/>
          </w:tcPr>
          <w:p w:rsidR="003742E5" w:rsidRPr="001F241A" w:rsidP="00DE3380" w14:paraId="02929C7E" w14:textId="77777777">
            <w:pPr>
              <w:jc w:val="center"/>
              <w:rPr>
                <w:sz w:val="16"/>
                <w:szCs w:val="16"/>
              </w:rPr>
            </w:pPr>
          </w:p>
        </w:tc>
      </w:tr>
      <w:tr w14:paraId="53FCF291" w14:textId="77777777" w:rsidTr="00DE3380">
        <w:tblPrEx>
          <w:tblW w:w="0" w:type="auto"/>
          <w:tblLook w:val="04A0"/>
        </w:tblPrEx>
        <w:tc>
          <w:tcPr>
            <w:tcW w:w="572" w:type="dxa"/>
            <w:vAlign w:val="center"/>
          </w:tcPr>
          <w:p w:rsidR="003742E5" w:rsidRPr="005E5A71" w:rsidP="00DE3380" w14:paraId="4C4F21EA" w14:textId="77777777">
            <w:pPr>
              <w:jc w:val="center"/>
              <w:rPr>
                <w:rFonts w:cs="Arial"/>
                <w:sz w:val="16"/>
                <w:szCs w:val="16"/>
              </w:rPr>
            </w:pPr>
            <w:r>
              <w:rPr>
                <w:rFonts w:cs="Arial"/>
                <w:sz w:val="16"/>
                <w:szCs w:val="16"/>
              </w:rPr>
              <w:t>24</w:t>
            </w:r>
          </w:p>
        </w:tc>
        <w:tc>
          <w:tcPr>
            <w:tcW w:w="2905" w:type="dxa"/>
            <w:vAlign w:val="center"/>
          </w:tcPr>
          <w:p w:rsidR="003742E5" w:rsidRPr="0090753D" w:rsidP="00DE3380" w14:paraId="12D4F1BE" w14:textId="77777777">
            <w:pPr>
              <w:jc w:val="center"/>
              <w:rPr>
                <w:rFonts w:cs="Arial"/>
                <w:sz w:val="16"/>
                <w:szCs w:val="16"/>
              </w:rPr>
            </w:pPr>
          </w:p>
        </w:tc>
        <w:tc>
          <w:tcPr>
            <w:tcW w:w="1352" w:type="dxa"/>
            <w:vAlign w:val="center"/>
          </w:tcPr>
          <w:p w:rsidR="003742E5" w:rsidRPr="0090753D" w:rsidP="00DE3380" w14:paraId="0E4AB070" w14:textId="77777777">
            <w:pPr>
              <w:jc w:val="center"/>
              <w:rPr>
                <w:sz w:val="16"/>
                <w:szCs w:val="16"/>
              </w:rPr>
            </w:pPr>
          </w:p>
        </w:tc>
        <w:tc>
          <w:tcPr>
            <w:tcW w:w="2605" w:type="dxa"/>
            <w:vAlign w:val="center"/>
          </w:tcPr>
          <w:p w:rsidR="003742E5" w:rsidRPr="0090753D" w:rsidP="003742E5" w14:paraId="625F64D2" w14:textId="77777777">
            <w:pPr>
              <w:rPr>
                <w:rFonts w:cs="Arial"/>
                <w:sz w:val="16"/>
                <w:szCs w:val="16"/>
              </w:rPr>
            </w:pPr>
            <w:r w:rsidRPr="0090753D">
              <w:rPr>
                <w:sz w:val="16"/>
                <w:szCs w:val="16"/>
              </w:rPr>
              <w:t>Finanční podpora vzniku nových kapacit na materiálové využití pneumatik</w:t>
            </w:r>
          </w:p>
        </w:tc>
        <w:tc>
          <w:tcPr>
            <w:tcW w:w="1628" w:type="dxa"/>
            <w:vAlign w:val="center"/>
          </w:tcPr>
          <w:p w:rsidR="003742E5" w:rsidRPr="001F241A" w:rsidP="00DE3380" w14:paraId="00ABA59C" w14:textId="77777777">
            <w:pPr>
              <w:jc w:val="center"/>
              <w:rPr>
                <w:sz w:val="16"/>
                <w:szCs w:val="16"/>
              </w:rPr>
            </w:pPr>
            <w:r w:rsidRPr="001F241A">
              <w:rPr>
                <w:sz w:val="16"/>
                <w:szCs w:val="16"/>
              </w:rPr>
              <w:t>***</w:t>
            </w:r>
          </w:p>
        </w:tc>
      </w:tr>
      <w:tr w14:paraId="0936CB48" w14:textId="77777777" w:rsidTr="00DE3380">
        <w:tblPrEx>
          <w:tblW w:w="0" w:type="auto"/>
          <w:tblLook w:val="04A0"/>
        </w:tblPrEx>
        <w:tc>
          <w:tcPr>
            <w:tcW w:w="572" w:type="dxa"/>
            <w:vMerge w:val="restart"/>
            <w:vAlign w:val="center"/>
          </w:tcPr>
          <w:p w:rsidR="003742E5" w:rsidP="00DE3380" w14:paraId="29F2748D" w14:textId="77777777">
            <w:pPr>
              <w:jc w:val="center"/>
              <w:rPr>
                <w:rFonts w:cs="Arial"/>
                <w:sz w:val="16"/>
                <w:szCs w:val="16"/>
              </w:rPr>
            </w:pPr>
            <w:r>
              <w:rPr>
                <w:rFonts w:cs="Arial"/>
                <w:sz w:val="16"/>
                <w:szCs w:val="16"/>
              </w:rPr>
              <w:t>25</w:t>
            </w:r>
          </w:p>
          <w:p w:rsidR="003742E5" w:rsidP="00DE3380" w14:paraId="556E1C4A" w14:textId="77777777">
            <w:pPr>
              <w:jc w:val="center"/>
              <w:rPr>
                <w:rFonts w:cs="Arial"/>
                <w:sz w:val="16"/>
                <w:szCs w:val="16"/>
              </w:rPr>
            </w:pPr>
          </w:p>
        </w:tc>
        <w:tc>
          <w:tcPr>
            <w:tcW w:w="2905" w:type="dxa"/>
            <w:vAlign w:val="center"/>
          </w:tcPr>
          <w:p w:rsidR="003742E5" w:rsidRPr="0090753D" w:rsidP="003742E5" w14:paraId="7C401F44" w14:textId="77777777">
            <w:pPr>
              <w:rPr>
                <w:rFonts w:cs="Arial"/>
                <w:sz w:val="16"/>
                <w:szCs w:val="16"/>
              </w:rPr>
            </w:pPr>
            <w:r w:rsidRPr="0090753D">
              <w:rPr>
                <w:noProof w:val="0"/>
                <w:color w:val="000000"/>
                <w:sz w:val="16"/>
                <w:szCs w:val="16"/>
                <w:lang w:eastAsia="cs-CZ" w:bidi="ar-SA"/>
              </w:rPr>
              <w:t xml:space="preserve">CENIA - snížení administrativní zátěže </w:t>
            </w:r>
          </w:p>
        </w:tc>
        <w:tc>
          <w:tcPr>
            <w:tcW w:w="1352" w:type="dxa"/>
            <w:vAlign w:val="center"/>
          </w:tcPr>
          <w:p w:rsidR="003742E5" w:rsidRPr="0090753D" w:rsidP="00DE3380" w14:paraId="42FC727B" w14:textId="77777777">
            <w:pPr>
              <w:jc w:val="center"/>
              <w:rPr>
                <w:sz w:val="16"/>
                <w:szCs w:val="16"/>
              </w:rPr>
            </w:pPr>
            <w:r w:rsidRPr="0090753D">
              <w:rPr>
                <w:noProof w:val="0"/>
                <w:color w:val="000000"/>
                <w:sz w:val="16"/>
                <w:szCs w:val="16"/>
                <w:lang w:eastAsia="cs-CZ" w:bidi="ar-SA"/>
              </w:rPr>
              <w:t>23 tis. Kč/rok</w:t>
            </w:r>
          </w:p>
        </w:tc>
        <w:tc>
          <w:tcPr>
            <w:tcW w:w="2605" w:type="dxa"/>
            <w:vMerge w:val="restart"/>
            <w:vAlign w:val="center"/>
          </w:tcPr>
          <w:p w:rsidR="003742E5" w:rsidRPr="0090753D" w:rsidP="003742E5" w14:paraId="69C0BF68" w14:textId="77777777">
            <w:pPr>
              <w:rPr>
                <w:sz w:val="16"/>
                <w:szCs w:val="16"/>
              </w:rPr>
            </w:pPr>
          </w:p>
        </w:tc>
        <w:tc>
          <w:tcPr>
            <w:tcW w:w="1628" w:type="dxa"/>
            <w:vMerge w:val="restart"/>
            <w:vAlign w:val="center"/>
          </w:tcPr>
          <w:p w:rsidR="003742E5" w:rsidRPr="001F241A" w:rsidP="00DE3380" w14:paraId="227BFA1C" w14:textId="77777777">
            <w:pPr>
              <w:jc w:val="center"/>
              <w:rPr>
                <w:sz w:val="16"/>
                <w:szCs w:val="16"/>
              </w:rPr>
            </w:pPr>
          </w:p>
        </w:tc>
      </w:tr>
      <w:tr w14:paraId="2FDC7FED" w14:textId="77777777" w:rsidTr="00DE3380">
        <w:tblPrEx>
          <w:tblW w:w="0" w:type="auto"/>
          <w:tblLook w:val="04A0"/>
        </w:tblPrEx>
        <w:tc>
          <w:tcPr>
            <w:tcW w:w="572" w:type="dxa"/>
            <w:vMerge/>
            <w:vAlign w:val="center"/>
          </w:tcPr>
          <w:p w:rsidR="003742E5" w:rsidP="00DE3380" w14:paraId="16214B19" w14:textId="77777777">
            <w:pPr>
              <w:jc w:val="center"/>
              <w:rPr>
                <w:rFonts w:cs="Arial"/>
                <w:sz w:val="16"/>
                <w:szCs w:val="16"/>
              </w:rPr>
            </w:pPr>
          </w:p>
        </w:tc>
        <w:tc>
          <w:tcPr>
            <w:tcW w:w="2905" w:type="dxa"/>
            <w:vAlign w:val="center"/>
          </w:tcPr>
          <w:p w:rsidR="003742E5" w:rsidRPr="0090753D" w:rsidP="003742E5" w14:paraId="164AAB91" w14:textId="77777777">
            <w:pPr>
              <w:rPr>
                <w:rFonts w:cs="Arial"/>
                <w:sz w:val="16"/>
                <w:szCs w:val="16"/>
              </w:rPr>
            </w:pPr>
            <w:r w:rsidRPr="0090753D">
              <w:rPr>
                <w:noProof w:val="0"/>
                <w:color w:val="000000"/>
                <w:sz w:val="16"/>
                <w:szCs w:val="16"/>
                <w:lang w:eastAsia="cs-CZ" w:bidi="ar-SA"/>
              </w:rPr>
              <w:t>CENIA – snížení nákladů na úpravu formuláře</w:t>
            </w:r>
          </w:p>
        </w:tc>
        <w:tc>
          <w:tcPr>
            <w:tcW w:w="1352" w:type="dxa"/>
            <w:vAlign w:val="center"/>
          </w:tcPr>
          <w:p w:rsidR="003742E5" w:rsidRPr="0090753D" w:rsidP="00DE3380" w14:paraId="49A496F8" w14:textId="77777777">
            <w:pPr>
              <w:jc w:val="center"/>
              <w:rPr>
                <w:sz w:val="16"/>
                <w:szCs w:val="16"/>
              </w:rPr>
            </w:pPr>
            <w:r w:rsidRPr="0090753D">
              <w:rPr>
                <w:noProof w:val="0"/>
                <w:color w:val="000000"/>
                <w:sz w:val="16"/>
                <w:szCs w:val="16"/>
                <w:lang w:eastAsia="cs-CZ" w:bidi="ar-SA"/>
              </w:rPr>
              <w:t>17 tis. Kč/rok</w:t>
            </w:r>
          </w:p>
        </w:tc>
        <w:tc>
          <w:tcPr>
            <w:tcW w:w="2605" w:type="dxa"/>
            <w:vMerge/>
            <w:vAlign w:val="center"/>
          </w:tcPr>
          <w:p w:rsidR="003742E5" w:rsidRPr="0090753D" w:rsidP="003742E5" w14:paraId="4A4071E6" w14:textId="77777777">
            <w:pPr>
              <w:rPr>
                <w:sz w:val="16"/>
                <w:szCs w:val="16"/>
              </w:rPr>
            </w:pPr>
          </w:p>
        </w:tc>
        <w:tc>
          <w:tcPr>
            <w:tcW w:w="1628" w:type="dxa"/>
            <w:vMerge/>
            <w:vAlign w:val="center"/>
          </w:tcPr>
          <w:p w:rsidR="003742E5" w:rsidRPr="001F241A" w:rsidP="00DE3380" w14:paraId="255E5B2C" w14:textId="77777777">
            <w:pPr>
              <w:jc w:val="center"/>
              <w:rPr>
                <w:sz w:val="16"/>
                <w:szCs w:val="16"/>
              </w:rPr>
            </w:pPr>
          </w:p>
        </w:tc>
      </w:tr>
      <w:tr w14:paraId="4DAFEADE" w14:textId="77777777" w:rsidTr="00DE3380">
        <w:tblPrEx>
          <w:tblW w:w="0" w:type="auto"/>
          <w:tblLook w:val="04A0"/>
        </w:tblPrEx>
        <w:tc>
          <w:tcPr>
            <w:tcW w:w="572" w:type="dxa"/>
            <w:vAlign w:val="center"/>
          </w:tcPr>
          <w:p w:rsidR="003742E5" w:rsidP="00DE3380" w14:paraId="392471E0" w14:textId="77777777">
            <w:pPr>
              <w:jc w:val="center"/>
              <w:rPr>
                <w:rFonts w:cs="Arial"/>
                <w:sz w:val="16"/>
                <w:szCs w:val="16"/>
              </w:rPr>
            </w:pPr>
            <w:r>
              <w:rPr>
                <w:rFonts w:cs="Arial"/>
                <w:sz w:val="16"/>
                <w:szCs w:val="16"/>
              </w:rPr>
              <w:t>26</w:t>
            </w:r>
          </w:p>
        </w:tc>
        <w:tc>
          <w:tcPr>
            <w:tcW w:w="2905" w:type="dxa"/>
            <w:vAlign w:val="center"/>
          </w:tcPr>
          <w:p w:rsidR="003742E5" w:rsidRPr="0090753D" w:rsidP="00DE3380" w14:paraId="463182DB" w14:textId="77777777">
            <w:pPr>
              <w:jc w:val="center"/>
              <w:rPr>
                <w:noProof w:val="0"/>
                <w:color w:val="000000"/>
                <w:sz w:val="16"/>
                <w:szCs w:val="16"/>
                <w:lang w:eastAsia="cs-CZ" w:bidi="ar-SA"/>
              </w:rPr>
            </w:pPr>
          </w:p>
        </w:tc>
        <w:tc>
          <w:tcPr>
            <w:tcW w:w="1352" w:type="dxa"/>
            <w:vAlign w:val="center"/>
          </w:tcPr>
          <w:p w:rsidR="003742E5" w:rsidRPr="0090753D" w:rsidP="00DE3380" w14:paraId="7475D549" w14:textId="77777777">
            <w:pPr>
              <w:jc w:val="center"/>
              <w:rPr>
                <w:noProof w:val="0"/>
                <w:color w:val="000000"/>
                <w:sz w:val="16"/>
                <w:szCs w:val="16"/>
                <w:lang w:eastAsia="cs-CZ" w:bidi="ar-SA"/>
              </w:rPr>
            </w:pPr>
          </w:p>
        </w:tc>
        <w:tc>
          <w:tcPr>
            <w:tcW w:w="2605" w:type="dxa"/>
            <w:vAlign w:val="center"/>
          </w:tcPr>
          <w:p w:rsidR="003742E5" w:rsidRPr="0090753D" w:rsidP="003742E5" w14:paraId="67844788" w14:textId="4832BE66">
            <w:pPr>
              <w:rPr>
                <w:sz w:val="16"/>
                <w:szCs w:val="16"/>
              </w:rPr>
            </w:pPr>
            <w:r w:rsidRPr="0090753D">
              <w:rPr>
                <w:sz w:val="16"/>
                <w:szCs w:val="16"/>
              </w:rPr>
              <w:t>MPO</w:t>
            </w:r>
            <w:r>
              <w:rPr>
                <w:sz w:val="16"/>
                <w:szCs w:val="16"/>
              </w:rPr>
              <w:t xml:space="preserve"> </w:t>
            </w:r>
            <w:r w:rsidRPr="0090753D">
              <w:rPr>
                <w:sz w:val="16"/>
                <w:szCs w:val="16"/>
              </w:rPr>
              <w:t>- navýšení nákladů na</w:t>
            </w:r>
            <w:r>
              <w:rPr>
                <w:sz w:val="16"/>
                <w:szCs w:val="16"/>
              </w:rPr>
              <w:t> </w:t>
            </w:r>
            <w:r w:rsidRPr="0090753D">
              <w:rPr>
                <w:sz w:val="16"/>
                <w:szCs w:val="16"/>
              </w:rPr>
              <w:t>provoz ČOI</w:t>
            </w:r>
          </w:p>
        </w:tc>
        <w:tc>
          <w:tcPr>
            <w:tcW w:w="1628" w:type="dxa"/>
            <w:vAlign w:val="center"/>
          </w:tcPr>
          <w:p w:rsidR="003742E5" w:rsidRPr="001F241A" w:rsidP="00DE3380" w14:paraId="58B9098A" w14:textId="77777777">
            <w:pPr>
              <w:jc w:val="center"/>
              <w:rPr>
                <w:sz w:val="16"/>
                <w:szCs w:val="16"/>
              </w:rPr>
            </w:pPr>
            <w:r>
              <w:rPr>
                <w:sz w:val="16"/>
                <w:szCs w:val="16"/>
              </w:rPr>
              <w:t>1 140</w:t>
            </w:r>
            <w:r w:rsidRPr="00F727A9">
              <w:rPr>
                <w:sz w:val="16"/>
                <w:szCs w:val="16"/>
              </w:rPr>
              <w:t xml:space="preserve"> </w:t>
            </w:r>
            <w:r>
              <w:rPr>
                <w:sz w:val="16"/>
                <w:szCs w:val="16"/>
              </w:rPr>
              <w:t xml:space="preserve">tis. </w:t>
            </w:r>
            <w:r w:rsidRPr="00C6427C">
              <w:rPr>
                <w:sz w:val="16"/>
                <w:szCs w:val="16"/>
              </w:rPr>
              <w:t>Kč/rok</w:t>
            </w:r>
          </w:p>
        </w:tc>
      </w:tr>
      <w:tr w14:paraId="49B65BC1" w14:textId="77777777" w:rsidTr="00DE3380">
        <w:tblPrEx>
          <w:tblW w:w="0" w:type="auto"/>
          <w:tblLook w:val="04A0"/>
        </w:tblPrEx>
        <w:trPr>
          <w:trHeight w:val="418"/>
        </w:trPr>
        <w:tc>
          <w:tcPr>
            <w:tcW w:w="9062" w:type="dxa"/>
            <w:gridSpan w:val="5"/>
            <w:vAlign w:val="center"/>
          </w:tcPr>
          <w:p w:rsidR="003742E5" w:rsidRPr="00E5691D" w:rsidP="00DE3380" w14:paraId="70D22A86" w14:textId="77777777">
            <w:pPr>
              <w:jc w:val="center"/>
              <w:rPr>
                <w:b/>
                <w:sz w:val="20"/>
                <w:szCs w:val="20"/>
              </w:rPr>
            </w:pPr>
            <w:r w:rsidRPr="00E5691D">
              <w:rPr>
                <w:b/>
                <w:sz w:val="20"/>
                <w:szCs w:val="20"/>
              </w:rPr>
              <w:t>Dopady na podnikatelské subjekty</w:t>
            </w:r>
          </w:p>
        </w:tc>
      </w:tr>
      <w:tr w14:paraId="07808EC4" w14:textId="77777777" w:rsidTr="00DE3380">
        <w:tblPrEx>
          <w:tblW w:w="0" w:type="auto"/>
          <w:tblLook w:val="04A0"/>
        </w:tblPrEx>
        <w:tc>
          <w:tcPr>
            <w:tcW w:w="572" w:type="dxa"/>
            <w:vAlign w:val="center"/>
          </w:tcPr>
          <w:p w:rsidR="003742E5" w:rsidRPr="005E5A71" w:rsidP="00DE3380" w14:paraId="73EAC55D" w14:textId="77777777">
            <w:pPr>
              <w:jc w:val="center"/>
              <w:rPr>
                <w:sz w:val="16"/>
                <w:szCs w:val="16"/>
              </w:rPr>
            </w:pPr>
            <w:r>
              <w:rPr>
                <w:sz w:val="16"/>
                <w:szCs w:val="16"/>
              </w:rPr>
              <w:t>1</w:t>
            </w:r>
          </w:p>
        </w:tc>
        <w:tc>
          <w:tcPr>
            <w:tcW w:w="2905" w:type="dxa"/>
            <w:vAlign w:val="center"/>
          </w:tcPr>
          <w:p w:rsidR="003742E5" w:rsidRPr="005425A9" w:rsidP="003742E5" w14:paraId="10A28137" w14:textId="77777777">
            <w:pPr>
              <w:rPr>
                <w:sz w:val="16"/>
                <w:szCs w:val="16"/>
              </w:rPr>
            </w:pPr>
            <w:r>
              <w:rPr>
                <w:sz w:val="16"/>
                <w:szCs w:val="16"/>
              </w:rPr>
              <w:t>Z</w:t>
            </w:r>
            <w:r w:rsidRPr="005425A9">
              <w:rPr>
                <w:sz w:val="16"/>
                <w:szCs w:val="16"/>
              </w:rPr>
              <w:t xml:space="preserve">jednodušená evidence sběrných míst </w:t>
            </w:r>
          </w:p>
        </w:tc>
        <w:tc>
          <w:tcPr>
            <w:tcW w:w="1352" w:type="dxa"/>
            <w:vAlign w:val="center"/>
          </w:tcPr>
          <w:p w:rsidR="003742E5" w:rsidRPr="005425A9" w:rsidP="00DE3380" w14:paraId="4543DB58" w14:textId="77777777">
            <w:pPr>
              <w:jc w:val="center"/>
              <w:rPr>
                <w:sz w:val="16"/>
                <w:szCs w:val="16"/>
              </w:rPr>
            </w:pPr>
            <w:r w:rsidRPr="005425A9">
              <w:rPr>
                <w:sz w:val="16"/>
                <w:szCs w:val="16"/>
              </w:rPr>
              <w:t>**</w:t>
            </w:r>
          </w:p>
        </w:tc>
        <w:tc>
          <w:tcPr>
            <w:tcW w:w="2605" w:type="dxa"/>
            <w:vAlign w:val="center"/>
          </w:tcPr>
          <w:p w:rsidR="003742E5" w:rsidRPr="005425A9" w:rsidP="003742E5" w14:paraId="574299EE" w14:textId="77777777">
            <w:pPr>
              <w:rPr>
                <w:sz w:val="16"/>
                <w:szCs w:val="16"/>
              </w:rPr>
            </w:pPr>
            <w:r>
              <w:rPr>
                <w:sz w:val="16"/>
                <w:szCs w:val="16"/>
              </w:rPr>
              <w:t>N</w:t>
            </w:r>
            <w:r w:rsidRPr="005425A9">
              <w:rPr>
                <w:sz w:val="16"/>
                <w:szCs w:val="16"/>
              </w:rPr>
              <w:t xml:space="preserve">áklady sběrných míst na vedení průběžné evidence a roční hlášení </w:t>
            </w:r>
          </w:p>
        </w:tc>
        <w:tc>
          <w:tcPr>
            <w:tcW w:w="1628" w:type="dxa"/>
            <w:vAlign w:val="center"/>
          </w:tcPr>
          <w:p w:rsidR="003742E5" w:rsidRPr="00F727A9" w:rsidP="00DE3380" w14:paraId="31182CEF" w14:textId="77777777">
            <w:pPr>
              <w:jc w:val="center"/>
              <w:rPr>
                <w:sz w:val="16"/>
                <w:szCs w:val="16"/>
              </w:rPr>
            </w:pPr>
            <w:r w:rsidRPr="00F727A9">
              <w:rPr>
                <w:sz w:val="16"/>
                <w:szCs w:val="16"/>
              </w:rPr>
              <w:t>**</w:t>
            </w:r>
          </w:p>
        </w:tc>
      </w:tr>
      <w:tr w14:paraId="0C8A6778" w14:textId="77777777" w:rsidTr="00DE3380">
        <w:tblPrEx>
          <w:tblW w:w="0" w:type="auto"/>
          <w:tblLook w:val="04A0"/>
        </w:tblPrEx>
        <w:tc>
          <w:tcPr>
            <w:tcW w:w="572" w:type="dxa"/>
            <w:vAlign w:val="center"/>
          </w:tcPr>
          <w:p w:rsidR="003742E5" w:rsidP="00DE3380" w14:paraId="69F1A2AF" w14:textId="77777777">
            <w:pPr>
              <w:jc w:val="center"/>
              <w:rPr>
                <w:sz w:val="16"/>
                <w:szCs w:val="16"/>
              </w:rPr>
            </w:pPr>
            <w:r>
              <w:rPr>
                <w:sz w:val="16"/>
                <w:szCs w:val="16"/>
              </w:rPr>
              <w:t>2</w:t>
            </w:r>
          </w:p>
        </w:tc>
        <w:tc>
          <w:tcPr>
            <w:tcW w:w="2905" w:type="dxa"/>
            <w:vAlign w:val="center"/>
          </w:tcPr>
          <w:p w:rsidR="003742E5" w:rsidRPr="005425A9" w:rsidP="003742E5" w14:paraId="75FAF73A" w14:textId="77777777">
            <w:pPr>
              <w:rPr>
                <w:sz w:val="16"/>
                <w:szCs w:val="16"/>
              </w:rPr>
            </w:pPr>
          </w:p>
        </w:tc>
        <w:tc>
          <w:tcPr>
            <w:tcW w:w="1352" w:type="dxa"/>
            <w:vAlign w:val="center"/>
          </w:tcPr>
          <w:p w:rsidR="003742E5" w:rsidRPr="005425A9" w:rsidP="00DE3380" w14:paraId="37EB5C3D" w14:textId="77777777">
            <w:pPr>
              <w:jc w:val="center"/>
              <w:rPr>
                <w:sz w:val="16"/>
                <w:szCs w:val="16"/>
              </w:rPr>
            </w:pPr>
          </w:p>
        </w:tc>
        <w:tc>
          <w:tcPr>
            <w:tcW w:w="2605" w:type="dxa"/>
            <w:vAlign w:val="center"/>
          </w:tcPr>
          <w:p w:rsidR="003742E5" w:rsidRPr="005425A9" w:rsidP="003742E5" w14:paraId="5B3E66DA" w14:textId="77777777">
            <w:pPr>
              <w:spacing w:before="60"/>
              <w:rPr>
                <w:rFonts w:cs="Arial"/>
                <w:sz w:val="16"/>
                <w:szCs w:val="16"/>
              </w:rPr>
            </w:pPr>
            <w:r>
              <w:rPr>
                <w:rFonts w:cs="Arial"/>
                <w:sz w:val="16"/>
                <w:szCs w:val="16"/>
              </w:rPr>
              <w:t>V</w:t>
            </w:r>
            <w:r w:rsidRPr="005425A9">
              <w:rPr>
                <w:rFonts w:cs="Arial"/>
                <w:sz w:val="16"/>
                <w:szCs w:val="16"/>
              </w:rPr>
              <w:t> případě současných investic do</w:t>
            </w:r>
            <w:r>
              <w:rPr>
                <w:rFonts w:cs="Arial"/>
                <w:sz w:val="16"/>
                <w:szCs w:val="16"/>
              </w:rPr>
              <w:t> </w:t>
            </w:r>
            <w:r w:rsidRPr="005425A9">
              <w:rPr>
                <w:rFonts w:cs="Arial"/>
                <w:sz w:val="16"/>
                <w:szCs w:val="16"/>
              </w:rPr>
              <w:t>osvěty a propagace pod požadovanou minimální úrovní dodatečné náklady ve výši tohoto rozdílu</w:t>
            </w:r>
          </w:p>
        </w:tc>
        <w:tc>
          <w:tcPr>
            <w:tcW w:w="1628" w:type="dxa"/>
            <w:vAlign w:val="center"/>
          </w:tcPr>
          <w:p w:rsidR="003742E5" w:rsidP="00DE3380" w14:paraId="03FC991C" w14:textId="77777777">
            <w:pPr>
              <w:jc w:val="center"/>
              <w:rPr>
                <w:sz w:val="16"/>
                <w:szCs w:val="16"/>
              </w:rPr>
            </w:pPr>
            <w:r>
              <w:rPr>
                <w:sz w:val="16"/>
                <w:szCs w:val="16"/>
              </w:rPr>
              <w:t>*</w:t>
            </w:r>
          </w:p>
        </w:tc>
      </w:tr>
      <w:tr w14:paraId="547DBAEA" w14:textId="77777777" w:rsidTr="00DE3380">
        <w:tblPrEx>
          <w:tblW w:w="0" w:type="auto"/>
          <w:tblLook w:val="04A0"/>
        </w:tblPrEx>
        <w:tc>
          <w:tcPr>
            <w:tcW w:w="572" w:type="dxa"/>
            <w:vMerge w:val="restart"/>
            <w:vAlign w:val="center"/>
          </w:tcPr>
          <w:p w:rsidR="003742E5" w:rsidRPr="00D27F5A" w:rsidP="00DE3380" w14:paraId="34B02516" w14:textId="77777777">
            <w:pPr>
              <w:jc w:val="center"/>
              <w:rPr>
                <w:sz w:val="16"/>
                <w:szCs w:val="16"/>
              </w:rPr>
            </w:pPr>
            <w:r>
              <w:rPr>
                <w:sz w:val="16"/>
                <w:szCs w:val="16"/>
              </w:rPr>
              <w:t>3</w:t>
            </w:r>
          </w:p>
        </w:tc>
        <w:tc>
          <w:tcPr>
            <w:tcW w:w="2905" w:type="dxa"/>
            <w:vMerge w:val="restart"/>
            <w:vAlign w:val="center"/>
          </w:tcPr>
          <w:p w:rsidR="003742E5" w:rsidRPr="00D27F5A" w:rsidP="003742E5" w14:paraId="648B8333" w14:textId="77777777">
            <w:pPr>
              <w:rPr>
                <w:sz w:val="16"/>
                <w:szCs w:val="16"/>
              </w:rPr>
            </w:pPr>
            <w:r>
              <w:rPr>
                <w:sz w:val="16"/>
                <w:szCs w:val="16"/>
              </w:rPr>
              <w:t>Z</w:t>
            </w:r>
            <w:r w:rsidRPr="00D27F5A">
              <w:rPr>
                <w:sz w:val="16"/>
                <w:szCs w:val="16"/>
              </w:rPr>
              <w:t xml:space="preserve">jednodušení povinného informování konečných uživatelů </w:t>
            </w:r>
          </w:p>
        </w:tc>
        <w:tc>
          <w:tcPr>
            <w:tcW w:w="1352" w:type="dxa"/>
            <w:vMerge w:val="restart"/>
            <w:vAlign w:val="center"/>
          </w:tcPr>
          <w:p w:rsidR="003742E5" w:rsidRPr="00D27F5A" w:rsidP="00DE3380" w14:paraId="57351CEF" w14:textId="77777777">
            <w:pPr>
              <w:jc w:val="center"/>
              <w:rPr>
                <w:sz w:val="16"/>
                <w:szCs w:val="16"/>
              </w:rPr>
            </w:pPr>
            <w:r w:rsidRPr="00D27F5A">
              <w:rPr>
                <w:sz w:val="16"/>
                <w:szCs w:val="16"/>
              </w:rPr>
              <w:t>*až ***</w:t>
            </w:r>
          </w:p>
        </w:tc>
        <w:tc>
          <w:tcPr>
            <w:tcW w:w="2605" w:type="dxa"/>
            <w:vAlign w:val="center"/>
          </w:tcPr>
          <w:p w:rsidR="003742E5" w:rsidRPr="003742E5" w:rsidP="003742E5" w14:paraId="2BA3DBC3" w14:textId="4E5B6FFE">
            <w:pPr>
              <w:rPr>
                <w:sz w:val="16"/>
                <w:szCs w:val="16"/>
              </w:rPr>
            </w:pPr>
            <w:r w:rsidRPr="003742E5">
              <w:rPr>
                <w:sz w:val="16"/>
                <w:szCs w:val="16"/>
              </w:rPr>
              <w:t xml:space="preserve">Individuálně plnící výrobci </w:t>
            </w:r>
            <w:r>
              <w:rPr>
                <w:sz w:val="16"/>
                <w:szCs w:val="16"/>
              </w:rPr>
              <w:t>–</w:t>
            </w:r>
            <w:r w:rsidRPr="003742E5">
              <w:rPr>
                <w:sz w:val="16"/>
                <w:szCs w:val="16"/>
              </w:rPr>
              <w:t xml:space="preserve"> </w:t>
            </w:r>
            <w:r>
              <w:rPr>
                <w:sz w:val="16"/>
                <w:szCs w:val="16"/>
              </w:rPr>
              <w:t>vyplnění databáze registru</w:t>
            </w:r>
            <w:r w:rsidRPr="003742E5">
              <w:rPr>
                <w:sz w:val="16"/>
                <w:szCs w:val="16"/>
              </w:rPr>
              <w:t xml:space="preserve"> míst ZO</w:t>
            </w:r>
          </w:p>
        </w:tc>
        <w:tc>
          <w:tcPr>
            <w:tcW w:w="1628" w:type="dxa"/>
            <w:vAlign w:val="center"/>
          </w:tcPr>
          <w:p w:rsidR="003742E5" w:rsidRPr="00F727A9" w:rsidP="00DE3380" w14:paraId="483280A3" w14:textId="77777777">
            <w:pPr>
              <w:jc w:val="center"/>
              <w:rPr>
                <w:sz w:val="16"/>
                <w:szCs w:val="16"/>
              </w:rPr>
            </w:pPr>
            <w:r w:rsidRPr="00F727A9">
              <w:rPr>
                <w:sz w:val="16"/>
                <w:szCs w:val="16"/>
              </w:rPr>
              <w:t>*</w:t>
            </w:r>
          </w:p>
        </w:tc>
      </w:tr>
      <w:tr w14:paraId="50478FCB" w14:textId="77777777" w:rsidTr="00DE3380">
        <w:tblPrEx>
          <w:tblW w:w="0" w:type="auto"/>
          <w:tblLook w:val="04A0"/>
        </w:tblPrEx>
        <w:tc>
          <w:tcPr>
            <w:tcW w:w="572" w:type="dxa"/>
            <w:vMerge/>
            <w:vAlign w:val="center"/>
          </w:tcPr>
          <w:p w:rsidR="003742E5" w:rsidRPr="00D27F5A" w:rsidP="00DE3380" w14:paraId="76788AB5" w14:textId="77777777">
            <w:pPr>
              <w:jc w:val="center"/>
              <w:rPr>
                <w:sz w:val="16"/>
                <w:szCs w:val="16"/>
              </w:rPr>
            </w:pPr>
          </w:p>
        </w:tc>
        <w:tc>
          <w:tcPr>
            <w:tcW w:w="2905" w:type="dxa"/>
            <w:vMerge/>
            <w:vAlign w:val="center"/>
          </w:tcPr>
          <w:p w:rsidR="003742E5" w:rsidRPr="00D27F5A" w:rsidP="003742E5" w14:paraId="096E2A95" w14:textId="77777777">
            <w:pPr>
              <w:rPr>
                <w:sz w:val="16"/>
                <w:szCs w:val="16"/>
              </w:rPr>
            </w:pPr>
          </w:p>
        </w:tc>
        <w:tc>
          <w:tcPr>
            <w:tcW w:w="1352" w:type="dxa"/>
            <w:vMerge/>
            <w:vAlign w:val="center"/>
          </w:tcPr>
          <w:p w:rsidR="003742E5" w:rsidRPr="00D27F5A" w:rsidP="00DE3380" w14:paraId="62644E19" w14:textId="77777777">
            <w:pPr>
              <w:jc w:val="center"/>
              <w:rPr>
                <w:sz w:val="16"/>
                <w:szCs w:val="16"/>
              </w:rPr>
            </w:pPr>
          </w:p>
        </w:tc>
        <w:tc>
          <w:tcPr>
            <w:tcW w:w="2605" w:type="dxa"/>
            <w:vAlign w:val="center"/>
          </w:tcPr>
          <w:p w:rsidR="003742E5" w:rsidRPr="005425A9" w:rsidP="003742E5" w14:paraId="3D150939" w14:textId="65033C72">
            <w:pPr>
              <w:rPr>
                <w:sz w:val="16"/>
                <w:szCs w:val="16"/>
              </w:rPr>
            </w:pPr>
            <w:r w:rsidRPr="005425A9">
              <w:rPr>
                <w:sz w:val="16"/>
                <w:szCs w:val="16"/>
              </w:rPr>
              <w:t>KS</w:t>
            </w:r>
            <w:r>
              <w:rPr>
                <w:sz w:val="16"/>
                <w:szCs w:val="16"/>
              </w:rPr>
              <w:t xml:space="preserve"> </w:t>
            </w:r>
            <w:r w:rsidRPr="005425A9">
              <w:rPr>
                <w:sz w:val="16"/>
                <w:szCs w:val="16"/>
              </w:rPr>
              <w:t>-</w:t>
            </w:r>
            <w:r>
              <w:rPr>
                <w:sz w:val="16"/>
                <w:szCs w:val="16"/>
              </w:rPr>
              <w:t xml:space="preserve"> </w:t>
            </w:r>
            <w:r w:rsidRPr="005425A9">
              <w:rPr>
                <w:sz w:val="16"/>
                <w:szCs w:val="16"/>
              </w:rPr>
              <w:t xml:space="preserve">propojení systémů (Kč/subjekt) </w:t>
            </w:r>
          </w:p>
        </w:tc>
        <w:tc>
          <w:tcPr>
            <w:tcW w:w="1628" w:type="dxa"/>
            <w:vAlign w:val="center"/>
          </w:tcPr>
          <w:p w:rsidR="003742E5" w:rsidRPr="00F727A9" w:rsidP="00DE3380" w14:paraId="6B0F9803" w14:textId="77777777">
            <w:pPr>
              <w:jc w:val="center"/>
              <w:rPr>
                <w:sz w:val="16"/>
                <w:szCs w:val="16"/>
              </w:rPr>
            </w:pPr>
            <w:r w:rsidRPr="00F727A9">
              <w:rPr>
                <w:sz w:val="16"/>
                <w:szCs w:val="16"/>
              </w:rPr>
              <w:t>Od 30 tis. Kč</w:t>
            </w:r>
          </w:p>
        </w:tc>
      </w:tr>
      <w:tr w14:paraId="1E00C90F" w14:textId="77777777" w:rsidTr="00DE3380">
        <w:tblPrEx>
          <w:tblW w:w="0" w:type="auto"/>
          <w:tblLook w:val="04A0"/>
        </w:tblPrEx>
        <w:tc>
          <w:tcPr>
            <w:tcW w:w="572" w:type="dxa"/>
            <w:vMerge w:val="restart"/>
            <w:vAlign w:val="center"/>
          </w:tcPr>
          <w:p w:rsidR="003742E5" w:rsidRPr="00D27F5A" w:rsidP="00DE3380" w14:paraId="64643D61" w14:textId="77777777">
            <w:pPr>
              <w:spacing w:before="20" w:after="20"/>
              <w:jc w:val="center"/>
              <w:rPr>
                <w:sz w:val="16"/>
                <w:szCs w:val="16"/>
              </w:rPr>
            </w:pPr>
            <w:r>
              <w:rPr>
                <w:sz w:val="16"/>
                <w:szCs w:val="16"/>
              </w:rPr>
              <w:t>4</w:t>
            </w:r>
          </w:p>
        </w:tc>
        <w:tc>
          <w:tcPr>
            <w:tcW w:w="2905" w:type="dxa"/>
            <w:vMerge w:val="restart"/>
            <w:vAlign w:val="center"/>
          </w:tcPr>
          <w:p w:rsidR="003742E5" w:rsidRPr="00D27F5A" w:rsidP="003742E5" w14:paraId="74939BE2" w14:textId="0BF4EF52">
            <w:pPr>
              <w:spacing w:before="20" w:after="20"/>
              <w:rPr>
                <w:sz w:val="16"/>
                <w:szCs w:val="16"/>
              </w:rPr>
            </w:pPr>
            <w:r>
              <w:rPr>
                <w:sz w:val="16"/>
                <w:szCs w:val="16"/>
              </w:rPr>
              <w:t>U</w:t>
            </w:r>
            <w:r w:rsidRPr="00D27F5A">
              <w:rPr>
                <w:sz w:val="16"/>
                <w:szCs w:val="16"/>
              </w:rPr>
              <w:t>držení či vznik kvalitních partnerů v oblasti ZO (KS)</w:t>
            </w:r>
          </w:p>
        </w:tc>
        <w:tc>
          <w:tcPr>
            <w:tcW w:w="1352" w:type="dxa"/>
            <w:vMerge w:val="restart"/>
            <w:vAlign w:val="center"/>
          </w:tcPr>
          <w:p w:rsidR="003742E5" w:rsidRPr="00D27F5A" w:rsidP="00DE3380" w14:paraId="5DD031A6" w14:textId="77777777">
            <w:pPr>
              <w:jc w:val="center"/>
              <w:rPr>
                <w:sz w:val="16"/>
                <w:szCs w:val="16"/>
              </w:rPr>
            </w:pPr>
            <w:r w:rsidRPr="00D27F5A">
              <w:rPr>
                <w:sz w:val="16"/>
                <w:szCs w:val="16"/>
              </w:rPr>
              <w:t>****</w:t>
            </w:r>
          </w:p>
        </w:tc>
        <w:tc>
          <w:tcPr>
            <w:tcW w:w="2605" w:type="dxa"/>
            <w:vAlign w:val="center"/>
          </w:tcPr>
          <w:p w:rsidR="003742E5" w:rsidRPr="005425A9" w:rsidP="003742E5" w14:paraId="170D9396" w14:textId="77777777">
            <w:pPr>
              <w:rPr>
                <w:sz w:val="16"/>
                <w:szCs w:val="16"/>
              </w:rPr>
            </w:pPr>
            <w:r>
              <w:rPr>
                <w:sz w:val="16"/>
                <w:szCs w:val="16"/>
              </w:rPr>
              <w:t>N</w:t>
            </w:r>
            <w:r w:rsidRPr="005425A9">
              <w:rPr>
                <w:sz w:val="16"/>
                <w:szCs w:val="16"/>
              </w:rPr>
              <w:t>áklady spojené s žádostmi o</w:t>
            </w:r>
            <w:r>
              <w:rPr>
                <w:sz w:val="16"/>
                <w:szCs w:val="16"/>
              </w:rPr>
              <w:t> </w:t>
            </w:r>
            <w:r w:rsidRPr="005425A9">
              <w:rPr>
                <w:sz w:val="16"/>
                <w:szCs w:val="16"/>
              </w:rPr>
              <w:t>vydání oprávnění (Kč/subjekt)</w:t>
            </w:r>
          </w:p>
        </w:tc>
        <w:tc>
          <w:tcPr>
            <w:tcW w:w="1628" w:type="dxa"/>
            <w:vAlign w:val="center"/>
          </w:tcPr>
          <w:p w:rsidR="003742E5" w:rsidP="00DE3380" w14:paraId="7EE392A4" w14:textId="77777777">
            <w:pPr>
              <w:jc w:val="center"/>
              <w:rPr>
                <w:sz w:val="16"/>
                <w:szCs w:val="16"/>
              </w:rPr>
            </w:pPr>
            <w:r w:rsidRPr="00F727A9">
              <w:rPr>
                <w:sz w:val="16"/>
                <w:szCs w:val="16"/>
              </w:rPr>
              <w:t>2 mil. Kč</w:t>
            </w:r>
            <w:r>
              <w:rPr>
                <w:sz w:val="16"/>
                <w:szCs w:val="16"/>
              </w:rPr>
              <w:t xml:space="preserve"> (nové subjekty)</w:t>
            </w:r>
          </w:p>
          <w:p w:rsidR="003742E5" w:rsidRPr="00F727A9" w:rsidP="00DE3380" w14:paraId="7B7DA3C5" w14:textId="77777777">
            <w:pPr>
              <w:jc w:val="center"/>
              <w:rPr>
                <w:sz w:val="16"/>
                <w:szCs w:val="16"/>
              </w:rPr>
            </w:pPr>
            <w:r>
              <w:rPr>
                <w:sz w:val="16"/>
                <w:szCs w:val="16"/>
              </w:rPr>
              <w:t>0,3-1 mil. Kč (stávající KS)</w:t>
            </w:r>
          </w:p>
        </w:tc>
      </w:tr>
      <w:tr w14:paraId="634FE3B8" w14:textId="77777777" w:rsidTr="00DE3380">
        <w:tblPrEx>
          <w:tblW w:w="0" w:type="auto"/>
          <w:tblLook w:val="04A0"/>
        </w:tblPrEx>
        <w:tc>
          <w:tcPr>
            <w:tcW w:w="572" w:type="dxa"/>
            <w:vMerge/>
            <w:vAlign w:val="center"/>
          </w:tcPr>
          <w:p w:rsidR="003742E5" w:rsidRPr="005E5A71" w:rsidP="00DE3380" w14:paraId="1F2E0E1B" w14:textId="77777777">
            <w:pPr>
              <w:spacing w:before="20" w:after="20"/>
              <w:jc w:val="center"/>
              <w:rPr>
                <w:sz w:val="16"/>
                <w:szCs w:val="16"/>
              </w:rPr>
            </w:pPr>
          </w:p>
        </w:tc>
        <w:tc>
          <w:tcPr>
            <w:tcW w:w="2905" w:type="dxa"/>
            <w:vMerge/>
            <w:vAlign w:val="center"/>
          </w:tcPr>
          <w:p w:rsidR="003742E5" w:rsidRPr="005425A9" w:rsidP="00DE3380" w14:paraId="44DFEA7D" w14:textId="77777777">
            <w:pPr>
              <w:jc w:val="center"/>
              <w:rPr>
                <w:sz w:val="16"/>
                <w:szCs w:val="16"/>
              </w:rPr>
            </w:pPr>
          </w:p>
        </w:tc>
        <w:tc>
          <w:tcPr>
            <w:tcW w:w="1352" w:type="dxa"/>
            <w:vMerge/>
            <w:vAlign w:val="center"/>
          </w:tcPr>
          <w:p w:rsidR="003742E5" w:rsidRPr="005425A9" w:rsidP="00DE3380" w14:paraId="5D339E97" w14:textId="77777777">
            <w:pPr>
              <w:jc w:val="center"/>
              <w:rPr>
                <w:sz w:val="16"/>
                <w:szCs w:val="16"/>
              </w:rPr>
            </w:pPr>
          </w:p>
        </w:tc>
        <w:tc>
          <w:tcPr>
            <w:tcW w:w="2605" w:type="dxa"/>
            <w:vAlign w:val="center"/>
          </w:tcPr>
          <w:p w:rsidR="003742E5" w:rsidRPr="005425A9" w:rsidP="003742E5" w14:paraId="2057F740" w14:textId="77777777">
            <w:pPr>
              <w:rPr>
                <w:sz w:val="16"/>
                <w:szCs w:val="16"/>
              </w:rPr>
            </w:pPr>
            <w:r w:rsidRPr="005425A9">
              <w:rPr>
                <w:sz w:val="16"/>
                <w:szCs w:val="16"/>
              </w:rPr>
              <w:t xml:space="preserve">Stávající KS – v případě přesmluvnění </w:t>
            </w:r>
          </w:p>
        </w:tc>
        <w:tc>
          <w:tcPr>
            <w:tcW w:w="1628" w:type="dxa"/>
            <w:vAlign w:val="center"/>
          </w:tcPr>
          <w:p w:rsidR="003742E5" w:rsidRPr="00F727A9" w:rsidP="00DE3380" w14:paraId="69B51768" w14:textId="77777777">
            <w:pPr>
              <w:jc w:val="center"/>
              <w:rPr>
                <w:sz w:val="16"/>
                <w:szCs w:val="16"/>
              </w:rPr>
            </w:pPr>
            <w:r>
              <w:rPr>
                <w:sz w:val="16"/>
                <w:szCs w:val="16"/>
              </w:rPr>
              <w:t>desítky mil. Kč</w:t>
            </w:r>
          </w:p>
        </w:tc>
      </w:tr>
      <w:tr w14:paraId="4A0710B1" w14:textId="77777777" w:rsidTr="00DE3380">
        <w:tblPrEx>
          <w:tblW w:w="0" w:type="auto"/>
          <w:tblLook w:val="04A0"/>
        </w:tblPrEx>
        <w:trPr>
          <w:trHeight w:val="425"/>
        </w:trPr>
        <w:tc>
          <w:tcPr>
            <w:tcW w:w="572" w:type="dxa"/>
            <w:vAlign w:val="center"/>
          </w:tcPr>
          <w:p w:rsidR="003742E5" w:rsidRPr="005E5A71" w:rsidP="00DE3380" w14:paraId="0ADFFC1D" w14:textId="77777777">
            <w:pPr>
              <w:jc w:val="center"/>
              <w:rPr>
                <w:rFonts w:cs="Arial"/>
                <w:sz w:val="16"/>
                <w:szCs w:val="16"/>
              </w:rPr>
            </w:pPr>
            <w:r>
              <w:rPr>
                <w:rFonts w:cs="Arial"/>
                <w:sz w:val="16"/>
                <w:szCs w:val="16"/>
              </w:rPr>
              <w:t>5</w:t>
            </w:r>
          </w:p>
        </w:tc>
        <w:tc>
          <w:tcPr>
            <w:tcW w:w="2905" w:type="dxa"/>
            <w:vAlign w:val="center"/>
          </w:tcPr>
          <w:p w:rsidR="003742E5" w:rsidRPr="005425A9" w:rsidP="00DE3380" w14:paraId="4DD79816" w14:textId="77777777">
            <w:pPr>
              <w:spacing w:before="0" w:after="0"/>
              <w:rPr>
                <w:sz w:val="16"/>
                <w:szCs w:val="16"/>
              </w:rPr>
            </w:pPr>
          </w:p>
          <w:p w:rsidR="003742E5" w:rsidRPr="005425A9" w:rsidP="00DE3380" w14:paraId="62F25CA1" w14:textId="77777777">
            <w:pPr>
              <w:spacing w:before="0" w:after="0"/>
              <w:rPr>
                <w:sz w:val="16"/>
                <w:szCs w:val="16"/>
              </w:rPr>
            </w:pPr>
            <w:r w:rsidRPr="005425A9">
              <w:rPr>
                <w:sz w:val="16"/>
                <w:szCs w:val="16"/>
              </w:rPr>
              <w:t>KS</w:t>
            </w:r>
            <w:r>
              <w:rPr>
                <w:sz w:val="16"/>
                <w:szCs w:val="16"/>
              </w:rPr>
              <w:t xml:space="preserve"> </w:t>
            </w:r>
            <w:r w:rsidRPr="005425A9">
              <w:rPr>
                <w:sz w:val="16"/>
                <w:szCs w:val="16"/>
              </w:rPr>
              <w:t xml:space="preserve">- </w:t>
            </w:r>
            <w:r w:rsidRPr="005425A9">
              <w:rPr>
                <w:rFonts w:cs="Arial"/>
                <w:sz w:val="16"/>
                <w:szCs w:val="16"/>
              </w:rPr>
              <w:t xml:space="preserve">Vyšší právní jistota, transparentnost, možnost volby vhodnější právní formy </w:t>
            </w:r>
          </w:p>
          <w:p w:rsidR="003742E5" w:rsidRPr="005425A9" w:rsidP="00DE3380" w14:paraId="06D88820" w14:textId="77777777">
            <w:pPr>
              <w:spacing w:before="0" w:after="0"/>
              <w:jc w:val="center"/>
              <w:rPr>
                <w:rFonts w:cs="Arial"/>
                <w:sz w:val="16"/>
                <w:szCs w:val="16"/>
              </w:rPr>
            </w:pPr>
          </w:p>
        </w:tc>
        <w:tc>
          <w:tcPr>
            <w:tcW w:w="1352" w:type="dxa"/>
            <w:vAlign w:val="center"/>
          </w:tcPr>
          <w:p w:rsidR="003742E5" w:rsidRPr="005425A9" w:rsidP="00DE3380" w14:paraId="3BEADBDD" w14:textId="77777777">
            <w:pPr>
              <w:spacing w:before="0" w:after="0"/>
              <w:jc w:val="center"/>
              <w:rPr>
                <w:sz w:val="16"/>
                <w:szCs w:val="16"/>
              </w:rPr>
            </w:pPr>
            <w:r w:rsidRPr="005425A9">
              <w:rPr>
                <w:sz w:val="16"/>
                <w:szCs w:val="16"/>
              </w:rPr>
              <w:t>*</w:t>
            </w:r>
          </w:p>
        </w:tc>
        <w:tc>
          <w:tcPr>
            <w:tcW w:w="2605" w:type="dxa"/>
            <w:vAlign w:val="center"/>
          </w:tcPr>
          <w:p w:rsidR="003742E5" w:rsidRPr="005425A9" w:rsidP="003742E5" w14:paraId="3C017584" w14:textId="77777777">
            <w:pPr>
              <w:spacing w:before="0" w:after="0"/>
              <w:rPr>
                <w:sz w:val="16"/>
                <w:szCs w:val="16"/>
              </w:rPr>
            </w:pPr>
            <w:r w:rsidRPr="005425A9">
              <w:rPr>
                <w:rFonts w:cs="Arial"/>
                <w:sz w:val="16"/>
                <w:szCs w:val="16"/>
              </w:rPr>
              <w:t>Náklady na přizpůsobení se požadavkům specifikovaným MŽP</w:t>
            </w:r>
          </w:p>
        </w:tc>
        <w:tc>
          <w:tcPr>
            <w:tcW w:w="1628" w:type="dxa"/>
            <w:vAlign w:val="center"/>
          </w:tcPr>
          <w:p w:rsidR="003742E5" w:rsidRPr="00F727A9" w:rsidP="00DE3380" w14:paraId="1F0626B1" w14:textId="77777777">
            <w:pPr>
              <w:spacing w:before="0" w:after="0"/>
              <w:jc w:val="center"/>
              <w:rPr>
                <w:sz w:val="16"/>
                <w:szCs w:val="16"/>
              </w:rPr>
            </w:pPr>
            <w:r>
              <w:rPr>
                <w:sz w:val="16"/>
                <w:szCs w:val="16"/>
              </w:rPr>
              <w:t>*</w:t>
            </w:r>
          </w:p>
        </w:tc>
      </w:tr>
      <w:tr w14:paraId="71DCCD22" w14:textId="77777777" w:rsidTr="00DE3380">
        <w:tblPrEx>
          <w:tblW w:w="0" w:type="auto"/>
          <w:tblLook w:val="04A0"/>
        </w:tblPrEx>
        <w:tc>
          <w:tcPr>
            <w:tcW w:w="572" w:type="dxa"/>
            <w:vAlign w:val="center"/>
          </w:tcPr>
          <w:p w:rsidR="003742E5" w:rsidRPr="005E5A71" w:rsidP="00DE3380" w14:paraId="0C183F94" w14:textId="77777777">
            <w:pPr>
              <w:spacing w:before="20" w:after="20"/>
              <w:jc w:val="center"/>
              <w:rPr>
                <w:rFonts w:cs="Arial"/>
                <w:sz w:val="16"/>
                <w:szCs w:val="16"/>
              </w:rPr>
            </w:pPr>
            <w:r>
              <w:rPr>
                <w:rFonts w:cs="Arial"/>
                <w:sz w:val="16"/>
                <w:szCs w:val="16"/>
              </w:rPr>
              <w:t>6</w:t>
            </w:r>
          </w:p>
        </w:tc>
        <w:tc>
          <w:tcPr>
            <w:tcW w:w="2905" w:type="dxa"/>
            <w:vAlign w:val="center"/>
          </w:tcPr>
          <w:p w:rsidR="003742E5" w:rsidRPr="005425A9" w:rsidP="00DE3380" w14:paraId="194BCC1D" w14:textId="77777777">
            <w:pPr>
              <w:spacing w:before="20" w:after="20"/>
              <w:jc w:val="center"/>
              <w:rPr>
                <w:sz w:val="16"/>
                <w:szCs w:val="16"/>
              </w:rPr>
            </w:pPr>
          </w:p>
        </w:tc>
        <w:tc>
          <w:tcPr>
            <w:tcW w:w="1352" w:type="dxa"/>
            <w:vAlign w:val="center"/>
          </w:tcPr>
          <w:p w:rsidR="003742E5" w:rsidRPr="005425A9" w:rsidP="00DE3380" w14:paraId="0BE2229F" w14:textId="77777777">
            <w:pPr>
              <w:jc w:val="center"/>
              <w:rPr>
                <w:sz w:val="16"/>
                <w:szCs w:val="16"/>
              </w:rPr>
            </w:pPr>
          </w:p>
        </w:tc>
        <w:tc>
          <w:tcPr>
            <w:tcW w:w="2605" w:type="dxa"/>
            <w:vAlign w:val="center"/>
          </w:tcPr>
          <w:p w:rsidR="003742E5" w:rsidRPr="005425A9" w:rsidP="003742E5" w14:paraId="7D56D612" w14:textId="77777777">
            <w:pPr>
              <w:spacing w:before="60"/>
              <w:rPr>
                <w:sz w:val="16"/>
                <w:szCs w:val="16"/>
              </w:rPr>
            </w:pPr>
            <w:r>
              <w:rPr>
                <w:rFonts w:cs="Arial"/>
                <w:sz w:val="16"/>
                <w:szCs w:val="16"/>
              </w:rPr>
              <w:t>N</w:t>
            </w:r>
            <w:r w:rsidRPr="005425A9">
              <w:rPr>
                <w:rFonts w:cs="Arial"/>
                <w:sz w:val="16"/>
                <w:szCs w:val="16"/>
              </w:rPr>
              <w:t xml:space="preserve">áklady KS spojené s prokázováním dostatečných finančních záruk – zahrnuto v nákladech na </w:t>
            </w:r>
            <w:r>
              <w:rPr>
                <w:rFonts w:cs="Arial"/>
                <w:sz w:val="16"/>
                <w:szCs w:val="16"/>
              </w:rPr>
              <w:t>žádost o vydání oprávnění (bod 4</w:t>
            </w:r>
            <w:r w:rsidRPr="005425A9">
              <w:rPr>
                <w:rFonts w:cs="Arial"/>
                <w:sz w:val="16"/>
                <w:szCs w:val="16"/>
              </w:rPr>
              <w:t>)</w:t>
            </w:r>
          </w:p>
        </w:tc>
        <w:tc>
          <w:tcPr>
            <w:tcW w:w="1628" w:type="dxa"/>
            <w:vAlign w:val="center"/>
          </w:tcPr>
          <w:p w:rsidR="003742E5" w:rsidRPr="00F727A9" w:rsidP="00DE3380" w14:paraId="075F661B" w14:textId="77777777">
            <w:pPr>
              <w:jc w:val="center"/>
              <w:rPr>
                <w:sz w:val="16"/>
                <w:szCs w:val="16"/>
              </w:rPr>
            </w:pPr>
          </w:p>
        </w:tc>
      </w:tr>
      <w:tr w14:paraId="6A7EB7D8" w14:textId="77777777" w:rsidTr="00DE3380">
        <w:tblPrEx>
          <w:tblW w:w="0" w:type="auto"/>
          <w:tblLook w:val="04A0"/>
        </w:tblPrEx>
        <w:tc>
          <w:tcPr>
            <w:tcW w:w="572" w:type="dxa"/>
            <w:vMerge w:val="restart"/>
            <w:vAlign w:val="center"/>
          </w:tcPr>
          <w:p w:rsidR="003742E5" w:rsidRPr="005E5A71" w:rsidP="00DE3380" w14:paraId="3EB67B73" w14:textId="77777777">
            <w:pPr>
              <w:spacing w:before="20" w:after="20"/>
              <w:jc w:val="center"/>
              <w:rPr>
                <w:rFonts w:cs="Arial"/>
                <w:sz w:val="16"/>
                <w:szCs w:val="16"/>
              </w:rPr>
            </w:pPr>
            <w:r>
              <w:rPr>
                <w:rFonts w:cs="Arial"/>
                <w:sz w:val="16"/>
                <w:szCs w:val="16"/>
              </w:rPr>
              <w:t>8</w:t>
            </w:r>
          </w:p>
        </w:tc>
        <w:tc>
          <w:tcPr>
            <w:tcW w:w="2905" w:type="dxa"/>
            <w:vMerge w:val="restart"/>
            <w:vAlign w:val="center"/>
          </w:tcPr>
          <w:p w:rsidR="003742E5" w:rsidRPr="005425A9" w:rsidP="00DE3380" w14:paraId="79AACC68" w14:textId="77777777">
            <w:pPr>
              <w:spacing w:before="20" w:after="20"/>
              <w:jc w:val="center"/>
              <w:rPr>
                <w:rFonts w:cs="Arial"/>
                <w:sz w:val="16"/>
                <w:szCs w:val="16"/>
              </w:rPr>
            </w:pPr>
          </w:p>
        </w:tc>
        <w:tc>
          <w:tcPr>
            <w:tcW w:w="1352" w:type="dxa"/>
            <w:vMerge w:val="restart"/>
            <w:vAlign w:val="center"/>
          </w:tcPr>
          <w:p w:rsidR="003742E5" w:rsidRPr="005425A9" w:rsidP="00DE3380" w14:paraId="2870A59F" w14:textId="77777777">
            <w:pPr>
              <w:jc w:val="center"/>
              <w:rPr>
                <w:sz w:val="16"/>
                <w:szCs w:val="16"/>
              </w:rPr>
            </w:pPr>
          </w:p>
        </w:tc>
        <w:tc>
          <w:tcPr>
            <w:tcW w:w="2605" w:type="dxa"/>
            <w:vAlign w:val="center"/>
          </w:tcPr>
          <w:p w:rsidR="003742E5" w:rsidRPr="005425A9" w:rsidP="003742E5" w14:paraId="048E97B6" w14:textId="77777777">
            <w:pPr>
              <w:spacing w:before="60"/>
              <w:rPr>
                <w:rFonts w:cs="Arial"/>
                <w:sz w:val="16"/>
                <w:szCs w:val="16"/>
              </w:rPr>
            </w:pPr>
            <w:r w:rsidRPr="005425A9">
              <w:rPr>
                <w:rFonts w:cs="Arial"/>
                <w:sz w:val="16"/>
                <w:szCs w:val="16"/>
              </w:rPr>
              <w:t>KS – jednorázové zvýšení administrativní zátěže z důvodu kalkulace příspěvků</w:t>
            </w:r>
          </w:p>
        </w:tc>
        <w:tc>
          <w:tcPr>
            <w:tcW w:w="1628" w:type="dxa"/>
            <w:vAlign w:val="center"/>
          </w:tcPr>
          <w:p w:rsidR="003742E5" w:rsidP="00DE3380" w14:paraId="6D5ED783" w14:textId="77777777">
            <w:pPr>
              <w:jc w:val="center"/>
              <w:rPr>
                <w:sz w:val="16"/>
                <w:szCs w:val="16"/>
              </w:rPr>
            </w:pPr>
            <w:r>
              <w:rPr>
                <w:sz w:val="16"/>
                <w:szCs w:val="16"/>
              </w:rPr>
              <w:t>137 tis. Kč</w:t>
            </w:r>
          </w:p>
        </w:tc>
      </w:tr>
      <w:tr w14:paraId="721C20C8" w14:textId="77777777" w:rsidTr="00DE3380">
        <w:tblPrEx>
          <w:tblW w:w="0" w:type="auto"/>
          <w:tblLook w:val="04A0"/>
        </w:tblPrEx>
        <w:tc>
          <w:tcPr>
            <w:tcW w:w="572" w:type="dxa"/>
            <w:vMerge/>
            <w:vAlign w:val="center"/>
          </w:tcPr>
          <w:p w:rsidR="003742E5" w:rsidRPr="005E5A71" w:rsidP="00DE3380" w14:paraId="1A5FD208" w14:textId="77777777">
            <w:pPr>
              <w:spacing w:before="20" w:after="20"/>
              <w:jc w:val="center"/>
              <w:rPr>
                <w:rFonts w:cs="Arial"/>
                <w:sz w:val="16"/>
                <w:szCs w:val="16"/>
              </w:rPr>
            </w:pPr>
          </w:p>
        </w:tc>
        <w:tc>
          <w:tcPr>
            <w:tcW w:w="2905" w:type="dxa"/>
            <w:vMerge/>
            <w:vAlign w:val="center"/>
          </w:tcPr>
          <w:p w:rsidR="003742E5" w:rsidRPr="005425A9" w:rsidP="00DE3380" w14:paraId="69093A58" w14:textId="77777777">
            <w:pPr>
              <w:spacing w:before="20" w:after="20"/>
              <w:jc w:val="center"/>
              <w:rPr>
                <w:rFonts w:cs="Arial"/>
                <w:sz w:val="16"/>
                <w:szCs w:val="16"/>
              </w:rPr>
            </w:pPr>
          </w:p>
        </w:tc>
        <w:tc>
          <w:tcPr>
            <w:tcW w:w="1352" w:type="dxa"/>
            <w:vMerge/>
            <w:vAlign w:val="center"/>
          </w:tcPr>
          <w:p w:rsidR="003742E5" w:rsidRPr="005425A9" w:rsidP="00DE3380" w14:paraId="22104013" w14:textId="77777777">
            <w:pPr>
              <w:jc w:val="center"/>
              <w:rPr>
                <w:sz w:val="16"/>
                <w:szCs w:val="16"/>
              </w:rPr>
            </w:pPr>
          </w:p>
        </w:tc>
        <w:tc>
          <w:tcPr>
            <w:tcW w:w="2605" w:type="dxa"/>
            <w:vAlign w:val="center"/>
          </w:tcPr>
          <w:p w:rsidR="003742E5" w:rsidRPr="005425A9" w:rsidP="003742E5" w14:paraId="6476E747" w14:textId="77777777">
            <w:pPr>
              <w:spacing w:before="60"/>
              <w:rPr>
                <w:rFonts w:cs="Arial"/>
                <w:sz w:val="16"/>
                <w:szCs w:val="16"/>
              </w:rPr>
            </w:pPr>
            <w:r w:rsidRPr="005425A9">
              <w:rPr>
                <w:rFonts w:cs="Arial"/>
                <w:sz w:val="16"/>
                <w:szCs w:val="16"/>
              </w:rPr>
              <w:t>KS – odborná studie jako podklad pro ekomodulaci</w:t>
            </w:r>
          </w:p>
        </w:tc>
        <w:tc>
          <w:tcPr>
            <w:tcW w:w="1628" w:type="dxa"/>
            <w:vAlign w:val="center"/>
          </w:tcPr>
          <w:p w:rsidR="003742E5" w:rsidRPr="00F727A9" w:rsidP="00DE3380" w14:paraId="4093687C" w14:textId="77777777">
            <w:pPr>
              <w:jc w:val="center"/>
              <w:rPr>
                <w:sz w:val="16"/>
                <w:szCs w:val="16"/>
              </w:rPr>
            </w:pPr>
            <w:r>
              <w:rPr>
                <w:sz w:val="16"/>
                <w:szCs w:val="16"/>
              </w:rPr>
              <w:t>200 tis. Kč/skupinu výrobků</w:t>
            </w:r>
          </w:p>
        </w:tc>
      </w:tr>
      <w:tr w14:paraId="56D33E37" w14:textId="77777777" w:rsidTr="00DE3380">
        <w:tblPrEx>
          <w:tblW w:w="0" w:type="auto"/>
          <w:tblLook w:val="04A0"/>
        </w:tblPrEx>
        <w:tc>
          <w:tcPr>
            <w:tcW w:w="572" w:type="dxa"/>
            <w:vMerge/>
            <w:vAlign w:val="center"/>
          </w:tcPr>
          <w:p w:rsidR="003742E5" w:rsidRPr="005E5A71" w:rsidP="00DE3380" w14:paraId="3C227A4A" w14:textId="77777777">
            <w:pPr>
              <w:spacing w:before="20" w:after="20"/>
              <w:jc w:val="center"/>
              <w:rPr>
                <w:rFonts w:cs="Arial"/>
                <w:sz w:val="16"/>
                <w:szCs w:val="16"/>
              </w:rPr>
            </w:pPr>
          </w:p>
        </w:tc>
        <w:tc>
          <w:tcPr>
            <w:tcW w:w="2905" w:type="dxa"/>
            <w:vMerge/>
            <w:vAlign w:val="center"/>
          </w:tcPr>
          <w:p w:rsidR="003742E5" w:rsidRPr="005425A9" w:rsidP="00DE3380" w14:paraId="11BA3670" w14:textId="77777777">
            <w:pPr>
              <w:spacing w:before="20" w:after="20"/>
              <w:jc w:val="center"/>
              <w:rPr>
                <w:rFonts w:cs="Arial"/>
                <w:sz w:val="16"/>
                <w:szCs w:val="16"/>
              </w:rPr>
            </w:pPr>
          </w:p>
        </w:tc>
        <w:tc>
          <w:tcPr>
            <w:tcW w:w="1352" w:type="dxa"/>
            <w:vMerge/>
            <w:vAlign w:val="center"/>
          </w:tcPr>
          <w:p w:rsidR="003742E5" w:rsidRPr="005425A9" w:rsidP="00DE3380" w14:paraId="2FC71A17" w14:textId="77777777">
            <w:pPr>
              <w:jc w:val="center"/>
              <w:rPr>
                <w:sz w:val="16"/>
                <w:szCs w:val="16"/>
              </w:rPr>
            </w:pPr>
          </w:p>
        </w:tc>
        <w:tc>
          <w:tcPr>
            <w:tcW w:w="2605" w:type="dxa"/>
            <w:vAlign w:val="center"/>
          </w:tcPr>
          <w:p w:rsidR="003742E5" w:rsidRPr="005425A9" w:rsidP="003742E5" w14:paraId="0440AF10" w14:textId="77777777">
            <w:pPr>
              <w:spacing w:before="60"/>
              <w:rPr>
                <w:rFonts w:cs="Arial"/>
                <w:sz w:val="16"/>
                <w:szCs w:val="16"/>
              </w:rPr>
            </w:pPr>
            <w:r w:rsidRPr="005425A9">
              <w:rPr>
                <w:rFonts w:cs="Arial"/>
                <w:sz w:val="16"/>
                <w:szCs w:val="16"/>
              </w:rPr>
              <w:t>Výrobci – změna výše příspěvků na zajištění sdruženého plnění (rozdílná výše příspěvků pro</w:t>
            </w:r>
            <w:r>
              <w:rPr>
                <w:rFonts w:cs="Arial"/>
                <w:sz w:val="16"/>
                <w:szCs w:val="16"/>
              </w:rPr>
              <w:t> </w:t>
            </w:r>
            <w:r w:rsidRPr="005425A9">
              <w:rPr>
                <w:rFonts w:cs="Arial"/>
                <w:sz w:val="16"/>
                <w:szCs w:val="16"/>
              </w:rPr>
              <w:t>jednotlivé výrobky)</w:t>
            </w:r>
          </w:p>
        </w:tc>
        <w:tc>
          <w:tcPr>
            <w:tcW w:w="1628" w:type="dxa"/>
            <w:vAlign w:val="center"/>
          </w:tcPr>
          <w:p w:rsidR="003742E5" w:rsidP="00DE3380" w14:paraId="4088AFF6" w14:textId="77777777">
            <w:pPr>
              <w:jc w:val="center"/>
              <w:rPr>
                <w:sz w:val="16"/>
                <w:szCs w:val="16"/>
              </w:rPr>
            </w:pPr>
            <w:r>
              <w:rPr>
                <w:sz w:val="16"/>
                <w:szCs w:val="16"/>
              </w:rPr>
              <w:t>**</w:t>
            </w:r>
          </w:p>
        </w:tc>
      </w:tr>
      <w:tr w14:paraId="05ACF1E0" w14:textId="77777777" w:rsidTr="00DE3380">
        <w:tblPrEx>
          <w:tblW w:w="0" w:type="auto"/>
          <w:tblLook w:val="04A0"/>
        </w:tblPrEx>
        <w:tc>
          <w:tcPr>
            <w:tcW w:w="572" w:type="dxa"/>
            <w:vMerge w:val="restart"/>
            <w:vAlign w:val="center"/>
          </w:tcPr>
          <w:p w:rsidR="003742E5" w:rsidP="00DE3380" w14:paraId="0106B99F" w14:textId="77777777">
            <w:pPr>
              <w:spacing w:before="20" w:after="20"/>
              <w:jc w:val="center"/>
              <w:rPr>
                <w:sz w:val="16"/>
                <w:szCs w:val="16"/>
              </w:rPr>
            </w:pPr>
            <w:r>
              <w:rPr>
                <w:sz w:val="16"/>
                <w:szCs w:val="16"/>
              </w:rPr>
              <w:t>9</w:t>
            </w:r>
          </w:p>
        </w:tc>
        <w:tc>
          <w:tcPr>
            <w:tcW w:w="2905" w:type="dxa"/>
            <w:vMerge w:val="restart"/>
            <w:vAlign w:val="center"/>
          </w:tcPr>
          <w:p w:rsidR="003742E5" w:rsidRPr="005425A9" w:rsidP="00DE3380" w14:paraId="7A0BC2FA" w14:textId="77777777">
            <w:pPr>
              <w:spacing w:before="20" w:after="20"/>
              <w:jc w:val="center"/>
              <w:rPr>
                <w:rFonts w:cs="Arial"/>
                <w:sz w:val="16"/>
                <w:szCs w:val="16"/>
              </w:rPr>
            </w:pPr>
          </w:p>
        </w:tc>
        <w:tc>
          <w:tcPr>
            <w:tcW w:w="1352" w:type="dxa"/>
            <w:vMerge w:val="restart"/>
            <w:vAlign w:val="center"/>
          </w:tcPr>
          <w:p w:rsidR="003742E5" w:rsidP="00DE3380" w14:paraId="3043F632" w14:textId="77777777">
            <w:pPr>
              <w:jc w:val="center"/>
              <w:rPr>
                <w:sz w:val="16"/>
                <w:szCs w:val="16"/>
              </w:rPr>
            </w:pPr>
          </w:p>
        </w:tc>
        <w:tc>
          <w:tcPr>
            <w:tcW w:w="2605" w:type="dxa"/>
            <w:vAlign w:val="center"/>
          </w:tcPr>
          <w:p w:rsidR="003742E5" w:rsidRPr="002E710D" w:rsidP="003742E5" w14:paraId="3A48A778" w14:textId="77777777">
            <w:pPr>
              <w:rPr>
                <w:rFonts w:cs="Arial"/>
                <w:sz w:val="16"/>
                <w:szCs w:val="16"/>
              </w:rPr>
            </w:pPr>
            <w:r w:rsidRPr="002E710D">
              <w:rPr>
                <w:sz w:val="16"/>
                <w:szCs w:val="16"/>
              </w:rPr>
              <w:t>KS – povinnost vytvářet finanční rezervu</w:t>
            </w:r>
          </w:p>
        </w:tc>
        <w:tc>
          <w:tcPr>
            <w:tcW w:w="1628" w:type="dxa"/>
            <w:vAlign w:val="center"/>
          </w:tcPr>
          <w:p w:rsidR="003742E5" w:rsidRPr="002E710D" w:rsidP="00DE3380" w14:paraId="104D6F21" w14:textId="77777777">
            <w:pPr>
              <w:jc w:val="center"/>
              <w:rPr>
                <w:sz w:val="16"/>
                <w:szCs w:val="16"/>
              </w:rPr>
            </w:pPr>
            <w:r w:rsidRPr="002E710D">
              <w:rPr>
                <w:sz w:val="16"/>
                <w:szCs w:val="16"/>
              </w:rPr>
              <w:t>**</w:t>
            </w:r>
          </w:p>
        </w:tc>
      </w:tr>
      <w:tr w14:paraId="5E48EE46" w14:textId="77777777" w:rsidTr="00DE3380">
        <w:tblPrEx>
          <w:tblW w:w="0" w:type="auto"/>
          <w:tblLook w:val="04A0"/>
        </w:tblPrEx>
        <w:tc>
          <w:tcPr>
            <w:tcW w:w="572" w:type="dxa"/>
            <w:vMerge/>
            <w:vAlign w:val="center"/>
          </w:tcPr>
          <w:p w:rsidR="003742E5" w:rsidP="00DE3380" w14:paraId="56C7CA48" w14:textId="77777777">
            <w:pPr>
              <w:spacing w:before="20" w:after="20"/>
              <w:jc w:val="center"/>
              <w:rPr>
                <w:sz w:val="16"/>
                <w:szCs w:val="16"/>
              </w:rPr>
            </w:pPr>
          </w:p>
        </w:tc>
        <w:tc>
          <w:tcPr>
            <w:tcW w:w="2905" w:type="dxa"/>
            <w:vMerge/>
            <w:vAlign w:val="center"/>
          </w:tcPr>
          <w:p w:rsidR="003742E5" w:rsidRPr="005425A9" w:rsidP="00DE3380" w14:paraId="49A816EE" w14:textId="77777777">
            <w:pPr>
              <w:spacing w:before="20" w:after="20"/>
              <w:jc w:val="center"/>
              <w:rPr>
                <w:rFonts w:cs="Arial"/>
                <w:sz w:val="16"/>
                <w:szCs w:val="16"/>
              </w:rPr>
            </w:pPr>
          </w:p>
        </w:tc>
        <w:tc>
          <w:tcPr>
            <w:tcW w:w="1352" w:type="dxa"/>
            <w:vMerge/>
            <w:vAlign w:val="center"/>
          </w:tcPr>
          <w:p w:rsidR="003742E5" w:rsidP="00DE3380" w14:paraId="50847C15" w14:textId="77777777">
            <w:pPr>
              <w:jc w:val="center"/>
              <w:rPr>
                <w:sz w:val="16"/>
                <w:szCs w:val="16"/>
              </w:rPr>
            </w:pPr>
          </w:p>
        </w:tc>
        <w:tc>
          <w:tcPr>
            <w:tcW w:w="2605" w:type="dxa"/>
            <w:vAlign w:val="center"/>
          </w:tcPr>
          <w:p w:rsidR="003742E5" w:rsidRPr="002E710D" w:rsidP="003742E5" w14:paraId="05990062" w14:textId="77777777">
            <w:pPr>
              <w:rPr>
                <w:rFonts w:cs="Arial"/>
                <w:sz w:val="16"/>
                <w:szCs w:val="16"/>
              </w:rPr>
            </w:pPr>
            <w:r w:rsidRPr="002E710D">
              <w:rPr>
                <w:sz w:val="16"/>
                <w:szCs w:val="16"/>
              </w:rPr>
              <w:t>Výrobci EEZ, kteří využívali KS financovaný „průběžným“ systémem – zdražení příspěvků z důvodu tvorby rezervy KS</w:t>
            </w:r>
          </w:p>
        </w:tc>
        <w:tc>
          <w:tcPr>
            <w:tcW w:w="1628" w:type="dxa"/>
            <w:vAlign w:val="center"/>
          </w:tcPr>
          <w:p w:rsidR="003742E5" w:rsidRPr="002E710D" w:rsidP="00DE3380" w14:paraId="59B05F68" w14:textId="77777777">
            <w:pPr>
              <w:jc w:val="center"/>
              <w:rPr>
                <w:sz w:val="16"/>
                <w:szCs w:val="16"/>
              </w:rPr>
            </w:pPr>
            <w:r w:rsidRPr="002E710D">
              <w:rPr>
                <w:sz w:val="16"/>
                <w:szCs w:val="16"/>
              </w:rPr>
              <w:t>***</w:t>
            </w:r>
          </w:p>
        </w:tc>
      </w:tr>
      <w:tr w14:paraId="03FB60D2" w14:textId="77777777" w:rsidTr="00DE3380">
        <w:tblPrEx>
          <w:tblW w:w="0" w:type="auto"/>
          <w:tblLook w:val="04A0"/>
        </w:tblPrEx>
        <w:tc>
          <w:tcPr>
            <w:tcW w:w="572" w:type="dxa"/>
            <w:vAlign w:val="center"/>
          </w:tcPr>
          <w:p w:rsidR="003742E5" w:rsidRPr="005E5A71" w:rsidP="00DE3380" w14:paraId="2EE9D6F0" w14:textId="77777777">
            <w:pPr>
              <w:spacing w:before="20" w:after="20"/>
              <w:jc w:val="center"/>
              <w:rPr>
                <w:sz w:val="16"/>
                <w:szCs w:val="16"/>
              </w:rPr>
            </w:pPr>
            <w:r>
              <w:rPr>
                <w:sz w:val="16"/>
                <w:szCs w:val="16"/>
              </w:rPr>
              <w:t>10</w:t>
            </w:r>
          </w:p>
        </w:tc>
        <w:tc>
          <w:tcPr>
            <w:tcW w:w="2905" w:type="dxa"/>
            <w:vAlign w:val="center"/>
          </w:tcPr>
          <w:p w:rsidR="003742E5" w:rsidRPr="005425A9" w:rsidP="003742E5" w14:paraId="5BE7710E" w14:textId="77777777">
            <w:pPr>
              <w:spacing w:before="20" w:after="20"/>
              <w:rPr>
                <w:sz w:val="16"/>
                <w:szCs w:val="16"/>
              </w:rPr>
            </w:pPr>
            <w:r>
              <w:rPr>
                <w:rFonts w:cs="Arial"/>
                <w:sz w:val="16"/>
                <w:szCs w:val="16"/>
              </w:rPr>
              <w:t>M</w:t>
            </w:r>
            <w:r w:rsidRPr="005425A9">
              <w:rPr>
                <w:rFonts w:cs="Arial"/>
                <w:sz w:val="16"/>
                <w:szCs w:val="16"/>
              </w:rPr>
              <w:t>ožnost sdílet náklady s ostatními KS, snížení podnikatelských rizik. Motivace KS plnit nad stanovený limit.</w:t>
            </w:r>
          </w:p>
        </w:tc>
        <w:tc>
          <w:tcPr>
            <w:tcW w:w="1352" w:type="dxa"/>
            <w:vAlign w:val="center"/>
          </w:tcPr>
          <w:p w:rsidR="003742E5" w:rsidRPr="005425A9" w:rsidP="00DE3380" w14:paraId="58E904F2" w14:textId="77777777">
            <w:pPr>
              <w:jc w:val="center"/>
              <w:rPr>
                <w:sz w:val="16"/>
                <w:szCs w:val="16"/>
              </w:rPr>
            </w:pPr>
            <w:r>
              <w:rPr>
                <w:sz w:val="16"/>
                <w:szCs w:val="16"/>
              </w:rPr>
              <w:t>**</w:t>
            </w:r>
          </w:p>
        </w:tc>
        <w:tc>
          <w:tcPr>
            <w:tcW w:w="2605" w:type="dxa"/>
            <w:vAlign w:val="center"/>
          </w:tcPr>
          <w:p w:rsidR="003742E5" w:rsidRPr="005425A9" w:rsidP="003742E5" w14:paraId="7E6F901A" w14:textId="77777777">
            <w:pPr>
              <w:rPr>
                <w:sz w:val="16"/>
                <w:szCs w:val="16"/>
              </w:rPr>
            </w:pPr>
            <w:r>
              <w:rPr>
                <w:rFonts w:cs="Arial"/>
                <w:sz w:val="16"/>
                <w:szCs w:val="16"/>
              </w:rPr>
              <w:t>N</w:t>
            </w:r>
            <w:r w:rsidRPr="005425A9">
              <w:rPr>
                <w:rFonts w:cs="Arial"/>
                <w:sz w:val="16"/>
                <w:szCs w:val="16"/>
              </w:rPr>
              <w:t>áklady pro KS v souvislosti s navýšením administrativních nákladů</w:t>
            </w:r>
          </w:p>
        </w:tc>
        <w:tc>
          <w:tcPr>
            <w:tcW w:w="1628" w:type="dxa"/>
            <w:vAlign w:val="center"/>
          </w:tcPr>
          <w:p w:rsidR="003742E5" w:rsidRPr="00F727A9" w:rsidP="00DE3380" w14:paraId="18F82DA2" w14:textId="77777777">
            <w:pPr>
              <w:jc w:val="center"/>
              <w:rPr>
                <w:sz w:val="16"/>
                <w:szCs w:val="16"/>
              </w:rPr>
            </w:pPr>
            <w:r>
              <w:rPr>
                <w:sz w:val="16"/>
                <w:szCs w:val="16"/>
              </w:rPr>
              <w:t>*</w:t>
            </w:r>
          </w:p>
        </w:tc>
      </w:tr>
      <w:tr w14:paraId="084D8741" w14:textId="77777777" w:rsidTr="00DE3380">
        <w:tblPrEx>
          <w:tblW w:w="0" w:type="auto"/>
          <w:tblLook w:val="04A0"/>
        </w:tblPrEx>
        <w:tc>
          <w:tcPr>
            <w:tcW w:w="572" w:type="dxa"/>
            <w:vAlign w:val="center"/>
          </w:tcPr>
          <w:p w:rsidR="003742E5" w:rsidRPr="005E5A71" w:rsidP="00DE3380" w14:paraId="5DBDF7E8" w14:textId="77777777">
            <w:pPr>
              <w:spacing w:before="20" w:after="20"/>
              <w:jc w:val="center"/>
              <w:rPr>
                <w:sz w:val="16"/>
                <w:szCs w:val="16"/>
              </w:rPr>
            </w:pPr>
            <w:r>
              <w:rPr>
                <w:sz w:val="16"/>
                <w:szCs w:val="16"/>
              </w:rPr>
              <w:t>11</w:t>
            </w:r>
          </w:p>
        </w:tc>
        <w:tc>
          <w:tcPr>
            <w:tcW w:w="2905" w:type="dxa"/>
            <w:vAlign w:val="center"/>
          </w:tcPr>
          <w:p w:rsidR="003742E5" w:rsidRPr="005425A9" w:rsidP="003742E5" w14:paraId="5BDC7225" w14:textId="77777777">
            <w:pPr>
              <w:spacing w:before="20" w:after="20"/>
              <w:rPr>
                <w:sz w:val="16"/>
                <w:szCs w:val="16"/>
              </w:rPr>
            </w:pPr>
            <w:r>
              <w:rPr>
                <w:sz w:val="16"/>
                <w:szCs w:val="16"/>
              </w:rPr>
              <w:t>P</w:t>
            </w:r>
            <w:r w:rsidRPr="005425A9">
              <w:rPr>
                <w:sz w:val="16"/>
                <w:szCs w:val="16"/>
              </w:rPr>
              <w:t>růběžná kontrola KS - informace pro</w:t>
            </w:r>
            <w:r>
              <w:rPr>
                <w:sz w:val="16"/>
                <w:szCs w:val="16"/>
              </w:rPr>
              <w:t> </w:t>
            </w:r>
            <w:r w:rsidRPr="005425A9">
              <w:rPr>
                <w:sz w:val="16"/>
                <w:szCs w:val="16"/>
              </w:rPr>
              <w:t>výrobce zapojené do KS</w:t>
            </w:r>
          </w:p>
        </w:tc>
        <w:tc>
          <w:tcPr>
            <w:tcW w:w="1352" w:type="dxa"/>
            <w:vAlign w:val="center"/>
          </w:tcPr>
          <w:p w:rsidR="003742E5" w:rsidRPr="005425A9" w:rsidP="00DE3380" w14:paraId="3313E0BD" w14:textId="77777777">
            <w:pPr>
              <w:jc w:val="center"/>
              <w:rPr>
                <w:sz w:val="16"/>
                <w:szCs w:val="16"/>
              </w:rPr>
            </w:pPr>
            <w:r w:rsidRPr="005425A9">
              <w:rPr>
                <w:sz w:val="16"/>
                <w:szCs w:val="16"/>
              </w:rPr>
              <w:t>****</w:t>
            </w:r>
          </w:p>
        </w:tc>
        <w:tc>
          <w:tcPr>
            <w:tcW w:w="2605" w:type="dxa"/>
            <w:vAlign w:val="center"/>
          </w:tcPr>
          <w:p w:rsidR="003742E5" w:rsidRPr="005425A9" w:rsidP="003742E5" w14:paraId="1CA190B3" w14:textId="77777777">
            <w:pPr>
              <w:rPr>
                <w:sz w:val="16"/>
                <w:szCs w:val="16"/>
              </w:rPr>
            </w:pPr>
            <w:r w:rsidRPr="005425A9">
              <w:rPr>
                <w:sz w:val="16"/>
                <w:szCs w:val="16"/>
              </w:rPr>
              <w:t>KS – náklady na audit</w:t>
            </w:r>
          </w:p>
        </w:tc>
        <w:tc>
          <w:tcPr>
            <w:tcW w:w="1628" w:type="dxa"/>
            <w:vAlign w:val="center"/>
          </w:tcPr>
          <w:p w:rsidR="003742E5" w:rsidRPr="00F727A9" w:rsidP="00DE3380" w14:paraId="7D38D4ED" w14:textId="77777777">
            <w:pPr>
              <w:jc w:val="center"/>
              <w:rPr>
                <w:sz w:val="16"/>
                <w:szCs w:val="16"/>
              </w:rPr>
            </w:pPr>
            <w:r>
              <w:rPr>
                <w:sz w:val="16"/>
                <w:szCs w:val="16"/>
              </w:rPr>
              <w:t>100 – 400 tis. Kč/rok</w:t>
            </w:r>
          </w:p>
        </w:tc>
      </w:tr>
      <w:tr w14:paraId="3368A883" w14:textId="77777777" w:rsidTr="00DE3380">
        <w:tblPrEx>
          <w:tblW w:w="0" w:type="auto"/>
          <w:tblLook w:val="04A0"/>
        </w:tblPrEx>
        <w:tc>
          <w:tcPr>
            <w:tcW w:w="572" w:type="dxa"/>
            <w:vAlign w:val="center"/>
          </w:tcPr>
          <w:p w:rsidR="003742E5" w:rsidRPr="005E5A71" w:rsidP="00DE3380" w14:paraId="214A8588" w14:textId="77777777">
            <w:pPr>
              <w:spacing w:before="20" w:after="20"/>
              <w:jc w:val="center"/>
              <w:rPr>
                <w:rFonts w:cs="Arial"/>
                <w:sz w:val="16"/>
                <w:szCs w:val="16"/>
              </w:rPr>
            </w:pPr>
            <w:r>
              <w:rPr>
                <w:rFonts w:cs="Arial"/>
                <w:sz w:val="16"/>
                <w:szCs w:val="16"/>
              </w:rPr>
              <w:t>12</w:t>
            </w:r>
          </w:p>
        </w:tc>
        <w:tc>
          <w:tcPr>
            <w:tcW w:w="2905" w:type="dxa"/>
            <w:vAlign w:val="center"/>
          </w:tcPr>
          <w:p w:rsidR="003742E5" w:rsidRPr="005425A9" w:rsidP="003742E5" w14:paraId="42F17FBB" w14:textId="77777777">
            <w:pPr>
              <w:spacing w:before="20" w:after="20"/>
              <w:rPr>
                <w:rFonts w:cs="Arial"/>
                <w:sz w:val="16"/>
                <w:szCs w:val="16"/>
              </w:rPr>
            </w:pPr>
            <w:r w:rsidRPr="005425A9">
              <w:rPr>
                <w:rFonts w:cs="Arial"/>
                <w:sz w:val="16"/>
                <w:szCs w:val="16"/>
              </w:rPr>
              <w:t>KS – transparentnost, rovné podmínky</w:t>
            </w:r>
          </w:p>
        </w:tc>
        <w:tc>
          <w:tcPr>
            <w:tcW w:w="1352" w:type="dxa"/>
            <w:vAlign w:val="center"/>
          </w:tcPr>
          <w:p w:rsidR="003742E5" w:rsidRPr="005425A9" w:rsidP="00DE3380" w14:paraId="45BE1428" w14:textId="77777777">
            <w:pPr>
              <w:jc w:val="center"/>
              <w:rPr>
                <w:sz w:val="16"/>
                <w:szCs w:val="16"/>
              </w:rPr>
            </w:pPr>
            <w:r w:rsidRPr="005425A9">
              <w:rPr>
                <w:sz w:val="16"/>
                <w:szCs w:val="16"/>
              </w:rPr>
              <w:t>***</w:t>
            </w:r>
          </w:p>
        </w:tc>
        <w:tc>
          <w:tcPr>
            <w:tcW w:w="2605" w:type="dxa"/>
            <w:vAlign w:val="center"/>
          </w:tcPr>
          <w:p w:rsidR="003742E5" w:rsidRPr="005425A9" w:rsidP="003742E5" w14:paraId="2818199A" w14:textId="77777777">
            <w:pPr>
              <w:rPr>
                <w:sz w:val="16"/>
                <w:szCs w:val="16"/>
              </w:rPr>
            </w:pPr>
            <w:r w:rsidRPr="005425A9">
              <w:rPr>
                <w:rFonts w:cs="Arial"/>
                <w:sz w:val="16"/>
                <w:szCs w:val="16"/>
              </w:rPr>
              <w:t>KS - Náklady spojené s přípravou podkladů pro správní řízení</w:t>
            </w:r>
          </w:p>
        </w:tc>
        <w:tc>
          <w:tcPr>
            <w:tcW w:w="1628" w:type="dxa"/>
            <w:vAlign w:val="center"/>
          </w:tcPr>
          <w:p w:rsidR="003742E5" w:rsidRPr="00F727A9" w:rsidP="00DE3380" w14:paraId="3F9ADEF8" w14:textId="77777777">
            <w:pPr>
              <w:jc w:val="center"/>
              <w:rPr>
                <w:sz w:val="16"/>
                <w:szCs w:val="16"/>
              </w:rPr>
            </w:pPr>
            <w:r>
              <w:rPr>
                <w:sz w:val="16"/>
                <w:szCs w:val="16"/>
              </w:rPr>
              <w:t>36</w:t>
            </w:r>
            <w:r w:rsidRPr="00F727A9">
              <w:rPr>
                <w:sz w:val="16"/>
                <w:szCs w:val="16"/>
              </w:rPr>
              <w:t xml:space="preserve"> tis. Kč</w:t>
            </w:r>
          </w:p>
        </w:tc>
      </w:tr>
      <w:tr w14:paraId="55BE8DA6" w14:textId="77777777" w:rsidTr="00DE3380">
        <w:tblPrEx>
          <w:tblW w:w="0" w:type="auto"/>
          <w:tblLook w:val="04A0"/>
        </w:tblPrEx>
        <w:tc>
          <w:tcPr>
            <w:tcW w:w="572" w:type="dxa"/>
            <w:vAlign w:val="center"/>
          </w:tcPr>
          <w:p w:rsidR="003742E5" w:rsidP="00DE3380" w14:paraId="511569F4" w14:textId="77777777">
            <w:pPr>
              <w:jc w:val="center"/>
              <w:rPr>
                <w:rFonts w:cs="Arial"/>
                <w:sz w:val="16"/>
                <w:szCs w:val="16"/>
              </w:rPr>
            </w:pPr>
            <w:r>
              <w:rPr>
                <w:rFonts w:cs="Arial"/>
                <w:sz w:val="16"/>
                <w:szCs w:val="16"/>
              </w:rPr>
              <w:t>13</w:t>
            </w:r>
          </w:p>
        </w:tc>
        <w:tc>
          <w:tcPr>
            <w:tcW w:w="2905" w:type="dxa"/>
            <w:vAlign w:val="center"/>
          </w:tcPr>
          <w:p w:rsidR="003742E5" w:rsidRPr="002E710D" w:rsidP="003742E5" w14:paraId="3D8E909B" w14:textId="77777777">
            <w:pPr>
              <w:rPr>
                <w:sz w:val="16"/>
                <w:szCs w:val="16"/>
              </w:rPr>
            </w:pPr>
            <w:r w:rsidRPr="002E710D">
              <w:rPr>
                <w:rFonts w:cs="Arial"/>
                <w:sz w:val="16"/>
                <w:szCs w:val="16"/>
              </w:rPr>
              <w:t>Ochrana výrobců VUŽ, kteří řádně odvádí do KS příspěvky na ZO VUŽ, aby byly tyto prostřeky účelově využity i v případě zániku KS</w:t>
            </w:r>
          </w:p>
        </w:tc>
        <w:tc>
          <w:tcPr>
            <w:tcW w:w="1352" w:type="dxa"/>
            <w:vAlign w:val="center"/>
          </w:tcPr>
          <w:p w:rsidR="003742E5" w:rsidRPr="002E710D" w:rsidP="00DE3380" w14:paraId="214E516B" w14:textId="77777777">
            <w:pPr>
              <w:jc w:val="center"/>
              <w:rPr>
                <w:sz w:val="16"/>
                <w:szCs w:val="16"/>
              </w:rPr>
            </w:pPr>
            <w:r w:rsidRPr="002E710D">
              <w:rPr>
                <w:sz w:val="16"/>
                <w:szCs w:val="16"/>
              </w:rPr>
              <w:t>****</w:t>
            </w:r>
          </w:p>
        </w:tc>
        <w:tc>
          <w:tcPr>
            <w:tcW w:w="2605" w:type="dxa"/>
            <w:vAlign w:val="center"/>
          </w:tcPr>
          <w:p w:rsidR="003742E5" w:rsidRPr="005425A9" w:rsidP="00DE3380" w14:paraId="549637CF" w14:textId="77777777">
            <w:pPr>
              <w:jc w:val="center"/>
              <w:rPr>
                <w:rFonts w:cs="Arial"/>
                <w:sz w:val="16"/>
                <w:szCs w:val="16"/>
              </w:rPr>
            </w:pPr>
          </w:p>
        </w:tc>
        <w:tc>
          <w:tcPr>
            <w:tcW w:w="1628" w:type="dxa"/>
            <w:vAlign w:val="center"/>
          </w:tcPr>
          <w:p w:rsidR="003742E5" w:rsidRPr="00D62F2B" w:rsidP="00DE3380" w14:paraId="21E7D40C" w14:textId="77777777">
            <w:pPr>
              <w:jc w:val="center"/>
              <w:rPr>
                <w:sz w:val="16"/>
                <w:szCs w:val="16"/>
              </w:rPr>
            </w:pPr>
          </w:p>
        </w:tc>
      </w:tr>
      <w:tr w14:paraId="58581C60" w14:textId="77777777" w:rsidTr="00DE3380">
        <w:tblPrEx>
          <w:tblW w:w="0" w:type="auto"/>
          <w:tblLook w:val="04A0"/>
        </w:tblPrEx>
        <w:tc>
          <w:tcPr>
            <w:tcW w:w="572" w:type="dxa"/>
            <w:vMerge w:val="restart"/>
            <w:vAlign w:val="center"/>
          </w:tcPr>
          <w:p w:rsidR="003742E5" w:rsidP="00DE3380" w14:paraId="0A4D097A" w14:textId="77777777">
            <w:pPr>
              <w:jc w:val="center"/>
              <w:rPr>
                <w:rFonts w:cs="Arial"/>
                <w:sz w:val="16"/>
                <w:szCs w:val="16"/>
              </w:rPr>
            </w:pPr>
            <w:r>
              <w:rPr>
                <w:rFonts w:cs="Arial"/>
                <w:sz w:val="16"/>
                <w:szCs w:val="16"/>
              </w:rPr>
              <w:t>15</w:t>
            </w:r>
          </w:p>
        </w:tc>
        <w:tc>
          <w:tcPr>
            <w:tcW w:w="2905" w:type="dxa"/>
            <w:vAlign w:val="center"/>
          </w:tcPr>
          <w:p w:rsidR="003742E5" w:rsidRPr="002E710D" w:rsidP="003742E5" w14:paraId="48713D93" w14:textId="77777777">
            <w:pPr>
              <w:rPr>
                <w:sz w:val="16"/>
                <w:szCs w:val="16"/>
              </w:rPr>
            </w:pPr>
            <w:r w:rsidRPr="002E710D">
              <w:rPr>
                <w:sz w:val="16"/>
                <w:szCs w:val="16"/>
              </w:rPr>
              <w:t xml:space="preserve">Zamezení freeridingu </w:t>
            </w:r>
            <w:r w:rsidRPr="002E710D">
              <w:rPr>
                <w:rFonts w:cs="Arial"/>
                <w:sz w:val="16"/>
                <w:szCs w:val="16"/>
              </w:rPr>
              <w:t>pro internetové prodejce EEZ ze zemí mimo EU, zejména ze třetích zemí</w:t>
            </w:r>
          </w:p>
        </w:tc>
        <w:tc>
          <w:tcPr>
            <w:tcW w:w="1352" w:type="dxa"/>
            <w:vAlign w:val="center"/>
          </w:tcPr>
          <w:p w:rsidR="003742E5" w:rsidRPr="002E710D" w:rsidP="00DE3380" w14:paraId="3B540958" w14:textId="77777777">
            <w:pPr>
              <w:jc w:val="center"/>
              <w:rPr>
                <w:sz w:val="16"/>
                <w:szCs w:val="16"/>
              </w:rPr>
            </w:pPr>
            <w:r w:rsidRPr="002E710D">
              <w:rPr>
                <w:sz w:val="16"/>
                <w:szCs w:val="16"/>
              </w:rPr>
              <w:t>*****</w:t>
            </w:r>
          </w:p>
        </w:tc>
        <w:tc>
          <w:tcPr>
            <w:tcW w:w="2605" w:type="dxa"/>
            <w:vMerge w:val="restart"/>
            <w:vAlign w:val="center"/>
          </w:tcPr>
          <w:p w:rsidR="003742E5" w:rsidRPr="002E710D" w:rsidP="003742E5" w14:paraId="21F73FC0" w14:textId="77777777">
            <w:pPr>
              <w:rPr>
                <w:rFonts w:cs="Arial"/>
                <w:sz w:val="16"/>
                <w:szCs w:val="16"/>
              </w:rPr>
            </w:pPr>
            <w:r w:rsidRPr="002E710D">
              <w:rPr>
                <w:sz w:val="16"/>
                <w:szCs w:val="16"/>
              </w:rPr>
              <w:t>Poskytovatelé internetového připojení – blokace některých inetrnetových stránek na základě Seznamu nepovolených internetových obchodů</w:t>
            </w:r>
          </w:p>
        </w:tc>
        <w:tc>
          <w:tcPr>
            <w:tcW w:w="1628" w:type="dxa"/>
            <w:vMerge w:val="restart"/>
            <w:vAlign w:val="center"/>
          </w:tcPr>
          <w:p w:rsidR="003742E5" w:rsidRPr="002E710D" w:rsidP="00DE3380" w14:paraId="255566DE" w14:textId="77777777">
            <w:pPr>
              <w:jc w:val="center"/>
              <w:rPr>
                <w:sz w:val="16"/>
                <w:szCs w:val="16"/>
              </w:rPr>
            </w:pPr>
            <w:r w:rsidRPr="002E710D">
              <w:rPr>
                <w:sz w:val="16"/>
                <w:szCs w:val="16"/>
              </w:rPr>
              <w:t>*</w:t>
            </w:r>
          </w:p>
        </w:tc>
      </w:tr>
      <w:tr w14:paraId="4B188F3E" w14:textId="77777777" w:rsidTr="00DE3380">
        <w:tblPrEx>
          <w:tblW w:w="0" w:type="auto"/>
          <w:tblLook w:val="04A0"/>
        </w:tblPrEx>
        <w:tc>
          <w:tcPr>
            <w:tcW w:w="572" w:type="dxa"/>
            <w:vMerge/>
            <w:vAlign w:val="center"/>
          </w:tcPr>
          <w:p w:rsidR="003742E5" w:rsidP="00DE3380" w14:paraId="474584E3" w14:textId="77777777">
            <w:pPr>
              <w:jc w:val="center"/>
              <w:rPr>
                <w:rFonts w:cs="Arial"/>
                <w:sz w:val="16"/>
                <w:szCs w:val="16"/>
              </w:rPr>
            </w:pPr>
          </w:p>
        </w:tc>
        <w:tc>
          <w:tcPr>
            <w:tcW w:w="2905" w:type="dxa"/>
            <w:vAlign w:val="center"/>
          </w:tcPr>
          <w:p w:rsidR="003742E5" w:rsidRPr="002E710D" w:rsidP="003742E5" w14:paraId="5107D586" w14:textId="77777777">
            <w:pPr>
              <w:rPr>
                <w:sz w:val="16"/>
                <w:szCs w:val="16"/>
              </w:rPr>
            </w:pPr>
            <w:r w:rsidRPr="002E710D">
              <w:rPr>
                <w:rFonts w:cs="Arial"/>
                <w:sz w:val="16"/>
                <w:szCs w:val="16"/>
              </w:rPr>
              <w:t>Ochrany zájmů výrobců a prodejců EEZ, kteří řádně plnění zákonné povinosti, snížení nákladů na sběr a</w:t>
            </w:r>
            <w:r>
              <w:rPr>
                <w:rFonts w:cs="Arial"/>
                <w:sz w:val="16"/>
                <w:szCs w:val="16"/>
              </w:rPr>
              <w:t> </w:t>
            </w:r>
            <w:r w:rsidRPr="002E710D">
              <w:rPr>
                <w:rFonts w:cs="Arial"/>
                <w:sz w:val="16"/>
                <w:szCs w:val="16"/>
              </w:rPr>
              <w:t>recyklaci EEZ</w:t>
            </w:r>
          </w:p>
        </w:tc>
        <w:tc>
          <w:tcPr>
            <w:tcW w:w="1352" w:type="dxa"/>
            <w:vAlign w:val="center"/>
          </w:tcPr>
          <w:p w:rsidR="003742E5" w:rsidRPr="002E710D" w:rsidP="00DE3380" w14:paraId="34976673" w14:textId="77777777">
            <w:pPr>
              <w:jc w:val="center"/>
              <w:rPr>
                <w:sz w:val="16"/>
                <w:szCs w:val="16"/>
              </w:rPr>
            </w:pPr>
            <w:r w:rsidRPr="002E710D">
              <w:rPr>
                <w:sz w:val="16"/>
                <w:szCs w:val="16"/>
              </w:rPr>
              <w:t>***</w:t>
            </w:r>
          </w:p>
        </w:tc>
        <w:tc>
          <w:tcPr>
            <w:tcW w:w="2605" w:type="dxa"/>
            <w:vMerge/>
            <w:vAlign w:val="center"/>
          </w:tcPr>
          <w:p w:rsidR="003742E5" w:rsidRPr="002E710D" w:rsidP="003742E5" w14:paraId="2F420B6A" w14:textId="77777777">
            <w:pPr>
              <w:rPr>
                <w:rFonts w:cs="Arial"/>
                <w:sz w:val="16"/>
                <w:szCs w:val="16"/>
              </w:rPr>
            </w:pPr>
          </w:p>
        </w:tc>
        <w:tc>
          <w:tcPr>
            <w:tcW w:w="1628" w:type="dxa"/>
            <w:vMerge/>
            <w:vAlign w:val="center"/>
          </w:tcPr>
          <w:p w:rsidR="003742E5" w:rsidRPr="002E710D" w:rsidP="00DE3380" w14:paraId="13BCBFD8" w14:textId="77777777">
            <w:pPr>
              <w:jc w:val="center"/>
              <w:rPr>
                <w:sz w:val="16"/>
                <w:szCs w:val="16"/>
              </w:rPr>
            </w:pPr>
          </w:p>
        </w:tc>
      </w:tr>
      <w:tr w14:paraId="3B688A18" w14:textId="77777777" w:rsidTr="00DE3380">
        <w:tblPrEx>
          <w:tblW w:w="0" w:type="auto"/>
          <w:tblLook w:val="04A0"/>
        </w:tblPrEx>
        <w:tc>
          <w:tcPr>
            <w:tcW w:w="572" w:type="dxa"/>
            <w:vAlign w:val="center"/>
          </w:tcPr>
          <w:p w:rsidR="003742E5" w:rsidRPr="005E5A71" w:rsidP="00DE3380" w14:paraId="083C2C32" w14:textId="77777777">
            <w:pPr>
              <w:jc w:val="center"/>
              <w:rPr>
                <w:rFonts w:cs="Arial"/>
                <w:sz w:val="16"/>
                <w:szCs w:val="16"/>
              </w:rPr>
            </w:pPr>
            <w:r>
              <w:rPr>
                <w:rFonts w:cs="Arial"/>
                <w:sz w:val="16"/>
                <w:szCs w:val="16"/>
              </w:rPr>
              <w:t>17</w:t>
            </w:r>
          </w:p>
        </w:tc>
        <w:tc>
          <w:tcPr>
            <w:tcW w:w="2905" w:type="dxa"/>
            <w:vAlign w:val="center"/>
          </w:tcPr>
          <w:p w:rsidR="003742E5" w:rsidRPr="005425A9" w:rsidP="003742E5" w14:paraId="07783882" w14:textId="77777777">
            <w:pPr>
              <w:rPr>
                <w:sz w:val="16"/>
                <w:szCs w:val="16"/>
              </w:rPr>
            </w:pPr>
            <w:r>
              <w:rPr>
                <w:sz w:val="16"/>
                <w:szCs w:val="16"/>
              </w:rPr>
              <w:t>Z</w:t>
            </w:r>
            <w:r w:rsidRPr="005425A9">
              <w:rPr>
                <w:sz w:val="16"/>
                <w:szCs w:val="16"/>
              </w:rPr>
              <w:t>amezení free</w:t>
            </w:r>
            <w:r>
              <w:rPr>
                <w:sz w:val="16"/>
                <w:szCs w:val="16"/>
              </w:rPr>
              <w:t>-</w:t>
            </w:r>
            <w:r w:rsidRPr="005425A9">
              <w:rPr>
                <w:sz w:val="16"/>
                <w:szCs w:val="16"/>
              </w:rPr>
              <w:t>ridingu, špatného finančního plánování KS</w:t>
            </w:r>
          </w:p>
        </w:tc>
        <w:tc>
          <w:tcPr>
            <w:tcW w:w="1352" w:type="dxa"/>
            <w:vAlign w:val="center"/>
          </w:tcPr>
          <w:p w:rsidR="003742E5" w:rsidRPr="005425A9" w:rsidP="00DE3380" w14:paraId="2A1C8B80" w14:textId="77777777">
            <w:pPr>
              <w:jc w:val="center"/>
              <w:rPr>
                <w:sz w:val="16"/>
                <w:szCs w:val="16"/>
              </w:rPr>
            </w:pPr>
            <w:r w:rsidRPr="005425A9">
              <w:rPr>
                <w:sz w:val="16"/>
                <w:szCs w:val="16"/>
              </w:rPr>
              <w:t>****</w:t>
            </w:r>
          </w:p>
        </w:tc>
        <w:tc>
          <w:tcPr>
            <w:tcW w:w="2605" w:type="dxa"/>
            <w:vAlign w:val="center"/>
          </w:tcPr>
          <w:p w:rsidR="003742E5" w:rsidRPr="005425A9" w:rsidP="003742E5" w14:paraId="242070CA" w14:textId="77777777">
            <w:pPr>
              <w:rPr>
                <w:rFonts w:cs="Arial"/>
                <w:sz w:val="16"/>
                <w:szCs w:val="16"/>
              </w:rPr>
            </w:pPr>
            <w:r>
              <w:rPr>
                <w:rFonts w:cs="Arial"/>
                <w:sz w:val="16"/>
                <w:szCs w:val="16"/>
              </w:rPr>
              <w:t>O</w:t>
            </w:r>
            <w:r w:rsidRPr="005425A9">
              <w:rPr>
                <w:rFonts w:cs="Arial"/>
                <w:sz w:val="16"/>
                <w:szCs w:val="16"/>
              </w:rPr>
              <w:t>mezení plnění povinnosti ZO pro EEZ</w:t>
            </w:r>
          </w:p>
        </w:tc>
        <w:tc>
          <w:tcPr>
            <w:tcW w:w="1628" w:type="dxa"/>
            <w:vAlign w:val="center"/>
          </w:tcPr>
          <w:p w:rsidR="003742E5" w:rsidRPr="00F727A9" w:rsidP="00DE3380" w14:paraId="0B93AD35" w14:textId="77777777">
            <w:pPr>
              <w:jc w:val="center"/>
              <w:rPr>
                <w:sz w:val="16"/>
                <w:szCs w:val="16"/>
              </w:rPr>
            </w:pPr>
            <w:r w:rsidRPr="00D62F2B">
              <w:rPr>
                <w:sz w:val="16"/>
                <w:szCs w:val="16"/>
              </w:rPr>
              <w:t>**</w:t>
            </w:r>
          </w:p>
        </w:tc>
      </w:tr>
      <w:tr w14:paraId="09B618FF" w14:textId="77777777" w:rsidTr="00DE3380">
        <w:tblPrEx>
          <w:tblW w:w="0" w:type="auto"/>
          <w:tblLook w:val="04A0"/>
        </w:tblPrEx>
        <w:tc>
          <w:tcPr>
            <w:tcW w:w="572" w:type="dxa"/>
            <w:vAlign w:val="center"/>
          </w:tcPr>
          <w:p w:rsidR="003742E5" w:rsidRPr="005E5A71" w:rsidP="00DE3380" w14:paraId="34868B45" w14:textId="77777777">
            <w:pPr>
              <w:jc w:val="center"/>
              <w:rPr>
                <w:sz w:val="16"/>
                <w:szCs w:val="16"/>
              </w:rPr>
            </w:pPr>
            <w:r>
              <w:rPr>
                <w:sz w:val="16"/>
                <w:szCs w:val="16"/>
              </w:rPr>
              <w:t>18</w:t>
            </w:r>
          </w:p>
        </w:tc>
        <w:tc>
          <w:tcPr>
            <w:tcW w:w="2905" w:type="dxa"/>
            <w:vAlign w:val="center"/>
          </w:tcPr>
          <w:p w:rsidR="003742E5" w:rsidRPr="002E710D" w:rsidP="003742E5" w14:paraId="289993A9" w14:textId="77777777">
            <w:pPr>
              <w:rPr>
                <w:sz w:val="16"/>
                <w:szCs w:val="16"/>
              </w:rPr>
            </w:pPr>
            <w:r w:rsidRPr="002E710D">
              <w:rPr>
                <w:sz w:val="16"/>
                <w:szCs w:val="16"/>
              </w:rPr>
              <w:t>Snadnější zřízení nových míst ZO OEEZ v menších obcích</w:t>
            </w:r>
          </w:p>
        </w:tc>
        <w:tc>
          <w:tcPr>
            <w:tcW w:w="1352" w:type="dxa"/>
            <w:vAlign w:val="center"/>
          </w:tcPr>
          <w:p w:rsidR="003742E5" w:rsidRPr="002E710D" w:rsidP="00DE3380" w14:paraId="26C279B6" w14:textId="77777777">
            <w:pPr>
              <w:jc w:val="center"/>
              <w:rPr>
                <w:sz w:val="16"/>
                <w:szCs w:val="16"/>
              </w:rPr>
            </w:pPr>
            <w:r w:rsidRPr="002E710D">
              <w:rPr>
                <w:sz w:val="16"/>
                <w:szCs w:val="16"/>
              </w:rPr>
              <w:t>***</w:t>
            </w:r>
          </w:p>
        </w:tc>
        <w:tc>
          <w:tcPr>
            <w:tcW w:w="2605" w:type="dxa"/>
            <w:vAlign w:val="center"/>
          </w:tcPr>
          <w:p w:rsidR="003742E5" w:rsidRPr="005425A9" w:rsidP="00DE3380" w14:paraId="0DC40141" w14:textId="77777777">
            <w:pPr>
              <w:jc w:val="center"/>
              <w:rPr>
                <w:rFonts w:cs="Arial"/>
                <w:sz w:val="16"/>
                <w:szCs w:val="16"/>
              </w:rPr>
            </w:pPr>
          </w:p>
        </w:tc>
        <w:tc>
          <w:tcPr>
            <w:tcW w:w="1628" w:type="dxa"/>
            <w:vAlign w:val="center"/>
          </w:tcPr>
          <w:p w:rsidR="003742E5" w:rsidRPr="00F727A9" w:rsidP="00DE3380" w14:paraId="3370CEB1" w14:textId="77777777">
            <w:pPr>
              <w:jc w:val="center"/>
              <w:rPr>
                <w:sz w:val="16"/>
                <w:szCs w:val="16"/>
              </w:rPr>
            </w:pPr>
          </w:p>
        </w:tc>
      </w:tr>
      <w:tr w14:paraId="74C795AD" w14:textId="77777777" w:rsidTr="00DE3380">
        <w:tblPrEx>
          <w:tblW w:w="0" w:type="auto"/>
          <w:tblLook w:val="04A0"/>
        </w:tblPrEx>
        <w:tc>
          <w:tcPr>
            <w:tcW w:w="572" w:type="dxa"/>
            <w:vAlign w:val="center"/>
          </w:tcPr>
          <w:p w:rsidR="003742E5" w:rsidP="00DE3380" w14:paraId="29E9A70F" w14:textId="77777777">
            <w:pPr>
              <w:jc w:val="center"/>
              <w:rPr>
                <w:sz w:val="16"/>
                <w:szCs w:val="16"/>
              </w:rPr>
            </w:pPr>
            <w:r>
              <w:rPr>
                <w:sz w:val="16"/>
                <w:szCs w:val="16"/>
              </w:rPr>
              <w:t>20</w:t>
            </w:r>
          </w:p>
        </w:tc>
        <w:tc>
          <w:tcPr>
            <w:tcW w:w="2905" w:type="dxa"/>
            <w:vAlign w:val="center"/>
          </w:tcPr>
          <w:p w:rsidR="003742E5" w:rsidRPr="005425A9" w:rsidP="003742E5" w14:paraId="03BABBAD" w14:textId="77777777">
            <w:pPr>
              <w:rPr>
                <w:sz w:val="16"/>
                <w:szCs w:val="16"/>
              </w:rPr>
            </w:pPr>
            <w:r w:rsidRPr="00FB7994">
              <w:rPr>
                <w:sz w:val="16"/>
                <w:szCs w:val="16"/>
              </w:rPr>
              <w:t>Ekonomická ziskovost recyklace automobilových BA</w:t>
            </w:r>
          </w:p>
        </w:tc>
        <w:tc>
          <w:tcPr>
            <w:tcW w:w="1352" w:type="dxa"/>
            <w:vAlign w:val="center"/>
          </w:tcPr>
          <w:p w:rsidR="003742E5" w:rsidRPr="005425A9" w:rsidP="00DE3380" w14:paraId="2DBE8B6E" w14:textId="77777777">
            <w:pPr>
              <w:jc w:val="center"/>
              <w:rPr>
                <w:sz w:val="16"/>
                <w:szCs w:val="16"/>
              </w:rPr>
            </w:pPr>
            <w:r>
              <w:rPr>
                <w:sz w:val="16"/>
                <w:szCs w:val="16"/>
              </w:rPr>
              <w:t>***</w:t>
            </w:r>
          </w:p>
        </w:tc>
        <w:tc>
          <w:tcPr>
            <w:tcW w:w="2605" w:type="dxa"/>
            <w:vAlign w:val="center"/>
          </w:tcPr>
          <w:p w:rsidR="003742E5" w:rsidRPr="005425A9" w:rsidP="00DE3380" w14:paraId="01F7BB8E" w14:textId="77777777">
            <w:pPr>
              <w:jc w:val="center"/>
              <w:rPr>
                <w:sz w:val="16"/>
                <w:szCs w:val="16"/>
              </w:rPr>
            </w:pPr>
          </w:p>
        </w:tc>
        <w:tc>
          <w:tcPr>
            <w:tcW w:w="1628" w:type="dxa"/>
            <w:vAlign w:val="center"/>
          </w:tcPr>
          <w:p w:rsidR="003742E5" w:rsidRPr="001F241A" w:rsidP="00DE3380" w14:paraId="17E2D9BB" w14:textId="77777777">
            <w:pPr>
              <w:jc w:val="center"/>
              <w:rPr>
                <w:sz w:val="16"/>
                <w:szCs w:val="16"/>
              </w:rPr>
            </w:pPr>
          </w:p>
        </w:tc>
      </w:tr>
      <w:tr w14:paraId="3EDFCE6E" w14:textId="77777777" w:rsidTr="00DE3380">
        <w:tblPrEx>
          <w:tblW w:w="0" w:type="auto"/>
          <w:tblLook w:val="04A0"/>
        </w:tblPrEx>
        <w:tc>
          <w:tcPr>
            <w:tcW w:w="572" w:type="dxa"/>
            <w:vAlign w:val="center"/>
          </w:tcPr>
          <w:p w:rsidR="003742E5" w:rsidRPr="005E5A71" w:rsidP="00DE3380" w14:paraId="27C60E47" w14:textId="77777777">
            <w:pPr>
              <w:jc w:val="center"/>
              <w:rPr>
                <w:sz w:val="16"/>
                <w:szCs w:val="16"/>
              </w:rPr>
            </w:pPr>
            <w:r>
              <w:rPr>
                <w:sz w:val="16"/>
                <w:szCs w:val="16"/>
              </w:rPr>
              <w:t>21</w:t>
            </w:r>
          </w:p>
        </w:tc>
        <w:tc>
          <w:tcPr>
            <w:tcW w:w="2905" w:type="dxa"/>
            <w:vAlign w:val="center"/>
          </w:tcPr>
          <w:p w:rsidR="003742E5" w:rsidRPr="005425A9" w:rsidP="003742E5" w14:paraId="741E7A27" w14:textId="77777777">
            <w:pPr>
              <w:rPr>
                <w:sz w:val="16"/>
                <w:szCs w:val="16"/>
              </w:rPr>
            </w:pPr>
            <w:r w:rsidRPr="005425A9">
              <w:rPr>
                <w:sz w:val="16"/>
                <w:szCs w:val="16"/>
              </w:rPr>
              <w:t xml:space="preserve">Omezení rizika freeridingu, sjednocení podmínek způsobu plnění povinností výrobců </w:t>
            </w:r>
            <w:r>
              <w:rPr>
                <w:sz w:val="16"/>
                <w:szCs w:val="16"/>
              </w:rPr>
              <w:t>Li-</w:t>
            </w:r>
            <w:r w:rsidRPr="005425A9">
              <w:rPr>
                <w:sz w:val="16"/>
                <w:szCs w:val="16"/>
              </w:rPr>
              <w:t>baterií a</w:t>
            </w:r>
            <w:r>
              <w:rPr>
                <w:sz w:val="16"/>
                <w:szCs w:val="16"/>
              </w:rPr>
              <w:t> </w:t>
            </w:r>
            <w:r w:rsidRPr="005425A9">
              <w:rPr>
                <w:sz w:val="16"/>
                <w:szCs w:val="16"/>
              </w:rPr>
              <w:t>akumulátorů (KS vs. IS)</w:t>
            </w:r>
          </w:p>
        </w:tc>
        <w:tc>
          <w:tcPr>
            <w:tcW w:w="1352" w:type="dxa"/>
            <w:vAlign w:val="center"/>
          </w:tcPr>
          <w:p w:rsidR="003742E5" w:rsidRPr="005425A9" w:rsidP="00DE3380" w14:paraId="50412B7E" w14:textId="77777777">
            <w:pPr>
              <w:jc w:val="center"/>
              <w:rPr>
                <w:sz w:val="16"/>
                <w:szCs w:val="16"/>
              </w:rPr>
            </w:pPr>
            <w:r w:rsidRPr="005425A9">
              <w:rPr>
                <w:sz w:val="16"/>
                <w:szCs w:val="16"/>
              </w:rPr>
              <w:t>*****</w:t>
            </w:r>
          </w:p>
        </w:tc>
        <w:tc>
          <w:tcPr>
            <w:tcW w:w="2605" w:type="dxa"/>
            <w:vAlign w:val="center"/>
          </w:tcPr>
          <w:p w:rsidR="003742E5" w:rsidRPr="005425A9" w:rsidP="003742E5" w14:paraId="6F2E6E64" w14:textId="77777777">
            <w:pPr>
              <w:rPr>
                <w:sz w:val="16"/>
                <w:szCs w:val="16"/>
              </w:rPr>
            </w:pPr>
            <w:r w:rsidRPr="005425A9">
              <w:rPr>
                <w:sz w:val="16"/>
                <w:szCs w:val="16"/>
              </w:rPr>
              <w:t>Výrobci Li-baterií – náklady na</w:t>
            </w:r>
            <w:r>
              <w:rPr>
                <w:sz w:val="16"/>
                <w:szCs w:val="16"/>
              </w:rPr>
              <w:t> </w:t>
            </w:r>
            <w:r w:rsidRPr="005425A9">
              <w:rPr>
                <w:sz w:val="16"/>
                <w:szCs w:val="16"/>
              </w:rPr>
              <w:t>finanční rezervu (kauci)</w:t>
            </w:r>
          </w:p>
        </w:tc>
        <w:tc>
          <w:tcPr>
            <w:tcW w:w="1628" w:type="dxa"/>
            <w:vAlign w:val="center"/>
          </w:tcPr>
          <w:p w:rsidR="003742E5" w:rsidRPr="00F727A9" w:rsidP="00DE3380" w14:paraId="634DE890" w14:textId="77777777">
            <w:pPr>
              <w:jc w:val="center"/>
              <w:rPr>
                <w:sz w:val="16"/>
                <w:szCs w:val="16"/>
              </w:rPr>
            </w:pPr>
            <w:r w:rsidRPr="001F241A">
              <w:rPr>
                <w:sz w:val="16"/>
                <w:szCs w:val="16"/>
              </w:rPr>
              <w:t>16,2 mil. Kč/rok</w:t>
            </w:r>
          </w:p>
        </w:tc>
      </w:tr>
      <w:tr w14:paraId="103493F9" w14:textId="77777777" w:rsidTr="00DE3380">
        <w:tblPrEx>
          <w:tblW w:w="0" w:type="auto"/>
          <w:tblLook w:val="04A0"/>
        </w:tblPrEx>
        <w:tc>
          <w:tcPr>
            <w:tcW w:w="572" w:type="dxa"/>
            <w:vAlign w:val="center"/>
          </w:tcPr>
          <w:p w:rsidR="003742E5" w:rsidRPr="005E5A71" w:rsidP="00DE3380" w14:paraId="2AFF1DF1" w14:textId="77777777">
            <w:pPr>
              <w:jc w:val="center"/>
              <w:rPr>
                <w:sz w:val="16"/>
                <w:szCs w:val="16"/>
              </w:rPr>
            </w:pPr>
            <w:r>
              <w:rPr>
                <w:sz w:val="16"/>
                <w:szCs w:val="16"/>
              </w:rPr>
              <w:t>22</w:t>
            </w:r>
          </w:p>
        </w:tc>
        <w:tc>
          <w:tcPr>
            <w:tcW w:w="2905" w:type="dxa"/>
            <w:vAlign w:val="center"/>
          </w:tcPr>
          <w:p w:rsidR="003742E5" w:rsidRPr="005425A9" w:rsidP="003742E5" w14:paraId="182C6113" w14:textId="77777777">
            <w:pPr>
              <w:rPr>
                <w:sz w:val="16"/>
                <w:szCs w:val="16"/>
              </w:rPr>
            </w:pPr>
            <w:r>
              <w:rPr>
                <w:noProof w:val="0"/>
                <w:color w:val="000000"/>
                <w:sz w:val="16"/>
                <w:szCs w:val="16"/>
                <w:lang w:eastAsia="cs-CZ" w:bidi="ar-SA"/>
              </w:rPr>
              <w:t>V</w:t>
            </w:r>
            <w:r w:rsidRPr="005425A9">
              <w:rPr>
                <w:noProof w:val="0"/>
                <w:color w:val="000000"/>
                <w:sz w:val="16"/>
                <w:szCs w:val="16"/>
                <w:lang w:eastAsia="cs-CZ" w:bidi="ar-SA"/>
              </w:rPr>
              <w:t>ýrobce vozidel - žádná administrativa spojená s refundací poplatků u pneumatik v rámci exportu</w:t>
            </w:r>
          </w:p>
        </w:tc>
        <w:tc>
          <w:tcPr>
            <w:tcW w:w="1352" w:type="dxa"/>
            <w:vAlign w:val="center"/>
          </w:tcPr>
          <w:p w:rsidR="003742E5" w:rsidRPr="005425A9" w:rsidP="00DE3380" w14:paraId="7994C40E" w14:textId="77777777">
            <w:pPr>
              <w:jc w:val="center"/>
              <w:rPr>
                <w:sz w:val="16"/>
                <w:szCs w:val="16"/>
              </w:rPr>
            </w:pPr>
            <w:r w:rsidRPr="005425A9">
              <w:rPr>
                <w:noProof w:val="0"/>
                <w:color w:val="000000"/>
                <w:sz w:val="16"/>
                <w:szCs w:val="16"/>
                <w:lang w:eastAsia="cs-CZ" w:bidi="ar-SA"/>
              </w:rPr>
              <w:t>***</w:t>
            </w:r>
          </w:p>
        </w:tc>
        <w:tc>
          <w:tcPr>
            <w:tcW w:w="2605" w:type="dxa"/>
            <w:vAlign w:val="center"/>
          </w:tcPr>
          <w:p w:rsidR="003742E5" w:rsidRPr="005425A9" w:rsidP="003742E5" w14:paraId="5B324917" w14:textId="77777777">
            <w:pPr>
              <w:spacing w:before="60"/>
              <w:rPr>
                <w:rFonts w:cs="Arial"/>
                <w:sz w:val="16"/>
                <w:szCs w:val="16"/>
              </w:rPr>
            </w:pPr>
            <w:r>
              <w:rPr>
                <w:noProof w:val="0"/>
                <w:color w:val="000000"/>
                <w:sz w:val="16"/>
                <w:szCs w:val="16"/>
                <w:lang w:eastAsia="cs-CZ" w:bidi="ar-SA"/>
              </w:rPr>
              <w:t>V</w:t>
            </w:r>
            <w:r w:rsidRPr="005425A9">
              <w:rPr>
                <w:noProof w:val="0"/>
                <w:color w:val="000000"/>
                <w:sz w:val="16"/>
                <w:szCs w:val="16"/>
                <w:lang w:eastAsia="cs-CZ" w:bidi="ar-SA"/>
              </w:rPr>
              <w:t>ýrobce vozidel - náklady na</w:t>
            </w:r>
            <w:r>
              <w:rPr>
                <w:noProof w:val="0"/>
                <w:color w:val="000000"/>
                <w:sz w:val="16"/>
                <w:szCs w:val="16"/>
                <w:lang w:eastAsia="cs-CZ" w:bidi="ar-SA"/>
              </w:rPr>
              <w:t> </w:t>
            </w:r>
            <w:r w:rsidRPr="005425A9">
              <w:rPr>
                <w:noProof w:val="0"/>
                <w:color w:val="000000"/>
                <w:sz w:val="16"/>
                <w:szCs w:val="16"/>
                <w:lang w:eastAsia="cs-CZ" w:bidi="ar-SA"/>
              </w:rPr>
              <w:t>zavedení a vybrání poplatku</w:t>
            </w:r>
            <w:r>
              <w:rPr>
                <w:noProof w:val="0"/>
                <w:color w:val="000000"/>
                <w:sz w:val="16"/>
                <w:szCs w:val="16"/>
                <w:lang w:eastAsia="cs-CZ" w:bidi="ar-SA"/>
              </w:rPr>
              <w:t xml:space="preserve"> za pneumatiky</w:t>
            </w:r>
          </w:p>
        </w:tc>
        <w:tc>
          <w:tcPr>
            <w:tcW w:w="1628" w:type="dxa"/>
            <w:vAlign w:val="center"/>
          </w:tcPr>
          <w:p w:rsidR="003742E5" w:rsidRPr="001F241A" w:rsidP="00DE3380" w14:paraId="332AE8DF" w14:textId="77777777">
            <w:pPr>
              <w:jc w:val="center"/>
              <w:rPr>
                <w:sz w:val="16"/>
                <w:szCs w:val="16"/>
              </w:rPr>
            </w:pPr>
            <w:r w:rsidRPr="001F241A">
              <w:rPr>
                <w:noProof w:val="0"/>
                <w:color w:val="000000"/>
                <w:sz w:val="16"/>
                <w:szCs w:val="16"/>
                <w:lang w:eastAsia="cs-CZ" w:bidi="ar-SA"/>
              </w:rPr>
              <w:t>**</w:t>
            </w:r>
          </w:p>
        </w:tc>
      </w:tr>
      <w:tr w14:paraId="055B3849" w14:textId="77777777" w:rsidTr="00DE3380">
        <w:tblPrEx>
          <w:tblW w:w="0" w:type="auto"/>
          <w:tblLook w:val="04A0"/>
        </w:tblPrEx>
        <w:tc>
          <w:tcPr>
            <w:tcW w:w="572" w:type="dxa"/>
            <w:vMerge w:val="restart"/>
            <w:vAlign w:val="center"/>
          </w:tcPr>
          <w:p w:rsidR="003742E5" w:rsidP="00DE3380" w14:paraId="4C1D6C95" w14:textId="77777777">
            <w:pPr>
              <w:jc w:val="center"/>
              <w:rPr>
                <w:sz w:val="16"/>
                <w:szCs w:val="16"/>
              </w:rPr>
            </w:pPr>
            <w:r>
              <w:rPr>
                <w:sz w:val="16"/>
                <w:szCs w:val="16"/>
              </w:rPr>
              <w:t>23</w:t>
            </w:r>
          </w:p>
        </w:tc>
        <w:tc>
          <w:tcPr>
            <w:tcW w:w="2905" w:type="dxa"/>
            <w:vAlign w:val="center"/>
          </w:tcPr>
          <w:p w:rsidR="003742E5" w:rsidRPr="00FB7994" w:rsidP="003742E5" w14:paraId="1FDB61A7" w14:textId="77777777">
            <w:pPr>
              <w:rPr>
                <w:noProof w:val="0"/>
                <w:color w:val="000000"/>
                <w:sz w:val="16"/>
                <w:szCs w:val="16"/>
                <w:lang w:eastAsia="cs-CZ" w:bidi="ar-SA"/>
              </w:rPr>
            </w:pPr>
            <w:r w:rsidRPr="00FB7994">
              <w:rPr>
                <w:noProof w:val="0"/>
                <w:color w:val="000000"/>
                <w:sz w:val="16"/>
                <w:szCs w:val="16"/>
                <w:lang w:eastAsia="cs-CZ" w:bidi="ar-SA"/>
              </w:rPr>
              <w:t>Zamezení free-riding u individuálně plnících výrobců, a tím přenášení nákladů za ZO pneumatik na KS</w:t>
            </w:r>
          </w:p>
        </w:tc>
        <w:tc>
          <w:tcPr>
            <w:tcW w:w="1352" w:type="dxa"/>
            <w:vAlign w:val="center"/>
          </w:tcPr>
          <w:p w:rsidR="003742E5" w:rsidRPr="00FB7994" w:rsidP="00DE3380" w14:paraId="3E3E0F1F" w14:textId="77777777">
            <w:pPr>
              <w:jc w:val="center"/>
              <w:rPr>
                <w:noProof w:val="0"/>
                <w:color w:val="000000"/>
                <w:sz w:val="16"/>
                <w:szCs w:val="16"/>
                <w:lang w:eastAsia="cs-CZ" w:bidi="ar-SA"/>
              </w:rPr>
            </w:pPr>
            <w:r w:rsidRPr="00FB7994">
              <w:rPr>
                <w:noProof w:val="0"/>
                <w:color w:val="000000"/>
                <w:sz w:val="16"/>
                <w:szCs w:val="16"/>
                <w:lang w:eastAsia="cs-CZ" w:bidi="ar-SA"/>
              </w:rPr>
              <w:t>*****</w:t>
            </w:r>
          </w:p>
        </w:tc>
        <w:tc>
          <w:tcPr>
            <w:tcW w:w="2605" w:type="dxa"/>
            <w:vAlign w:val="center"/>
          </w:tcPr>
          <w:p w:rsidR="003742E5" w:rsidRPr="005425A9" w:rsidP="003742E5" w14:paraId="6DD6EEBA" w14:textId="77777777">
            <w:pPr>
              <w:spacing w:before="60"/>
              <w:rPr>
                <w:sz w:val="16"/>
                <w:szCs w:val="16"/>
              </w:rPr>
            </w:pPr>
          </w:p>
        </w:tc>
        <w:tc>
          <w:tcPr>
            <w:tcW w:w="1628" w:type="dxa"/>
            <w:vAlign w:val="center"/>
          </w:tcPr>
          <w:p w:rsidR="003742E5" w:rsidRPr="00765813" w:rsidP="00DE3380" w14:paraId="699146EF" w14:textId="77777777">
            <w:pPr>
              <w:jc w:val="center"/>
              <w:rPr>
                <w:sz w:val="16"/>
                <w:szCs w:val="16"/>
              </w:rPr>
            </w:pPr>
          </w:p>
        </w:tc>
      </w:tr>
      <w:tr w14:paraId="62495207" w14:textId="77777777" w:rsidTr="00DE3380">
        <w:tblPrEx>
          <w:tblW w:w="0" w:type="auto"/>
          <w:tblLook w:val="04A0"/>
        </w:tblPrEx>
        <w:tc>
          <w:tcPr>
            <w:tcW w:w="572" w:type="dxa"/>
            <w:vMerge/>
            <w:vAlign w:val="center"/>
          </w:tcPr>
          <w:p w:rsidR="003742E5" w:rsidP="00DE3380" w14:paraId="178B0CDB" w14:textId="77777777">
            <w:pPr>
              <w:jc w:val="center"/>
              <w:rPr>
                <w:sz w:val="16"/>
                <w:szCs w:val="16"/>
              </w:rPr>
            </w:pPr>
          </w:p>
        </w:tc>
        <w:tc>
          <w:tcPr>
            <w:tcW w:w="2905" w:type="dxa"/>
            <w:vAlign w:val="center"/>
          </w:tcPr>
          <w:p w:rsidR="003742E5" w:rsidRPr="00FB7994" w:rsidP="003742E5" w14:paraId="4C78FA36" w14:textId="77777777">
            <w:pPr>
              <w:rPr>
                <w:noProof w:val="0"/>
                <w:color w:val="000000"/>
                <w:sz w:val="16"/>
                <w:szCs w:val="16"/>
                <w:lang w:eastAsia="cs-CZ" w:bidi="ar-SA"/>
              </w:rPr>
            </w:pPr>
            <w:r w:rsidRPr="00FB7994">
              <w:rPr>
                <w:noProof w:val="0"/>
                <w:color w:val="000000"/>
                <w:sz w:val="16"/>
                <w:szCs w:val="16"/>
                <w:lang w:eastAsia="cs-CZ" w:bidi="ar-SA"/>
              </w:rPr>
              <w:t>KS – snížení nákladů na ZO odpadních pneumatik</w:t>
            </w:r>
          </w:p>
        </w:tc>
        <w:tc>
          <w:tcPr>
            <w:tcW w:w="1352" w:type="dxa"/>
            <w:vAlign w:val="center"/>
          </w:tcPr>
          <w:p w:rsidR="003742E5" w:rsidRPr="00FB7994" w:rsidP="00DE3380" w14:paraId="5823BC7D" w14:textId="77777777">
            <w:pPr>
              <w:jc w:val="center"/>
              <w:rPr>
                <w:noProof w:val="0"/>
                <w:color w:val="000000"/>
                <w:sz w:val="16"/>
                <w:szCs w:val="16"/>
                <w:lang w:eastAsia="cs-CZ" w:bidi="ar-SA"/>
              </w:rPr>
            </w:pPr>
            <w:r w:rsidRPr="00FB7994">
              <w:rPr>
                <w:noProof w:val="0"/>
                <w:color w:val="000000"/>
                <w:sz w:val="16"/>
                <w:szCs w:val="16"/>
                <w:lang w:eastAsia="cs-CZ" w:bidi="ar-SA"/>
              </w:rPr>
              <w:t>***</w:t>
            </w:r>
          </w:p>
        </w:tc>
        <w:tc>
          <w:tcPr>
            <w:tcW w:w="2605" w:type="dxa"/>
            <w:vAlign w:val="center"/>
          </w:tcPr>
          <w:p w:rsidR="003742E5" w:rsidRPr="005425A9" w:rsidP="003742E5" w14:paraId="6E02DD33" w14:textId="77777777">
            <w:pPr>
              <w:spacing w:before="60"/>
              <w:rPr>
                <w:sz w:val="16"/>
                <w:szCs w:val="16"/>
              </w:rPr>
            </w:pPr>
          </w:p>
        </w:tc>
        <w:tc>
          <w:tcPr>
            <w:tcW w:w="1628" w:type="dxa"/>
            <w:vAlign w:val="center"/>
          </w:tcPr>
          <w:p w:rsidR="003742E5" w:rsidRPr="00765813" w:rsidP="00DE3380" w14:paraId="7EECECE7" w14:textId="77777777">
            <w:pPr>
              <w:jc w:val="center"/>
              <w:rPr>
                <w:sz w:val="16"/>
                <w:szCs w:val="16"/>
              </w:rPr>
            </w:pPr>
          </w:p>
        </w:tc>
      </w:tr>
      <w:tr w14:paraId="2E3CA164" w14:textId="77777777" w:rsidTr="00DE3380">
        <w:tblPrEx>
          <w:tblW w:w="0" w:type="auto"/>
          <w:tblLook w:val="04A0"/>
        </w:tblPrEx>
        <w:tc>
          <w:tcPr>
            <w:tcW w:w="572" w:type="dxa"/>
            <w:vAlign w:val="center"/>
          </w:tcPr>
          <w:p w:rsidR="003742E5" w:rsidRPr="005E5A71" w:rsidP="00DE3380" w14:paraId="31DCB6FA" w14:textId="77777777">
            <w:pPr>
              <w:jc w:val="center"/>
              <w:rPr>
                <w:sz w:val="16"/>
                <w:szCs w:val="16"/>
              </w:rPr>
            </w:pPr>
            <w:r>
              <w:rPr>
                <w:sz w:val="16"/>
                <w:szCs w:val="16"/>
              </w:rPr>
              <w:t>24</w:t>
            </w:r>
          </w:p>
        </w:tc>
        <w:tc>
          <w:tcPr>
            <w:tcW w:w="2905" w:type="dxa"/>
            <w:vAlign w:val="center"/>
          </w:tcPr>
          <w:p w:rsidR="003742E5" w:rsidRPr="005425A9" w:rsidP="003742E5" w14:paraId="7B6465E4" w14:textId="77777777">
            <w:pPr>
              <w:rPr>
                <w:sz w:val="16"/>
                <w:szCs w:val="16"/>
              </w:rPr>
            </w:pPr>
            <w:r w:rsidRPr="005425A9">
              <w:rPr>
                <w:sz w:val="16"/>
                <w:szCs w:val="16"/>
              </w:rPr>
              <w:t>Stabilní investiční prostředí a další rozvoj recyklačnícho sektoru pneumatik</w:t>
            </w:r>
          </w:p>
        </w:tc>
        <w:tc>
          <w:tcPr>
            <w:tcW w:w="1352" w:type="dxa"/>
            <w:vAlign w:val="center"/>
          </w:tcPr>
          <w:p w:rsidR="003742E5" w:rsidRPr="005425A9" w:rsidP="00DE3380" w14:paraId="55A5CA32" w14:textId="77777777">
            <w:pPr>
              <w:jc w:val="center"/>
              <w:rPr>
                <w:sz w:val="16"/>
                <w:szCs w:val="16"/>
              </w:rPr>
            </w:pPr>
            <w:r w:rsidRPr="005425A9">
              <w:rPr>
                <w:sz w:val="16"/>
                <w:szCs w:val="16"/>
              </w:rPr>
              <w:t>****</w:t>
            </w:r>
          </w:p>
        </w:tc>
        <w:tc>
          <w:tcPr>
            <w:tcW w:w="2605" w:type="dxa"/>
            <w:vAlign w:val="center"/>
          </w:tcPr>
          <w:p w:rsidR="003742E5" w:rsidRPr="005425A9" w:rsidP="003742E5" w14:paraId="544ACF6F" w14:textId="77777777">
            <w:pPr>
              <w:spacing w:before="60"/>
              <w:rPr>
                <w:rFonts w:cs="Arial"/>
                <w:sz w:val="16"/>
                <w:szCs w:val="16"/>
              </w:rPr>
            </w:pPr>
            <w:r w:rsidRPr="005425A9">
              <w:rPr>
                <w:sz w:val="16"/>
                <w:szCs w:val="16"/>
              </w:rPr>
              <w:t>Rozšíření odpovědnosti výrobce – finanční zajištění recyklace pneumatik</w:t>
            </w:r>
          </w:p>
        </w:tc>
        <w:tc>
          <w:tcPr>
            <w:tcW w:w="1628" w:type="dxa"/>
            <w:vAlign w:val="center"/>
          </w:tcPr>
          <w:p w:rsidR="003742E5" w:rsidRPr="00765813" w:rsidP="00DE3380" w14:paraId="5504A50C" w14:textId="77777777">
            <w:pPr>
              <w:jc w:val="center"/>
              <w:rPr>
                <w:sz w:val="16"/>
                <w:szCs w:val="16"/>
              </w:rPr>
            </w:pPr>
            <w:r w:rsidRPr="00765813">
              <w:rPr>
                <w:sz w:val="16"/>
                <w:szCs w:val="16"/>
              </w:rPr>
              <w:t>***</w:t>
            </w:r>
          </w:p>
        </w:tc>
      </w:tr>
      <w:tr w14:paraId="7F1C513B" w14:textId="77777777" w:rsidTr="00DE3380">
        <w:tblPrEx>
          <w:tblW w:w="0" w:type="auto"/>
          <w:tblLook w:val="04A0"/>
        </w:tblPrEx>
        <w:tc>
          <w:tcPr>
            <w:tcW w:w="572" w:type="dxa"/>
            <w:vAlign w:val="center"/>
          </w:tcPr>
          <w:p w:rsidR="003742E5" w:rsidP="00DE3380" w14:paraId="67083F9C" w14:textId="77777777">
            <w:pPr>
              <w:jc w:val="center"/>
              <w:rPr>
                <w:sz w:val="16"/>
                <w:szCs w:val="16"/>
              </w:rPr>
            </w:pPr>
            <w:r>
              <w:rPr>
                <w:sz w:val="16"/>
                <w:szCs w:val="16"/>
              </w:rPr>
              <w:t>25</w:t>
            </w:r>
          </w:p>
        </w:tc>
        <w:tc>
          <w:tcPr>
            <w:tcW w:w="2905" w:type="dxa"/>
            <w:vAlign w:val="center"/>
          </w:tcPr>
          <w:p w:rsidR="003742E5" w:rsidRPr="005425A9" w:rsidP="003742E5" w14:paraId="427D2C0C" w14:textId="77777777">
            <w:pPr>
              <w:rPr>
                <w:sz w:val="16"/>
                <w:szCs w:val="16"/>
              </w:rPr>
            </w:pPr>
            <w:r w:rsidRPr="005425A9">
              <w:rPr>
                <w:sz w:val="16"/>
                <w:szCs w:val="16"/>
              </w:rPr>
              <w:t>Výrobci vozidel - snížení administrativní zátěže (zpracování roční zprávy)</w:t>
            </w:r>
          </w:p>
        </w:tc>
        <w:tc>
          <w:tcPr>
            <w:tcW w:w="1352" w:type="dxa"/>
            <w:vAlign w:val="center"/>
          </w:tcPr>
          <w:p w:rsidR="003742E5" w:rsidRPr="005425A9" w:rsidP="00DE3380" w14:paraId="570FA32C" w14:textId="77777777">
            <w:pPr>
              <w:jc w:val="center"/>
              <w:rPr>
                <w:sz w:val="16"/>
                <w:szCs w:val="16"/>
              </w:rPr>
            </w:pPr>
            <w:r>
              <w:rPr>
                <w:sz w:val="16"/>
                <w:szCs w:val="16"/>
              </w:rPr>
              <w:t>304</w:t>
            </w:r>
            <w:r w:rsidRPr="005425A9">
              <w:rPr>
                <w:sz w:val="16"/>
                <w:szCs w:val="16"/>
              </w:rPr>
              <w:t xml:space="preserve"> tis. Kč/rok</w:t>
            </w:r>
          </w:p>
        </w:tc>
        <w:tc>
          <w:tcPr>
            <w:tcW w:w="2605" w:type="dxa"/>
            <w:vAlign w:val="center"/>
          </w:tcPr>
          <w:p w:rsidR="003742E5" w:rsidRPr="005425A9" w:rsidP="00DE3380" w14:paraId="0DF3AE85" w14:textId="77777777">
            <w:pPr>
              <w:spacing w:before="60"/>
              <w:jc w:val="center"/>
              <w:rPr>
                <w:sz w:val="16"/>
                <w:szCs w:val="16"/>
              </w:rPr>
            </w:pPr>
          </w:p>
        </w:tc>
        <w:tc>
          <w:tcPr>
            <w:tcW w:w="1628" w:type="dxa"/>
            <w:vAlign w:val="center"/>
          </w:tcPr>
          <w:p w:rsidR="003742E5" w:rsidRPr="00765813" w:rsidP="00DE3380" w14:paraId="587AEE7F" w14:textId="77777777">
            <w:pPr>
              <w:jc w:val="center"/>
              <w:rPr>
                <w:sz w:val="16"/>
                <w:szCs w:val="16"/>
              </w:rPr>
            </w:pPr>
          </w:p>
        </w:tc>
      </w:tr>
      <w:tr w14:paraId="50CDF801" w14:textId="77777777" w:rsidTr="00DE3380">
        <w:tblPrEx>
          <w:tblW w:w="0" w:type="auto"/>
          <w:tblLook w:val="04A0"/>
        </w:tblPrEx>
        <w:tc>
          <w:tcPr>
            <w:tcW w:w="9062" w:type="dxa"/>
            <w:gridSpan w:val="5"/>
            <w:vAlign w:val="center"/>
          </w:tcPr>
          <w:p w:rsidR="003742E5" w:rsidRPr="00E5691D" w:rsidP="00DE3380" w14:paraId="7C652F21" w14:textId="77777777">
            <w:pPr>
              <w:jc w:val="center"/>
              <w:rPr>
                <w:b/>
                <w:sz w:val="20"/>
                <w:szCs w:val="20"/>
              </w:rPr>
            </w:pPr>
            <w:r w:rsidRPr="00E5691D">
              <w:rPr>
                <w:b/>
                <w:sz w:val="20"/>
                <w:szCs w:val="20"/>
              </w:rPr>
              <w:t>Dopady na územní samosprávné celky</w:t>
            </w:r>
          </w:p>
        </w:tc>
      </w:tr>
      <w:tr w14:paraId="5CC081C0" w14:textId="77777777" w:rsidTr="00DE3380">
        <w:tblPrEx>
          <w:tblW w:w="0" w:type="auto"/>
          <w:tblLook w:val="04A0"/>
        </w:tblPrEx>
        <w:tc>
          <w:tcPr>
            <w:tcW w:w="572" w:type="dxa"/>
            <w:vAlign w:val="center"/>
          </w:tcPr>
          <w:p w:rsidR="003742E5" w:rsidRPr="005E5A71" w:rsidP="00DE3380" w14:paraId="08B01150" w14:textId="77777777">
            <w:pPr>
              <w:jc w:val="center"/>
              <w:rPr>
                <w:sz w:val="16"/>
                <w:szCs w:val="16"/>
              </w:rPr>
            </w:pPr>
            <w:r>
              <w:rPr>
                <w:sz w:val="16"/>
                <w:szCs w:val="16"/>
              </w:rPr>
              <w:t>3</w:t>
            </w:r>
          </w:p>
        </w:tc>
        <w:tc>
          <w:tcPr>
            <w:tcW w:w="2905" w:type="dxa"/>
            <w:vAlign w:val="center"/>
          </w:tcPr>
          <w:p w:rsidR="003742E5" w:rsidRPr="005425A9" w:rsidP="003742E5" w14:paraId="6594E075" w14:textId="77777777">
            <w:pPr>
              <w:rPr>
                <w:sz w:val="16"/>
                <w:szCs w:val="16"/>
              </w:rPr>
            </w:pPr>
            <w:r>
              <w:rPr>
                <w:sz w:val="16"/>
                <w:szCs w:val="16"/>
              </w:rPr>
              <w:t>V</w:t>
            </w:r>
            <w:r w:rsidRPr="005425A9">
              <w:rPr>
                <w:sz w:val="16"/>
                <w:szCs w:val="16"/>
              </w:rPr>
              <w:t xml:space="preserve"> případě úbytku černých skládek, snížení nákladů na jejich likvidaci </w:t>
            </w:r>
          </w:p>
        </w:tc>
        <w:tc>
          <w:tcPr>
            <w:tcW w:w="1352" w:type="dxa"/>
            <w:vAlign w:val="center"/>
          </w:tcPr>
          <w:p w:rsidR="003742E5" w:rsidRPr="005425A9" w:rsidP="00DE3380" w14:paraId="1B73E3C3" w14:textId="77777777">
            <w:pPr>
              <w:jc w:val="center"/>
              <w:rPr>
                <w:b/>
                <w:sz w:val="16"/>
                <w:szCs w:val="16"/>
              </w:rPr>
            </w:pPr>
            <w:r w:rsidRPr="005425A9">
              <w:rPr>
                <w:sz w:val="16"/>
                <w:szCs w:val="16"/>
              </w:rPr>
              <w:t>*až ***</w:t>
            </w:r>
          </w:p>
        </w:tc>
        <w:tc>
          <w:tcPr>
            <w:tcW w:w="2605" w:type="dxa"/>
            <w:vAlign w:val="center"/>
          </w:tcPr>
          <w:p w:rsidR="003742E5" w:rsidRPr="005425A9" w:rsidP="00DE3380" w14:paraId="47F581F6" w14:textId="77777777">
            <w:pPr>
              <w:jc w:val="center"/>
              <w:rPr>
                <w:b/>
                <w:sz w:val="16"/>
                <w:szCs w:val="16"/>
              </w:rPr>
            </w:pPr>
          </w:p>
        </w:tc>
        <w:tc>
          <w:tcPr>
            <w:tcW w:w="1628" w:type="dxa"/>
            <w:vAlign w:val="center"/>
          </w:tcPr>
          <w:p w:rsidR="003742E5" w:rsidRPr="005425A9" w:rsidP="00DE3380" w14:paraId="30879734" w14:textId="77777777">
            <w:pPr>
              <w:jc w:val="center"/>
              <w:rPr>
                <w:b/>
                <w:sz w:val="16"/>
                <w:szCs w:val="16"/>
              </w:rPr>
            </w:pPr>
          </w:p>
        </w:tc>
      </w:tr>
      <w:tr w14:paraId="7DC4756A" w14:textId="77777777" w:rsidTr="00DE3380">
        <w:tblPrEx>
          <w:tblW w:w="0" w:type="auto"/>
          <w:tblLook w:val="04A0"/>
        </w:tblPrEx>
        <w:tc>
          <w:tcPr>
            <w:tcW w:w="572" w:type="dxa"/>
            <w:vAlign w:val="center"/>
          </w:tcPr>
          <w:p w:rsidR="003742E5" w:rsidRPr="005E5A71" w:rsidP="00DE3380" w14:paraId="603E971D" w14:textId="77777777">
            <w:pPr>
              <w:jc w:val="center"/>
              <w:rPr>
                <w:sz w:val="16"/>
                <w:szCs w:val="16"/>
              </w:rPr>
            </w:pPr>
            <w:r>
              <w:rPr>
                <w:sz w:val="16"/>
                <w:szCs w:val="16"/>
              </w:rPr>
              <w:t>4</w:t>
            </w:r>
          </w:p>
        </w:tc>
        <w:tc>
          <w:tcPr>
            <w:tcW w:w="2905" w:type="dxa"/>
            <w:vAlign w:val="center"/>
          </w:tcPr>
          <w:p w:rsidR="003742E5" w:rsidRPr="005425A9" w:rsidP="003742E5" w14:paraId="5C3810BF" w14:textId="77777777">
            <w:pPr>
              <w:rPr>
                <w:sz w:val="16"/>
                <w:szCs w:val="16"/>
              </w:rPr>
            </w:pPr>
            <w:r>
              <w:rPr>
                <w:sz w:val="16"/>
                <w:szCs w:val="16"/>
              </w:rPr>
              <w:t>S</w:t>
            </w:r>
            <w:r w:rsidRPr="005425A9">
              <w:rPr>
                <w:sz w:val="16"/>
                <w:szCs w:val="16"/>
              </w:rPr>
              <w:t>nížení rizika nákladů na likvidaci černých skládek</w:t>
            </w:r>
          </w:p>
        </w:tc>
        <w:tc>
          <w:tcPr>
            <w:tcW w:w="1352" w:type="dxa"/>
            <w:vAlign w:val="center"/>
          </w:tcPr>
          <w:p w:rsidR="003742E5" w:rsidRPr="005425A9" w:rsidP="00DE3380" w14:paraId="6DE747BA" w14:textId="77777777">
            <w:pPr>
              <w:jc w:val="center"/>
              <w:rPr>
                <w:sz w:val="16"/>
                <w:szCs w:val="16"/>
              </w:rPr>
            </w:pPr>
            <w:r w:rsidRPr="005425A9">
              <w:rPr>
                <w:sz w:val="16"/>
                <w:szCs w:val="16"/>
              </w:rPr>
              <w:t>*až *****</w:t>
            </w:r>
          </w:p>
        </w:tc>
        <w:tc>
          <w:tcPr>
            <w:tcW w:w="2605" w:type="dxa"/>
            <w:vAlign w:val="center"/>
          </w:tcPr>
          <w:p w:rsidR="003742E5" w:rsidRPr="005425A9" w:rsidP="00DE3380" w14:paraId="5CB78A54" w14:textId="77777777">
            <w:pPr>
              <w:jc w:val="center"/>
              <w:rPr>
                <w:b/>
                <w:sz w:val="16"/>
                <w:szCs w:val="16"/>
              </w:rPr>
            </w:pPr>
          </w:p>
        </w:tc>
        <w:tc>
          <w:tcPr>
            <w:tcW w:w="1628" w:type="dxa"/>
            <w:vAlign w:val="center"/>
          </w:tcPr>
          <w:p w:rsidR="003742E5" w:rsidRPr="005425A9" w:rsidP="00DE3380" w14:paraId="084297C1" w14:textId="77777777">
            <w:pPr>
              <w:jc w:val="center"/>
              <w:rPr>
                <w:b/>
                <w:sz w:val="16"/>
                <w:szCs w:val="16"/>
              </w:rPr>
            </w:pPr>
          </w:p>
        </w:tc>
      </w:tr>
      <w:tr w14:paraId="79660DE7" w14:textId="77777777" w:rsidTr="00DE3380">
        <w:tblPrEx>
          <w:tblW w:w="0" w:type="auto"/>
          <w:tblLook w:val="04A0"/>
        </w:tblPrEx>
        <w:tc>
          <w:tcPr>
            <w:tcW w:w="572" w:type="dxa"/>
            <w:vAlign w:val="center"/>
          </w:tcPr>
          <w:p w:rsidR="003742E5" w:rsidP="00DE3380" w14:paraId="74D96D73" w14:textId="77777777">
            <w:pPr>
              <w:jc w:val="center"/>
              <w:rPr>
                <w:sz w:val="16"/>
                <w:szCs w:val="16"/>
              </w:rPr>
            </w:pPr>
            <w:r>
              <w:rPr>
                <w:sz w:val="16"/>
                <w:szCs w:val="16"/>
              </w:rPr>
              <w:t>9</w:t>
            </w:r>
          </w:p>
        </w:tc>
        <w:tc>
          <w:tcPr>
            <w:tcW w:w="2905" w:type="dxa"/>
            <w:vAlign w:val="center"/>
          </w:tcPr>
          <w:p w:rsidR="003742E5" w:rsidRPr="002E710D" w:rsidP="003742E5" w14:paraId="5448BE0D" w14:textId="77777777">
            <w:pPr>
              <w:rPr>
                <w:sz w:val="16"/>
                <w:szCs w:val="16"/>
              </w:rPr>
            </w:pPr>
            <w:r w:rsidRPr="002E710D">
              <w:rPr>
                <w:sz w:val="16"/>
                <w:szCs w:val="16"/>
              </w:rPr>
              <w:t>V případě zajištění dostatečného financování ZO OEEZ od KS, snížení rizika odkládání OEEZ do komunálního odpadu financovaného obcemi</w:t>
            </w:r>
          </w:p>
        </w:tc>
        <w:tc>
          <w:tcPr>
            <w:tcW w:w="1352" w:type="dxa"/>
            <w:vAlign w:val="center"/>
          </w:tcPr>
          <w:p w:rsidR="003742E5" w:rsidRPr="002E710D" w:rsidP="00DE3380" w14:paraId="05AFDA82" w14:textId="77777777">
            <w:pPr>
              <w:jc w:val="center"/>
              <w:rPr>
                <w:sz w:val="16"/>
                <w:szCs w:val="16"/>
              </w:rPr>
            </w:pPr>
            <w:r w:rsidRPr="002E710D">
              <w:rPr>
                <w:sz w:val="16"/>
                <w:szCs w:val="16"/>
              </w:rPr>
              <w:t>**</w:t>
            </w:r>
          </w:p>
        </w:tc>
        <w:tc>
          <w:tcPr>
            <w:tcW w:w="2605" w:type="dxa"/>
            <w:vAlign w:val="center"/>
          </w:tcPr>
          <w:p w:rsidR="003742E5" w:rsidRPr="005425A9" w:rsidP="00DE3380" w14:paraId="465E6247" w14:textId="77777777">
            <w:pPr>
              <w:jc w:val="center"/>
              <w:rPr>
                <w:sz w:val="16"/>
                <w:szCs w:val="16"/>
              </w:rPr>
            </w:pPr>
          </w:p>
        </w:tc>
        <w:tc>
          <w:tcPr>
            <w:tcW w:w="1628" w:type="dxa"/>
            <w:vAlign w:val="center"/>
          </w:tcPr>
          <w:p w:rsidR="003742E5" w:rsidRPr="005425A9" w:rsidP="00DE3380" w14:paraId="2DED0859" w14:textId="77777777">
            <w:pPr>
              <w:jc w:val="center"/>
              <w:rPr>
                <w:b/>
                <w:sz w:val="16"/>
                <w:szCs w:val="16"/>
              </w:rPr>
            </w:pPr>
          </w:p>
        </w:tc>
      </w:tr>
      <w:tr w14:paraId="35CC26B8" w14:textId="77777777" w:rsidTr="00DE3380">
        <w:tblPrEx>
          <w:tblW w:w="0" w:type="auto"/>
          <w:tblLook w:val="04A0"/>
        </w:tblPrEx>
        <w:tc>
          <w:tcPr>
            <w:tcW w:w="572" w:type="dxa"/>
            <w:vAlign w:val="center"/>
          </w:tcPr>
          <w:p w:rsidR="00273C7B" w:rsidP="00273C7B" w14:paraId="3561917C" w14:textId="73F62327">
            <w:pPr>
              <w:jc w:val="center"/>
              <w:rPr>
                <w:sz w:val="16"/>
                <w:szCs w:val="16"/>
              </w:rPr>
            </w:pPr>
            <w:r>
              <w:rPr>
                <w:sz w:val="16"/>
                <w:szCs w:val="16"/>
              </w:rPr>
              <w:t>16</w:t>
            </w:r>
          </w:p>
        </w:tc>
        <w:tc>
          <w:tcPr>
            <w:tcW w:w="2905" w:type="dxa"/>
            <w:vAlign w:val="center"/>
          </w:tcPr>
          <w:p w:rsidR="00273C7B" w:rsidRPr="00FB7994" w:rsidP="00273C7B" w14:paraId="7B171657" w14:textId="77777777">
            <w:pPr>
              <w:rPr>
                <w:sz w:val="16"/>
                <w:szCs w:val="16"/>
              </w:rPr>
            </w:pPr>
          </w:p>
        </w:tc>
        <w:tc>
          <w:tcPr>
            <w:tcW w:w="1352" w:type="dxa"/>
            <w:vAlign w:val="center"/>
          </w:tcPr>
          <w:p w:rsidR="00273C7B" w:rsidRPr="00FB7994" w:rsidP="00273C7B" w14:paraId="3FC0EEB5" w14:textId="77777777">
            <w:pPr>
              <w:jc w:val="center"/>
              <w:rPr>
                <w:sz w:val="16"/>
                <w:szCs w:val="16"/>
              </w:rPr>
            </w:pPr>
          </w:p>
        </w:tc>
        <w:tc>
          <w:tcPr>
            <w:tcW w:w="2605" w:type="dxa"/>
            <w:vAlign w:val="center"/>
          </w:tcPr>
          <w:p w:rsidR="00273C7B" w:rsidRPr="00C22698" w:rsidP="00273C7B" w14:paraId="67926D31" w14:textId="04CC782F">
            <w:pPr>
              <w:jc w:val="center"/>
              <w:rPr>
                <w:sz w:val="16"/>
                <w:szCs w:val="16"/>
              </w:rPr>
            </w:pPr>
            <w:r w:rsidRPr="00C22698">
              <w:rPr>
                <w:noProof w:val="0"/>
                <w:color w:val="000000"/>
                <w:sz w:val="16"/>
                <w:szCs w:val="16"/>
                <w:lang w:eastAsia="cs-CZ" w:bidi="ar-SA"/>
              </w:rPr>
              <w:t>KÚ - vydávání souhlasů dle § 14 (Kč/subjekt)</w:t>
            </w:r>
          </w:p>
        </w:tc>
        <w:tc>
          <w:tcPr>
            <w:tcW w:w="1628" w:type="dxa"/>
            <w:vAlign w:val="center"/>
          </w:tcPr>
          <w:p w:rsidR="00273C7B" w:rsidRPr="00C22698" w:rsidP="00273C7B" w14:paraId="7773F007" w14:textId="332B5175">
            <w:pPr>
              <w:jc w:val="center"/>
              <w:rPr>
                <w:b/>
                <w:sz w:val="16"/>
                <w:szCs w:val="16"/>
              </w:rPr>
            </w:pPr>
            <w:r w:rsidRPr="00C22698">
              <w:rPr>
                <w:noProof w:val="0"/>
                <w:color w:val="000000"/>
                <w:sz w:val="16"/>
                <w:szCs w:val="16"/>
                <w:lang w:eastAsia="cs-CZ" w:bidi="ar-SA"/>
              </w:rPr>
              <w:t xml:space="preserve">cca 2 500 - 14 100 Kč </w:t>
            </w:r>
          </w:p>
        </w:tc>
      </w:tr>
      <w:tr w14:paraId="41D126E7" w14:textId="77777777" w:rsidTr="00DE3380">
        <w:tblPrEx>
          <w:tblW w:w="0" w:type="auto"/>
          <w:tblLook w:val="04A0"/>
        </w:tblPrEx>
        <w:tc>
          <w:tcPr>
            <w:tcW w:w="572" w:type="dxa"/>
            <w:vAlign w:val="center"/>
          </w:tcPr>
          <w:p w:rsidR="00273C7B" w:rsidRPr="005E5A71" w:rsidP="00273C7B" w14:paraId="5B30535F" w14:textId="77777777">
            <w:pPr>
              <w:jc w:val="center"/>
              <w:rPr>
                <w:sz w:val="16"/>
                <w:szCs w:val="16"/>
              </w:rPr>
            </w:pPr>
            <w:r>
              <w:rPr>
                <w:sz w:val="16"/>
                <w:szCs w:val="16"/>
              </w:rPr>
              <w:t>18</w:t>
            </w:r>
          </w:p>
        </w:tc>
        <w:tc>
          <w:tcPr>
            <w:tcW w:w="2905" w:type="dxa"/>
            <w:vAlign w:val="center"/>
          </w:tcPr>
          <w:p w:rsidR="00273C7B" w:rsidRPr="005425A9" w:rsidP="00273C7B" w14:paraId="67FB5879" w14:textId="77777777">
            <w:pPr>
              <w:rPr>
                <w:sz w:val="16"/>
                <w:szCs w:val="16"/>
              </w:rPr>
            </w:pPr>
            <w:r w:rsidRPr="00FB7994">
              <w:rPr>
                <w:sz w:val="16"/>
                <w:szCs w:val="16"/>
              </w:rPr>
              <w:t xml:space="preserve">Zlepšení možnosti zřízení míst ZO </w:t>
            </w:r>
            <w:r>
              <w:rPr>
                <w:sz w:val="16"/>
                <w:szCs w:val="16"/>
              </w:rPr>
              <w:t xml:space="preserve">OEEZ </w:t>
            </w:r>
            <w:r w:rsidRPr="00FB7994">
              <w:rPr>
                <w:sz w:val="16"/>
                <w:szCs w:val="16"/>
              </w:rPr>
              <w:t xml:space="preserve">v malých obcí - snížení nákladů za nakládání s odpady </w:t>
            </w:r>
          </w:p>
        </w:tc>
        <w:tc>
          <w:tcPr>
            <w:tcW w:w="1352" w:type="dxa"/>
            <w:vAlign w:val="center"/>
          </w:tcPr>
          <w:p w:rsidR="00273C7B" w:rsidRPr="005425A9" w:rsidP="00273C7B" w14:paraId="307E088D" w14:textId="77777777">
            <w:pPr>
              <w:jc w:val="center"/>
              <w:rPr>
                <w:sz w:val="16"/>
                <w:szCs w:val="16"/>
              </w:rPr>
            </w:pPr>
            <w:r w:rsidRPr="00FB7994">
              <w:rPr>
                <w:sz w:val="16"/>
                <w:szCs w:val="16"/>
              </w:rPr>
              <w:t>***</w:t>
            </w:r>
          </w:p>
        </w:tc>
        <w:tc>
          <w:tcPr>
            <w:tcW w:w="2605" w:type="dxa"/>
            <w:vAlign w:val="center"/>
          </w:tcPr>
          <w:p w:rsidR="00273C7B" w:rsidRPr="005425A9" w:rsidP="00273C7B" w14:paraId="6E1AE6F5" w14:textId="77777777">
            <w:pPr>
              <w:jc w:val="center"/>
              <w:rPr>
                <w:sz w:val="16"/>
                <w:szCs w:val="16"/>
              </w:rPr>
            </w:pPr>
          </w:p>
        </w:tc>
        <w:tc>
          <w:tcPr>
            <w:tcW w:w="1628" w:type="dxa"/>
            <w:vAlign w:val="center"/>
          </w:tcPr>
          <w:p w:rsidR="00273C7B" w:rsidRPr="005425A9" w:rsidP="00273C7B" w14:paraId="191B27C3" w14:textId="77777777">
            <w:pPr>
              <w:jc w:val="center"/>
              <w:rPr>
                <w:b/>
                <w:sz w:val="16"/>
                <w:szCs w:val="16"/>
              </w:rPr>
            </w:pPr>
          </w:p>
        </w:tc>
      </w:tr>
      <w:tr w14:paraId="26213F49" w14:textId="77777777" w:rsidTr="00DE3380">
        <w:tblPrEx>
          <w:tblW w:w="0" w:type="auto"/>
          <w:tblLook w:val="04A0"/>
        </w:tblPrEx>
        <w:tc>
          <w:tcPr>
            <w:tcW w:w="572" w:type="dxa"/>
            <w:vAlign w:val="center"/>
          </w:tcPr>
          <w:p w:rsidR="00273C7B" w:rsidP="00273C7B" w14:paraId="0FCE3533" w14:textId="77777777">
            <w:pPr>
              <w:jc w:val="center"/>
              <w:rPr>
                <w:sz w:val="16"/>
                <w:szCs w:val="16"/>
              </w:rPr>
            </w:pPr>
            <w:r>
              <w:rPr>
                <w:sz w:val="16"/>
                <w:szCs w:val="16"/>
              </w:rPr>
              <w:t>19</w:t>
            </w:r>
          </w:p>
        </w:tc>
        <w:tc>
          <w:tcPr>
            <w:tcW w:w="2905" w:type="dxa"/>
            <w:vAlign w:val="center"/>
          </w:tcPr>
          <w:p w:rsidR="00273C7B" w:rsidRPr="00AF4885" w:rsidP="00273C7B" w14:paraId="74DBB1BA" w14:textId="77777777">
            <w:pPr>
              <w:rPr>
                <w:sz w:val="16"/>
                <w:szCs w:val="16"/>
              </w:rPr>
            </w:pPr>
            <w:r w:rsidRPr="00C13C09">
              <w:rPr>
                <w:sz w:val="16"/>
                <w:szCs w:val="16"/>
              </w:rPr>
              <w:t xml:space="preserve">Zlepšení možnosti zřízení míst ZO </w:t>
            </w:r>
            <w:r>
              <w:rPr>
                <w:sz w:val="16"/>
                <w:szCs w:val="16"/>
              </w:rPr>
              <w:t xml:space="preserve">přenosných BA </w:t>
            </w:r>
            <w:r w:rsidRPr="00C13C09">
              <w:rPr>
                <w:sz w:val="16"/>
                <w:szCs w:val="16"/>
              </w:rPr>
              <w:t>v malých obcí</w:t>
            </w:r>
          </w:p>
        </w:tc>
        <w:tc>
          <w:tcPr>
            <w:tcW w:w="1352" w:type="dxa"/>
            <w:vAlign w:val="center"/>
          </w:tcPr>
          <w:p w:rsidR="00273C7B" w:rsidRPr="00AF4885" w:rsidP="00273C7B" w14:paraId="2B3E225C" w14:textId="77777777">
            <w:pPr>
              <w:jc w:val="center"/>
              <w:rPr>
                <w:sz w:val="16"/>
                <w:szCs w:val="16"/>
              </w:rPr>
            </w:pPr>
            <w:r>
              <w:rPr>
                <w:sz w:val="16"/>
                <w:szCs w:val="16"/>
              </w:rPr>
              <w:t>*</w:t>
            </w:r>
          </w:p>
        </w:tc>
        <w:tc>
          <w:tcPr>
            <w:tcW w:w="2605" w:type="dxa"/>
            <w:vAlign w:val="center"/>
          </w:tcPr>
          <w:p w:rsidR="00273C7B" w:rsidRPr="005425A9" w:rsidP="00273C7B" w14:paraId="09B8EB95" w14:textId="77777777">
            <w:pPr>
              <w:jc w:val="center"/>
              <w:rPr>
                <w:sz w:val="16"/>
                <w:szCs w:val="16"/>
              </w:rPr>
            </w:pPr>
          </w:p>
        </w:tc>
        <w:tc>
          <w:tcPr>
            <w:tcW w:w="1628" w:type="dxa"/>
            <w:vAlign w:val="center"/>
          </w:tcPr>
          <w:p w:rsidR="00273C7B" w:rsidRPr="005425A9" w:rsidP="00273C7B" w14:paraId="16326389" w14:textId="77777777">
            <w:pPr>
              <w:jc w:val="center"/>
              <w:rPr>
                <w:b/>
                <w:sz w:val="16"/>
                <w:szCs w:val="16"/>
              </w:rPr>
            </w:pPr>
          </w:p>
        </w:tc>
      </w:tr>
      <w:tr w14:paraId="31468F35" w14:textId="77777777" w:rsidTr="00DE3380">
        <w:tblPrEx>
          <w:tblW w:w="0" w:type="auto"/>
          <w:tblLook w:val="04A0"/>
        </w:tblPrEx>
        <w:tc>
          <w:tcPr>
            <w:tcW w:w="572" w:type="dxa"/>
            <w:vMerge w:val="restart"/>
            <w:vAlign w:val="center"/>
          </w:tcPr>
          <w:p w:rsidR="00273C7B" w:rsidP="00273C7B" w14:paraId="6485960E" w14:textId="77777777">
            <w:pPr>
              <w:jc w:val="center"/>
              <w:rPr>
                <w:sz w:val="16"/>
                <w:szCs w:val="16"/>
              </w:rPr>
            </w:pPr>
            <w:r>
              <w:rPr>
                <w:sz w:val="16"/>
                <w:szCs w:val="16"/>
              </w:rPr>
              <w:t>23</w:t>
            </w:r>
          </w:p>
        </w:tc>
        <w:tc>
          <w:tcPr>
            <w:tcW w:w="2905" w:type="dxa"/>
            <w:vAlign w:val="center"/>
          </w:tcPr>
          <w:p w:rsidR="00273C7B" w:rsidRPr="00754AB9" w:rsidP="00273C7B" w14:paraId="73DA7C50" w14:textId="77777777">
            <w:pPr>
              <w:rPr>
                <w:sz w:val="16"/>
                <w:szCs w:val="16"/>
              </w:rPr>
            </w:pPr>
            <w:r w:rsidRPr="00C13C09">
              <w:rPr>
                <w:sz w:val="16"/>
                <w:szCs w:val="16"/>
              </w:rPr>
              <w:t>Zlepšení možnosti zřízení míst ZO</w:t>
            </w:r>
            <w:r>
              <w:rPr>
                <w:sz w:val="16"/>
                <w:szCs w:val="16"/>
              </w:rPr>
              <w:t xml:space="preserve"> odpadních pneumatik</w:t>
            </w:r>
            <w:r w:rsidRPr="00C13C09">
              <w:rPr>
                <w:sz w:val="16"/>
                <w:szCs w:val="16"/>
              </w:rPr>
              <w:t xml:space="preserve"> i v menších obcí</w:t>
            </w:r>
          </w:p>
        </w:tc>
        <w:tc>
          <w:tcPr>
            <w:tcW w:w="1352" w:type="dxa"/>
            <w:vAlign w:val="center"/>
          </w:tcPr>
          <w:p w:rsidR="00273C7B" w:rsidRPr="00754AB9" w:rsidP="00273C7B" w14:paraId="1FDFF21D" w14:textId="77777777">
            <w:pPr>
              <w:jc w:val="center"/>
              <w:rPr>
                <w:sz w:val="16"/>
                <w:szCs w:val="16"/>
              </w:rPr>
            </w:pPr>
            <w:r w:rsidRPr="00C13C09">
              <w:rPr>
                <w:sz w:val="16"/>
                <w:szCs w:val="16"/>
              </w:rPr>
              <w:t>*</w:t>
            </w:r>
          </w:p>
        </w:tc>
        <w:tc>
          <w:tcPr>
            <w:tcW w:w="2605" w:type="dxa"/>
            <w:vAlign w:val="center"/>
          </w:tcPr>
          <w:p w:rsidR="00273C7B" w:rsidRPr="005425A9" w:rsidP="00273C7B" w14:paraId="6D580F7C" w14:textId="77777777">
            <w:pPr>
              <w:jc w:val="center"/>
              <w:rPr>
                <w:b/>
                <w:sz w:val="16"/>
                <w:szCs w:val="16"/>
              </w:rPr>
            </w:pPr>
          </w:p>
        </w:tc>
        <w:tc>
          <w:tcPr>
            <w:tcW w:w="1628" w:type="dxa"/>
            <w:vAlign w:val="center"/>
          </w:tcPr>
          <w:p w:rsidR="00273C7B" w:rsidRPr="005425A9" w:rsidP="00273C7B" w14:paraId="6656F6CA" w14:textId="77777777">
            <w:pPr>
              <w:jc w:val="center"/>
              <w:rPr>
                <w:b/>
                <w:sz w:val="16"/>
                <w:szCs w:val="16"/>
              </w:rPr>
            </w:pPr>
          </w:p>
        </w:tc>
      </w:tr>
      <w:tr w14:paraId="111771FA" w14:textId="77777777" w:rsidTr="00DE3380">
        <w:tblPrEx>
          <w:tblW w:w="0" w:type="auto"/>
          <w:tblLook w:val="04A0"/>
        </w:tblPrEx>
        <w:tc>
          <w:tcPr>
            <w:tcW w:w="572" w:type="dxa"/>
            <w:vMerge/>
            <w:vAlign w:val="center"/>
          </w:tcPr>
          <w:p w:rsidR="00273C7B" w:rsidP="00273C7B" w14:paraId="7AF0A656" w14:textId="77777777">
            <w:pPr>
              <w:jc w:val="center"/>
              <w:rPr>
                <w:sz w:val="16"/>
                <w:szCs w:val="16"/>
              </w:rPr>
            </w:pPr>
          </w:p>
        </w:tc>
        <w:tc>
          <w:tcPr>
            <w:tcW w:w="2905" w:type="dxa"/>
            <w:vAlign w:val="center"/>
          </w:tcPr>
          <w:p w:rsidR="00273C7B" w:rsidRPr="00754AB9" w:rsidP="00273C7B" w14:paraId="7D2A3962" w14:textId="77777777">
            <w:pPr>
              <w:rPr>
                <w:sz w:val="16"/>
                <w:szCs w:val="16"/>
              </w:rPr>
            </w:pPr>
            <w:r w:rsidRPr="00C13C09">
              <w:rPr>
                <w:sz w:val="16"/>
                <w:szCs w:val="16"/>
              </w:rPr>
              <w:t xml:space="preserve">Snížení nákladů </w:t>
            </w:r>
            <w:r>
              <w:rPr>
                <w:sz w:val="16"/>
                <w:szCs w:val="16"/>
              </w:rPr>
              <w:t xml:space="preserve">obcí </w:t>
            </w:r>
            <w:r w:rsidRPr="00C13C09">
              <w:rPr>
                <w:sz w:val="16"/>
                <w:szCs w:val="16"/>
              </w:rPr>
              <w:t>na likvidaci odhozených pneumatik</w:t>
            </w:r>
          </w:p>
        </w:tc>
        <w:tc>
          <w:tcPr>
            <w:tcW w:w="1352" w:type="dxa"/>
            <w:vAlign w:val="center"/>
          </w:tcPr>
          <w:p w:rsidR="00273C7B" w:rsidRPr="00754AB9" w:rsidP="00273C7B" w14:paraId="57E86673" w14:textId="77777777">
            <w:pPr>
              <w:jc w:val="center"/>
              <w:rPr>
                <w:sz w:val="16"/>
                <w:szCs w:val="16"/>
              </w:rPr>
            </w:pPr>
            <w:r w:rsidRPr="00C13C09">
              <w:rPr>
                <w:sz w:val="16"/>
                <w:szCs w:val="16"/>
              </w:rPr>
              <w:t>**</w:t>
            </w:r>
          </w:p>
        </w:tc>
        <w:tc>
          <w:tcPr>
            <w:tcW w:w="2605" w:type="dxa"/>
            <w:vAlign w:val="center"/>
          </w:tcPr>
          <w:p w:rsidR="00273C7B" w:rsidRPr="005425A9" w:rsidP="00273C7B" w14:paraId="09AF41BE" w14:textId="77777777">
            <w:pPr>
              <w:jc w:val="center"/>
              <w:rPr>
                <w:b/>
                <w:sz w:val="16"/>
                <w:szCs w:val="16"/>
              </w:rPr>
            </w:pPr>
          </w:p>
        </w:tc>
        <w:tc>
          <w:tcPr>
            <w:tcW w:w="1628" w:type="dxa"/>
            <w:vAlign w:val="center"/>
          </w:tcPr>
          <w:p w:rsidR="00273C7B" w:rsidRPr="005425A9" w:rsidP="00273C7B" w14:paraId="2379C215" w14:textId="77777777">
            <w:pPr>
              <w:jc w:val="center"/>
              <w:rPr>
                <w:b/>
                <w:sz w:val="16"/>
                <w:szCs w:val="16"/>
              </w:rPr>
            </w:pPr>
          </w:p>
        </w:tc>
      </w:tr>
      <w:tr w14:paraId="110F3564" w14:textId="77777777" w:rsidTr="00DE3380">
        <w:tblPrEx>
          <w:tblW w:w="0" w:type="auto"/>
          <w:tblLook w:val="04A0"/>
        </w:tblPrEx>
        <w:tc>
          <w:tcPr>
            <w:tcW w:w="572" w:type="dxa"/>
            <w:vAlign w:val="center"/>
          </w:tcPr>
          <w:p w:rsidR="00273C7B" w:rsidRPr="005E5A71" w:rsidP="00273C7B" w14:paraId="4B7C4F33" w14:textId="77777777">
            <w:pPr>
              <w:jc w:val="center"/>
              <w:rPr>
                <w:sz w:val="16"/>
                <w:szCs w:val="16"/>
              </w:rPr>
            </w:pPr>
            <w:r>
              <w:rPr>
                <w:sz w:val="16"/>
                <w:szCs w:val="16"/>
              </w:rPr>
              <w:t>24</w:t>
            </w:r>
          </w:p>
        </w:tc>
        <w:tc>
          <w:tcPr>
            <w:tcW w:w="2905" w:type="dxa"/>
            <w:vAlign w:val="center"/>
          </w:tcPr>
          <w:p w:rsidR="00273C7B" w:rsidRPr="00754AB9" w:rsidP="00273C7B" w14:paraId="7AF72706" w14:textId="77777777">
            <w:pPr>
              <w:rPr>
                <w:sz w:val="16"/>
                <w:szCs w:val="16"/>
              </w:rPr>
            </w:pPr>
            <w:r w:rsidRPr="00754AB9">
              <w:rPr>
                <w:sz w:val="16"/>
                <w:szCs w:val="16"/>
              </w:rPr>
              <w:t>Snížení nákladů na likvidaci pneumatik odhozených na černých skládkách, v příkopech, hašení  hořících skládek pneumatik atd.</w:t>
            </w:r>
          </w:p>
        </w:tc>
        <w:tc>
          <w:tcPr>
            <w:tcW w:w="1352" w:type="dxa"/>
            <w:vAlign w:val="center"/>
          </w:tcPr>
          <w:p w:rsidR="00273C7B" w:rsidRPr="00754AB9" w:rsidP="00273C7B" w14:paraId="76A106AA" w14:textId="77777777">
            <w:pPr>
              <w:jc w:val="center"/>
              <w:rPr>
                <w:sz w:val="16"/>
                <w:szCs w:val="16"/>
              </w:rPr>
            </w:pPr>
            <w:r w:rsidRPr="00754AB9">
              <w:rPr>
                <w:sz w:val="16"/>
                <w:szCs w:val="16"/>
              </w:rPr>
              <w:t>***</w:t>
            </w:r>
          </w:p>
        </w:tc>
        <w:tc>
          <w:tcPr>
            <w:tcW w:w="2605" w:type="dxa"/>
            <w:vAlign w:val="center"/>
          </w:tcPr>
          <w:p w:rsidR="00273C7B" w:rsidRPr="005425A9" w:rsidP="00273C7B" w14:paraId="1A89A0C5" w14:textId="77777777">
            <w:pPr>
              <w:jc w:val="center"/>
              <w:rPr>
                <w:b/>
                <w:sz w:val="16"/>
                <w:szCs w:val="16"/>
              </w:rPr>
            </w:pPr>
          </w:p>
        </w:tc>
        <w:tc>
          <w:tcPr>
            <w:tcW w:w="1628" w:type="dxa"/>
            <w:vAlign w:val="center"/>
          </w:tcPr>
          <w:p w:rsidR="00273C7B" w:rsidRPr="005425A9" w:rsidP="00273C7B" w14:paraId="2CE96688" w14:textId="77777777">
            <w:pPr>
              <w:jc w:val="center"/>
              <w:rPr>
                <w:b/>
                <w:sz w:val="16"/>
                <w:szCs w:val="16"/>
              </w:rPr>
            </w:pPr>
          </w:p>
        </w:tc>
      </w:tr>
      <w:tr w14:paraId="1B147678" w14:textId="77777777" w:rsidTr="00DE3380">
        <w:tblPrEx>
          <w:tblW w:w="0" w:type="auto"/>
          <w:tblLook w:val="04A0"/>
        </w:tblPrEx>
        <w:tc>
          <w:tcPr>
            <w:tcW w:w="572" w:type="dxa"/>
            <w:vAlign w:val="center"/>
          </w:tcPr>
          <w:p w:rsidR="00273C7B" w:rsidP="00273C7B" w14:paraId="0F8009D5" w14:textId="77777777">
            <w:pPr>
              <w:jc w:val="center"/>
              <w:rPr>
                <w:sz w:val="16"/>
                <w:szCs w:val="16"/>
              </w:rPr>
            </w:pPr>
            <w:r>
              <w:rPr>
                <w:sz w:val="16"/>
                <w:szCs w:val="16"/>
              </w:rPr>
              <w:t>26</w:t>
            </w:r>
          </w:p>
        </w:tc>
        <w:tc>
          <w:tcPr>
            <w:tcW w:w="2905" w:type="dxa"/>
            <w:vAlign w:val="center"/>
          </w:tcPr>
          <w:p w:rsidR="00273C7B" w:rsidRPr="00754AB9" w:rsidP="00273C7B" w14:paraId="3E05F550" w14:textId="77777777">
            <w:pPr>
              <w:rPr>
                <w:sz w:val="16"/>
                <w:szCs w:val="16"/>
              </w:rPr>
            </w:pPr>
            <w:r>
              <w:rPr>
                <w:sz w:val="16"/>
                <w:szCs w:val="16"/>
              </w:rPr>
              <w:t>L</w:t>
            </w:r>
            <w:r w:rsidRPr="005425A9">
              <w:rPr>
                <w:sz w:val="16"/>
                <w:szCs w:val="16"/>
              </w:rPr>
              <w:t>epší kontrola může vést k úbytk</w:t>
            </w:r>
            <w:r>
              <w:rPr>
                <w:sz w:val="16"/>
                <w:szCs w:val="16"/>
              </w:rPr>
              <w:t>u černých skládek, sn</w:t>
            </w:r>
            <w:r w:rsidRPr="005425A9">
              <w:rPr>
                <w:sz w:val="16"/>
                <w:szCs w:val="16"/>
              </w:rPr>
              <w:t>ížení nákladů na</w:t>
            </w:r>
            <w:r>
              <w:rPr>
                <w:sz w:val="16"/>
                <w:szCs w:val="16"/>
              </w:rPr>
              <w:t> </w:t>
            </w:r>
            <w:r w:rsidRPr="005425A9">
              <w:rPr>
                <w:sz w:val="16"/>
                <w:szCs w:val="16"/>
              </w:rPr>
              <w:t>jejich likvidaci</w:t>
            </w:r>
          </w:p>
        </w:tc>
        <w:tc>
          <w:tcPr>
            <w:tcW w:w="1352" w:type="dxa"/>
            <w:vAlign w:val="center"/>
          </w:tcPr>
          <w:p w:rsidR="00273C7B" w:rsidRPr="00754AB9" w:rsidP="00273C7B" w14:paraId="05A0DC1A" w14:textId="77777777">
            <w:pPr>
              <w:jc w:val="center"/>
              <w:rPr>
                <w:sz w:val="16"/>
                <w:szCs w:val="16"/>
              </w:rPr>
            </w:pPr>
            <w:r w:rsidRPr="005425A9">
              <w:rPr>
                <w:sz w:val="16"/>
                <w:szCs w:val="16"/>
              </w:rPr>
              <w:t>* až  ***</w:t>
            </w:r>
          </w:p>
        </w:tc>
        <w:tc>
          <w:tcPr>
            <w:tcW w:w="2605" w:type="dxa"/>
            <w:vAlign w:val="center"/>
          </w:tcPr>
          <w:p w:rsidR="00273C7B" w:rsidRPr="005425A9" w:rsidP="00273C7B" w14:paraId="0728835A" w14:textId="77777777">
            <w:pPr>
              <w:jc w:val="center"/>
              <w:rPr>
                <w:b/>
                <w:sz w:val="16"/>
                <w:szCs w:val="16"/>
              </w:rPr>
            </w:pPr>
          </w:p>
        </w:tc>
        <w:tc>
          <w:tcPr>
            <w:tcW w:w="1628" w:type="dxa"/>
            <w:vAlign w:val="center"/>
          </w:tcPr>
          <w:p w:rsidR="00273C7B" w:rsidRPr="005425A9" w:rsidP="00273C7B" w14:paraId="3843C61F" w14:textId="77777777">
            <w:pPr>
              <w:jc w:val="center"/>
              <w:rPr>
                <w:b/>
                <w:sz w:val="16"/>
                <w:szCs w:val="16"/>
              </w:rPr>
            </w:pPr>
          </w:p>
        </w:tc>
      </w:tr>
      <w:tr w14:paraId="6E321C9E" w14:textId="77777777" w:rsidTr="00DE3380">
        <w:tblPrEx>
          <w:tblW w:w="0" w:type="auto"/>
          <w:tblLook w:val="04A0"/>
        </w:tblPrEx>
        <w:tc>
          <w:tcPr>
            <w:tcW w:w="9062" w:type="dxa"/>
            <w:gridSpan w:val="5"/>
            <w:vAlign w:val="center"/>
          </w:tcPr>
          <w:p w:rsidR="00273C7B" w:rsidRPr="00E5691D" w:rsidP="00273C7B" w14:paraId="7B119FF3" w14:textId="77777777">
            <w:pPr>
              <w:jc w:val="center"/>
              <w:rPr>
                <w:sz w:val="20"/>
                <w:szCs w:val="20"/>
              </w:rPr>
            </w:pPr>
            <w:r w:rsidRPr="00E5691D">
              <w:rPr>
                <w:b/>
                <w:sz w:val="20"/>
                <w:szCs w:val="20"/>
              </w:rPr>
              <w:t>Sociální dopady</w:t>
            </w:r>
          </w:p>
        </w:tc>
      </w:tr>
      <w:tr w14:paraId="42C4E3B0" w14:textId="77777777" w:rsidTr="00DE3380">
        <w:tblPrEx>
          <w:tblW w:w="0" w:type="auto"/>
          <w:tblLook w:val="04A0"/>
        </w:tblPrEx>
        <w:trPr>
          <w:trHeight w:val="468"/>
        </w:trPr>
        <w:tc>
          <w:tcPr>
            <w:tcW w:w="572" w:type="dxa"/>
            <w:vAlign w:val="center"/>
          </w:tcPr>
          <w:p w:rsidR="00273C7B" w:rsidP="00273C7B" w14:paraId="1380D69B" w14:textId="77777777">
            <w:pPr>
              <w:jc w:val="center"/>
              <w:rPr>
                <w:sz w:val="16"/>
                <w:szCs w:val="16"/>
              </w:rPr>
            </w:pPr>
            <w:r>
              <w:rPr>
                <w:sz w:val="16"/>
                <w:szCs w:val="16"/>
              </w:rPr>
              <w:t>2</w:t>
            </w:r>
          </w:p>
        </w:tc>
        <w:tc>
          <w:tcPr>
            <w:tcW w:w="2905" w:type="dxa"/>
            <w:vAlign w:val="center"/>
          </w:tcPr>
          <w:p w:rsidR="00273C7B" w:rsidRPr="005425A9" w:rsidP="00273C7B" w14:paraId="50B5BFDD" w14:textId="77777777">
            <w:pPr>
              <w:spacing w:before="20" w:after="20"/>
              <w:rPr>
                <w:sz w:val="16"/>
                <w:szCs w:val="16"/>
              </w:rPr>
            </w:pPr>
            <w:r>
              <w:rPr>
                <w:rFonts w:cs="Arial"/>
                <w:sz w:val="16"/>
                <w:szCs w:val="16"/>
              </w:rPr>
              <w:t>V</w:t>
            </w:r>
            <w:r w:rsidRPr="005425A9">
              <w:rPr>
                <w:rFonts w:cs="Arial"/>
                <w:sz w:val="16"/>
                <w:szCs w:val="16"/>
              </w:rPr>
              <w:t>yšší informovanost a lepší orientace v problematice, (tj. zlepšení nakládání s vybranými výrobky)</w:t>
            </w:r>
          </w:p>
        </w:tc>
        <w:tc>
          <w:tcPr>
            <w:tcW w:w="1352" w:type="dxa"/>
            <w:vAlign w:val="center"/>
          </w:tcPr>
          <w:p w:rsidR="00273C7B" w:rsidRPr="005425A9" w:rsidP="00273C7B" w14:paraId="678E6D08" w14:textId="77777777">
            <w:pPr>
              <w:jc w:val="center"/>
              <w:rPr>
                <w:sz w:val="16"/>
                <w:szCs w:val="16"/>
              </w:rPr>
            </w:pPr>
            <w:r w:rsidRPr="005425A9">
              <w:rPr>
                <w:sz w:val="16"/>
                <w:szCs w:val="16"/>
              </w:rPr>
              <w:t>***</w:t>
            </w:r>
          </w:p>
        </w:tc>
        <w:tc>
          <w:tcPr>
            <w:tcW w:w="2605" w:type="dxa"/>
            <w:vAlign w:val="center"/>
          </w:tcPr>
          <w:p w:rsidR="00273C7B" w:rsidRPr="005425A9" w:rsidP="00273C7B" w14:paraId="5DF9AD63" w14:textId="77777777">
            <w:pPr>
              <w:rPr>
                <w:b/>
                <w:sz w:val="16"/>
                <w:szCs w:val="16"/>
              </w:rPr>
            </w:pPr>
            <w:r>
              <w:rPr>
                <w:rFonts w:cs="Arial"/>
                <w:sz w:val="16"/>
                <w:szCs w:val="16"/>
              </w:rPr>
              <w:t>M</w:t>
            </w:r>
            <w:r w:rsidRPr="005425A9">
              <w:rPr>
                <w:rFonts w:cs="Arial"/>
                <w:sz w:val="16"/>
                <w:szCs w:val="16"/>
              </w:rPr>
              <w:t>ožnost zvýšení recyklačního poplatku v důsledku nutnosti vyšších investic do propagace a</w:t>
            </w:r>
            <w:r>
              <w:rPr>
                <w:rFonts w:cs="Arial"/>
                <w:sz w:val="16"/>
                <w:szCs w:val="16"/>
              </w:rPr>
              <w:t> </w:t>
            </w:r>
            <w:r w:rsidRPr="005425A9">
              <w:rPr>
                <w:rFonts w:cs="Arial"/>
                <w:sz w:val="16"/>
                <w:szCs w:val="16"/>
              </w:rPr>
              <w:t>osvěty ke splnění minimální výše investice</w:t>
            </w:r>
          </w:p>
        </w:tc>
        <w:tc>
          <w:tcPr>
            <w:tcW w:w="1628" w:type="dxa"/>
            <w:vAlign w:val="center"/>
          </w:tcPr>
          <w:p w:rsidR="00273C7B" w:rsidRPr="00D62F2B" w:rsidP="00273C7B" w14:paraId="4E7D94DE" w14:textId="77777777">
            <w:pPr>
              <w:jc w:val="center"/>
              <w:rPr>
                <w:b/>
                <w:sz w:val="16"/>
                <w:szCs w:val="16"/>
              </w:rPr>
            </w:pPr>
            <w:r>
              <w:rPr>
                <w:b/>
                <w:sz w:val="16"/>
                <w:szCs w:val="16"/>
              </w:rPr>
              <w:t>*</w:t>
            </w:r>
          </w:p>
        </w:tc>
      </w:tr>
      <w:tr w14:paraId="214FB8ED" w14:textId="77777777" w:rsidTr="00DE3380">
        <w:tblPrEx>
          <w:tblW w:w="0" w:type="auto"/>
          <w:tblLook w:val="04A0"/>
        </w:tblPrEx>
        <w:trPr>
          <w:trHeight w:val="468"/>
        </w:trPr>
        <w:tc>
          <w:tcPr>
            <w:tcW w:w="572" w:type="dxa"/>
            <w:vAlign w:val="center"/>
          </w:tcPr>
          <w:p w:rsidR="00273C7B" w:rsidP="00273C7B" w14:paraId="165FA504" w14:textId="77777777">
            <w:pPr>
              <w:jc w:val="center"/>
              <w:rPr>
                <w:sz w:val="16"/>
                <w:szCs w:val="16"/>
              </w:rPr>
            </w:pPr>
            <w:r>
              <w:rPr>
                <w:sz w:val="16"/>
                <w:szCs w:val="16"/>
              </w:rPr>
              <w:t>3</w:t>
            </w:r>
          </w:p>
        </w:tc>
        <w:tc>
          <w:tcPr>
            <w:tcW w:w="2905" w:type="dxa"/>
            <w:vAlign w:val="center"/>
          </w:tcPr>
          <w:p w:rsidR="00273C7B" w:rsidRPr="005425A9" w:rsidP="00273C7B" w14:paraId="6E4A4844" w14:textId="77777777">
            <w:pPr>
              <w:rPr>
                <w:sz w:val="16"/>
                <w:szCs w:val="16"/>
              </w:rPr>
            </w:pPr>
            <w:r>
              <w:rPr>
                <w:sz w:val="16"/>
                <w:szCs w:val="16"/>
              </w:rPr>
              <w:t>J</w:t>
            </w:r>
            <w:r w:rsidRPr="005425A9">
              <w:rPr>
                <w:sz w:val="16"/>
                <w:szCs w:val="16"/>
              </w:rPr>
              <w:t xml:space="preserve">ednoduchý přístup občanů k informacím </w:t>
            </w:r>
          </w:p>
        </w:tc>
        <w:tc>
          <w:tcPr>
            <w:tcW w:w="1352" w:type="dxa"/>
            <w:vAlign w:val="center"/>
          </w:tcPr>
          <w:p w:rsidR="00273C7B" w:rsidRPr="005425A9" w:rsidP="00273C7B" w14:paraId="32C35349" w14:textId="77777777">
            <w:pPr>
              <w:jc w:val="center"/>
              <w:rPr>
                <w:b/>
                <w:sz w:val="16"/>
                <w:szCs w:val="16"/>
              </w:rPr>
            </w:pPr>
            <w:r w:rsidRPr="005425A9">
              <w:rPr>
                <w:b/>
                <w:sz w:val="16"/>
                <w:szCs w:val="16"/>
              </w:rPr>
              <w:t>****</w:t>
            </w:r>
          </w:p>
        </w:tc>
        <w:tc>
          <w:tcPr>
            <w:tcW w:w="2605" w:type="dxa"/>
            <w:vAlign w:val="center"/>
          </w:tcPr>
          <w:p w:rsidR="00273C7B" w:rsidRPr="005425A9" w:rsidP="00273C7B" w14:paraId="0A5EF7A8" w14:textId="77777777">
            <w:pPr>
              <w:rPr>
                <w:b/>
                <w:sz w:val="16"/>
                <w:szCs w:val="16"/>
              </w:rPr>
            </w:pPr>
          </w:p>
        </w:tc>
        <w:tc>
          <w:tcPr>
            <w:tcW w:w="1628" w:type="dxa"/>
            <w:vAlign w:val="center"/>
          </w:tcPr>
          <w:p w:rsidR="00273C7B" w:rsidRPr="00D62F2B" w:rsidP="00273C7B" w14:paraId="784F9D3A" w14:textId="77777777">
            <w:pPr>
              <w:jc w:val="center"/>
              <w:rPr>
                <w:b/>
                <w:sz w:val="16"/>
                <w:szCs w:val="16"/>
              </w:rPr>
            </w:pPr>
          </w:p>
        </w:tc>
      </w:tr>
      <w:tr w14:paraId="518A433F" w14:textId="77777777" w:rsidTr="00DE3380">
        <w:tblPrEx>
          <w:tblW w:w="0" w:type="auto"/>
          <w:tblLook w:val="04A0"/>
        </w:tblPrEx>
        <w:trPr>
          <w:trHeight w:val="468"/>
        </w:trPr>
        <w:tc>
          <w:tcPr>
            <w:tcW w:w="572" w:type="dxa"/>
            <w:vAlign w:val="center"/>
          </w:tcPr>
          <w:p w:rsidR="00273C7B" w:rsidRPr="005E5A71" w:rsidP="00273C7B" w14:paraId="0A762382" w14:textId="77777777">
            <w:pPr>
              <w:jc w:val="center"/>
              <w:rPr>
                <w:sz w:val="16"/>
                <w:szCs w:val="16"/>
              </w:rPr>
            </w:pPr>
            <w:r>
              <w:rPr>
                <w:sz w:val="16"/>
                <w:szCs w:val="16"/>
              </w:rPr>
              <w:t>4</w:t>
            </w:r>
          </w:p>
        </w:tc>
        <w:tc>
          <w:tcPr>
            <w:tcW w:w="2905" w:type="dxa"/>
            <w:vAlign w:val="center"/>
          </w:tcPr>
          <w:p w:rsidR="00273C7B" w:rsidRPr="005425A9" w:rsidP="00273C7B" w14:paraId="713CE9AC" w14:textId="77777777">
            <w:pPr>
              <w:rPr>
                <w:sz w:val="16"/>
                <w:szCs w:val="16"/>
              </w:rPr>
            </w:pPr>
            <w:r>
              <w:rPr>
                <w:sz w:val="16"/>
                <w:szCs w:val="16"/>
              </w:rPr>
              <w:t>Z</w:t>
            </w:r>
            <w:r w:rsidRPr="005425A9">
              <w:rPr>
                <w:sz w:val="16"/>
                <w:szCs w:val="16"/>
              </w:rPr>
              <w:t xml:space="preserve">lepšení dostupnosti míst ZO </w:t>
            </w:r>
          </w:p>
        </w:tc>
        <w:tc>
          <w:tcPr>
            <w:tcW w:w="1352" w:type="dxa"/>
            <w:vAlign w:val="center"/>
          </w:tcPr>
          <w:p w:rsidR="00273C7B" w:rsidRPr="005425A9" w:rsidP="00273C7B" w14:paraId="48DD5535" w14:textId="77777777">
            <w:pPr>
              <w:jc w:val="center"/>
              <w:rPr>
                <w:b/>
                <w:sz w:val="16"/>
                <w:szCs w:val="16"/>
              </w:rPr>
            </w:pPr>
            <w:r w:rsidRPr="005425A9">
              <w:rPr>
                <w:sz w:val="16"/>
                <w:szCs w:val="16"/>
              </w:rPr>
              <w:t>*až *****</w:t>
            </w:r>
          </w:p>
        </w:tc>
        <w:tc>
          <w:tcPr>
            <w:tcW w:w="2605" w:type="dxa"/>
            <w:vAlign w:val="center"/>
          </w:tcPr>
          <w:p w:rsidR="00273C7B" w:rsidRPr="005425A9" w:rsidP="00273C7B" w14:paraId="6E1AB77B" w14:textId="77777777">
            <w:pPr>
              <w:rPr>
                <w:b/>
                <w:sz w:val="16"/>
                <w:szCs w:val="16"/>
              </w:rPr>
            </w:pPr>
          </w:p>
        </w:tc>
        <w:tc>
          <w:tcPr>
            <w:tcW w:w="1628" w:type="dxa"/>
            <w:vAlign w:val="center"/>
          </w:tcPr>
          <w:p w:rsidR="00273C7B" w:rsidRPr="00D62F2B" w:rsidP="00273C7B" w14:paraId="11FDD2BC" w14:textId="77777777">
            <w:pPr>
              <w:jc w:val="center"/>
              <w:rPr>
                <w:b/>
                <w:sz w:val="16"/>
                <w:szCs w:val="16"/>
              </w:rPr>
            </w:pPr>
          </w:p>
        </w:tc>
      </w:tr>
      <w:tr w14:paraId="57B210F7" w14:textId="77777777" w:rsidTr="00DE3380">
        <w:tblPrEx>
          <w:tblW w:w="0" w:type="auto"/>
          <w:tblLook w:val="04A0"/>
        </w:tblPrEx>
        <w:trPr>
          <w:trHeight w:val="468"/>
        </w:trPr>
        <w:tc>
          <w:tcPr>
            <w:tcW w:w="572" w:type="dxa"/>
            <w:vAlign w:val="center"/>
          </w:tcPr>
          <w:p w:rsidR="00273C7B" w:rsidRPr="005E5A71" w:rsidP="00273C7B" w14:paraId="4042B6A2" w14:textId="77777777">
            <w:pPr>
              <w:jc w:val="center"/>
              <w:rPr>
                <w:sz w:val="16"/>
                <w:szCs w:val="16"/>
              </w:rPr>
            </w:pPr>
            <w:r>
              <w:rPr>
                <w:sz w:val="16"/>
                <w:szCs w:val="16"/>
              </w:rPr>
              <w:t>8</w:t>
            </w:r>
          </w:p>
        </w:tc>
        <w:tc>
          <w:tcPr>
            <w:tcW w:w="2905" w:type="dxa"/>
            <w:vAlign w:val="center"/>
          </w:tcPr>
          <w:p w:rsidR="00273C7B" w:rsidRPr="005425A9" w:rsidP="00273C7B" w14:paraId="5A652A29" w14:textId="77777777">
            <w:pPr>
              <w:rPr>
                <w:sz w:val="16"/>
                <w:szCs w:val="16"/>
              </w:rPr>
            </w:pPr>
            <w:r w:rsidRPr="005425A9">
              <w:rPr>
                <w:sz w:val="16"/>
                <w:szCs w:val="16"/>
              </w:rPr>
              <w:t>Možné zlevnění ekologicky šetrných výrobků</w:t>
            </w:r>
          </w:p>
        </w:tc>
        <w:tc>
          <w:tcPr>
            <w:tcW w:w="1352" w:type="dxa"/>
            <w:vAlign w:val="center"/>
          </w:tcPr>
          <w:p w:rsidR="00273C7B" w:rsidRPr="005425A9" w:rsidP="00273C7B" w14:paraId="760F4168" w14:textId="77777777">
            <w:pPr>
              <w:jc w:val="center"/>
              <w:rPr>
                <w:sz w:val="16"/>
                <w:szCs w:val="16"/>
              </w:rPr>
            </w:pPr>
            <w:r w:rsidRPr="005425A9">
              <w:rPr>
                <w:sz w:val="16"/>
                <w:szCs w:val="16"/>
              </w:rPr>
              <w:t>-/*</w:t>
            </w:r>
          </w:p>
        </w:tc>
        <w:tc>
          <w:tcPr>
            <w:tcW w:w="2605" w:type="dxa"/>
            <w:vAlign w:val="center"/>
          </w:tcPr>
          <w:p w:rsidR="00273C7B" w:rsidRPr="005425A9" w:rsidP="00273C7B" w14:paraId="424D1CCE" w14:textId="3219AB43">
            <w:pPr>
              <w:rPr>
                <w:b/>
                <w:sz w:val="16"/>
                <w:szCs w:val="16"/>
              </w:rPr>
            </w:pPr>
            <w:r w:rsidRPr="005425A9">
              <w:rPr>
                <w:sz w:val="16"/>
                <w:szCs w:val="16"/>
              </w:rPr>
              <w:t xml:space="preserve">Zdražení ekologicky </w:t>
            </w:r>
            <w:r>
              <w:rPr>
                <w:sz w:val="16"/>
                <w:szCs w:val="16"/>
              </w:rPr>
              <w:t>ne</w:t>
            </w:r>
            <w:r w:rsidRPr="005425A9">
              <w:rPr>
                <w:sz w:val="16"/>
                <w:szCs w:val="16"/>
              </w:rPr>
              <w:t>šetrných výrobků</w:t>
            </w:r>
          </w:p>
        </w:tc>
        <w:tc>
          <w:tcPr>
            <w:tcW w:w="1628" w:type="dxa"/>
            <w:vAlign w:val="center"/>
          </w:tcPr>
          <w:p w:rsidR="00273C7B" w:rsidRPr="00D62F2B" w:rsidP="00273C7B" w14:paraId="2356E594" w14:textId="77777777">
            <w:pPr>
              <w:jc w:val="center"/>
              <w:rPr>
                <w:b/>
                <w:sz w:val="16"/>
                <w:szCs w:val="16"/>
              </w:rPr>
            </w:pPr>
            <w:r w:rsidRPr="00670B86">
              <w:rPr>
                <w:sz w:val="16"/>
                <w:szCs w:val="16"/>
              </w:rPr>
              <w:t>**</w:t>
            </w:r>
          </w:p>
        </w:tc>
      </w:tr>
      <w:tr w14:paraId="20DE6DAD" w14:textId="77777777" w:rsidTr="00DE3380">
        <w:tblPrEx>
          <w:tblW w:w="0" w:type="auto"/>
          <w:tblLook w:val="04A0"/>
        </w:tblPrEx>
        <w:trPr>
          <w:trHeight w:val="468"/>
        </w:trPr>
        <w:tc>
          <w:tcPr>
            <w:tcW w:w="572" w:type="dxa"/>
            <w:vAlign w:val="center"/>
          </w:tcPr>
          <w:p w:rsidR="00273C7B" w:rsidRPr="005E5A71" w:rsidP="00273C7B" w14:paraId="6541C864" w14:textId="77777777">
            <w:pPr>
              <w:jc w:val="center"/>
              <w:rPr>
                <w:sz w:val="16"/>
                <w:szCs w:val="16"/>
              </w:rPr>
            </w:pPr>
            <w:r>
              <w:rPr>
                <w:sz w:val="16"/>
                <w:szCs w:val="16"/>
              </w:rPr>
              <w:t>18</w:t>
            </w:r>
          </w:p>
        </w:tc>
        <w:tc>
          <w:tcPr>
            <w:tcW w:w="2905" w:type="dxa"/>
            <w:vAlign w:val="center"/>
          </w:tcPr>
          <w:p w:rsidR="00273C7B" w:rsidRPr="005425A9" w:rsidP="00273C7B" w14:paraId="27B19D6A" w14:textId="77777777">
            <w:pPr>
              <w:rPr>
                <w:sz w:val="16"/>
                <w:szCs w:val="16"/>
              </w:rPr>
            </w:pPr>
            <w:r w:rsidRPr="00C13C09">
              <w:rPr>
                <w:sz w:val="16"/>
                <w:szCs w:val="16"/>
              </w:rPr>
              <w:t>Větší dostupnost míst ZO</w:t>
            </w:r>
            <w:r>
              <w:rPr>
                <w:sz w:val="16"/>
                <w:szCs w:val="16"/>
              </w:rPr>
              <w:t xml:space="preserve"> OEEZ</w:t>
            </w:r>
            <w:r w:rsidRPr="00C13C09">
              <w:rPr>
                <w:sz w:val="16"/>
                <w:szCs w:val="16"/>
              </w:rPr>
              <w:t xml:space="preserve"> v malých obcích</w:t>
            </w:r>
          </w:p>
        </w:tc>
        <w:tc>
          <w:tcPr>
            <w:tcW w:w="1352" w:type="dxa"/>
            <w:vAlign w:val="center"/>
          </w:tcPr>
          <w:p w:rsidR="00273C7B" w:rsidRPr="005425A9" w:rsidP="00273C7B" w14:paraId="63F0B35D" w14:textId="77777777">
            <w:pPr>
              <w:jc w:val="center"/>
              <w:rPr>
                <w:sz w:val="16"/>
                <w:szCs w:val="16"/>
              </w:rPr>
            </w:pPr>
            <w:r w:rsidRPr="005425A9">
              <w:rPr>
                <w:b/>
                <w:sz w:val="16"/>
                <w:szCs w:val="16"/>
              </w:rPr>
              <w:t>**</w:t>
            </w:r>
            <w:r>
              <w:rPr>
                <w:b/>
                <w:sz w:val="16"/>
                <w:szCs w:val="16"/>
              </w:rPr>
              <w:t>*</w:t>
            </w:r>
          </w:p>
        </w:tc>
        <w:tc>
          <w:tcPr>
            <w:tcW w:w="2605" w:type="dxa"/>
            <w:vAlign w:val="center"/>
          </w:tcPr>
          <w:p w:rsidR="00273C7B" w:rsidRPr="005425A9" w:rsidP="00273C7B" w14:paraId="241DD80B" w14:textId="77777777">
            <w:pPr>
              <w:jc w:val="center"/>
              <w:rPr>
                <w:b/>
                <w:sz w:val="16"/>
                <w:szCs w:val="16"/>
              </w:rPr>
            </w:pPr>
          </w:p>
        </w:tc>
        <w:tc>
          <w:tcPr>
            <w:tcW w:w="1628" w:type="dxa"/>
            <w:vAlign w:val="center"/>
          </w:tcPr>
          <w:p w:rsidR="00273C7B" w:rsidRPr="00D62F2B" w:rsidP="00273C7B" w14:paraId="27F5EEFF" w14:textId="77777777">
            <w:pPr>
              <w:jc w:val="center"/>
              <w:rPr>
                <w:b/>
                <w:sz w:val="16"/>
                <w:szCs w:val="16"/>
              </w:rPr>
            </w:pPr>
          </w:p>
        </w:tc>
      </w:tr>
      <w:tr w14:paraId="205ED709" w14:textId="77777777" w:rsidTr="00DE3380">
        <w:tblPrEx>
          <w:tblW w:w="0" w:type="auto"/>
          <w:tblLook w:val="04A0"/>
        </w:tblPrEx>
        <w:trPr>
          <w:trHeight w:val="468"/>
        </w:trPr>
        <w:tc>
          <w:tcPr>
            <w:tcW w:w="572" w:type="dxa"/>
            <w:vAlign w:val="center"/>
          </w:tcPr>
          <w:p w:rsidR="00273C7B" w:rsidP="00273C7B" w14:paraId="102252CD" w14:textId="77777777">
            <w:pPr>
              <w:jc w:val="center"/>
              <w:rPr>
                <w:sz w:val="16"/>
                <w:szCs w:val="16"/>
              </w:rPr>
            </w:pPr>
            <w:r>
              <w:rPr>
                <w:sz w:val="16"/>
                <w:szCs w:val="16"/>
              </w:rPr>
              <w:t>19</w:t>
            </w:r>
          </w:p>
        </w:tc>
        <w:tc>
          <w:tcPr>
            <w:tcW w:w="2905" w:type="dxa"/>
            <w:vAlign w:val="center"/>
          </w:tcPr>
          <w:p w:rsidR="00273C7B" w:rsidRPr="00AF4885" w:rsidP="00273C7B" w14:paraId="0FCF4ADB" w14:textId="77777777">
            <w:pPr>
              <w:rPr>
                <w:sz w:val="16"/>
                <w:szCs w:val="16"/>
              </w:rPr>
            </w:pPr>
            <w:r w:rsidRPr="00716CF8">
              <w:rPr>
                <w:sz w:val="16"/>
                <w:szCs w:val="16"/>
              </w:rPr>
              <w:t xml:space="preserve">Větší dostupnost míst ZO </w:t>
            </w:r>
            <w:r>
              <w:rPr>
                <w:sz w:val="16"/>
                <w:szCs w:val="16"/>
              </w:rPr>
              <w:t xml:space="preserve">přenosných BA </w:t>
            </w:r>
            <w:r w:rsidRPr="00716CF8">
              <w:rPr>
                <w:sz w:val="16"/>
                <w:szCs w:val="16"/>
              </w:rPr>
              <w:t>v malých obcích</w:t>
            </w:r>
          </w:p>
        </w:tc>
        <w:tc>
          <w:tcPr>
            <w:tcW w:w="1352" w:type="dxa"/>
            <w:vAlign w:val="center"/>
          </w:tcPr>
          <w:p w:rsidR="00273C7B" w:rsidRPr="005425A9" w:rsidP="00273C7B" w14:paraId="1E7778DF" w14:textId="77777777">
            <w:pPr>
              <w:jc w:val="center"/>
              <w:rPr>
                <w:b/>
                <w:sz w:val="16"/>
                <w:szCs w:val="16"/>
              </w:rPr>
            </w:pPr>
            <w:r>
              <w:rPr>
                <w:b/>
                <w:sz w:val="16"/>
                <w:szCs w:val="16"/>
              </w:rPr>
              <w:t>*</w:t>
            </w:r>
          </w:p>
        </w:tc>
        <w:tc>
          <w:tcPr>
            <w:tcW w:w="2605" w:type="dxa"/>
            <w:vAlign w:val="center"/>
          </w:tcPr>
          <w:p w:rsidR="00273C7B" w:rsidRPr="005425A9" w:rsidP="00273C7B" w14:paraId="6864B729" w14:textId="77777777">
            <w:pPr>
              <w:jc w:val="center"/>
              <w:rPr>
                <w:b/>
                <w:sz w:val="16"/>
                <w:szCs w:val="16"/>
              </w:rPr>
            </w:pPr>
          </w:p>
        </w:tc>
        <w:tc>
          <w:tcPr>
            <w:tcW w:w="1628" w:type="dxa"/>
            <w:vAlign w:val="center"/>
          </w:tcPr>
          <w:p w:rsidR="00273C7B" w:rsidRPr="00D62F2B" w:rsidP="00273C7B" w14:paraId="7AD389EA" w14:textId="77777777">
            <w:pPr>
              <w:jc w:val="center"/>
              <w:rPr>
                <w:b/>
                <w:sz w:val="16"/>
                <w:szCs w:val="16"/>
              </w:rPr>
            </w:pPr>
          </w:p>
        </w:tc>
      </w:tr>
      <w:tr w14:paraId="16793B84" w14:textId="77777777" w:rsidTr="00DE3380">
        <w:tblPrEx>
          <w:tblW w:w="0" w:type="auto"/>
          <w:tblLook w:val="04A0"/>
        </w:tblPrEx>
        <w:trPr>
          <w:trHeight w:val="468"/>
        </w:trPr>
        <w:tc>
          <w:tcPr>
            <w:tcW w:w="572" w:type="dxa"/>
            <w:vAlign w:val="center"/>
          </w:tcPr>
          <w:p w:rsidR="00273C7B" w:rsidP="00273C7B" w14:paraId="716C4603" w14:textId="77777777">
            <w:pPr>
              <w:jc w:val="center"/>
              <w:rPr>
                <w:sz w:val="16"/>
                <w:szCs w:val="16"/>
              </w:rPr>
            </w:pPr>
            <w:r>
              <w:rPr>
                <w:sz w:val="16"/>
                <w:szCs w:val="16"/>
              </w:rPr>
              <w:t>20</w:t>
            </w:r>
          </w:p>
        </w:tc>
        <w:tc>
          <w:tcPr>
            <w:tcW w:w="2905" w:type="dxa"/>
            <w:vAlign w:val="center"/>
          </w:tcPr>
          <w:p w:rsidR="00273C7B" w:rsidRPr="00716CF8" w:rsidP="00273C7B" w14:paraId="61C6E7CF" w14:textId="77777777">
            <w:pPr>
              <w:rPr>
                <w:sz w:val="16"/>
                <w:szCs w:val="16"/>
              </w:rPr>
            </w:pPr>
            <w:r w:rsidRPr="00C13C09">
              <w:rPr>
                <w:sz w:val="16"/>
                <w:szCs w:val="16"/>
              </w:rPr>
              <w:t>Možnost získání finanční odměny za</w:t>
            </w:r>
            <w:r>
              <w:rPr>
                <w:sz w:val="16"/>
                <w:szCs w:val="16"/>
              </w:rPr>
              <w:t> </w:t>
            </w:r>
            <w:r w:rsidRPr="00C13C09">
              <w:rPr>
                <w:sz w:val="16"/>
                <w:szCs w:val="16"/>
              </w:rPr>
              <w:t>odevzdání staré automobilové BA</w:t>
            </w:r>
          </w:p>
        </w:tc>
        <w:tc>
          <w:tcPr>
            <w:tcW w:w="1352" w:type="dxa"/>
            <w:vAlign w:val="center"/>
          </w:tcPr>
          <w:p w:rsidR="00273C7B" w:rsidRPr="00C13C09" w:rsidP="00273C7B" w14:paraId="26B7E0D1" w14:textId="77777777">
            <w:pPr>
              <w:jc w:val="center"/>
              <w:rPr>
                <w:sz w:val="16"/>
                <w:szCs w:val="16"/>
              </w:rPr>
            </w:pPr>
            <w:r w:rsidRPr="00C13C09">
              <w:rPr>
                <w:sz w:val="16"/>
                <w:szCs w:val="16"/>
              </w:rPr>
              <w:t>cca 200-250 Kč/ks</w:t>
            </w:r>
          </w:p>
        </w:tc>
        <w:tc>
          <w:tcPr>
            <w:tcW w:w="2605" w:type="dxa"/>
            <w:vAlign w:val="center"/>
          </w:tcPr>
          <w:p w:rsidR="00273C7B" w:rsidRPr="005425A9" w:rsidP="00273C7B" w14:paraId="77388BFD" w14:textId="77777777">
            <w:pPr>
              <w:jc w:val="center"/>
              <w:rPr>
                <w:b/>
                <w:sz w:val="16"/>
                <w:szCs w:val="16"/>
              </w:rPr>
            </w:pPr>
          </w:p>
        </w:tc>
        <w:tc>
          <w:tcPr>
            <w:tcW w:w="1628" w:type="dxa"/>
            <w:vAlign w:val="center"/>
          </w:tcPr>
          <w:p w:rsidR="00273C7B" w:rsidRPr="00D62F2B" w:rsidP="00273C7B" w14:paraId="4F5F4F7D" w14:textId="77777777">
            <w:pPr>
              <w:jc w:val="center"/>
              <w:rPr>
                <w:b/>
                <w:sz w:val="16"/>
                <w:szCs w:val="16"/>
              </w:rPr>
            </w:pPr>
          </w:p>
        </w:tc>
      </w:tr>
      <w:tr w14:paraId="12645006" w14:textId="77777777" w:rsidTr="00DE3380">
        <w:tblPrEx>
          <w:tblW w:w="0" w:type="auto"/>
          <w:tblLook w:val="04A0"/>
        </w:tblPrEx>
        <w:trPr>
          <w:trHeight w:val="468"/>
        </w:trPr>
        <w:tc>
          <w:tcPr>
            <w:tcW w:w="572" w:type="dxa"/>
            <w:vAlign w:val="center"/>
          </w:tcPr>
          <w:p w:rsidR="00273C7B" w:rsidP="00273C7B" w14:paraId="43ECE6E8" w14:textId="77777777">
            <w:pPr>
              <w:jc w:val="center"/>
              <w:rPr>
                <w:sz w:val="16"/>
                <w:szCs w:val="16"/>
              </w:rPr>
            </w:pPr>
            <w:r>
              <w:rPr>
                <w:sz w:val="16"/>
                <w:szCs w:val="16"/>
              </w:rPr>
              <w:t>23</w:t>
            </w:r>
          </w:p>
        </w:tc>
        <w:tc>
          <w:tcPr>
            <w:tcW w:w="2905" w:type="dxa"/>
            <w:vAlign w:val="center"/>
          </w:tcPr>
          <w:p w:rsidR="00273C7B" w:rsidRPr="00AF4885" w:rsidP="00273C7B" w14:paraId="726335B5" w14:textId="77777777">
            <w:pPr>
              <w:rPr>
                <w:sz w:val="16"/>
                <w:szCs w:val="16"/>
              </w:rPr>
            </w:pPr>
            <w:r w:rsidRPr="00C13C09">
              <w:rPr>
                <w:sz w:val="16"/>
                <w:szCs w:val="16"/>
              </w:rPr>
              <w:t>Větší dostupnost míst ZO v menších obcích</w:t>
            </w:r>
          </w:p>
        </w:tc>
        <w:tc>
          <w:tcPr>
            <w:tcW w:w="1352" w:type="dxa"/>
            <w:vAlign w:val="center"/>
          </w:tcPr>
          <w:p w:rsidR="00273C7B" w:rsidRPr="00AF4885" w:rsidP="00273C7B" w14:paraId="63106261" w14:textId="77777777">
            <w:pPr>
              <w:jc w:val="center"/>
              <w:rPr>
                <w:sz w:val="16"/>
                <w:szCs w:val="16"/>
              </w:rPr>
            </w:pPr>
            <w:r w:rsidRPr="00C13C09">
              <w:rPr>
                <w:sz w:val="16"/>
                <w:szCs w:val="16"/>
              </w:rPr>
              <w:t>*</w:t>
            </w:r>
          </w:p>
        </w:tc>
        <w:tc>
          <w:tcPr>
            <w:tcW w:w="2605" w:type="dxa"/>
            <w:vAlign w:val="center"/>
          </w:tcPr>
          <w:p w:rsidR="00273C7B" w:rsidRPr="005425A9" w:rsidP="00273C7B" w14:paraId="069B065F" w14:textId="77777777">
            <w:pPr>
              <w:jc w:val="center"/>
              <w:rPr>
                <w:b/>
                <w:sz w:val="16"/>
                <w:szCs w:val="16"/>
              </w:rPr>
            </w:pPr>
          </w:p>
        </w:tc>
        <w:tc>
          <w:tcPr>
            <w:tcW w:w="1628" w:type="dxa"/>
            <w:vAlign w:val="center"/>
          </w:tcPr>
          <w:p w:rsidR="00273C7B" w:rsidRPr="00D62F2B" w:rsidP="00273C7B" w14:paraId="045029E8" w14:textId="77777777">
            <w:pPr>
              <w:jc w:val="center"/>
              <w:rPr>
                <w:b/>
                <w:sz w:val="16"/>
                <w:szCs w:val="16"/>
              </w:rPr>
            </w:pPr>
          </w:p>
        </w:tc>
      </w:tr>
      <w:tr w14:paraId="1002FCCF" w14:textId="77777777" w:rsidTr="00DE3380">
        <w:tblPrEx>
          <w:tblW w:w="0" w:type="auto"/>
          <w:tblLook w:val="04A0"/>
        </w:tblPrEx>
        <w:trPr>
          <w:trHeight w:val="468"/>
        </w:trPr>
        <w:tc>
          <w:tcPr>
            <w:tcW w:w="572" w:type="dxa"/>
            <w:vAlign w:val="center"/>
          </w:tcPr>
          <w:p w:rsidR="00273C7B" w:rsidP="00273C7B" w14:paraId="2D5EA623" w14:textId="77777777">
            <w:pPr>
              <w:jc w:val="center"/>
              <w:rPr>
                <w:sz w:val="16"/>
                <w:szCs w:val="16"/>
              </w:rPr>
            </w:pPr>
            <w:r>
              <w:rPr>
                <w:sz w:val="16"/>
                <w:szCs w:val="16"/>
              </w:rPr>
              <w:t>26</w:t>
            </w:r>
          </w:p>
        </w:tc>
        <w:tc>
          <w:tcPr>
            <w:tcW w:w="2905" w:type="dxa"/>
            <w:vAlign w:val="center"/>
          </w:tcPr>
          <w:p w:rsidR="00273C7B" w:rsidRPr="005425A9" w:rsidP="00273C7B" w14:paraId="231849C9" w14:textId="77777777">
            <w:pPr>
              <w:rPr>
                <w:sz w:val="16"/>
                <w:szCs w:val="16"/>
              </w:rPr>
            </w:pPr>
            <w:r>
              <w:rPr>
                <w:sz w:val="16"/>
                <w:szCs w:val="16"/>
              </w:rPr>
              <w:t>L</w:t>
            </w:r>
            <w:r w:rsidRPr="005425A9">
              <w:rPr>
                <w:sz w:val="16"/>
                <w:szCs w:val="16"/>
              </w:rPr>
              <w:t>epší informovanost a ochrana spotřebitele</w:t>
            </w:r>
          </w:p>
        </w:tc>
        <w:tc>
          <w:tcPr>
            <w:tcW w:w="1352" w:type="dxa"/>
            <w:vAlign w:val="center"/>
          </w:tcPr>
          <w:p w:rsidR="00273C7B" w:rsidRPr="005425A9" w:rsidP="00273C7B" w14:paraId="75D358EA" w14:textId="77777777">
            <w:pPr>
              <w:jc w:val="center"/>
              <w:rPr>
                <w:b/>
                <w:sz w:val="16"/>
                <w:szCs w:val="16"/>
              </w:rPr>
            </w:pPr>
            <w:r w:rsidRPr="005425A9">
              <w:rPr>
                <w:sz w:val="16"/>
                <w:szCs w:val="16"/>
              </w:rPr>
              <w:t>***</w:t>
            </w:r>
          </w:p>
        </w:tc>
        <w:tc>
          <w:tcPr>
            <w:tcW w:w="2605" w:type="dxa"/>
            <w:vAlign w:val="center"/>
          </w:tcPr>
          <w:p w:rsidR="00273C7B" w:rsidRPr="005425A9" w:rsidP="00273C7B" w14:paraId="4807125A" w14:textId="77777777">
            <w:pPr>
              <w:jc w:val="center"/>
              <w:rPr>
                <w:b/>
                <w:sz w:val="16"/>
                <w:szCs w:val="16"/>
              </w:rPr>
            </w:pPr>
          </w:p>
        </w:tc>
        <w:tc>
          <w:tcPr>
            <w:tcW w:w="1628" w:type="dxa"/>
            <w:vAlign w:val="center"/>
          </w:tcPr>
          <w:p w:rsidR="00273C7B" w:rsidRPr="00D62F2B" w:rsidP="00273C7B" w14:paraId="5257DE96" w14:textId="77777777">
            <w:pPr>
              <w:jc w:val="center"/>
              <w:rPr>
                <w:b/>
                <w:sz w:val="16"/>
                <w:szCs w:val="16"/>
              </w:rPr>
            </w:pPr>
          </w:p>
        </w:tc>
      </w:tr>
      <w:tr w14:paraId="407A8101" w14:textId="77777777" w:rsidTr="00DE3380">
        <w:tblPrEx>
          <w:tblW w:w="0" w:type="auto"/>
          <w:tblLook w:val="04A0"/>
        </w:tblPrEx>
        <w:trPr>
          <w:trHeight w:val="468"/>
        </w:trPr>
        <w:tc>
          <w:tcPr>
            <w:tcW w:w="9062" w:type="dxa"/>
            <w:gridSpan w:val="5"/>
            <w:vAlign w:val="center"/>
          </w:tcPr>
          <w:p w:rsidR="00273C7B" w:rsidRPr="00E5691D" w:rsidP="00273C7B" w14:paraId="5DA93C48" w14:textId="77777777">
            <w:pPr>
              <w:jc w:val="center"/>
              <w:rPr>
                <w:b/>
                <w:sz w:val="20"/>
                <w:szCs w:val="20"/>
              </w:rPr>
            </w:pPr>
            <w:r w:rsidRPr="00E5691D">
              <w:rPr>
                <w:b/>
                <w:sz w:val="20"/>
                <w:szCs w:val="20"/>
              </w:rPr>
              <w:t>Dopady na životní prostředí</w:t>
            </w:r>
          </w:p>
        </w:tc>
      </w:tr>
      <w:tr w14:paraId="79AE4AF3" w14:textId="77777777" w:rsidTr="00DE3380">
        <w:tblPrEx>
          <w:tblW w:w="0" w:type="auto"/>
          <w:tblLook w:val="04A0"/>
        </w:tblPrEx>
        <w:tc>
          <w:tcPr>
            <w:tcW w:w="572" w:type="dxa"/>
            <w:vAlign w:val="center"/>
          </w:tcPr>
          <w:p w:rsidR="00273C7B" w:rsidRPr="005E5A71" w:rsidP="00273C7B" w14:paraId="36B3DDF4" w14:textId="77777777">
            <w:pPr>
              <w:jc w:val="center"/>
              <w:rPr>
                <w:sz w:val="16"/>
                <w:szCs w:val="16"/>
              </w:rPr>
            </w:pPr>
            <w:r>
              <w:rPr>
                <w:sz w:val="16"/>
                <w:szCs w:val="16"/>
              </w:rPr>
              <w:t>1</w:t>
            </w:r>
          </w:p>
        </w:tc>
        <w:tc>
          <w:tcPr>
            <w:tcW w:w="2905" w:type="dxa"/>
            <w:vAlign w:val="center"/>
          </w:tcPr>
          <w:p w:rsidR="00273C7B" w:rsidRPr="005425A9" w:rsidP="00273C7B" w14:paraId="2D56A445" w14:textId="77777777">
            <w:pPr>
              <w:rPr>
                <w:sz w:val="16"/>
                <w:szCs w:val="16"/>
              </w:rPr>
            </w:pPr>
            <w:r>
              <w:rPr>
                <w:sz w:val="16"/>
                <w:szCs w:val="16"/>
              </w:rPr>
              <w:t>L</w:t>
            </w:r>
            <w:r w:rsidRPr="005425A9">
              <w:rPr>
                <w:sz w:val="16"/>
                <w:szCs w:val="16"/>
              </w:rPr>
              <w:t xml:space="preserve">epší dohled nad subjekty nakládajícími s výrobky s ukončenou životností </w:t>
            </w:r>
          </w:p>
        </w:tc>
        <w:tc>
          <w:tcPr>
            <w:tcW w:w="1352" w:type="dxa"/>
            <w:vAlign w:val="center"/>
          </w:tcPr>
          <w:p w:rsidR="00273C7B" w:rsidRPr="005425A9" w:rsidP="00273C7B" w14:paraId="6FE8C19B" w14:textId="77777777">
            <w:pPr>
              <w:jc w:val="center"/>
              <w:rPr>
                <w:sz w:val="16"/>
                <w:szCs w:val="16"/>
              </w:rPr>
            </w:pPr>
          </w:p>
        </w:tc>
        <w:tc>
          <w:tcPr>
            <w:tcW w:w="2605" w:type="dxa"/>
            <w:vAlign w:val="center"/>
          </w:tcPr>
          <w:p w:rsidR="00273C7B" w:rsidRPr="005425A9" w:rsidP="00273C7B" w14:paraId="4F584FA5" w14:textId="77777777">
            <w:pPr>
              <w:jc w:val="center"/>
              <w:rPr>
                <w:sz w:val="16"/>
                <w:szCs w:val="16"/>
              </w:rPr>
            </w:pPr>
          </w:p>
        </w:tc>
        <w:tc>
          <w:tcPr>
            <w:tcW w:w="1628" w:type="dxa"/>
            <w:vAlign w:val="center"/>
          </w:tcPr>
          <w:p w:rsidR="00273C7B" w:rsidRPr="00D62F2B" w:rsidP="00273C7B" w14:paraId="09F43BFF" w14:textId="77777777">
            <w:pPr>
              <w:jc w:val="center"/>
              <w:rPr>
                <w:sz w:val="16"/>
                <w:szCs w:val="16"/>
              </w:rPr>
            </w:pPr>
          </w:p>
        </w:tc>
      </w:tr>
      <w:tr w14:paraId="46A14641" w14:textId="77777777" w:rsidTr="00DE3380">
        <w:tblPrEx>
          <w:tblW w:w="0" w:type="auto"/>
          <w:tblLook w:val="04A0"/>
        </w:tblPrEx>
        <w:tc>
          <w:tcPr>
            <w:tcW w:w="572" w:type="dxa"/>
            <w:vAlign w:val="center"/>
          </w:tcPr>
          <w:p w:rsidR="00273C7B" w:rsidRPr="005E5A71" w:rsidP="00273C7B" w14:paraId="2E7E37A7" w14:textId="77777777">
            <w:pPr>
              <w:jc w:val="center"/>
              <w:rPr>
                <w:sz w:val="16"/>
                <w:szCs w:val="16"/>
              </w:rPr>
            </w:pPr>
            <w:r>
              <w:rPr>
                <w:sz w:val="16"/>
                <w:szCs w:val="16"/>
              </w:rPr>
              <w:t>3</w:t>
            </w:r>
          </w:p>
        </w:tc>
        <w:tc>
          <w:tcPr>
            <w:tcW w:w="2905" w:type="dxa"/>
            <w:vAlign w:val="center"/>
          </w:tcPr>
          <w:p w:rsidR="00273C7B" w:rsidRPr="005425A9" w:rsidP="00273C7B" w14:paraId="3B29C062" w14:textId="77777777">
            <w:pPr>
              <w:rPr>
                <w:sz w:val="16"/>
                <w:szCs w:val="16"/>
              </w:rPr>
            </w:pPr>
            <w:r>
              <w:rPr>
                <w:sz w:val="16"/>
                <w:szCs w:val="16"/>
              </w:rPr>
              <w:t>M</w:t>
            </w:r>
            <w:r w:rsidRPr="005425A9">
              <w:rPr>
                <w:sz w:val="16"/>
                <w:szCs w:val="16"/>
              </w:rPr>
              <w:t>éně odpadu uloženého mimo místa k tomu určená</w:t>
            </w:r>
          </w:p>
        </w:tc>
        <w:tc>
          <w:tcPr>
            <w:tcW w:w="1352" w:type="dxa"/>
            <w:vAlign w:val="center"/>
          </w:tcPr>
          <w:p w:rsidR="00273C7B" w:rsidRPr="005425A9" w:rsidP="00273C7B" w14:paraId="4BC64AB7" w14:textId="77777777">
            <w:pPr>
              <w:jc w:val="center"/>
              <w:rPr>
                <w:sz w:val="16"/>
                <w:szCs w:val="16"/>
              </w:rPr>
            </w:pPr>
            <w:r w:rsidRPr="005425A9">
              <w:rPr>
                <w:sz w:val="16"/>
                <w:szCs w:val="16"/>
              </w:rPr>
              <w:t>*až *****</w:t>
            </w:r>
          </w:p>
        </w:tc>
        <w:tc>
          <w:tcPr>
            <w:tcW w:w="2605" w:type="dxa"/>
            <w:vAlign w:val="center"/>
          </w:tcPr>
          <w:p w:rsidR="00273C7B" w:rsidRPr="005425A9" w:rsidP="00273C7B" w14:paraId="112D2387" w14:textId="77777777">
            <w:pPr>
              <w:jc w:val="center"/>
              <w:rPr>
                <w:sz w:val="16"/>
                <w:szCs w:val="16"/>
              </w:rPr>
            </w:pPr>
          </w:p>
        </w:tc>
        <w:tc>
          <w:tcPr>
            <w:tcW w:w="1628" w:type="dxa"/>
            <w:vAlign w:val="center"/>
          </w:tcPr>
          <w:p w:rsidR="00273C7B" w:rsidRPr="00D62F2B" w:rsidP="00273C7B" w14:paraId="0BB8ABBE" w14:textId="77777777">
            <w:pPr>
              <w:jc w:val="center"/>
              <w:rPr>
                <w:sz w:val="16"/>
                <w:szCs w:val="16"/>
              </w:rPr>
            </w:pPr>
          </w:p>
        </w:tc>
      </w:tr>
      <w:tr w14:paraId="30BEDCEF" w14:textId="77777777" w:rsidTr="00DE3380">
        <w:tblPrEx>
          <w:tblW w:w="0" w:type="auto"/>
          <w:tblLook w:val="04A0"/>
        </w:tblPrEx>
        <w:tc>
          <w:tcPr>
            <w:tcW w:w="572" w:type="dxa"/>
            <w:vAlign w:val="center"/>
          </w:tcPr>
          <w:p w:rsidR="00273C7B" w:rsidRPr="005E5A71" w:rsidP="00273C7B" w14:paraId="3411083A" w14:textId="77777777">
            <w:pPr>
              <w:jc w:val="center"/>
              <w:rPr>
                <w:sz w:val="16"/>
                <w:szCs w:val="16"/>
              </w:rPr>
            </w:pPr>
            <w:r>
              <w:rPr>
                <w:sz w:val="16"/>
                <w:szCs w:val="16"/>
              </w:rPr>
              <w:t>8</w:t>
            </w:r>
          </w:p>
        </w:tc>
        <w:tc>
          <w:tcPr>
            <w:tcW w:w="2905" w:type="dxa"/>
            <w:vAlign w:val="center"/>
          </w:tcPr>
          <w:p w:rsidR="00273C7B" w:rsidRPr="005425A9" w:rsidP="00273C7B" w14:paraId="0C756008" w14:textId="77777777">
            <w:pPr>
              <w:rPr>
                <w:sz w:val="16"/>
                <w:szCs w:val="16"/>
              </w:rPr>
            </w:pPr>
            <w:r w:rsidRPr="005425A9">
              <w:rPr>
                <w:sz w:val="16"/>
                <w:szCs w:val="16"/>
              </w:rPr>
              <w:t xml:space="preserve">Podpora využívání ekologicky šetrnějších výrobků a technologií </w:t>
            </w:r>
          </w:p>
        </w:tc>
        <w:tc>
          <w:tcPr>
            <w:tcW w:w="1352" w:type="dxa"/>
            <w:vAlign w:val="center"/>
          </w:tcPr>
          <w:p w:rsidR="00273C7B" w:rsidRPr="005425A9" w:rsidP="00273C7B" w14:paraId="0DF1C6E9" w14:textId="77777777">
            <w:pPr>
              <w:jc w:val="center"/>
              <w:rPr>
                <w:sz w:val="16"/>
                <w:szCs w:val="16"/>
              </w:rPr>
            </w:pPr>
            <w:r w:rsidRPr="005425A9">
              <w:rPr>
                <w:sz w:val="16"/>
                <w:szCs w:val="16"/>
              </w:rPr>
              <w:t>*****</w:t>
            </w:r>
          </w:p>
        </w:tc>
        <w:tc>
          <w:tcPr>
            <w:tcW w:w="2605" w:type="dxa"/>
            <w:vAlign w:val="center"/>
          </w:tcPr>
          <w:p w:rsidR="00273C7B" w:rsidRPr="005425A9" w:rsidP="00273C7B" w14:paraId="0F688E5F" w14:textId="77777777">
            <w:pPr>
              <w:jc w:val="center"/>
              <w:rPr>
                <w:sz w:val="16"/>
                <w:szCs w:val="16"/>
              </w:rPr>
            </w:pPr>
          </w:p>
        </w:tc>
        <w:tc>
          <w:tcPr>
            <w:tcW w:w="1628" w:type="dxa"/>
            <w:vAlign w:val="center"/>
          </w:tcPr>
          <w:p w:rsidR="00273C7B" w:rsidRPr="00D62F2B" w:rsidP="00273C7B" w14:paraId="392A8F0E" w14:textId="77777777">
            <w:pPr>
              <w:jc w:val="center"/>
              <w:rPr>
                <w:sz w:val="16"/>
                <w:szCs w:val="16"/>
              </w:rPr>
            </w:pPr>
          </w:p>
        </w:tc>
      </w:tr>
      <w:tr w14:paraId="27AF083C" w14:textId="77777777" w:rsidTr="00DE3380">
        <w:tblPrEx>
          <w:tblW w:w="0" w:type="auto"/>
          <w:tblLook w:val="04A0"/>
        </w:tblPrEx>
        <w:tc>
          <w:tcPr>
            <w:tcW w:w="572" w:type="dxa"/>
            <w:vAlign w:val="center"/>
          </w:tcPr>
          <w:p w:rsidR="00273C7B" w:rsidP="00273C7B" w14:paraId="252E964A" w14:textId="77777777">
            <w:pPr>
              <w:jc w:val="center"/>
              <w:rPr>
                <w:sz w:val="16"/>
                <w:szCs w:val="16"/>
              </w:rPr>
            </w:pPr>
            <w:r>
              <w:rPr>
                <w:sz w:val="16"/>
                <w:szCs w:val="16"/>
              </w:rPr>
              <w:t>9</w:t>
            </w:r>
          </w:p>
        </w:tc>
        <w:tc>
          <w:tcPr>
            <w:tcW w:w="2905" w:type="dxa"/>
            <w:vAlign w:val="center"/>
          </w:tcPr>
          <w:p w:rsidR="00273C7B" w:rsidRPr="002E710D" w:rsidP="00273C7B" w14:paraId="07486A14" w14:textId="77777777">
            <w:pPr>
              <w:rPr>
                <w:sz w:val="16"/>
                <w:szCs w:val="16"/>
              </w:rPr>
            </w:pPr>
            <w:r w:rsidRPr="002E710D">
              <w:rPr>
                <w:rFonts w:cs="Arial"/>
                <w:sz w:val="16"/>
                <w:szCs w:val="16"/>
              </w:rPr>
              <w:t>Vytvořením rezervy na zajištění řádné recyklace OEEZ se sniží riziko úniku nebezpečných látek obsažených v OEEZ a kontaminace ŽP a dochází k úspoře materiálů i energií</w:t>
            </w:r>
          </w:p>
        </w:tc>
        <w:tc>
          <w:tcPr>
            <w:tcW w:w="1352" w:type="dxa"/>
            <w:vAlign w:val="center"/>
          </w:tcPr>
          <w:p w:rsidR="00273C7B" w:rsidRPr="002E710D" w:rsidP="00273C7B" w14:paraId="001A48E7" w14:textId="77777777">
            <w:pPr>
              <w:jc w:val="center"/>
              <w:rPr>
                <w:sz w:val="16"/>
                <w:szCs w:val="16"/>
              </w:rPr>
            </w:pPr>
            <w:r w:rsidRPr="002E710D">
              <w:rPr>
                <w:sz w:val="16"/>
                <w:szCs w:val="16"/>
              </w:rPr>
              <w:t>***</w:t>
            </w:r>
          </w:p>
        </w:tc>
        <w:tc>
          <w:tcPr>
            <w:tcW w:w="2605" w:type="dxa"/>
            <w:vAlign w:val="center"/>
          </w:tcPr>
          <w:p w:rsidR="00273C7B" w:rsidRPr="005425A9" w:rsidP="00273C7B" w14:paraId="0B6B6BE9" w14:textId="77777777">
            <w:pPr>
              <w:jc w:val="center"/>
              <w:rPr>
                <w:sz w:val="16"/>
                <w:szCs w:val="16"/>
              </w:rPr>
            </w:pPr>
          </w:p>
        </w:tc>
        <w:tc>
          <w:tcPr>
            <w:tcW w:w="1628" w:type="dxa"/>
            <w:vAlign w:val="center"/>
          </w:tcPr>
          <w:p w:rsidR="00273C7B" w:rsidRPr="00D62F2B" w:rsidP="00273C7B" w14:paraId="331780A5" w14:textId="77777777">
            <w:pPr>
              <w:jc w:val="center"/>
              <w:rPr>
                <w:sz w:val="16"/>
                <w:szCs w:val="16"/>
              </w:rPr>
            </w:pPr>
          </w:p>
        </w:tc>
      </w:tr>
      <w:tr w14:paraId="5A689CF5" w14:textId="77777777" w:rsidTr="00DE3380">
        <w:tblPrEx>
          <w:tblW w:w="0" w:type="auto"/>
          <w:tblLook w:val="04A0"/>
        </w:tblPrEx>
        <w:tc>
          <w:tcPr>
            <w:tcW w:w="572" w:type="dxa"/>
            <w:vAlign w:val="center"/>
          </w:tcPr>
          <w:p w:rsidR="00273C7B" w:rsidP="00273C7B" w14:paraId="00DBA946" w14:textId="77777777">
            <w:pPr>
              <w:jc w:val="center"/>
              <w:rPr>
                <w:sz w:val="16"/>
                <w:szCs w:val="16"/>
              </w:rPr>
            </w:pPr>
            <w:r>
              <w:rPr>
                <w:sz w:val="16"/>
                <w:szCs w:val="16"/>
              </w:rPr>
              <w:t>13</w:t>
            </w:r>
          </w:p>
        </w:tc>
        <w:tc>
          <w:tcPr>
            <w:tcW w:w="2905" w:type="dxa"/>
            <w:vAlign w:val="center"/>
          </w:tcPr>
          <w:p w:rsidR="00273C7B" w:rsidRPr="002E710D" w:rsidP="00273C7B" w14:paraId="05F9987F" w14:textId="77777777">
            <w:pPr>
              <w:rPr>
                <w:sz w:val="16"/>
                <w:szCs w:val="16"/>
              </w:rPr>
            </w:pPr>
            <w:r w:rsidRPr="002E710D">
              <w:rPr>
                <w:rFonts w:cs="Arial"/>
                <w:sz w:val="16"/>
                <w:szCs w:val="16"/>
              </w:rPr>
              <w:t xml:space="preserve">Recyklací </w:t>
            </w:r>
            <w:r>
              <w:rPr>
                <w:rFonts w:cs="Arial"/>
                <w:sz w:val="16"/>
                <w:szCs w:val="16"/>
              </w:rPr>
              <w:t>VUŽ</w:t>
            </w:r>
            <w:r w:rsidRPr="002E710D">
              <w:rPr>
                <w:rFonts w:cs="Arial"/>
                <w:sz w:val="16"/>
                <w:szCs w:val="16"/>
              </w:rPr>
              <w:t xml:space="preserve"> se sniží riziko úniku nebezpečných látek obsažených ve</w:t>
            </w:r>
            <w:r>
              <w:rPr>
                <w:rFonts w:cs="Arial"/>
                <w:sz w:val="16"/>
                <w:szCs w:val="16"/>
              </w:rPr>
              <w:t> </w:t>
            </w:r>
            <w:r w:rsidRPr="002E710D">
              <w:rPr>
                <w:rFonts w:cs="Arial"/>
                <w:sz w:val="16"/>
                <w:szCs w:val="16"/>
              </w:rPr>
              <w:t>VUŽ a kontaminace ŽP a dochází k úspoře materiálů i energií</w:t>
            </w:r>
          </w:p>
        </w:tc>
        <w:tc>
          <w:tcPr>
            <w:tcW w:w="1352" w:type="dxa"/>
            <w:vAlign w:val="center"/>
          </w:tcPr>
          <w:p w:rsidR="00273C7B" w:rsidRPr="002E710D" w:rsidP="00273C7B" w14:paraId="535BE27E" w14:textId="77777777">
            <w:pPr>
              <w:jc w:val="center"/>
              <w:rPr>
                <w:sz w:val="16"/>
                <w:szCs w:val="16"/>
              </w:rPr>
            </w:pPr>
            <w:r w:rsidRPr="002E710D">
              <w:rPr>
                <w:sz w:val="16"/>
                <w:szCs w:val="16"/>
              </w:rPr>
              <w:t>***</w:t>
            </w:r>
          </w:p>
        </w:tc>
        <w:tc>
          <w:tcPr>
            <w:tcW w:w="2605" w:type="dxa"/>
            <w:vAlign w:val="center"/>
          </w:tcPr>
          <w:p w:rsidR="00273C7B" w:rsidRPr="005425A9" w:rsidP="00273C7B" w14:paraId="070CD8C2" w14:textId="77777777">
            <w:pPr>
              <w:jc w:val="center"/>
              <w:rPr>
                <w:sz w:val="16"/>
                <w:szCs w:val="16"/>
              </w:rPr>
            </w:pPr>
          </w:p>
        </w:tc>
        <w:tc>
          <w:tcPr>
            <w:tcW w:w="1628" w:type="dxa"/>
            <w:vAlign w:val="center"/>
          </w:tcPr>
          <w:p w:rsidR="00273C7B" w:rsidRPr="00D62F2B" w:rsidP="00273C7B" w14:paraId="12E44646" w14:textId="77777777">
            <w:pPr>
              <w:jc w:val="center"/>
              <w:rPr>
                <w:sz w:val="16"/>
                <w:szCs w:val="16"/>
              </w:rPr>
            </w:pPr>
          </w:p>
        </w:tc>
      </w:tr>
      <w:tr w14:paraId="61264321" w14:textId="77777777" w:rsidTr="00DE3380">
        <w:tblPrEx>
          <w:tblW w:w="0" w:type="auto"/>
          <w:tblLook w:val="04A0"/>
        </w:tblPrEx>
        <w:tc>
          <w:tcPr>
            <w:tcW w:w="572" w:type="dxa"/>
            <w:vAlign w:val="center"/>
          </w:tcPr>
          <w:p w:rsidR="00273C7B" w:rsidP="00273C7B" w14:paraId="7A5A3F50" w14:textId="77777777">
            <w:pPr>
              <w:jc w:val="center"/>
              <w:rPr>
                <w:sz w:val="16"/>
                <w:szCs w:val="16"/>
              </w:rPr>
            </w:pPr>
            <w:r>
              <w:rPr>
                <w:sz w:val="16"/>
                <w:szCs w:val="16"/>
              </w:rPr>
              <w:t>15</w:t>
            </w:r>
          </w:p>
        </w:tc>
        <w:tc>
          <w:tcPr>
            <w:tcW w:w="2905" w:type="dxa"/>
            <w:vAlign w:val="center"/>
          </w:tcPr>
          <w:p w:rsidR="00273C7B" w:rsidRPr="002E710D" w:rsidP="00273C7B" w14:paraId="733BD7DF" w14:textId="77777777">
            <w:pPr>
              <w:rPr>
                <w:sz w:val="16"/>
                <w:szCs w:val="16"/>
              </w:rPr>
            </w:pPr>
            <w:r w:rsidRPr="002E710D">
              <w:rPr>
                <w:rFonts w:cs="Arial"/>
                <w:sz w:val="16"/>
                <w:szCs w:val="16"/>
              </w:rPr>
              <w:t>Recyklací EEZ se sniží riziko úniku nebezpečných látek obsažených v EEZ a kontaminace ŽP a dochází k úspoře materiálů i energií</w:t>
            </w:r>
          </w:p>
        </w:tc>
        <w:tc>
          <w:tcPr>
            <w:tcW w:w="1352" w:type="dxa"/>
            <w:vAlign w:val="center"/>
          </w:tcPr>
          <w:p w:rsidR="00273C7B" w:rsidRPr="002E710D" w:rsidP="00273C7B" w14:paraId="59D570EF" w14:textId="77777777">
            <w:pPr>
              <w:jc w:val="center"/>
              <w:rPr>
                <w:sz w:val="16"/>
                <w:szCs w:val="16"/>
              </w:rPr>
            </w:pPr>
            <w:r w:rsidRPr="002E710D">
              <w:rPr>
                <w:sz w:val="16"/>
                <w:szCs w:val="16"/>
              </w:rPr>
              <w:t>***</w:t>
            </w:r>
          </w:p>
        </w:tc>
        <w:tc>
          <w:tcPr>
            <w:tcW w:w="2605" w:type="dxa"/>
            <w:vAlign w:val="center"/>
          </w:tcPr>
          <w:p w:rsidR="00273C7B" w:rsidRPr="005425A9" w:rsidP="00273C7B" w14:paraId="6C5A6274" w14:textId="77777777">
            <w:pPr>
              <w:jc w:val="center"/>
              <w:rPr>
                <w:sz w:val="16"/>
                <w:szCs w:val="16"/>
              </w:rPr>
            </w:pPr>
          </w:p>
        </w:tc>
        <w:tc>
          <w:tcPr>
            <w:tcW w:w="1628" w:type="dxa"/>
            <w:vAlign w:val="center"/>
          </w:tcPr>
          <w:p w:rsidR="00273C7B" w:rsidRPr="00D62F2B" w:rsidP="00273C7B" w14:paraId="627FEFFA" w14:textId="77777777">
            <w:pPr>
              <w:jc w:val="center"/>
              <w:rPr>
                <w:sz w:val="16"/>
                <w:szCs w:val="16"/>
              </w:rPr>
            </w:pPr>
          </w:p>
        </w:tc>
      </w:tr>
      <w:tr w14:paraId="465E149F" w14:textId="77777777" w:rsidTr="00DE3380">
        <w:tblPrEx>
          <w:tblW w:w="0" w:type="auto"/>
          <w:tblLook w:val="04A0"/>
        </w:tblPrEx>
        <w:tc>
          <w:tcPr>
            <w:tcW w:w="572" w:type="dxa"/>
            <w:vAlign w:val="center"/>
          </w:tcPr>
          <w:p w:rsidR="00273C7B" w:rsidRPr="005E5A71" w:rsidP="00273C7B" w14:paraId="13EA25C1" w14:textId="77777777">
            <w:pPr>
              <w:jc w:val="center"/>
              <w:rPr>
                <w:sz w:val="16"/>
                <w:szCs w:val="16"/>
              </w:rPr>
            </w:pPr>
            <w:r>
              <w:rPr>
                <w:sz w:val="16"/>
                <w:szCs w:val="16"/>
              </w:rPr>
              <w:t>16</w:t>
            </w:r>
          </w:p>
        </w:tc>
        <w:tc>
          <w:tcPr>
            <w:tcW w:w="2905" w:type="dxa"/>
            <w:vAlign w:val="center"/>
          </w:tcPr>
          <w:p w:rsidR="00273C7B" w:rsidRPr="005425A9" w:rsidP="00273C7B" w14:paraId="18B70BA5" w14:textId="77777777">
            <w:pPr>
              <w:rPr>
                <w:sz w:val="16"/>
                <w:szCs w:val="16"/>
              </w:rPr>
            </w:pPr>
            <w:r>
              <w:rPr>
                <w:sz w:val="16"/>
                <w:szCs w:val="16"/>
              </w:rPr>
              <w:t xml:space="preserve">Zvýšení </w:t>
            </w:r>
            <w:r w:rsidRPr="004A02E9">
              <w:rPr>
                <w:sz w:val="16"/>
                <w:szCs w:val="16"/>
              </w:rPr>
              <w:t>motivace pro navyšování míry sběru OEEZ</w:t>
            </w:r>
          </w:p>
        </w:tc>
        <w:tc>
          <w:tcPr>
            <w:tcW w:w="1352" w:type="dxa"/>
            <w:vAlign w:val="center"/>
          </w:tcPr>
          <w:p w:rsidR="00273C7B" w:rsidRPr="005425A9" w:rsidP="00273C7B" w14:paraId="41468B10" w14:textId="77777777">
            <w:pPr>
              <w:jc w:val="center"/>
              <w:rPr>
                <w:sz w:val="16"/>
                <w:szCs w:val="16"/>
              </w:rPr>
            </w:pPr>
            <w:r w:rsidRPr="005425A9">
              <w:rPr>
                <w:sz w:val="16"/>
                <w:szCs w:val="16"/>
              </w:rPr>
              <w:t>*****</w:t>
            </w:r>
          </w:p>
        </w:tc>
        <w:tc>
          <w:tcPr>
            <w:tcW w:w="2605" w:type="dxa"/>
            <w:vAlign w:val="center"/>
          </w:tcPr>
          <w:p w:rsidR="00273C7B" w:rsidRPr="005425A9" w:rsidP="00273C7B" w14:paraId="4A51C1A6" w14:textId="77777777">
            <w:pPr>
              <w:jc w:val="center"/>
              <w:rPr>
                <w:sz w:val="16"/>
                <w:szCs w:val="16"/>
              </w:rPr>
            </w:pPr>
          </w:p>
        </w:tc>
        <w:tc>
          <w:tcPr>
            <w:tcW w:w="1628" w:type="dxa"/>
            <w:vAlign w:val="center"/>
          </w:tcPr>
          <w:p w:rsidR="00273C7B" w:rsidRPr="00D62F2B" w:rsidP="00273C7B" w14:paraId="3D7ED92B" w14:textId="77777777">
            <w:pPr>
              <w:jc w:val="center"/>
              <w:rPr>
                <w:sz w:val="16"/>
                <w:szCs w:val="16"/>
              </w:rPr>
            </w:pPr>
          </w:p>
        </w:tc>
      </w:tr>
      <w:tr w14:paraId="73E65B3C" w14:textId="77777777" w:rsidTr="00DE3380">
        <w:tblPrEx>
          <w:tblW w:w="0" w:type="auto"/>
          <w:tblLook w:val="04A0"/>
        </w:tblPrEx>
        <w:tc>
          <w:tcPr>
            <w:tcW w:w="572" w:type="dxa"/>
            <w:vAlign w:val="center"/>
          </w:tcPr>
          <w:p w:rsidR="00273C7B" w:rsidRPr="005E5A71" w:rsidP="00273C7B" w14:paraId="2249F4FA" w14:textId="77777777">
            <w:pPr>
              <w:jc w:val="center"/>
              <w:rPr>
                <w:sz w:val="16"/>
                <w:szCs w:val="16"/>
              </w:rPr>
            </w:pPr>
            <w:r>
              <w:rPr>
                <w:sz w:val="16"/>
                <w:szCs w:val="16"/>
              </w:rPr>
              <w:t>17</w:t>
            </w:r>
          </w:p>
        </w:tc>
        <w:tc>
          <w:tcPr>
            <w:tcW w:w="2905" w:type="dxa"/>
            <w:vAlign w:val="center"/>
          </w:tcPr>
          <w:p w:rsidR="00273C7B" w:rsidRPr="005425A9" w:rsidP="00273C7B" w14:paraId="0A47CCCD" w14:textId="77777777">
            <w:pPr>
              <w:rPr>
                <w:sz w:val="16"/>
                <w:szCs w:val="16"/>
              </w:rPr>
            </w:pPr>
            <w:r>
              <w:rPr>
                <w:sz w:val="16"/>
                <w:szCs w:val="16"/>
              </w:rPr>
              <w:t>S</w:t>
            </w:r>
            <w:r w:rsidRPr="005425A9">
              <w:rPr>
                <w:sz w:val="16"/>
                <w:szCs w:val="16"/>
              </w:rPr>
              <w:t>nížení rizika omezení sběru OEEZ</w:t>
            </w:r>
          </w:p>
        </w:tc>
        <w:tc>
          <w:tcPr>
            <w:tcW w:w="1352" w:type="dxa"/>
            <w:vAlign w:val="center"/>
          </w:tcPr>
          <w:p w:rsidR="00273C7B" w:rsidRPr="005425A9" w:rsidP="00273C7B" w14:paraId="7F888DDD" w14:textId="77777777">
            <w:pPr>
              <w:jc w:val="center"/>
              <w:rPr>
                <w:sz w:val="16"/>
                <w:szCs w:val="16"/>
              </w:rPr>
            </w:pPr>
            <w:r w:rsidRPr="005425A9">
              <w:rPr>
                <w:sz w:val="16"/>
                <w:szCs w:val="16"/>
              </w:rPr>
              <w:t>**</w:t>
            </w:r>
          </w:p>
        </w:tc>
        <w:tc>
          <w:tcPr>
            <w:tcW w:w="2605" w:type="dxa"/>
            <w:vAlign w:val="center"/>
          </w:tcPr>
          <w:p w:rsidR="00273C7B" w:rsidRPr="005425A9" w:rsidP="00273C7B" w14:paraId="34B75CBC" w14:textId="77777777">
            <w:pPr>
              <w:jc w:val="center"/>
              <w:rPr>
                <w:sz w:val="16"/>
                <w:szCs w:val="16"/>
              </w:rPr>
            </w:pPr>
          </w:p>
        </w:tc>
        <w:tc>
          <w:tcPr>
            <w:tcW w:w="1628" w:type="dxa"/>
            <w:vAlign w:val="center"/>
          </w:tcPr>
          <w:p w:rsidR="00273C7B" w:rsidRPr="00D62F2B" w:rsidP="00273C7B" w14:paraId="796D5F1A" w14:textId="77777777">
            <w:pPr>
              <w:jc w:val="center"/>
              <w:rPr>
                <w:sz w:val="16"/>
                <w:szCs w:val="16"/>
              </w:rPr>
            </w:pPr>
          </w:p>
        </w:tc>
      </w:tr>
      <w:tr w14:paraId="4FB69C2D" w14:textId="77777777" w:rsidTr="00DE3380">
        <w:tblPrEx>
          <w:tblW w:w="0" w:type="auto"/>
          <w:tblLook w:val="04A0"/>
        </w:tblPrEx>
        <w:tc>
          <w:tcPr>
            <w:tcW w:w="572" w:type="dxa"/>
            <w:vAlign w:val="center"/>
          </w:tcPr>
          <w:p w:rsidR="00273C7B" w:rsidRPr="005E5A71" w:rsidP="00273C7B" w14:paraId="6746F120" w14:textId="77777777">
            <w:pPr>
              <w:jc w:val="center"/>
              <w:rPr>
                <w:sz w:val="16"/>
                <w:szCs w:val="16"/>
              </w:rPr>
            </w:pPr>
            <w:r>
              <w:rPr>
                <w:sz w:val="16"/>
                <w:szCs w:val="16"/>
              </w:rPr>
              <w:t>18</w:t>
            </w:r>
          </w:p>
        </w:tc>
        <w:tc>
          <w:tcPr>
            <w:tcW w:w="2905" w:type="dxa"/>
            <w:vAlign w:val="center"/>
          </w:tcPr>
          <w:p w:rsidR="00273C7B" w:rsidRPr="005425A9" w:rsidP="00273C7B" w14:paraId="279D3ADC" w14:textId="77777777">
            <w:pPr>
              <w:rPr>
                <w:sz w:val="16"/>
                <w:szCs w:val="16"/>
              </w:rPr>
            </w:pPr>
            <w:r>
              <w:rPr>
                <w:sz w:val="16"/>
                <w:szCs w:val="16"/>
              </w:rPr>
              <w:t>Vyšší</w:t>
            </w:r>
            <w:r w:rsidRPr="005425A9">
              <w:rPr>
                <w:sz w:val="16"/>
                <w:szCs w:val="16"/>
              </w:rPr>
              <w:t xml:space="preserve"> dostupnost míst ZO - méně OEZZ mimo místa k tomu určená</w:t>
            </w:r>
          </w:p>
        </w:tc>
        <w:tc>
          <w:tcPr>
            <w:tcW w:w="1352" w:type="dxa"/>
            <w:vAlign w:val="center"/>
          </w:tcPr>
          <w:p w:rsidR="00273C7B" w:rsidRPr="005425A9" w:rsidP="00273C7B" w14:paraId="55E7C26B" w14:textId="77777777">
            <w:pPr>
              <w:jc w:val="center"/>
              <w:rPr>
                <w:sz w:val="16"/>
                <w:szCs w:val="16"/>
              </w:rPr>
            </w:pPr>
            <w:r w:rsidRPr="005425A9">
              <w:rPr>
                <w:sz w:val="16"/>
                <w:szCs w:val="16"/>
              </w:rPr>
              <w:t>**</w:t>
            </w:r>
            <w:r>
              <w:rPr>
                <w:sz w:val="16"/>
                <w:szCs w:val="16"/>
              </w:rPr>
              <w:t>*</w:t>
            </w:r>
          </w:p>
        </w:tc>
        <w:tc>
          <w:tcPr>
            <w:tcW w:w="2605" w:type="dxa"/>
            <w:vAlign w:val="center"/>
          </w:tcPr>
          <w:p w:rsidR="00273C7B" w:rsidRPr="005425A9" w:rsidP="00273C7B" w14:paraId="371A5B10" w14:textId="77777777">
            <w:pPr>
              <w:jc w:val="center"/>
              <w:rPr>
                <w:sz w:val="16"/>
                <w:szCs w:val="16"/>
              </w:rPr>
            </w:pPr>
          </w:p>
        </w:tc>
        <w:tc>
          <w:tcPr>
            <w:tcW w:w="1628" w:type="dxa"/>
            <w:vAlign w:val="center"/>
          </w:tcPr>
          <w:p w:rsidR="00273C7B" w:rsidRPr="00D62F2B" w:rsidP="00273C7B" w14:paraId="092446A3" w14:textId="77777777">
            <w:pPr>
              <w:jc w:val="center"/>
              <w:rPr>
                <w:sz w:val="16"/>
                <w:szCs w:val="16"/>
              </w:rPr>
            </w:pPr>
          </w:p>
        </w:tc>
      </w:tr>
      <w:tr w14:paraId="0122E356" w14:textId="77777777" w:rsidTr="00DE3380">
        <w:tblPrEx>
          <w:tblW w:w="0" w:type="auto"/>
          <w:tblLook w:val="04A0"/>
        </w:tblPrEx>
        <w:tc>
          <w:tcPr>
            <w:tcW w:w="572" w:type="dxa"/>
            <w:vAlign w:val="center"/>
          </w:tcPr>
          <w:p w:rsidR="00273C7B" w:rsidP="00273C7B" w14:paraId="2B9256B2" w14:textId="77777777">
            <w:pPr>
              <w:jc w:val="center"/>
              <w:rPr>
                <w:sz w:val="16"/>
                <w:szCs w:val="16"/>
              </w:rPr>
            </w:pPr>
            <w:r>
              <w:rPr>
                <w:sz w:val="16"/>
                <w:szCs w:val="16"/>
              </w:rPr>
              <w:t>19</w:t>
            </w:r>
          </w:p>
        </w:tc>
        <w:tc>
          <w:tcPr>
            <w:tcW w:w="2905" w:type="dxa"/>
            <w:vAlign w:val="center"/>
          </w:tcPr>
          <w:p w:rsidR="00273C7B" w:rsidRPr="005425A9" w:rsidP="00273C7B" w14:paraId="2814B72B" w14:textId="77777777">
            <w:pPr>
              <w:rPr>
                <w:sz w:val="16"/>
                <w:szCs w:val="16"/>
              </w:rPr>
            </w:pPr>
            <w:r w:rsidRPr="00C13C09">
              <w:rPr>
                <w:sz w:val="16"/>
                <w:szCs w:val="16"/>
              </w:rPr>
              <w:t>Vyšší dostupnost míst ZO – nižší riziko úniku nebezpečných látek z přenosných BA do ŽP</w:t>
            </w:r>
          </w:p>
        </w:tc>
        <w:tc>
          <w:tcPr>
            <w:tcW w:w="1352" w:type="dxa"/>
            <w:vAlign w:val="center"/>
          </w:tcPr>
          <w:p w:rsidR="00273C7B" w:rsidRPr="005425A9" w:rsidP="00273C7B" w14:paraId="3DC3B18E" w14:textId="77777777">
            <w:pPr>
              <w:jc w:val="center"/>
              <w:rPr>
                <w:sz w:val="16"/>
                <w:szCs w:val="16"/>
              </w:rPr>
            </w:pPr>
            <w:r>
              <w:rPr>
                <w:sz w:val="16"/>
                <w:szCs w:val="16"/>
              </w:rPr>
              <w:t>****</w:t>
            </w:r>
          </w:p>
        </w:tc>
        <w:tc>
          <w:tcPr>
            <w:tcW w:w="2605" w:type="dxa"/>
            <w:vAlign w:val="center"/>
          </w:tcPr>
          <w:p w:rsidR="00273C7B" w:rsidRPr="005425A9" w:rsidP="00273C7B" w14:paraId="177F72A0" w14:textId="77777777">
            <w:pPr>
              <w:jc w:val="center"/>
              <w:rPr>
                <w:sz w:val="16"/>
                <w:szCs w:val="16"/>
              </w:rPr>
            </w:pPr>
          </w:p>
        </w:tc>
        <w:tc>
          <w:tcPr>
            <w:tcW w:w="1628" w:type="dxa"/>
            <w:vAlign w:val="center"/>
          </w:tcPr>
          <w:p w:rsidR="00273C7B" w:rsidRPr="00D62F2B" w:rsidP="00273C7B" w14:paraId="0F5D1608" w14:textId="77777777">
            <w:pPr>
              <w:jc w:val="center"/>
              <w:rPr>
                <w:sz w:val="16"/>
                <w:szCs w:val="16"/>
              </w:rPr>
            </w:pPr>
          </w:p>
        </w:tc>
      </w:tr>
      <w:tr w14:paraId="28B155D6" w14:textId="77777777" w:rsidTr="00DE3380">
        <w:tblPrEx>
          <w:tblW w:w="0" w:type="auto"/>
          <w:tblLook w:val="04A0"/>
        </w:tblPrEx>
        <w:tc>
          <w:tcPr>
            <w:tcW w:w="572" w:type="dxa"/>
            <w:vAlign w:val="center"/>
          </w:tcPr>
          <w:p w:rsidR="00273C7B" w:rsidP="00273C7B" w14:paraId="32781716" w14:textId="77777777">
            <w:pPr>
              <w:jc w:val="center"/>
              <w:rPr>
                <w:sz w:val="16"/>
                <w:szCs w:val="16"/>
              </w:rPr>
            </w:pPr>
            <w:r>
              <w:rPr>
                <w:sz w:val="16"/>
                <w:szCs w:val="16"/>
              </w:rPr>
              <w:t>20</w:t>
            </w:r>
          </w:p>
        </w:tc>
        <w:tc>
          <w:tcPr>
            <w:tcW w:w="2905" w:type="dxa"/>
            <w:vAlign w:val="center"/>
          </w:tcPr>
          <w:p w:rsidR="00273C7B" w:rsidRPr="00AF4885" w:rsidP="00273C7B" w14:paraId="441A6D5A" w14:textId="77777777">
            <w:pPr>
              <w:rPr>
                <w:sz w:val="16"/>
                <w:szCs w:val="16"/>
              </w:rPr>
            </w:pPr>
            <w:r w:rsidRPr="00C13C09">
              <w:rPr>
                <w:sz w:val="16"/>
                <w:szCs w:val="16"/>
              </w:rPr>
              <w:t>Vyšší dostupnost míst ZO – nižší riziko úniku nebezpečných látek z automobilových BA do ŽP</w:t>
            </w:r>
          </w:p>
        </w:tc>
        <w:tc>
          <w:tcPr>
            <w:tcW w:w="1352" w:type="dxa"/>
            <w:vAlign w:val="center"/>
          </w:tcPr>
          <w:p w:rsidR="00273C7B" w:rsidP="00273C7B" w14:paraId="44E1EA2D" w14:textId="77777777">
            <w:pPr>
              <w:jc w:val="center"/>
              <w:rPr>
                <w:sz w:val="16"/>
                <w:szCs w:val="16"/>
              </w:rPr>
            </w:pPr>
            <w:r w:rsidRPr="00C13C09">
              <w:rPr>
                <w:sz w:val="16"/>
                <w:szCs w:val="16"/>
              </w:rPr>
              <w:t>****</w:t>
            </w:r>
          </w:p>
        </w:tc>
        <w:tc>
          <w:tcPr>
            <w:tcW w:w="2605" w:type="dxa"/>
            <w:vAlign w:val="center"/>
          </w:tcPr>
          <w:p w:rsidR="00273C7B" w:rsidRPr="005425A9" w:rsidP="00273C7B" w14:paraId="29E1A5A7" w14:textId="77777777">
            <w:pPr>
              <w:jc w:val="center"/>
              <w:rPr>
                <w:sz w:val="16"/>
                <w:szCs w:val="16"/>
              </w:rPr>
            </w:pPr>
          </w:p>
        </w:tc>
        <w:tc>
          <w:tcPr>
            <w:tcW w:w="1628" w:type="dxa"/>
            <w:vAlign w:val="center"/>
          </w:tcPr>
          <w:p w:rsidR="00273C7B" w:rsidRPr="00D62F2B" w:rsidP="00273C7B" w14:paraId="509CC152" w14:textId="77777777">
            <w:pPr>
              <w:jc w:val="center"/>
              <w:rPr>
                <w:sz w:val="16"/>
                <w:szCs w:val="16"/>
              </w:rPr>
            </w:pPr>
          </w:p>
        </w:tc>
      </w:tr>
      <w:tr w14:paraId="193A93C2" w14:textId="77777777" w:rsidTr="00DE3380">
        <w:tblPrEx>
          <w:tblW w:w="0" w:type="auto"/>
          <w:tblLook w:val="04A0"/>
        </w:tblPrEx>
        <w:tc>
          <w:tcPr>
            <w:tcW w:w="572" w:type="dxa"/>
            <w:vMerge w:val="restart"/>
            <w:vAlign w:val="center"/>
          </w:tcPr>
          <w:p w:rsidR="00273C7B" w:rsidRPr="005E5A71" w:rsidP="00273C7B" w14:paraId="3636AD90" w14:textId="77777777">
            <w:pPr>
              <w:jc w:val="center"/>
              <w:rPr>
                <w:sz w:val="16"/>
                <w:szCs w:val="16"/>
              </w:rPr>
            </w:pPr>
            <w:r>
              <w:rPr>
                <w:sz w:val="16"/>
                <w:szCs w:val="16"/>
              </w:rPr>
              <w:t>21</w:t>
            </w:r>
          </w:p>
        </w:tc>
        <w:tc>
          <w:tcPr>
            <w:tcW w:w="2905" w:type="dxa"/>
            <w:vAlign w:val="center"/>
          </w:tcPr>
          <w:p w:rsidR="00273C7B" w:rsidRPr="005425A9" w:rsidP="00273C7B" w14:paraId="6AAD3757" w14:textId="77777777">
            <w:pPr>
              <w:rPr>
                <w:sz w:val="16"/>
                <w:szCs w:val="16"/>
              </w:rPr>
            </w:pPr>
            <w:r w:rsidRPr="005425A9">
              <w:rPr>
                <w:color w:val="000000"/>
                <w:sz w:val="16"/>
                <w:szCs w:val="16"/>
              </w:rPr>
              <w:t>Snížení rizika úniku nebezpečných látek obsažených v Li-bateriích a</w:t>
            </w:r>
            <w:r>
              <w:rPr>
                <w:color w:val="000000"/>
                <w:sz w:val="16"/>
                <w:szCs w:val="16"/>
              </w:rPr>
              <w:t> </w:t>
            </w:r>
            <w:r w:rsidRPr="005425A9">
              <w:rPr>
                <w:color w:val="000000"/>
                <w:sz w:val="16"/>
                <w:szCs w:val="16"/>
              </w:rPr>
              <w:t>kontaminace ŽP</w:t>
            </w:r>
            <w:r w:rsidRPr="005425A9">
              <w:rPr>
                <w:sz w:val="16"/>
                <w:szCs w:val="16"/>
              </w:rPr>
              <w:t xml:space="preserve"> (zamezení vzniku případné ekologické zátěže)</w:t>
            </w:r>
          </w:p>
        </w:tc>
        <w:tc>
          <w:tcPr>
            <w:tcW w:w="1352" w:type="dxa"/>
            <w:vAlign w:val="center"/>
          </w:tcPr>
          <w:p w:rsidR="00273C7B" w:rsidRPr="005425A9" w:rsidP="00273C7B" w14:paraId="1230F021" w14:textId="77777777">
            <w:pPr>
              <w:jc w:val="center"/>
              <w:rPr>
                <w:sz w:val="16"/>
                <w:szCs w:val="16"/>
              </w:rPr>
            </w:pPr>
            <w:r w:rsidRPr="005425A9">
              <w:rPr>
                <w:sz w:val="16"/>
                <w:szCs w:val="16"/>
              </w:rPr>
              <w:t>***</w:t>
            </w:r>
          </w:p>
        </w:tc>
        <w:tc>
          <w:tcPr>
            <w:tcW w:w="2605" w:type="dxa"/>
            <w:vAlign w:val="center"/>
          </w:tcPr>
          <w:p w:rsidR="00273C7B" w:rsidRPr="005425A9" w:rsidP="00273C7B" w14:paraId="7A78EE90" w14:textId="77777777">
            <w:pPr>
              <w:jc w:val="center"/>
              <w:rPr>
                <w:sz w:val="16"/>
                <w:szCs w:val="16"/>
              </w:rPr>
            </w:pPr>
          </w:p>
        </w:tc>
        <w:tc>
          <w:tcPr>
            <w:tcW w:w="1628" w:type="dxa"/>
            <w:vAlign w:val="center"/>
          </w:tcPr>
          <w:p w:rsidR="00273C7B" w:rsidRPr="00D62F2B" w:rsidP="00273C7B" w14:paraId="0C64FC95" w14:textId="77777777">
            <w:pPr>
              <w:jc w:val="center"/>
              <w:rPr>
                <w:sz w:val="16"/>
                <w:szCs w:val="16"/>
              </w:rPr>
            </w:pPr>
          </w:p>
        </w:tc>
      </w:tr>
      <w:tr w14:paraId="677632E4" w14:textId="77777777" w:rsidTr="00DE3380">
        <w:tblPrEx>
          <w:tblW w:w="0" w:type="auto"/>
          <w:tblLook w:val="04A0"/>
        </w:tblPrEx>
        <w:tc>
          <w:tcPr>
            <w:tcW w:w="572" w:type="dxa"/>
            <w:vMerge/>
            <w:vAlign w:val="center"/>
          </w:tcPr>
          <w:p w:rsidR="00273C7B" w:rsidRPr="005E5A71" w:rsidP="00273C7B" w14:paraId="774332B8" w14:textId="77777777">
            <w:pPr>
              <w:jc w:val="center"/>
              <w:rPr>
                <w:sz w:val="16"/>
                <w:szCs w:val="16"/>
              </w:rPr>
            </w:pPr>
          </w:p>
        </w:tc>
        <w:tc>
          <w:tcPr>
            <w:tcW w:w="2905" w:type="dxa"/>
            <w:vAlign w:val="center"/>
          </w:tcPr>
          <w:p w:rsidR="00273C7B" w:rsidRPr="005425A9" w:rsidP="00273C7B" w14:paraId="67FDB45A" w14:textId="77777777">
            <w:pPr>
              <w:rPr>
                <w:sz w:val="16"/>
                <w:szCs w:val="16"/>
              </w:rPr>
            </w:pPr>
            <w:r w:rsidRPr="005425A9">
              <w:rPr>
                <w:color w:val="000000"/>
                <w:sz w:val="16"/>
                <w:szCs w:val="16"/>
              </w:rPr>
              <w:t>Úspora materiálů a energie při</w:t>
            </w:r>
            <w:r>
              <w:rPr>
                <w:color w:val="000000"/>
                <w:sz w:val="16"/>
                <w:szCs w:val="16"/>
              </w:rPr>
              <w:t> </w:t>
            </w:r>
            <w:r w:rsidRPr="005425A9">
              <w:rPr>
                <w:color w:val="000000"/>
                <w:sz w:val="16"/>
                <w:szCs w:val="16"/>
              </w:rPr>
              <w:t>recyklaci Li- baterií</w:t>
            </w:r>
          </w:p>
        </w:tc>
        <w:tc>
          <w:tcPr>
            <w:tcW w:w="1352" w:type="dxa"/>
            <w:vAlign w:val="center"/>
          </w:tcPr>
          <w:p w:rsidR="00273C7B" w:rsidRPr="005425A9" w:rsidP="00273C7B" w14:paraId="0AFCD61D" w14:textId="77777777">
            <w:pPr>
              <w:jc w:val="center"/>
              <w:rPr>
                <w:sz w:val="16"/>
                <w:szCs w:val="16"/>
              </w:rPr>
            </w:pPr>
            <w:r w:rsidRPr="005425A9">
              <w:rPr>
                <w:sz w:val="16"/>
                <w:szCs w:val="16"/>
              </w:rPr>
              <w:t>***</w:t>
            </w:r>
          </w:p>
        </w:tc>
        <w:tc>
          <w:tcPr>
            <w:tcW w:w="2605" w:type="dxa"/>
            <w:vAlign w:val="center"/>
          </w:tcPr>
          <w:p w:rsidR="00273C7B" w:rsidRPr="005425A9" w:rsidP="00273C7B" w14:paraId="20AEBBDA" w14:textId="77777777">
            <w:pPr>
              <w:jc w:val="center"/>
              <w:rPr>
                <w:sz w:val="16"/>
                <w:szCs w:val="16"/>
              </w:rPr>
            </w:pPr>
          </w:p>
        </w:tc>
        <w:tc>
          <w:tcPr>
            <w:tcW w:w="1628" w:type="dxa"/>
            <w:vAlign w:val="center"/>
          </w:tcPr>
          <w:p w:rsidR="00273C7B" w:rsidRPr="00D62F2B" w:rsidP="00273C7B" w14:paraId="6A695F34" w14:textId="77777777">
            <w:pPr>
              <w:jc w:val="center"/>
              <w:rPr>
                <w:sz w:val="16"/>
                <w:szCs w:val="16"/>
              </w:rPr>
            </w:pPr>
          </w:p>
        </w:tc>
      </w:tr>
      <w:tr w14:paraId="11DFB086" w14:textId="77777777" w:rsidTr="00DE3380">
        <w:tblPrEx>
          <w:tblW w:w="0" w:type="auto"/>
          <w:tblLook w:val="04A0"/>
        </w:tblPrEx>
        <w:tc>
          <w:tcPr>
            <w:tcW w:w="572" w:type="dxa"/>
            <w:vAlign w:val="center"/>
          </w:tcPr>
          <w:p w:rsidR="00273C7B" w:rsidRPr="005E5A71" w:rsidP="00273C7B" w14:paraId="3C8B4F56" w14:textId="77777777">
            <w:pPr>
              <w:jc w:val="center"/>
              <w:rPr>
                <w:sz w:val="16"/>
                <w:szCs w:val="16"/>
              </w:rPr>
            </w:pPr>
            <w:r>
              <w:rPr>
                <w:sz w:val="16"/>
                <w:szCs w:val="16"/>
              </w:rPr>
              <w:t>23</w:t>
            </w:r>
          </w:p>
        </w:tc>
        <w:tc>
          <w:tcPr>
            <w:tcW w:w="2905" w:type="dxa"/>
            <w:vAlign w:val="center"/>
          </w:tcPr>
          <w:p w:rsidR="00273C7B" w:rsidRPr="005425A9" w:rsidP="00273C7B" w14:paraId="476F6F68" w14:textId="77777777">
            <w:pPr>
              <w:rPr>
                <w:color w:val="000000"/>
                <w:sz w:val="16"/>
                <w:szCs w:val="16"/>
              </w:rPr>
            </w:pPr>
            <w:r w:rsidRPr="00C13C09">
              <w:rPr>
                <w:color w:val="000000"/>
                <w:sz w:val="16"/>
                <w:szCs w:val="16"/>
              </w:rPr>
              <w:t xml:space="preserve">Vyšší dostupnost míst ZO </w:t>
            </w:r>
            <w:r>
              <w:rPr>
                <w:color w:val="000000"/>
                <w:sz w:val="16"/>
                <w:szCs w:val="16"/>
              </w:rPr>
              <w:t xml:space="preserve">odpadních pneumatik </w:t>
            </w:r>
            <w:r w:rsidRPr="00C13C09">
              <w:rPr>
                <w:color w:val="000000"/>
                <w:sz w:val="16"/>
                <w:szCs w:val="16"/>
              </w:rPr>
              <w:t>– nižší riziko znečištění ŽP</w:t>
            </w:r>
          </w:p>
        </w:tc>
        <w:tc>
          <w:tcPr>
            <w:tcW w:w="1352" w:type="dxa"/>
            <w:vAlign w:val="center"/>
          </w:tcPr>
          <w:p w:rsidR="00273C7B" w:rsidRPr="00C13C09" w:rsidP="00273C7B" w14:paraId="1911C878" w14:textId="77777777">
            <w:pPr>
              <w:jc w:val="center"/>
              <w:rPr>
                <w:color w:val="000000"/>
                <w:sz w:val="16"/>
                <w:szCs w:val="16"/>
              </w:rPr>
            </w:pPr>
            <w:r w:rsidRPr="00C13C09">
              <w:rPr>
                <w:color w:val="000000"/>
                <w:sz w:val="16"/>
                <w:szCs w:val="16"/>
              </w:rPr>
              <w:t>****</w:t>
            </w:r>
          </w:p>
        </w:tc>
        <w:tc>
          <w:tcPr>
            <w:tcW w:w="2605" w:type="dxa"/>
            <w:vAlign w:val="center"/>
          </w:tcPr>
          <w:p w:rsidR="00273C7B" w:rsidRPr="005425A9" w:rsidP="00273C7B" w14:paraId="5A445558" w14:textId="77777777">
            <w:pPr>
              <w:jc w:val="center"/>
              <w:rPr>
                <w:sz w:val="16"/>
                <w:szCs w:val="16"/>
              </w:rPr>
            </w:pPr>
          </w:p>
        </w:tc>
        <w:tc>
          <w:tcPr>
            <w:tcW w:w="1628" w:type="dxa"/>
            <w:vAlign w:val="center"/>
          </w:tcPr>
          <w:p w:rsidR="00273C7B" w:rsidRPr="00D62F2B" w:rsidP="00273C7B" w14:paraId="0A8B0230" w14:textId="77777777">
            <w:pPr>
              <w:jc w:val="center"/>
              <w:rPr>
                <w:sz w:val="16"/>
                <w:szCs w:val="16"/>
              </w:rPr>
            </w:pPr>
          </w:p>
        </w:tc>
      </w:tr>
      <w:tr w14:paraId="1F661166" w14:textId="77777777" w:rsidTr="00DE3380">
        <w:tblPrEx>
          <w:tblW w:w="0" w:type="auto"/>
          <w:tblLook w:val="04A0"/>
        </w:tblPrEx>
        <w:tc>
          <w:tcPr>
            <w:tcW w:w="572" w:type="dxa"/>
            <w:vMerge w:val="restart"/>
            <w:vAlign w:val="center"/>
          </w:tcPr>
          <w:p w:rsidR="00273C7B" w:rsidRPr="005E5A71" w:rsidP="00273C7B" w14:paraId="4D83CA4A" w14:textId="77777777">
            <w:pPr>
              <w:jc w:val="center"/>
              <w:rPr>
                <w:sz w:val="16"/>
                <w:szCs w:val="16"/>
              </w:rPr>
            </w:pPr>
            <w:r>
              <w:rPr>
                <w:sz w:val="16"/>
                <w:szCs w:val="16"/>
              </w:rPr>
              <w:t>24</w:t>
            </w:r>
          </w:p>
        </w:tc>
        <w:tc>
          <w:tcPr>
            <w:tcW w:w="2905" w:type="dxa"/>
            <w:vAlign w:val="center"/>
          </w:tcPr>
          <w:p w:rsidR="00273C7B" w:rsidRPr="005425A9" w:rsidP="00273C7B" w14:paraId="53F448E8" w14:textId="77777777">
            <w:pPr>
              <w:rPr>
                <w:sz w:val="16"/>
                <w:szCs w:val="16"/>
              </w:rPr>
            </w:pPr>
            <w:r w:rsidRPr="005425A9">
              <w:rPr>
                <w:color w:val="000000"/>
                <w:sz w:val="16"/>
                <w:szCs w:val="16"/>
              </w:rPr>
              <w:t xml:space="preserve">Snížení rizika úniku nebezpečných látek z deponií pneumatik při vznícení a kontaminace ŽP </w:t>
            </w:r>
            <w:r w:rsidRPr="005425A9">
              <w:rPr>
                <w:sz w:val="16"/>
                <w:szCs w:val="16"/>
              </w:rPr>
              <w:t>(zamezení vzniku případné ekologické zátěže)</w:t>
            </w:r>
          </w:p>
        </w:tc>
        <w:tc>
          <w:tcPr>
            <w:tcW w:w="1352" w:type="dxa"/>
            <w:vAlign w:val="center"/>
          </w:tcPr>
          <w:p w:rsidR="00273C7B" w:rsidRPr="005425A9" w:rsidP="00273C7B" w14:paraId="5D9DC5D2" w14:textId="77777777">
            <w:pPr>
              <w:jc w:val="center"/>
              <w:rPr>
                <w:sz w:val="16"/>
                <w:szCs w:val="16"/>
              </w:rPr>
            </w:pPr>
            <w:r w:rsidRPr="005425A9">
              <w:rPr>
                <w:sz w:val="16"/>
                <w:szCs w:val="16"/>
              </w:rPr>
              <w:t>***</w:t>
            </w:r>
          </w:p>
        </w:tc>
        <w:tc>
          <w:tcPr>
            <w:tcW w:w="2605" w:type="dxa"/>
            <w:vAlign w:val="center"/>
          </w:tcPr>
          <w:p w:rsidR="00273C7B" w:rsidRPr="005425A9" w:rsidP="00273C7B" w14:paraId="08BAE574" w14:textId="77777777">
            <w:pPr>
              <w:jc w:val="center"/>
              <w:rPr>
                <w:sz w:val="16"/>
                <w:szCs w:val="16"/>
              </w:rPr>
            </w:pPr>
          </w:p>
        </w:tc>
        <w:tc>
          <w:tcPr>
            <w:tcW w:w="1628" w:type="dxa"/>
            <w:vAlign w:val="center"/>
          </w:tcPr>
          <w:p w:rsidR="00273C7B" w:rsidRPr="00D62F2B" w:rsidP="00273C7B" w14:paraId="050156A8" w14:textId="77777777">
            <w:pPr>
              <w:jc w:val="center"/>
              <w:rPr>
                <w:sz w:val="16"/>
                <w:szCs w:val="16"/>
              </w:rPr>
            </w:pPr>
          </w:p>
        </w:tc>
      </w:tr>
      <w:tr w14:paraId="03F047EA" w14:textId="77777777" w:rsidTr="00DE3380">
        <w:tblPrEx>
          <w:tblW w:w="0" w:type="auto"/>
          <w:tblLook w:val="04A0"/>
        </w:tblPrEx>
        <w:tc>
          <w:tcPr>
            <w:tcW w:w="572" w:type="dxa"/>
            <w:vMerge/>
            <w:vAlign w:val="center"/>
          </w:tcPr>
          <w:p w:rsidR="00273C7B" w:rsidRPr="005E5A71" w:rsidP="00273C7B" w14:paraId="29B62988" w14:textId="77777777">
            <w:pPr>
              <w:jc w:val="center"/>
              <w:rPr>
                <w:sz w:val="16"/>
                <w:szCs w:val="16"/>
              </w:rPr>
            </w:pPr>
          </w:p>
        </w:tc>
        <w:tc>
          <w:tcPr>
            <w:tcW w:w="2905" w:type="dxa"/>
            <w:vAlign w:val="center"/>
          </w:tcPr>
          <w:p w:rsidR="00273C7B" w:rsidRPr="005425A9" w:rsidP="00273C7B" w14:paraId="4C641814" w14:textId="77777777">
            <w:pPr>
              <w:rPr>
                <w:sz w:val="16"/>
                <w:szCs w:val="16"/>
              </w:rPr>
            </w:pPr>
            <w:r w:rsidRPr="005425A9">
              <w:rPr>
                <w:color w:val="000000"/>
                <w:sz w:val="16"/>
                <w:szCs w:val="16"/>
              </w:rPr>
              <w:t>Úspora materiálů a energie při</w:t>
            </w:r>
            <w:r>
              <w:rPr>
                <w:color w:val="000000"/>
                <w:sz w:val="16"/>
                <w:szCs w:val="16"/>
              </w:rPr>
              <w:t> </w:t>
            </w:r>
            <w:r w:rsidRPr="005425A9">
              <w:rPr>
                <w:color w:val="000000"/>
                <w:sz w:val="16"/>
                <w:szCs w:val="16"/>
              </w:rPr>
              <w:t>recyklaci</w:t>
            </w:r>
          </w:p>
        </w:tc>
        <w:tc>
          <w:tcPr>
            <w:tcW w:w="1352" w:type="dxa"/>
            <w:vAlign w:val="center"/>
          </w:tcPr>
          <w:p w:rsidR="00273C7B" w:rsidRPr="005425A9" w:rsidP="00273C7B" w14:paraId="36FC90A8" w14:textId="77777777">
            <w:pPr>
              <w:jc w:val="center"/>
              <w:rPr>
                <w:sz w:val="16"/>
                <w:szCs w:val="16"/>
              </w:rPr>
            </w:pPr>
            <w:r w:rsidRPr="005425A9">
              <w:rPr>
                <w:sz w:val="16"/>
                <w:szCs w:val="16"/>
              </w:rPr>
              <w:t>***</w:t>
            </w:r>
          </w:p>
        </w:tc>
        <w:tc>
          <w:tcPr>
            <w:tcW w:w="2605" w:type="dxa"/>
            <w:vAlign w:val="center"/>
          </w:tcPr>
          <w:p w:rsidR="00273C7B" w:rsidRPr="005425A9" w:rsidP="00273C7B" w14:paraId="12464B42" w14:textId="77777777">
            <w:pPr>
              <w:jc w:val="center"/>
              <w:rPr>
                <w:sz w:val="16"/>
                <w:szCs w:val="16"/>
              </w:rPr>
            </w:pPr>
          </w:p>
        </w:tc>
        <w:tc>
          <w:tcPr>
            <w:tcW w:w="1628" w:type="dxa"/>
            <w:vAlign w:val="center"/>
          </w:tcPr>
          <w:p w:rsidR="00273C7B" w:rsidRPr="00D62F2B" w:rsidP="00273C7B" w14:paraId="2DC1EEBB" w14:textId="77777777">
            <w:pPr>
              <w:jc w:val="center"/>
              <w:rPr>
                <w:sz w:val="16"/>
                <w:szCs w:val="16"/>
              </w:rPr>
            </w:pPr>
          </w:p>
        </w:tc>
      </w:tr>
      <w:tr w14:paraId="39DB6C15" w14:textId="77777777" w:rsidTr="00DE3380">
        <w:tblPrEx>
          <w:tblW w:w="0" w:type="auto"/>
          <w:tblLook w:val="04A0"/>
        </w:tblPrEx>
        <w:tc>
          <w:tcPr>
            <w:tcW w:w="572" w:type="dxa"/>
            <w:vAlign w:val="center"/>
          </w:tcPr>
          <w:p w:rsidR="00273C7B" w:rsidRPr="005E5A71" w:rsidP="00273C7B" w14:paraId="34039687" w14:textId="77777777">
            <w:pPr>
              <w:jc w:val="center"/>
              <w:rPr>
                <w:sz w:val="16"/>
                <w:szCs w:val="16"/>
              </w:rPr>
            </w:pPr>
            <w:r>
              <w:rPr>
                <w:sz w:val="16"/>
                <w:szCs w:val="16"/>
              </w:rPr>
              <w:t>26</w:t>
            </w:r>
          </w:p>
        </w:tc>
        <w:tc>
          <w:tcPr>
            <w:tcW w:w="2905" w:type="dxa"/>
            <w:vAlign w:val="center"/>
          </w:tcPr>
          <w:p w:rsidR="00273C7B" w:rsidRPr="005425A9" w:rsidP="00273C7B" w14:paraId="08B28D91" w14:textId="77777777">
            <w:pPr>
              <w:rPr>
                <w:color w:val="000000"/>
                <w:sz w:val="16"/>
                <w:szCs w:val="16"/>
              </w:rPr>
            </w:pPr>
            <w:r>
              <w:rPr>
                <w:sz w:val="16"/>
                <w:szCs w:val="16"/>
              </w:rPr>
              <w:t>M</w:t>
            </w:r>
            <w:r w:rsidRPr="005425A9">
              <w:rPr>
                <w:sz w:val="16"/>
                <w:szCs w:val="16"/>
              </w:rPr>
              <w:t>éně odpadu uloženého mimo místa k tomu určená</w:t>
            </w:r>
          </w:p>
        </w:tc>
        <w:tc>
          <w:tcPr>
            <w:tcW w:w="1352" w:type="dxa"/>
            <w:vAlign w:val="center"/>
          </w:tcPr>
          <w:p w:rsidR="00273C7B" w:rsidRPr="005425A9" w:rsidP="00273C7B" w14:paraId="44EDA2F5" w14:textId="77777777">
            <w:pPr>
              <w:jc w:val="center"/>
              <w:rPr>
                <w:sz w:val="16"/>
                <w:szCs w:val="16"/>
              </w:rPr>
            </w:pPr>
            <w:r w:rsidRPr="00D62F2B">
              <w:rPr>
                <w:sz w:val="16"/>
                <w:szCs w:val="16"/>
              </w:rPr>
              <w:t>*až *****</w:t>
            </w:r>
          </w:p>
        </w:tc>
        <w:tc>
          <w:tcPr>
            <w:tcW w:w="2605" w:type="dxa"/>
            <w:vAlign w:val="center"/>
          </w:tcPr>
          <w:p w:rsidR="00273C7B" w:rsidRPr="005425A9" w:rsidP="00273C7B" w14:paraId="6B915C14" w14:textId="77777777">
            <w:pPr>
              <w:jc w:val="center"/>
              <w:rPr>
                <w:sz w:val="16"/>
                <w:szCs w:val="16"/>
              </w:rPr>
            </w:pPr>
          </w:p>
        </w:tc>
        <w:tc>
          <w:tcPr>
            <w:tcW w:w="1628" w:type="dxa"/>
            <w:vAlign w:val="center"/>
          </w:tcPr>
          <w:p w:rsidR="00273C7B" w:rsidRPr="00D62F2B" w:rsidP="00273C7B" w14:paraId="42866B9E" w14:textId="77777777">
            <w:pPr>
              <w:jc w:val="center"/>
              <w:rPr>
                <w:sz w:val="16"/>
                <w:szCs w:val="16"/>
              </w:rPr>
            </w:pPr>
          </w:p>
        </w:tc>
      </w:tr>
    </w:tbl>
    <w:p w:rsidR="003742E5" w:rsidP="003742E5" w14:paraId="31CE39BF" w14:textId="77777777">
      <w:pPr>
        <w:keepNext/>
        <w:spacing w:line="240" w:lineRule="auto"/>
        <w:rPr>
          <w:rFonts w:cs="Cambria"/>
          <w:b/>
        </w:rPr>
      </w:pPr>
    </w:p>
    <w:p w:rsidR="00C262B5" w:rsidP="00C262B5" w14:paraId="669E11E3" w14:textId="77777777">
      <w:pPr>
        <w:rPr>
          <w:rFonts w:cs="Cambria"/>
          <w:b/>
        </w:rPr>
      </w:pPr>
      <w:r w:rsidRPr="0065533D">
        <w:rPr>
          <w:rFonts w:cs="Cambria"/>
          <w:b/>
        </w:rPr>
        <w:t>Dopady na státní rozpočet a ostatní veřejné rozpočty</w:t>
      </w:r>
    </w:p>
    <w:p w:rsidR="00C262B5" w:rsidRPr="001A456F" w:rsidP="00C262B5" w14:paraId="5921320A" w14:textId="77777777">
      <w:pPr>
        <w:rPr>
          <w:rFonts w:cs="Cambria"/>
          <w:b/>
          <w:i/>
        </w:rPr>
      </w:pPr>
      <w:r w:rsidRPr="001A456F">
        <w:rPr>
          <w:rFonts w:cs="Cambria"/>
          <w:b/>
          <w:i/>
        </w:rPr>
        <w:t>Ministerstvo životního prostředí</w:t>
      </w:r>
    </w:p>
    <w:p w:rsidR="00C262B5" w:rsidP="00C262B5" w14:paraId="69899E25" w14:textId="39A28B21">
      <w:pPr>
        <w:rPr>
          <w:rFonts w:cs="Cambria"/>
        </w:rPr>
      </w:pPr>
      <w:r>
        <w:rPr>
          <w:rFonts w:cs="Arial"/>
        </w:rPr>
        <w:t>Náklady na rozšíření r</w:t>
      </w:r>
      <w:r w:rsidRPr="00ED38E9">
        <w:rPr>
          <w:rFonts w:cs="Arial"/>
        </w:rPr>
        <w:t>egistr</w:t>
      </w:r>
      <w:r>
        <w:rPr>
          <w:rFonts w:cs="Arial"/>
        </w:rPr>
        <w:t>u</w:t>
      </w:r>
      <w:r w:rsidRPr="00ED38E9">
        <w:rPr>
          <w:rFonts w:cs="Arial"/>
        </w:rPr>
        <w:t xml:space="preserve"> míst </w:t>
      </w:r>
      <w:r>
        <w:rPr>
          <w:rFonts w:cs="Arial"/>
        </w:rPr>
        <w:t>ZO</w:t>
      </w:r>
      <w:r w:rsidRPr="00ED38E9">
        <w:rPr>
          <w:rFonts w:cs="Arial"/>
        </w:rPr>
        <w:t xml:space="preserve"> v oblasti EEZ provozovaný ministerstvem o další komodity</w:t>
      </w:r>
      <w:r>
        <w:rPr>
          <w:rFonts w:cs="Arial"/>
        </w:rPr>
        <w:t xml:space="preserve">, tzn. </w:t>
      </w:r>
      <w:r w:rsidRPr="00763A9B">
        <w:t>na realizaci úprav v</w:t>
      </w:r>
      <w:r>
        <w:t> </w:t>
      </w:r>
      <w:r w:rsidRPr="00763A9B">
        <w:t xml:space="preserve">systémech ISOH a MA ISOH </w:t>
      </w:r>
      <w:r>
        <w:t>se budou pohybovat</w:t>
      </w:r>
      <w:r w:rsidRPr="00763A9B">
        <w:t xml:space="preserve"> kolem </w:t>
      </w:r>
      <w:r>
        <w:t>1,4 mil. Kč (včetně</w:t>
      </w:r>
      <w:r w:rsidRPr="00763A9B">
        <w:t xml:space="preserve"> DPH</w:t>
      </w:r>
      <w:r>
        <w:t xml:space="preserve">). </w:t>
      </w:r>
      <w:r w:rsidRPr="006E7DA0">
        <w:rPr>
          <w:rFonts w:cs="Arial"/>
        </w:rPr>
        <w:t xml:space="preserve">Další náklady ministerstva </w:t>
      </w:r>
      <w:r w:rsidRPr="00221615">
        <w:rPr>
          <w:rFonts w:cs="Arial"/>
        </w:rPr>
        <w:t>jsou spojeny</w:t>
      </w:r>
      <w:r w:rsidRPr="006E7DA0">
        <w:rPr>
          <w:rFonts w:cs="Arial"/>
        </w:rPr>
        <w:t xml:space="preserve"> s distribucí přístupov</w:t>
      </w:r>
      <w:r w:rsidRPr="00221615">
        <w:rPr>
          <w:rFonts w:cs="Arial"/>
        </w:rPr>
        <w:t>ý</w:t>
      </w:r>
      <w:r w:rsidRPr="006E7DA0">
        <w:rPr>
          <w:rFonts w:cs="Arial"/>
        </w:rPr>
        <w:t>ch údajů povinným osobám. Předpokládáme, že se bude jednat přibližně o jeden pracovní den jednoho zaměstnance (cca</w:t>
      </w:r>
      <w:r>
        <w:rPr>
          <w:rFonts w:cs="Arial"/>
        </w:rPr>
        <w:t> </w:t>
      </w:r>
      <w:r w:rsidRPr="006E7DA0">
        <w:rPr>
          <w:rFonts w:cs="Arial"/>
        </w:rPr>
        <w:t>3</w:t>
      </w:r>
      <w:r w:rsidRPr="00221615">
        <w:rPr>
          <w:rFonts w:cs="Arial"/>
        </w:rPr>
        <w:t>,5</w:t>
      </w:r>
      <w:r w:rsidRPr="006E7DA0">
        <w:rPr>
          <w:rFonts w:cs="Arial"/>
        </w:rPr>
        <w:t> tis. Kč, dle</w:t>
      </w:r>
      <w:r>
        <w:rPr>
          <w:rFonts w:cs="Arial"/>
        </w:rPr>
        <w:t> </w:t>
      </w:r>
      <w:r w:rsidRPr="006E7DA0">
        <w:rPr>
          <w:rFonts w:cs="Arial"/>
        </w:rPr>
        <w:t>Metodiky MV) a uvedená činnost bude v rámci pracovní náplně pracovníka odboru odpadů. Uvedené náklady na rozšíření aplikace budou hrazeny z kapitoly 315 M</w:t>
      </w:r>
      <w:r>
        <w:rPr>
          <w:rFonts w:cs="Arial"/>
        </w:rPr>
        <w:t>inisterstva životního prostředí, z </w:t>
      </w:r>
      <w:r w:rsidRPr="00A702B5">
        <w:t>programu 115</w:t>
      </w:r>
      <w:r w:rsidR="00E72BFF">
        <w:t> </w:t>
      </w:r>
      <w:r w:rsidRPr="00A702B5">
        <w:t>030</w:t>
      </w:r>
      <w:r w:rsidR="00E72BFF">
        <w:t xml:space="preserve"> (bod 3)</w:t>
      </w:r>
      <w:r>
        <w:t>.</w:t>
      </w:r>
    </w:p>
    <w:p w:rsidR="00C262B5" w:rsidP="00C262B5" w14:paraId="5F84DC96" w14:textId="669C9E31">
      <w:pPr>
        <w:rPr>
          <w:rFonts w:cs="Arial"/>
        </w:rPr>
      </w:pPr>
      <w:r>
        <w:rPr>
          <w:rFonts w:cs="Arial"/>
        </w:rPr>
        <w:t>Jednorázová a</w:t>
      </w:r>
      <w:r w:rsidRPr="001539F1">
        <w:rPr>
          <w:rFonts w:cs="Arial"/>
        </w:rPr>
        <w:t xml:space="preserve">dministrativní zátěž </w:t>
      </w:r>
      <w:r>
        <w:rPr>
          <w:rFonts w:cs="Arial"/>
        </w:rPr>
        <w:t>spojená s udělením nových</w:t>
      </w:r>
      <w:r w:rsidRPr="001539F1">
        <w:rPr>
          <w:rFonts w:cs="Arial"/>
        </w:rPr>
        <w:t xml:space="preserve"> oprávnění k provozování KS </w:t>
      </w:r>
      <w:r>
        <w:rPr>
          <w:rFonts w:cs="Arial"/>
        </w:rPr>
        <w:t xml:space="preserve">je odhadována </w:t>
      </w:r>
      <w:r w:rsidRPr="001539F1">
        <w:rPr>
          <w:rFonts w:cs="Arial"/>
        </w:rPr>
        <w:t>na </w:t>
      </w:r>
      <w:r>
        <w:rPr>
          <w:rFonts w:cs="Arial"/>
        </w:rPr>
        <w:t>730</w:t>
      </w:r>
      <w:r w:rsidRPr="001539F1">
        <w:rPr>
          <w:rFonts w:cs="Arial"/>
        </w:rPr>
        <w:t> tis. Kč</w:t>
      </w:r>
      <w:r>
        <w:rPr>
          <w:rFonts w:cs="Arial"/>
        </w:rPr>
        <w:t xml:space="preserve"> (bod 4)</w:t>
      </w:r>
      <w:r w:rsidRPr="001539F1">
        <w:rPr>
          <w:rFonts w:cs="Arial"/>
        </w:rPr>
        <w:t>.</w:t>
      </w:r>
    </w:p>
    <w:p w:rsidR="00C262B5" w:rsidP="00C262B5" w14:paraId="070F5CF5" w14:textId="0EEB7745">
      <w:pPr>
        <w:rPr>
          <w:rFonts w:cs="Arial"/>
        </w:rPr>
      </w:pPr>
      <w:r w:rsidRPr="00C22698">
        <w:rPr>
          <w:rFonts w:cs="Arial"/>
        </w:rPr>
        <w:t>Administrativní zátěž při spolupráci s MPO při projednávání žádostí o vydání rozhodnutí oprávnění k provozování KS, žádostí o prodloužení platnosti oprávnění, žádostí o předchozí souhlas s fúzí nebo s rozdělením provozovatele KS, změn nebo zrušení oprávnění je odhadována na cca 550 Kč/žádost</w:t>
      </w:r>
      <w:r w:rsidR="00E72BFF">
        <w:rPr>
          <w:rFonts w:cs="Arial"/>
        </w:rPr>
        <w:t xml:space="preserve"> (bod 7)</w:t>
      </w:r>
      <w:r w:rsidRPr="00C22698">
        <w:rPr>
          <w:rFonts w:cs="Arial"/>
        </w:rPr>
        <w:t>.</w:t>
      </w:r>
    </w:p>
    <w:p w:rsidR="00C262B5" w:rsidP="00C262B5" w14:paraId="736DDD25" w14:textId="216D9C36">
      <w:pPr>
        <w:widowControl w:val="0"/>
        <w:spacing w:after="120"/>
        <w:rPr>
          <w:rFonts w:eastAsia="Calibri" w:cs="Arial"/>
          <w:noProof w:val="0"/>
          <w:szCs w:val="22"/>
          <w:lang w:bidi="ar-SA"/>
        </w:rPr>
      </w:pPr>
      <w:r w:rsidRPr="00ED38E9">
        <w:rPr>
          <w:rFonts w:eastAsia="Calibri" w:cs="Arial"/>
          <w:noProof w:val="0"/>
          <w:szCs w:val="22"/>
          <w:lang w:bidi="ar-SA"/>
        </w:rPr>
        <w:t xml:space="preserve">Náklady </w:t>
      </w:r>
      <w:r>
        <w:rPr>
          <w:rFonts w:eastAsia="Calibri" w:cs="Arial"/>
          <w:noProof w:val="0"/>
          <w:szCs w:val="22"/>
          <w:lang w:bidi="ar-SA"/>
        </w:rPr>
        <w:t>spojené s</w:t>
      </w:r>
      <w:r w:rsidRPr="00ED38E9">
        <w:rPr>
          <w:rFonts w:eastAsia="Calibri" w:cs="Arial"/>
          <w:noProof w:val="0"/>
          <w:szCs w:val="22"/>
          <w:lang w:bidi="ar-SA"/>
        </w:rPr>
        <w:t xml:space="preserve"> příprav</w:t>
      </w:r>
      <w:r>
        <w:rPr>
          <w:rFonts w:eastAsia="Calibri" w:cs="Arial"/>
          <w:noProof w:val="0"/>
          <w:szCs w:val="22"/>
          <w:lang w:bidi="ar-SA"/>
        </w:rPr>
        <w:t>o</w:t>
      </w:r>
      <w:r w:rsidRPr="00ED38E9">
        <w:rPr>
          <w:rFonts w:eastAsia="Calibri" w:cs="Arial"/>
          <w:noProof w:val="0"/>
          <w:szCs w:val="22"/>
          <w:lang w:bidi="ar-SA"/>
        </w:rPr>
        <w:t xml:space="preserve">u podkladů </w:t>
      </w:r>
      <w:r>
        <w:rPr>
          <w:rFonts w:eastAsia="Calibri" w:cs="Arial"/>
          <w:noProof w:val="0"/>
          <w:szCs w:val="22"/>
          <w:lang w:bidi="ar-SA"/>
        </w:rPr>
        <w:t xml:space="preserve">a vedení případného </w:t>
      </w:r>
      <w:r w:rsidRPr="00ED38E9">
        <w:rPr>
          <w:rFonts w:eastAsia="Calibri" w:cs="Arial"/>
          <w:noProof w:val="0"/>
          <w:szCs w:val="22"/>
          <w:lang w:bidi="ar-SA"/>
        </w:rPr>
        <w:t>správní</w:t>
      </w:r>
      <w:r>
        <w:rPr>
          <w:rFonts w:eastAsia="Calibri" w:cs="Arial"/>
          <w:noProof w:val="0"/>
          <w:szCs w:val="22"/>
          <w:lang w:bidi="ar-SA"/>
        </w:rPr>
        <w:t>ho</w:t>
      </w:r>
      <w:r w:rsidRPr="00ED38E9">
        <w:rPr>
          <w:rFonts w:eastAsia="Calibri" w:cs="Arial"/>
          <w:noProof w:val="0"/>
          <w:szCs w:val="22"/>
          <w:lang w:bidi="ar-SA"/>
        </w:rPr>
        <w:t xml:space="preserve"> řízení k odebrání oprávnění </w:t>
      </w:r>
      <w:r>
        <w:rPr>
          <w:rFonts w:eastAsia="Calibri" w:cs="Arial"/>
          <w:noProof w:val="0"/>
          <w:szCs w:val="22"/>
          <w:lang w:bidi="ar-SA"/>
        </w:rPr>
        <w:t>k provozování</w:t>
      </w:r>
      <w:r w:rsidRPr="00ED38E9">
        <w:rPr>
          <w:rFonts w:eastAsia="Calibri" w:cs="Arial"/>
          <w:noProof w:val="0"/>
          <w:szCs w:val="22"/>
          <w:lang w:bidi="ar-SA"/>
        </w:rPr>
        <w:t xml:space="preserve"> KS </w:t>
      </w:r>
      <w:r>
        <w:rPr>
          <w:rFonts w:eastAsia="Calibri" w:cs="Arial"/>
          <w:noProof w:val="0"/>
          <w:szCs w:val="22"/>
          <w:lang w:bidi="ar-SA"/>
        </w:rPr>
        <w:t xml:space="preserve">jsou odhadovány na </w:t>
      </w:r>
      <w:r w:rsidR="00E72BFF">
        <w:rPr>
          <w:rFonts w:eastAsia="Calibri" w:cs="Arial"/>
          <w:noProof w:val="0"/>
          <w:szCs w:val="22"/>
          <w:lang w:bidi="ar-SA"/>
        </w:rPr>
        <w:t xml:space="preserve">cca </w:t>
      </w:r>
      <w:r>
        <w:rPr>
          <w:rFonts w:eastAsia="Calibri" w:cs="Arial"/>
          <w:noProof w:val="0"/>
          <w:szCs w:val="22"/>
          <w:lang w:bidi="ar-SA"/>
        </w:rPr>
        <w:t>5</w:t>
      </w:r>
      <w:r w:rsidR="00E72BFF">
        <w:rPr>
          <w:rFonts w:eastAsia="Calibri" w:cs="Arial"/>
          <w:noProof w:val="0"/>
          <w:szCs w:val="22"/>
          <w:lang w:bidi="ar-SA"/>
        </w:rPr>
        <w:t>5 tis.</w:t>
      </w:r>
      <w:r>
        <w:rPr>
          <w:rFonts w:eastAsia="Calibri" w:cs="Arial"/>
          <w:noProof w:val="0"/>
          <w:szCs w:val="22"/>
          <w:lang w:bidi="ar-SA"/>
        </w:rPr>
        <w:t xml:space="preserve"> Kč/správní řízení.</w:t>
      </w:r>
      <w:r w:rsidRPr="008B0A1D">
        <w:rPr>
          <w:rFonts w:eastAsia="Calibri" w:cs="Arial"/>
          <w:noProof w:val="0"/>
          <w:szCs w:val="22"/>
          <w:lang w:bidi="ar-SA"/>
        </w:rPr>
        <w:t xml:space="preserve"> </w:t>
      </w:r>
      <w:r w:rsidRPr="00ED38E9">
        <w:rPr>
          <w:rFonts w:eastAsia="Calibri" w:cs="Arial"/>
          <w:noProof w:val="0"/>
          <w:szCs w:val="22"/>
          <w:lang w:bidi="ar-SA"/>
        </w:rPr>
        <w:t xml:space="preserve">Očekáváme, že tento krok bude realizován </w:t>
      </w:r>
      <w:r>
        <w:rPr>
          <w:rFonts w:eastAsia="Calibri" w:cs="Arial"/>
          <w:noProof w:val="0"/>
          <w:szCs w:val="22"/>
          <w:lang w:bidi="ar-SA"/>
        </w:rPr>
        <w:t>výjimečně, tzn. n</w:t>
      </w:r>
      <w:r w:rsidRPr="00ED38E9">
        <w:rPr>
          <w:rFonts w:eastAsia="Calibri" w:cs="Arial"/>
          <w:noProof w:val="0"/>
          <w:szCs w:val="22"/>
          <w:lang w:bidi="ar-SA"/>
        </w:rPr>
        <w:t xml:space="preserve">áklady tohoto opatření </w:t>
      </w:r>
      <w:r>
        <w:rPr>
          <w:rFonts w:eastAsia="Calibri" w:cs="Arial"/>
          <w:noProof w:val="0"/>
          <w:szCs w:val="22"/>
          <w:lang w:bidi="ar-SA"/>
        </w:rPr>
        <w:t>jsou spíše teoretické</w:t>
      </w:r>
      <w:r w:rsidR="00E72BFF">
        <w:rPr>
          <w:rFonts w:eastAsia="Calibri" w:cs="Arial"/>
          <w:noProof w:val="0"/>
          <w:szCs w:val="22"/>
          <w:lang w:bidi="ar-SA"/>
        </w:rPr>
        <w:t xml:space="preserve"> (bod 12)</w:t>
      </w:r>
      <w:r>
        <w:rPr>
          <w:rFonts w:eastAsia="Calibri" w:cs="Arial"/>
          <w:noProof w:val="0"/>
          <w:szCs w:val="22"/>
          <w:lang w:bidi="ar-SA"/>
        </w:rPr>
        <w:t>.</w:t>
      </w:r>
    </w:p>
    <w:p w:rsidR="00E80945" w:rsidP="00C22698" w14:paraId="32CB75D2" w14:textId="5C887AD5">
      <w:pPr>
        <w:rPr>
          <w:rFonts w:eastAsia="Calibri" w:cs="Arial"/>
          <w:noProof w:val="0"/>
          <w:szCs w:val="22"/>
          <w:lang w:bidi="ar-SA"/>
        </w:rPr>
      </w:pPr>
      <w:r>
        <w:t>V případě, že prodejce EEZ Ministerstvo v rámci správního řízení vydá rozhodnutí, pomocí kterého vysloví, že určitá stránka je provozována v rozporu s tímto zákonem a umístí pak tuto stránku na Seznam nepovolených internetových obchodů, jenž je veden v elektronické podobě způsobem umožňující dálkový a nepřetržitý přístup. Na základě tohoto rozhodnutí, tak bude označena daná internetová stránka za „nezákonnou“.</w:t>
      </w:r>
      <w:r w:rsidR="00DB3FE1">
        <w:t xml:space="preserve"> </w:t>
      </w:r>
      <w:r w:rsidR="00DB3FE1">
        <w:rPr>
          <w:rFonts w:cs="Arial"/>
        </w:rPr>
        <w:t>Možnost</w:t>
      </w:r>
      <w:r w:rsidRPr="003F0645" w:rsidR="00DB3FE1">
        <w:rPr>
          <w:rFonts w:cs="Arial"/>
        </w:rPr>
        <w:t xml:space="preserve"> </w:t>
      </w:r>
      <w:r w:rsidR="00DB3FE1">
        <w:rPr>
          <w:rFonts w:cs="Arial"/>
        </w:rPr>
        <w:t xml:space="preserve">této </w:t>
      </w:r>
      <w:r w:rsidRPr="003F0645" w:rsidR="00DB3FE1">
        <w:rPr>
          <w:rFonts w:cs="Arial"/>
        </w:rPr>
        <w:t xml:space="preserve">regulace </w:t>
      </w:r>
      <w:r w:rsidR="00DB3FE1">
        <w:rPr>
          <w:rFonts w:cs="Arial"/>
        </w:rPr>
        <w:t xml:space="preserve">se bude týkat </w:t>
      </w:r>
      <w:r w:rsidRPr="003F0645" w:rsidR="00DB3FE1">
        <w:rPr>
          <w:rFonts w:cs="Arial"/>
        </w:rPr>
        <w:t xml:space="preserve">online prodejců </w:t>
      </w:r>
      <w:r w:rsidR="00DB3FE1">
        <w:rPr>
          <w:rFonts w:cs="Arial"/>
        </w:rPr>
        <w:t xml:space="preserve">EEZ </w:t>
      </w:r>
      <w:r w:rsidRPr="003F0645" w:rsidR="00DB3FE1">
        <w:rPr>
          <w:rFonts w:cs="Arial"/>
        </w:rPr>
        <w:t>ze</w:t>
      </w:r>
      <w:r w:rsidR="00DB3FE1">
        <w:rPr>
          <w:rFonts w:cs="Arial"/>
        </w:rPr>
        <w:t> </w:t>
      </w:r>
      <w:r w:rsidRPr="003F0645" w:rsidR="00DB3FE1">
        <w:rPr>
          <w:rFonts w:cs="Arial"/>
        </w:rPr>
        <w:t>zemí mimo EU, zejména třetích zemí, kteří neplní své povinnosti výrobce související se zpětným odběrem</w:t>
      </w:r>
      <w:r w:rsidR="00DB3FE1">
        <w:rPr>
          <w:rFonts w:cs="Arial"/>
        </w:rPr>
        <w:t xml:space="preserve"> </w:t>
      </w:r>
      <w:r w:rsidR="00E72BFF">
        <w:rPr>
          <w:rFonts w:cs="Arial"/>
        </w:rPr>
        <w:t>(</w:t>
      </w:r>
      <w:r w:rsidRPr="003F0645" w:rsidR="00E72BFF">
        <w:rPr>
          <w:rFonts w:cs="Arial"/>
        </w:rPr>
        <w:t>freeriding</w:t>
      </w:r>
      <w:r w:rsidR="00E72BFF">
        <w:rPr>
          <w:rFonts w:cs="Arial"/>
        </w:rPr>
        <w:t xml:space="preserve">) </w:t>
      </w:r>
      <w:r w:rsidR="00DB3FE1">
        <w:rPr>
          <w:rFonts w:cs="Arial"/>
        </w:rPr>
        <w:t xml:space="preserve">a splnění zákonných povinností dle </w:t>
      </w:r>
      <w:r w:rsidRPr="003F0645" w:rsidR="00DB3FE1">
        <w:rPr>
          <w:rFonts w:cs="Arial"/>
        </w:rPr>
        <w:t xml:space="preserve">práva ČR </w:t>
      </w:r>
      <w:r w:rsidR="00DB3FE1">
        <w:rPr>
          <w:rFonts w:cs="Arial"/>
        </w:rPr>
        <w:t>je u těchto výrobců</w:t>
      </w:r>
      <w:r w:rsidRPr="003F0645" w:rsidR="00DB3FE1">
        <w:rPr>
          <w:rFonts w:cs="Arial"/>
        </w:rPr>
        <w:t xml:space="preserve"> v podstatě </w:t>
      </w:r>
      <w:r w:rsidR="00DB3FE1">
        <w:rPr>
          <w:rFonts w:cs="Arial"/>
        </w:rPr>
        <w:t>nevymahatelné</w:t>
      </w:r>
      <w:r w:rsidR="00E72BFF">
        <w:rPr>
          <w:rFonts w:cs="Arial"/>
        </w:rPr>
        <w:t xml:space="preserve"> (bod 15)</w:t>
      </w:r>
      <w:r w:rsidR="00DB3FE1">
        <w:rPr>
          <w:rFonts w:cs="Arial"/>
        </w:rPr>
        <w:t xml:space="preserve">. </w:t>
      </w:r>
    </w:p>
    <w:p w:rsidR="00C262B5" w:rsidRPr="007E32C4" w:rsidP="00C262B5" w14:paraId="58C9D2D8" w14:textId="77777777">
      <w:pPr>
        <w:spacing w:before="360"/>
        <w:rPr>
          <w:rFonts w:cs="Arial"/>
          <w:b/>
          <w:i/>
        </w:rPr>
      </w:pPr>
      <w:r w:rsidRPr="007E32C4">
        <w:rPr>
          <w:rFonts w:cs="Arial"/>
          <w:b/>
          <w:i/>
        </w:rPr>
        <w:t>CENIA</w:t>
      </w:r>
    </w:p>
    <w:p w:rsidR="00C262B5" w:rsidP="00C262B5" w14:paraId="51AA92CB" w14:textId="2187EC47">
      <w:pPr>
        <w:rPr>
          <w:rFonts w:cs="Arial"/>
        </w:rPr>
      </w:pPr>
      <w:r>
        <w:rPr>
          <w:rFonts w:cs="Arial"/>
        </w:rPr>
        <w:t>Snížení administrativní zátěže při zrušení povinnosti zasílání hlášení výrobců a akreditovaných zástupců (roční zpráva)</w:t>
      </w:r>
      <w:r w:rsidRPr="00563F8E">
        <w:rPr>
          <w:rFonts w:cs="Arial"/>
        </w:rPr>
        <w:t xml:space="preserve"> </w:t>
      </w:r>
      <w:r>
        <w:rPr>
          <w:rFonts w:cs="Arial"/>
        </w:rPr>
        <w:t>spojené se zpracováním dat a úpravou formulářů o 40 tis. Kč/rok</w:t>
      </w:r>
      <w:r w:rsidR="00E72BFF">
        <w:rPr>
          <w:rFonts w:cs="Arial"/>
        </w:rPr>
        <w:t xml:space="preserve"> (bod</w:t>
      </w:r>
      <w:r w:rsidR="00CC0BB4">
        <w:rPr>
          <w:rFonts w:cs="Arial"/>
        </w:rPr>
        <w:t> </w:t>
      </w:r>
      <w:r w:rsidR="00E72BFF">
        <w:rPr>
          <w:rFonts w:cs="Arial"/>
        </w:rPr>
        <w:t>25)</w:t>
      </w:r>
      <w:r>
        <w:rPr>
          <w:rFonts w:cs="Arial"/>
        </w:rPr>
        <w:t>.</w:t>
      </w:r>
    </w:p>
    <w:p w:rsidR="00E80945" w:rsidRPr="00E80945" w:rsidP="00CC0BB4" w14:paraId="3248C4FA" w14:textId="206775FE">
      <w:pPr>
        <w:spacing w:before="360"/>
        <w:rPr>
          <w:rFonts w:cs="Arial"/>
          <w:b/>
          <w:i/>
        </w:rPr>
      </w:pPr>
      <w:r w:rsidRPr="00E80945">
        <w:rPr>
          <w:rFonts w:cs="Arial"/>
          <w:b/>
          <w:i/>
        </w:rPr>
        <w:t>SFŽP</w:t>
      </w:r>
    </w:p>
    <w:p w:rsidR="00E80945" w:rsidP="00C262B5" w14:paraId="607FC2F7" w14:textId="09AA4C52">
      <w:pPr>
        <w:rPr>
          <w:rFonts w:cs="Arial"/>
        </w:rPr>
      </w:pPr>
      <w:r>
        <w:t xml:space="preserve">V případě, že provozovateli KS zanikne oprávnění k provozování KS, budou peněžní prostředky </w:t>
      </w:r>
      <w:r w:rsidRPr="00997FAA">
        <w:t>tvořící finanční rezervu</w:t>
      </w:r>
      <w:r>
        <w:t xml:space="preserve"> od výrobců, kteří nepřejdou k jinému KS, převedeny do </w:t>
      </w:r>
      <w:r w:rsidRPr="00997FAA">
        <w:t>Státního fondu životního prostředí České republiky</w:t>
      </w:r>
      <w:r>
        <w:t xml:space="preserve"> (SFŽP), kde budou účelově vázané a</w:t>
      </w:r>
      <w:r w:rsidR="0074158A">
        <w:t> </w:t>
      </w:r>
      <w:r>
        <w:t>mohou</w:t>
      </w:r>
      <w:r w:rsidRPr="00997FAA">
        <w:t xml:space="preserve"> být použity jen pro financování projektů, které se týkají nakládání s výrobky s ukončenou životností toho druhu, pro který </w:t>
      </w:r>
      <w:r w:rsidRPr="00922064">
        <w:t>který bylo zaniklé oprávnění k provozování KS vydáno</w:t>
      </w:r>
      <w:r w:rsidR="0074158A">
        <w:t xml:space="preserve"> (bod 13)</w:t>
      </w:r>
      <w:r w:rsidRPr="00922064">
        <w:t>.</w:t>
      </w:r>
    </w:p>
    <w:p w:rsidR="00C262B5" w:rsidRPr="007E32C4" w:rsidP="00C262B5" w14:paraId="17CE45EC" w14:textId="77777777">
      <w:pPr>
        <w:keepNext/>
        <w:spacing w:before="360"/>
        <w:rPr>
          <w:rFonts w:cs="Arial"/>
          <w:b/>
          <w:i/>
        </w:rPr>
      </w:pPr>
      <w:r w:rsidRPr="007E32C4">
        <w:rPr>
          <w:rFonts w:cs="Arial"/>
          <w:b/>
          <w:i/>
        </w:rPr>
        <w:t>Ministerstvo průmyslu a obchodu</w:t>
      </w:r>
    </w:p>
    <w:p w:rsidR="00C262B5" w:rsidP="00C262B5" w14:paraId="5F5D2FD8" w14:textId="2F8BF4E5">
      <w:pPr>
        <w:rPr>
          <w:rFonts w:cs="Arial"/>
        </w:rPr>
      </w:pPr>
      <w:r>
        <w:rPr>
          <w:rFonts w:cs="Arial"/>
        </w:rPr>
        <w:t xml:space="preserve">Administrativní zátěž na </w:t>
      </w:r>
      <w:r w:rsidRPr="00ED38E9">
        <w:rPr>
          <w:rFonts w:cs="Arial"/>
        </w:rPr>
        <w:t xml:space="preserve"> </w:t>
      </w:r>
      <w:r w:rsidRPr="008B0A1D">
        <w:rPr>
          <w:rFonts w:cs="Arial"/>
        </w:rPr>
        <w:t xml:space="preserve">zpracování </w:t>
      </w:r>
      <w:r w:rsidRPr="00ED38E9">
        <w:rPr>
          <w:rFonts w:cs="Arial"/>
        </w:rPr>
        <w:t xml:space="preserve">žádostí o vydání rozhodnutí oprávnění k provozování </w:t>
      </w:r>
      <w:r>
        <w:rPr>
          <w:rFonts w:cs="Arial"/>
        </w:rPr>
        <w:t>KS</w:t>
      </w:r>
      <w:r w:rsidRPr="00ED38E9">
        <w:rPr>
          <w:rFonts w:cs="Arial"/>
        </w:rPr>
        <w:t>, žádostí o prodloužení platnosti oprávnění, žádostí o předchozí souhlas s</w:t>
      </w:r>
      <w:r>
        <w:rPr>
          <w:rFonts w:cs="Arial"/>
        </w:rPr>
        <w:t> </w:t>
      </w:r>
      <w:r w:rsidRPr="00ED38E9">
        <w:rPr>
          <w:rFonts w:cs="Arial"/>
        </w:rPr>
        <w:t xml:space="preserve">fúzí nebo s rozdělením provozovatele </w:t>
      </w:r>
      <w:r>
        <w:rPr>
          <w:rFonts w:cs="Arial"/>
        </w:rPr>
        <w:t>KS, změn nebo zrušení oprávnění</w:t>
      </w:r>
      <w:r w:rsidRPr="008B0A1D">
        <w:rPr>
          <w:rFonts w:cs="Arial"/>
        </w:rPr>
        <w:t xml:space="preserve"> a vytvoření stanoviska k</w:t>
      </w:r>
      <w:r w:rsidR="00CC0BB4">
        <w:rPr>
          <w:rFonts w:cs="Arial"/>
        </w:rPr>
        <w:t> </w:t>
      </w:r>
      <w:r w:rsidRPr="008B0A1D">
        <w:rPr>
          <w:rFonts w:cs="Arial"/>
        </w:rPr>
        <w:t xml:space="preserve">zaslaným materiálům </w:t>
      </w:r>
      <w:r>
        <w:rPr>
          <w:rFonts w:cs="Arial"/>
        </w:rPr>
        <w:t xml:space="preserve">je odhadována na </w:t>
      </w:r>
      <w:r w:rsidRPr="008B0A1D">
        <w:rPr>
          <w:rFonts w:cs="Arial"/>
        </w:rPr>
        <w:t>cca 11 700 Kč/ žádost</w:t>
      </w:r>
      <w:r w:rsidR="00E72BFF">
        <w:rPr>
          <w:rFonts w:cs="Arial"/>
        </w:rPr>
        <w:t xml:space="preserve"> (bod 7)</w:t>
      </w:r>
      <w:r>
        <w:rPr>
          <w:rFonts w:cs="Arial"/>
        </w:rPr>
        <w:t>.</w:t>
      </w:r>
    </w:p>
    <w:p w:rsidR="00C262B5" w:rsidP="00C262B5" w14:paraId="15016BC1" w14:textId="657B71D0">
      <w:pPr>
        <w:rPr>
          <w:rFonts w:cs="Arial"/>
        </w:rPr>
      </w:pPr>
      <w:r>
        <w:rPr>
          <w:rFonts w:cs="Arial"/>
        </w:rPr>
        <w:t>Navýšení nákladů na provoz ČOI z důvodu rozšíření kompetencí v oblasti kontroly vybraných výrobků a zajištění jejich ZO je odhadováno na 1,14 mil. Kč/rok</w:t>
      </w:r>
      <w:r w:rsidR="00E72BFF">
        <w:rPr>
          <w:rFonts w:cs="Arial"/>
        </w:rPr>
        <w:t xml:space="preserve"> (bod 26)</w:t>
      </w:r>
      <w:r>
        <w:rPr>
          <w:rFonts w:cs="Arial"/>
        </w:rPr>
        <w:t>.</w:t>
      </w:r>
    </w:p>
    <w:p w:rsidR="00C262B5" w:rsidRPr="008B0A1D" w:rsidP="00C262B5" w14:paraId="728F8F5F" w14:textId="77777777">
      <w:pPr>
        <w:rPr>
          <w:rFonts w:cs="Arial"/>
        </w:rPr>
      </w:pPr>
    </w:p>
    <w:p w:rsidR="00C262B5" w:rsidP="00C262B5" w14:paraId="087C1B90" w14:textId="77777777">
      <w:pPr>
        <w:keepNext/>
        <w:rPr>
          <w:rFonts w:cs="Cambria"/>
          <w:b/>
        </w:rPr>
      </w:pPr>
      <w:r>
        <w:rPr>
          <w:rFonts w:cs="Cambria"/>
          <w:b/>
        </w:rPr>
        <w:t>Dopady na mezinárodní konkurenceschopnost</w:t>
      </w:r>
    </w:p>
    <w:p w:rsidR="00C262B5" w:rsidP="00C262B5" w14:paraId="1C3A1418" w14:textId="77777777">
      <w:pPr>
        <w:rPr>
          <w:rFonts w:cs="Arial"/>
        </w:rPr>
      </w:pPr>
      <w:r w:rsidRPr="009249AE">
        <w:t>Zaváděná agenda neovlivní konkurenceschopnost ČR.</w:t>
      </w:r>
      <w:r>
        <w:t xml:space="preserve"> Z</w:t>
      </w:r>
      <w:r w:rsidRPr="006D57FE">
        <w:rPr>
          <w:noProof w:val="0"/>
          <w:color w:val="000000"/>
          <w:lang w:eastAsia="cs-CZ" w:bidi="ar-SA"/>
        </w:rPr>
        <w:t>měna směrnice Evropského parlamentu a Rady (ES) č. 2008/98/ES o odpadech a o zrušení některých směrnic (tzv. rámcová směrnice o odpadech)</w:t>
      </w:r>
      <w:r>
        <w:rPr>
          <w:noProof w:val="0"/>
          <w:color w:val="000000"/>
          <w:lang w:eastAsia="cs-CZ" w:bidi="ar-SA"/>
        </w:rPr>
        <w:t xml:space="preserve">, a změny dalších </w:t>
      </w:r>
      <w:r w:rsidRPr="006D57FE">
        <w:rPr>
          <w:noProof w:val="0"/>
          <w:color w:val="000000"/>
          <w:lang w:eastAsia="cs-CZ" w:bidi="ar-SA"/>
        </w:rPr>
        <w:t>směrnic regulujících odpadové hospodářství (tzv. „balíček oběhového hospodářství“)</w:t>
      </w:r>
      <w:r>
        <w:rPr>
          <w:noProof w:val="0"/>
          <w:color w:val="000000"/>
          <w:lang w:eastAsia="cs-CZ" w:bidi="ar-SA"/>
        </w:rPr>
        <w:t xml:space="preserve"> </w:t>
      </w:r>
      <w:r w:rsidRPr="009249AE">
        <w:t>jsou účinn</w:t>
      </w:r>
      <w:r>
        <w:t>é</w:t>
      </w:r>
      <w:r w:rsidRPr="009249AE">
        <w:t xml:space="preserve"> v rámci celé EU a podmínky tak budou pro</w:t>
      </w:r>
      <w:r>
        <w:t> </w:t>
      </w:r>
      <w:r w:rsidRPr="009249AE">
        <w:t xml:space="preserve">všechny </w:t>
      </w:r>
      <w:r>
        <w:t xml:space="preserve">členské </w:t>
      </w:r>
      <w:r w:rsidRPr="009249AE">
        <w:t>státy EU shodné.</w:t>
      </w:r>
    </w:p>
    <w:p w:rsidR="00C262B5" w:rsidP="00C262B5" w14:paraId="7B2199B5" w14:textId="77777777">
      <w:pPr>
        <w:rPr>
          <w:rFonts w:cs="Cambria"/>
          <w:b/>
        </w:rPr>
      </w:pPr>
    </w:p>
    <w:p w:rsidR="00C262B5" w:rsidRPr="00940CFD" w:rsidP="00C262B5" w14:paraId="5312AF69" w14:textId="77777777">
      <w:pPr>
        <w:spacing w:line="240" w:lineRule="auto"/>
        <w:rPr>
          <w:b/>
        </w:rPr>
      </w:pPr>
      <w:r w:rsidRPr="00940CFD">
        <w:rPr>
          <w:b/>
        </w:rPr>
        <w:t>Dopady na podnikatelské prostředí</w:t>
      </w:r>
      <w:r w:rsidRPr="00D75D56">
        <w:rPr>
          <w:rFonts w:cs="Cambria"/>
          <w:b/>
        </w:rPr>
        <w:t xml:space="preserve"> </w:t>
      </w:r>
    </w:p>
    <w:p w:rsidR="00C262B5" w:rsidRPr="00D44334" w:rsidP="00C262B5" w14:paraId="0EE03653" w14:textId="77777777">
      <w:pPr>
        <w:tabs>
          <w:tab w:val="left" w:pos="1037"/>
        </w:tabs>
        <w:rPr>
          <w:rFonts w:eastAsia="MS Mincho" w:cs="Arial"/>
          <w:b/>
          <w:bCs/>
          <w:i/>
        </w:rPr>
      </w:pPr>
      <w:r w:rsidRPr="00D44334">
        <w:rPr>
          <w:rFonts w:eastAsia="MS Mincho" w:cs="Arial"/>
          <w:b/>
          <w:bCs/>
          <w:i/>
        </w:rPr>
        <w:t>Místa ZO</w:t>
      </w:r>
    </w:p>
    <w:p w:rsidR="00C262B5" w:rsidP="00C262B5" w14:paraId="4A90C633" w14:textId="77777777">
      <w:pPr>
        <w:tabs>
          <w:tab w:val="left" w:pos="1037"/>
        </w:tabs>
        <w:spacing w:before="60"/>
        <w:rPr>
          <w:rFonts w:eastAsia="MS Mincho" w:cs="Arial"/>
          <w:bCs/>
          <w:noProof w:val="0"/>
          <w:lang w:bidi="ar-SA"/>
        </w:rPr>
      </w:pPr>
      <w:r>
        <w:rPr>
          <w:rFonts w:eastAsia="MS Mincho" w:cs="Arial"/>
          <w:bCs/>
          <w:noProof w:val="0"/>
          <w:lang w:bidi="ar-SA"/>
        </w:rPr>
        <w:t>M</w:t>
      </w:r>
      <w:r w:rsidRPr="001F6A94">
        <w:rPr>
          <w:rFonts w:eastAsia="MS Mincho" w:cs="Arial"/>
          <w:bCs/>
          <w:noProof w:val="0"/>
          <w:lang w:bidi="ar-SA"/>
        </w:rPr>
        <w:t>írné navýšení AZ na vedení průběžné evidence a roční hlášení</w:t>
      </w:r>
      <w:r>
        <w:rPr>
          <w:rFonts w:eastAsia="MS Mincho" w:cs="Arial"/>
          <w:bCs/>
          <w:noProof w:val="0"/>
          <w:lang w:bidi="ar-SA"/>
        </w:rPr>
        <w:t>. N</w:t>
      </w:r>
      <w:r w:rsidRPr="00ED38E9">
        <w:rPr>
          <w:rFonts w:cs="Arial"/>
        </w:rPr>
        <w:t>eočekává</w:t>
      </w:r>
      <w:r>
        <w:rPr>
          <w:rFonts w:cs="Arial"/>
        </w:rPr>
        <w:t xml:space="preserve"> s</w:t>
      </w:r>
      <w:r w:rsidRPr="00ED38E9">
        <w:rPr>
          <w:rFonts w:cs="Arial"/>
        </w:rPr>
        <w:t>e</w:t>
      </w:r>
      <w:r>
        <w:rPr>
          <w:rFonts w:cs="Arial"/>
        </w:rPr>
        <w:t xml:space="preserve"> výrazné</w:t>
      </w:r>
      <w:r w:rsidRPr="00ED38E9">
        <w:rPr>
          <w:rFonts w:cs="Arial"/>
        </w:rPr>
        <w:t xml:space="preserve"> navýšení nákladů oproti současnosti, protože povinnosti, které budou stano</w:t>
      </w:r>
      <w:r>
        <w:rPr>
          <w:rFonts w:cs="Arial"/>
        </w:rPr>
        <w:t>veny, již většina subjektů plní</w:t>
      </w:r>
      <w:r w:rsidRPr="00D44334">
        <w:rPr>
          <w:rFonts w:eastAsia="MS Mincho" w:cs="Arial"/>
          <w:bCs/>
          <w:noProof w:val="0"/>
          <w:lang w:bidi="ar-SA"/>
        </w:rPr>
        <w:t xml:space="preserve"> </w:t>
      </w:r>
      <w:r w:rsidRPr="00BC2F48">
        <w:rPr>
          <w:rFonts w:eastAsia="MS Mincho" w:cs="Arial"/>
          <w:bCs/>
          <w:noProof w:val="0"/>
          <w:lang w:bidi="ar-SA"/>
        </w:rPr>
        <w:t>(bod 1)</w:t>
      </w:r>
      <w:r>
        <w:rPr>
          <w:rFonts w:eastAsia="MS Mincho" w:cs="Arial"/>
          <w:bCs/>
          <w:noProof w:val="0"/>
          <w:lang w:bidi="ar-SA"/>
        </w:rPr>
        <w:t>.</w:t>
      </w:r>
    </w:p>
    <w:p w:rsidR="00C262B5" w:rsidRPr="001F6A94" w:rsidP="00C262B5" w14:paraId="2F106746" w14:textId="77777777">
      <w:pPr>
        <w:tabs>
          <w:tab w:val="left" w:pos="1037"/>
        </w:tabs>
        <w:spacing w:before="60"/>
        <w:rPr>
          <w:rFonts w:eastAsia="MS Mincho" w:cs="Arial"/>
          <w:bCs/>
          <w:noProof w:val="0"/>
          <w:lang w:bidi="ar-SA"/>
        </w:rPr>
      </w:pPr>
    </w:p>
    <w:p w:rsidR="00C262B5" w:rsidRPr="00462900" w:rsidP="00CC0BB4" w14:paraId="2356AC9E" w14:textId="77777777">
      <w:pPr>
        <w:keepNext/>
        <w:tabs>
          <w:tab w:val="left" w:pos="1037"/>
        </w:tabs>
        <w:spacing w:before="60"/>
        <w:rPr>
          <w:rFonts w:eastAsia="MS Mincho" w:cs="Arial"/>
          <w:b/>
          <w:bCs/>
          <w:i/>
          <w:noProof w:val="0"/>
          <w:lang w:bidi="ar-SA"/>
        </w:rPr>
      </w:pPr>
      <w:r w:rsidRPr="00462900">
        <w:rPr>
          <w:rFonts w:eastAsia="MS Mincho" w:cs="Arial"/>
          <w:b/>
          <w:bCs/>
          <w:i/>
          <w:noProof w:val="0"/>
          <w:lang w:bidi="ar-SA"/>
        </w:rPr>
        <w:t>Kolektivní systémy</w:t>
      </w:r>
    </w:p>
    <w:p w:rsidR="00C262B5" w:rsidRPr="001F6A94" w:rsidP="00C262B5" w14:paraId="4F28E81D" w14:textId="77777777">
      <w:pPr>
        <w:tabs>
          <w:tab w:val="left" w:pos="1037"/>
        </w:tabs>
        <w:spacing w:before="60"/>
        <w:rPr>
          <w:rFonts w:eastAsia="MS Mincho" w:cs="Arial"/>
          <w:bCs/>
          <w:noProof w:val="0"/>
          <w:lang w:bidi="ar-SA"/>
        </w:rPr>
      </w:pPr>
      <w:r w:rsidRPr="009F6127">
        <w:rPr>
          <w:rFonts w:cs="Arial"/>
        </w:rPr>
        <w:t>Výrobci spadající pod KS budou informace o místech ZO hlásit přes tento subjekt. Náklady na</w:t>
      </w:r>
      <w:r>
        <w:rPr>
          <w:rFonts w:cs="Arial"/>
        </w:rPr>
        <w:t> </w:t>
      </w:r>
      <w:r w:rsidRPr="009F6127">
        <w:rPr>
          <w:rFonts w:cs="Arial"/>
        </w:rPr>
        <w:t>propojení softwarových systémů se odhadují na 30 tis. Kč</w:t>
      </w:r>
      <w:r w:rsidRPr="009F6127">
        <w:rPr>
          <w:rFonts w:eastAsia="MS Mincho" w:cs="Arial"/>
          <w:bCs/>
          <w:noProof w:val="0"/>
          <w:lang w:bidi="ar-SA"/>
        </w:rPr>
        <w:t xml:space="preserve"> </w:t>
      </w:r>
      <w:r w:rsidRPr="001F6A94">
        <w:rPr>
          <w:rFonts w:eastAsia="MS Mincho" w:cs="Arial"/>
          <w:bCs/>
          <w:noProof w:val="0"/>
          <w:lang w:bidi="ar-SA"/>
        </w:rPr>
        <w:t>/KS (bod 3).</w:t>
      </w:r>
    </w:p>
    <w:p w:rsidR="00C262B5" w:rsidRPr="009F6127" w:rsidP="00C262B5" w14:paraId="6F5D7BA5" w14:textId="77777777">
      <w:pPr>
        <w:tabs>
          <w:tab w:val="left" w:pos="1037"/>
        </w:tabs>
        <w:spacing w:before="60"/>
        <w:rPr>
          <w:rFonts w:eastAsia="MS Mincho" w:cs="Arial"/>
          <w:bCs/>
          <w:noProof w:val="0"/>
          <w:lang w:bidi="ar-SA"/>
        </w:rPr>
      </w:pPr>
      <w:r w:rsidRPr="001F6A94">
        <w:rPr>
          <w:rFonts w:cs="Arial"/>
        </w:rPr>
        <w:t xml:space="preserve">Vydávání nových oprávnění k provozování KS je spojeno s náklady na doplnění nebo zpracování nového autorizačního projektu </w:t>
      </w:r>
      <w:r w:rsidRPr="009F6127">
        <w:rPr>
          <w:rFonts w:cs="Arial"/>
        </w:rPr>
        <w:t>zajišťování kolektivního plnění dle nových požadavků - cca</w:t>
      </w:r>
      <w:r w:rsidRPr="001F6A94">
        <w:rPr>
          <w:rFonts w:cs="Arial"/>
        </w:rPr>
        <w:t xml:space="preserve"> 0,3 – 2 mil. Kč. V případě nutnosti přesmluvnění všech smluv je třeba počítat s náklady zhruba desítek </w:t>
      </w:r>
      <w:r w:rsidRPr="009F6127">
        <w:rPr>
          <w:rFonts w:cs="Arial"/>
        </w:rPr>
        <w:t xml:space="preserve">mil. Kč. V souvislosti s tím hrozí i riziko </w:t>
      </w:r>
      <w:r w:rsidRPr="009F6127">
        <w:rPr>
          <w:rFonts w:eastAsia="MS Mincho" w:cs="Arial"/>
          <w:bCs/>
          <w:noProof w:val="0"/>
          <w:lang w:bidi="ar-SA"/>
        </w:rPr>
        <w:t xml:space="preserve">ukončení činnosti </w:t>
      </w:r>
      <w:r w:rsidRPr="001F6A94">
        <w:rPr>
          <w:rFonts w:eastAsia="MS Mincho" w:cs="Arial"/>
          <w:bCs/>
          <w:noProof w:val="0"/>
          <w:lang w:bidi="ar-SA"/>
        </w:rPr>
        <w:t>některých současných KS (bod 4).</w:t>
      </w:r>
    </w:p>
    <w:p w:rsidR="00C262B5" w:rsidRPr="001F6A94" w:rsidP="00C262B5" w14:paraId="705D6458" w14:textId="77777777">
      <w:pPr>
        <w:tabs>
          <w:tab w:val="left" w:pos="1037"/>
        </w:tabs>
        <w:spacing w:before="60"/>
        <w:rPr>
          <w:rFonts w:eastAsia="MS Mincho" w:cs="Arial"/>
          <w:bCs/>
          <w:noProof w:val="0"/>
          <w:lang w:bidi="ar-SA"/>
        </w:rPr>
      </w:pPr>
      <w:r w:rsidRPr="001F6A94">
        <w:rPr>
          <w:rFonts w:eastAsia="MS Mincho" w:cs="Arial"/>
          <w:bCs/>
          <w:noProof w:val="0"/>
          <w:lang w:bidi="ar-SA"/>
        </w:rPr>
        <w:t>Při podání žádosti o udělení oprávnění k provozování KS vzniknou náklady v souvislosti s</w:t>
      </w:r>
      <w:r>
        <w:rPr>
          <w:rFonts w:eastAsia="MS Mincho" w:cs="Arial"/>
          <w:bCs/>
          <w:noProof w:val="0"/>
          <w:lang w:bidi="ar-SA"/>
        </w:rPr>
        <w:t> </w:t>
      </w:r>
      <w:r w:rsidRPr="001F6A94">
        <w:rPr>
          <w:rFonts w:eastAsia="MS Mincho" w:cs="Arial"/>
          <w:bCs/>
          <w:noProof w:val="0"/>
          <w:lang w:bidi="ar-SA"/>
        </w:rPr>
        <w:t>prokazováním dostatečných finančních záruk (bod 6).</w:t>
      </w:r>
    </w:p>
    <w:p w:rsidR="00C262B5" w:rsidP="00C22698" w14:paraId="49DF8A77" w14:textId="77777777">
      <w:pPr>
        <w:tabs>
          <w:tab w:val="left" w:pos="1037"/>
        </w:tabs>
        <w:spacing w:before="60"/>
        <w:rPr>
          <w:rFonts w:eastAsia="MS Mincho" w:cs="Arial"/>
          <w:bCs/>
          <w:noProof w:val="0"/>
          <w:lang w:bidi="ar-SA"/>
        </w:rPr>
      </w:pPr>
      <w:r w:rsidRPr="001F6A94">
        <w:rPr>
          <w:rFonts w:eastAsia="MS Mincho" w:cs="Arial"/>
          <w:bCs/>
          <w:noProof w:val="0"/>
          <w:lang w:bidi="ar-SA"/>
        </w:rPr>
        <w:t>Z důvodu zavedení ekomodulace dojde k jednorázovému zvýšení AZ z důvodu kalkulace příspěvků cca 7,6 tis. Kč/KS, tj. 137 tis. Kč celkem. Dále je třeba vypracovat odbornou studii jako podklad pro ekomodulaci – 200 tis. Kč/skupinu výrobků (bod 8).</w:t>
      </w:r>
    </w:p>
    <w:p w:rsidR="00F33272" w:rsidRPr="002E710D" w:rsidP="00C22698" w14:paraId="24A2FE25" w14:textId="023526D5">
      <w:pPr>
        <w:autoSpaceDE w:val="0"/>
        <w:autoSpaceDN w:val="0"/>
        <w:adjustRightInd w:val="0"/>
        <w:spacing w:before="60"/>
      </w:pPr>
      <w:r>
        <w:rPr>
          <w:rFonts w:eastAsia="Calibri" w:cs="Arial"/>
          <w:noProof w:val="0"/>
          <w:szCs w:val="22"/>
          <w:lang w:bidi="ar-SA"/>
        </w:rPr>
        <w:t>Zvýšení nákladů KS dosud využívajících „průběžný“ systém financování z důvodu nové p</w:t>
      </w:r>
      <w:r>
        <w:rPr>
          <w:rFonts w:eastAsia="Calibri" w:cs="Arial"/>
          <w:noProof w:val="0"/>
          <w:szCs w:val="22"/>
          <w:lang w:bidi="ar-SA"/>
        </w:rPr>
        <w:t>ovinn</w:t>
      </w:r>
      <w:r>
        <w:rPr>
          <w:rFonts w:eastAsia="Calibri" w:cs="Arial"/>
          <w:noProof w:val="0"/>
          <w:szCs w:val="22"/>
          <w:lang w:bidi="ar-SA"/>
        </w:rPr>
        <w:t>osti</w:t>
      </w:r>
      <w:r>
        <w:rPr>
          <w:rFonts w:eastAsia="Calibri" w:cs="Arial"/>
          <w:noProof w:val="0"/>
          <w:szCs w:val="22"/>
          <w:lang w:bidi="ar-SA"/>
        </w:rPr>
        <w:t xml:space="preserve"> </w:t>
      </w:r>
      <w:r w:rsidRPr="003F0645">
        <w:rPr>
          <w:rFonts w:eastAsia="Calibri" w:cs="Arial"/>
          <w:noProof w:val="0"/>
          <w:szCs w:val="22"/>
          <w:lang w:bidi="ar-SA"/>
        </w:rPr>
        <w:t>vytv</w:t>
      </w:r>
      <w:r>
        <w:rPr>
          <w:rFonts w:eastAsia="Calibri" w:cs="Arial"/>
          <w:noProof w:val="0"/>
          <w:szCs w:val="22"/>
          <w:lang w:bidi="ar-SA"/>
        </w:rPr>
        <w:t>á</w:t>
      </w:r>
      <w:r w:rsidRPr="003F0645">
        <w:rPr>
          <w:rFonts w:eastAsia="Calibri" w:cs="Arial"/>
          <w:noProof w:val="0"/>
          <w:szCs w:val="22"/>
          <w:lang w:bidi="ar-SA"/>
        </w:rPr>
        <w:t>ř</w:t>
      </w:r>
      <w:r>
        <w:rPr>
          <w:rFonts w:eastAsia="Calibri" w:cs="Arial"/>
          <w:noProof w:val="0"/>
          <w:szCs w:val="22"/>
          <w:lang w:bidi="ar-SA"/>
        </w:rPr>
        <w:t>e</w:t>
      </w:r>
      <w:r w:rsidRPr="003F0645">
        <w:rPr>
          <w:rFonts w:eastAsia="Calibri" w:cs="Arial"/>
          <w:noProof w:val="0"/>
          <w:szCs w:val="22"/>
          <w:lang w:bidi="ar-SA"/>
        </w:rPr>
        <w:t>t finanční rezervu (ukládáním peněžních prostředků na</w:t>
      </w:r>
      <w:r>
        <w:rPr>
          <w:rFonts w:eastAsia="Calibri" w:cs="Arial"/>
          <w:noProof w:val="0"/>
          <w:szCs w:val="22"/>
          <w:lang w:bidi="ar-SA"/>
        </w:rPr>
        <w:t> </w:t>
      </w:r>
      <w:r w:rsidRPr="003F0645">
        <w:rPr>
          <w:rFonts w:eastAsia="Calibri" w:cs="Arial"/>
          <w:noProof w:val="0"/>
          <w:szCs w:val="22"/>
          <w:lang w:bidi="ar-SA"/>
        </w:rPr>
        <w:t>zvláštní vázaný účet vedený v bance) určenou na krytí budoucích nákladů na kolek</w:t>
      </w:r>
      <w:r>
        <w:rPr>
          <w:rFonts w:eastAsia="Calibri" w:cs="Arial"/>
          <w:noProof w:val="0"/>
          <w:szCs w:val="22"/>
          <w:lang w:bidi="ar-SA"/>
        </w:rPr>
        <w:t xml:space="preserve">tivní plnění </w:t>
      </w:r>
      <w:r>
        <w:t>(bod 9)</w:t>
      </w:r>
      <w:r w:rsidRPr="002E710D">
        <w:t>.</w:t>
      </w:r>
    </w:p>
    <w:p w:rsidR="00C262B5" w:rsidRPr="001F6A94" w:rsidP="00C22698" w14:paraId="1FCFD2DF" w14:textId="050E985D">
      <w:pPr>
        <w:tabs>
          <w:tab w:val="left" w:pos="1037"/>
        </w:tabs>
        <w:spacing w:before="60"/>
        <w:rPr>
          <w:rFonts w:eastAsia="MS Mincho" w:cs="Arial"/>
          <w:bCs/>
          <w:noProof w:val="0"/>
          <w:lang w:bidi="ar-SA"/>
        </w:rPr>
      </w:pPr>
      <w:r w:rsidRPr="001F6A94">
        <w:rPr>
          <w:rFonts w:eastAsia="MS Mincho" w:cs="Arial"/>
          <w:bCs/>
          <w:noProof w:val="0"/>
          <w:lang w:bidi="ar-SA"/>
        </w:rPr>
        <w:t>V souvislosti s povinností provádět audit prostřednictvím nezávislého auditora se zvýší náklady o 100 – 400 tis. Kč/KS/rok (bod 1</w:t>
      </w:r>
      <w:r w:rsidR="00F33272">
        <w:rPr>
          <w:rFonts w:eastAsia="MS Mincho" w:cs="Arial"/>
          <w:bCs/>
          <w:noProof w:val="0"/>
          <w:lang w:bidi="ar-SA"/>
        </w:rPr>
        <w:t>1</w:t>
      </w:r>
      <w:r w:rsidRPr="001F6A94">
        <w:rPr>
          <w:rFonts w:eastAsia="MS Mincho" w:cs="Arial"/>
          <w:bCs/>
          <w:noProof w:val="0"/>
          <w:lang w:bidi="ar-SA"/>
        </w:rPr>
        <w:t>).</w:t>
      </w:r>
    </w:p>
    <w:p w:rsidR="00C262B5" w:rsidRPr="001F6A94" w:rsidP="00C22698" w14:paraId="02D96E1C" w14:textId="1BF7EBF9">
      <w:pPr>
        <w:tabs>
          <w:tab w:val="left" w:pos="1037"/>
        </w:tabs>
        <w:spacing w:before="60"/>
        <w:rPr>
          <w:rFonts w:eastAsia="MS Mincho" w:cs="Arial"/>
          <w:bCs/>
          <w:noProof w:val="0"/>
          <w:lang w:bidi="ar-SA"/>
        </w:rPr>
      </w:pPr>
      <w:r w:rsidRPr="001F6A94">
        <w:rPr>
          <w:rFonts w:eastAsia="MS Mincho" w:cs="Arial"/>
          <w:bCs/>
          <w:noProof w:val="0"/>
          <w:lang w:bidi="ar-SA"/>
        </w:rPr>
        <w:t>V případě správního řízení o odebrání oprávnění k provozování KS při neplnění podmínek náklady spojené s přípravou podkladů cca 36 tis. Kč (bod 1</w:t>
      </w:r>
      <w:r w:rsidR="0074158A">
        <w:rPr>
          <w:rFonts w:eastAsia="MS Mincho" w:cs="Arial"/>
          <w:bCs/>
          <w:noProof w:val="0"/>
          <w:lang w:bidi="ar-SA"/>
        </w:rPr>
        <w:t>2</w:t>
      </w:r>
      <w:r w:rsidRPr="001F6A94">
        <w:rPr>
          <w:rFonts w:eastAsia="MS Mincho" w:cs="Arial"/>
          <w:bCs/>
          <w:noProof w:val="0"/>
          <w:lang w:bidi="ar-SA"/>
        </w:rPr>
        <w:t>).</w:t>
      </w:r>
    </w:p>
    <w:p w:rsidR="00C262B5" w:rsidRPr="001F6A94" w:rsidP="00C22698" w14:paraId="6A61EB61" w14:textId="11246E2D">
      <w:pPr>
        <w:tabs>
          <w:tab w:val="left" w:pos="1037"/>
        </w:tabs>
        <w:spacing w:before="60"/>
        <w:rPr>
          <w:rFonts w:eastAsia="MS Mincho" w:cs="Arial"/>
          <w:bCs/>
          <w:noProof w:val="0"/>
          <w:lang w:bidi="ar-SA"/>
        </w:rPr>
      </w:pPr>
      <w:r w:rsidRPr="001F6A94">
        <w:rPr>
          <w:rFonts w:eastAsia="MS Mincho" w:cs="Arial"/>
          <w:bCs/>
          <w:noProof w:val="0"/>
          <w:lang w:bidi="ar-SA"/>
        </w:rPr>
        <w:t xml:space="preserve">V souvislosti se </w:t>
      </w:r>
      <w:r w:rsidR="00A463E6">
        <w:rPr>
          <w:rFonts w:eastAsia="MS Mincho" w:cs="Arial"/>
          <w:bCs/>
          <w:noProof w:val="0"/>
          <w:lang w:bidi="ar-SA"/>
        </w:rPr>
        <w:t>změnou podmínek stanovení</w:t>
      </w:r>
      <w:r w:rsidRPr="001F6A94">
        <w:rPr>
          <w:rFonts w:eastAsia="MS Mincho" w:cs="Arial"/>
          <w:bCs/>
          <w:noProof w:val="0"/>
          <w:lang w:bidi="ar-SA"/>
        </w:rPr>
        <w:t xml:space="preserve"> hustoty sběrné sítě pro </w:t>
      </w:r>
      <w:r w:rsidR="00A463E6">
        <w:rPr>
          <w:rFonts w:eastAsia="MS Mincho" w:cs="Arial"/>
          <w:bCs/>
          <w:noProof w:val="0"/>
          <w:lang w:bidi="ar-SA"/>
        </w:rPr>
        <w:t>O</w:t>
      </w:r>
      <w:r w:rsidRPr="001F6A94">
        <w:rPr>
          <w:rFonts w:eastAsia="MS Mincho" w:cs="Arial"/>
          <w:bCs/>
          <w:noProof w:val="0"/>
          <w:lang w:bidi="ar-SA"/>
        </w:rPr>
        <w:t xml:space="preserve">EEZ </w:t>
      </w:r>
      <w:r w:rsidR="00A463E6">
        <w:rPr>
          <w:rFonts w:eastAsia="MS Mincho" w:cs="Arial"/>
          <w:bCs/>
          <w:noProof w:val="0"/>
          <w:lang w:bidi="ar-SA"/>
        </w:rPr>
        <w:t xml:space="preserve">se zjednoduší možnost zřízení nových míst </w:t>
      </w:r>
      <w:r w:rsidR="00C559D2">
        <w:rPr>
          <w:rFonts w:eastAsia="MS Mincho" w:cs="Arial"/>
          <w:bCs/>
          <w:noProof w:val="0"/>
          <w:lang w:bidi="ar-SA"/>
        </w:rPr>
        <w:t>ZO v menších obcích</w:t>
      </w:r>
      <w:r w:rsidR="00A463E6">
        <w:rPr>
          <w:rFonts w:eastAsia="MS Mincho" w:cs="Arial"/>
          <w:bCs/>
          <w:noProof w:val="0"/>
          <w:lang w:bidi="ar-SA"/>
        </w:rPr>
        <w:t xml:space="preserve"> </w:t>
      </w:r>
      <w:r w:rsidRPr="001F6A94">
        <w:rPr>
          <w:rFonts w:eastAsia="MS Mincho" w:cs="Arial"/>
          <w:bCs/>
          <w:noProof w:val="0"/>
          <w:lang w:bidi="ar-SA"/>
        </w:rPr>
        <w:t xml:space="preserve"> (bod 1</w:t>
      </w:r>
      <w:r w:rsidR="0074158A">
        <w:rPr>
          <w:rFonts w:eastAsia="MS Mincho" w:cs="Arial"/>
          <w:bCs/>
          <w:noProof w:val="0"/>
          <w:lang w:bidi="ar-SA"/>
        </w:rPr>
        <w:t>8</w:t>
      </w:r>
      <w:r w:rsidRPr="001F6A94">
        <w:rPr>
          <w:rFonts w:eastAsia="MS Mincho" w:cs="Arial"/>
          <w:bCs/>
          <w:noProof w:val="0"/>
          <w:lang w:bidi="ar-SA"/>
        </w:rPr>
        <w:t>).</w:t>
      </w:r>
    </w:p>
    <w:p w:rsidR="00C262B5" w:rsidRPr="001F6A94" w:rsidP="00C262B5" w14:paraId="498FE5D2" w14:textId="77777777">
      <w:pPr>
        <w:tabs>
          <w:tab w:val="left" w:pos="1037"/>
        </w:tabs>
        <w:spacing w:before="60"/>
        <w:rPr>
          <w:rFonts w:eastAsia="MS Mincho" w:cs="Arial"/>
          <w:bCs/>
          <w:noProof w:val="0"/>
          <w:lang w:bidi="ar-SA"/>
        </w:rPr>
      </w:pPr>
    </w:p>
    <w:p w:rsidR="00C262B5" w:rsidRPr="00462900" w:rsidP="00C262B5" w14:paraId="30708441" w14:textId="77777777">
      <w:pPr>
        <w:tabs>
          <w:tab w:val="left" w:pos="1037"/>
        </w:tabs>
        <w:spacing w:before="60"/>
        <w:rPr>
          <w:rFonts w:eastAsia="MS Mincho" w:cs="Arial"/>
          <w:b/>
          <w:bCs/>
          <w:i/>
          <w:noProof w:val="0"/>
          <w:lang w:bidi="ar-SA"/>
        </w:rPr>
      </w:pPr>
      <w:r w:rsidRPr="00462900">
        <w:rPr>
          <w:rFonts w:eastAsia="MS Mincho" w:cs="Arial"/>
          <w:b/>
          <w:bCs/>
          <w:i/>
          <w:noProof w:val="0"/>
          <w:lang w:bidi="ar-SA"/>
        </w:rPr>
        <w:t>Výrobci vybraných výrobků</w:t>
      </w:r>
    </w:p>
    <w:p w:rsidR="00C262B5" w:rsidP="00C262B5" w14:paraId="678E78B8" w14:textId="77777777">
      <w:pPr>
        <w:rPr>
          <w:rFonts w:cs="Arial"/>
        </w:rPr>
      </w:pPr>
      <w:r>
        <w:rPr>
          <w:rFonts w:cs="Arial"/>
        </w:rPr>
        <w:t>P</w:t>
      </w:r>
      <w:r w:rsidRPr="00ED38E9">
        <w:rPr>
          <w:rFonts w:cs="Arial"/>
        </w:rPr>
        <w:t>ředpoklád</w:t>
      </w:r>
      <w:r>
        <w:rPr>
          <w:rFonts w:cs="Arial"/>
        </w:rPr>
        <w:t>áme minimální náklady spojené se zapojením se do registru míst ZO.</w:t>
      </w:r>
      <w:r w:rsidRPr="00ED38E9">
        <w:rPr>
          <w:rFonts w:cs="Arial"/>
        </w:rPr>
        <w:t xml:space="preserve"> </w:t>
      </w:r>
      <w:r>
        <w:rPr>
          <w:rFonts w:cs="Arial"/>
        </w:rPr>
        <w:t>O</w:t>
      </w:r>
      <w:r w:rsidRPr="00ED38E9">
        <w:rPr>
          <w:rFonts w:cs="Arial"/>
        </w:rPr>
        <w:t>dhaduje</w:t>
      </w:r>
      <w:r>
        <w:rPr>
          <w:rFonts w:cs="Arial"/>
        </w:rPr>
        <w:t xml:space="preserve"> s</w:t>
      </w:r>
      <w:r w:rsidRPr="00ED38E9">
        <w:rPr>
          <w:rFonts w:cs="Arial"/>
        </w:rPr>
        <w:t xml:space="preserve">e, že vyplnění údajů o jednom místě </w:t>
      </w:r>
      <w:r>
        <w:rPr>
          <w:rFonts w:cs="Arial"/>
        </w:rPr>
        <w:t>ZO</w:t>
      </w:r>
      <w:r w:rsidRPr="00ED38E9">
        <w:rPr>
          <w:rFonts w:cs="Arial"/>
        </w:rPr>
        <w:t xml:space="preserve"> zabere i</w:t>
      </w:r>
      <w:r>
        <w:rPr>
          <w:rFonts w:cs="Arial"/>
        </w:rPr>
        <w:t> </w:t>
      </w:r>
      <w:r w:rsidRPr="00ED38E9">
        <w:rPr>
          <w:rFonts w:cs="Arial"/>
        </w:rPr>
        <w:t xml:space="preserve">s přihlášením maximálně 5 minut a tato činnost se bude týkat jen výrobců s malým počtem míst </w:t>
      </w:r>
      <w:r>
        <w:rPr>
          <w:rFonts w:cs="Arial"/>
        </w:rPr>
        <w:t>ZO</w:t>
      </w:r>
      <w:r w:rsidRPr="00ED38E9">
        <w:rPr>
          <w:rFonts w:cs="Arial"/>
        </w:rPr>
        <w:t>, protože ti větší již v dnešní době mají požadovaná data v elektronické podobě a budou si moci stejně jako kolektivní syst</w:t>
      </w:r>
      <w:r>
        <w:rPr>
          <w:rFonts w:cs="Arial"/>
        </w:rPr>
        <w:t>émy nechat své systémy propojit (bod 3).</w:t>
      </w:r>
    </w:p>
    <w:p w:rsidR="00C262B5" w:rsidP="00C262B5" w14:paraId="5FBA1324" w14:textId="77777777">
      <w:pPr>
        <w:rPr>
          <w:rFonts w:eastAsia="MS Mincho" w:cs="Arial"/>
          <w:bCs/>
          <w:noProof w:val="0"/>
          <w:lang w:bidi="ar-SA"/>
        </w:rPr>
      </w:pPr>
      <w:r w:rsidRPr="001F6A94">
        <w:rPr>
          <w:rFonts w:eastAsia="MS Mincho" w:cs="Arial"/>
          <w:bCs/>
          <w:noProof w:val="0"/>
          <w:lang w:bidi="ar-SA"/>
        </w:rPr>
        <w:t>V souvislosti s</w:t>
      </w:r>
      <w:r>
        <w:rPr>
          <w:rFonts w:eastAsia="MS Mincho" w:cs="Arial"/>
          <w:bCs/>
          <w:noProof w:val="0"/>
          <w:lang w:bidi="ar-SA"/>
        </w:rPr>
        <w:t xml:space="preserve"> prováděním </w:t>
      </w:r>
      <w:r w:rsidRPr="001F6A94">
        <w:rPr>
          <w:rFonts w:eastAsia="MS Mincho" w:cs="Arial"/>
          <w:bCs/>
          <w:noProof w:val="0"/>
          <w:lang w:bidi="ar-SA"/>
        </w:rPr>
        <w:t>ekomodulace dojde k</w:t>
      </w:r>
      <w:r>
        <w:rPr>
          <w:rFonts w:eastAsia="MS Mincho" w:cs="Arial"/>
          <w:bCs/>
          <w:noProof w:val="0"/>
          <w:lang w:bidi="ar-SA"/>
        </w:rPr>
        <w:t>e změně</w:t>
      </w:r>
      <w:r w:rsidRPr="00291812">
        <w:rPr>
          <w:rFonts w:eastAsia="MS Mincho" w:cs="Arial"/>
          <w:bCs/>
          <w:noProof w:val="0"/>
          <w:lang w:bidi="ar-SA"/>
        </w:rPr>
        <w:t xml:space="preserve"> výše příspěvků </w:t>
      </w:r>
      <w:r>
        <w:rPr>
          <w:rFonts w:eastAsia="MS Mincho" w:cs="Arial"/>
          <w:bCs/>
          <w:noProof w:val="0"/>
          <w:lang w:bidi="ar-SA"/>
        </w:rPr>
        <w:t xml:space="preserve">u vybraných výrobků </w:t>
      </w:r>
      <w:r w:rsidRPr="00291812">
        <w:rPr>
          <w:rFonts w:eastAsia="MS Mincho" w:cs="Arial"/>
          <w:bCs/>
          <w:noProof w:val="0"/>
          <w:lang w:bidi="ar-SA"/>
        </w:rPr>
        <w:t>na zajištění sdruženého plnění (rozdílná výše příspěvků pro</w:t>
      </w:r>
      <w:r>
        <w:rPr>
          <w:rFonts w:eastAsia="MS Mincho" w:cs="Arial"/>
          <w:bCs/>
          <w:noProof w:val="0"/>
          <w:lang w:bidi="ar-SA"/>
        </w:rPr>
        <w:t> jednotlivé výrobky v závislosti na jejich „ekologické šetrnosti“) (bod 8).</w:t>
      </w:r>
    </w:p>
    <w:p w:rsidR="00E72BFF" w:rsidP="00C262B5" w14:paraId="56E4F82B" w14:textId="472274B2">
      <w:pPr>
        <w:rPr>
          <w:rFonts w:eastAsia="MS Mincho" w:cs="Arial"/>
          <w:bCs/>
          <w:noProof w:val="0"/>
          <w:lang w:bidi="ar-SA"/>
        </w:rPr>
      </w:pPr>
      <w:r>
        <w:rPr>
          <w:rFonts w:eastAsia="MS Mincho" w:cs="Arial"/>
          <w:bCs/>
          <w:noProof w:val="0"/>
          <w:lang w:bidi="ar-SA"/>
        </w:rPr>
        <w:t xml:space="preserve">V souvislosti se </w:t>
      </w:r>
      <w:r w:rsidR="00BC33F3">
        <w:rPr>
          <w:rFonts w:eastAsia="MS Mincho" w:cs="Arial"/>
          <w:bCs/>
          <w:noProof w:val="0"/>
          <w:lang w:bidi="ar-SA"/>
        </w:rPr>
        <w:t xml:space="preserve">stanovením pravidel pro převod finančních rezervy </w:t>
      </w:r>
      <w:r w:rsidRPr="00BF5883" w:rsidR="00BC33F3">
        <w:rPr>
          <w:rFonts w:eastAsia="MS Mincho" w:cs="Arial"/>
          <w:bCs/>
          <w:noProof w:val="0"/>
          <w:lang w:bidi="ar-SA"/>
        </w:rPr>
        <w:t xml:space="preserve">v případě zániku </w:t>
      </w:r>
      <w:r w:rsidR="00BC33F3">
        <w:rPr>
          <w:rFonts w:eastAsia="MS Mincho" w:cs="Arial"/>
          <w:bCs/>
          <w:noProof w:val="0"/>
          <w:lang w:bidi="ar-SA"/>
        </w:rPr>
        <w:t xml:space="preserve">oprávnění k provozování </w:t>
      </w:r>
      <w:r w:rsidRPr="00BF5883" w:rsidR="00BC33F3">
        <w:rPr>
          <w:rFonts w:eastAsia="MS Mincho" w:cs="Arial"/>
          <w:bCs/>
          <w:noProof w:val="0"/>
          <w:lang w:bidi="ar-SA"/>
        </w:rPr>
        <w:t>KS</w:t>
      </w:r>
      <w:r w:rsidR="00BC33F3">
        <w:rPr>
          <w:rFonts w:eastAsia="MS Mincho" w:cs="Arial"/>
          <w:bCs/>
          <w:noProof w:val="0"/>
          <w:lang w:bidi="ar-SA"/>
        </w:rPr>
        <w:t xml:space="preserve"> bude zajištěno účelové využití finančních rezervy vzniklé z příspěvků </w:t>
      </w:r>
      <w:r w:rsidRPr="00C22698">
        <w:rPr>
          <w:rFonts w:eastAsia="MS Mincho" w:cs="Arial"/>
          <w:bCs/>
          <w:noProof w:val="0"/>
          <w:lang w:bidi="ar-SA"/>
        </w:rPr>
        <w:t>výrobců VUŽ, kteří řádně odvádí do K</w:t>
      </w:r>
      <w:r w:rsidRPr="00C22698" w:rsidR="00BC33F3">
        <w:rPr>
          <w:rFonts w:eastAsia="MS Mincho" w:cs="Arial"/>
          <w:bCs/>
          <w:noProof w:val="0"/>
          <w:lang w:bidi="ar-SA"/>
        </w:rPr>
        <w:t xml:space="preserve">S příspěvky na ZO VUŽ </w:t>
      </w:r>
      <w:r>
        <w:rPr>
          <w:rFonts w:eastAsia="MS Mincho" w:cs="Arial"/>
          <w:bCs/>
          <w:noProof w:val="0"/>
          <w:lang w:bidi="ar-SA"/>
        </w:rPr>
        <w:t>(bod 13).</w:t>
      </w:r>
    </w:p>
    <w:p w:rsidR="00E72BFF" w:rsidP="00C262B5" w14:paraId="7C1BF077" w14:textId="77777777">
      <w:pPr>
        <w:rPr>
          <w:rFonts w:eastAsia="MS Mincho" w:cs="Arial"/>
          <w:b/>
          <w:bCs/>
          <w:i/>
          <w:noProof w:val="0"/>
          <w:lang w:bidi="ar-SA"/>
        </w:rPr>
      </w:pPr>
    </w:p>
    <w:p w:rsidR="00E72BFF" w:rsidRPr="00C22698" w:rsidP="00C262B5" w14:paraId="4BCA3817" w14:textId="27D6AA0A">
      <w:pPr>
        <w:rPr>
          <w:rFonts w:eastAsia="MS Mincho" w:cs="Arial"/>
          <w:b/>
          <w:bCs/>
          <w:i/>
          <w:noProof w:val="0"/>
          <w:lang w:bidi="ar-SA"/>
        </w:rPr>
      </w:pPr>
      <w:r w:rsidRPr="00C22698">
        <w:rPr>
          <w:rFonts w:eastAsia="MS Mincho" w:cs="Arial"/>
          <w:b/>
          <w:bCs/>
          <w:i/>
          <w:noProof w:val="0"/>
          <w:lang w:bidi="ar-SA"/>
        </w:rPr>
        <w:t>Výrobci elektrozařízení</w:t>
      </w:r>
    </w:p>
    <w:p w:rsidR="0074158A" w:rsidP="00C262B5" w14:paraId="6C4FB480" w14:textId="162E1939">
      <w:pPr>
        <w:rPr>
          <w:rFonts w:eastAsia="MS Mincho" w:cs="Arial"/>
          <w:bCs/>
          <w:noProof w:val="0"/>
          <w:lang w:bidi="ar-SA"/>
        </w:rPr>
      </w:pPr>
      <w:r>
        <w:rPr>
          <w:rFonts w:eastAsia="MS Mincho" w:cs="Arial"/>
          <w:bCs/>
          <w:noProof w:val="0"/>
          <w:lang w:bidi="ar-SA"/>
        </w:rPr>
        <w:t>V souvislosti s p</w:t>
      </w:r>
      <w:r>
        <w:rPr>
          <w:rFonts w:eastAsia="Calibri" w:cs="Arial"/>
          <w:noProof w:val="0"/>
          <w:szCs w:val="22"/>
          <w:lang w:bidi="ar-SA"/>
        </w:rPr>
        <w:t xml:space="preserve">ovinností </w:t>
      </w:r>
      <w:r w:rsidRPr="003F0645">
        <w:rPr>
          <w:rFonts w:eastAsia="Calibri" w:cs="Arial"/>
          <w:noProof w:val="0"/>
          <w:szCs w:val="22"/>
          <w:lang w:bidi="ar-SA"/>
        </w:rPr>
        <w:t>vytv</w:t>
      </w:r>
      <w:r>
        <w:rPr>
          <w:rFonts w:eastAsia="Calibri" w:cs="Arial"/>
          <w:noProof w:val="0"/>
          <w:szCs w:val="22"/>
          <w:lang w:bidi="ar-SA"/>
        </w:rPr>
        <w:t>á</w:t>
      </w:r>
      <w:r w:rsidRPr="003F0645">
        <w:rPr>
          <w:rFonts w:eastAsia="Calibri" w:cs="Arial"/>
          <w:noProof w:val="0"/>
          <w:szCs w:val="22"/>
          <w:lang w:bidi="ar-SA"/>
        </w:rPr>
        <w:t>ř</w:t>
      </w:r>
      <w:r>
        <w:rPr>
          <w:rFonts w:eastAsia="Calibri" w:cs="Arial"/>
          <w:noProof w:val="0"/>
          <w:szCs w:val="22"/>
          <w:lang w:bidi="ar-SA"/>
        </w:rPr>
        <w:t>e</w:t>
      </w:r>
      <w:r w:rsidRPr="003F0645">
        <w:rPr>
          <w:rFonts w:eastAsia="Calibri" w:cs="Arial"/>
          <w:noProof w:val="0"/>
          <w:szCs w:val="22"/>
          <w:lang w:bidi="ar-SA"/>
        </w:rPr>
        <w:t>t finanční rezervu (ukládáním peněžních prostředků na</w:t>
      </w:r>
      <w:r>
        <w:rPr>
          <w:rFonts w:eastAsia="Calibri" w:cs="Arial"/>
          <w:noProof w:val="0"/>
          <w:szCs w:val="22"/>
          <w:lang w:bidi="ar-SA"/>
        </w:rPr>
        <w:t> </w:t>
      </w:r>
      <w:r w:rsidRPr="003F0645">
        <w:rPr>
          <w:rFonts w:eastAsia="Calibri" w:cs="Arial"/>
          <w:noProof w:val="0"/>
          <w:szCs w:val="22"/>
          <w:lang w:bidi="ar-SA"/>
        </w:rPr>
        <w:t>zvláštní vázaný účet vedený v bance) určenou na krytí budoucích nákladů na kolek</w:t>
      </w:r>
      <w:r>
        <w:rPr>
          <w:rFonts w:eastAsia="Calibri" w:cs="Arial"/>
          <w:noProof w:val="0"/>
          <w:szCs w:val="22"/>
          <w:lang w:bidi="ar-SA"/>
        </w:rPr>
        <w:t xml:space="preserve">tivní plnění povinností výrobců </w:t>
      </w:r>
      <w:r w:rsidRPr="002E710D">
        <w:t xml:space="preserve">dojde ke zdražení příspěvků pro výrobce EEZ, kteří </w:t>
      </w:r>
      <w:r>
        <w:t>plnili své zákonné povinnosti ohledně ZO prostřednictvím</w:t>
      </w:r>
      <w:r w:rsidRPr="002E710D">
        <w:t xml:space="preserve"> KS financovaného „průběžným“ systémem</w:t>
      </w:r>
      <w:r>
        <w:t xml:space="preserve"> (bod 9)</w:t>
      </w:r>
      <w:r w:rsidRPr="002E710D">
        <w:t>.</w:t>
      </w:r>
    </w:p>
    <w:p w:rsidR="00C262B5" w:rsidP="00C262B5" w14:paraId="007D464A" w14:textId="0F2AA8E7">
      <w:pPr>
        <w:rPr>
          <w:rFonts w:eastAsia="Calibri" w:cs="Arial"/>
          <w:noProof w:val="0"/>
          <w:szCs w:val="22"/>
          <w:lang w:bidi="ar-SA"/>
        </w:rPr>
      </w:pPr>
      <w:r w:rsidRPr="00C22698">
        <w:rPr>
          <w:rFonts w:eastAsia="Calibri" w:cs="Arial"/>
          <w:noProof w:val="0"/>
          <w:szCs w:val="22"/>
          <w:lang w:bidi="ar-SA"/>
        </w:rPr>
        <w:t xml:space="preserve">V souvislosti se vznikem Seznamu nepovolených internetových obchodů </w:t>
      </w:r>
      <w:r>
        <w:rPr>
          <w:rFonts w:eastAsia="Calibri" w:cs="Arial"/>
          <w:noProof w:val="0"/>
          <w:szCs w:val="22"/>
          <w:lang w:bidi="ar-SA"/>
        </w:rPr>
        <w:t>(</w:t>
      </w:r>
      <w:r w:rsidRPr="003F0645">
        <w:rPr>
          <w:rFonts w:cs="Arial"/>
        </w:rPr>
        <w:t xml:space="preserve">prodejců </w:t>
      </w:r>
      <w:r>
        <w:rPr>
          <w:rFonts w:cs="Arial"/>
        </w:rPr>
        <w:t xml:space="preserve">EEZ </w:t>
      </w:r>
      <w:r w:rsidRPr="003F0645">
        <w:rPr>
          <w:rFonts w:cs="Arial"/>
        </w:rPr>
        <w:t>ze</w:t>
      </w:r>
      <w:r>
        <w:rPr>
          <w:rFonts w:cs="Arial"/>
        </w:rPr>
        <w:t> </w:t>
      </w:r>
      <w:r w:rsidRPr="003F0645">
        <w:rPr>
          <w:rFonts w:cs="Arial"/>
        </w:rPr>
        <w:t>zemí mimo EU, zejména třetích zemí, kteří neplní své povinnosti výrobce související se zpětným odběrem</w:t>
      </w:r>
      <w:r>
        <w:rPr>
          <w:rFonts w:cs="Arial"/>
        </w:rPr>
        <w:t>)</w:t>
      </w:r>
      <w:r w:rsidRPr="00C22698">
        <w:rPr>
          <w:rFonts w:eastAsia="Calibri" w:cs="Arial"/>
          <w:noProof w:val="0"/>
          <w:szCs w:val="22"/>
          <w:lang w:bidi="ar-SA"/>
        </w:rPr>
        <w:t xml:space="preserve"> a s blokací </w:t>
      </w:r>
      <w:r>
        <w:rPr>
          <w:rFonts w:eastAsia="Calibri" w:cs="Arial"/>
          <w:noProof w:val="0"/>
          <w:szCs w:val="22"/>
          <w:lang w:bidi="ar-SA"/>
        </w:rPr>
        <w:t>těchto stránek dojde k omezení freeridingu těchto prodejců EEZ a bude tak zajištěna o</w:t>
      </w:r>
      <w:r w:rsidRPr="00C22698">
        <w:rPr>
          <w:rFonts w:eastAsia="Calibri" w:cs="Arial"/>
          <w:noProof w:val="0"/>
          <w:szCs w:val="22"/>
          <w:lang w:bidi="ar-SA"/>
        </w:rPr>
        <w:t>chrana</w:t>
      </w:r>
      <w:r w:rsidRPr="00C22698" w:rsidR="00E72BFF">
        <w:rPr>
          <w:rFonts w:eastAsia="Calibri" w:cs="Arial"/>
          <w:noProof w:val="0"/>
          <w:szCs w:val="22"/>
          <w:lang w:bidi="ar-SA"/>
        </w:rPr>
        <w:t xml:space="preserve"> zájmů výrobců a prodejců EEZ</w:t>
      </w:r>
      <w:r w:rsidRPr="00C22698" w:rsidR="00151931">
        <w:rPr>
          <w:rFonts w:eastAsia="Calibri" w:cs="Arial"/>
          <w:noProof w:val="0"/>
          <w:szCs w:val="22"/>
          <w:lang w:bidi="ar-SA"/>
        </w:rPr>
        <w:t>, kteří řádně pl</w:t>
      </w:r>
      <w:r w:rsidRPr="00C22698" w:rsidR="00E72BFF">
        <w:rPr>
          <w:rFonts w:eastAsia="Calibri" w:cs="Arial"/>
          <w:noProof w:val="0"/>
          <w:szCs w:val="22"/>
          <w:lang w:bidi="ar-SA"/>
        </w:rPr>
        <w:t>ní zákonné povin</w:t>
      </w:r>
      <w:r>
        <w:rPr>
          <w:rFonts w:eastAsia="Calibri" w:cs="Arial"/>
          <w:noProof w:val="0"/>
          <w:szCs w:val="22"/>
          <w:lang w:bidi="ar-SA"/>
        </w:rPr>
        <w:t>n</w:t>
      </w:r>
      <w:r w:rsidRPr="00C22698" w:rsidR="00E72BFF">
        <w:rPr>
          <w:rFonts w:eastAsia="Calibri" w:cs="Arial"/>
          <w:noProof w:val="0"/>
          <w:szCs w:val="22"/>
          <w:lang w:bidi="ar-SA"/>
        </w:rPr>
        <w:t>osti,</w:t>
      </w:r>
      <w:r>
        <w:rPr>
          <w:rFonts w:eastAsia="Calibri" w:cs="Arial"/>
          <w:noProof w:val="0"/>
          <w:szCs w:val="22"/>
          <w:lang w:bidi="ar-SA"/>
        </w:rPr>
        <w:t xml:space="preserve"> a zároveň dojde i ke</w:t>
      </w:r>
      <w:r w:rsidRPr="00C22698" w:rsidR="00E72BFF">
        <w:rPr>
          <w:rFonts w:eastAsia="Calibri" w:cs="Arial"/>
          <w:noProof w:val="0"/>
          <w:szCs w:val="22"/>
          <w:lang w:bidi="ar-SA"/>
        </w:rPr>
        <w:t xml:space="preserve"> snížení </w:t>
      </w:r>
      <w:r>
        <w:rPr>
          <w:rFonts w:eastAsia="Calibri" w:cs="Arial"/>
          <w:noProof w:val="0"/>
          <w:szCs w:val="22"/>
          <w:lang w:bidi="ar-SA"/>
        </w:rPr>
        <w:t xml:space="preserve">jejich </w:t>
      </w:r>
      <w:r w:rsidRPr="00C22698" w:rsidR="00E72BFF">
        <w:rPr>
          <w:rFonts w:eastAsia="Calibri" w:cs="Arial"/>
          <w:noProof w:val="0"/>
          <w:szCs w:val="22"/>
          <w:lang w:bidi="ar-SA"/>
        </w:rPr>
        <w:t>nákladů na</w:t>
      </w:r>
      <w:r>
        <w:rPr>
          <w:rFonts w:eastAsia="Calibri" w:cs="Arial"/>
          <w:noProof w:val="0"/>
          <w:szCs w:val="22"/>
          <w:lang w:bidi="ar-SA"/>
        </w:rPr>
        <w:t> </w:t>
      </w:r>
      <w:r w:rsidRPr="00C22698" w:rsidR="00E72BFF">
        <w:rPr>
          <w:rFonts w:eastAsia="Calibri" w:cs="Arial"/>
          <w:noProof w:val="0"/>
          <w:szCs w:val="22"/>
          <w:lang w:bidi="ar-SA"/>
        </w:rPr>
        <w:t>sběr a recyklaci EEZ</w:t>
      </w:r>
      <w:r>
        <w:rPr>
          <w:rFonts w:eastAsia="Calibri" w:cs="Arial"/>
          <w:noProof w:val="0"/>
          <w:szCs w:val="22"/>
          <w:lang w:bidi="ar-SA"/>
        </w:rPr>
        <w:t xml:space="preserve"> (bod 15).</w:t>
      </w:r>
    </w:p>
    <w:p w:rsidR="00E72BFF" w:rsidRPr="00291812" w:rsidP="00C262B5" w14:paraId="16D46968" w14:textId="77777777">
      <w:pPr>
        <w:rPr>
          <w:rFonts w:eastAsia="MS Mincho" w:cs="Arial"/>
          <w:bCs/>
          <w:noProof w:val="0"/>
          <w:lang w:bidi="ar-SA"/>
        </w:rPr>
      </w:pPr>
    </w:p>
    <w:p w:rsidR="00C262B5" w:rsidRPr="00462900" w:rsidP="00C262B5" w14:paraId="60FE422C" w14:textId="77777777">
      <w:pPr>
        <w:tabs>
          <w:tab w:val="left" w:pos="1037"/>
        </w:tabs>
        <w:spacing w:before="60"/>
        <w:rPr>
          <w:rFonts w:eastAsia="MS Mincho" w:cs="Arial"/>
          <w:b/>
          <w:bCs/>
          <w:i/>
          <w:noProof w:val="0"/>
          <w:lang w:bidi="ar-SA"/>
        </w:rPr>
      </w:pPr>
      <w:r w:rsidRPr="00462900">
        <w:rPr>
          <w:rFonts w:eastAsia="MS Mincho" w:cs="Arial"/>
          <w:b/>
          <w:bCs/>
          <w:i/>
          <w:noProof w:val="0"/>
          <w:lang w:bidi="ar-SA"/>
        </w:rPr>
        <w:t xml:space="preserve">Výrobci lithiových baterií a akumulátorů </w:t>
      </w:r>
    </w:p>
    <w:p w:rsidR="00C262B5" w:rsidRPr="00A746FF" w:rsidP="00C262B5" w14:paraId="153D8228" w14:textId="3C7B5687">
      <w:pPr>
        <w:spacing w:after="0"/>
        <w:rPr>
          <w:rFonts w:cs="Arial"/>
          <w:bCs/>
          <w:szCs w:val="20"/>
          <w:lang w:eastAsia="cs-CZ"/>
        </w:rPr>
      </w:pPr>
      <w:r w:rsidRPr="00A746FF">
        <w:rPr>
          <w:rFonts w:cs="Arial"/>
          <w:bCs/>
          <w:szCs w:val="20"/>
          <w:lang w:eastAsia="cs-CZ"/>
        </w:rPr>
        <w:t>Výrobce Li-baterií plnící zákonné povinnosti individuálně (či solidárně) je povinen vytvořit finanční rezervu</w:t>
      </w:r>
      <w:r>
        <w:rPr>
          <w:rFonts w:cs="Arial"/>
          <w:bCs/>
          <w:szCs w:val="20"/>
          <w:lang w:eastAsia="cs-CZ"/>
        </w:rPr>
        <w:t>, resp. kauci,</w:t>
      </w:r>
      <w:r w:rsidRPr="00A746FF">
        <w:rPr>
          <w:rFonts w:cs="Arial"/>
          <w:bCs/>
          <w:szCs w:val="20"/>
          <w:lang w:eastAsia="cs-CZ"/>
        </w:rPr>
        <w:t xml:space="preserve"> určenou na krytí budoucích nákladů na </w:t>
      </w:r>
      <w:r>
        <w:rPr>
          <w:rFonts w:cs="Arial"/>
          <w:bCs/>
          <w:szCs w:val="20"/>
          <w:lang w:eastAsia="cs-CZ"/>
        </w:rPr>
        <w:t>ZO</w:t>
      </w:r>
      <w:r w:rsidRPr="00A746FF">
        <w:rPr>
          <w:rFonts w:cs="Arial"/>
          <w:bCs/>
          <w:szCs w:val="20"/>
          <w:lang w:eastAsia="cs-CZ"/>
        </w:rPr>
        <w:t xml:space="preserve"> a</w:t>
      </w:r>
      <w:r>
        <w:rPr>
          <w:rFonts w:cs="Arial"/>
          <w:bCs/>
          <w:szCs w:val="20"/>
          <w:lang w:eastAsia="cs-CZ"/>
        </w:rPr>
        <w:t> </w:t>
      </w:r>
      <w:r w:rsidRPr="00A746FF">
        <w:rPr>
          <w:rFonts w:cs="Arial"/>
          <w:bCs/>
          <w:szCs w:val="20"/>
          <w:lang w:eastAsia="cs-CZ"/>
        </w:rPr>
        <w:t>zpracování Li-baterií, zohledňující finanční rizika s tím spojená, jejímž cílem je zajistit kontinuitu a</w:t>
      </w:r>
      <w:r>
        <w:rPr>
          <w:rFonts w:cs="Arial"/>
          <w:bCs/>
          <w:szCs w:val="20"/>
          <w:lang w:eastAsia="cs-CZ"/>
        </w:rPr>
        <w:t> </w:t>
      </w:r>
      <w:r w:rsidRPr="00A746FF">
        <w:rPr>
          <w:rFonts w:cs="Arial"/>
          <w:bCs/>
          <w:szCs w:val="20"/>
          <w:lang w:eastAsia="cs-CZ"/>
        </w:rPr>
        <w:t xml:space="preserve">dostupnost poskytování služeb ze strany výrobce. </w:t>
      </w:r>
      <w:r>
        <w:rPr>
          <w:rFonts w:cs="Arial"/>
          <w:bCs/>
          <w:szCs w:val="20"/>
          <w:lang w:eastAsia="cs-CZ"/>
        </w:rPr>
        <w:t>Celkový dopad na současných 28 výrobců Li-baterií ze</w:t>
      </w:r>
      <w:r w:rsidR="00CC0BB4">
        <w:rPr>
          <w:rFonts w:cs="Arial"/>
          <w:bCs/>
          <w:szCs w:val="20"/>
          <w:lang w:eastAsia="cs-CZ"/>
        </w:rPr>
        <w:t> </w:t>
      </w:r>
      <w:r>
        <w:rPr>
          <w:rFonts w:cs="Arial"/>
          <w:bCs/>
          <w:szCs w:val="20"/>
          <w:lang w:eastAsia="cs-CZ"/>
        </w:rPr>
        <w:t>skupiny 2. a 3 při množství uvedeném na trh v roce 2017 (270,1 t) je odhadován na částku cca 16,2 mil. Kč/rok (60 Kč/kg Li-baterie uvedené na trh), která bude uložena každoročně na</w:t>
      </w:r>
      <w:r w:rsidR="00CC0BB4">
        <w:rPr>
          <w:rFonts w:cs="Arial"/>
          <w:bCs/>
          <w:szCs w:val="20"/>
          <w:lang w:eastAsia="cs-CZ"/>
        </w:rPr>
        <w:t> </w:t>
      </w:r>
      <w:r>
        <w:rPr>
          <w:rFonts w:cs="Arial"/>
          <w:bCs/>
          <w:szCs w:val="20"/>
          <w:lang w:eastAsia="cs-CZ"/>
        </w:rPr>
        <w:t>vázané účty, příp. předána KS, na zajištění budoucího ZO a recyklace těchto baterií</w:t>
      </w:r>
      <w:r w:rsidR="00626BB4">
        <w:rPr>
          <w:rFonts w:cs="Arial"/>
          <w:bCs/>
          <w:szCs w:val="20"/>
          <w:lang w:eastAsia="cs-CZ"/>
        </w:rPr>
        <w:t xml:space="preserve"> (bod</w:t>
      </w:r>
      <w:r w:rsidR="00CC0BB4">
        <w:rPr>
          <w:rFonts w:cs="Arial"/>
          <w:bCs/>
          <w:szCs w:val="20"/>
          <w:lang w:eastAsia="cs-CZ"/>
        </w:rPr>
        <w:t> </w:t>
      </w:r>
      <w:r w:rsidR="00183BC1">
        <w:rPr>
          <w:rFonts w:cs="Arial"/>
          <w:bCs/>
          <w:szCs w:val="20"/>
          <w:lang w:eastAsia="cs-CZ"/>
        </w:rPr>
        <w:t>2</w:t>
      </w:r>
      <w:r w:rsidR="00626BB4">
        <w:rPr>
          <w:rFonts w:cs="Arial"/>
          <w:bCs/>
          <w:szCs w:val="20"/>
          <w:lang w:eastAsia="cs-CZ"/>
        </w:rPr>
        <w:t>1)</w:t>
      </w:r>
      <w:r>
        <w:rPr>
          <w:rFonts w:cs="Arial"/>
          <w:bCs/>
          <w:szCs w:val="20"/>
          <w:lang w:eastAsia="cs-CZ"/>
        </w:rPr>
        <w:t>.</w:t>
      </w:r>
    </w:p>
    <w:p w:rsidR="00C559D2" w:rsidP="00C262B5" w14:paraId="67E1A73B" w14:textId="77777777">
      <w:pPr>
        <w:tabs>
          <w:tab w:val="left" w:pos="1037"/>
        </w:tabs>
        <w:spacing w:before="60"/>
        <w:rPr>
          <w:rFonts w:eastAsia="MS Mincho" w:cs="Arial"/>
          <w:b/>
          <w:bCs/>
          <w:i/>
          <w:noProof w:val="0"/>
          <w:lang w:bidi="ar-SA"/>
        </w:rPr>
      </w:pPr>
    </w:p>
    <w:p w:rsidR="00C262B5" w:rsidRPr="00462900" w:rsidP="00C262B5" w14:paraId="3BFC54EC" w14:textId="77777777">
      <w:pPr>
        <w:tabs>
          <w:tab w:val="left" w:pos="1037"/>
        </w:tabs>
        <w:spacing w:before="60"/>
        <w:rPr>
          <w:rFonts w:eastAsia="MS Mincho" w:cs="Arial"/>
          <w:b/>
          <w:bCs/>
          <w:i/>
          <w:noProof w:val="0"/>
          <w:lang w:bidi="ar-SA"/>
        </w:rPr>
      </w:pPr>
      <w:r w:rsidRPr="00462900">
        <w:rPr>
          <w:rFonts w:eastAsia="MS Mincho" w:cs="Arial"/>
          <w:b/>
          <w:bCs/>
          <w:i/>
          <w:noProof w:val="0"/>
          <w:lang w:bidi="ar-SA"/>
        </w:rPr>
        <w:t xml:space="preserve">Výrobci pneumatik </w:t>
      </w:r>
    </w:p>
    <w:p w:rsidR="00C559D2" w:rsidRPr="00716CF8" w:rsidP="00C22698" w14:paraId="6C53229E" w14:textId="4103B920">
      <w:pPr>
        <w:pStyle w:val="Normlntun"/>
        <w:keepNext w:val="0"/>
        <w:widowControl w:val="0"/>
        <w:spacing w:before="120" w:line="276" w:lineRule="auto"/>
        <w:rPr>
          <w:rFonts w:cs="Arial"/>
          <w:b w:val="0"/>
        </w:rPr>
      </w:pPr>
      <w:r>
        <w:rPr>
          <w:rFonts w:cs="Arial"/>
          <w:b w:val="0"/>
        </w:rPr>
        <w:t>Vydefinováním</w:t>
      </w:r>
      <w:r w:rsidRPr="00716CF8">
        <w:rPr>
          <w:rFonts w:cs="Arial"/>
          <w:b w:val="0"/>
        </w:rPr>
        <w:t xml:space="preserve"> hustoty sběrné sítě </w:t>
      </w:r>
      <w:r>
        <w:rPr>
          <w:rFonts w:cs="Arial"/>
          <w:b w:val="0"/>
        </w:rPr>
        <w:t xml:space="preserve">odpadních pneumatik </w:t>
      </w:r>
      <w:r w:rsidRPr="00716CF8">
        <w:rPr>
          <w:rFonts w:cs="Arial"/>
          <w:b w:val="0"/>
        </w:rPr>
        <w:t>dojde k narovnání podmínek mezi výrobci plnícími povinnosti individuálně a kolektivně</w:t>
      </w:r>
      <w:r>
        <w:rPr>
          <w:rFonts w:cs="Arial"/>
          <w:b w:val="0"/>
        </w:rPr>
        <w:t>. O</w:t>
      </w:r>
      <w:r w:rsidRPr="00716CF8">
        <w:rPr>
          <w:rFonts w:cs="Arial"/>
          <w:b w:val="0"/>
        </w:rPr>
        <w:t>čekává</w:t>
      </w:r>
      <w:r>
        <w:rPr>
          <w:rFonts w:cs="Arial"/>
          <w:b w:val="0"/>
        </w:rPr>
        <w:t xml:space="preserve"> se</w:t>
      </w:r>
      <w:r w:rsidRPr="00716CF8">
        <w:rPr>
          <w:rFonts w:cs="Arial"/>
          <w:b w:val="0"/>
        </w:rPr>
        <w:t>, že dojde k zlevnění systému ZO odpadních pneumatik</w:t>
      </w:r>
      <w:r>
        <w:rPr>
          <w:rFonts w:cs="Arial"/>
          <w:b w:val="0"/>
        </w:rPr>
        <w:t xml:space="preserve"> (v rámci KS)</w:t>
      </w:r>
      <w:r w:rsidRPr="00716CF8">
        <w:rPr>
          <w:rFonts w:cs="Arial"/>
          <w:b w:val="0"/>
        </w:rPr>
        <w:t xml:space="preserve">, neboť </w:t>
      </w:r>
      <w:r>
        <w:rPr>
          <w:rFonts w:cs="Arial"/>
          <w:b w:val="0"/>
        </w:rPr>
        <w:t>KS nebude zpětně odebírat</w:t>
      </w:r>
      <w:r w:rsidRPr="00716CF8">
        <w:rPr>
          <w:rFonts w:cs="Arial"/>
          <w:b w:val="0"/>
        </w:rPr>
        <w:t xml:space="preserve">  pneumatiky za</w:t>
      </w:r>
      <w:r>
        <w:rPr>
          <w:rFonts w:cs="Arial"/>
          <w:b w:val="0"/>
        </w:rPr>
        <w:t> </w:t>
      </w:r>
      <w:r w:rsidRPr="00716CF8">
        <w:rPr>
          <w:rFonts w:cs="Arial"/>
          <w:b w:val="0"/>
        </w:rPr>
        <w:t xml:space="preserve">individuální výrobce, kteří </w:t>
      </w:r>
      <w:r>
        <w:rPr>
          <w:rFonts w:cs="Arial"/>
          <w:b w:val="0"/>
        </w:rPr>
        <w:t xml:space="preserve">se </w:t>
      </w:r>
      <w:r w:rsidRPr="00716CF8">
        <w:rPr>
          <w:rFonts w:cs="Arial"/>
          <w:b w:val="0"/>
        </w:rPr>
        <w:t xml:space="preserve">nyní </w:t>
      </w:r>
      <w:r>
        <w:rPr>
          <w:rFonts w:cs="Arial"/>
          <w:b w:val="0"/>
        </w:rPr>
        <w:t>vyhýbali řádnému plnění</w:t>
      </w:r>
      <w:r w:rsidRPr="00716CF8">
        <w:rPr>
          <w:rFonts w:cs="Arial"/>
          <w:b w:val="0"/>
        </w:rPr>
        <w:t xml:space="preserve"> zákonn</w:t>
      </w:r>
      <w:r>
        <w:rPr>
          <w:rFonts w:cs="Arial"/>
          <w:b w:val="0"/>
        </w:rPr>
        <w:t>ých povinností</w:t>
      </w:r>
      <w:r w:rsidRPr="00716CF8">
        <w:rPr>
          <w:rFonts w:cs="Arial"/>
          <w:b w:val="0"/>
        </w:rPr>
        <w:t xml:space="preserve">. Individuální výrobci budou nuceni vytvořit odpovídající sběrnou síť, která zajistí požadovanou míru ZO odpadních pneumatik, popř. se </w:t>
      </w:r>
      <w:r>
        <w:rPr>
          <w:rFonts w:cs="Arial"/>
          <w:b w:val="0"/>
        </w:rPr>
        <w:t xml:space="preserve">tito výrobci </w:t>
      </w:r>
      <w:r w:rsidRPr="00716CF8">
        <w:rPr>
          <w:rFonts w:cs="Arial"/>
          <w:b w:val="0"/>
        </w:rPr>
        <w:t>zapojí</w:t>
      </w:r>
      <w:r>
        <w:rPr>
          <w:rFonts w:cs="Arial"/>
          <w:b w:val="0"/>
        </w:rPr>
        <w:t xml:space="preserve"> do KS, pokud to pro ně bude ekonomicky výhodnější (bod 2</w:t>
      </w:r>
      <w:r w:rsidR="00183BC1">
        <w:rPr>
          <w:rFonts w:cs="Arial"/>
          <w:b w:val="0"/>
        </w:rPr>
        <w:t>3</w:t>
      </w:r>
      <w:r>
        <w:rPr>
          <w:rFonts w:cs="Arial"/>
          <w:b w:val="0"/>
        </w:rPr>
        <w:t>).</w:t>
      </w:r>
    </w:p>
    <w:p w:rsidR="00C262B5" w:rsidRPr="00462900" w:rsidP="00C262B5" w14:paraId="5A52AA90" w14:textId="46E1E0AF">
      <w:pPr>
        <w:rPr>
          <w:rFonts w:eastAsia="MS Mincho" w:cs="Arial"/>
          <w:bCs/>
          <w:noProof w:val="0"/>
          <w:lang w:bidi="ar-SA"/>
        </w:rPr>
      </w:pPr>
      <w:r w:rsidRPr="00897A12">
        <w:rPr>
          <w:rFonts w:cs="Arial"/>
        </w:rPr>
        <w:t>Nastavení minimální povinné úrovně materiálového využití odpadn</w:t>
      </w:r>
      <w:r>
        <w:rPr>
          <w:rFonts w:cs="Arial"/>
        </w:rPr>
        <w:t xml:space="preserve">ích pneumatik přináší zvýšenou </w:t>
      </w:r>
      <w:r w:rsidRPr="00897A12">
        <w:rPr>
          <w:rFonts w:cs="Arial"/>
        </w:rPr>
        <w:t xml:space="preserve">odpovědnost výrobců za </w:t>
      </w:r>
      <w:r>
        <w:rPr>
          <w:rFonts w:cs="Arial"/>
        </w:rPr>
        <w:t>zpětně odebrané pneumatiky. Náklady na energetické a materiálové využití jsou obdobné cca 1 000 – 1 250 Kč/t odpadních pneumatik (bez logistiky), avšak bližší porovnání ekonomické náročnosti energetického a materiálového využití odpadních pneumatik v ČR nelze z </w:t>
      </w:r>
      <w:r w:rsidR="00C559D2">
        <w:rPr>
          <w:rFonts w:cs="Arial"/>
        </w:rPr>
        <w:t>dostupných údajů odvodit (bod 2</w:t>
      </w:r>
      <w:r w:rsidR="00183BC1">
        <w:rPr>
          <w:rFonts w:cs="Arial"/>
        </w:rPr>
        <w:t>4</w:t>
      </w:r>
      <w:r>
        <w:rPr>
          <w:rFonts w:cs="Arial"/>
        </w:rPr>
        <w:t>).</w:t>
      </w:r>
    </w:p>
    <w:p w:rsidR="00C262B5" w:rsidP="00C262B5" w14:paraId="3066456F" w14:textId="77777777">
      <w:pPr>
        <w:spacing w:before="60"/>
        <w:rPr>
          <w:rFonts w:eastAsia="MS Mincho" w:cs="Arial"/>
          <w:b/>
          <w:bCs/>
          <w:noProof w:val="0"/>
          <w:lang w:bidi="ar-SA"/>
        </w:rPr>
      </w:pPr>
    </w:p>
    <w:p w:rsidR="00C262B5" w:rsidRPr="00E5691D" w:rsidP="00C262B5" w14:paraId="5E82751C" w14:textId="77777777">
      <w:pPr>
        <w:spacing w:before="60"/>
        <w:rPr>
          <w:rFonts w:eastAsia="MS Mincho" w:cs="Arial"/>
          <w:b/>
          <w:bCs/>
          <w:i/>
          <w:noProof w:val="0"/>
          <w:lang w:bidi="ar-SA"/>
        </w:rPr>
      </w:pPr>
      <w:r w:rsidRPr="00E5691D">
        <w:rPr>
          <w:rFonts w:eastAsia="MS Mincho" w:cs="Arial"/>
          <w:b/>
          <w:bCs/>
          <w:i/>
          <w:noProof w:val="0"/>
          <w:lang w:bidi="ar-SA"/>
        </w:rPr>
        <w:t xml:space="preserve">Zpracovatelé pneumatik </w:t>
      </w:r>
    </w:p>
    <w:p w:rsidR="00C262B5" w:rsidP="00C262B5" w14:paraId="4DD39F71" w14:textId="62756E2B">
      <w:pPr>
        <w:rPr>
          <w:rFonts w:eastAsia="MS Mincho" w:cs="Arial"/>
          <w:bCs/>
          <w:noProof w:val="0"/>
          <w:lang w:bidi="ar-SA"/>
        </w:rPr>
      </w:pPr>
      <w:r>
        <w:rPr>
          <w:rFonts w:eastAsia="MS Mincho" w:cs="Arial"/>
          <w:bCs/>
          <w:noProof w:val="0"/>
          <w:lang w:bidi="ar-SA"/>
        </w:rPr>
        <w:t>N</w:t>
      </w:r>
      <w:r w:rsidRPr="00897A12">
        <w:rPr>
          <w:rFonts w:cs="Arial"/>
        </w:rPr>
        <w:t>astavení minimální povinné úrovně materiálového využití odpadn</w:t>
      </w:r>
      <w:r>
        <w:rPr>
          <w:rFonts w:cs="Arial"/>
        </w:rPr>
        <w:t xml:space="preserve">ích pneumatik </w:t>
      </w:r>
      <w:r>
        <w:rPr>
          <w:rFonts w:eastAsia="MS Mincho" w:cs="Arial"/>
          <w:bCs/>
          <w:noProof w:val="0"/>
          <w:lang w:bidi="ar-SA"/>
        </w:rPr>
        <w:t>bude pro zpracovatele pneumatik znamenat stabilní</w:t>
      </w:r>
      <w:r w:rsidRPr="00731E3A">
        <w:rPr>
          <w:rFonts w:eastAsia="MS Mincho" w:cs="Arial"/>
          <w:bCs/>
          <w:noProof w:val="0"/>
          <w:lang w:bidi="ar-SA"/>
        </w:rPr>
        <w:t xml:space="preserve"> investiční prostředí</w:t>
      </w:r>
      <w:r>
        <w:rPr>
          <w:rFonts w:eastAsia="MS Mincho" w:cs="Arial"/>
          <w:bCs/>
          <w:noProof w:val="0"/>
          <w:lang w:bidi="ar-SA"/>
        </w:rPr>
        <w:t xml:space="preserve">, </w:t>
      </w:r>
      <w:r w:rsidRPr="00731E3A">
        <w:rPr>
          <w:rFonts w:eastAsia="MS Mincho" w:cs="Arial"/>
          <w:bCs/>
          <w:noProof w:val="0"/>
          <w:lang w:bidi="ar-SA"/>
        </w:rPr>
        <w:t xml:space="preserve">a </w:t>
      </w:r>
      <w:r>
        <w:rPr>
          <w:rFonts w:eastAsia="MS Mincho" w:cs="Arial"/>
          <w:bCs/>
          <w:noProof w:val="0"/>
          <w:lang w:bidi="ar-SA"/>
        </w:rPr>
        <w:t xml:space="preserve">tudíž </w:t>
      </w:r>
      <w:r w:rsidRPr="00731E3A">
        <w:rPr>
          <w:rFonts w:eastAsia="MS Mincho" w:cs="Arial"/>
          <w:bCs/>
          <w:noProof w:val="0"/>
          <w:lang w:bidi="ar-SA"/>
        </w:rPr>
        <w:t xml:space="preserve">další rozvoj recyklačního sektoru pneumatik </w:t>
      </w:r>
      <w:r>
        <w:rPr>
          <w:rFonts w:eastAsia="MS Mincho" w:cs="Arial"/>
          <w:bCs/>
          <w:noProof w:val="0"/>
          <w:lang w:bidi="ar-SA"/>
        </w:rPr>
        <w:t>(f</w:t>
      </w:r>
      <w:r w:rsidRPr="00CC3CAB">
        <w:rPr>
          <w:rFonts w:eastAsia="MS Mincho" w:cs="Arial"/>
          <w:bCs/>
          <w:noProof w:val="0"/>
          <w:lang w:bidi="ar-SA"/>
        </w:rPr>
        <w:t>inanční podpora vzniku nových kapacit na materiálové využití</w:t>
      </w:r>
      <w:r>
        <w:rPr>
          <w:rFonts w:eastAsia="MS Mincho" w:cs="Arial"/>
          <w:bCs/>
          <w:noProof w:val="0"/>
          <w:lang w:bidi="ar-SA"/>
        </w:rPr>
        <w:t xml:space="preserve"> pneumatik) </w:t>
      </w:r>
      <w:r w:rsidRPr="00731E3A">
        <w:rPr>
          <w:rFonts w:eastAsia="MS Mincho" w:cs="Arial"/>
          <w:bCs/>
          <w:noProof w:val="0"/>
          <w:lang w:bidi="ar-SA"/>
        </w:rPr>
        <w:t xml:space="preserve">(bod </w:t>
      </w:r>
      <w:r w:rsidR="00626BB4">
        <w:rPr>
          <w:rFonts w:eastAsia="MS Mincho" w:cs="Arial"/>
          <w:bCs/>
          <w:noProof w:val="0"/>
          <w:lang w:bidi="ar-SA"/>
        </w:rPr>
        <w:t>2</w:t>
      </w:r>
      <w:r w:rsidR="00183BC1">
        <w:rPr>
          <w:rFonts w:eastAsia="MS Mincho" w:cs="Arial"/>
          <w:bCs/>
          <w:noProof w:val="0"/>
          <w:lang w:bidi="ar-SA"/>
        </w:rPr>
        <w:t>4</w:t>
      </w:r>
      <w:r w:rsidRPr="00731E3A">
        <w:rPr>
          <w:rFonts w:eastAsia="MS Mincho" w:cs="Arial"/>
          <w:bCs/>
          <w:noProof w:val="0"/>
          <w:lang w:bidi="ar-SA"/>
        </w:rPr>
        <w:t>)</w:t>
      </w:r>
      <w:r>
        <w:rPr>
          <w:rFonts w:eastAsia="MS Mincho" w:cs="Arial"/>
          <w:bCs/>
          <w:noProof w:val="0"/>
          <w:lang w:bidi="ar-SA"/>
        </w:rPr>
        <w:t>.</w:t>
      </w:r>
    </w:p>
    <w:p w:rsidR="00183BC1" w:rsidP="00183BC1" w14:paraId="12B53ABA" w14:textId="77777777">
      <w:pPr>
        <w:tabs>
          <w:tab w:val="left" w:pos="1037"/>
        </w:tabs>
        <w:spacing w:before="60"/>
        <w:rPr>
          <w:rFonts w:eastAsia="MS Mincho" w:cs="Arial"/>
          <w:b/>
          <w:bCs/>
          <w:i/>
          <w:noProof w:val="0"/>
          <w:lang w:bidi="ar-SA"/>
        </w:rPr>
      </w:pPr>
    </w:p>
    <w:p w:rsidR="00183BC1" w:rsidRPr="00462900" w:rsidP="00183BC1" w14:paraId="36F279D2" w14:textId="77777777">
      <w:pPr>
        <w:tabs>
          <w:tab w:val="left" w:pos="1037"/>
        </w:tabs>
        <w:spacing w:before="60"/>
        <w:rPr>
          <w:rFonts w:eastAsia="MS Mincho" w:cs="Arial"/>
          <w:bCs/>
          <w:i/>
          <w:noProof w:val="0"/>
          <w:lang w:bidi="ar-SA"/>
        </w:rPr>
      </w:pPr>
      <w:r w:rsidRPr="00462900">
        <w:rPr>
          <w:rFonts w:eastAsia="MS Mincho" w:cs="Arial"/>
          <w:b/>
          <w:bCs/>
          <w:i/>
          <w:noProof w:val="0"/>
          <w:lang w:bidi="ar-SA"/>
        </w:rPr>
        <w:t>Výrobci vozidel</w:t>
      </w:r>
      <w:r w:rsidRPr="00462900">
        <w:rPr>
          <w:rFonts w:eastAsia="MS Mincho" w:cs="Arial"/>
          <w:bCs/>
          <w:i/>
          <w:noProof w:val="0"/>
          <w:lang w:bidi="ar-SA"/>
        </w:rPr>
        <w:t xml:space="preserve"> </w:t>
      </w:r>
    </w:p>
    <w:p w:rsidR="00183BC1" w:rsidRPr="004354D8" w:rsidP="00183BC1" w14:paraId="0F382D22" w14:textId="528A34D2">
      <w:pPr>
        <w:rPr>
          <w:rFonts w:eastAsia="MS Mincho" w:cs="Arial"/>
          <w:bCs/>
          <w:noProof w:val="0"/>
          <w:lang w:bidi="ar-SA"/>
        </w:rPr>
      </w:pPr>
      <w:r>
        <w:rPr>
          <w:rFonts w:eastAsia="MS Mincho" w:cs="Arial"/>
          <w:bCs/>
          <w:noProof w:val="0"/>
          <w:lang w:bidi="ar-SA"/>
        </w:rPr>
        <w:t xml:space="preserve">Výrobci vozidel budou </w:t>
      </w:r>
      <w:r w:rsidRPr="00ED38E9">
        <w:rPr>
          <w:rFonts w:cs="Arial"/>
        </w:rPr>
        <w:t>u vozidel, která uvedou na český trh</w:t>
      </w:r>
      <w:r>
        <w:rPr>
          <w:rFonts w:cs="Arial"/>
        </w:rPr>
        <w:t>,</w:t>
      </w:r>
      <w:r w:rsidRPr="00ED38E9">
        <w:rPr>
          <w:rFonts w:cs="Arial"/>
        </w:rPr>
        <w:t xml:space="preserve"> odv</w:t>
      </w:r>
      <w:r>
        <w:rPr>
          <w:rFonts w:cs="Arial"/>
        </w:rPr>
        <w:t>ádět</w:t>
      </w:r>
      <w:r w:rsidRPr="00ED38E9">
        <w:rPr>
          <w:rFonts w:cs="Arial"/>
        </w:rPr>
        <w:t xml:space="preserve"> </w:t>
      </w:r>
      <w:r>
        <w:rPr>
          <w:rFonts w:eastAsia="MS Mincho" w:cs="Arial"/>
          <w:bCs/>
          <w:noProof w:val="0"/>
          <w:lang w:bidi="ar-SA"/>
        </w:rPr>
        <w:t>příspěvky na ZO a zpracování odpadních pneumatik</w:t>
      </w:r>
      <w:r w:rsidRPr="00ED38E9">
        <w:rPr>
          <w:rFonts w:cs="Arial"/>
        </w:rPr>
        <w:t xml:space="preserve">. Vycházíme-li z počtu </w:t>
      </w:r>
      <w:r>
        <w:rPr>
          <w:rFonts w:cs="Arial"/>
        </w:rPr>
        <w:t xml:space="preserve">nových </w:t>
      </w:r>
      <w:r w:rsidRPr="00ED38E9">
        <w:rPr>
          <w:rFonts w:cs="Arial"/>
        </w:rPr>
        <w:t>vozidel</w:t>
      </w:r>
      <w:r w:rsidRPr="005F7FF4">
        <w:rPr>
          <w:rFonts w:cs="Arial"/>
        </w:rPr>
        <w:t xml:space="preserve"> </w:t>
      </w:r>
      <w:r>
        <w:rPr>
          <w:rFonts w:cs="Arial"/>
        </w:rPr>
        <w:t>registrovaných v</w:t>
      </w:r>
      <w:r w:rsidRPr="00ED38E9">
        <w:rPr>
          <w:rFonts w:cs="Arial"/>
        </w:rPr>
        <w:t xml:space="preserve"> Č</w:t>
      </w:r>
      <w:r>
        <w:rPr>
          <w:rFonts w:cs="Arial"/>
        </w:rPr>
        <w:t>R</w:t>
      </w:r>
      <w:r w:rsidRPr="00ED38E9">
        <w:rPr>
          <w:rFonts w:cs="Arial"/>
        </w:rPr>
        <w:t xml:space="preserve"> v roce 201</w:t>
      </w:r>
      <w:r>
        <w:rPr>
          <w:rFonts w:cs="Arial"/>
        </w:rPr>
        <w:t>6</w:t>
      </w:r>
      <w:r w:rsidRPr="00ED38E9">
        <w:rPr>
          <w:rFonts w:cs="Arial"/>
        </w:rPr>
        <w:t xml:space="preserve"> (osobní automobily, autobusy, nákladní vozy</w:t>
      </w:r>
      <w:r>
        <w:rPr>
          <w:rFonts w:cs="Arial"/>
        </w:rPr>
        <w:t>, motocykly</w:t>
      </w:r>
      <w:r w:rsidRPr="00ED38E9">
        <w:rPr>
          <w:rFonts w:cs="Arial"/>
        </w:rPr>
        <w:t xml:space="preserve">), </w:t>
      </w:r>
      <w:r>
        <w:rPr>
          <w:rFonts w:cs="Arial"/>
        </w:rPr>
        <w:t>pak</w:t>
      </w:r>
      <w:r w:rsidRPr="002B21A6">
        <w:rPr>
          <w:rFonts w:cs="Arial"/>
          <w:b/>
        </w:rPr>
        <w:t xml:space="preserve"> </w:t>
      </w:r>
      <w:r w:rsidRPr="004354D8">
        <w:rPr>
          <w:rFonts w:cs="Arial"/>
        </w:rPr>
        <w:t>v případě recyklačního příspěvku 3 Kč/kg by se jednalo o částku 75 mil. Kč/rok na zajištění ZO pneumatik</w:t>
      </w:r>
      <w:r w:rsidR="00C22698">
        <w:rPr>
          <w:rFonts w:cs="Arial"/>
        </w:rPr>
        <w:t xml:space="preserve"> (bod 22)</w:t>
      </w:r>
      <w:r w:rsidRPr="004354D8">
        <w:rPr>
          <w:rFonts w:cs="Arial"/>
        </w:rPr>
        <w:t>.</w:t>
      </w:r>
    </w:p>
    <w:p w:rsidR="00183BC1" w:rsidP="00183BC1" w14:paraId="79281B88" w14:textId="77777777">
      <w:pPr>
        <w:rPr>
          <w:rFonts w:cs="Arial"/>
        </w:rPr>
      </w:pPr>
      <w:r>
        <w:rPr>
          <w:rFonts w:cs="Arial"/>
        </w:rPr>
        <w:t>Z</w:t>
      </w:r>
      <w:r w:rsidRPr="00ED38E9">
        <w:rPr>
          <w:rFonts w:cs="Arial"/>
        </w:rPr>
        <w:t>rušení informační povinnosti</w:t>
      </w:r>
      <w:r>
        <w:rPr>
          <w:rFonts w:cs="Arial"/>
        </w:rPr>
        <w:t xml:space="preserve"> (</w:t>
      </w:r>
      <w:r w:rsidRPr="00ED38E9">
        <w:rPr>
          <w:rFonts w:cs="Arial"/>
        </w:rPr>
        <w:t xml:space="preserve">zasílání </w:t>
      </w:r>
      <w:r>
        <w:rPr>
          <w:rFonts w:eastAsia="MS Mincho" w:cs="Arial"/>
          <w:bCs/>
          <w:noProof w:val="0"/>
          <w:lang w:bidi="ar-SA"/>
        </w:rPr>
        <w:t>roční zprávy</w:t>
      </w:r>
      <w:r>
        <w:rPr>
          <w:rFonts w:cs="Arial"/>
        </w:rPr>
        <w:t>)</w:t>
      </w:r>
      <w:r w:rsidRPr="00ED38E9">
        <w:rPr>
          <w:rFonts w:cs="Arial"/>
        </w:rPr>
        <w:t xml:space="preserve"> pro výrobce </w:t>
      </w:r>
      <w:r>
        <w:rPr>
          <w:rFonts w:cs="Arial"/>
        </w:rPr>
        <w:t xml:space="preserve">vozidel </w:t>
      </w:r>
      <w:r w:rsidRPr="00ED38E9">
        <w:rPr>
          <w:rFonts w:cs="Arial"/>
        </w:rPr>
        <w:t>a akreditované zástupce představuje roční úsporu cca</w:t>
      </w:r>
      <w:r>
        <w:rPr>
          <w:rFonts w:cs="Arial"/>
        </w:rPr>
        <w:t> 304 tis.</w:t>
      </w:r>
      <w:r w:rsidRPr="00ED38E9">
        <w:rPr>
          <w:rFonts w:cs="Arial"/>
        </w:rPr>
        <w:t xml:space="preserve"> Kč</w:t>
      </w:r>
      <w:r>
        <w:rPr>
          <w:rFonts w:cs="Arial"/>
        </w:rPr>
        <w:t>/rok</w:t>
      </w:r>
      <w:r w:rsidRPr="00ED38E9">
        <w:rPr>
          <w:rFonts w:cs="Arial"/>
        </w:rPr>
        <w:t xml:space="preserve"> za administrativní činnosti spojené s </w:t>
      </w:r>
      <w:r>
        <w:rPr>
          <w:rFonts w:cs="Arial"/>
        </w:rPr>
        <w:t>touto agendou</w:t>
      </w:r>
      <w:r w:rsidRPr="00462900">
        <w:rPr>
          <w:rFonts w:eastAsia="MS Mincho" w:cs="Arial"/>
          <w:bCs/>
          <w:noProof w:val="0"/>
          <w:lang w:bidi="ar-SA"/>
        </w:rPr>
        <w:t xml:space="preserve"> </w:t>
      </w:r>
      <w:r>
        <w:rPr>
          <w:rFonts w:eastAsia="MS Mincho" w:cs="Arial"/>
          <w:bCs/>
          <w:noProof w:val="0"/>
          <w:lang w:bidi="ar-SA"/>
        </w:rPr>
        <w:t>(bod 25</w:t>
      </w:r>
      <w:r w:rsidRPr="008015F4">
        <w:rPr>
          <w:rFonts w:eastAsia="MS Mincho" w:cs="Arial"/>
          <w:bCs/>
          <w:noProof w:val="0"/>
          <w:lang w:bidi="ar-SA"/>
        </w:rPr>
        <w:t>).</w:t>
      </w:r>
    </w:p>
    <w:p w:rsidR="00C262B5" w:rsidP="00C262B5" w14:paraId="4A989DF2" w14:textId="77777777">
      <w:pPr>
        <w:rPr>
          <w:rFonts w:cs="Cambria"/>
          <w:b/>
        </w:rPr>
      </w:pPr>
    </w:p>
    <w:p w:rsidR="00C262B5" w:rsidP="00C262B5" w14:paraId="5BF03C55" w14:textId="77777777">
      <w:pPr>
        <w:keepNext/>
        <w:rPr>
          <w:b/>
        </w:rPr>
      </w:pPr>
      <w:r w:rsidRPr="00364076">
        <w:rPr>
          <w:b/>
        </w:rPr>
        <w:t>Dopady na územní samosprávné celky (obce, kraje)</w:t>
      </w:r>
    </w:p>
    <w:p w:rsidR="00C262B5" w:rsidP="00C262B5" w14:paraId="2A47668A" w14:textId="4E10443B">
      <w:pPr>
        <w:rPr>
          <w:noProof w:val="0"/>
          <w:color w:val="000000"/>
          <w:lang w:eastAsia="cs-CZ" w:bidi="ar-SA"/>
        </w:rPr>
      </w:pPr>
      <w:r>
        <w:rPr>
          <w:noProof w:val="0"/>
          <w:color w:val="000000"/>
          <w:lang w:eastAsia="cs-CZ" w:bidi="ar-SA"/>
        </w:rPr>
        <w:t>Jednorázová administrativní zátěž k</w:t>
      </w:r>
      <w:r w:rsidRPr="007E32C4">
        <w:rPr>
          <w:noProof w:val="0"/>
          <w:color w:val="000000"/>
          <w:lang w:eastAsia="cs-CZ" w:bidi="ar-SA"/>
        </w:rPr>
        <w:t>raj</w:t>
      </w:r>
      <w:r>
        <w:rPr>
          <w:noProof w:val="0"/>
          <w:color w:val="000000"/>
          <w:lang w:eastAsia="cs-CZ" w:bidi="ar-SA"/>
        </w:rPr>
        <w:t>ských úřadů</w:t>
      </w:r>
      <w:r w:rsidRPr="007E32C4">
        <w:rPr>
          <w:noProof w:val="0"/>
          <w:color w:val="000000"/>
          <w:lang w:eastAsia="cs-CZ" w:bidi="ar-SA"/>
        </w:rPr>
        <w:t xml:space="preserve"> </w:t>
      </w:r>
      <w:r>
        <w:rPr>
          <w:noProof w:val="0"/>
          <w:color w:val="000000"/>
          <w:lang w:eastAsia="cs-CZ" w:bidi="ar-SA"/>
        </w:rPr>
        <w:t>na vydávání</w:t>
      </w:r>
      <w:r w:rsidRPr="007E32C4">
        <w:rPr>
          <w:noProof w:val="0"/>
          <w:color w:val="000000"/>
          <w:lang w:eastAsia="cs-CZ" w:bidi="ar-SA"/>
        </w:rPr>
        <w:t xml:space="preserve"> </w:t>
      </w:r>
      <w:r>
        <w:rPr>
          <w:noProof w:val="0"/>
          <w:color w:val="000000"/>
          <w:lang w:eastAsia="cs-CZ" w:bidi="ar-SA"/>
        </w:rPr>
        <w:t>souhlasů</w:t>
      </w:r>
      <w:r w:rsidRPr="007E32C4">
        <w:rPr>
          <w:noProof w:val="0"/>
          <w:color w:val="000000"/>
          <w:lang w:eastAsia="cs-CZ" w:bidi="ar-SA"/>
        </w:rPr>
        <w:t>/povolení k provozu zařízení</w:t>
      </w:r>
      <w:r>
        <w:rPr>
          <w:noProof w:val="0"/>
          <w:color w:val="000000"/>
          <w:lang w:eastAsia="cs-CZ" w:bidi="ar-SA"/>
        </w:rPr>
        <w:t xml:space="preserve"> (oprávnění sbírat OEEZ) se odhaduje na </w:t>
      </w:r>
      <w:r w:rsidRPr="007E32C4">
        <w:rPr>
          <w:noProof w:val="0"/>
          <w:color w:val="000000"/>
          <w:lang w:eastAsia="cs-CZ" w:bidi="ar-SA"/>
        </w:rPr>
        <w:t>2 500–14 100 Kč</w:t>
      </w:r>
      <w:r>
        <w:rPr>
          <w:noProof w:val="0"/>
          <w:color w:val="000000"/>
          <w:lang w:eastAsia="cs-CZ" w:bidi="ar-SA"/>
        </w:rPr>
        <w:t>/</w:t>
      </w:r>
      <w:r w:rsidRPr="007E32C4">
        <w:rPr>
          <w:noProof w:val="0"/>
          <w:color w:val="000000"/>
          <w:lang w:eastAsia="cs-CZ" w:bidi="ar-SA"/>
        </w:rPr>
        <w:t>rozhodnutí. Předpokládáme však minimální množství žádostí, protože subjekty, které chtějí přebírat a</w:t>
      </w:r>
      <w:r w:rsidR="00273C7B">
        <w:rPr>
          <w:noProof w:val="0"/>
          <w:color w:val="000000"/>
          <w:lang w:eastAsia="cs-CZ" w:bidi="ar-SA"/>
        </w:rPr>
        <w:t> </w:t>
      </w:r>
      <w:r w:rsidRPr="007E32C4">
        <w:rPr>
          <w:noProof w:val="0"/>
          <w:color w:val="000000"/>
          <w:lang w:eastAsia="cs-CZ" w:bidi="ar-SA"/>
        </w:rPr>
        <w:t>zpracovávat OEEZ už souhlas/povolení k provozu zařízení obvykle mají</w:t>
      </w:r>
      <w:r w:rsidR="00273C7B">
        <w:rPr>
          <w:noProof w:val="0"/>
          <w:color w:val="000000"/>
          <w:lang w:eastAsia="cs-CZ" w:bidi="ar-SA"/>
        </w:rPr>
        <w:t xml:space="preserve"> (bod 16)</w:t>
      </w:r>
      <w:r w:rsidRPr="007E32C4">
        <w:rPr>
          <w:noProof w:val="0"/>
          <w:color w:val="000000"/>
          <w:lang w:eastAsia="cs-CZ" w:bidi="ar-SA"/>
        </w:rPr>
        <w:t>.</w:t>
      </w:r>
    </w:p>
    <w:p w:rsidR="00C262B5" w:rsidRPr="00ED38E9" w:rsidP="00C262B5" w14:paraId="103597EC" w14:textId="3834A277">
      <w:pPr>
        <w:rPr>
          <w:rFonts w:cs="Arial"/>
        </w:rPr>
      </w:pPr>
      <w:r>
        <w:rPr>
          <w:rFonts w:cs="Arial"/>
        </w:rPr>
        <w:t>Zvýšení hustoty sběrné sítě vybraných výrobků s ukončenou životností (rozšíření i do menších měst a obcí) a z</w:t>
      </w:r>
      <w:r>
        <w:rPr>
          <w:rFonts w:cs="Arial"/>
        </w:rPr>
        <w:t>lepšení</w:t>
      </w:r>
      <w:r w:rsidRPr="00ED38E9">
        <w:rPr>
          <w:rFonts w:cs="Arial"/>
        </w:rPr>
        <w:t xml:space="preserve"> informovanosti obyvatel</w:t>
      </w:r>
      <w:r>
        <w:rPr>
          <w:rFonts w:cs="Arial"/>
        </w:rPr>
        <w:t xml:space="preserve"> v oblasti nakládání s odpady</w:t>
      </w:r>
      <w:r w:rsidRPr="00ED38E9">
        <w:rPr>
          <w:rFonts w:cs="Arial"/>
        </w:rPr>
        <w:t xml:space="preserve"> je</w:t>
      </w:r>
      <w:r>
        <w:rPr>
          <w:rFonts w:cs="Arial"/>
        </w:rPr>
        <w:t xml:space="preserve"> nezpochybnitelným</w:t>
      </w:r>
      <w:r w:rsidRPr="00ED38E9">
        <w:rPr>
          <w:rFonts w:cs="Arial"/>
        </w:rPr>
        <w:t xml:space="preserve"> přínosem pro obce, protože </w:t>
      </w:r>
      <w:r>
        <w:rPr>
          <w:rFonts w:cs="Arial"/>
        </w:rPr>
        <w:t>se snižuje riziko vzniku černých skládek, a</w:t>
      </w:r>
      <w:r>
        <w:rPr>
          <w:rFonts w:cs="Arial"/>
        </w:rPr>
        <w:t> </w:t>
      </w:r>
      <w:r>
        <w:rPr>
          <w:rFonts w:cs="Arial"/>
        </w:rPr>
        <w:t xml:space="preserve">tudíž i </w:t>
      </w:r>
      <w:r w:rsidRPr="00291812">
        <w:rPr>
          <w:rFonts w:eastAsia="MS Mincho" w:cs="Arial"/>
          <w:bCs/>
          <w:noProof w:val="0"/>
          <w:lang w:bidi="ar-SA"/>
        </w:rPr>
        <w:t>nákladů na likvidaci vybraných výrobků s ukončenou životností odhozených na</w:t>
      </w:r>
      <w:r>
        <w:rPr>
          <w:rFonts w:eastAsia="MS Mincho" w:cs="Arial"/>
          <w:bCs/>
          <w:noProof w:val="0"/>
          <w:lang w:bidi="ar-SA"/>
        </w:rPr>
        <w:t> </w:t>
      </w:r>
      <w:r w:rsidRPr="00291812">
        <w:rPr>
          <w:rFonts w:eastAsia="MS Mincho" w:cs="Arial"/>
          <w:bCs/>
          <w:noProof w:val="0"/>
          <w:lang w:bidi="ar-SA"/>
        </w:rPr>
        <w:t xml:space="preserve">černých skládkách, v příkopech apod. </w:t>
      </w:r>
      <w:r>
        <w:rPr>
          <w:rFonts w:eastAsia="MS Mincho" w:cs="Arial"/>
          <w:bCs/>
          <w:noProof w:val="0"/>
          <w:lang w:bidi="ar-SA"/>
        </w:rPr>
        <w:t xml:space="preserve">(zejména OEEZ a pneumatiky), </w:t>
      </w:r>
      <w:r w:rsidRPr="00291812">
        <w:rPr>
          <w:rFonts w:eastAsia="MS Mincho" w:cs="Arial"/>
          <w:bCs/>
          <w:noProof w:val="0"/>
          <w:lang w:bidi="ar-SA"/>
        </w:rPr>
        <w:t>hašení hořících skládek pneumatik atd.</w:t>
      </w:r>
      <w:r>
        <w:rPr>
          <w:rFonts w:eastAsia="MS Mincho" w:cs="Arial"/>
          <w:bCs/>
          <w:noProof w:val="0"/>
          <w:lang w:bidi="ar-SA"/>
        </w:rPr>
        <w:t xml:space="preserve"> </w:t>
      </w:r>
      <w:r>
        <w:rPr>
          <w:rFonts w:cs="Arial"/>
        </w:rPr>
        <w:t xml:space="preserve">Řádné nakládání s odpady ze strany obyvatel tedy snižuje celkové náklady obcí na provozování systémů nakládání s odpady. </w:t>
      </w:r>
    </w:p>
    <w:p w:rsidR="00C262B5" w:rsidP="00C262B5" w14:paraId="7311FFC3" w14:textId="77777777">
      <w:pPr>
        <w:spacing w:line="240" w:lineRule="auto"/>
        <w:rPr>
          <w:b/>
        </w:rPr>
      </w:pPr>
    </w:p>
    <w:p w:rsidR="00C262B5" w:rsidRPr="004C5446" w:rsidP="00C262B5" w14:paraId="148DE38A" w14:textId="77777777">
      <w:pPr>
        <w:spacing w:line="240" w:lineRule="auto"/>
        <w:rPr>
          <w:b/>
        </w:rPr>
      </w:pPr>
      <w:r w:rsidRPr="004C5446">
        <w:rPr>
          <w:b/>
        </w:rPr>
        <w:t>Sociální dopady</w:t>
      </w:r>
    </w:p>
    <w:p w:rsidR="00C262B5" w:rsidP="00C262B5" w14:paraId="225ED6D0" w14:textId="4CC3A730">
      <w:pPr>
        <w:tabs>
          <w:tab w:val="left" w:pos="1037"/>
        </w:tabs>
        <w:spacing w:after="120"/>
        <w:rPr>
          <w:rFonts w:eastAsia="MS Mincho" w:cs="Arial"/>
          <w:bCs/>
          <w:noProof w:val="0"/>
          <w:lang w:bidi="ar-SA"/>
        </w:rPr>
      </w:pPr>
      <w:r>
        <w:rPr>
          <w:rFonts w:eastAsia="MS Mincho" w:cs="Arial"/>
          <w:bCs/>
          <w:noProof w:val="0"/>
          <w:lang w:bidi="ar-SA"/>
        </w:rPr>
        <w:t>Navrhovaná právní úprava z</w:t>
      </w:r>
      <w:r w:rsidRPr="00D14E4C">
        <w:rPr>
          <w:rFonts w:eastAsia="MS Mincho" w:cs="Arial"/>
          <w:bCs/>
          <w:noProof w:val="0"/>
          <w:lang w:bidi="ar-SA"/>
        </w:rPr>
        <w:t>jednoduš</w:t>
      </w:r>
      <w:r>
        <w:rPr>
          <w:rFonts w:eastAsia="MS Mincho" w:cs="Arial"/>
          <w:bCs/>
          <w:noProof w:val="0"/>
          <w:lang w:bidi="ar-SA"/>
        </w:rPr>
        <w:t>í přístup</w:t>
      </w:r>
      <w:r w:rsidRPr="00D14E4C">
        <w:rPr>
          <w:rFonts w:eastAsia="MS Mincho" w:cs="Arial"/>
          <w:bCs/>
          <w:noProof w:val="0"/>
          <w:lang w:bidi="ar-SA"/>
        </w:rPr>
        <w:t xml:space="preserve"> </w:t>
      </w:r>
      <w:r>
        <w:rPr>
          <w:rFonts w:eastAsia="MS Mincho" w:cs="Arial"/>
          <w:bCs/>
          <w:noProof w:val="0"/>
          <w:lang w:bidi="ar-SA"/>
        </w:rPr>
        <w:t xml:space="preserve">občanů </w:t>
      </w:r>
      <w:r w:rsidRPr="00D14E4C">
        <w:rPr>
          <w:rFonts w:eastAsia="MS Mincho" w:cs="Arial"/>
          <w:bCs/>
          <w:noProof w:val="0"/>
          <w:lang w:bidi="ar-SA"/>
        </w:rPr>
        <w:t xml:space="preserve">k informacím o místech ZO </w:t>
      </w:r>
      <w:r>
        <w:rPr>
          <w:rFonts w:eastAsia="MS Mincho" w:cs="Arial"/>
          <w:bCs/>
          <w:noProof w:val="0"/>
          <w:lang w:bidi="ar-SA"/>
        </w:rPr>
        <w:t xml:space="preserve">a </w:t>
      </w:r>
      <w:r w:rsidRPr="000B7CBF">
        <w:rPr>
          <w:rFonts w:eastAsia="MS Mincho" w:cs="Arial"/>
          <w:bCs/>
          <w:noProof w:val="0"/>
          <w:lang w:bidi="ar-SA"/>
        </w:rPr>
        <w:t>zle</w:t>
      </w:r>
      <w:r>
        <w:rPr>
          <w:rFonts w:eastAsia="MS Mincho" w:cs="Arial"/>
          <w:bCs/>
          <w:noProof w:val="0"/>
          <w:lang w:bidi="ar-SA"/>
        </w:rPr>
        <w:t>pší dostupnost míst ZO vybraných výrobků s ukončenou životností</w:t>
      </w:r>
      <w:r w:rsidR="00C559D2">
        <w:rPr>
          <w:rFonts w:eastAsia="MS Mincho" w:cs="Arial"/>
          <w:bCs/>
          <w:noProof w:val="0"/>
          <w:lang w:bidi="ar-SA"/>
        </w:rPr>
        <w:t xml:space="preserve"> i v </w:t>
      </w:r>
      <w:r w:rsidR="00C559D2">
        <w:rPr>
          <w:rFonts w:cs="Arial"/>
        </w:rPr>
        <w:t>menších městech a obcích</w:t>
      </w:r>
      <w:r>
        <w:rPr>
          <w:rFonts w:eastAsia="MS Mincho" w:cs="Arial"/>
          <w:bCs/>
          <w:noProof w:val="0"/>
          <w:lang w:bidi="ar-SA"/>
        </w:rPr>
        <w:t>.</w:t>
      </w:r>
    </w:p>
    <w:p w:rsidR="00C262B5" w:rsidP="00C262B5" w14:paraId="61AFEAD4" w14:textId="77777777">
      <w:pPr>
        <w:rPr>
          <w:rFonts w:cs="Cambria"/>
          <w:b/>
        </w:rPr>
      </w:pPr>
    </w:p>
    <w:p w:rsidR="00C262B5" w:rsidP="00C262B5" w14:paraId="2B63AD73" w14:textId="77777777">
      <w:pPr>
        <w:rPr>
          <w:rFonts w:cs="Cambria"/>
          <w:b/>
        </w:rPr>
      </w:pPr>
      <w:r>
        <w:rPr>
          <w:rFonts w:cs="Cambria"/>
          <w:b/>
        </w:rPr>
        <w:t>Dopady na spotřebitele</w:t>
      </w:r>
    </w:p>
    <w:p w:rsidR="00C262B5" w:rsidRPr="004E4805" w:rsidP="00C262B5" w14:paraId="2A01DDFC" w14:textId="77777777">
      <w:pPr>
        <w:rPr>
          <w:rFonts w:eastAsia="MS Mincho" w:cs="Arial"/>
          <w:bCs/>
          <w:noProof w:val="0"/>
          <w:lang w:bidi="ar-SA"/>
        </w:rPr>
      </w:pPr>
      <w:r>
        <w:rPr>
          <w:rFonts w:eastAsia="MS Mincho" w:cs="Arial"/>
          <w:bCs/>
          <w:noProof w:val="0"/>
          <w:lang w:bidi="ar-SA"/>
        </w:rPr>
        <w:t>M</w:t>
      </w:r>
      <w:r w:rsidRPr="008077AD">
        <w:rPr>
          <w:rFonts w:eastAsia="MS Mincho" w:cs="Arial"/>
          <w:bCs/>
          <w:noProof w:val="0"/>
          <w:lang w:bidi="ar-SA"/>
        </w:rPr>
        <w:t xml:space="preserve">ožnost mírného zvýšení recyklačního poplatku v důsledku nutnosti vyšších investic </w:t>
      </w:r>
      <w:r w:rsidRPr="0063093E">
        <w:rPr>
          <w:rFonts w:eastAsia="MS Mincho" w:cs="Arial"/>
          <w:bCs/>
          <w:noProof w:val="0"/>
          <w:lang w:bidi="ar-SA"/>
        </w:rPr>
        <w:t xml:space="preserve">KS </w:t>
      </w:r>
      <w:r w:rsidRPr="008077AD">
        <w:rPr>
          <w:rFonts w:eastAsia="MS Mincho" w:cs="Arial"/>
          <w:bCs/>
          <w:noProof w:val="0"/>
          <w:lang w:bidi="ar-SA"/>
        </w:rPr>
        <w:t>do propagace a osvěty.</w:t>
      </w:r>
      <w:r>
        <w:rPr>
          <w:rFonts w:eastAsia="MS Mincho" w:cs="Arial"/>
          <w:bCs/>
          <w:noProof w:val="0"/>
          <w:lang w:bidi="ar-SA"/>
        </w:rPr>
        <w:t xml:space="preserve"> Dále l</w:t>
      </w:r>
      <w:r w:rsidRPr="00F004DF">
        <w:t>ze očekávat, že doje ke zdražení výrobků, které budou v rámci ekomodulace vyhodnoceny jako environmentálně málo šetrné. Oproti tomu ceny environmentálně šetrných výrobků by měly zůstat nedotčeny</w:t>
      </w:r>
      <w:r>
        <w:t>, příp. by mohlo dojít ke snížení cen.</w:t>
      </w:r>
    </w:p>
    <w:p w:rsidR="00C262B5" w:rsidP="00FB7994" w14:paraId="24ADD1C8" w14:textId="77777777">
      <w:pPr>
        <w:keepNext/>
        <w:rPr>
          <w:rFonts w:eastAsia="MS Mincho" w:cs="Arial"/>
          <w:bCs/>
          <w:noProof w:val="0"/>
          <w:lang w:bidi="ar-SA"/>
        </w:rPr>
      </w:pPr>
      <w:r>
        <w:rPr>
          <w:rFonts w:eastAsia="MS Mincho" w:cs="Arial"/>
          <w:bCs/>
          <w:noProof w:val="0"/>
          <w:lang w:bidi="ar-SA"/>
        </w:rPr>
        <w:t>Zvýšení</w:t>
      </w:r>
      <w:r w:rsidRPr="008015F4">
        <w:rPr>
          <w:rFonts w:eastAsia="MS Mincho" w:cs="Arial"/>
          <w:bCs/>
          <w:noProof w:val="0"/>
          <w:lang w:bidi="ar-SA"/>
        </w:rPr>
        <w:t xml:space="preserve"> </w:t>
      </w:r>
      <w:r>
        <w:rPr>
          <w:rFonts w:eastAsia="MS Mincho" w:cs="Arial"/>
          <w:bCs/>
          <w:noProof w:val="0"/>
          <w:lang w:bidi="ar-SA"/>
        </w:rPr>
        <w:t>ochrany</w:t>
      </w:r>
      <w:r w:rsidRPr="008015F4">
        <w:rPr>
          <w:rFonts w:eastAsia="MS Mincho" w:cs="Arial"/>
          <w:bCs/>
          <w:noProof w:val="0"/>
          <w:lang w:bidi="ar-SA"/>
        </w:rPr>
        <w:t xml:space="preserve"> spotřebitele rozšířením kompetencí ČOI</w:t>
      </w:r>
      <w:r>
        <w:rPr>
          <w:rFonts w:eastAsia="MS Mincho" w:cs="Arial"/>
          <w:bCs/>
          <w:noProof w:val="0"/>
          <w:lang w:bidi="ar-SA"/>
        </w:rPr>
        <w:t xml:space="preserve"> </w:t>
      </w:r>
      <w:r>
        <w:rPr>
          <w:rFonts w:cs="Arial"/>
        </w:rPr>
        <w:t>v oblasti kontroly vybraných výrobků a zajištění jejich ZO</w:t>
      </w:r>
      <w:r w:rsidRPr="008015F4">
        <w:rPr>
          <w:rFonts w:eastAsia="MS Mincho" w:cs="Arial"/>
          <w:bCs/>
          <w:noProof w:val="0"/>
          <w:lang w:bidi="ar-SA"/>
        </w:rPr>
        <w:t>.</w:t>
      </w:r>
    </w:p>
    <w:p w:rsidR="00C262B5" w:rsidP="00C262B5" w14:paraId="3B55B934" w14:textId="77777777">
      <w:pPr>
        <w:keepNext/>
        <w:spacing w:line="240" w:lineRule="auto"/>
        <w:rPr>
          <w:rFonts w:cs="Cambria"/>
          <w:b/>
        </w:rPr>
      </w:pPr>
    </w:p>
    <w:p w:rsidR="00C262B5" w:rsidP="00C262B5" w14:paraId="62AEC7AC" w14:textId="77777777">
      <w:pPr>
        <w:spacing w:line="240" w:lineRule="auto"/>
        <w:rPr>
          <w:rFonts w:cs="Cambria"/>
          <w:b/>
        </w:rPr>
      </w:pPr>
      <w:r w:rsidRPr="004C5446">
        <w:rPr>
          <w:b/>
        </w:rPr>
        <w:t>Dopady na životní prostředí</w:t>
      </w:r>
    </w:p>
    <w:p w:rsidR="00C262B5" w:rsidP="00C262B5" w14:paraId="662EEBC5" w14:textId="05EC4A69">
      <w:pPr>
        <w:tabs>
          <w:tab w:val="left" w:pos="1037"/>
        </w:tabs>
        <w:spacing w:after="120"/>
        <w:rPr>
          <w:rFonts w:eastAsia="MS Mincho" w:cs="Arial"/>
          <w:bCs/>
          <w:noProof w:val="0"/>
          <w:lang w:bidi="ar-SA"/>
        </w:rPr>
      </w:pPr>
      <w:r>
        <w:rPr>
          <w:rFonts w:eastAsia="MS Mincho" w:cs="Arial"/>
          <w:bCs/>
          <w:noProof w:val="0"/>
          <w:lang w:bidi="ar-SA"/>
        </w:rPr>
        <w:t xml:space="preserve">Navrhovaná právní úprava bude mít pozitivní dopady na životní prostředí v podobě </w:t>
      </w:r>
      <w:r w:rsidRPr="00401AF6">
        <w:rPr>
          <w:rFonts w:eastAsia="MS Mincho" w:cs="Arial"/>
          <w:bCs/>
          <w:noProof w:val="0"/>
          <w:lang w:bidi="ar-SA"/>
        </w:rPr>
        <w:t xml:space="preserve">snížení rizika </w:t>
      </w:r>
      <w:r w:rsidRPr="00730308">
        <w:rPr>
          <w:rFonts w:eastAsia="MS Mincho" w:cs="Arial"/>
          <w:bCs/>
          <w:noProof w:val="0"/>
          <w:lang w:bidi="ar-SA"/>
        </w:rPr>
        <w:t xml:space="preserve">úniku </w:t>
      </w:r>
      <w:r>
        <w:rPr>
          <w:rFonts w:eastAsia="MS Mincho" w:cs="Arial"/>
          <w:bCs/>
          <w:noProof w:val="0"/>
          <w:lang w:bidi="ar-SA"/>
        </w:rPr>
        <w:t>(kontaminace)</w:t>
      </w:r>
      <w:r w:rsidRPr="00730308">
        <w:rPr>
          <w:rFonts w:eastAsia="MS Mincho" w:cs="Arial"/>
          <w:bCs/>
          <w:noProof w:val="0"/>
          <w:lang w:bidi="ar-SA"/>
        </w:rPr>
        <w:t xml:space="preserve"> nebezpečných látek obsažených </w:t>
      </w:r>
      <w:r>
        <w:rPr>
          <w:rFonts w:eastAsia="MS Mincho" w:cs="Arial"/>
          <w:bCs/>
          <w:noProof w:val="0"/>
          <w:lang w:bidi="ar-SA"/>
        </w:rPr>
        <w:t xml:space="preserve">ve vybraných </w:t>
      </w:r>
      <w:r w:rsidR="00DC6D94">
        <w:rPr>
          <w:rFonts w:eastAsia="MS Mincho" w:cs="Arial"/>
          <w:bCs/>
          <w:noProof w:val="0"/>
          <w:lang w:bidi="ar-SA"/>
        </w:rPr>
        <w:t>VUŽ</w:t>
      </w:r>
      <w:r>
        <w:rPr>
          <w:rFonts w:eastAsia="MS Mincho" w:cs="Arial"/>
          <w:bCs/>
          <w:noProof w:val="0"/>
          <w:lang w:bidi="ar-SA"/>
        </w:rPr>
        <w:t xml:space="preserve"> do </w:t>
      </w:r>
      <w:r w:rsidR="00DC6D94">
        <w:rPr>
          <w:rFonts w:eastAsia="MS Mincho" w:cs="Arial"/>
          <w:bCs/>
          <w:noProof w:val="0"/>
          <w:lang w:bidi="ar-SA"/>
        </w:rPr>
        <w:t>životního prostředí</w:t>
      </w:r>
      <w:r>
        <w:rPr>
          <w:rFonts w:eastAsia="MS Mincho" w:cs="Arial"/>
          <w:bCs/>
          <w:noProof w:val="0"/>
          <w:lang w:bidi="ar-SA"/>
        </w:rPr>
        <w:t xml:space="preserve"> a</w:t>
      </w:r>
      <w:r w:rsidRPr="00730308">
        <w:rPr>
          <w:rFonts w:eastAsia="MS Mincho" w:cs="Arial"/>
          <w:bCs/>
          <w:noProof w:val="0"/>
          <w:lang w:bidi="ar-SA"/>
        </w:rPr>
        <w:t xml:space="preserve"> zamezení vzniku případné ekologické zátěže</w:t>
      </w:r>
      <w:r>
        <w:rPr>
          <w:rFonts w:eastAsia="MS Mincho" w:cs="Arial"/>
          <w:bCs/>
          <w:noProof w:val="0"/>
          <w:lang w:bidi="ar-SA"/>
        </w:rPr>
        <w:t>. Vhodnou recyklací vybraných výrobků s ukončenou životností dále dojde k</w:t>
      </w:r>
      <w:r w:rsidRPr="00150A0D">
        <w:rPr>
          <w:rFonts w:eastAsia="MS Mincho" w:cs="Arial"/>
          <w:bCs/>
          <w:noProof w:val="0"/>
          <w:lang w:bidi="ar-SA"/>
        </w:rPr>
        <w:t xml:space="preserve"> </w:t>
      </w:r>
      <w:r>
        <w:rPr>
          <w:rFonts w:eastAsia="MS Mincho" w:cs="Arial"/>
          <w:bCs/>
          <w:noProof w:val="0"/>
          <w:lang w:bidi="ar-SA"/>
        </w:rPr>
        <w:t>úspoře materiálů i energií.</w:t>
      </w:r>
    </w:p>
    <w:p w:rsidR="00C262B5" w:rsidP="00C262B5" w14:paraId="3117E00D" w14:textId="77777777">
      <w:pPr>
        <w:tabs>
          <w:tab w:val="left" w:pos="1037"/>
        </w:tabs>
        <w:spacing w:after="120"/>
      </w:pPr>
      <w:r>
        <w:t>Pozitivní dopady na životní prostřdí lze spatřovat také v z</w:t>
      </w:r>
      <w:r w:rsidRPr="00F004DF">
        <w:t>avedení ekomodulace jako zcela nového environmentálně-ekonomického nástroje</w:t>
      </w:r>
      <w:r>
        <w:t>.</w:t>
      </w:r>
      <w:r w:rsidRPr="00F004DF">
        <w:t xml:space="preserve"> Stanovení rozdílné </w:t>
      </w:r>
      <w:r>
        <w:t xml:space="preserve">(vyšší) </w:t>
      </w:r>
      <w:r w:rsidRPr="00F004DF">
        <w:t xml:space="preserve">úrovně příspěvků za sdružené plnění </w:t>
      </w:r>
      <w:r>
        <w:t xml:space="preserve">u </w:t>
      </w:r>
      <w:r w:rsidRPr="00F004DF">
        <w:t xml:space="preserve">výrobků, které budou v rámci ekomodulace vyhodnoceny jako environmentálně málo šetrné povede k motivaci výrobců používat environmentálně šetrnější řešení. </w:t>
      </w:r>
      <w:r>
        <w:t>Očekáváme, že tím d</w:t>
      </w:r>
      <w:r w:rsidRPr="00F004DF">
        <w:t>ojde ke zvýšení recyklace a sníží se skládkování a energetické využití odpadů vznikajících při zpracování zpětně odebraných výrobků.</w:t>
      </w:r>
      <w:r w:rsidRPr="005A730D">
        <w:t xml:space="preserve"> </w:t>
      </w:r>
      <w:r w:rsidRPr="00F004DF">
        <w:t>Pokud budou povinné osoby i nadále uvádět na trh výrobky, které budou ekomodulací znevýhodněny, projeví se toto znevýhodnění do ceny výrobků. Spotřebitel pak bude ekonomicky motivován k volbě environmentálně šetrnějších výrobků, neboť výrobky zatížené ekomodulací budou dražší.</w:t>
      </w:r>
    </w:p>
    <w:p w:rsidR="00C262B5" w:rsidP="00C262B5" w14:paraId="7899EFA4" w14:textId="77777777">
      <w:pPr>
        <w:tabs>
          <w:tab w:val="left" w:pos="1037"/>
        </w:tabs>
        <w:spacing w:after="120"/>
      </w:pPr>
    </w:p>
    <w:p w:rsidR="00C262B5" w:rsidP="00C262B5" w14:paraId="7BFB1362" w14:textId="77777777">
      <w:pPr>
        <w:keepNext/>
        <w:rPr>
          <w:rFonts w:cs="Cambria"/>
          <w:b/>
        </w:rPr>
      </w:pPr>
      <w:r w:rsidRPr="00E06E10">
        <w:rPr>
          <w:rFonts w:cs="Cambria"/>
          <w:b/>
        </w:rPr>
        <w:t xml:space="preserve">Dopady ve vztahu k zákazu diskriminace a </w:t>
      </w:r>
      <w:r>
        <w:rPr>
          <w:rFonts w:cs="Cambria"/>
          <w:b/>
        </w:rPr>
        <w:t>ve vztahu k rovnosti žen a mužů</w:t>
      </w:r>
    </w:p>
    <w:p w:rsidR="00C262B5" w:rsidRPr="00536150" w:rsidP="00C262B5" w14:paraId="6A238D70" w14:textId="77777777">
      <w:pPr>
        <w:rPr>
          <w:rFonts w:cs="Cambria"/>
          <w:b/>
        </w:rPr>
      </w:pPr>
      <w:r>
        <w:t>Návrh zákona</w:t>
      </w:r>
      <w:r w:rsidRPr="00536150">
        <w:t xml:space="preserve"> v oblasti </w:t>
      </w:r>
      <w:r>
        <w:t>vybraných výrobků s ukončenou životností</w:t>
      </w:r>
      <w:r w:rsidRPr="00536150">
        <w:t xml:space="preserve"> neupravuje vztahy, které by se dotýkaly zákazu diskriminace (ve smyslu antidiskriminačního zákona jde o nerovné zacházení či znevýhodnění některé osoby z důvodu rasy, etnického původu, národnosti, pohlaví, sexuální orientace, věku, zdravotního postižení, náboženského vyznání, víry či světového názoru). Takové vztahy neupravuje ani navrhovaná právní úprava, proto lze konstatovat, že navrhované řešení nemá žádné dopady ve vztahu k zákazu diskriminace, včetně rovného postavení mužů a</w:t>
      </w:r>
      <w:r>
        <w:t> </w:t>
      </w:r>
      <w:r w:rsidRPr="00536150">
        <w:t>žen.</w:t>
      </w:r>
    </w:p>
    <w:p w:rsidR="00C262B5" w:rsidP="00C262B5" w14:paraId="70F5DED2" w14:textId="77777777">
      <w:pPr>
        <w:spacing w:line="240" w:lineRule="auto"/>
        <w:rPr>
          <w:rFonts w:cs="Cambria"/>
          <w:b/>
        </w:rPr>
      </w:pPr>
    </w:p>
    <w:p w:rsidR="00C262B5" w:rsidRPr="00E06E10" w:rsidP="00C262B5" w14:paraId="23721607" w14:textId="77777777">
      <w:pPr>
        <w:spacing w:line="240" w:lineRule="auto"/>
        <w:rPr>
          <w:rFonts w:cs="Cambria"/>
          <w:b/>
        </w:rPr>
      </w:pPr>
      <w:r w:rsidRPr="00E06E10">
        <w:rPr>
          <w:rFonts w:cs="Cambria"/>
          <w:b/>
        </w:rPr>
        <w:t>Dopady na výkon státní statistické služby</w:t>
      </w:r>
    </w:p>
    <w:p w:rsidR="00C262B5" w:rsidP="00C262B5" w14:paraId="6AC3C835" w14:textId="77777777">
      <w:r>
        <w:t>Návrh z</w:t>
      </w:r>
      <w:r w:rsidRPr="008015F4">
        <w:t>ákon</w:t>
      </w:r>
      <w:r>
        <w:t>a</w:t>
      </w:r>
      <w:r w:rsidRPr="008015F4">
        <w:t xml:space="preserve"> nemá dopady na výkon státní statistické služby, nezakládá  oprávnění vytvářet a provozovat nové administrativní zdroje dat či měnit stávající, které jsou potencionálně využitelné pro potřeby  státní statistické služby.</w:t>
      </w:r>
    </w:p>
    <w:p w:rsidR="00C262B5" w:rsidP="00C262B5" w14:paraId="73E485E6" w14:textId="77777777">
      <w:pPr>
        <w:spacing w:line="240" w:lineRule="auto"/>
        <w:rPr>
          <w:rFonts w:cs="Cambria"/>
          <w:b/>
        </w:rPr>
      </w:pPr>
    </w:p>
    <w:p w:rsidR="00C262B5" w:rsidRPr="00E06E10" w:rsidP="00C262B5" w14:paraId="20F1B0EF" w14:textId="77777777">
      <w:pPr>
        <w:keepNext/>
        <w:spacing w:line="240" w:lineRule="auto"/>
        <w:rPr>
          <w:rFonts w:cs="Cambria"/>
          <w:b/>
        </w:rPr>
      </w:pPr>
      <w:r w:rsidRPr="00E06E10">
        <w:rPr>
          <w:rFonts w:cs="Cambria"/>
          <w:b/>
        </w:rPr>
        <w:t>Korupční rizika</w:t>
      </w:r>
    </w:p>
    <w:p w:rsidR="00C262B5" w:rsidP="00C262B5" w14:paraId="731D7559" w14:textId="0E39F7B7">
      <w:r w:rsidRPr="00F004DF">
        <w:t xml:space="preserve">Určité riziko lze spatřovat v důsledku zavedení ekomodulace jako zcela nového environmentálně-ekonomického nástroje. Zde lze předpokládat existenci určitého rizika ovlivňování </w:t>
      </w:r>
      <w:r>
        <w:t>KS</w:t>
      </w:r>
      <w:r w:rsidRPr="00F004DF">
        <w:t xml:space="preserve"> při určování skupin výrobků, které mají být v rámci ekomodulace zvýhodňovány či naopak nezvýhodňovány, a to v rámci sazebníků příspěvků za</w:t>
      </w:r>
      <w:r>
        <w:t> </w:t>
      </w:r>
      <w:r w:rsidRPr="00F004DF">
        <w:t>služby kolektivního plnění. Evropská komise by měla k této problematice teprve v budoucnu vydat informační materiály, jakým způsobem by měla být ekomodulace v praxi realizována. Vhledem k tomu, že směrnice o odpadech stanovuje ekomodulaci jako povinnost pro výrobce, resp. systémy rozšířené odpovědnosti výrobců, nejsou tato potenciální korupční rizika na straně státní správy, ale na</w:t>
      </w:r>
      <w:r w:rsidR="00CC0BB4">
        <w:t> </w:t>
      </w:r>
      <w:r w:rsidRPr="00F004DF">
        <w:t xml:space="preserve">straně </w:t>
      </w:r>
      <w:r>
        <w:t>KS</w:t>
      </w:r>
      <w:r w:rsidRPr="00F004DF">
        <w:t>. Ministerstvo by v této souvislosti mělo být v</w:t>
      </w:r>
      <w:r>
        <w:t> </w:t>
      </w:r>
      <w:r w:rsidRPr="00F004DF">
        <w:t>pozici dozorového orgánu, a to s</w:t>
      </w:r>
      <w:r w:rsidR="00CC0BB4">
        <w:t> </w:t>
      </w:r>
      <w:r w:rsidRPr="00F004DF">
        <w:t xml:space="preserve">ohledem na kompetenci kontrolovat činnost </w:t>
      </w:r>
      <w:r>
        <w:t>KS</w:t>
      </w:r>
      <w:r w:rsidRPr="00F004DF">
        <w:t>.</w:t>
      </w:r>
    </w:p>
    <w:p w:rsidR="00C262B5" w:rsidP="00C262B5" w14:paraId="4C2BBDD5" w14:textId="77777777">
      <w:pPr>
        <w:spacing w:line="240" w:lineRule="auto"/>
        <w:rPr>
          <w:rFonts w:cs="Cambria"/>
          <w:b/>
        </w:rPr>
      </w:pPr>
    </w:p>
    <w:p w:rsidR="00C262B5" w:rsidP="00C262B5" w14:paraId="451E80CD" w14:textId="77777777">
      <w:pPr>
        <w:spacing w:line="240" w:lineRule="auto"/>
        <w:rPr>
          <w:rFonts w:cs="Cambria"/>
          <w:b/>
        </w:rPr>
      </w:pPr>
      <w:r w:rsidRPr="00E06E10">
        <w:rPr>
          <w:rFonts w:cs="Cambria"/>
          <w:b/>
        </w:rPr>
        <w:t>Dopady na bezpečnost nebo obranu státu</w:t>
      </w:r>
    </w:p>
    <w:p w:rsidR="00C262B5" w:rsidRPr="00B10713" w:rsidP="00C262B5" w14:paraId="3E400BF1" w14:textId="77777777">
      <w:r w:rsidRPr="00B10713">
        <w:t xml:space="preserve">Návrh zákona v oblasti vybraných výrobků s ukončenou životností neupravuje vztahy, které by </w:t>
      </w:r>
      <w:r>
        <w:t xml:space="preserve">měly dopad na bezpečnost nebo obranu státu. </w:t>
      </w:r>
    </w:p>
    <w:p w:rsidR="00626BB4" w:rsidP="00C262B5" w14:paraId="6E9C9D6C" w14:textId="77777777">
      <w:pPr>
        <w:rPr>
          <w:b/>
          <w:bCs/>
          <w:noProof w:val="0"/>
          <w:lang w:eastAsia="cs-CZ" w:bidi="ar-SA"/>
        </w:rPr>
      </w:pPr>
    </w:p>
    <w:p w:rsidR="00C262B5" w:rsidP="00D73208" w14:paraId="1FF6D4FB" w14:textId="7BC3FE1F">
      <w:pPr>
        <w:pBdr>
          <w:top w:val="single" w:sz="4" w:space="7" w:color="auto"/>
          <w:left w:val="single" w:sz="4" w:space="4" w:color="auto"/>
          <w:bottom w:val="single" w:sz="4" w:space="1" w:color="auto"/>
          <w:right w:val="single" w:sz="4" w:space="4" w:color="auto"/>
        </w:pBdr>
        <w:rPr>
          <w:rFonts w:cs="Arial"/>
        </w:rPr>
      </w:pPr>
      <w:r w:rsidRPr="007E50BD">
        <w:rPr>
          <w:b/>
          <w:bCs/>
          <w:noProof w:val="0"/>
          <w:lang w:eastAsia="cs-CZ" w:bidi="ar-SA"/>
        </w:rPr>
        <w:t>Všechny náklady, které s sebou aplikace nového zákona přinese, budou kryty v rámci stávajících schválených prostředků a nebudou vznášeny dodatečné požadavky nad</w:t>
      </w:r>
      <w:r w:rsidR="00D73208">
        <w:rPr>
          <w:b/>
          <w:bCs/>
          <w:noProof w:val="0"/>
          <w:lang w:eastAsia="cs-CZ" w:bidi="ar-SA"/>
        </w:rPr>
        <w:t> </w:t>
      </w:r>
      <w:r w:rsidRPr="007E50BD">
        <w:rPr>
          <w:b/>
          <w:bCs/>
          <w:noProof w:val="0"/>
          <w:lang w:eastAsia="cs-CZ" w:bidi="ar-SA"/>
        </w:rPr>
        <w:t>rámec schváleného státního rozpočtu a střednědobého rozpočtového výhledu.</w:t>
      </w:r>
    </w:p>
    <w:p w:rsidR="00C262B5" w:rsidP="00D73208" w14:paraId="5B5575ED" w14:textId="77777777">
      <w:pPr>
        <w:pBdr>
          <w:top w:val="single" w:sz="4" w:space="7" w:color="auto"/>
          <w:left w:val="single" w:sz="4" w:space="4" w:color="auto"/>
          <w:bottom w:val="single" w:sz="4" w:space="1" w:color="auto"/>
          <w:right w:val="single" w:sz="4" w:space="4" w:color="auto"/>
        </w:pBdr>
        <w:tabs>
          <w:tab w:val="left" w:pos="1037"/>
        </w:tabs>
        <w:spacing w:after="120"/>
        <w:rPr>
          <w:b/>
          <w:bCs/>
          <w:noProof w:val="0"/>
          <w:lang w:eastAsia="cs-CZ" w:bidi="ar-SA"/>
        </w:rPr>
      </w:pPr>
      <w:r w:rsidRPr="00233901">
        <w:rPr>
          <w:b/>
          <w:bCs/>
          <w:noProof w:val="0"/>
          <w:lang w:eastAsia="cs-CZ" w:bidi="ar-SA"/>
        </w:rPr>
        <w:t>Veškeré dopady do platové oblasti a úpravy systemizovaných míst v kapitolách MŽP a MPO budou zajištěny v rámci dosavadních limitů objemu prostředků na platy a personálních kapacit dotčených kapitol, tzn. s neutrálním rozpočtovým dopadem v platové oblasti.</w:t>
      </w:r>
    </w:p>
    <w:p w:rsidR="00324860" w:rsidRPr="00ED38E9" w:rsidP="007A2E3D" w14:paraId="3E52801D" w14:textId="287D5029">
      <w:pPr>
        <w:pStyle w:val="Heading1"/>
      </w:pPr>
      <w:bookmarkStart w:id="278" w:name="_Toc14942104"/>
      <w:bookmarkStart w:id="279" w:name="_Toc256000030"/>
      <w:r w:rsidRPr="00ED38E9">
        <w:t>Implementace doporučené varianty a vynucování</w:t>
      </w:r>
      <w:bookmarkEnd w:id="279"/>
      <w:bookmarkEnd w:id="277"/>
      <w:bookmarkEnd w:id="278"/>
    </w:p>
    <w:p w:rsidR="00ED179C" w14:paraId="7E09C002" w14:textId="77777777">
      <w:pPr>
        <w:spacing w:before="100" w:beforeAutospacing="1" w:after="120"/>
        <w:rPr>
          <w:rFonts w:cs="Arial"/>
          <w:b/>
          <w:noProof w:val="0"/>
        </w:rPr>
      </w:pPr>
      <w:r w:rsidRPr="00ED38E9">
        <w:rPr>
          <w:rFonts w:cs="Arial"/>
          <w:b/>
          <w:noProof w:val="0"/>
        </w:rPr>
        <w:t>Elektrická a elektronická zařízení</w:t>
      </w:r>
    </w:p>
    <w:p w:rsidR="00DF0251" w:rsidRPr="00ED38E9" w:rsidP="000E719F" w14:paraId="57180702" w14:textId="4C4A9E26">
      <w:pPr>
        <w:rPr>
          <w:rFonts w:eastAsia="Calibri" w:cs="Arial"/>
          <w:noProof w:val="0"/>
          <w:szCs w:val="22"/>
          <w:lang w:bidi="ar-SA"/>
        </w:rPr>
      </w:pPr>
      <w:r w:rsidRPr="00ED38E9">
        <w:rPr>
          <w:rFonts w:eastAsia="Calibri" w:cs="Arial"/>
          <w:noProof w:val="0"/>
          <w:szCs w:val="22"/>
          <w:lang w:bidi="ar-SA"/>
        </w:rPr>
        <w:t xml:space="preserve">Důležitým faktorem pro úspěšnou implementaci navrhovaných variant, jež by měla pomoci naplnění hlavního cíle, jímž je splnění evropských </w:t>
      </w:r>
      <w:r w:rsidR="0006792F">
        <w:rPr>
          <w:rFonts w:eastAsia="Calibri" w:cs="Arial"/>
          <w:noProof w:val="0"/>
          <w:szCs w:val="22"/>
          <w:lang w:bidi="ar-SA"/>
        </w:rPr>
        <w:t>cílů</w:t>
      </w:r>
      <w:r w:rsidRPr="00ED38E9" w:rsidR="0006792F">
        <w:rPr>
          <w:rFonts w:eastAsia="Calibri" w:cs="Arial"/>
          <w:noProof w:val="0"/>
          <w:szCs w:val="22"/>
          <w:lang w:bidi="ar-SA"/>
        </w:rPr>
        <w:t xml:space="preserve"> </w:t>
      </w:r>
      <w:r w:rsidRPr="00ED38E9">
        <w:rPr>
          <w:rFonts w:eastAsia="Calibri" w:cs="Arial"/>
          <w:noProof w:val="0"/>
          <w:szCs w:val="22"/>
          <w:lang w:bidi="ar-SA"/>
        </w:rPr>
        <w:t>v míře zpětného odběru, je efektivní a</w:t>
      </w:r>
      <w:r w:rsidRPr="00ED38E9" w:rsidR="004425E5">
        <w:rPr>
          <w:rFonts w:eastAsia="Calibri" w:cs="Arial"/>
          <w:noProof w:val="0"/>
          <w:szCs w:val="22"/>
          <w:lang w:bidi="ar-SA"/>
        </w:rPr>
        <w:t> </w:t>
      </w:r>
      <w:r w:rsidRPr="00ED38E9">
        <w:rPr>
          <w:rFonts w:eastAsia="Calibri" w:cs="Arial"/>
          <w:noProof w:val="0"/>
          <w:szCs w:val="22"/>
          <w:lang w:bidi="ar-SA"/>
        </w:rPr>
        <w:t xml:space="preserve">kvalitní výkon kontroly ze </w:t>
      </w:r>
      <w:r w:rsidR="0006792F">
        <w:rPr>
          <w:rFonts w:eastAsia="Calibri" w:cs="Arial"/>
          <w:noProof w:val="0"/>
          <w:szCs w:val="22"/>
          <w:lang w:bidi="ar-SA"/>
        </w:rPr>
        <w:t xml:space="preserve">strany </w:t>
      </w:r>
      <w:r w:rsidRPr="00ED38E9">
        <w:rPr>
          <w:rFonts w:eastAsia="Calibri" w:cs="Arial"/>
          <w:noProof w:val="0"/>
          <w:szCs w:val="22"/>
          <w:lang w:bidi="ar-SA"/>
        </w:rPr>
        <w:t>státní správy (především MŽP). Zlepšení stávajícího kontrolního systému státní správy může představovat dodatečné náklady pro státní správu. Na</w:t>
      </w:r>
      <w:r w:rsidR="00732746">
        <w:rPr>
          <w:rFonts w:eastAsia="Calibri" w:cs="Arial"/>
          <w:noProof w:val="0"/>
          <w:szCs w:val="22"/>
          <w:lang w:bidi="ar-SA"/>
        </w:rPr>
        <w:t> </w:t>
      </w:r>
      <w:r w:rsidRPr="00ED38E9">
        <w:rPr>
          <w:rFonts w:eastAsia="Calibri" w:cs="Arial"/>
          <w:noProof w:val="0"/>
          <w:szCs w:val="22"/>
          <w:lang w:bidi="ar-SA"/>
        </w:rPr>
        <w:t>druhou stranu náklady vynaložené na efektivní kontrolní orgán budou více než převýšeny přímými i</w:t>
      </w:r>
      <w:r w:rsidRPr="00ED38E9" w:rsidR="004425E5">
        <w:rPr>
          <w:rFonts w:eastAsia="Calibri" w:cs="Arial"/>
          <w:noProof w:val="0"/>
          <w:szCs w:val="22"/>
          <w:lang w:bidi="ar-SA"/>
        </w:rPr>
        <w:t> </w:t>
      </w:r>
      <w:r w:rsidRPr="00ED38E9">
        <w:rPr>
          <w:rFonts w:eastAsia="Calibri" w:cs="Arial"/>
          <w:noProof w:val="0"/>
          <w:szCs w:val="22"/>
          <w:lang w:bidi="ar-SA"/>
        </w:rPr>
        <w:t>nepřímými příjmy vycházející</w:t>
      </w:r>
      <w:r w:rsidRPr="00ED38E9" w:rsidR="00F05FC7">
        <w:rPr>
          <w:rFonts w:eastAsia="Calibri" w:cs="Arial"/>
          <w:noProof w:val="0"/>
          <w:szCs w:val="22"/>
          <w:lang w:bidi="ar-SA"/>
        </w:rPr>
        <w:t>mi</w:t>
      </w:r>
      <w:r w:rsidRPr="00ED38E9">
        <w:rPr>
          <w:rFonts w:eastAsia="Calibri" w:cs="Arial"/>
          <w:noProof w:val="0"/>
          <w:szCs w:val="22"/>
          <w:lang w:bidi="ar-SA"/>
        </w:rPr>
        <w:t xml:space="preserve"> z pozitivního efektu na </w:t>
      </w:r>
      <w:r w:rsidR="00B6736D">
        <w:rPr>
          <w:rFonts w:eastAsia="Calibri" w:cs="Arial"/>
          <w:noProof w:val="0"/>
          <w:szCs w:val="22"/>
          <w:lang w:bidi="ar-SA"/>
        </w:rPr>
        <w:t>dosažení</w:t>
      </w:r>
      <w:r w:rsidRPr="00ED38E9" w:rsidR="00B6736D">
        <w:rPr>
          <w:rFonts w:eastAsia="Calibri" w:cs="Arial"/>
          <w:noProof w:val="0"/>
          <w:szCs w:val="22"/>
          <w:lang w:bidi="ar-SA"/>
        </w:rPr>
        <w:t xml:space="preserve"> </w:t>
      </w:r>
      <w:r w:rsidRPr="00ED38E9">
        <w:rPr>
          <w:rFonts w:eastAsia="Calibri" w:cs="Arial"/>
          <w:noProof w:val="0"/>
          <w:szCs w:val="22"/>
          <w:lang w:bidi="ar-SA"/>
        </w:rPr>
        <w:t>míry</w:t>
      </w:r>
      <w:r w:rsidRPr="00ED38E9" w:rsidR="009C65A0">
        <w:rPr>
          <w:rFonts w:eastAsia="Calibri" w:cs="Arial"/>
          <w:noProof w:val="0"/>
          <w:szCs w:val="22"/>
          <w:lang w:bidi="ar-SA"/>
        </w:rPr>
        <w:t xml:space="preserve"> </w:t>
      </w:r>
      <w:r w:rsidRPr="00ED38E9">
        <w:rPr>
          <w:rFonts w:eastAsia="Calibri" w:cs="Arial"/>
          <w:noProof w:val="0"/>
          <w:szCs w:val="22"/>
          <w:lang w:bidi="ar-SA"/>
        </w:rPr>
        <w:t xml:space="preserve">zpětného </w:t>
      </w:r>
      <w:r w:rsidRPr="00ED38E9" w:rsidR="009C65A0">
        <w:rPr>
          <w:rFonts w:eastAsia="Calibri" w:cs="Arial"/>
          <w:noProof w:val="0"/>
          <w:szCs w:val="22"/>
          <w:lang w:bidi="ar-SA"/>
        </w:rPr>
        <w:t>od</w:t>
      </w:r>
      <w:r w:rsidRPr="00ED38E9">
        <w:rPr>
          <w:rFonts w:eastAsia="Calibri" w:cs="Arial"/>
          <w:noProof w:val="0"/>
          <w:szCs w:val="22"/>
          <w:lang w:bidi="ar-SA"/>
        </w:rPr>
        <w:t>běru.</w:t>
      </w:r>
    </w:p>
    <w:p w:rsidR="00DF0251" w:rsidRPr="00ED38E9" w:rsidP="000E719F" w14:paraId="4FD1C259" w14:textId="77777777">
      <w:pPr>
        <w:rPr>
          <w:rFonts w:eastAsia="Calibri" w:cs="Arial"/>
          <w:noProof w:val="0"/>
          <w:szCs w:val="22"/>
          <w:lang w:bidi="ar-SA"/>
        </w:rPr>
      </w:pPr>
      <w:r w:rsidRPr="00ED38E9">
        <w:rPr>
          <w:rFonts w:eastAsia="Calibri" w:cs="Arial"/>
          <w:noProof w:val="0"/>
          <w:szCs w:val="22"/>
          <w:lang w:bidi="ar-SA"/>
        </w:rPr>
        <w:t xml:space="preserve">Implementaci variant by mělo mít na starosti </w:t>
      </w:r>
      <w:r w:rsidRPr="00ED38E9" w:rsidR="00A56310">
        <w:rPr>
          <w:rFonts w:eastAsia="Calibri" w:cs="Arial"/>
          <w:noProof w:val="0"/>
          <w:szCs w:val="22"/>
          <w:lang w:bidi="ar-SA"/>
        </w:rPr>
        <w:t>MŽP</w:t>
      </w:r>
      <w:r w:rsidRPr="00ED38E9">
        <w:rPr>
          <w:rFonts w:eastAsia="Calibri" w:cs="Arial"/>
          <w:noProof w:val="0"/>
          <w:szCs w:val="22"/>
          <w:lang w:bidi="ar-SA"/>
        </w:rPr>
        <w:t>  ve spolupráci s MPO. V</w:t>
      </w:r>
      <w:r w:rsidRPr="00ED38E9" w:rsidR="009C65A0">
        <w:rPr>
          <w:rFonts w:eastAsia="Calibri" w:cs="Arial"/>
          <w:noProof w:val="0"/>
          <w:szCs w:val="22"/>
          <w:lang w:bidi="ar-SA"/>
        </w:rPr>
        <w:t> </w:t>
      </w:r>
      <w:r w:rsidRPr="00ED38E9">
        <w:rPr>
          <w:rFonts w:eastAsia="Calibri" w:cs="Arial"/>
          <w:noProof w:val="0"/>
          <w:szCs w:val="22"/>
          <w:lang w:bidi="ar-SA"/>
        </w:rPr>
        <w:t>rámci RIA navrhujeme implementaci softwarového systému, který by oprávněným osobám umožnil sledování evidence toků OEEZ. Hlavním cílem tohoto návrhu je zvýšit transparentnost procesu.</w:t>
      </w:r>
    </w:p>
    <w:p w:rsidR="00DF0251" w:rsidRPr="00ED38E9" w:rsidP="000E719F" w14:paraId="3D19BC61" w14:textId="09F7D439">
      <w:pPr>
        <w:rPr>
          <w:rFonts w:eastAsia="Calibri" w:cs="Arial"/>
          <w:noProof w:val="0"/>
          <w:szCs w:val="22"/>
          <w:lang w:bidi="ar-SA"/>
        </w:rPr>
      </w:pPr>
      <w:r w:rsidRPr="00ED38E9">
        <w:rPr>
          <w:rFonts w:eastAsia="Calibri" w:cs="Arial"/>
          <w:noProof w:val="0"/>
          <w:szCs w:val="22"/>
          <w:lang w:bidi="ar-SA"/>
        </w:rPr>
        <w:t>Zpracovatel předpokládá, že by zmiňovaný software obsahoval data vložená všemi dotčenými subjekty a umožnil křížově evidovat toky jednotlivých výrobků, potažmo odpadů dle zvoleného režimu. Tato evidence by pak dále sloužila ke kontrole plnění povinností jednotlivými KS a</w:t>
      </w:r>
      <w:r w:rsidR="0012681B">
        <w:rPr>
          <w:rFonts w:eastAsia="Calibri" w:cs="Arial"/>
          <w:noProof w:val="0"/>
          <w:szCs w:val="22"/>
          <w:lang w:bidi="ar-SA"/>
        </w:rPr>
        <w:t> </w:t>
      </w:r>
      <w:r w:rsidRPr="00ED38E9">
        <w:rPr>
          <w:rFonts w:eastAsia="Calibri" w:cs="Arial"/>
          <w:noProof w:val="0"/>
          <w:szCs w:val="22"/>
          <w:lang w:bidi="ar-SA"/>
        </w:rPr>
        <w:t>umožňovala by další analýzu, která by sloužila k zefektivňování zpětného odběru. Spolehlivá, jednoznačná a křížově propojitelná data spojená se zpětným odběrem jsou dnes totiž obtížně dostupná.</w:t>
      </w:r>
    </w:p>
    <w:p w:rsidR="00DF0251" w:rsidRPr="00ED38E9" w:rsidP="000E719F" w14:paraId="1F5CAC3B" w14:textId="77777777">
      <w:pPr>
        <w:rPr>
          <w:rFonts w:eastAsia="Calibri" w:cs="Arial"/>
          <w:noProof w:val="0"/>
          <w:szCs w:val="22"/>
          <w:lang w:bidi="ar-SA"/>
        </w:rPr>
      </w:pPr>
      <w:r w:rsidRPr="00ED38E9">
        <w:rPr>
          <w:rFonts w:eastAsia="Calibri" w:cs="Arial"/>
          <w:noProof w:val="0"/>
          <w:szCs w:val="22"/>
          <w:lang w:bidi="ar-SA"/>
        </w:rPr>
        <w:t>Zároveň by používání softwaru umožnilo po případném schválení nového zákona  důkladně přezkoumat jeho efektivnost a navrhnout případná další opatření (viz dále navrhované indikátory v kapitole Přezkum účinnosti).</w:t>
      </w:r>
    </w:p>
    <w:p w:rsidR="00DF0251" w:rsidRPr="00ED38E9" w:rsidP="000E719F" w14:paraId="414828DA" w14:textId="77777777">
      <w:pPr>
        <w:rPr>
          <w:rFonts w:eastAsia="Calibri" w:cs="Arial"/>
          <w:noProof w:val="0"/>
          <w:szCs w:val="22"/>
          <w:lang w:bidi="ar-SA"/>
        </w:rPr>
      </w:pPr>
      <w:r w:rsidRPr="00ED38E9">
        <w:rPr>
          <w:rFonts w:eastAsia="Calibri" w:cs="Arial"/>
          <w:noProof w:val="0"/>
          <w:szCs w:val="22"/>
          <w:lang w:bidi="ar-SA"/>
        </w:rPr>
        <w:t xml:space="preserve">Náklady na zavedení a používání softwarového systému by se skládaly </w:t>
      </w:r>
    </w:p>
    <w:p w:rsidR="00DF0251" w:rsidRPr="00ED38E9" w:rsidP="0098259C" w14:paraId="08540FBC" w14:textId="77777777">
      <w:pPr>
        <w:pStyle w:val="ListParagraph"/>
        <w:numPr>
          <w:ilvl w:val="0"/>
          <w:numId w:val="48"/>
        </w:numPr>
        <w:spacing w:before="0" w:after="120"/>
        <w:ind w:left="1071" w:hanging="357"/>
        <w:contextualSpacing w:val="0"/>
        <w:rPr>
          <w:rFonts w:eastAsia="Calibri" w:cs="Arial"/>
          <w:noProof w:val="0"/>
          <w:szCs w:val="22"/>
          <w:lang w:bidi="ar-SA"/>
        </w:rPr>
      </w:pPr>
      <w:r w:rsidRPr="00ED38E9">
        <w:rPr>
          <w:rFonts w:eastAsia="Calibri" w:cs="Arial"/>
          <w:noProof w:val="0"/>
          <w:szCs w:val="22"/>
          <w:lang w:bidi="ar-SA"/>
        </w:rPr>
        <w:t xml:space="preserve">z jednorázových nákladů na nákup příslušného softwaru a počtu potřebných licencí či školení osob, které by se systémem pracovaly; </w:t>
      </w:r>
    </w:p>
    <w:p w:rsidR="00DF0251" w:rsidRPr="00ED38E9" w:rsidP="0098259C" w14:paraId="1BEC5F4A" w14:textId="10333EF4">
      <w:pPr>
        <w:pStyle w:val="ListParagraph"/>
        <w:numPr>
          <w:ilvl w:val="0"/>
          <w:numId w:val="48"/>
        </w:numPr>
        <w:spacing w:before="0" w:after="120"/>
        <w:ind w:left="1071" w:hanging="357"/>
        <w:contextualSpacing w:val="0"/>
        <w:rPr>
          <w:rFonts w:eastAsia="Calibri" w:cs="Arial"/>
          <w:noProof w:val="0"/>
          <w:szCs w:val="22"/>
          <w:lang w:bidi="ar-SA"/>
        </w:rPr>
      </w:pPr>
      <w:r w:rsidRPr="00ED38E9">
        <w:rPr>
          <w:rFonts w:eastAsia="Calibri" w:cs="Arial"/>
          <w:noProof w:val="0"/>
          <w:szCs w:val="22"/>
          <w:lang w:bidi="ar-SA"/>
        </w:rPr>
        <w:t>administrativních nákladů ve formě pracovního nasazení osob zadávajících do</w:t>
      </w:r>
      <w:r w:rsidR="00732746">
        <w:rPr>
          <w:rFonts w:eastAsia="Calibri" w:cs="Arial"/>
          <w:noProof w:val="0"/>
          <w:szCs w:val="22"/>
          <w:lang w:bidi="ar-SA"/>
        </w:rPr>
        <w:t> </w:t>
      </w:r>
      <w:r w:rsidRPr="00ED38E9">
        <w:rPr>
          <w:rFonts w:eastAsia="Calibri" w:cs="Arial"/>
          <w:noProof w:val="0"/>
          <w:szCs w:val="22"/>
          <w:lang w:bidi="ar-SA"/>
        </w:rPr>
        <w:t>systému potřebná data.</w:t>
      </w:r>
    </w:p>
    <w:p w:rsidR="00DF0251" w:rsidRPr="00ED38E9" w:rsidP="000E719F" w14:paraId="56105201" w14:textId="1C8381E4">
      <w:pPr>
        <w:rPr>
          <w:rFonts w:eastAsia="Calibri" w:cs="Arial"/>
          <w:noProof w:val="0"/>
          <w:szCs w:val="22"/>
          <w:lang w:bidi="ar-SA"/>
        </w:rPr>
      </w:pPr>
      <w:r w:rsidRPr="00ED38E9">
        <w:rPr>
          <w:rFonts w:eastAsia="Calibri" w:cs="Arial"/>
          <w:noProof w:val="0"/>
          <w:szCs w:val="22"/>
          <w:lang w:bidi="ar-SA"/>
        </w:rPr>
        <w:t>Předpokládáme, že administrativní náročnost tohoto systému by byla velmi nízká, zadavatelé by pouze zadávali data do přednastaveného programu, tj. jednalo by se o několikaminutový úkon. Nejnákladnější položku by tvořil nákup a instalace zmíněného softwaru. Výši nákladů by také ovlivnil fakt, zda by byla využita v současnosti existující a používaná platforma rozšířená a potřebné moduly či by šlo o vývoj nového systému (kam by v případě zavedení zjednodušeného odpadového režimu vkládaly údaje např. svozové společnosti apod. dle</w:t>
      </w:r>
      <w:r w:rsidR="00732746">
        <w:rPr>
          <w:rFonts w:eastAsia="Calibri" w:cs="Arial"/>
          <w:noProof w:val="0"/>
          <w:szCs w:val="22"/>
          <w:lang w:bidi="ar-SA"/>
        </w:rPr>
        <w:t> </w:t>
      </w:r>
      <w:r w:rsidRPr="00ED38E9">
        <w:rPr>
          <w:rFonts w:eastAsia="Calibri" w:cs="Arial"/>
          <w:noProof w:val="0"/>
          <w:szCs w:val="22"/>
          <w:lang w:bidi="ar-SA"/>
        </w:rPr>
        <w:t>zvoleného scénáře).</w:t>
      </w:r>
    </w:p>
    <w:p w:rsidR="00DF0251" w:rsidRPr="00ED38E9" w:rsidP="00B1436D" w14:paraId="4B26CC13" w14:textId="77777777">
      <w:pPr>
        <w:keepNext/>
        <w:widowControl w:val="0"/>
        <w:spacing w:before="360" w:after="120"/>
        <w:rPr>
          <w:rFonts w:eastAsia="Calibri" w:cs="Arial"/>
          <w:b/>
          <w:noProof w:val="0"/>
          <w:szCs w:val="22"/>
          <w:lang w:bidi="ar-SA"/>
        </w:rPr>
      </w:pPr>
      <w:bookmarkStart w:id="280" w:name="_Toc406598344"/>
      <w:r w:rsidRPr="00ED38E9">
        <w:rPr>
          <w:rFonts w:eastAsia="Calibri" w:cs="Arial"/>
          <w:b/>
          <w:noProof w:val="0"/>
          <w:szCs w:val="22"/>
          <w:lang w:bidi="ar-SA"/>
        </w:rPr>
        <w:t>Vynucování</w:t>
      </w:r>
      <w:bookmarkEnd w:id="280"/>
      <w:r w:rsidRPr="00ED38E9">
        <w:rPr>
          <w:rFonts w:eastAsia="Calibri" w:cs="Arial"/>
          <w:b/>
          <w:noProof w:val="0"/>
          <w:szCs w:val="22"/>
          <w:lang w:bidi="ar-SA"/>
        </w:rPr>
        <w:t xml:space="preserve"> </w:t>
      </w:r>
    </w:p>
    <w:p w:rsidR="00DF0251" w:rsidRPr="00ED38E9" w:rsidP="0002555E" w14:paraId="2A6FDB55" w14:textId="12325E91">
      <w:pPr>
        <w:widowControl w:val="0"/>
        <w:spacing w:after="120"/>
        <w:rPr>
          <w:rFonts w:eastAsia="Calibri" w:cs="Arial"/>
          <w:noProof w:val="0"/>
          <w:szCs w:val="22"/>
          <w:lang w:bidi="ar-SA"/>
        </w:rPr>
      </w:pPr>
      <w:r w:rsidRPr="00ED38E9">
        <w:rPr>
          <w:rFonts w:eastAsia="Calibri" w:cs="Arial"/>
          <w:noProof w:val="0"/>
          <w:szCs w:val="22"/>
          <w:lang w:bidi="ar-SA"/>
        </w:rPr>
        <w:t>Kontrola plnění povinností dotčenými subjekty (včetně kontroly dálkovými prodejci) je v současnosti dle zákona o odpadech v kompetenci ČIŽP. Většinou ale dochází jen k občasným kontrolám administrativního charakteru, které jsou iniciovány jiným státním orgánem. Za</w:t>
      </w:r>
      <w:r w:rsidR="0012681B">
        <w:rPr>
          <w:rFonts w:eastAsia="Calibri" w:cs="Arial"/>
          <w:noProof w:val="0"/>
          <w:szCs w:val="22"/>
          <w:lang w:bidi="ar-SA"/>
        </w:rPr>
        <w:t> </w:t>
      </w:r>
      <w:r w:rsidRPr="00ED38E9">
        <w:rPr>
          <w:rFonts w:eastAsia="Calibri" w:cs="Arial"/>
          <w:noProof w:val="0"/>
          <w:szCs w:val="22"/>
          <w:lang w:bidi="ar-SA"/>
        </w:rPr>
        <w:t>neplnění povinností hrozí nyní subjektům uvalení peněžních sankcí ve</w:t>
      </w:r>
      <w:r w:rsidRPr="00ED38E9" w:rsidR="004425E5">
        <w:rPr>
          <w:rFonts w:eastAsia="Calibri" w:cs="Arial"/>
          <w:noProof w:val="0"/>
          <w:szCs w:val="22"/>
          <w:lang w:bidi="ar-SA"/>
        </w:rPr>
        <w:t> </w:t>
      </w:r>
      <w:r w:rsidRPr="00ED38E9">
        <w:rPr>
          <w:rFonts w:eastAsia="Calibri" w:cs="Arial"/>
          <w:noProof w:val="0"/>
          <w:szCs w:val="22"/>
          <w:lang w:bidi="ar-SA"/>
        </w:rPr>
        <w:t>výši do 50 000 000 Kč (v případě recidivy dvojnásobek). Zlepšit právní efektivitu by mohla implementace opatření, které by vedlo ke zrušení nebo pozastavení oprávnění k provozování činnosti KS. To by bylo stejně motivační pro všechny KS bez rozdílu jejich velikosti a</w:t>
      </w:r>
      <w:r w:rsidR="001C7258">
        <w:rPr>
          <w:rFonts w:eastAsia="Calibri" w:cs="Arial"/>
          <w:noProof w:val="0"/>
          <w:szCs w:val="22"/>
          <w:lang w:bidi="ar-SA"/>
        </w:rPr>
        <w:t> </w:t>
      </w:r>
      <w:r w:rsidR="00565240">
        <w:rPr>
          <w:rFonts w:eastAsia="Calibri" w:cs="Arial"/>
          <w:noProof w:val="0"/>
          <w:szCs w:val="22"/>
          <w:lang w:bidi="ar-SA"/>
        </w:rPr>
        <w:t>ode</w:t>
      </w:r>
      <w:r w:rsidRPr="00ED38E9" w:rsidR="00565240">
        <w:rPr>
          <w:rFonts w:eastAsia="Calibri" w:cs="Arial"/>
          <w:noProof w:val="0"/>
          <w:szCs w:val="22"/>
          <w:lang w:bidi="ar-SA"/>
        </w:rPr>
        <w:t xml:space="preserve">bíraných </w:t>
      </w:r>
      <w:r w:rsidRPr="00ED38E9">
        <w:rPr>
          <w:rFonts w:eastAsia="Calibri" w:cs="Arial"/>
          <w:noProof w:val="0"/>
          <w:szCs w:val="22"/>
          <w:lang w:bidi="ar-SA"/>
        </w:rPr>
        <w:t xml:space="preserve">skupin elektrozařízení. </w:t>
      </w:r>
    </w:p>
    <w:p w:rsidR="00DF0251" w:rsidRPr="00ED38E9" w:rsidP="00B1436D" w14:paraId="203E0AF9" w14:textId="77777777">
      <w:pPr>
        <w:keepNext/>
        <w:widowControl w:val="0"/>
        <w:spacing w:before="360" w:after="120"/>
        <w:rPr>
          <w:rFonts w:eastAsia="Calibri" w:cs="Arial"/>
          <w:noProof w:val="0"/>
          <w:szCs w:val="22"/>
          <w:lang w:bidi="ar-SA"/>
        </w:rPr>
      </w:pPr>
      <w:r w:rsidRPr="00ED38E9">
        <w:rPr>
          <w:rFonts w:eastAsia="Calibri" w:cs="Arial"/>
          <w:b/>
          <w:noProof w:val="0"/>
          <w:szCs w:val="22"/>
          <w:lang w:bidi="ar-SA"/>
        </w:rPr>
        <w:t>Zveřejňování informací o KS</w:t>
      </w:r>
    </w:p>
    <w:p w:rsidR="00DF0251" w:rsidRPr="00ED38E9" w:rsidP="0002555E" w14:paraId="0737A3B0" w14:textId="77777777">
      <w:pPr>
        <w:widowControl w:val="0"/>
        <w:spacing w:after="120"/>
        <w:rPr>
          <w:rFonts w:eastAsia="Calibri" w:cs="Arial"/>
          <w:noProof w:val="0"/>
          <w:szCs w:val="22"/>
          <w:lang w:bidi="ar-SA"/>
        </w:rPr>
      </w:pPr>
      <w:r w:rsidRPr="00ED38E9">
        <w:rPr>
          <w:rFonts w:eastAsia="Calibri" w:cs="Arial"/>
          <w:noProof w:val="0"/>
          <w:szCs w:val="22"/>
          <w:lang w:bidi="ar-SA"/>
        </w:rPr>
        <w:t xml:space="preserve">Jednou z možností ke zvýšení efektivity právní úpravy může být povinné vedení evidencí a povinné audity výsledků činnosti KS a jeho hospodaření, příp. </w:t>
      </w:r>
      <w:r w:rsidR="00E370D3">
        <w:rPr>
          <w:rFonts w:eastAsia="Calibri" w:cs="Arial"/>
          <w:noProof w:val="0"/>
          <w:szCs w:val="22"/>
          <w:lang w:bidi="ar-SA"/>
        </w:rPr>
        <w:t>zasílání</w:t>
      </w:r>
      <w:r w:rsidRPr="00ED38E9" w:rsidR="00E370D3">
        <w:rPr>
          <w:rFonts w:eastAsia="Calibri" w:cs="Arial"/>
          <w:noProof w:val="0"/>
          <w:szCs w:val="22"/>
          <w:lang w:bidi="ar-SA"/>
        </w:rPr>
        <w:t xml:space="preserve"> </w:t>
      </w:r>
      <w:r w:rsidRPr="00ED38E9">
        <w:rPr>
          <w:rFonts w:eastAsia="Calibri" w:cs="Arial"/>
          <w:noProof w:val="0"/>
          <w:szCs w:val="22"/>
          <w:lang w:bidi="ar-SA"/>
        </w:rPr>
        <w:t xml:space="preserve">informací, které MŽP dle zákona nyní nemůže vyžadovat. </w:t>
      </w:r>
      <w:r w:rsidRPr="00ED38E9" w:rsidR="00A56310">
        <w:rPr>
          <w:rFonts w:eastAsia="Calibri" w:cs="Arial"/>
          <w:noProof w:val="0"/>
          <w:szCs w:val="22"/>
          <w:lang w:bidi="ar-SA"/>
        </w:rPr>
        <w:t>MŽP</w:t>
      </w:r>
      <w:r w:rsidRPr="00ED38E9">
        <w:rPr>
          <w:rFonts w:eastAsia="Calibri" w:cs="Arial"/>
          <w:noProof w:val="0"/>
          <w:szCs w:val="22"/>
          <w:lang w:bidi="ar-SA"/>
        </w:rPr>
        <w:t xml:space="preserve"> nyní nemá přehled o tom, jak KS hospodaří, což (uvažujeme-li snahu toto prostředí silně regulovat) může iniciovat zásahy a rozhodnutí, jež povedou ke zhoršení současné situace místo zamýšleného opaku. Z nově povinně poskytovaných dat by pak mohla například vyplynout optimální výše sankcí vedoucí k vyšší motivaci dotčených subjektů k dodržování povinností. </w:t>
      </w:r>
      <w:r w:rsidRPr="00ED38E9" w:rsidR="00A56310">
        <w:rPr>
          <w:rFonts w:eastAsia="Calibri" w:cs="Arial"/>
          <w:noProof w:val="0"/>
          <w:szCs w:val="22"/>
          <w:lang w:bidi="ar-SA"/>
        </w:rPr>
        <w:t>MŽP</w:t>
      </w:r>
      <w:r w:rsidRPr="00ED38E9">
        <w:rPr>
          <w:rFonts w:eastAsia="Calibri" w:cs="Arial"/>
          <w:noProof w:val="0"/>
          <w:szCs w:val="22"/>
          <w:lang w:bidi="ar-SA"/>
        </w:rPr>
        <w:t xml:space="preserve"> by tak rovněž mohlo mít v ruce nástroj, díky kterému by mohlo kontrolovat počet výrobků </w:t>
      </w:r>
      <w:r w:rsidR="00E370D3">
        <w:rPr>
          <w:rFonts w:eastAsia="Calibri" w:cs="Arial"/>
          <w:noProof w:val="0"/>
          <w:szCs w:val="22"/>
          <w:lang w:bidi="ar-SA"/>
        </w:rPr>
        <w:t xml:space="preserve">s ukončenou životností </w:t>
      </w:r>
      <w:r w:rsidRPr="00ED38E9">
        <w:rPr>
          <w:rFonts w:eastAsia="Calibri" w:cs="Arial"/>
          <w:noProof w:val="0"/>
          <w:szCs w:val="22"/>
          <w:lang w:bidi="ar-SA"/>
        </w:rPr>
        <w:t xml:space="preserve">svezených ze sběrných míst a počet </w:t>
      </w:r>
      <w:r w:rsidR="00E370D3">
        <w:rPr>
          <w:rFonts w:eastAsia="Calibri" w:cs="Arial"/>
          <w:noProof w:val="0"/>
          <w:szCs w:val="22"/>
          <w:lang w:bidi="ar-SA"/>
        </w:rPr>
        <w:t xml:space="preserve">těchto </w:t>
      </w:r>
      <w:r w:rsidRPr="00ED38E9">
        <w:rPr>
          <w:rFonts w:eastAsia="Calibri" w:cs="Arial"/>
          <w:noProof w:val="0"/>
          <w:szCs w:val="22"/>
          <w:lang w:bidi="ar-SA"/>
        </w:rPr>
        <w:t xml:space="preserve">výrobků přijatých ke zpracování dle jednotlivých KS – tj. získalo by křížovou evidenci vedoucí ke kontrole poskytovaných dat. Pokud by došlo k nesouladu, zahájilo by </w:t>
      </w:r>
      <w:r w:rsidRPr="00ED38E9" w:rsidR="00A56310">
        <w:rPr>
          <w:rFonts w:eastAsia="Calibri" w:cs="Arial"/>
          <w:noProof w:val="0"/>
          <w:szCs w:val="22"/>
          <w:lang w:bidi="ar-SA"/>
        </w:rPr>
        <w:t>MŽP</w:t>
      </w:r>
      <w:r w:rsidRPr="00ED38E9">
        <w:rPr>
          <w:rFonts w:eastAsia="Calibri" w:cs="Arial"/>
          <w:noProof w:val="0"/>
          <w:szCs w:val="22"/>
          <w:lang w:bidi="ar-SA"/>
        </w:rPr>
        <w:t xml:space="preserve"> okamžitě šetření. Výhodou tohoto řešení je jeho finanční nenáročnost, kdy by se jediná změna týkala zpracovatelů, jež by museli evidovat hmotnost výrobků přijatých ke zpracování od jednotlivých KS. Podmínkou funkčnosti tohoto řešení je kvalifikovanost úředníků MŽP taková data zpracovat a vyhodnotit.</w:t>
      </w:r>
    </w:p>
    <w:p w:rsidR="00DF0251" w:rsidRPr="00ED38E9" w:rsidP="00B1436D" w14:paraId="7C8F575F" w14:textId="77777777">
      <w:pPr>
        <w:keepNext/>
        <w:widowControl w:val="0"/>
        <w:spacing w:before="240" w:after="120"/>
        <w:rPr>
          <w:rFonts w:eastAsia="Calibri" w:cs="Arial"/>
          <w:b/>
          <w:noProof w:val="0"/>
          <w:szCs w:val="22"/>
          <w:lang w:bidi="ar-SA"/>
        </w:rPr>
      </w:pPr>
      <w:r w:rsidRPr="00ED38E9">
        <w:rPr>
          <w:rFonts w:eastAsia="Calibri" w:cs="Arial"/>
          <w:b/>
          <w:noProof w:val="0"/>
          <w:szCs w:val="22"/>
          <w:lang w:bidi="ar-SA"/>
        </w:rPr>
        <w:t>Povinný audit</w:t>
      </w:r>
    </w:p>
    <w:p w:rsidR="00DF0251" w:rsidRPr="00ED38E9" w:rsidP="0002555E" w14:paraId="2217DFCF" w14:textId="278E6CE2">
      <w:pPr>
        <w:widowControl w:val="0"/>
        <w:spacing w:after="120"/>
        <w:rPr>
          <w:rFonts w:eastAsia="Calibri" w:cs="Arial"/>
          <w:noProof w:val="0"/>
          <w:szCs w:val="22"/>
          <w:lang w:bidi="ar-SA"/>
        </w:rPr>
      </w:pPr>
      <w:r w:rsidRPr="00ED38E9">
        <w:rPr>
          <w:rFonts w:eastAsia="Calibri" w:cs="Arial"/>
          <w:noProof w:val="0"/>
          <w:szCs w:val="22"/>
          <w:lang w:bidi="ar-SA"/>
        </w:rPr>
        <w:t>Kolektivní systémy mohou auditovat své výrobce, zpracovatele a svozové společnosti. KS zkoumá, zda zpracovatel splňuje všechny požadavky dané smlouvou i zákonem</w:t>
      </w:r>
      <w:r w:rsidR="00B6736D">
        <w:rPr>
          <w:rFonts w:eastAsia="Calibri" w:cs="Arial"/>
          <w:noProof w:val="0"/>
          <w:szCs w:val="22"/>
          <w:lang w:bidi="ar-SA"/>
        </w:rPr>
        <w:t>,</w:t>
      </w:r>
      <w:r w:rsidRPr="00ED38E9">
        <w:rPr>
          <w:rFonts w:eastAsia="Calibri" w:cs="Arial"/>
          <w:noProof w:val="0"/>
          <w:szCs w:val="22"/>
          <w:lang w:bidi="ar-SA"/>
        </w:rPr>
        <w:t xml:space="preserve"> především zda souhlasí skutečná množství zpracovaných výrobků</w:t>
      </w:r>
      <w:r w:rsidRPr="00E370D3" w:rsidR="00E370D3">
        <w:rPr>
          <w:rFonts w:eastAsia="Calibri" w:cs="Arial"/>
          <w:noProof w:val="0"/>
          <w:szCs w:val="22"/>
          <w:lang w:bidi="ar-SA"/>
        </w:rPr>
        <w:t xml:space="preserve"> </w:t>
      </w:r>
      <w:r w:rsidR="00E370D3">
        <w:rPr>
          <w:rFonts w:eastAsia="Calibri" w:cs="Arial"/>
          <w:noProof w:val="0"/>
          <w:szCs w:val="22"/>
          <w:lang w:bidi="ar-SA"/>
        </w:rPr>
        <w:t>s ukončenou životností</w:t>
      </w:r>
      <w:r w:rsidRPr="00ED38E9">
        <w:rPr>
          <w:rFonts w:eastAsia="Calibri" w:cs="Arial"/>
          <w:noProof w:val="0"/>
          <w:szCs w:val="22"/>
          <w:lang w:bidi="ar-SA"/>
        </w:rPr>
        <w:t xml:space="preserve"> s</w:t>
      </w:r>
      <w:r w:rsidR="00B6736D">
        <w:rPr>
          <w:rFonts w:eastAsia="Calibri" w:cs="Arial"/>
          <w:noProof w:val="0"/>
          <w:szCs w:val="22"/>
          <w:lang w:bidi="ar-SA"/>
        </w:rPr>
        <w:t> </w:t>
      </w:r>
      <w:r w:rsidRPr="00ED38E9">
        <w:rPr>
          <w:rFonts w:eastAsia="Calibri" w:cs="Arial"/>
          <w:noProof w:val="0"/>
          <w:szCs w:val="22"/>
          <w:lang w:bidi="ar-SA"/>
        </w:rPr>
        <w:t>reportovanými</w:t>
      </w:r>
      <w:r w:rsidR="00B6736D">
        <w:rPr>
          <w:rFonts w:eastAsia="Calibri" w:cs="Arial"/>
          <w:noProof w:val="0"/>
          <w:szCs w:val="22"/>
          <w:lang w:bidi="ar-SA"/>
        </w:rPr>
        <w:t>,</w:t>
      </w:r>
      <w:r w:rsidRPr="00ED38E9">
        <w:rPr>
          <w:rFonts w:eastAsia="Calibri" w:cs="Arial"/>
          <w:noProof w:val="0"/>
          <w:szCs w:val="22"/>
          <w:lang w:bidi="ar-SA"/>
        </w:rPr>
        <w:t xml:space="preserve"> a</w:t>
      </w:r>
      <w:r w:rsidR="0012681B">
        <w:rPr>
          <w:rFonts w:eastAsia="Calibri" w:cs="Arial"/>
          <w:noProof w:val="0"/>
          <w:szCs w:val="22"/>
          <w:lang w:bidi="ar-SA"/>
        </w:rPr>
        <w:t> </w:t>
      </w:r>
      <w:r w:rsidRPr="00ED38E9">
        <w:rPr>
          <w:rFonts w:eastAsia="Calibri" w:cs="Arial"/>
          <w:noProof w:val="0"/>
          <w:szCs w:val="22"/>
          <w:lang w:bidi="ar-SA"/>
        </w:rPr>
        <w:t>kvalitu zpracování. Obdobně KS  kontroluje, zda svozové společnosti dodržují zákonné a</w:t>
      </w:r>
      <w:r w:rsidR="0012681B">
        <w:rPr>
          <w:rFonts w:eastAsia="Calibri" w:cs="Arial"/>
          <w:noProof w:val="0"/>
          <w:szCs w:val="22"/>
          <w:lang w:bidi="ar-SA"/>
        </w:rPr>
        <w:t> </w:t>
      </w:r>
      <w:r w:rsidRPr="00ED38E9">
        <w:rPr>
          <w:rFonts w:eastAsia="Calibri" w:cs="Arial"/>
          <w:noProof w:val="0"/>
          <w:szCs w:val="22"/>
          <w:lang w:bidi="ar-SA"/>
        </w:rPr>
        <w:t>smluvní povinnosti a zda skutečný počet svezených kusů odpovídá počtu deklarované</w:t>
      </w:r>
      <w:r w:rsidR="008948EE">
        <w:rPr>
          <w:rFonts w:eastAsia="Calibri" w:cs="Arial"/>
          <w:noProof w:val="0"/>
          <w:szCs w:val="22"/>
          <w:lang w:bidi="ar-SA"/>
        </w:rPr>
        <w:t>mu</w:t>
      </w:r>
      <w:r w:rsidRPr="00ED38E9">
        <w:rPr>
          <w:rFonts w:eastAsia="Calibri" w:cs="Arial"/>
          <w:noProof w:val="0"/>
          <w:szCs w:val="22"/>
          <w:lang w:bidi="ar-SA"/>
        </w:rPr>
        <w:t xml:space="preserve"> svozovou společností. Kvůli plnění cílo</w:t>
      </w:r>
      <w:r w:rsidR="00F94CE8">
        <w:rPr>
          <w:rFonts w:eastAsia="Calibri" w:cs="Arial"/>
          <w:noProof w:val="0"/>
          <w:szCs w:val="22"/>
          <w:lang w:bidi="ar-SA"/>
        </w:rPr>
        <w:t>vých kvót by měl KS auditovat i </w:t>
      </w:r>
      <w:r w:rsidRPr="00ED38E9">
        <w:rPr>
          <w:rFonts w:eastAsia="Calibri" w:cs="Arial"/>
          <w:noProof w:val="0"/>
          <w:szCs w:val="22"/>
          <w:lang w:bidi="ar-SA"/>
        </w:rPr>
        <w:t>výrobce elektrozařízení, tj. ověřovat správnost údajů o počtu výrobků uvedených výrobcem na trh. Aby stát mohl čerpat z informací pocházejících z povinných auditů KS, musí zároveň dojít ke</w:t>
      </w:r>
      <w:r w:rsidR="0012681B">
        <w:rPr>
          <w:rFonts w:eastAsia="Calibri" w:cs="Arial"/>
          <w:noProof w:val="0"/>
          <w:szCs w:val="22"/>
          <w:lang w:bidi="ar-SA"/>
        </w:rPr>
        <w:t> </w:t>
      </w:r>
      <w:r w:rsidRPr="00ED38E9">
        <w:rPr>
          <w:rFonts w:eastAsia="Calibri" w:cs="Arial"/>
          <w:noProof w:val="0"/>
          <w:szCs w:val="22"/>
          <w:lang w:bidi="ar-SA"/>
        </w:rPr>
        <w:t>standardizaci těchto auditů. Výsledná čísla by tak byla navzájem porovnatelná a byla by zaručena jistá kvalita zpracování auditu.</w:t>
      </w:r>
    </w:p>
    <w:p w:rsidR="00DF0251" w:rsidRPr="00ED38E9" w:rsidP="000E719F" w14:paraId="08F1CB44" w14:textId="5D13CFF3">
      <w:pPr>
        <w:pStyle w:val="Caption"/>
        <w:rPr>
          <w:rFonts w:cs="Arial"/>
        </w:rPr>
      </w:pPr>
      <w:r>
        <w:rPr>
          <w:rFonts w:cs="Arial"/>
        </w:rPr>
        <w:t xml:space="preserve">Obrázek </w:t>
      </w:r>
      <w:r w:rsidR="00B7387B">
        <w:rPr>
          <w:rFonts w:cs="Arial"/>
        </w:rPr>
        <w:t>9</w:t>
      </w:r>
      <w:r w:rsidRPr="00ED38E9">
        <w:rPr>
          <w:rFonts w:cs="Arial"/>
        </w:rPr>
        <w:t>: Audit kolektivního systému</w:t>
      </w:r>
    </w:p>
    <w:p w:rsidR="00DF0251" w:rsidRPr="00ED38E9" w:rsidP="00DF0251" w14:paraId="3F0F929F" w14:textId="77777777">
      <w:pPr>
        <w:keepNext/>
        <w:widowControl w:val="0"/>
        <w:spacing w:after="120"/>
        <w:jc w:val="center"/>
        <w:rPr>
          <w:rFonts w:eastAsia="Calibri" w:cs="Arial"/>
          <w:noProof w:val="0"/>
          <w:szCs w:val="22"/>
          <w:lang w:bidi="ar-SA"/>
        </w:rPr>
      </w:pPr>
      <w:r w:rsidRPr="00ED38E9">
        <w:rPr>
          <w:rFonts w:eastAsia="Calibri" w:cs="Arial"/>
          <w:szCs w:val="22"/>
          <w:lang w:eastAsia="cs-CZ" w:bidi="ar-SA"/>
        </w:rPr>
        <w:drawing>
          <wp:inline distT="0" distB="0" distL="0" distR="0">
            <wp:extent cx="4533900" cy="2896856"/>
            <wp:effectExtent l="19050" t="19050" r="19050" b="18415"/>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16652" name="Picture 1"/>
                    <pic:cNvPicPr>
                      <a:picLocks noChangeAspect="1" noChangeArrowheads="1"/>
                    </pic:cNvPicPr>
                  </pic:nvPicPr>
                  <pic:blipFill>
                    <a:blip xmlns:r="http://schemas.openxmlformats.org/officeDocument/2006/relationships" r:embed="rId32" cstate="print"/>
                    <a:stretch>
                      <a:fillRect/>
                    </a:stretch>
                  </pic:blipFill>
                  <pic:spPr bwMode="auto">
                    <a:xfrm>
                      <a:off x="0" y="0"/>
                      <a:ext cx="4542155" cy="2902130"/>
                    </a:xfrm>
                    <a:prstGeom prst="rect">
                      <a:avLst/>
                    </a:prstGeom>
                    <a:noFill/>
                    <a:ln w="9525">
                      <a:solidFill>
                        <a:sysClr val="windowText" lastClr="000000"/>
                      </a:solidFill>
                      <a:miter lim="800000"/>
                      <a:headEnd/>
                      <a:tailEnd/>
                    </a:ln>
                  </pic:spPr>
                </pic:pic>
              </a:graphicData>
            </a:graphic>
          </wp:inline>
        </w:drawing>
      </w:r>
    </w:p>
    <w:p w:rsidR="00DF0251" w:rsidRPr="00DC6033" w:rsidP="00B7387B" w14:paraId="5378A9F7" w14:textId="77777777">
      <w:pPr>
        <w:jc w:val="right"/>
        <w:rPr>
          <w:rFonts w:cs="Arial"/>
          <w:i/>
          <w:sz w:val="20"/>
          <w:szCs w:val="20"/>
        </w:rPr>
      </w:pPr>
      <w:r w:rsidRPr="00DC6033">
        <w:rPr>
          <w:rFonts w:cs="Arial"/>
          <w:i/>
          <w:sz w:val="20"/>
          <w:szCs w:val="20"/>
        </w:rPr>
        <w:t>Zdroj: EEIP, a.s.</w:t>
      </w:r>
    </w:p>
    <w:p w:rsidR="00732746" w:rsidP="0002555E" w14:paraId="7C1AC052" w14:textId="77777777">
      <w:pPr>
        <w:widowControl w:val="0"/>
        <w:spacing w:after="120"/>
        <w:rPr>
          <w:rFonts w:eastAsia="Calibri" w:cs="Arial"/>
          <w:noProof w:val="0"/>
          <w:szCs w:val="22"/>
          <w:lang w:bidi="ar-SA"/>
        </w:rPr>
      </w:pPr>
    </w:p>
    <w:p w:rsidR="00DF0251" w:rsidRPr="00ED38E9" w:rsidP="0002555E" w14:paraId="571D3827" w14:textId="77777777">
      <w:pPr>
        <w:widowControl w:val="0"/>
        <w:spacing w:after="120"/>
        <w:rPr>
          <w:rFonts w:eastAsia="Calibri" w:cs="Arial"/>
          <w:noProof w:val="0"/>
          <w:szCs w:val="22"/>
          <w:lang w:bidi="ar-SA"/>
        </w:rPr>
      </w:pPr>
      <w:r w:rsidRPr="00ED38E9">
        <w:rPr>
          <w:rFonts w:eastAsia="Calibri" w:cs="Arial"/>
          <w:noProof w:val="0"/>
          <w:szCs w:val="22"/>
          <w:lang w:bidi="ar-SA"/>
        </w:rPr>
        <w:t>V budoucnu by bylo možné rovněž zavést povinnou certifikaci zpracovatelů (např. CENELEC), která by částečně nahradila audit zpracovatelů. V průběhu let bude totiž pravděpodobně docházet k navyšování požadavků na efektivitu zpracování a certifikace by mohla KS výrazně ulehčit výběr efektivních zpracovatelů a zvýšila by rivalitu mezi zpracovateli. Na druhou stranu by výrazně stouply náklady zpracovatelů, jejichž výše je odhadována mezi 100 až 150 tis. Kč za produktovou linku (krátkodobý horizont). Je tedy otázkou, jak by k tomuto řešení zpracovatelské firmy přistoupily.</w:t>
      </w:r>
    </w:p>
    <w:p w:rsidR="00B7387B" w:rsidP="0002555E" w14:paraId="5C1D8739" w14:textId="77777777">
      <w:pPr>
        <w:keepNext/>
        <w:widowControl w:val="0"/>
        <w:spacing w:after="120"/>
        <w:rPr>
          <w:rFonts w:eastAsia="Calibri" w:cs="Arial"/>
          <w:b/>
          <w:noProof w:val="0"/>
          <w:szCs w:val="22"/>
          <w:lang w:bidi="ar-SA"/>
        </w:rPr>
      </w:pPr>
    </w:p>
    <w:p w:rsidR="00DF0251" w:rsidRPr="00ED38E9" w:rsidP="0002555E" w14:paraId="17001EB1" w14:textId="77777777">
      <w:pPr>
        <w:keepNext/>
        <w:widowControl w:val="0"/>
        <w:spacing w:after="120"/>
        <w:rPr>
          <w:rFonts w:eastAsia="Calibri" w:cs="Arial"/>
          <w:b/>
          <w:noProof w:val="0"/>
          <w:szCs w:val="22"/>
          <w:lang w:bidi="ar-SA"/>
        </w:rPr>
      </w:pPr>
      <w:r w:rsidRPr="00ED38E9">
        <w:rPr>
          <w:rFonts w:eastAsia="Calibri" w:cs="Arial"/>
          <w:b/>
          <w:noProof w:val="0"/>
          <w:szCs w:val="22"/>
          <w:lang w:bidi="ar-SA"/>
        </w:rPr>
        <w:t>Informace o financování kolektivního systému</w:t>
      </w:r>
    </w:p>
    <w:p w:rsidR="00DF0251" w:rsidRPr="00ED38E9" w:rsidP="0002555E" w14:paraId="7AA61CB4" w14:textId="77777777">
      <w:pPr>
        <w:widowControl w:val="0"/>
        <w:spacing w:after="120"/>
        <w:rPr>
          <w:rFonts w:eastAsia="Calibri" w:cs="Arial"/>
          <w:noProof w:val="0"/>
          <w:szCs w:val="22"/>
          <w:lang w:bidi="ar-SA"/>
        </w:rPr>
      </w:pPr>
      <w:r w:rsidRPr="00ED38E9">
        <w:rPr>
          <w:rFonts w:eastAsia="Calibri" w:cs="Arial"/>
          <w:noProof w:val="0"/>
          <w:szCs w:val="22"/>
          <w:lang w:bidi="ar-SA"/>
        </w:rPr>
        <w:t>Lepší kontrolu ze strany státu by mohla přinést i povinnost KS zasílat státu své podrobné finanční výkazy (a to ve formě oddělující náklady na jednotlivé činnosti systému – osvěta, zpětný odběr, využití, administrativní náklady). Stát by pak získal přehled o stavu financování jednotlivých KS.</w:t>
      </w:r>
    </w:p>
    <w:p w:rsidR="00111F8B" w:rsidRPr="00ED38E9" w:rsidP="00111F8B" w14:paraId="51A80C44" w14:textId="77777777">
      <w:pPr>
        <w:spacing w:before="100" w:beforeAutospacing="1"/>
        <w:rPr>
          <w:rFonts w:cs="Arial"/>
          <w:b/>
          <w:noProof w:val="0"/>
        </w:rPr>
      </w:pPr>
      <w:r w:rsidRPr="00ED38E9">
        <w:rPr>
          <w:rFonts w:cs="Arial"/>
          <w:b/>
          <w:noProof w:val="0"/>
        </w:rPr>
        <w:t>Baterie a akumulátory, odpadní pneumatiky, vozidla s</w:t>
      </w:r>
      <w:r w:rsidRPr="00ED38E9" w:rsidR="00333557">
        <w:rPr>
          <w:rFonts w:cs="Arial"/>
          <w:b/>
          <w:noProof w:val="0"/>
        </w:rPr>
        <w:t> </w:t>
      </w:r>
      <w:r w:rsidRPr="00ED38E9" w:rsidR="00012208">
        <w:rPr>
          <w:rFonts w:cs="Arial"/>
          <w:b/>
          <w:noProof w:val="0"/>
        </w:rPr>
        <w:t>ukončenou životností a</w:t>
      </w:r>
      <w:r w:rsidRPr="00ED38E9">
        <w:rPr>
          <w:rFonts w:cs="Arial"/>
          <w:b/>
          <w:noProof w:val="0"/>
        </w:rPr>
        <w:t xml:space="preserve"> ostatní</w:t>
      </w:r>
      <w:r w:rsidRPr="00ED38E9" w:rsidR="00012208">
        <w:rPr>
          <w:rFonts w:cs="Arial"/>
          <w:b/>
          <w:noProof w:val="0"/>
        </w:rPr>
        <w:t xml:space="preserve"> navrhovaná opatření</w:t>
      </w:r>
    </w:p>
    <w:p w:rsidR="00324860" w:rsidRPr="00ED38E9" w:rsidP="00324860" w14:paraId="36EB75AE" w14:textId="77777777">
      <w:pPr>
        <w:rPr>
          <w:rFonts w:cs="Arial"/>
        </w:rPr>
      </w:pPr>
      <w:r w:rsidRPr="00ED38E9">
        <w:rPr>
          <w:rFonts w:cs="Arial"/>
        </w:rPr>
        <w:t>Orgánem odpovědným za implementaci navrhované právní úpravy je Ministerstvo životního prostředí.</w:t>
      </w:r>
    </w:p>
    <w:p w:rsidR="00324860" w:rsidRPr="00ED38E9" w:rsidP="00324860" w14:paraId="020E5A0C" w14:textId="77777777">
      <w:pPr>
        <w:rPr>
          <w:rFonts w:cs="Arial"/>
        </w:rPr>
      </w:pPr>
      <w:r w:rsidRPr="00ED38E9">
        <w:rPr>
          <w:rFonts w:cs="Arial"/>
        </w:rPr>
        <w:t xml:space="preserve">Dalšími orgány veřejné správy, které dohlížejí nad dodržováním povinností vyplývajících ze zákona o </w:t>
      </w:r>
      <w:r w:rsidRPr="00ED38E9" w:rsidR="00BE2D4A">
        <w:rPr>
          <w:rFonts w:cs="Arial"/>
        </w:rPr>
        <w:t>výrobcích s</w:t>
      </w:r>
      <w:r w:rsidRPr="00ED38E9" w:rsidR="00333557">
        <w:rPr>
          <w:rFonts w:cs="Arial"/>
        </w:rPr>
        <w:t> </w:t>
      </w:r>
      <w:r w:rsidRPr="00ED38E9" w:rsidR="00BE2D4A">
        <w:rPr>
          <w:rFonts w:cs="Arial"/>
        </w:rPr>
        <w:t>ukončenou životností</w:t>
      </w:r>
      <w:r w:rsidRPr="00ED38E9">
        <w:rPr>
          <w:rFonts w:cs="Arial"/>
        </w:rPr>
        <w:t>, jsou obecní úřady obcí s</w:t>
      </w:r>
      <w:r w:rsidRPr="00ED38E9" w:rsidR="00333557">
        <w:rPr>
          <w:rFonts w:cs="Arial"/>
        </w:rPr>
        <w:t> </w:t>
      </w:r>
      <w:r w:rsidRPr="00ED38E9">
        <w:rPr>
          <w:rFonts w:cs="Arial"/>
        </w:rPr>
        <w:t>rozšířenou působností, krajské úřady</w:t>
      </w:r>
      <w:r w:rsidR="00CF7F7D">
        <w:rPr>
          <w:rFonts w:cs="Arial"/>
        </w:rPr>
        <w:t>, celní úřady,</w:t>
      </w:r>
      <w:r w:rsidRPr="00ED38E9">
        <w:rPr>
          <w:rFonts w:cs="Arial"/>
        </w:rPr>
        <w:t xml:space="preserve"> Česká inspekce životního prostředí</w:t>
      </w:r>
      <w:r w:rsidR="00CF7F7D">
        <w:rPr>
          <w:rFonts w:cs="Arial"/>
        </w:rPr>
        <w:t xml:space="preserve"> a Česká obchodní inspekce</w:t>
      </w:r>
      <w:r w:rsidRPr="00ED38E9">
        <w:rPr>
          <w:rFonts w:cs="Arial"/>
        </w:rPr>
        <w:t>.</w:t>
      </w:r>
    </w:p>
    <w:p w:rsidR="00324860" w:rsidRPr="00ED38E9" w:rsidP="00324860" w14:paraId="7BA13CEC" w14:textId="77777777">
      <w:pPr>
        <w:rPr>
          <w:rFonts w:cs="Arial"/>
        </w:rPr>
      </w:pPr>
      <w:r w:rsidRPr="00ED38E9">
        <w:rPr>
          <w:rFonts w:cs="Arial"/>
        </w:rPr>
        <w:t xml:space="preserve">Vynucování zákonem stanovených povinností prostřednictvím pokut, případně i pomocí opatření ke zjednání nápravy, zajišťuje především Česká inspekce životního prostředí </w:t>
      </w:r>
      <w:r w:rsidR="00CF7F7D">
        <w:rPr>
          <w:rFonts w:cs="Arial"/>
        </w:rPr>
        <w:t>a Česká obchodní inspekce</w:t>
      </w:r>
      <w:r w:rsidRPr="00ED38E9" w:rsidR="00CF7F7D">
        <w:rPr>
          <w:rFonts w:cs="Arial"/>
        </w:rPr>
        <w:t xml:space="preserve"> </w:t>
      </w:r>
      <w:r w:rsidRPr="00ED38E9">
        <w:rPr>
          <w:rFonts w:cs="Arial"/>
        </w:rPr>
        <w:t>a v</w:t>
      </w:r>
      <w:r w:rsidRPr="00ED38E9" w:rsidR="00333557">
        <w:rPr>
          <w:rFonts w:cs="Arial"/>
        </w:rPr>
        <w:t> </w:t>
      </w:r>
      <w:r w:rsidRPr="00ED38E9">
        <w:rPr>
          <w:rFonts w:cs="Arial"/>
        </w:rPr>
        <w:t>případech</w:t>
      </w:r>
      <w:r w:rsidR="00CF7F7D">
        <w:rPr>
          <w:rFonts w:cs="Arial"/>
        </w:rPr>
        <w:t xml:space="preserve"> porušení povinností nepodnikajícími fyzickými osobami</w:t>
      </w:r>
      <w:r w:rsidRPr="00ED38E9">
        <w:rPr>
          <w:rFonts w:cs="Arial"/>
        </w:rPr>
        <w:t xml:space="preserve"> obecní úřady obcí s</w:t>
      </w:r>
      <w:r w:rsidRPr="00ED38E9" w:rsidR="00333557">
        <w:rPr>
          <w:rFonts w:cs="Arial"/>
        </w:rPr>
        <w:t> </w:t>
      </w:r>
      <w:r w:rsidRPr="00ED38E9">
        <w:rPr>
          <w:rFonts w:cs="Arial"/>
        </w:rPr>
        <w:t>rozšířenou působností.</w:t>
      </w:r>
    </w:p>
    <w:p w:rsidR="00324860" w:rsidP="00324860" w14:paraId="73AB1D46" w14:textId="311EEA87">
      <w:pPr>
        <w:rPr>
          <w:rFonts w:cs="Arial"/>
        </w:rPr>
      </w:pPr>
      <w:r w:rsidRPr="00ED38E9">
        <w:rPr>
          <w:rFonts w:cs="Arial"/>
        </w:rPr>
        <w:t>Navrhovaná právní</w:t>
      </w:r>
      <w:r w:rsidRPr="00ED38E9" w:rsidR="00BD251B">
        <w:rPr>
          <w:rFonts w:cs="Arial"/>
        </w:rPr>
        <w:t xml:space="preserve"> úprava</w:t>
      </w:r>
      <w:r w:rsidRPr="00ED38E9">
        <w:rPr>
          <w:rFonts w:cs="Arial"/>
        </w:rPr>
        <w:t xml:space="preserve"> přináší subjektům </w:t>
      </w:r>
      <w:r w:rsidRPr="00ED38E9" w:rsidR="00BE2D4A">
        <w:rPr>
          <w:rFonts w:cs="Arial"/>
        </w:rPr>
        <w:t>i</w:t>
      </w:r>
      <w:r w:rsidRPr="00ED38E9">
        <w:rPr>
          <w:rFonts w:cs="Arial"/>
        </w:rPr>
        <w:t xml:space="preserve"> zcela nové povinnosti</w:t>
      </w:r>
      <w:r w:rsidRPr="00ED38E9" w:rsidR="00BE2D4A">
        <w:rPr>
          <w:rFonts w:cs="Arial"/>
        </w:rPr>
        <w:t xml:space="preserve"> a</w:t>
      </w:r>
      <w:r w:rsidRPr="00ED38E9">
        <w:rPr>
          <w:rFonts w:cs="Arial"/>
        </w:rPr>
        <w:t xml:space="preserve"> v</w:t>
      </w:r>
      <w:r w:rsidRPr="00ED38E9" w:rsidR="00333557">
        <w:rPr>
          <w:rFonts w:cs="Arial"/>
        </w:rPr>
        <w:t> </w:t>
      </w:r>
      <w:r w:rsidRPr="00ED38E9">
        <w:rPr>
          <w:rFonts w:cs="Arial"/>
        </w:rPr>
        <w:t xml:space="preserve">některých případech upravuje ty stávající. </w:t>
      </w:r>
      <w:r w:rsidR="00CF7F7D">
        <w:rPr>
          <w:rFonts w:cs="Arial"/>
        </w:rPr>
        <w:t>K</w:t>
      </w:r>
      <w:r w:rsidRPr="00ED38E9" w:rsidR="00CF7F7D">
        <w:rPr>
          <w:rFonts w:cs="Arial"/>
        </w:rPr>
        <w:t xml:space="preserve"> </w:t>
      </w:r>
      <w:r w:rsidRPr="00ED38E9">
        <w:rPr>
          <w:rFonts w:cs="Arial"/>
        </w:rPr>
        <w:t xml:space="preserve">zajištění dodržování právní úpravy ze strany regulovaných subjektů </w:t>
      </w:r>
      <w:r w:rsidRPr="00ED38E9" w:rsidR="00012208">
        <w:rPr>
          <w:rFonts w:cs="Arial"/>
        </w:rPr>
        <w:t>bude</w:t>
      </w:r>
      <w:r w:rsidRPr="00ED38E9">
        <w:rPr>
          <w:rFonts w:cs="Arial"/>
        </w:rPr>
        <w:t xml:space="preserve"> možno využít možnost</w:t>
      </w:r>
      <w:r w:rsidRPr="00ED38E9" w:rsidR="00012208">
        <w:rPr>
          <w:rFonts w:cs="Arial"/>
        </w:rPr>
        <w:t>i</w:t>
      </w:r>
      <w:r w:rsidRPr="00ED38E9">
        <w:rPr>
          <w:rFonts w:cs="Arial"/>
        </w:rPr>
        <w:t xml:space="preserve"> sankcionování </w:t>
      </w:r>
      <w:r w:rsidR="00CF7F7D">
        <w:rPr>
          <w:rFonts w:cs="Arial"/>
        </w:rPr>
        <w:t>v</w:t>
      </w:r>
      <w:r w:rsidRPr="00ED38E9">
        <w:rPr>
          <w:rFonts w:cs="Arial"/>
        </w:rPr>
        <w:t xml:space="preserve"> případ</w:t>
      </w:r>
      <w:r w:rsidR="00CF7F7D">
        <w:rPr>
          <w:rFonts w:cs="Arial"/>
        </w:rPr>
        <w:t>ě</w:t>
      </w:r>
      <w:r w:rsidRPr="00ED38E9">
        <w:rPr>
          <w:rFonts w:cs="Arial"/>
        </w:rPr>
        <w:t xml:space="preserve"> nedodržování stanovených povinností na</w:t>
      </w:r>
      <w:r w:rsidR="0012681B">
        <w:rPr>
          <w:rFonts w:cs="Arial"/>
        </w:rPr>
        <w:t> </w:t>
      </w:r>
      <w:r w:rsidRPr="00ED38E9">
        <w:rPr>
          <w:rFonts w:cs="Arial"/>
        </w:rPr>
        <w:t>základě skutkových podstat</w:t>
      </w:r>
      <w:r w:rsidRPr="00ED38E9" w:rsidR="0002555E">
        <w:rPr>
          <w:rFonts w:cs="Arial"/>
        </w:rPr>
        <w:t xml:space="preserve"> </w:t>
      </w:r>
      <w:r w:rsidR="00CF7F7D">
        <w:rPr>
          <w:rFonts w:cs="Arial"/>
        </w:rPr>
        <w:t>přestupků</w:t>
      </w:r>
      <w:r w:rsidRPr="00ED38E9">
        <w:rPr>
          <w:rFonts w:cs="Arial"/>
        </w:rPr>
        <w:t>.</w:t>
      </w:r>
    </w:p>
    <w:p w:rsidR="001C7258" w:rsidRPr="00ED38E9" w:rsidP="00324860" w14:paraId="068EFACC" w14:textId="77777777">
      <w:pPr>
        <w:rPr>
          <w:rFonts w:cs="Arial"/>
        </w:rPr>
      </w:pPr>
    </w:p>
    <w:p w:rsidR="00324860" w:rsidRPr="00ED38E9" w:rsidP="007A2E3D" w14:paraId="36381B08" w14:textId="77777777">
      <w:pPr>
        <w:pStyle w:val="Heading1"/>
      </w:pPr>
      <w:bookmarkStart w:id="281" w:name="_Toc441759972"/>
      <w:bookmarkStart w:id="282" w:name="_Toc14942105"/>
      <w:bookmarkStart w:id="283" w:name="_Toc256000031"/>
      <w:r w:rsidRPr="00ED38E9">
        <w:t>Přezkum účinnosti regulace</w:t>
      </w:r>
      <w:bookmarkEnd w:id="283"/>
      <w:bookmarkEnd w:id="281"/>
      <w:bookmarkEnd w:id="282"/>
    </w:p>
    <w:p w:rsidR="0098437A" w:rsidRPr="00ED38E9" w:rsidP="00252610" w14:paraId="2171E138" w14:textId="77777777">
      <w:pPr>
        <w:rPr>
          <w:rFonts w:cs="Arial"/>
        </w:rPr>
      </w:pPr>
      <w:r w:rsidRPr="00ED38E9">
        <w:rPr>
          <w:rFonts w:cs="Arial"/>
        </w:rPr>
        <w:t>Přezkum účinnosti regulace provede Ministerstvo životního prostředí v</w:t>
      </w:r>
      <w:r w:rsidRPr="00ED38E9" w:rsidR="00333557">
        <w:rPr>
          <w:rFonts w:cs="Arial"/>
        </w:rPr>
        <w:t> </w:t>
      </w:r>
      <w:r w:rsidRPr="00ED38E9">
        <w:rPr>
          <w:rFonts w:cs="Arial"/>
        </w:rPr>
        <w:t>rámci zpětné vazby metodické činnosti vůči nižším orgánům veřejné správy, a to do tří let ode dne účinnosti navrhované právní úpravy.</w:t>
      </w:r>
      <w:r w:rsidRPr="00ED38E9">
        <w:rPr>
          <w:rFonts w:cs="Arial"/>
        </w:rPr>
        <w:t xml:space="preserve"> Tato perioda je dostatečně dlouhá pro shromáždění dostatečného objemu dat relevantních pro přezkum účinnosti a podnětů od dotčených subjektů a zároveň dostatečně krátká tak, aby nedošlo k</w:t>
      </w:r>
      <w:r w:rsidRPr="00ED38E9" w:rsidR="00333557">
        <w:rPr>
          <w:rFonts w:cs="Arial"/>
        </w:rPr>
        <w:t> </w:t>
      </w:r>
      <w:r w:rsidRPr="00ED38E9">
        <w:rPr>
          <w:rFonts w:cs="Arial"/>
        </w:rPr>
        <w:t>přehlcení velkým objemem podnětů a navrhovaných změn.</w:t>
      </w:r>
    </w:p>
    <w:p w:rsidR="0098437A" w:rsidRPr="00ED38E9" w:rsidP="0090420E" w14:paraId="28D9D69F" w14:textId="77777777">
      <w:pPr>
        <w:widowControl w:val="0"/>
        <w:rPr>
          <w:rFonts w:cs="Arial"/>
        </w:rPr>
      </w:pPr>
      <w:r w:rsidRPr="00ED38E9">
        <w:rPr>
          <w:rFonts w:cs="Arial"/>
        </w:rPr>
        <w:t xml:space="preserve">Zpracovatel doporučuje sledovat </w:t>
      </w:r>
      <w:r w:rsidR="001D4F0F">
        <w:rPr>
          <w:rFonts w:cs="Arial"/>
        </w:rPr>
        <w:t xml:space="preserve">zejména </w:t>
      </w:r>
      <w:r w:rsidRPr="00ED38E9">
        <w:rPr>
          <w:rFonts w:cs="Arial"/>
        </w:rPr>
        <w:t>následující ukazatele:</w:t>
      </w:r>
    </w:p>
    <w:p w:rsidR="0098437A" w:rsidRPr="00ED38E9" w:rsidP="003C445B" w14:paraId="480B4ADB" w14:textId="77777777">
      <w:pPr>
        <w:pStyle w:val="ListParagraph"/>
        <w:widowControl w:val="0"/>
        <w:numPr>
          <w:ilvl w:val="0"/>
          <w:numId w:val="40"/>
        </w:numPr>
        <w:spacing w:after="120" w:line="23" w:lineRule="atLeast"/>
        <w:ind w:left="714" w:hanging="357"/>
        <w:contextualSpacing w:val="0"/>
        <w:rPr>
          <w:rFonts w:cs="Arial"/>
        </w:rPr>
      </w:pPr>
      <w:r w:rsidRPr="00ED38E9">
        <w:rPr>
          <w:rFonts w:cs="Arial"/>
        </w:rPr>
        <w:t xml:space="preserve">výši recyklačních </w:t>
      </w:r>
      <w:r w:rsidR="001D4F0F">
        <w:rPr>
          <w:rFonts w:cs="Arial"/>
        </w:rPr>
        <w:t>příspěvků</w:t>
      </w:r>
      <w:r w:rsidRPr="00ED38E9" w:rsidR="001D4F0F">
        <w:rPr>
          <w:rFonts w:cs="Arial"/>
        </w:rPr>
        <w:t xml:space="preserve"> </w:t>
      </w:r>
      <w:r w:rsidRPr="00ED38E9">
        <w:rPr>
          <w:rFonts w:cs="Arial"/>
        </w:rPr>
        <w:t>a jejich vývoj v</w:t>
      </w:r>
      <w:r w:rsidRPr="00ED38E9" w:rsidR="00333557">
        <w:rPr>
          <w:rFonts w:cs="Arial"/>
        </w:rPr>
        <w:t> </w:t>
      </w:r>
      <w:r w:rsidRPr="00ED38E9">
        <w:rPr>
          <w:rFonts w:cs="Arial"/>
        </w:rPr>
        <w:t>porovnání s</w:t>
      </w:r>
      <w:r w:rsidRPr="00ED38E9" w:rsidR="00333557">
        <w:rPr>
          <w:rFonts w:cs="Arial"/>
        </w:rPr>
        <w:t> </w:t>
      </w:r>
      <w:r w:rsidRPr="00ED38E9">
        <w:rPr>
          <w:rFonts w:cs="Arial"/>
        </w:rPr>
        <w:t xml:space="preserve">vývojem cen jednotlivých komodit na příslušných </w:t>
      </w:r>
      <w:r w:rsidR="001D4F0F">
        <w:rPr>
          <w:rFonts w:cs="Arial"/>
        </w:rPr>
        <w:t>trzích</w:t>
      </w:r>
      <w:r w:rsidRPr="00ED38E9">
        <w:rPr>
          <w:rFonts w:cs="Arial"/>
        </w:rPr>
        <w:t>;</w:t>
      </w:r>
    </w:p>
    <w:p w:rsidR="0098437A" w:rsidRPr="00ED38E9" w:rsidP="003C445B" w14:paraId="74439D21" w14:textId="3EA262FE">
      <w:pPr>
        <w:pStyle w:val="ListParagraph"/>
        <w:widowControl w:val="0"/>
        <w:numPr>
          <w:ilvl w:val="0"/>
          <w:numId w:val="40"/>
        </w:numPr>
        <w:spacing w:after="120" w:line="23" w:lineRule="atLeast"/>
        <w:ind w:left="714" w:hanging="357"/>
        <w:contextualSpacing w:val="0"/>
        <w:rPr>
          <w:rFonts w:cs="Arial"/>
        </w:rPr>
      </w:pPr>
      <w:r w:rsidRPr="00ED38E9">
        <w:rPr>
          <w:rFonts w:cs="Arial"/>
        </w:rPr>
        <w:t>hospodaření KS; procentuální vývo</w:t>
      </w:r>
      <w:r w:rsidR="00732746">
        <w:rPr>
          <w:rFonts w:cs="Arial"/>
        </w:rPr>
        <w:t>j předem stanovených výdajů (na </w:t>
      </w:r>
      <w:r w:rsidR="001D4F0F">
        <w:rPr>
          <w:rFonts w:cs="Arial"/>
        </w:rPr>
        <w:t>osvětu a</w:t>
      </w:r>
      <w:r w:rsidR="00732746">
        <w:rPr>
          <w:rFonts w:cs="Arial"/>
        </w:rPr>
        <w:t> </w:t>
      </w:r>
      <w:r w:rsidRPr="00ED38E9">
        <w:rPr>
          <w:rFonts w:cs="Arial"/>
        </w:rPr>
        <w:t>propagaci apod.) ve vztahu k</w:t>
      </w:r>
      <w:r w:rsidRPr="00ED38E9" w:rsidR="00333557">
        <w:rPr>
          <w:rFonts w:cs="Arial"/>
        </w:rPr>
        <w:t> </w:t>
      </w:r>
      <w:r w:rsidRPr="00ED38E9">
        <w:rPr>
          <w:rFonts w:cs="Arial"/>
        </w:rPr>
        <w:t>relevantním údajům z</w:t>
      </w:r>
      <w:r w:rsidRPr="00ED38E9" w:rsidR="00333557">
        <w:rPr>
          <w:rFonts w:cs="Arial"/>
        </w:rPr>
        <w:t> </w:t>
      </w:r>
      <w:r w:rsidRPr="00ED38E9">
        <w:rPr>
          <w:rFonts w:cs="Arial"/>
        </w:rPr>
        <w:t>výkazů zisků a ztrát</w:t>
      </w:r>
      <w:r w:rsidR="001D4F0F">
        <w:rPr>
          <w:rFonts w:cs="Arial"/>
        </w:rPr>
        <w:t>;</w:t>
      </w:r>
    </w:p>
    <w:p w:rsidR="0098437A" w:rsidRPr="00ED38E9" w:rsidP="003C445B" w14:paraId="60EFF891" w14:textId="77777777">
      <w:pPr>
        <w:pStyle w:val="ListParagraph"/>
        <w:widowControl w:val="0"/>
        <w:numPr>
          <w:ilvl w:val="0"/>
          <w:numId w:val="40"/>
        </w:numPr>
        <w:spacing w:after="120" w:line="23" w:lineRule="atLeast"/>
        <w:ind w:left="714" w:hanging="357"/>
        <w:contextualSpacing w:val="0"/>
        <w:rPr>
          <w:rFonts w:cs="Arial"/>
        </w:rPr>
      </w:pPr>
      <w:r w:rsidRPr="00ED38E9">
        <w:rPr>
          <w:rFonts w:cs="Arial"/>
        </w:rPr>
        <w:t xml:space="preserve">úroveň zpětného odběru dle kategorií </w:t>
      </w:r>
      <w:r w:rsidR="001D4F0F">
        <w:rPr>
          <w:rFonts w:cs="Arial"/>
        </w:rPr>
        <w:t xml:space="preserve">vybraných </w:t>
      </w:r>
      <w:r w:rsidRPr="00ED38E9">
        <w:rPr>
          <w:rFonts w:cs="Arial"/>
        </w:rPr>
        <w:t>výrobků;</w:t>
      </w:r>
    </w:p>
    <w:p w:rsidR="0098437A" w:rsidP="003C445B" w14:paraId="711FBCFF" w14:textId="77777777">
      <w:pPr>
        <w:pStyle w:val="ListParagraph"/>
        <w:widowControl w:val="0"/>
        <w:numPr>
          <w:ilvl w:val="0"/>
          <w:numId w:val="40"/>
        </w:numPr>
        <w:spacing w:after="120" w:line="23" w:lineRule="atLeast"/>
        <w:ind w:left="714" w:hanging="357"/>
        <w:contextualSpacing w:val="0"/>
        <w:rPr>
          <w:rFonts w:cs="Arial"/>
        </w:rPr>
      </w:pPr>
      <w:r w:rsidRPr="00ED38E9">
        <w:rPr>
          <w:rFonts w:cs="Arial"/>
        </w:rPr>
        <w:t>procentuální podíl jednotlivých zpracovatelů, které KS využívá;</w:t>
      </w:r>
    </w:p>
    <w:p w:rsidR="001C7258" w:rsidRPr="00ED38E9" w:rsidP="00221615" w14:paraId="69A2792C" w14:textId="77777777">
      <w:pPr>
        <w:pStyle w:val="ListParagraph"/>
        <w:widowControl w:val="0"/>
        <w:spacing w:after="120" w:line="23" w:lineRule="atLeast"/>
        <w:ind w:left="714"/>
        <w:rPr>
          <w:rFonts w:cs="Arial"/>
        </w:rPr>
      </w:pPr>
    </w:p>
    <w:p w:rsidR="008F7031" w:rsidRPr="00ED38E9" w:rsidP="007A2E3D" w14:paraId="190F749D" w14:textId="77777777">
      <w:pPr>
        <w:pStyle w:val="Heading1"/>
      </w:pPr>
      <w:bookmarkStart w:id="284" w:name="_Toc441759973"/>
      <w:bookmarkStart w:id="285" w:name="_Toc14942106"/>
      <w:bookmarkStart w:id="286" w:name="_Toc256000032"/>
      <w:r w:rsidRPr="00ED38E9">
        <w:t>Konzultace a zdroje dat</w:t>
      </w:r>
      <w:bookmarkEnd w:id="286"/>
      <w:bookmarkEnd w:id="284"/>
      <w:bookmarkEnd w:id="285"/>
    </w:p>
    <w:p w:rsidR="00EE53C5" w:rsidRPr="00ED38E9" w:rsidP="00B83BCF" w14:paraId="00F96688" w14:textId="3733D495">
      <w:pPr>
        <w:rPr>
          <w:rFonts w:cs="Arial"/>
        </w:rPr>
      </w:pPr>
      <w:r w:rsidRPr="00ED38E9">
        <w:rPr>
          <w:rFonts w:cs="Arial"/>
        </w:rPr>
        <w:t>Materiál vychází z hodnocení dopadů regulace, které bylo zpracováno k věcnému záměru zákona o výrobcích s ukončenou životností schválen</w:t>
      </w:r>
      <w:r w:rsidRPr="00ED38E9" w:rsidR="000C2474">
        <w:rPr>
          <w:rFonts w:cs="Arial"/>
        </w:rPr>
        <w:t>ého</w:t>
      </w:r>
      <w:r w:rsidRPr="00ED38E9">
        <w:rPr>
          <w:rFonts w:cs="Arial"/>
        </w:rPr>
        <w:t xml:space="preserve"> vládou </w:t>
      </w:r>
      <w:r w:rsidRPr="00ED38E9" w:rsidR="00B83BCF">
        <w:rPr>
          <w:rFonts w:cs="Arial"/>
        </w:rPr>
        <w:t>(</w:t>
      </w:r>
      <w:r w:rsidR="00BD3C5F">
        <w:rPr>
          <w:rFonts w:cs="Arial"/>
        </w:rPr>
        <w:t>u</w:t>
      </w:r>
      <w:r w:rsidRPr="00ED38E9" w:rsidR="00B83BCF">
        <w:rPr>
          <w:rFonts w:cs="Arial"/>
        </w:rPr>
        <w:t xml:space="preserve">snesení </w:t>
      </w:r>
      <w:r w:rsidR="00BD3C5F">
        <w:rPr>
          <w:rFonts w:cs="Arial"/>
        </w:rPr>
        <w:t>vlády</w:t>
      </w:r>
      <w:r w:rsidRPr="00ED38E9" w:rsidR="00B83BCF">
        <w:rPr>
          <w:rFonts w:cs="Arial"/>
        </w:rPr>
        <w:t xml:space="preserve"> ze dne 13.</w:t>
      </w:r>
      <w:r w:rsidR="00732746">
        <w:rPr>
          <w:rFonts w:cs="Arial"/>
        </w:rPr>
        <w:t> </w:t>
      </w:r>
      <w:r w:rsidRPr="00ED38E9" w:rsidR="00B83BCF">
        <w:rPr>
          <w:rFonts w:cs="Arial"/>
        </w:rPr>
        <w:t>května 2015 č. 347).</w:t>
      </w:r>
      <w:r w:rsidRPr="00ED38E9" w:rsidR="00547CDE">
        <w:rPr>
          <w:rFonts w:cs="Arial"/>
        </w:rPr>
        <w:t xml:space="preserve"> Body, které </w:t>
      </w:r>
      <w:r w:rsidR="00BD3C5F">
        <w:rPr>
          <w:rFonts w:cs="Arial"/>
        </w:rPr>
        <w:t xml:space="preserve">v </w:t>
      </w:r>
      <w:r w:rsidRPr="00ED38E9" w:rsidR="00BD3C5F">
        <w:rPr>
          <w:rFonts w:cs="Arial"/>
        </w:rPr>
        <w:t>hodnocení dopadů regulace</w:t>
      </w:r>
      <w:r w:rsidRPr="00ED38E9" w:rsidR="00547CDE">
        <w:rPr>
          <w:rFonts w:cs="Arial"/>
        </w:rPr>
        <w:t xml:space="preserve"> nebyly zpracovány, tak byly doplněny na základě odborný</w:t>
      </w:r>
      <w:r w:rsidR="00CF69A2">
        <w:rPr>
          <w:rFonts w:cs="Arial"/>
        </w:rPr>
        <w:t xml:space="preserve">ch konzultací s odborem odpadů </w:t>
      </w:r>
      <w:r w:rsidRPr="00ED38E9" w:rsidR="00120F48">
        <w:rPr>
          <w:rFonts w:cs="Arial"/>
        </w:rPr>
        <w:t>a o</w:t>
      </w:r>
      <w:r w:rsidR="0098129D">
        <w:rPr>
          <w:rFonts w:cs="Arial"/>
        </w:rPr>
        <w:t>slovenými kolektivními systémy.</w:t>
      </w:r>
    </w:p>
    <w:p w:rsidR="00053490" w:rsidRPr="00ED38E9" w:rsidP="00783869" w14:paraId="7ADF2B6C" w14:textId="094A77A5">
      <w:pPr>
        <w:rPr>
          <w:rFonts w:cs="Arial"/>
        </w:rPr>
      </w:pPr>
      <w:r w:rsidRPr="00ED38E9">
        <w:rPr>
          <w:rFonts w:cs="Arial"/>
        </w:rPr>
        <w:t xml:space="preserve">Data a informace </w:t>
      </w:r>
      <w:r w:rsidRPr="00ED38E9" w:rsidR="004F3D66">
        <w:rPr>
          <w:rFonts w:cs="Arial"/>
        </w:rPr>
        <w:t xml:space="preserve">(například identifikace dotčených subjektů) </w:t>
      </w:r>
      <w:r w:rsidRPr="00ED38E9">
        <w:rPr>
          <w:rFonts w:cs="Arial"/>
        </w:rPr>
        <w:t>uvedené v RIA vychází z komunikace s osobami s dlouholetou praxí a zkušenostmi v odpadovém hospodářství.</w:t>
      </w:r>
      <w:r w:rsidRPr="00ED38E9">
        <w:rPr>
          <w:rFonts w:cs="Arial"/>
        </w:rPr>
        <w:t xml:space="preserve"> Konzultace probíhají ústní či elektronickou formou a případná zaslaná data jsou ukládána na</w:t>
      </w:r>
      <w:r w:rsidR="0098129D">
        <w:rPr>
          <w:rFonts w:cs="Arial"/>
        </w:rPr>
        <w:t> </w:t>
      </w:r>
      <w:r w:rsidRPr="00ED38E9">
        <w:rPr>
          <w:rFonts w:cs="Arial"/>
        </w:rPr>
        <w:t>ministerstvu dle interních předpisů.</w:t>
      </w:r>
    </w:p>
    <w:p w:rsidR="003720E3" w:rsidRPr="00ED38E9" w:rsidP="00620E6B" w14:paraId="7EC4526E" w14:textId="77777777">
      <w:pPr>
        <w:pStyle w:val="ListParagraph"/>
        <w:numPr>
          <w:ilvl w:val="0"/>
          <w:numId w:val="3"/>
        </w:numPr>
        <w:ind w:left="426" w:hanging="426"/>
        <w:rPr>
          <w:rFonts w:cs="Arial"/>
          <w:noProof w:val="0"/>
        </w:rPr>
      </w:pPr>
      <w:r w:rsidRPr="00ED38E9">
        <w:rPr>
          <w:rFonts w:cs="Arial"/>
          <w:noProof w:val="0"/>
        </w:rPr>
        <w:t xml:space="preserve">PÍŠKOVÁ, M. </w:t>
      </w:r>
      <w:r w:rsidRPr="00ED38E9" w:rsidR="00465677">
        <w:rPr>
          <w:rFonts w:cs="Arial"/>
          <w:noProof w:val="0"/>
        </w:rPr>
        <w:t xml:space="preserve">a kol. </w:t>
      </w:r>
      <w:r w:rsidRPr="00ED38E9" w:rsidR="00465677">
        <w:rPr>
          <w:rFonts w:cs="Arial"/>
          <w:i/>
        </w:rPr>
        <w:t xml:space="preserve">Hodnocení dopadů regulace </w:t>
      </w:r>
      <w:r w:rsidRPr="00ED38E9">
        <w:rPr>
          <w:rFonts w:cs="Arial"/>
          <w:i/>
        </w:rPr>
        <w:t>k</w:t>
      </w:r>
      <w:r w:rsidRPr="00ED38E9" w:rsidR="00333557">
        <w:rPr>
          <w:rFonts w:cs="Arial"/>
          <w:i/>
        </w:rPr>
        <w:t> </w:t>
      </w:r>
      <w:r w:rsidRPr="00ED38E9">
        <w:rPr>
          <w:rFonts w:cs="Arial"/>
          <w:i/>
        </w:rPr>
        <w:t>návrhu věcného záměru zákona o</w:t>
      </w:r>
      <w:r w:rsidRPr="00ED38E9" w:rsidR="00465677">
        <w:rPr>
          <w:rFonts w:cs="Arial"/>
          <w:i/>
        </w:rPr>
        <w:t> výrobcích s ukončenou životností</w:t>
      </w:r>
      <w:r w:rsidRPr="00ED38E9">
        <w:rPr>
          <w:rFonts w:cs="Arial"/>
          <w:i/>
        </w:rPr>
        <w:t xml:space="preserve">. </w:t>
      </w:r>
      <w:r w:rsidRPr="00ED38E9">
        <w:rPr>
          <w:rFonts w:cs="Arial"/>
        </w:rPr>
        <w:t xml:space="preserve">Praha: Ministerstvo životního prostředí. </w:t>
      </w:r>
      <w:r w:rsidRPr="00ED38E9" w:rsidR="00465677">
        <w:rPr>
          <w:rFonts w:cs="Arial"/>
        </w:rPr>
        <w:t>2015</w:t>
      </w:r>
      <w:r w:rsidRPr="00ED38E9">
        <w:rPr>
          <w:rFonts w:cs="Arial"/>
        </w:rPr>
        <w:t xml:space="preserve">. </w:t>
      </w:r>
      <w:r w:rsidRPr="00ED38E9" w:rsidR="00465677">
        <w:rPr>
          <w:rFonts w:cs="Arial"/>
        </w:rPr>
        <w:t>144</w:t>
      </w:r>
      <w:r w:rsidRPr="00ED38E9">
        <w:rPr>
          <w:rFonts w:cs="Arial"/>
        </w:rPr>
        <w:t xml:space="preserve"> s.</w:t>
      </w:r>
    </w:p>
    <w:p w:rsidR="006722D0" w:rsidRPr="00CF69A2" w:rsidP="00620E6B" w14:paraId="4C9B42CB" w14:textId="35276962">
      <w:pPr>
        <w:pStyle w:val="ListParagraph"/>
        <w:numPr>
          <w:ilvl w:val="0"/>
          <w:numId w:val="3"/>
        </w:numPr>
        <w:ind w:left="426" w:hanging="426"/>
        <w:rPr>
          <w:rFonts w:cs="Arial"/>
          <w:noProof w:val="0"/>
        </w:rPr>
      </w:pPr>
      <w:r w:rsidRPr="00ED38E9">
        <w:rPr>
          <w:rFonts w:cs="Arial"/>
          <w:noProof w:val="0"/>
        </w:rPr>
        <w:t xml:space="preserve">TESÁRKOVÁ, D. a kol. </w:t>
      </w:r>
      <w:r w:rsidRPr="00ED38E9">
        <w:rPr>
          <w:rFonts w:cs="Arial"/>
          <w:i/>
          <w:noProof w:val="0"/>
        </w:rPr>
        <w:t xml:space="preserve">Závěrečná zpráva RIA k věcnému záměru zákona o zpětném </w:t>
      </w:r>
      <w:r w:rsidRPr="00CF69A2">
        <w:rPr>
          <w:rFonts w:cs="Arial"/>
          <w:i/>
          <w:noProof w:val="0"/>
        </w:rPr>
        <w:t>odběru výrobků s ukončenou životností</w:t>
      </w:r>
      <w:r w:rsidRPr="00CF69A2">
        <w:rPr>
          <w:rFonts w:cs="Arial"/>
          <w:noProof w:val="0"/>
        </w:rPr>
        <w:t xml:space="preserve">. Praha: </w:t>
      </w:r>
      <w:r w:rsidR="006F590E">
        <w:rPr>
          <w:rFonts w:cs="Arial"/>
          <w:noProof w:val="0"/>
        </w:rPr>
        <w:t>EEIP</w:t>
      </w:r>
      <w:r w:rsidRPr="00CF69A2">
        <w:rPr>
          <w:rFonts w:cs="Arial"/>
          <w:noProof w:val="0"/>
        </w:rPr>
        <w:t xml:space="preserve"> a.s., 2015. 82 s.</w:t>
      </w:r>
    </w:p>
    <w:p w:rsidR="005967D0" w:rsidRPr="00CF69A2" w:rsidP="00620E6B" w14:paraId="7B5E30E5" w14:textId="77777777">
      <w:pPr>
        <w:pStyle w:val="ListParagraph"/>
        <w:numPr>
          <w:ilvl w:val="0"/>
          <w:numId w:val="3"/>
        </w:numPr>
        <w:ind w:left="426" w:hanging="426"/>
        <w:rPr>
          <w:rFonts w:cs="Arial"/>
        </w:rPr>
      </w:pPr>
      <w:r w:rsidRPr="00CF69A2">
        <w:rPr>
          <w:rFonts w:cs="Arial"/>
          <w:i/>
          <w:lang w:eastAsia="cs-CZ"/>
        </w:rPr>
        <w:t xml:space="preserve">Metodika stanovení plánovaných </w:t>
      </w:r>
      <w:r w:rsidRPr="00CF69A2">
        <w:rPr>
          <w:rFonts w:cs="Arial"/>
          <w:i/>
        </w:rPr>
        <w:t>nákladů</w:t>
      </w:r>
      <w:r w:rsidRPr="00CF69A2">
        <w:rPr>
          <w:rFonts w:cs="Arial"/>
          <w:i/>
          <w:lang w:eastAsia="cs-CZ"/>
        </w:rPr>
        <w:t xml:space="preserve"> na výkon státní správy</w:t>
      </w:r>
      <w:r w:rsidRPr="00CF69A2">
        <w:rPr>
          <w:rFonts w:cs="Arial"/>
          <w:lang w:eastAsia="cs-CZ"/>
        </w:rPr>
        <w:t>. Praha: Ministerstvo vnitra České republiky, 2007. 17 s.</w:t>
      </w:r>
    </w:p>
    <w:p w:rsidR="005967D0" w:rsidRPr="00375CCD" w:rsidP="00620E6B" w14:paraId="6786C883" w14:textId="77777777">
      <w:pPr>
        <w:pStyle w:val="ListParagraph"/>
        <w:numPr>
          <w:ilvl w:val="0"/>
          <w:numId w:val="3"/>
        </w:numPr>
        <w:ind w:left="426" w:hanging="426"/>
        <w:rPr>
          <w:rFonts w:cs="Arial"/>
        </w:rPr>
      </w:pPr>
      <w:r w:rsidRPr="00375CCD">
        <w:rPr>
          <w:rFonts w:cs="Arial"/>
          <w:i/>
        </w:rPr>
        <w:t xml:space="preserve">Metodika měření a přeměřování administrativní zátěže podnikatelů. </w:t>
      </w:r>
      <w:r w:rsidRPr="00375CCD">
        <w:rPr>
          <w:rFonts w:cs="Arial"/>
        </w:rPr>
        <w:t>Praha: Ministerstvo průmyslu a obchodu, červen 2013. 29 s.</w:t>
      </w:r>
    </w:p>
    <w:p w:rsidR="008D5E0F" w:rsidRPr="008D5E0F" w:rsidP="008D5E0F" w14:paraId="225DA1C5" w14:textId="77777777">
      <w:pPr>
        <w:pStyle w:val="ListParagraph"/>
        <w:numPr>
          <w:ilvl w:val="0"/>
          <w:numId w:val="3"/>
        </w:numPr>
        <w:ind w:left="426" w:hanging="426"/>
        <w:rPr>
          <w:noProof w:val="0"/>
        </w:rPr>
      </w:pPr>
      <w:r w:rsidRPr="004025A6">
        <w:rPr>
          <w:noProof w:val="0"/>
          <w:color w:val="000000"/>
          <w:lang w:eastAsia="cs-CZ" w:bidi="ar-SA"/>
        </w:rPr>
        <w:t>Analýza optimálního nastavení činností kolektivních systémů v oblasti nakládání s</w:t>
      </w:r>
      <w:r w:rsidR="00B7387B">
        <w:rPr>
          <w:noProof w:val="0"/>
          <w:color w:val="000000"/>
          <w:lang w:eastAsia="cs-CZ" w:bidi="ar-SA"/>
        </w:rPr>
        <w:t> </w:t>
      </w:r>
      <w:r w:rsidRPr="004025A6">
        <w:rPr>
          <w:noProof w:val="0"/>
          <w:color w:val="000000"/>
          <w:lang w:eastAsia="cs-CZ" w:bidi="ar-SA"/>
        </w:rPr>
        <w:t>elektroodpady 2016, GREEN Solution s.r.o., projekt TA ČR TB940MZP001</w:t>
      </w:r>
    </w:p>
    <w:p w:rsidR="00D73208" w:rsidRPr="008D5E0F" w:rsidP="008D5E0F" w14:paraId="4DB63F2B" w14:textId="1DE23B5A">
      <w:pPr>
        <w:pStyle w:val="ListParagraph"/>
        <w:numPr>
          <w:ilvl w:val="0"/>
          <w:numId w:val="3"/>
        </w:numPr>
        <w:ind w:left="426" w:hanging="426"/>
        <w:rPr>
          <w:noProof w:val="0"/>
          <w:szCs w:val="22"/>
        </w:rPr>
      </w:pPr>
      <w:r>
        <w:rPr>
          <w:rFonts w:cs="Arial"/>
          <w:szCs w:val="22"/>
        </w:rPr>
        <w:t xml:space="preserve">Studie OECD - </w:t>
      </w:r>
      <w:r w:rsidRPr="008D5E0F">
        <w:rPr>
          <w:rFonts w:cs="Arial"/>
          <w:szCs w:val="22"/>
        </w:rPr>
        <w:t xml:space="preserve">Extended Producer Responsibility and the Impact of Online Sales </w:t>
      </w:r>
      <w:r w:rsidRPr="008D5E0F">
        <w:rPr>
          <w:rFonts w:cs="Arial"/>
          <w:szCs w:val="22"/>
          <w:lang w:val="en-US"/>
        </w:rPr>
        <w:t>&lt;</w:t>
      </w:r>
      <w:r w:rsidRPr="008D5E0F">
        <w:rPr>
          <w:rFonts w:cs="Arial"/>
          <w:szCs w:val="22"/>
        </w:rPr>
        <w:t>dostupné z:</w:t>
      </w:r>
      <w:r w:rsidRPr="008D5E0F">
        <w:rPr>
          <w:rFonts w:cs="Arial"/>
          <w:sz w:val="18"/>
          <w:szCs w:val="18"/>
        </w:rPr>
        <w:t xml:space="preserve"> </w:t>
      </w:r>
      <w:hyperlink r:id="rId33" w:history="1">
        <w:r w:rsidRPr="008D5E0F">
          <w:rPr>
            <w:color w:val="0000FF"/>
            <w:szCs w:val="22"/>
            <w:u w:val="single"/>
          </w:rPr>
          <w:t>https://www.oecd.org/environment/waste/policy-highlights-extended-producer-responsibility-and-the-impact-of-online-sales.pdf</w:t>
        </w:r>
      </w:hyperlink>
      <w:r w:rsidRPr="008D5E0F">
        <w:rPr>
          <w:color w:val="000000"/>
          <w:szCs w:val="22"/>
        </w:rPr>
        <w:t>&gt;</w:t>
      </w:r>
    </w:p>
    <w:p w:rsidR="0098129D" w:rsidRPr="00ED38E9" w:rsidP="00783869" w14:paraId="70ADA87E" w14:textId="77777777">
      <w:pPr>
        <w:rPr>
          <w:rFonts w:cs="Arial"/>
        </w:rPr>
      </w:pPr>
    </w:p>
    <w:p w:rsidR="00473CBE" w:rsidRPr="00ED38E9" w:rsidP="007A2E3D" w14:paraId="7816CF98" w14:textId="77777777">
      <w:pPr>
        <w:pStyle w:val="Heading1"/>
      </w:pPr>
      <w:bookmarkStart w:id="287" w:name="_Toc441759974"/>
      <w:bookmarkStart w:id="288" w:name="_Toc14942107"/>
      <w:bookmarkStart w:id="289" w:name="_Toc256000033"/>
      <w:r w:rsidRPr="00ED38E9">
        <w:t>Seznam použitých zkratek</w:t>
      </w:r>
      <w:bookmarkEnd w:id="289"/>
      <w:bookmarkEnd w:id="287"/>
      <w:bookmarkEnd w:id="288"/>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90"/>
        <w:gridCol w:w="6946"/>
      </w:tblGrid>
      <w:tr w14:paraId="68BA4F44" w14:textId="77777777" w:rsidTr="00783869">
        <w:tblPrEx>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97"/>
        </w:trPr>
        <w:tc>
          <w:tcPr>
            <w:tcW w:w="1990" w:type="dxa"/>
            <w:shd w:val="clear" w:color="auto" w:fill="auto"/>
            <w:vAlign w:val="center"/>
          </w:tcPr>
          <w:p w:rsidR="00333557" w:rsidRPr="00ED38E9" w:rsidP="009A7B5C" w14:paraId="0A820C53" w14:textId="77777777">
            <w:pPr>
              <w:spacing w:line="240" w:lineRule="auto"/>
              <w:jc w:val="left"/>
              <w:rPr>
                <w:rFonts w:cs="Arial"/>
                <w:noProof w:val="0"/>
                <w:color w:val="000000"/>
                <w:lang w:eastAsia="cs-CZ" w:bidi="ar-SA"/>
              </w:rPr>
            </w:pPr>
            <w:r w:rsidRPr="00ED38E9">
              <w:rPr>
                <w:rFonts w:cs="Arial"/>
                <w:noProof w:val="0"/>
                <w:color w:val="000000"/>
                <w:lang w:eastAsia="cs-CZ" w:bidi="ar-SA"/>
              </w:rPr>
              <w:t xml:space="preserve">AZ </w:t>
            </w:r>
          </w:p>
        </w:tc>
        <w:tc>
          <w:tcPr>
            <w:tcW w:w="6946" w:type="dxa"/>
            <w:shd w:val="clear" w:color="auto" w:fill="auto"/>
            <w:vAlign w:val="center"/>
          </w:tcPr>
          <w:p w:rsidR="00333557" w:rsidRPr="00ED38E9" w:rsidP="009A7B5C" w14:paraId="3A1F9595" w14:textId="77777777">
            <w:pPr>
              <w:spacing w:line="240" w:lineRule="auto"/>
              <w:rPr>
                <w:rFonts w:cs="Arial"/>
                <w:noProof w:val="0"/>
                <w:color w:val="000000"/>
                <w:lang w:eastAsia="cs-CZ" w:bidi="ar-SA"/>
              </w:rPr>
            </w:pPr>
            <w:r w:rsidRPr="00ED38E9">
              <w:rPr>
                <w:rFonts w:cs="Arial"/>
                <w:noProof w:val="0"/>
                <w:color w:val="000000"/>
                <w:lang w:eastAsia="cs-CZ" w:bidi="ar-SA"/>
              </w:rPr>
              <w:t>administrativní zátěž</w:t>
            </w:r>
          </w:p>
        </w:tc>
      </w:tr>
      <w:tr w14:paraId="311ECD89"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125E5C" w:rsidRPr="00ED38E9" w:rsidP="00E34593" w14:paraId="46EC8AE2" w14:textId="5029F78F">
            <w:pPr>
              <w:spacing w:line="240" w:lineRule="auto"/>
              <w:jc w:val="left"/>
              <w:rPr>
                <w:rFonts w:cs="Arial"/>
                <w:noProof w:val="0"/>
                <w:color w:val="000000"/>
                <w:lang w:eastAsia="cs-CZ" w:bidi="ar-SA"/>
              </w:rPr>
            </w:pPr>
            <w:r>
              <w:rPr>
                <w:rFonts w:cs="Arial"/>
                <w:noProof w:val="0"/>
                <w:color w:val="000000"/>
                <w:lang w:eastAsia="cs-CZ" w:bidi="ar-SA"/>
              </w:rPr>
              <w:t>BA</w:t>
            </w:r>
          </w:p>
        </w:tc>
        <w:tc>
          <w:tcPr>
            <w:tcW w:w="6946" w:type="dxa"/>
            <w:shd w:val="clear" w:color="auto" w:fill="auto"/>
            <w:vAlign w:val="center"/>
          </w:tcPr>
          <w:p w:rsidR="00125E5C" w:rsidRPr="00ED38E9" w:rsidP="00E34593" w14:paraId="7B98D48B" w14:textId="1E64FAC3">
            <w:pPr>
              <w:spacing w:line="240" w:lineRule="auto"/>
              <w:rPr>
                <w:rFonts w:cs="Arial"/>
                <w:noProof w:val="0"/>
                <w:color w:val="000000"/>
                <w:lang w:eastAsia="cs-CZ" w:bidi="ar-SA"/>
              </w:rPr>
            </w:pPr>
            <w:r>
              <w:rPr>
                <w:rFonts w:cs="Arial"/>
                <w:noProof w:val="0"/>
                <w:color w:val="000000"/>
                <w:lang w:eastAsia="cs-CZ" w:bidi="ar-SA"/>
              </w:rPr>
              <w:t>Baterie a akumulátory</w:t>
            </w:r>
          </w:p>
        </w:tc>
      </w:tr>
      <w:tr w14:paraId="59593F15"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hideMark/>
          </w:tcPr>
          <w:p w:rsidR="009A7B5C" w:rsidRPr="00ED38E9" w:rsidP="00E34593" w14:paraId="4BB7ECA4" w14:textId="77777777">
            <w:pPr>
              <w:spacing w:line="240" w:lineRule="auto"/>
              <w:jc w:val="left"/>
              <w:rPr>
                <w:rFonts w:cs="Arial"/>
                <w:noProof w:val="0"/>
                <w:color w:val="000000"/>
                <w:lang w:eastAsia="cs-CZ" w:bidi="ar-SA"/>
              </w:rPr>
            </w:pPr>
            <w:r w:rsidRPr="00ED38E9">
              <w:rPr>
                <w:rFonts w:cs="Arial"/>
                <w:noProof w:val="0"/>
                <w:color w:val="000000"/>
                <w:lang w:eastAsia="cs-CZ" w:bidi="ar-SA"/>
              </w:rPr>
              <w:t>CENIA</w:t>
            </w:r>
          </w:p>
        </w:tc>
        <w:tc>
          <w:tcPr>
            <w:tcW w:w="6946" w:type="dxa"/>
            <w:shd w:val="clear" w:color="auto" w:fill="auto"/>
            <w:vAlign w:val="center"/>
            <w:hideMark/>
          </w:tcPr>
          <w:p w:rsidR="009A7B5C" w:rsidRPr="00ED38E9" w:rsidP="00E34593" w14:paraId="69FE3C39" w14:textId="77777777">
            <w:pPr>
              <w:spacing w:line="240" w:lineRule="auto"/>
              <w:rPr>
                <w:rFonts w:cs="Arial"/>
                <w:noProof w:val="0"/>
                <w:color w:val="000000"/>
                <w:lang w:eastAsia="cs-CZ" w:bidi="ar-SA"/>
              </w:rPr>
            </w:pPr>
            <w:r w:rsidRPr="00ED38E9">
              <w:rPr>
                <w:rFonts w:cs="Arial"/>
                <w:noProof w:val="0"/>
                <w:color w:val="000000"/>
                <w:lang w:eastAsia="cs-CZ" w:bidi="ar-SA"/>
              </w:rPr>
              <w:t>CENIA, česká informační agentura životního prostředí</w:t>
            </w:r>
          </w:p>
        </w:tc>
      </w:tr>
      <w:tr w14:paraId="6B7023E1"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hideMark/>
          </w:tcPr>
          <w:p w:rsidR="009A7B5C" w:rsidRPr="00ED38E9" w:rsidP="00E34593" w14:paraId="72107A94" w14:textId="77777777">
            <w:pPr>
              <w:spacing w:line="240" w:lineRule="auto"/>
              <w:jc w:val="left"/>
              <w:rPr>
                <w:rFonts w:cs="Arial"/>
                <w:noProof w:val="0"/>
                <w:color w:val="000000"/>
                <w:lang w:eastAsia="cs-CZ" w:bidi="ar-SA"/>
              </w:rPr>
            </w:pPr>
            <w:r w:rsidRPr="00ED38E9">
              <w:rPr>
                <w:rFonts w:cs="Arial"/>
                <w:noProof w:val="0"/>
                <w:color w:val="000000"/>
                <w:lang w:eastAsia="cs-CZ" w:bidi="ar-SA"/>
              </w:rPr>
              <w:t>ČIŽP</w:t>
            </w:r>
          </w:p>
        </w:tc>
        <w:tc>
          <w:tcPr>
            <w:tcW w:w="6946" w:type="dxa"/>
            <w:shd w:val="clear" w:color="auto" w:fill="auto"/>
            <w:vAlign w:val="center"/>
            <w:hideMark/>
          </w:tcPr>
          <w:p w:rsidR="009A7B5C" w:rsidRPr="00ED38E9" w:rsidP="00E34593" w14:paraId="7D3B6A76" w14:textId="77777777">
            <w:pPr>
              <w:spacing w:line="240" w:lineRule="auto"/>
              <w:rPr>
                <w:rFonts w:cs="Arial"/>
                <w:noProof w:val="0"/>
                <w:color w:val="000000"/>
                <w:lang w:eastAsia="cs-CZ" w:bidi="ar-SA"/>
              </w:rPr>
            </w:pPr>
            <w:r w:rsidRPr="00ED38E9">
              <w:rPr>
                <w:rFonts w:cs="Arial"/>
                <w:noProof w:val="0"/>
                <w:color w:val="000000"/>
                <w:lang w:eastAsia="cs-CZ" w:bidi="ar-SA"/>
              </w:rPr>
              <w:t>Česká inspekce životního prostředí</w:t>
            </w:r>
          </w:p>
        </w:tc>
      </w:tr>
      <w:tr w14:paraId="095C6708"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D62CB8" w:rsidRPr="00ED38E9" w:rsidP="00E34593" w14:paraId="481D680C" w14:textId="77777777">
            <w:pPr>
              <w:spacing w:line="240" w:lineRule="auto"/>
              <w:jc w:val="left"/>
              <w:rPr>
                <w:rFonts w:cs="Arial"/>
                <w:noProof w:val="0"/>
                <w:color w:val="000000"/>
                <w:lang w:eastAsia="cs-CZ" w:bidi="ar-SA"/>
              </w:rPr>
            </w:pPr>
            <w:r>
              <w:rPr>
                <w:rFonts w:cs="Arial"/>
                <w:noProof w:val="0"/>
                <w:color w:val="000000"/>
                <w:lang w:eastAsia="cs-CZ" w:bidi="ar-SA"/>
              </w:rPr>
              <w:t>ČOI</w:t>
            </w:r>
          </w:p>
        </w:tc>
        <w:tc>
          <w:tcPr>
            <w:tcW w:w="6946" w:type="dxa"/>
            <w:shd w:val="clear" w:color="auto" w:fill="auto"/>
            <w:vAlign w:val="center"/>
          </w:tcPr>
          <w:p w:rsidR="00D62CB8" w:rsidRPr="00ED38E9" w:rsidP="00E34593" w14:paraId="2B2D7132" w14:textId="77777777">
            <w:pPr>
              <w:spacing w:line="240" w:lineRule="auto"/>
              <w:rPr>
                <w:rFonts w:cs="Arial"/>
                <w:noProof w:val="0"/>
                <w:color w:val="000000"/>
                <w:lang w:eastAsia="cs-CZ" w:bidi="ar-SA"/>
              </w:rPr>
            </w:pPr>
            <w:r>
              <w:rPr>
                <w:rFonts w:cs="Arial"/>
                <w:noProof w:val="0"/>
                <w:color w:val="000000"/>
                <w:lang w:eastAsia="cs-CZ" w:bidi="ar-SA"/>
              </w:rPr>
              <w:t>Česká obchodní inspekce</w:t>
            </w:r>
          </w:p>
        </w:tc>
      </w:tr>
      <w:tr w14:paraId="58C37218"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E0452D" w:rsidRPr="00ED38E9" w:rsidP="00E34593" w14:paraId="38E9458B" w14:textId="77777777">
            <w:pPr>
              <w:spacing w:line="240" w:lineRule="auto"/>
              <w:jc w:val="left"/>
              <w:rPr>
                <w:rFonts w:cs="Arial"/>
                <w:noProof w:val="0"/>
                <w:color w:val="000000"/>
                <w:lang w:eastAsia="cs-CZ" w:bidi="ar-SA"/>
              </w:rPr>
            </w:pPr>
            <w:r w:rsidRPr="00ED38E9">
              <w:rPr>
                <w:rFonts w:cs="Arial"/>
                <w:lang w:eastAsia="cs-CZ"/>
              </w:rPr>
              <w:t>ČR</w:t>
            </w:r>
          </w:p>
        </w:tc>
        <w:tc>
          <w:tcPr>
            <w:tcW w:w="6946" w:type="dxa"/>
            <w:shd w:val="clear" w:color="auto" w:fill="auto"/>
            <w:vAlign w:val="center"/>
          </w:tcPr>
          <w:p w:rsidR="00E0452D" w:rsidRPr="00ED38E9" w:rsidP="00E34593" w14:paraId="681DC2B4" w14:textId="77777777">
            <w:pPr>
              <w:spacing w:line="240" w:lineRule="auto"/>
              <w:rPr>
                <w:rFonts w:cs="Arial"/>
                <w:noProof w:val="0"/>
                <w:color w:val="000000"/>
                <w:lang w:eastAsia="cs-CZ" w:bidi="ar-SA"/>
              </w:rPr>
            </w:pPr>
            <w:r w:rsidRPr="00ED38E9">
              <w:rPr>
                <w:rFonts w:cs="Arial"/>
                <w:noProof w:val="0"/>
                <w:color w:val="000000"/>
                <w:lang w:eastAsia="cs-CZ" w:bidi="ar-SA"/>
              </w:rPr>
              <w:t>Česká republika</w:t>
            </w:r>
          </w:p>
        </w:tc>
      </w:tr>
      <w:tr w14:paraId="689EF983"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E0452D" w:rsidRPr="00ED38E9" w:rsidP="00E34593" w14:paraId="5CFCE27A" w14:textId="77777777">
            <w:pPr>
              <w:spacing w:line="240" w:lineRule="auto"/>
              <w:jc w:val="left"/>
              <w:rPr>
                <w:rFonts w:cs="Arial"/>
                <w:lang w:eastAsia="cs-CZ"/>
              </w:rPr>
            </w:pPr>
            <w:r w:rsidRPr="00ED38E9">
              <w:rPr>
                <w:rFonts w:cs="Arial"/>
                <w:lang w:eastAsia="cs-CZ"/>
              </w:rPr>
              <w:t>DPA</w:t>
            </w:r>
          </w:p>
        </w:tc>
        <w:tc>
          <w:tcPr>
            <w:tcW w:w="6946" w:type="dxa"/>
            <w:shd w:val="clear" w:color="auto" w:fill="auto"/>
            <w:vAlign w:val="center"/>
          </w:tcPr>
          <w:p w:rsidR="00E0452D" w:rsidRPr="00ED38E9" w:rsidP="00E34593" w14:paraId="6C894167" w14:textId="77777777">
            <w:pPr>
              <w:spacing w:line="240" w:lineRule="auto"/>
              <w:rPr>
                <w:rFonts w:cs="Arial"/>
                <w:noProof w:val="0"/>
                <w:color w:val="000000"/>
                <w:lang w:eastAsia="cs-CZ" w:bidi="ar-SA"/>
              </w:rPr>
            </w:pPr>
            <w:r w:rsidRPr="00ED38E9">
              <w:rPr>
                <w:rFonts w:cs="Arial"/>
                <w:lang w:eastAsia="cs-CZ"/>
              </w:rPr>
              <w:t>Dánský operátor trhu s odpadním elektrozařízením</w:t>
            </w:r>
          </w:p>
        </w:tc>
      </w:tr>
      <w:tr w14:paraId="352DCF00"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E34593" w14:paraId="35D7026A" w14:textId="77777777">
            <w:pPr>
              <w:spacing w:line="240" w:lineRule="auto"/>
              <w:jc w:val="left"/>
              <w:rPr>
                <w:rFonts w:cs="Arial"/>
                <w:lang w:eastAsia="cs-CZ"/>
              </w:rPr>
            </w:pPr>
            <w:r w:rsidRPr="00ED38E9">
              <w:rPr>
                <w:rFonts w:cs="Arial"/>
                <w:lang w:eastAsia="cs-CZ"/>
              </w:rPr>
              <w:t>EAG-VO</w:t>
            </w:r>
          </w:p>
        </w:tc>
        <w:tc>
          <w:tcPr>
            <w:tcW w:w="6946" w:type="dxa"/>
            <w:shd w:val="clear" w:color="auto" w:fill="auto"/>
            <w:vAlign w:val="center"/>
          </w:tcPr>
          <w:p w:rsidR="003B7283" w:rsidRPr="00ED38E9" w14:paraId="14845E99" w14:textId="77777777">
            <w:pPr>
              <w:spacing w:line="240" w:lineRule="auto"/>
              <w:rPr>
                <w:rFonts w:cs="Arial"/>
                <w:lang w:eastAsia="cs-CZ"/>
              </w:rPr>
            </w:pPr>
            <w:r w:rsidRPr="00ED38E9">
              <w:rPr>
                <w:rFonts w:cs="Arial"/>
                <w:lang w:eastAsia="cs-CZ"/>
              </w:rPr>
              <w:t>Elektroaltgeräteverordnung (zákon o odpadních elektrických a</w:t>
            </w:r>
            <w:r w:rsidRPr="00ED38E9" w:rsidR="00A45DD6">
              <w:rPr>
                <w:rFonts w:cs="Arial"/>
                <w:lang w:eastAsia="cs-CZ"/>
              </w:rPr>
              <w:t> </w:t>
            </w:r>
            <w:r w:rsidRPr="00ED38E9">
              <w:rPr>
                <w:rFonts w:cs="Arial"/>
                <w:lang w:eastAsia="cs-CZ"/>
              </w:rPr>
              <w:t>elektronických zařízeních) v Rakousku</w:t>
            </w:r>
          </w:p>
        </w:tc>
      </w:tr>
      <w:tr w14:paraId="468C0C63"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9A7B5C" w:rsidRPr="00ED38E9" w:rsidP="00E34593" w14:paraId="396B0E6A" w14:textId="77777777">
            <w:pPr>
              <w:spacing w:line="240" w:lineRule="auto"/>
              <w:jc w:val="left"/>
              <w:rPr>
                <w:rFonts w:cs="Arial"/>
                <w:noProof w:val="0"/>
                <w:color w:val="000000"/>
                <w:lang w:eastAsia="cs-CZ" w:bidi="ar-SA"/>
              </w:rPr>
            </w:pPr>
            <w:r w:rsidRPr="00ED38E9">
              <w:rPr>
                <w:rFonts w:cs="Arial"/>
                <w:lang w:eastAsia="cs-CZ"/>
              </w:rPr>
              <w:t>EAK</w:t>
            </w:r>
          </w:p>
        </w:tc>
        <w:tc>
          <w:tcPr>
            <w:tcW w:w="6946" w:type="dxa"/>
            <w:shd w:val="clear" w:color="auto" w:fill="auto"/>
            <w:vAlign w:val="center"/>
          </w:tcPr>
          <w:p w:rsidR="009A7B5C" w:rsidRPr="00ED38E9" w:rsidP="00E34593" w14:paraId="5B14C30F" w14:textId="77777777">
            <w:pPr>
              <w:spacing w:line="240" w:lineRule="auto"/>
              <w:rPr>
                <w:rFonts w:cs="Arial"/>
                <w:noProof w:val="0"/>
                <w:color w:val="000000"/>
                <w:lang w:eastAsia="cs-CZ" w:bidi="ar-SA"/>
              </w:rPr>
            </w:pPr>
            <w:r w:rsidRPr="00ED38E9">
              <w:rPr>
                <w:rFonts w:cs="Arial"/>
                <w:lang w:eastAsia="cs-CZ"/>
              </w:rPr>
              <w:t>Elektroaltgeräte Koordinierungsstelle Austria GmbH (rakouský operátor trhu s odpadním elektrozařízením)</w:t>
            </w:r>
          </w:p>
        </w:tc>
      </w:tr>
      <w:tr w14:paraId="646A3915"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E34593" w14:paraId="05C40810" w14:textId="77777777">
            <w:pPr>
              <w:spacing w:line="240" w:lineRule="auto"/>
              <w:jc w:val="left"/>
              <w:rPr>
                <w:rFonts w:cs="Arial"/>
                <w:noProof w:val="0"/>
                <w:color w:val="000000"/>
                <w:lang w:eastAsia="cs-CZ" w:bidi="ar-SA"/>
              </w:rPr>
            </w:pPr>
            <w:r w:rsidRPr="00ED38E9">
              <w:rPr>
                <w:rFonts w:cs="Arial"/>
                <w:lang w:eastAsia="cs-CZ"/>
              </w:rPr>
              <w:t>EAR</w:t>
            </w:r>
          </w:p>
        </w:tc>
        <w:tc>
          <w:tcPr>
            <w:tcW w:w="6946" w:type="dxa"/>
            <w:shd w:val="clear" w:color="auto" w:fill="auto"/>
            <w:vAlign w:val="center"/>
          </w:tcPr>
          <w:p w:rsidR="003B7283" w:rsidRPr="00ED38E9" w:rsidP="00E34593" w14:paraId="4C75F5F9" w14:textId="77777777">
            <w:pPr>
              <w:spacing w:line="240" w:lineRule="auto"/>
              <w:rPr>
                <w:rFonts w:cs="Arial"/>
                <w:noProof w:val="0"/>
                <w:color w:val="000000"/>
                <w:lang w:eastAsia="cs-CZ" w:bidi="ar-SA"/>
              </w:rPr>
            </w:pPr>
            <w:r w:rsidRPr="00ED38E9">
              <w:rPr>
                <w:rFonts w:cs="Arial"/>
                <w:lang w:eastAsia="cs-CZ"/>
              </w:rPr>
              <w:t>Elektro-Altgeräte Register (Registr elektrozařízení)</w:t>
            </w:r>
          </w:p>
        </w:tc>
      </w:tr>
      <w:tr w14:paraId="5C911964"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5A1CBC7C" w14:textId="77777777">
            <w:pPr>
              <w:spacing w:line="240" w:lineRule="auto"/>
              <w:jc w:val="left"/>
              <w:rPr>
                <w:rFonts w:cs="Arial"/>
                <w:noProof w:val="0"/>
                <w:color w:val="000000"/>
                <w:lang w:eastAsia="cs-CZ" w:bidi="ar-SA"/>
              </w:rPr>
            </w:pPr>
            <w:r w:rsidRPr="00ED38E9">
              <w:rPr>
                <w:rFonts w:cs="Arial"/>
                <w:noProof w:val="0"/>
                <w:color w:val="000000"/>
                <w:lang w:eastAsia="cs-CZ" w:bidi="ar-SA"/>
              </w:rPr>
              <w:t>EEZ</w:t>
            </w:r>
          </w:p>
        </w:tc>
        <w:tc>
          <w:tcPr>
            <w:tcW w:w="6946" w:type="dxa"/>
            <w:shd w:val="clear" w:color="auto" w:fill="auto"/>
            <w:vAlign w:val="center"/>
          </w:tcPr>
          <w:p w:rsidR="003B7283" w:rsidRPr="00ED38E9" w:rsidP="003B7283" w14:paraId="1B77C36E" w14:textId="77777777">
            <w:pPr>
              <w:spacing w:line="240" w:lineRule="auto"/>
              <w:rPr>
                <w:rFonts w:cs="Arial"/>
                <w:noProof w:val="0"/>
                <w:color w:val="000000"/>
                <w:lang w:eastAsia="cs-CZ" w:bidi="ar-SA"/>
              </w:rPr>
            </w:pPr>
            <w:r w:rsidRPr="00ED38E9">
              <w:rPr>
                <w:rFonts w:cs="Arial"/>
                <w:noProof w:val="0"/>
                <w:color w:val="000000"/>
                <w:lang w:eastAsia="cs-CZ" w:bidi="ar-SA"/>
              </w:rPr>
              <w:t>elektrická a elektronická zařízení</w:t>
            </w:r>
          </w:p>
        </w:tc>
      </w:tr>
      <w:tr w14:paraId="46E99043"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1F46787E" w14:textId="77777777">
            <w:pPr>
              <w:spacing w:line="240" w:lineRule="auto"/>
              <w:jc w:val="left"/>
              <w:rPr>
                <w:rFonts w:cs="Arial"/>
                <w:noProof w:val="0"/>
                <w:color w:val="000000"/>
                <w:lang w:eastAsia="cs-CZ" w:bidi="ar-SA"/>
              </w:rPr>
            </w:pPr>
            <w:r w:rsidRPr="00ED38E9">
              <w:rPr>
                <w:rFonts w:cs="Arial"/>
                <w:lang w:eastAsia="cs-CZ"/>
              </w:rPr>
              <w:t>ElektroG</w:t>
            </w:r>
          </w:p>
        </w:tc>
        <w:tc>
          <w:tcPr>
            <w:tcW w:w="6946" w:type="dxa"/>
            <w:shd w:val="clear" w:color="auto" w:fill="auto"/>
            <w:vAlign w:val="center"/>
          </w:tcPr>
          <w:p w:rsidR="003B7283" w:rsidRPr="00ED38E9" w:rsidP="0012681B" w14:paraId="6D894A05" w14:textId="585B1779">
            <w:pPr>
              <w:spacing w:line="240" w:lineRule="auto"/>
              <w:rPr>
                <w:rFonts w:cs="Arial"/>
                <w:noProof w:val="0"/>
                <w:color w:val="000000"/>
                <w:lang w:eastAsia="cs-CZ" w:bidi="ar-SA"/>
              </w:rPr>
            </w:pPr>
            <w:r w:rsidRPr="00ED38E9">
              <w:rPr>
                <w:rFonts w:cs="Arial"/>
                <w:lang w:eastAsia="cs-CZ"/>
              </w:rPr>
              <w:t>Elektro- und Elektronikgerätegesetz (zákon o elektrických a</w:t>
            </w:r>
            <w:r w:rsidR="0012681B">
              <w:rPr>
                <w:rFonts w:cs="Arial"/>
                <w:lang w:eastAsia="cs-CZ"/>
              </w:rPr>
              <w:t> </w:t>
            </w:r>
            <w:r w:rsidRPr="00ED38E9">
              <w:rPr>
                <w:rFonts w:cs="Arial"/>
                <w:lang w:eastAsia="cs-CZ"/>
              </w:rPr>
              <w:t>elektronických zařízeních)</w:t>
            </w:r>
          </w:p>
        </w:tc>
      </w:tr>
      <w:tr w14:paraId="33778BF1"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2412D5BC" w14:textId="77777777">
            <w:pPr>
              <w:spacing w:line="240" w:lineRule="auto"/>
              <w:jc w:val="left"/>
              <w:rPr>
                <w:rFonts w:cs="Arial"/>
                <w:lang w:eastAsia="cs-CZ"/>
              </w:rPr>
            </w:pPr>
            <w:r w:rsidRPr="00ED38E9">
              <w:rPr>
                <w:rFonts w:cs="Arial"/>
                <w:lang w:eastAsia="cs-CZ"/>
              </w:rPr>
              <w:t>ERP</w:t>
            </w:r>
          </w:p>
        </w:tc>
        <w:tc>
          <w:tcPr>
            <w:tcW w:w="6946" w:type="dxa"/>
            <w:shd w:val="clear" w:color="auto" w:fill="auto"/>
            <w:vAlign w:val="center"/>
          </w:tcPr>
          <w:p w:rsidR="003B7283" w:rsidRPr="00ED38E9" w:rsidP="003B7283" w14:paraId="019E5D8D" w14:textId="77777777">
            <w:pPr>
              <w:spacing w:line="240" w:lineRule="auto"/>
              <w:rPr>
                <w:rFonts w:cs="Arial"/>
                <w:noProof w:val="0"/>
                <w:color w:val="000000"/>
                <w:lang w:eastAsia="cs-CZ" w:bidi="ar-SA"/>
              </w:rPr>
            </w:pPr>
            <w:r w:rsidRPr="00ED38E9">
              <w:rPr>
                <w:rFonts w:cs="Arial"/>
                <w:lang w:eastAsia="cs-CZ"/>
              </w:rPr>
              <w:t>European Recycling Platform</w:t>
            </w:r>
          </w:p>
        </w:tc>
      </w:tr>
      <w:tr w14:paraId="1D532431"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0C406C5B" w14:textId="77777777">
            <w:pPr>
              <w:spacing w:line="240" w:lineRule="auto"/>
              <w:jc w:val="left"/>
              <w:rPr>
                <w:rFonts w:cs="Arial"/>
                <w:lang w:eastAsia="cs-CZ"/>
              </w:rPr>
            </w:pPr>
            <w:r w:rsidRPr="00ED38E9">
              <w:rPr>
                <w:rFonts w:cs="Arial"/>
                <w:noProof w:val="0"/>
                <w:color w:val="000000"/>
                <w:lang w:eastAsia="cs-CZ" w:bidi="ar-SA"/>
              </w:rPr>
              <w:t>EU</w:t>
            </w:r>
          </w:p>
        </w:tc>
        <w:tc>
          <w:tcPr>
            <w:tcW w:w="6946" w:type="dxa"/>
            <w:shd w:val="clear" w:color="auto" w:fill="auto"/>
            <w:vAlign w:val="center"/>
          </w:tcPr>
          <w:p w:rsidR="003B7283" w:rsidRPr="00ED38E9" w:rsidP="003B7283" w14:paraId="1E8988D5" w14:textId="77777777">
            <w:pPr>
              <w:spacing w:line="240" w:lineRule="auto"/>
              <w:rPr>
                <w:rFonts w:cs="Arial"/>
                <w:noProof w:val="0"/>
                <w:color w:val="000000"/>
                <w:lang w:eastAsia="cs-CZ" w:bidi="ar-SA"/>
              </w:rPr>
            </w:pPr>
            <w:r w:rsidRPr="00ED38E9">
              <w:rPr>
                <w:rFonts w:cs="Arial"/>
                <w:noProof w:val="0"/>
                <w:color w:val="000000"/>
                <w:lang w:eastAsia="cs-CZ" w:bidi="ar-SA"/>
              </w:rPr>
              <w:t>Evropská unie</w:t>
            </w:r>
          </w:p>
        </w:tc>
      </w:tr>
      <w:tr w14:paraId="7BDD1D42"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19A02E9A" w14:textId="77777777">
            <w:pPr>
              <w:spacing w:line="240" w:lineRule="auto"/>
              <w:jc w:val="left"/>
              <w:rPr>
                <w:rFonts w:cs="Arial"/>
                <w:noProof w:val="0"/>
                <w:color w:val="000000"/>
                <w:lang w:eastAsia="cs-CZ" w:bidi="ar-SA"/>
              </w:rPr>
            </w:pPr>
            <w:r w:rsidRPr="00ED38E9">
              <w:rPr>
                <w:rFonts w:cs="Arial"/>
                <w:noProof w:val="0"/>
                <w:color w:val="000000"/>
                <w:lang w:eastAsia="cs-CZ" w:bidi="ar-SA"/>
              </w:rPr>
              <w:t>HEEZ</w:t>
            </w:r>
          </w:p>
        </w:tc>
        <w:tc>
          <w:tcPr>
            <w:tcW w:w="6946" w:type="dxa"/>
            <w:shd w:val="clear" w:color="auto" w:fill="auto"/>
            <w:vAlign w:val="center"/>
          </w:tcPr>
          <w:p w:rsidR="003B7283" w:rsidRPr="00ED38E9" w:rsidP="003B7283" w14:paraId="31288E05" w14:textId="77777777">
            <w:pPr>
              <w:spacing w:line="240" w:lineRule="auto"/>
              <w:rPr>
                <w:rFonts w:cs="Arial"/>
                <w:noProof w:val="0"/>
                <w:color w:val="000000"/>
                <w:lang w:eastAsia="cs-CZ" w:bidi="ar-SA"/>
              </w:rPr>
            </w:pPr>
            <w:r w:rsidRPr="00ED38E9">
              <w:rPr>
                <w:rFonts w:cs="Arial"/>
                <w:noProof w:val="0"/>
                <w:color w:val="000000"/>
                <w:lang w:eastAsia="cs-CZ" w:bidi="ar-SA"/>
              </w:rPr>
              <w:t>historická elektrická a elektronická zařízení</w:t>
            </w:r>
          </w:p>
        </w:tc>
      </w:tr>
      <w:tr w14:paraId="4C87CFFC"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6CB86173" w14:textId="77777777">
            <w:pPr>
              <w:spacing w:line="240" w:lineRule="auto"/>
              <w:jc w:val="left"/>
              <w:rPr>
                <w:rFonts w:cs="Arial"/>
                <w:noProof w:val="0"/>
                <w:color w:val="000000"/>
                <w:lang w:eastAsia="cs-CZ" w:bidi="ar-SA"/>
              </w:rPr>
            </w:pPr>
            <w:r w:rsidRPr="00ED38E9">
              <w:rPr>
                <w:rFonts w:cs="Arial"/>
                <w:noProof w:val="0"/>
                <w:color w:val="000000"/>
                <w:lang w:eastAsia="cs-CZ" w:bidi="ar-SA"/>
              </w:rPr>
              <w:t>Hyundai</w:t>
            </w:r>
          </w:p>
        </w:tc>
        <w:tc>
          <w:tcPr>
            <w:tcW w:w="6946" w:type="dxa"/>
            <w:shd w:val="clear" w:color="auto" w:fill="auto"/>
            <w:vAlign w:val="center"/>
          </w:tcPr>
          <w:p w:rsidR="003B7283" w:rsidRPr="00ED38E9" w:rsidP="003B7283" w14:paraId="787F73BB" w14:textId="77777777">
            <w:pPr>
              <w:spacing w:line="240" w:lineRule="auto"/>
              <w:rPr>
                <w:rFonts w:cs="Arial"/>
                <w:noProof w:val="0"/>
                <w:color w:val="000000"/>
                <w:lang w:eastAsia="cs-CZ" w:bidi="ar-SA"/>
              </w:rPr>
            </w:pPr>
            <w:r w:rsidRPr="00ED38E9">
              <w:rPr>
                <w:rFonts w:cs="Arial"/>
                <w:noProof w:val="0"/>
                <w:color w:val="000000"/>
                <w:lang w:eastAsia="cs-CZ" w:bidi="ar-SA"/>
              </w:rPr>
              <w:t>Hyundai Motor Manufacturing Czech s.r.o.</w:t>
            </w:r>
          </w:p>
        </w:tc>
      </w:tr>
      <w:tr w14:paraId="0EF89219" w14:textId="77777777" w:rsidTr="00783869">
        <w:tblPrEx>
          <w:tblW w:w="8936" w:type="dxa"/>
          <w:tblInd w:w="65" w:type="dxa"/>
          <w:tblCellMar>
            <w:left w:w="70" w:type="dxa"/>
            <w:right w:w="70" w:type="dxa"/>
          </w:tblCellMar>
          <w:tblLook w:val="04A0"/>
        </w:tblPrEx>
        <w:trPr>
          <w:trHeight w:val="397"/>
        </w:trPr>
        <w:tc>
          <w:tcPr>
            <w:tcW w:w="1990" w:type="dxa"/>
            <w:shd w:val="clear" w:color="auto" w:fill="auto"/>
            <w:noWrap/>
            <w:vAlign w:val="center"/>
          </w:tcPr>
          <w:p w:rsidR="003B7283" w:rsidRPr="00ED38E9" w:rsidP="004F3D66" w14:paraId="554A3982" w14:textId="77777777">
            <w:pPr>
              <w:spacing w:line="240" w:lineRule="auto"/>
              <w:jc w:val="left"/>
              <w:rPr>
                <w:rFonts w:cs="Arial"/>
                <w:noProof w:val="0"/>
                <w:color w:val="000000"/>
                <w:lang w:eastAsia="cs-CZ" w:bidi="ar-SA"/>
              </w:rPr>
            </w:pPr>
            <w:r w:rsidRPr="00ED38E9">
              <w:rPr>
                <w:rFonts w:cs="Arial"/>
                <w:noProof w:val="0"/>
                <w:color w:val="000000"/>
                <w:lang w:eastAsia="cs-CZ" w:bidi="ar-SA"/>
              </w:rPr>
              <w:t>ISOH</w:t>
            </w:r>
          </w:p>
        </w:tc>
        <w:tc>
          <w:tcPr>
            <w:tcW w:w="6946" w:type="dxa"/>
            <w:shd w:val="clear" w:color="auto" w:fill="auto"/>
            <w:noWrap/>
            <w:vAlign w:val="center"/>
          </w:tcPr>
          <w:p w:rsidR="003B7283" w:rsidRPr="00ED38E9" w:rsidP="004425E5" w14:paraId="1B8D18AE" w14:textId="77777777">
            <w:pPr>
              <w:spacing w:line="240" w:lineRule="auto"/>
              <w:jc w:val="left"/>
              <w:rPr>
                <w:rFonts w:cs="Arial"/>
                <w:noProof w:val="0"/>
                <w:color w:val="000000"/>
                <w:lang w:eastAsia="cs-CZ" w:bidi="ar-SA"/>
              </w:rPr>
            </w:pPr>
            <w:r w:rsidRPr="00ED38E9">
              <w:rPr>
                <w:rFonts w:cs="Arial"/>
                <w:noProof w:val="0"/>
                <w:color w:val="000000"/>
                <w:lang w:eastAsia="cs-CZ" w:bidi="ar-SA"/>
              </w:rPr>
              <w:t>Informační systém odpadového hospodářství</w:t>
            </w:r>
          </w:p>
        </w:tc>
      </w:tr>
      <w:tr w14:paraId="4546598E"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7109761C" w14:textId="77777777">
            <w:pPr>
              <w:spacing w:line="240" w:lineRule="auto"/>
              <w:jc w:val="left"/>
              <w:rPr>
                <w:rFonts w:cs="Arial"/>
                <w:noProof w:val="0"/>
                <w:color w:val="000000"/>
                <w:lang w:eastAsia="cs-CZ" w:bidi="ar-SA"/>
              </w:rPr>
            </w:pPr>
            <w:r w:rsidRPr="00ED38E9">
              <w:rPr>
                <w:rFonts w:cs="Arial"/>
                <w:noProof w:val="0"/>
                <w:color w:val="000000"/>
                <w:lang w:eastAsia="cs-CZ" w:bidi="ar-SA"/>
              </w:rPr>
              <w:t>ISPOP</w:t>
            </w:r>
          </w:p>
        </w:tc>
        <w:tc>
          <w:tcPr>
            <w:tcW w:w="6946" w:type="dxa"/>
            <w:shd w:val="clear" w:color="auto" w:fill="auto"/>
            <w:vAlign w:val="center"/>
          </w:tcPr>
          <w:p w:rsidR="003B7283" w:rsidRPr="00ED38E9" w:rsidP="003B7283" w14:paraId="130516BF" w14:textId="77777777">
            <w:pPr>
              <w:spacing w:line="240" w:lineRule="auto"/>
              <w:rPr>
                <w:rFonts w:cs="Arial"/>
                <w:noProof w:val="0"/>
                <w:color w:val="000000"/>
                <w:lang w:eastAsia="cs-CZ" w:bidi="ar-SA"/>
              </w:rPr>
            </w:pPr>
            <w:r w:rsidRPr="00ED38E9">
              <w:rPr>
                <w:rFonts w:cs="Arial"/>
                <w:noProof w:val="0"/>
                <w:color w:val="000000"/>
                <w:lang w:eastAsia="cs-CZ" w:bidi="ar-SA"/>
              </w:rPr>
              <w:t>Integrovaný systém plnění ohlašovacích povinností</w:t>
            </w:r>
          </w:p>
        </w:tc>
      </w:tr>
      <w:tr w14:paraId="2074CF71"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36E670F5" w14:textId="77777777">
            <w:pPr>
              <w:spacing w:line="240" w:lineRule="auto"/>
              <w:jc w:val="left"/>
              <w:rPr>
                <w:rFonts w:cs="Arial"/>
                <w:noProof w:val="0"/>
                <w:color w:val="000000"/>
                <w:lang w:eastAsia="cs-CZ" w:bidi="ar-SA"/>
              </w:rPr>
            </w:pPr>
            <w:r w:rsidRPr="00ED38E9">
              <w:rPr>
                <w:rFonts w:cs="Arial"/>
                <w:noProof w:val="0"/>
                <w:color w:val="000000"/>
                <w:lang w:eastAsia="cs-CZ" w:bidi="ar-SA"/>
              </w:rPr>
              <w:t>KS</w:t>
            </w:r>
          </w:p>
        </w:tc>
        <w:tc>
          <w:tcPr>
            <w:tcW w:w="6946" w:type="dxa"/>
            <w:shd w:val="clear" w:color="auto" w:fill="auto"/>
            <w:vAlign w:val="center"/>
          </w:tcPr>
          <w:p w:rsidR="003B7283" w:rsidRPr="00ED38E9" w:rsidP="003B7283" w14:paraId="41882EB6" w14:textId="77777777">
            <w:pPr>
              <w:spacing w:line="240" w:lineRule="auto"/>
              <w:rPr>
                <w:rFonts w:cs="Arial"/>
                <w:noProof w:val="0"/>
                <w:color w:val="000000"/>
                <w:lang w:eastAsia="cs-CZ" w:bidi="ar-SA"/>
              </w:rPr>
            </w:pPr>
            <w:r w:rsidRPr="00ED38E9">
              <w:rPr>
                <w:rFonts w:cs="Arial"/>
                <w:noProof w:val="0"/>
                <w:color w:val="000000"/>
                <w:lang w:eastAsia="cs-CZ" w:bidi="ar-SA"/>
              </w:rPr>
              <w:t>kolektivní systém</w:t>
            </w:r>
          </w:p>
        </w:tc>
      </w:tr>
      <w:tr w14:paraId="759C8FBE"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3C46D4ED" w14:textId="77777777">
            <w:pPr>
              <w:spacing w:line="240" w:lineRule="auto"/>
              <w:jc w:val="left"/>
              <w:rPr>
                <w:rFonts w:cs="Arial"/>
                <w:noProof w:val="0"/>
                <w:color w:val="000000"/>
                <w:lang w:eastAsia="cs-CZ" w:bidi="ar-SA"/>
              </w:rPr>
            </w:pPr>
            <w:r w:rsidRPr="00ED38E9">
              <w:rPr>
                <w:rFonts w:cs="Arial"/>
                <w:noProof w:val="0"/>
                <w:color w:val="000000"/>
                <w:lang w:eastAsia="cs-CZ" w:bidi="ar-SA"/>
              </w:rPr>
              <w:t>KÚ</w:t>
            </w:r>
          </w:p>
        </w:tc>
        <w:tc>
          <w:tcPr>
            <w:tcW w:w="6946" w:type="dxa"/>
            <w:shd w:val="clear" w:color="auto" w:fill="auto"/>
            <w:vAlign w:val="center"/>
          </w:tcPr>
          <w:p w:rsidR="003B7283" w:rsidRPr="00ED38E9" w:rsidP="003B7283" w14:paraId="04636EC1" w14:textId="77777777">
            <w:pPr>
              <w:spacing w:line="240" w:lineRule="auto"/>
              <w:rPr>
                <w:rFonts w:cs="Arial"/>
                <w:noProof w:val="0"/>
                <w:color w:val="000000"/>
                <w:lang w:eastAsia="cs-CZ" w:bidi="ar-SA"/>
              </w:rPr>
            </w:pPr>
            <w:r w:rsidRPr="00ED38E9">
              <w:rPr>
                <w:rFonts w:cs="Arial"/>
                <w:noProof w:val="0"/>
                <w:color w:val="000000"/>
                <w:lang w:eastAsia="cs-CZ" w:bidi="ar-SA"/>
              </w:rPr>
              <w:t>krajský úřad</w:t>
            </w:r>
          </w:p>
        </w:tc>
      </w:tr>
      <w:tr w14:paraId="652F7A23"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2D718D" w:rsidRPr="00ED38E9" w:rsidP="003B7283" w14:paraId="6DAB5BCA" w14:textId="77777777">
            <w:pPr>
              <w:spacing w:line="240" w:lineRule="auto"/>
              <w:jc w:val="left"/>
              <w:rPr>
                <w:rFonts w:cs="Arial"/>
                <w:noProof w:val="0"/>
                <w:color w:val="000000"/>
                <w:lang w:eastAsia="cs-CZ" w:bidi="ar-SA"/>
              </w:rPr>
            </w:pPr>
            <w:r w:rsidRPr="00ED38E9">
              <w:rPr>
                <w:rFonts w:cs="Arial"/>
                <w:noProof w:val="0"/>
                <w:color w:val="000000"/>
                <w:lang w:eastAsia="cs-CZ" w:bidi="ar-SA"/>
              </w:rPr>
              <w:t>Metodika MV</w:t>
            </w:r>
          </w:p>
        </w:tc>
        <w:tc>
          <w:tcPr>
            <w:tcW w:w="6946" w:type="dxa"/>
            <w:shd w:val="clear" w:color="auto" w:fill="auto"/>
            <w:vAlign w:val="center"/>
          </w:tcPr>
          <w:p w:rsidR="002D718D" w:rsidRPr="00ED38E9" w:rsidP="003B7283" w14:paraId="61ED3C4E" w14:textId="77777777">
            <w:pPr>
              <w:spacing w:line="240" w:lineRule="auto"/>
              <w:rPr>
                <w:rFonts w:cs="Arial"/>
                <w:noProof w:val="0"/>
                <w:color w:val="000000"/>
                <w:lang w:eastAsia="cs-CZ" w:bidi="ar-SA"/>
              </w:rPr>
            </w:pPr>
            <w:r w:rsidRPr="00ED38E9">
              <w:rPr>
                <w:rFonts w:cs="Arial"/>
                <w:noProof w:val="0"/>
                <w:color w:val="000000"/>
                <w:lang w:eastAsia="cs-CZ" w:bidi="ar-SA"/>
              </w:rPr>
              <w:t>Metodika stanovení plánovaných nákladů na výkon státní správy</w:t>
            </w:r>
          </w:p>
        </w:tc>
      </w:tr>
      <w:tr w14:paraId="1D9A73CF"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hideMark/>
          </w:tcPr>
          <w:p w:rsidR="003B7283" w:rsidRPr="00ED38E9" w:rsidP="003B7283" w14:paraId="696D8FF1" w14:textId="77777777">
            <w:pPr>
              <w:spacing w:line="240" w:lineRule="auto"/>
              <w:jc w:val="left"/>
              <w:rPr>
                <w:rFonts w:cs="Arial"/>
                <w:noProof w:val="0"/>
                <w:color w:val="000000"/>
                <w:lang w:eastAsia="cs-CZ" w:bidi="ar-SA"/>
              </w:rPr>
            </w:pPr>
            <w:r w:rsidRPr="00ED38E9">
              <w:rPr>
                <w:rFonts w:cs="Arial"/>
                <w:noProof w:val="0"/>
                <w:color w:val="000000"/>
                <w:lang w:eastAsia="cs-CZ" w:bidi="ar-SA"/>
              </w:rPr>
              <w:t>MPO</w:t>
            </w:r>
          </w:p>
        </w:tc>
        <w:tc>
          <w:tcPr>
            <w:tcW w:w="6946" w:type="dxa"/>
            <w:shd w:val="clear" w:color="auto" w:fill="auto"/>
            <w:vAlign w:val="center"/>
            <w:hideMark/>
          </w:tcPr>
          <w:p w:rsidR="003B7283" w:rsidRPr="00ED38E9" w:rsidP="003B7283" w14:paraId="2B37FABA" w14:textId="77777777">
            <w:pPr>
              <w:spacing w:line="240" w:lineRule="auto"/>
              <w:rPr>
                <w:rFonts w:cs="Arial"/>
                <w:noProof w:val="0"/>
                <w:color w:val="000000"/>
                <w:lang w:eastAsia="cs-CZ" w:bidi="ar-SA"/>
              </w:rPr>
            </w:pPr>
            <w:r w:rsidRPr="00ED38E9">
              <w:rPr>
                <w:rFonts w:cs="Arial"/>
                <w:noProof w:val="0"/>
                <w:color w:val="000000"/>
                <w:lang w:eastAsia="cs-CZ" w:bidi="ar-SA"/>
              </w:rPr>
              <w:t>Ministerstvo průmyslu a obchodu</w:t>
            </w:r>
          </w:p>
        </w:tc>
      </w:tr>
      <w:tr w14:paraId="483484D8"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hideMark/>
          </w:tcPr>
          <w:p w:rsidR="003B7283" w:rsidRPr="00ED38E9" w:rsidP="003B7283" w14:paraId="4B4E5D30" w14:textId="77777777">
            <w:pPr>
              <w:spacing w:line="240" w:lineRule="auto"/>
              <w:jc w:val="left"/>
              <w:rPr>
                <w:rFonts w:cs="Arial"/>
                <w:noProof w:val="0"/>
                <w:color w:val="000000"/>
                <w:lang w:eastAsia="cs-CZ" w:bidi="ar-SA"/>
              </w:rPr>
            </w:pPr>
            <w:r w:rsidRPr="00ED38E9">
              <w:rPr>
                <w:rFonts w:cs="Arial"/>
                <w:noProof w:val="0"/>
                <w:color w:val="000000"/>
                <w:lang w:eastAsia="cs-CZ" w:bidi="ar-SA"/>
              </w:rPr>
              <w:t>MŽP</w:t>
            </w:r>
            <w:r w:rsidRPr="00ED38E9" w:rsidR="00BA0F9A">
              <w:rPr>
                <w:rFonts w:cs="Arial"/>
                <w:noProof w:val="0"/>
                <w:color w:val="000000"/>
                <w:lang w:eastAsia="cs-CZ" w:bidi="ar-SA"/>
              </w:rPr>
              <w:t>, ministerstvo</w:t>
            </w:r>
          </w:p>
        </w:tc>
        <w:tc>
          <w:tcPr>
            <w:tcW w:w="6946" w:type="dxa"/>
            <w:shd w:val="clear" w:color="auto" w:fill="auto"/>
            <w:vAlign w:val="center"/>
            <w:hideMark/>
          </w:tcPr>
          <w:p w:rsidR="003B7283" w:rsidRPr="00ED38E9" w:rsidP="003B7283" w14:paraId="1859CDB0" w14:textId="77777777">
            <w:pPr>
              <w:spacing w:line="240" w:lineRule="auto"/>
              <w:rPr>
                <w:rFonts w:cs="Arial"/>
                <w:noProof w:val="0"/>
                <w:color w:val="000000"/>
                <w:lang w:eastAsia="cs-CZ" w:bidi="ar-SA"/>
              </w:rPr>
            </w:pPr>
            <w:r w:rsidRPr="00ED38E9">
              <w:rPr>
                <w:rFonts w:cs="Arial"/>
                <w:noProof w:val="0"/>
                <w:color w:val="000000"/>
                <w:lang w:eastAsia="cs-CZ" w:bidi="ar-SA"/>
              </w:rPr>
              <w:t>Ministerstvo životního prostředí</w:t>
            </w:r>
          </w:p>
        </w:tc>
      </w:tr>
      <w:tr w14:paraId="33292531"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21D93D3E" w14:textId="77777777">
            <w:pPr>
              <w:spacing w:line="240" w:lineRule="auto"/>
              <w:jc w:val="left"/>
              <w:rPr>
                <w:rFonts w:cs="Arial"/>
                <w:noProof w:val="0"/>
                <w:color w:val="000000"/>
                <w:lang w:eastAsia="cs-CZ" w:bidi="ar-SA"/>
              </w:rPr>
            </w:pPr>
            <w:r w:rsidRPr="00ED38E9">
              <w:rPr>
                <w:rFonts w:cs="Arial"/>
                <w:noProof w:val="0"/>
                <w:color w:val="000000"/>
                <w:lang w:eastAsia="cs-CZ" w:bidi="ar-SA"/>
              </w:rPr>
              <w:t>OEEZ</w:t>
            </w:r>
          </w:p>
        </w:tc>
        <w:tc>
          <w:tcPr>
            <w:tcW w:w="6946" w:type="dxa"/>
            <w:shd w:val="clear" w:color="auto" w:fill="auto"/>
            <w:vAlign w:val="center"/>
          </w:tcPr>
          <w:p w:rsidR="003B7283" w:rsidRPr="00ED38E9" w:rsidP="003B7283" w14:paraId="260F4725" w14:textId="77777777">
            <w:pPr>
              <w:spacing w:line="240" w:lineRule="auto"/>
              <w:rPr>
                <w:rFonts w:cs="Arial"/>
                <w:noProof w:val="0"/>
                <w:color w:val="000000"/>
                <w:lang w:eastAsia="cs-CZ" w:bidi="ar-SA"/>
              </w:rPr>
            </w:pPr>
            <w:r w:rsidRPr="00ED38E9">
              <w:rPr>
                <w:rFonts w:cs="Arial"/>
                <w:noProof w:val="0"/>
                <w:color w:val="000000"/>
                <w:lang w:eastAsia="cs-CZ" w:bidi="ar-SA"/>
              </w:rPr>
              <w:t>odpadní elektrická a elektronická zařízení</w:t>
            </w:r>
          </w:p>
        </w:tc>
      </w:tr>
      <w:tr w14:paraId="6F7C286A"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0F652EDF" w14:textId="77777777">
            <w:pPr>
              <w:spacing w:line="240" w:lineRule="auto"/>
              <w:jc w:val="left"/>
              <w:rPr>
                <w:rFonts w:cs="Arial"/>
                <w:noProof w:val="0"/>
                <w:color w:val="000000"/>
                <w:lang w:eastAsia="cs-CZ" w:bidi="ar-SA"/>
              </w:rPr>
            </w:pPr>
            <w:r w:rsidRPr="00ED38E9">
              <w:rPr>
                <w:rFonts w:cs="Arial"/>
                <w:lang w:eastAsia="cs-CZ"/>
              </w:rPr>
              <w:t>örE</w:t>
            </w:r>
          </w:p>
        </w:tc>
        <w:tc>
          <w:tcPr>
            <w:tcW w:w="6946" w:type="dxa"/>
            <w:shd w:val="clear" w:color="auto" w:fill="auto"/>
            <w:vAlign w:val="center"/>
          </w:tcPr>
          <w:p w:rsidR="003B7283" w:rsidRPr="00ED38E9" w:rsidP="003B7283" w14:paraId="37C3D982" w14:textId="77777777">
            <w:pPr>
              <w:spacing w:line="240" w:lineRule="auto"/>
              <w:rPr>
                <w:rFonts w:cs="Arial"/>
                <w:noProof w:val="0"/>
                <w:color w:val="000000"/>
                <w:lang w:eastAsia="cs-CZ" w:bidi="ar-SA"/>
              </w:rPr>
            </w:pPr>
            <w:r w:rsidRPr="00ED38E9">
              <w:rPr>
                <w:rFonts w:cs="Arial"/>
                <w:lang w:eastAsia="cs-CZ"/>
              </w:rPr>
              <w:t>Öffentlich-rechtlicher Entsorgungsträger (veřejná právnická osoba zabývající se zpětným odběrem odpadu)</w:t>
            </w:r>
          </w:p>
        </w:tc>
      </w:tr>
      <w:tr w14:paraId="36383ED5"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3B7283" w:rsidRPr="00ED38E9" w:rsidP="003B7283" w14:paraId="15F2565D" w14:textId="77777777">
            <w:pPr>
              <w:spacing w:line="240" w:lineRule="auto"/>
              <w:jc w:val="left"/>
              <w:rPr>
                <w:rFonts w:cs="Arial"/>
                <w:noProof w:val="0"/>
                <w:color w:val="000000"/>
                <w:lang w:eastAsia="cs-CZ" w:bidi="ar-SA"/>
              </w:rPr>
            </w:pPr>
            <w:r w:rsidRPr="00ED38E9">
              <w:rPr>
                <w:rFonts w:cs="Arial"/>
                <w:noProof w:val="0"/>
                <w:color w:val="000000"/>
                <w:lang w:eastAsia="cs-CZ" w:bidi="ar-SA"/>
              </w:rPr>
              <w:t>RIA</w:t>
            </w:r>
          </w:p>
        </w:tc>
        <w:tc>
          <w:tcPr>
            <w:tcW w:w="6946" w:type="dxa"/>
            <w:shd w:val="clear" w:color="auto" w:fill="auto"/>
            <w:vAlign w:val="center"/>
          </w:tcPr>
          <w:p w:rsidR="003B7283" w:rsidRPr="00ED38E9" w:rsidP="003B7283" w14:paraId="0CE7DDE4" w14:textId="77777777">
            <w:pPr>
              <w:spacing w:line="240" w:lineRule="auto"/>
              <w:rPr>
                <w:rFonts w:cs="Arial"/>
                <w:noProof w:val="0"/>
                <w:color w:val="000000"/>
                <w:lang w:eastAsia="cs-CZ" w:bidi="ar-SA"/>
              </w:rPr>
            </w:pPr>
            <w:r w:rsidRPr="00ED38E9">
              <w:rPr>
                <w:rFonts w:cs="Arial"/>
                <w:noProof w:val="0"/>
                <w:color w:val="000000"/>
                <w:lang w:eastAsia="cs-CZ" w:bidi="ar-SA"/>
              </w:rPr>
              <w:t>Regulatory Impact Assessment (Hodnocení dopadů regulace)</w:t>
            </w:r>
          </w:p>
        </w:tc>
      </w:tr>
      <w:tr w14:paraId="267C8B73"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DE3380" w:rsidRPr="00ED38E9" w:rsidP="003B7283" w14:paraId="2DDB17C4" w14:textId="46627F14">
            <w:pPr>
              <w:spacing w:line="240" w:lineRule="auto"/>
              <w:jc w:val="left"/>
              <w:rPr>
                <w:rFonts w:cs="Arial"/>
                <w:noProof w:val="0"/>
                <w:color w:val="000000"/>
                <w:lang w:eastAsia="cs-CZ" w:bidi="ar-SA"/>
              </w:rPr>
            </w:pPr>
            <w:r>
              <w:rPr>
                <w:rFonts w:cs="Arial"/>
                <w:noProof w:val="0"/>
                <w:color w:val="000000"/>
                <w:lang w:eastAsia="cs-CZ" w:bidi="ar-SA"/>
              </w:rPr>
              <w:t>SFŽP</w:t>
            </w:r>
          </w:p>
        </w:tc>
        <w:tc>
          <w:tcPr>
            <w:tcW w:w="6946" w:type="dxa"/>
            <w:shd w:val="clear" w:color="auto" w:fill="auto"/>
            <w:vAlign w:val="center"/>
          </w:tcPr>
          <w:p w:rsidR="00DE3380" w:rsidRPr="00ED38E9" w:rsidP="003B7283" w14:paraId="492B8AE7" w14:textId="052A349B">
            <w:pPr>
              <w:spacing w:line="240" w:lineRule="auto"/>
              <w:rPr>
                <w:rFonts w:cs="Arial"/>
                <w:noProof w:val="0"/>
                <w:color w:val="000000"/>
                <w:lang w:eastAsia="cs-CZ" w:bidi="ar-SA"/>
              </w:rPr>
            </w:pPr>
            <w:r>
              <w:rPr>
                <w:rFonts w:cs="Arial"/>
                <w:noProof w:val="0"/>
                <w:color w:val="000000"/>
                <w:lang w:eastAsia="cs-CZ" w:bidi="ar-SA"/>
              </w:rPr>
              <w:t>Státní fond životního prostředí České republiky</w:t>
            </w:r>
          </w:p>
        </w:tc>
      </w:tr>
      <w:tr w14:paraId="2E85AF35"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A33250" w:rsidRPr="00ED38E9" w:rsidP="00A33250" w14:paraId="7AF36CB2" w14:textId="77777777">
            <w:pPr>
              <w:spacing w:line="240" w:lineRule="auto"/>
              <w:jc w:val="left"/>
              <w:rPr>
                <w:rFonts w:cs="Arial"/>
                <w:noProof w:val="0"/>
                <w:color w:val="000000"/>
                <w:lang w:eastAsia="cs-CZ" w:bidi="ar-SA"/>
              </w:rPr>
            </w:pPr>
            <w:r w:rsidRPr="00ED38E9">
              <w:rPr>
                <w:rFonts w:cs="Arial"/>
                <w:noProof w:val="0"/>
                <w:color w:val="000000"/>
                <w:lang w:eastAsia="cs-CZ" w:bidi="ar-SA"/>
              </w:rPr>
              <w:t>UBA</w:t>
            </w:r>
          </w:p>
        </w:tc>
        <w:tc>
          <w:tcPr>
            <w:tcW w:w="6946" w:type="dxa"/>
            <w:shd w:val="clear" w:color="auto" w:fill="auto"/>
            <w:vAlign w:val="center"/>
          </w:tcPr>
          <w:p w:rsidR="00A33250" w:rsidRPr="00ED38E9" w:rsidP="00A33250" w14:paraId="679DDF20" w14:textId="77777777">
            <w:pPr>
              <w:spacing w:line="240" w:lineRule="auto"/>
              <w:rPr>
                <w:rFonts w:cs="Arial"/>
                <w:noProof w:val="0"/>
                <w:color w:val="000000"/>
                <w:lang w:eastAsia="cs-CZ" w:bidi="ar-SA"/>
              </w:rPr>
            </w:pPr>
            <w:r w:rsidRPr="00ED38E9">
              <w:rPr>
                <w:rFonts w:cs="Arial"/>
                <w:noProof w:val="0"/>
                <w:color w:val="000000"/>
                <w:lang w:eastAsia="cs-CZ" w:bidi="ar-SA"/>
              </w:rPr>
              <w:t>Německé Ministerstvo životního prostředí</w:t>
            </w:r>
          </w:p>
        </w:tc>
      </w:tr>
      <w:tr w14:paraId="728F25C0" w14:textId="77777777" w:rsidTr="00783869">
        <w:tblPrEx>
          <w:tblW w:w="8936" w:type="dxa"/>
          <w:tblInd w:w="65" w:type="dxa"/>
          <w:tblCellMar>
            <w:left w:w="70" w:type="dxa"/>
            <w:right w:w="70" w:type="dxa"/>
          </w:tblCellMar>
          <w:tblLook w:val="04A0"/>
        </w:tblPrEx>
        <w:trPr>
          <w:trHeight w:val="397"/>
        </w:trPr>
        <w:tc>
          <w:tcPr>
            <w:tcW w:w="1990" w:type="dxa"/>
            <w:shd w:val="clear" w:color="auto" w:fill="auto"/>
            <w:vAlign w:val="center"/>
          </w:tcPr>
          <w:p w:rsidR="00125E5C" w:rsidRPr="00ED38E9" w:rsidP="00125E5C" w14:paraId="2AD14A65" w14:textId="38E5FADC">
            <w:pPr>
              <w:spacing w:line="240" w:lineRule="auto"/>
              <w:jc w:val="left"/>
              <w:rPr>
                <w:rFonts w:cs="Arial"/>
                <w:noProof w:val="0"/>
                <w:color w:val="000000"/>
                <w:lang w:eastAsia="cs-CZ" w:bidi="ar-SA"/>
              </w:rPr>
            </w:pPr>
            <w:r>
              <w:rPr>
                <w:rFonts w:cs="Arial"/>
                <w:noProof w:val="0"/>
                <w:color w:val="000000"/>
                <w:lang w:eastAsia="cs-CZ" w:bidi="ar-SA"/>
              </w:rPr>
              <w:t>UNEP</w:t>
            </w:r>
          </w:p>
        </w:tc>
        <w:tc>
          <w:tcPr>
            <w:tcW w:w="6946" w:type="dxa"/>
            <w:shd w:val="clear" w:color="auto" w:fill="auto"/>
            <w:vAlign w:val="center"/>
          </w:tcPr>
          <w:p w:rsidR="00125E5C" w:rsidRPr="00ED38E9" w:rsidP="00125E5C" w14:paraId="3A1FD730" w14:textId="69D5A81B">
            <w:pPr>
              <w:spacing w:line="240" w:lineRule="auto"/>
              <w:rPr>
                <w:rFonts w:cs="Arial"/>
                <w:noProof w:val="0"/>
                <w:color w:val="000000"/>
                <w:lang w:eastAsia="cs-CZ" w:bidi="ar-SA"/>
              </w:rPr>
            </w:pPr>
            <w:r w:rsidRPr="00125E5C">
              <w:rPr>
                <w:rFonts w:cs="Arial"/>
                <w:noProof w:val="0"/>
                <w:color w:val="000000"/>
                <w:lang w:eastAsia="cs-CZ" w:bidi="ar-SA"/>
              </w:rPr>
              <w:t>Program OSN pro životní prostředí (z anglického United Nations Environment Programme)</w:t>
            </w:r>
          </w:p>
        </w:tc>
      </w:tr>
      <w:tr w14:paraId="6EDFB9C4" w14:textId="77777777" w:rsidTr="00C3364C">
        <w:tblPrEx>
          <w:tblW w:w="8936" w:type="dxa"/>
          <w:tblInd w:w="65" w:type="dxa"/>
          <w:tblCellMar>
            <w:left w:w="70" w:type="dxa"/>
            <w:right w:w="70" w:type="dxa"/>
          </w:tblCellMar>
          <w:tblLook w:val="04A0"/>
        </w:tblPrEx>
        <w:trPr>
          <w:trHeight w:val="397"/>
        </w:trPr>
        <w:tc>
          <w:tcPr>
            <w:tcW w:w="1990" w:type="dxa"/>
            <w:shd w:val="clear" w:color="auto" w:fill="auto"/>
            <w:vAlign w:val="center"/>
          </w:tcPr>
          <w:p w:rsidR="00125E5C" w:rsidRPr="00ED38E9" w:rsidP="00125E5C" w14:paraId="29267010" w14:textId="77777777">
            <w:pPr>
              <w:spacing w:line="240" w:lineRule="auto"/>
              <w:jc w:val="left"/>
              <w:rPr>
                <w:rFonts w:cs="Arial"/>
                <w:noProof w:val="0"/>
                <w:color w:val="000000"/>
                <w:lang w:eastAsia="cs-CZ" w:bidi="ar-SA"/>
              </w:rPr>
            </w:pPr>
            <w:r w:rsidRPr="00ED38E9">
              <w:rPr>
                <w:rFonts w:cs="Arial"/>
                <w:noProof w:val="0"/>
                <w:color w:val="000000"/>
                <w:lang w:eastAsia="cs-CZ" w:bidi="ar-SA"/>
              </w:rPr>
              <w:t>VUŽ</w:t>
            </w:r>
          </w:p>
        </w:tc>
        <w:tc>
          <w:tcPr>
            <w:tcW w:w="6946" w:type="dxa"/>
            <w:shd w:val="clear" w:color="auto" w:fill="auto"/>
            <w:vAlign w:val="center"/>
          </w:tcPr>
          <w:p w:rsidR="00125E5C" w:rsidRPr="00ED38E9" w:rsidP="00125E5C" w14:paraId="42A5D4C1" w14:textId="77777777">
            <w:pPr>
              <w:spacing w:line="240" w:lineRule="auto"/>
              <w:rPr>
                <w:rFonts w:cs="Arial"/>
                <w:noProof w:val="0"/>
                <w:color w:val="000000"/>
                <w:lang w:eastAsia="cs-CZ" w:bidi="ar-SA"/>
              </w:rPr>
            </w:pPr>
            <w:r w:rsidRPr="00ED38E9">
              <w:rPr>
                <w:rFonts w:cs="Arial"/>
                <w:noProof w:val="0"/>
                <w:color w:val="000000"/>
                <w:lang w:eastAsia="cs-CZ" w:bidi="ar-SA"/>
              </w:rPr>
              <w:t>výrobek s ukončenou životností</w:t>
            </w:r>
          </w:p>
        </w:tc>
      </w:tr>
      <w:tr w14:paraId="7210E14F" w14:textId="77777777" w:rsidTr="00C3364C">
        <w:tblPrEx>
          <w:tblW w:w="8936" w:type="dxa"/>
          <w:tblInd w:w="65" w:type="dxa"/>
          <w:tblCellMar>
            <w:left w:w="70" w:type="dxa"/>
            <w:right w:w="70" w:type="dxa"/>
          </w:tblCellMar>
          <w:tblLook w:val="04A0"/>
        </w:tblPrEx>
        <w:trPr>
          <w:trHeight w:val="397"/>
        </w:trPr>
        <w:tc>
          <w:tcPr>
            <w:tcW w:w="1990" w:type="dxa"/>
            <w:shd w:val="clear" w:color="auto" w:fill="auto"/>
            <w:vAlign w:val="center"/>
          </w:tcPr>
          <w:p w:rsidR="00125E5C" w:rsidRPr="00ED38E9" w:rsidP="00125E5C" w14:paraId="17E68340" w14:textId="77777777">
            <w:pPr>
              <w:spacing w:line="240" w:lineRule="auto"/>
              <w:jc w:val="left"/>
              <w:rPr>
                <w:rFonts w:cs="Arial"/>
                <w:noProof w:val="0"/>
                <w:color w:val="000000"/>
                <w:lang w:eastAsia="cs-CZ" w:bidi="ar-SA"/>
              </w:rPr>
            </w:pPr>
            <w:r>
              <w:rPr>
                <w:rFonts w:cs="Arial"/>
                <w:noProof w:val="0"/>
                <w:color w:val="000000"/>
                <w:lang w:eastAsia="cs-CZ" w:bidi="ar-SA"/>
              </w:rPr>
              <w:t>ZO</w:t>
            </w:r>
          </w:p>
        </w:tc>
        <w:tc>
          <w:tcPr>
            <w:tcW w:w="6946" w:type="dxa"/>
            <w:shd w:val="clear" w:color="auto" w:fill="auto"/>
            <w:vAlign w:val="center"/>
          </w:tcPr>
          <w:p w:rsidR="00125E5C" w:rsidRPr="00ED38E9" w:rsidP="00125E5C" w14:paraId="0145E939" w14:textId="77777777">
            <w:pPr>
              <w:spacing w:line="240" w:lineRule="auto"/>
              <w:rPr>
                <w:rFonts w:cs="Arial"/>
                <w:noProof w:val="0"/>
                <w:color w:val="000000"/>
                <w:lang w:eastAsia="cs-CZ" w:bidi="ar-SA"/>
              </w:rPr>
            </w:pPr>
            <w:r>
              <w:rPr>
                <w:rFonts w:cs="Arial"/>
                <w:noProof w:val="0"/>
                <w:color w:val="000000"/>
                <w:lang w:eastAsia="cs-CZ" w:bidi="ar-SA"/>
              </w:rPr>
              <w:t>zpětný odběr</w:t>
            </w:r>
          </w:p>
        </w:tc>
      </w:tr>
    </w:tbl>
    <w:p w:rsidR="00D73208" w:rsidP="00D73208" w14:paraId="4F1AE355" w14:textId="77777777">
      <w:bookmarkStart w:id="290" w:name="_Toc441759975"/>
    </w:p>
    <w:p w:rsidR="00A37D0A" w:rsidRPr="00ED38E9" w:rsidP="005D660F" w14:paraId="23FEE94A" w14:textId="09244294">
      <w:pPr>
        <w:pStyle w:val="Heading1"/>
      </w:pPr>
      <w:bookmarkStart w:id="291" w:name="_Toc14942108"/>
      <w:bookmarkStart w:id="292" w:name="_Toc256000034"/>
      <w:r w:rsidRPr="00ED38E9">
        <w:t>Vysvětl</w:t>
      </w:r>
      <w:r w:rsidRPr="00ED38E9" w:rsidR="00E46D4B">
        <w:t>ení</w:t>
      </w:r>
      <w:r w:rsidRPr="00ED38E9">
        <w:t xml:space="preserve"> k </w:t>
      </w:r>
      <w:r w:rsidR="00970211">
        <w:t>závěrečné zprávě z hodnocení dopadů regulace</w:t>
      </w:r>
      <w:r w:rsidRPr="00ED38E9" w:rsidR="003A4E77">
        <w:t xml:space="preserve"> a</w:t>
      </w:r>
      <w:r w:rsidR="00D73208">
        <w:t> </w:t>
      </w:r>
      <w:r w:rsidRPr="00ED38E9" w:rsidR="003A4E77">
        <w:t>jeho kapitolám</w:t>
      </w:r>
      <w:bookmarkEnd w:id="292"/>
      <w:bookmarkEnd w:id="290"/>
      <w:bookmarkEnd w:id="291"/>
    </w:p>
    <w:p w:rsidR="00A37D0A" w:rsidRPr="00ED38E9" w:rsidP="00CC0BB4" w14:paraId="05488278" w14:textId="77777777">
      <w:pPr>
        <w:pStyle w:val="Heading3"/>
        <w:spacing w:before="240"/>
      </w:pPr>
      <w:r w:rsidRPr="00ED38E9">
        <w:t>Identifikace dotčených subjektů</w:t>
      </w:r>
    </w:p>
    <w:p w:rsidR="00A37D0A" w:rsidRPr="00ED38E9" w:rsidP="00783869" w14:paraId="49C1ED1E" w14:textId="77777777">
      <w:pPr>
        <w:rPr>
          <w:rFonts w:cs="Arial"/>
        </w:rPr>
      </w:pPr>
      <w:r w:rsidRPr="00ED38E9">
        <w:rPr>
          <w:rFonts w:cs="Arial"/>
        </w:rPr>
        <w:t>Pokud není uvedeno jinak, tak dopad na subjekty</w:t>
      </w:r>
      <w:r w:rsidRPr="00ED38E9" w:rsidR="00121AD8">
        <w:rPr>
          <w:rFonts w:cs="Arial"/>
        </w:rPr>
        <w:t>,</w:t>
      </w:r>
      <w:r w:rsidRPr="00ED38E9">
        <w:rPr>
          <w:rFonts w:cs="Arial"/>
        </w:rPr>
        <w:t xml:space="preserve"> uvedené ve výčtech</w:t>
      </w:r>
      <w:r w:rsidRPr="00ED38E9" w:rsidR="00121AD8">
        <w:rPr>
          <w:rFonts w:cs="Arial"/>
        </w:rPr>
        <w:t>,</w:t>
      </w:r>
      <w:r w:rsidRPr="00ED38E9">
        <w:rPr>
          <w:rFonts w:cs="Arial"/>
        </w:rPr>
        <w:t xml:space="preserve"> je přímý.</w:t>
      </w:r>
    </w:p>
    <w:p w:rsidR="00121AD8" w:rsidRPr="00ED38E9" w:rsidP="00CC0BB4" w14:paraId="2FB2623B" w14:textId="77777777">
      <w:pPr>
        <w:pStyle w:val="Heading3"/>
        <w:spacing w:before="240"/>
      </w:pPr>
      <w:r w:rsidRPr="00ED38E9">
        <w:t>Identifikace nákladů a přínosů</w:t>
      </w:r>
    </w:p>
    <w:p w:rsidR="00E46D4B" w:rsidRPr="00ED38E9" w:rsidP="00783869" w14:paraId="696F2C1A" w14:textId="77777777">
      <w:pPr>
        <w:rPr>
          <w:rFonts w:cs="Arial"/>
        </w:rPr>
      </w:pPr>
      <w:r w:rsidRPr="00ED38E9">
        <w:rPr>
          <w:rFonts w:cs="Arial"/>
        </w:rPr>
        <w:t>Pokud není v kapitole uveden dopad na některou ze skupin (státní rozpočet a ostatní veřejné rozpočty, podnikatelské subjekty, územní samosprávné celky, sociální oblast a životní prostředí) předpokládá se, že materiál nebude mít dopady na danou skupinu.</w:t>
      </w:r>
    </w:p>
    <w:p w:rsidR="00121AD8" w:rsidRPr="00ED38E9" w:rsidP="00783869" w14:paraId="68FBC3E6" w14:textId="77777777">
      <w:pPr>
        <w:rPr>
          <w:rFonts w:cs="Arial"/>
        </w:rPr>
      </w:pPr>
      <w:r w:rsidRPr="00ED38E9">
        <w:rPr>
          <w:rFonts w:cs="Arial"/>
        </w:rPr>
        <w:t>Dále pak v</w:t>
      </w:r>
      <w:r w:rsidRPr="00ED38E9" w:rsidR="00821C10">
        <w:rPr>
          <w:rFonts w:cs="Arial"/>
        </w:rPr>
        <w:t> některých p</w:t>
      </w:r>
      <w:r w:rsidRPr="00ED38E9">
        <w:rPr>
          <w:rFonts w:cs="Arial"/>
        </w:rPr>
        <w:t>řípadech ministerstvo nedisponuje potřebnými daty a tak jsou dopady uvedeny slovně nebo kvantifikovaně, ale pouze k jednomu subjektu.</w:t>
      </w:r>
    </w:p>
    <w:p w:rsidR="00B7387B" w:rsidP="00E5691D" w14:paraId="78B3E008" w14:textId="4FB75B1A">
      <w:r w:rsidRPr="00ED38E9">
        <w:rPr>
          <w:rFonts w:cs="Arial"/>
        </w:rPr>
        <w:t>Administrativní zátěž podnikatelských subjektů a státní správy vychází z Metodiky měření a přeměřování administrativní zátěže podnikatelů a z Metodiky stanovení plánovaných nákladů na výkon státní správy a hodinových nákladů stanovených ministerstvem ke dni 1. 1. 2015.</w:t>
      </w:r>
    </w:p>
    <w:p w:rsidR="00121AD8" w:rsidRPr="00ED38E9" w:rsidP="00CC0BB4" w14:paraId="4ED80F9E" w14:textId="77777777">
      <w:pPr>
        <w:pStyle w:val="Heading3"/>
        <w:spacing w:before="240"/>
      </w:pPr>
      <w:r w:rsidRPr="00ED38E9">
        <w:t>Vyhodnocení nákladů a přínosů</w:t>
      </w:r>
    </w:p>
    <w:p w:rsidR="00E5691D" w:rsidP="00783869" w14:paraId="482EC392" w14:textId="7551C987">
      <w:pPr>
        <w:rPr>
          <w:rFonts w:cs="Arial"/>
          <w:b/>
          <w:bCs/>
          <w:i/>
          <w:szCs w:val="26"/>
        </w:rPr>
      </w:pPr>
      <w:r w:rsidRPr="00ED38E9">
        <w:rPr>
          <w:rFonts w:cs="Arial"/>
        </w:rPr>
        <w:t>U některých identifikovaných dopadů není zpracovatel RIA schopen kvantifikovat předpokládané dopady z důvodu nedostupnosti relevantních dat anebo nemožnosti odhadnout a vyčíslit budoucí chování dotčených subjektů. V takové situaci závěrečná zpráva tyto dopady vyhodnocuje kvalitativně formou slovního popisu a odstupňování</w:t>
      </w:r>
      <w:r w:rsidR="005D660F">
        <w:rPr>
          <w:rFonts w:cs="Arial"/>
        </w:rPr>
        <w:t>m</w:t>
      </w:r>
      <w:r w:rsidR="00F94CE8">
        <w:rPr>
          <w:rFonts w:cs="Arial"/>
        </w:rPr>
        <w:t xml:space="preserve"> předpokládané a </w:t>
      </w:r>
      <w:r w:rsidRPr="00ED38E9">
        <w:rPr>
          <w:rFonts w:cs="Arial"/>
        </w:rPr>
        <w:t>konzultované míry dopadu pomocí ordinální škály v tabulce, která je pouze zjednodušeným souhrnem. Symboly označují předpokládanou míru dopadu</w:t>
      </w:r>
      <w:r w:rsidR="00F94CE8">
        <w:rPr>
          <w:rFonts w:cs="Arial"/>
        </w:rPr>
        <w:t xml:space="preserve"> navrhované změny, která byla v </w:t>
      </w:r>
      <w:r w:rsidRPr="00ED38E9">
        <w:rPr>
          <w:rFonts w:cs="Arial"/>
        </w:rPr>
        <w:t xml:space="preserve">procesu konzultací vyhodnocena v míře od velmi nízkého očekávaného dopadu (*) po velmi vysoký (*****). </w:t>
      </w:r>
    </w:p>
    <w:p w:rsidR="0075555F" w14:paraId="7E1353BA" w14:textId="6ACA7E07">
      <w:pPr>
        <w:rPr>
          <w:rFonts w:cs="Arial"/>
          <w:b/>
          <w:bCs/>
          <w:i/>
          <w:szCs w:val="26"/>
        </w:rPr>
      </w:pPr>
    </w:p>
    <w:p w:rsidR="00154C69" w:rsidRPr="00ED38E9" w:rsidP="005D660F" w14:paraId="468001D4" w14:textId="77777777">
      <w:pPr>
        <w:pStyle w:val="Heading1"/>
      </w:pPr>
      <w:bookmarkStart w:id="293" w:name="_Toc441759977"/>
      <w:bookmarkStart w:id="294" w:name="_Toc14942109"/>
      <w:bookmarkStart w:id="295" w:name="_Toc256000035"/>
      <w:r w:rsidRPr="00ED38E9">
        <w:t>Kontakt na zpracovatele RIA</w:t>
      </w:r>
      <w:bookmarkEnd w:id="295"/>
      <w:bookmarkEnd w:id="293"/>
      <w:bookmarkEnd w:id="294"/>
    </w:p>
    <w:p w:rsidR="00154C69" w:rsidRPr="00ED38E9" w:rsidP="00783869" w14:paraId="37D2F436" w14:textId="77777777">
      <w:pPr>
        <w:keepNext/>
        <w:rPr>
          <w:rFonts w:cs="Arial"/>
          <w:noProof w:val="0"/>
        </w:rPr>
      </w:pPr>
      <w:r w:rsidRPr="00ED38E9">
        <w:rPr>
          <w:rFonts w:cs="Arial"/>
          <w:noProof w:val="0"/>
        </w:rPr>
        <w:t xml:space="preserve">Ing. </w:t>
      </w:r>
      <w:r w:rsidR="00533410">
        <w:rPr>
          <w:rFonts w:cs="Arial"/>
          <w:noProof w:val="0"/>
        </w:rPr>
        <w:t>Eva Dvořáková, Ph.D.</w:t>
      </w:r>
    </w:p>
    <w:p w:rsidR="00154C69" w:rsidRPr="00ED38E9" w:rsidP="00783869" w14:paraId="32EF9F6C" w14:textId="77777777">
      <w:pPr>
        <w:keepNext/>
        <w:rPr>
          <w:rFonts w:cs="Arial"/>
          <w:noProof w:val="0"/>
        </w:rPr>
      </w:pPr>
      <w:r w:rsidRPr="00ED38E9">
        <w:rPr>
          <w:rFonts w:cs="Arial"/>
          <w:noProof w:val="0"/>
        </w:rPr>
        <w:t>Odbor ekonomi</w:t>
      </w:r>
      <w:r w:rsidRPr="00ED38E9" w:rsidR="00A16646">
        <w:rPr>
          <w:rFonts w:cs="Arial"/>
          <w:noProof w:val="0"/>
        </w:rPr>
        <w:t>ky životního prostředí</w:t>
      </w:r>
    </w:p>
    <w:p w:rsidR="00154C69" w:rsidRPr="00ED38E9" w:rsidP="00783869" w14:paraId="2DC3C9FA" w14:textId="77777777">
      <w:pPr>
        <w:keepNext/>
        <w:rPr>
          <w:rFonts w:cs="Arial"/>
          <w:noProof w:val="0"/>
        </w:rPr>
      </w:pPr>
      <w:r w:rsidRPr="00ED38E9">
        <w:rPr>
          <w:rFonts w:cs="Arial"/>
          <w:noProof w:val="0"/>
        </w:rPr>
        <w:t>Ministerstvo životního prostředí</w:t>
      </w:r>
    </w:p>
    <w:p w:rsidR="00154C69" w:rsidRPr="00ED38E9" w:rsidP="00783869" w14:paraId="4B284A32" w14:textId="77777777">
      <w:pPr>
        <w:keepNext/>
        <w:rPr>
          <w:rFonts w:cs="Arial"/>
          <w:noProof w:val="0"/>
        </w:rPr>
      </w:pPr>
      <w:r w:rsidRPr="00ED38E9">
        <w:rPr>
          <w:rFonts w:cs="Arial"/>
          <w:noProof w:val="0"/>
        </w:rPr>
        <w:t>Vršovická 65, Praha 10, 100 10</w:t>
      </w:r>
    </w:p>
    <w:p w:rsidR="00154C69" w:rsidP="00783869" w14:paraId="63B339DA" w14:textId="53E51E64">
      <w:pPr>
        <w:keepNext/>
        <w:rPr>
          <w:rFonts w:cs="Arial"/>
          <w:noProof w:val="0"/>
        </w:rPr>
      </w:pPr>
      <w:r w:rsidRPr="00ED38E9">
        <w:rPr>
          <w:rFonts w:cs="Arial"/>
          <w:noProof w:val="0"/>
        </w:rPr>
        <w:t xml:space="preserve">email: </w:t>
      </w:r>
      <w:hyperlink r:id="rId34" w:history="1">
        <w:r w:rsidRPr="00364D54" w:rsidR="0098129D">
          <w:rPr>
            <w:rStyle w:val="Hyperlink"/>
            <w:rFonts w:cs="Arial"/>
            <w:noProof w:val="0"/>
          </w:rPr>
          <w:t>eva.dvorakova@mzp.cz</w:t>
        </w:r>
      </w:hyperlink>
    </w:p>
    <w:p w:rsidR="00154C69" w:rsidP="00154C69" w14:paraId="6DBF4A4B" w14:textId="1B4DE85A">
      <w:pPr>
        <w:rPr>
          <w:rFonts w:cs="Arial"/>
          <w:noProof w:val="0"/>
        </w:rPr>
      </w:pPr>
      <w:r w:rsidRPr="002E19CF">
        <w:rPr>
          <w:rFonts w:cs="Arial"/>
          <w:noProof w:val="0"/>
        </w:rPr>
        <w:t>tel: +420 267 122</w:t>
      </w:r>
      <w:r w:rsidRPr="002E19CF" w:rsidR="00D060AC">
        <w:rPr>
          <w:rFonts w:cs="Arial"/>
          <w:noProof w:val="0"/>
        </w:rPr>
        <w:t> </w:t>
      </w:r>
      <w:r w:rsidRPr="002E19CF" w:rsidR="002E19CF">
        <w:rPr>
          <w:rFonts w:cs="Arial"/>
          <w:noProof w:val="0"/>
        </w:rPr>
        <w:t>9</w:t>
      </w:r>
      <w:r w:rsidRPr="002E19CF" w:rsidR="00533410">
        <w:rPr>
          <w:rFonts w:cs="Arial"/>
          <w:noProof w:val="0"/>
        </w:rPr>
        <w:t>0</w:t>
      </w:r>
      <w:r w:rsidRPr="002E19CF" w:rsidR="002E19CF">
        <w:rPr>
          <w:rFonts w:cs="Arial"/>
          <w:noProof w:val="0"/>
        </w:rPr>
        <w:t>2</w:t>
      </w:r>
    </w:p>
    <w:p w:rsidR="00626BB4" w:rsidP="00154C69" w14:paraId="095022F0" w14:textId="77777777">
      <w:pPr>
        <w:rPr>
          <w:rFonts w:cs="Arial"/>
          <w:b/>
          <w:noProof w:val="0"/>
        </w:rPr>
      </w:pPr>
    </w:p>
    <w:p w:rsidR="00D060AC" w:rsidRPr="00533410" w:rsidP="00154C69" w14:paraId="2238854B" w14:textId="77777777">
      <w:pPr>
        <w:rPr>
          <w:rFonts w:cs="Arial"/>
          <w:b/>
          <w:noProof w:val="0"/>
        </w:rPr>
      </w:pPr>
      <w:r w:rsidRPr="00533410">
        <w:rPr>
          <w:rFonts w:cs="Arial"/>
          <w:b/>
          <w:noProof w:val="0"/>
        </w:rPr>
        <w:t>Spolupráce na přípravě:</w:t>
      </w:r>
    </w:p>
    <w:p w:rsidR="00533410" w:rsidP="00154C69" w14:paraId="6D5E41A5" w14:textId="7DBE7D11">
      <w:pPr>
        <w:rPr>
          <w:rFonts w:cs="Arial"/>
          <w:noProof w:val="0"/>
        </w:rPr>
      </w:pPr>
      <w:r>
        <w:rPr>
          <w:rFonts w:cs="Arial"/>
          <w:noProof w:val="0"/>
        </w:rPr>
        <w:t xml:space="preserve">Ing. Mgr. </w:t>
      </w:r>
      <w:r>
        <w:rPr>
          <w:rFonts w:cs="Arial"/>
          <w:noProof w:val="0"/>
        </w:rPr>
        <w:t xml:space="preserve">Ladislav Trylč – </w:t>
      </w:r>
      <w:r w:rsidR="00CF69A2">
        <w:rPr>
          <w:rFonts w:cs="Arial"/>
          <w:noProof w:val="0"/>
        </w:rPr>
        <w:t xml:space="preserve">MŽP, </w:t>
      </w:r>
      <w:r>
        <w:rPr>
          <w:rFonts w:cs="Arial"/>
          <w:noProof w:val="0"/>
        </w:rPr>
        <w:t>odbor odpadů</w:t>
      </w:r>
      <w:r>
        <w:rPr>
          <w:rFonts w:cs="Arial"/>
          <w:noProof w:val="0"/>
        </w:rPr>
        <w:t xml:space="preserve"> (vedoucí oddělení zpětného odběru)</w:t>
      </w:r>
    </w:p>
    <w:p w:rsidR="0098129D" w:rsidP="00154C69" w14:paraId="725323A3" w14:textId="78FF79A8">
      <w:pPr>
        <w:rPr>
          <w:rFonts w:cs="Arial"/>
          <w:noProof w:val="0"/>
        </w:rPr>
      </w:pPr>
      <w:hyperlink r:id="rId35" w:history="1">
        <w:r w:rsidRPr="00364D54">
          <w:rPr>
            <w:rStyle w:val="Hyperlink"/>
            <w:rFonts w:cs="Arial"/>
            <w:noProof w:val="0"/>
          </w:rPr>
          <w:t>ladislav.trylc@mzp.cz</w:t>
        </w:r>
      </w:hyperlink>
    </w:p>
    <w:p w:rsidR="00533410" w:rsidP="0014043D" w14:paraId="54094802" w14:textId="7EF3F2FC">
      <w:pPr>
        <w:spacing w:before="240"/>
        <w:rPr>
          <w:rFonts w:cs="Arial"/>
          <w:noProof w:val="0"/>
        </w:rPr>
      </w:pPr>
      <w:r>
        <w:rPr>
          <w:rFonts w:cs="Arial"/>
          <w:noProof w:val="0"/>
        </w:rPr>
        <w:t xml:space="preserve">Ing. </w:t>
      </w:r>
      <w:r>
        <w:rPr>
          <w:rFonts w:cs="Arial"/>
          <w:noProof w:val="0"/>
        </w:rPr>
        <w:t xml:space="preserve">Markéta Michalová – </w:t>
      </w:r>
      <w:r w:rsidR="00CF69A2">
        <w:rPr>
          <w:rFonts w:cs="Arial"/>
          <w:noProof w:val="0"/>
        </w:rPr>
        <w:t>MŽP,</w:t>
      </w:r>
      <w:r w:rsidR="006E2211">
        <w:rPr>
          <w:rFonts w:cs="Arial"/>
          <w:noProof w:val="0"/>
        </w:rPr>
        <w:t xml:space="preserve"> </w:t>
      </w:r>
      <w:r>
        <w:rPr>
          <w:rFonts w:cs="Arial"/>
          <w:noProof w:val="0"/>
        </w:rPr>
        <w:t>odbor odpadů</w:t>
      </w:r>
      <w:r>
        <w:rPr>
          <w:rFonts w:cs="Arial"/>
          <w:noProof w:val="0"/>
        </w:rPr>
        <w:t xml:space="preserve"> (baterie a akumulátory, EEZ)</w:t>
      </w:r>
    </w:p>
    <w:p w:rsidR="0098129D" w:rsidP="00533410" w14:paraId="7BEB28C0" w14:textId="5E7B3924">
      <w:pPr>
        <w:rPr>
          <w:rFonts w:cs="Arial"/>
          <w:noProof w:val="0"/>
        </w:rPr>
      </w:pPr>
      <w:hyperlink r:id="rId36" w:history="1">
        <w:r w:rsidRPr="00364D54">
          <w:rPr>
            <w:rStyle w:val="Hyperlink"/>
            <w:rFonts w:cs="Arial"/>
            <w:noProof w:val="0"/>
          </w:rPr>
          <w:t>marketa.michalova@mzp.cz</w:t>
        </w:r>
      </w:hyperlink>
    </w:p>
    <w:p w:rsidR="00533410" w:rsidP="0014043D" w14:paraId="031C5251" w14:textId="620BEF9B">
      <w:pPr>
        <w:spacing w:before="240"/>
        <w:rPr>
          <w:rFonts w:cs="Arial"/>
          <w:noProof w:val="0"/>
        </w:rPr>
      </w:pPr>
      <w:r>
        <w:rPr>
          <w:rFonts w:cs="Arial"/>
          <w:noProof w:val="0"/>
        </w:rPr>
        <w:t xml:space="preserve">Ing. </w:t>
      </w:r>
      <w:r>
        <w:rPr>
          <w:rFonts w:cs="Arial"/>
          <w:noProof w:val="0"/>
        </w:rPr>
        <w:t xml:space="preserve">Petra Choutková – </w:t>
      </w:r>
      <w:r w:rsidR="00CF69A2">
        <w:rPr>
          <w:rFonts w:cs="Arial"/>
          <w:noProof w:val="0"/>
        </w:rPr>
        <w:t>MŽP,</w:t>
      </w:r>
      <w:r w:rsidR="006E2211">
        <w:rPr>
          <w:rFonts w:cs="Arial"/>
          <w:noProof w:val="0"/>
        </w:rPr>
        <w:t xml:space="preserve"> </w:t>
      </w:r>
      <w:r>
        <w:rPr>
          <w:rFonts w:cs="Arial"/>
          <w:noProof w:val="0"/>
        </w:rPr>
        <w:t>odbor odpadů</w:t>
      </w:r>
      <w:r>
        <w:rPr>
          <w:rFonts w:cs="Arial"/>
          <w:noProof w:val="0"/>
        </w:rPr>
        <w:t xml:space="preserve"> (pneumatiky</w:t>
      </w:r>
      <w:r w:rsidR="006E2211">
        <w:rPr>
          <w:rFonts w:cs="Arial"/>
          <w:noProof w:val="0"/>
        </w:rPr>
        <w:t>, vozidla</w:t>
      </w:r>
      <w:r>
        <w:rPr>
          <w:rFonts w:cs="Arial"/>
          <w:noProof w:val="0"/>
        </w:rPr>
        <w:t>)</w:t>
      </w:r>
    </w:p>
    <w:p w:rsidR="00533410" w:rsidP="00154C69" w14:paraId="708E9BE1" w14:textId="79641C42">
      <w:pPr>
        <w:rPr>
          <w:rFonts w:cs="Arial"/>
          <w:noProof w:val="0"/>
        </w:rPr>
      </w:pPr>
      <w:hyperlink r:id="rId37" w:history="1">
        <w:r w:rsidRPr="00364D54" w:rsidR="0098129D">
          <w:rPr>
            <w:rStyle w:val="Hyperlink"/>
            <w:rFonts w:cs="Arial"/>
            <w:noProof w:val="0"/>
          </w:rPr>
          <w:t>petra.choutkova@mzp.cz</w:t>
        </w:r>
      </w:hyperlink>
    </w:p>
    <w:p w:rsidR="00CF69A2" w:rsidP="00154C69" w14:paraId="2FA1B7A1" w14:textId="47983C81">
      <w:pPr>
        <w:rPr>
          <w:rFonts w:cs="Arial"/>
          <w:noProof w:val="0"/>
        </w:rPr>
      </w:pPr>
    </w:p>
    <w:p w:rsidR="00533410" w:rsidRPr="00ED38E9" w:rsidP="00154C69" w14:paraId="29FEF842" w14:textId="3C749436">
      <w:pPr>
        <w:rPr>
          <w:rFonts w:cs="Arial"/>
          <w:noProof w:val="0"/>
        </w:rPr>
      </w:pPr>
      <w:r>
        <w:rPr>
          <w:rFonts w:cs="Arial"/>
          <w:noProof w:val="0"/>
        </w:rPr>
        <w:t>CENIA – oddělení odpadového hospodářství (data</w:t>
      </w:r>
      <w:r w:rsidR="00FE5EA8">
        <w:rPr>
          <w:rFonts w:cs="Arial"/>
          <w:noProof w:val="0"/>
        </w:rPr>
        <w:t xml:space="preserve"> o odpadovém hospodářství</w:t>
      </w:r>
      <w:r>
        <w:rPr>
          <w:rFonts w:cs="Arial"/>
          <w:noProof w:val="0"/>
        </w:rPr>
        <w:t>)</w:t>
      </w:r>
    </w:p>
    <w:p w:rsidR="007B24D3" w14:paraId="3586CD93" w14:textId="77777777">
      <w:pPr>
        <w:spacing w:line="240" w:lineRule="auto"/>
        <w:jc w:val="left"/>
        <w:rPr>
          <w:rFonts w:cs="Arial"/>
          <w:lang w:eastAsia="cs-CZ"/>
        </w:rPr>
      </w:pPr>
      <w:r>
        <w:rPr>
          <w:rFonts w:cs="Arial"/>
          <w:lang w:eastAsia="cs-CZ"/>
        </w:rPr>
        <w:br w:type="page"/>
      </w:r>
    </w:p>
    <w:p w:rsidR="007B24D3" w:rsidRPr="007B71CF" w:rsidP="007B24D3" w14:paraId="0F8952D4" w14:textId="77777777">
      <w:pPr>
        <w:pStyle w:val="Title"/>
        <w:keepNext/>
        <w:jc w:val="both"/>
        <w:rPr>
          <w:rFonts w:cs="Arial"/>
          <w:sz w:val="28"/>
          <w:szCs w:val="28"/>
        </w:rPr>
      </w:pPr>
      <w:bookmarkStart w:id="296" w:name="_Toc441759978"/>
      <w:bookmarkStart w:id="297" w:name="_Toc14942110"/>
      <w:bookmarkStart w:id="298" w:name="_Toc256000036"/>
      <w:r w:rsidRPr="007B71CF">
        <w:rPr>
          <w:rFonts w:cs="Arial"/>
          <w:sz w:val="28"/>
          <w:szCs w:val="28"/>
        </w:rPr>
        <w:t>Příloha</w:t>
      </w:r>
      <w:bookmarkEnd w:id="296"/>
      <w:r w:rsidRPr="007B71CF" w:rsidR="007B71CF">
        <w:rPr>
          <w:rFonts w:cs="Arial"/>
          <w:sz w:val="28"/>
          <w:szCs w:val="28"/>
        </w:rPr>
        <w:t xml:space="preserve">: </w:t>
      </w:r>
      <w:bookmarkStart w:id="299" w:name="_Toc441759979"/>
      <w:r w:rsidRPr="007B71CF">
        <w:rPr>
          <w:rFonts w:cs="Arial"/>
          <w:sz w:val="28"/>
          <w:szCs w:val="28"/>
        </w:rPr>
        <w:t>Úroveň soutěže mezi KS a její dopady na hospodářskou soutěž</w:t>
      </w:r>
      <w:bookmarkEnd w:id="298"/>
      <w:bookmarkEnd w:id="297"/>
      <w:bookmarkEnd w:id="299"/>
    </w:p>
    <w:p w:rsidR="007B71CF" w:rsidP="007B24D3" w14:paraId="223B3B00" w14:textId="77777777">
      <w:pPr>
        <w:spacing w:after="120"/>
        <w:rPr>
          <w:rFonts w:eastAsia="Calibri" w:cs="Arial"/>
          <w:noProof w:val="0"/>
          <w:szCs w:val="22"/>
          <w:lang w:bidi="ar-SA"/>
        </w:rPr>
      </w:pPr>
    </w:p>
    <w:p w:rsidR="007B24D3" w:rsidRPr="007D3FCB" w:rsidP="007B24D3" w14:paraId="55533A60" w14:textId="77777777">
      <w:pPr>
        <w:spacing w:after="120"/>
        <w:rPr>
          <w:rFonts w:eastAsia="Calibri" w:cs="Arial"/>
          <w:noProof w:val="0"/>
          <w:szCs w:val="22"/>
          <w:lang w:bidi="ar-SA"/>
        </w:rPr>
      </w:pPr>
      <w:r w:rsidRPr="007D3FCB">
        <w:rPr>
          <w:rFonts w:eastAsia="Calibri" w:cs="Arial"/>
          <w:noProof w:val="0"/>
          <w:szCs w:val="22"/>
          <w:lang w:bidi="ar-SA"/>
        </w:rPr>
        <w:t>Z hlediska hospodářské soutěže připadají v rámci zpětného odběru elektrozařízení v úvahu tři scénáře:</w:t>
      </w:r>
    </w:p>
    <w:p w:rsidR="007B24D3" w:rsidRPr="007D3FCB" w:rsidP="003C445B" w14:paraId="74F36ABC" w14:textId="77777777">
      <w:pPr>
        <w:numPr>
          <w:ilvl w:val="0"/>
          <w:numId w:val="41"/>
        </w:numPr>
        <w:spacing w:after="120" w:line="240" w:lineRule="auto"/>
        <w:contextualSpacing/>
        <w:rPr>
          <w:rFonts w:eastAsia="Calibri" w:cs="Arial"/>
          <w:noProof w:val="0"/>
          <w:szCs w:val="22"/>
          <w:lang w:bidi="ar-SA"/>
        </w:rPr>
      </w:pPr>
      <w:r w:rsidRPr="007D3FCB">
        <w:rPr>
          <w:rFonts w:eastAsia="Calibri" w:cs="Arial"/>
          <w:noProof w:val="0"/>
          <w:szCs w:val="22"/>
          <w:lang w:bidi="ar-SA"/>
        </w:rPr>
        <w:t xml:space="preserve">Existence dokonalé konkurence </w:t>
      </w:r>
    </w:p>
    <w:p w:rsidR="007B24D3" w:rsidRPr="007D3FCB" w:rsidP="003C445B" w14:paraId="3952A3C9" w14:textId="77777777">
      <w:pPr>
        <w:numPr>
          <w:ilvl w:val="0"/>
          <w:numId w:val="41"/>
        </w:numPr>
        <w:spacing w:after="120" w:line="240" w:lineRule="auto"/>
        <w:contextualSpacing/>
        <w:rPr>
          <w:rFonts w:eastAsia="Calibri" w:cs="Arial"/>
          <w:noProof w:val="0"/>
          <w:szCs w:val="22"/>
          <w:lang w:bidi="ar-SA"/>
        </w:rPr>
      </w:pPr>
      <w:r w:rsidRPr="007D3FCB">
        <w:rPr>
          <w:rFonts w:eastAsia="Calibri" w:cs="Arial"/>
          <w:noProof w:val="0"/>
          <w:szCs w:val="22"/>
          <w:lang w:bidi="ar-SA"/>
        </w:rPr>
        <w:t>Existence monopolu</w:t>
      </w:r>
    </w:p>
    <w:p w:rsidR="007B24D3" w:rsidRPr="007D3FCB" w:rsidP="003C445B" w14:paraId="326228AB" w14:textId="77777777">
      <w:pPr>
        <w:numPr>
          <w:ilvl w:val="0"/>
          <w:numId w:val="41"/>
        </w:numPr>
        <w:spacing w:after="120" w:line="240" w:lineRule="auto"/>
        <w:contextualSpacing/>
        <w:rPr>
          <w:rFonts w:eastAsia="Calibri" w:cs="Arial"/>
          <w:noProof w:val="0"/>
          <w:szCs w:val="22"/>
          <w:lang w:bidi="ar-SA"/>
        </w:rPr>
      </w:pPr>
      <w:r w:rsidRPr="007D3FCB">
        <w:rPr>
          <w:rFonts w:eastAsia="Calibri" w:cs="Arial"/>
          <w:noProof w:val="0"/>
          <w:szCs w:val="22"/>
          <w:lang w:bidi="ar-SA"/>
        </w:rPr>
        <w:t>Existence monopolistické konkurence</w:t>
      </w:r>
    </w:p>
    <w:p w:rsidR="007B24D3" w:rsidRPr="007D3FCB" w:rsidP="007B24D3" w14:paraId="7ABEE901" w14:textId="77777777">
      <w:pPr>
        <w:keepNext/>
        <w:spacing w:before="360" w:after="120"/>
        <w:rPr>
          <w:rFonts w:eastAsia="Calibri" w:cs="Arial"/>
          <w:i/>
          <w:noProof w:val="0"/>
          <w:szCs w:val="22"/>
          <w:lang w:bidi="ar-SA"/>
        </w:rPr>
      </w:pPr>
      <w:r w:rsidRPr="007D3FCB">
        <w:rPr>
          <w:rFonts w:eastAsia="Calibri" w:cs="Arial"/>
          <w:i/>
          <w:noProof w:val="0"/>
          <w:szCs w:val="22"/>
          <w:lang w:bidi="ar-SA"/>
        </w:rPr>
        <w:t>Případ první – Dokonale konkurenční prostředí na trhu se zpětným odběrem</w:t>
      </w:r>
    </w:p>
    <w:p w:rsidR="007B24D3" w:rsidRPr="007D3FCB" w:rsidP="007B24D3" w14:paraId="08FDD71C" w14:textId="77777777">
      <w:pPr>
        <w:spacing w:after="120"/>
        <w:rPr>
          <w:rFonts w:eastAsia="Calibri" w:cs="Arial"/>
          <w:noProof w:val="0"/>
          <w:szCs w:val="22"/>
          <w:lang w:bidi="ar-SA"/>
        </w:rPr>
      </w:pPr>
      <w:r w:rsidRPr="007D3FCB">
        <w:rPr>
          <w:rFonts w:eastAsia="Calibri" w:cs="Arial"/>
          <w:noProof w:val="0"/>
          <w:szCs w:val="22"/>
          <w:lang w:bidi="ar-SA"/>
        </w:rPr>
        <w:t>Základní charakteristikou dokonale konkurenčního prostředí je nemožnost jednotlivé firmy ovlivnit celkovou tržní nabídku, resp. tržní cenu. V takovém případě můžeme cenu na trhu pro</w:t>
      </w:r>
      <w:r w:rsidR="00B6155C">
        <w:rPr>
          <w:rFonts w:eastAsia="Calibri" w:cs="Arial"/>
          <w:noProof w:val="0"/>
          <w:szCs w:val="22"/>
          <w:lang w:bidi="ar-SA"/>
        </w:rPr>
        <w:t> </w:t>
      </w:r>
      <w:r w:rsidRPr="007D3FCB">
        <w:rPr>
          <w:rFonts w:eastAsia="Calibri" w:cs="Arial"/>
          <w:noProof w:val="0"/>
          <w:szCs w:val="22"/>
          <w:lang w:bidi="ar-SA"/>
        </w:rPr>
        <w:t>jednotlivou firmu považovat za objektivní, neboť se nemění v závislosti na výši produkce dané firmy. Z toho vyplývá., že pro danou firmu platí následující rovnost: mezní příjem = průměrný příjem = tržní ceně (MR=AR=P). Z hlediska efektivity firmy je pak žádoucí dosáhnout stavu, kdy mezní náklady se rovnají mezním příjmům (MC = MR). Z výše uvedeného pak vyplývá následující podmínka rovnovážného vztahu pro firmy v dlouhém období:</w:t>
      </w:r>
    </w:p>
    <w:p w:rsidR="007B24D3" w:rsidRPr="007D3FCB" w:rsidP="007B24D3" w14:paraId="0D31F783" w14:textId="77777777">
      <w:pPr>
        <w:spacing w:after="120"/>
        <w:jc w:val="center"/>
        <w:rPr>
          <w:rFonts w:eastAsia="Calibri" w:cs="Arial"/>
          <w:noProof w:val="0"/>
          <w:szCs w:val="22"/>
          <w:lang w:bidi="ar-SA"/>
        </w:rPr>
      </w:pPr>
      <w:r w:rsidRPr="007D3FCB">
        <w:rPr>
          <w:rFonts w:eastAsia="Calibri" w:cs="Arial"/>
          <w:noProof w:val="0"/>
          <w:szCs w:val="22"/>
          <w:lang w:bidi="ar-SA"/>
        </w:rPr>
        <w:t>MC = MR = P = AR = AC</w:t>
      </w:r>
    </w:p>
    <w:p w:rsidR="007B24D3" w:rsidRPr="007D3FCB" w:rsidP="007B24D3" w14:paraId="50F101C1" w14:textId="3649D86F">
      <w:pPr>
        <w:spacing w:after="120"/>
        <w:rPr>
          <w:rFonts w:eastAsia="Calibri" w:cs="Arial"/>
          <w:noProof w:val="0"/>
          <w:szCs w:val="22"/>
          <w:lang w:bidi="ar-SA"/>
        </w:rPr>
      </w:pPr>
      <w:r w:rsidRPr="007D3FCB">
        <w:rPr>
          <w:rFonts w:eastAsia="Calibri" w:cs="Arial"/>
          <w:noProof w:val="0"/>
          <w:szCs w:val="22"/>
          <w:lang w:bidi="ar-SA"/>
        </w:rPr>
        <w:t>Grafické znázornění rovnovážného stavu v dokonalé konkurenci zobrazuje</w:t>
      </w:r>
      <w:r w:rsidR="008469AA">
        <w:rPr>
          <w:rFonts w:eastAsia="Calibri" w:cs="Arial"/>
          <w:noProof w:val="0"/>
          <w:szCs w:val="22"/>
          <w:lang w:bidi="ar-SA"/>
        </w:rPr>
        <w:t xml:space="preserve"> obrázek </w:t>
      </w:r>
      <w:r w:rsidR="00B6155C">
        <w:rPr>
          <w:rFonts w:eastAsia="Calibri" w:cs="Arial"/>
          <w:noProof w:val="0"/>
          <w:szCs w:val="22"/>
          <w:lang w:bidi="ar-SA"/>
        </w:rPr>
        <w:t>1</w:t>
      </w:r>
      <w:r w:rsidR="00FB44D0">
        <w:rPr>
          <w:rFonts w:eastAsia="Calibri" w:cs="Arial"/>
          <w:noProof w:val="0"/>
          <w:szCs w:val="22"/>
          <w:lang w:bidi="ar-SA"/>
        </w:rPr>
        <w:t>0</w:t>
      </w:r>
      <w:r w:rsidR="008469AA">
        <w:rPr>
          <w:rFonts w:eastAsia="Calibri" w:cs="Arial"/>
          <w:noProof w:val="0"/>
          <w:szCs w:val="22"/>
          <w:lang w:bidi="ar-SA"/>
        </w:rPr>
        <w:t>.</w:t>
      </w:r>
      <w:r w:rsidRPr="007D3FCB">
        <w:rPr>
          <w:rFonts w:eastAsia="Calibri" w:cs="Arial"/>
          <w:noProof w:val="0"/>
          <w:szCs w:val="22"/>
          <w:lang w:bidi="ar-SA"/>
        </w:rPr>
        <w:t xml:space="preserve"> V rámci dokonalé konkurence jednotlivé firmy nemohou v dlouhém období realizovat abnormální zisk, neboť tržní cena se rovná mezním nákladům (P = MC). Nevzniká tak žádná ztráta z mrtvé váhy spojené s existencí neefektivity.</w:t>
      </w:r>
    </w:p>
    <w:p w:rsidR="007B24D3" w:rsidRPr="007D3FCB" w:rsidP="007B24D3" w14:paraId="48DD268C" w14:textId="558CD9D6">
      <w:pPr>
        <w:pStyle w:val="Caption"/>
        <w:rPr>
          <w:rFonts w:cs="Arial"/>
          <w:lang w:eastAsia="cs-CZ" w:bidi="ar-SA"/>
        </w:rPr>
      </w:pPr>
      <w:r w:rsidRPr="007D3FCB">
        <w:rPr>
          <w:rFonts w:cs="Arial"/>
          <w:lang w:eastAsia="cs-CZ" w:bidi="ar-SA"/>
        </w:rPr>
        <w:t xml:space="preserve">Obrázek </w:t>
      </w:r>
      <w:r w:rsidR="00DC6033">
        <w:rPr>
          <w:rFonts w:cs="Arial"/>
          <w:lang w:eastAsia="cs-CZ" w:bidi="ar-SA"/>
        </w:rPr>
        <w:t>1</w:t>
      </w:r>
      <w:r w:rsidR="00FB44D0">
        <w:rPr>
          <w:rFonts w:cs="Arial"/>
          <w:lang w:eastAsia="cs-CZ" w:bidi="ar-SA"/>
        </w:rPr>
        <w:t>0</w:t>
      </w:r>
      <w:r w:rsidRPr="007D3FCB">
        <w:rPr>
          <w:rFonts w:cs="Arial"/>
          <w:lang w:eastAsia="cs-CZ" w:bidi="ar-SA"/>
        </w:rPr>
        <w:t>: Rovnováha firmy v případě dokonalé konkurence</w:t>
      </w:r>
    </w:p>
    <w:p w:rsidR="007B24D3" w:rsidRPr="007D3FCB" w:rsidP="007B24D3" w14:paraId="671CB61A" w14:textId="77777777">
      <w:pPr>
        <w:spacing w:after="120"/>
        <w:rPr>
          <w:rFonts w:eastAsia="Calibri" w:cs="Arial"/>
          <w:noProof w:val="0"/>
          <w:szCs w:val="22"/>
          <w:lang w:bidi="ar-SA"/>
        </w:rPr>
      </w:pPr>
      <w:r w:rsidRPr="007D3FCB">
        <w:rPr>
          <w:rFonts w:eastAsia="Calibri" w:cs="Arial"/>
          <w:szCs w:val="22"/>
          <w:lang w:eastAsia="cs-CZ" w:bidi="ar-SA"/>
        </w:rPr>
        <w:drawing>
          <wp:inline distT="0" distB="0" distL="0" distR="0">
            <wp:extent cx="3436620" cy="2827020"/>
            <wp:effectExtent l="19050" t="19050" r="11430" b="1143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5953" name="Picture 4"/>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6620" cy="2827020"/>
                    </a:xfrm>
                    <a:prstGeom prst="rect">
                      <a:avLst/>
                    </a:prstGeom>
                    <a:noFill/>
                    <a:ln>
                      <a:solidFill>
                        <a:sysClr val="windowText" lastClr="000000"/>
                      </a:solidFill>
                    </a:ln>
                  </pic:spPr>
                </pic:pic>
              </a:graphicData>
            </a:graphic>
          </wp:inline>
        </w:drawing>
      </w:r>
    </w:p>
    <w:p w:rsidR="007B24D3" w:rsidRPr="007D3FCB" w:rsidP="00FB44D0" w14:paraId="5382FD34" w14:textId="77777777">
      <w:pPr>
        <w:widowControl w:val="0"/>
        <w:spacing w:after="240" w:line="240" w:lineRule="auto"/>
        <w:jc w:val="right"/>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P="007B24D3" w14:paraId="63389419" w14:textId="77777777">
      <w:pPr>
        <w:keepNext/>
        <w:spacing w:after="120"/>
        <w:rPr>
          <w:rFonts w:eastAsia="Calibri" w:cs="Arial"/>
          <w:i/>
          <w:noProof w:val="0"/>
          <w:szCs w:val="22"/>
          <w:lang w:bidi="ar-SA"/>
        </w:rPr>
      </w:pPr>
      <w:r w:rsidRPr="007D3FCB">
        <w:rPr>
          <w:rFonts w:eastAsia="Calibri" w:cs="Arial"/>
          <w:i/>
          <w:noProof w:val="0"/>
          <w:szCs w:val="22"/>
          <w:lang w:bidi="ar-SA"/>
        </w:rPr>
        <w:t>Případ druhý – Monopolní situace na trhu se zpětným odběrem</w:t>
      </w:r>
    </w:p>
    <w:p w:rsidR="007B24D3" w:rsidRPr="007D3FCB" w:rsidP="007B24D3" w14:paraId="0C96659E" w14:textId="77777777">
      <w:pPr>
        <w:spacing w:after="120"/>
        <w:rPr>
          <w:rFonts w:eastAsia="Calibri" w:cs="Arial"/>
          <w:noProof w:val="0"/>
          <w:szCs w:val="22"/>
          <w:lang w:bidi="ar-SA"/>
        </w:rPr>
      </w:pPr>
      <w:r w:rsidRPr="007D3FCB">
        <w:rPr>
          <w:rFonts w:eastAsia="Calibri" w:cs="Arial"/>
          <w:noProof w:val="0"/>
          <w:szCs w:val="22"/>
          <w:lang w:bidi="ar-SA"/>
        </w:rPr>
        <w:t xml:space="preserve">V této první části popisujeme situaci, kdy na trhu zpětného odběru existuje monopolní postavení. Je zde také potřeba brát na vědomí, že subjekt, který maximalizuje zisk, není přímo oprávněná společnost, ale jsou to nepřímo povinné osoby v ní sdružené. Provozování kolektivního systému je ze zákona sice neziskovou činností, což ovšem neznamená, že kolektivní systém nemůže dosahovat zisku. Je-li při činnosti provozovatele kolektivního systému generován zisk, nesmí být rozdělen mezi akcionáře, členy orgánů nebo zaměstnance provozovatele kolektivního systému, ale musí být reinvestován zpět do kolektivního systému. Povinné subjekty tedy mají zájem buď přímo, nebo prostřednictvím kolektivního systému maximalizovat zisk, respektive minimalizovat náklady na činnosti vyplývající z povinnosti zpětného odběru. </w:t>
      </w:r>
    </w:p>
    <w:p w:rsidR="007B24D3" w:rsidRPr="007D3FCB" w:rsidP="007B24D3" w14:paraId="00C50C69" w14:textId="77777777">
      <w:pPr>
        <w:spacing w:after="120"/>
        <w:rPr>
          <w:rFonts w:eastAsia="Calibri" w:cs="Arial"/>
          <w:noProof w:val="0"/>
          <w:szCs w:val="22"/>
          <w:lang w:bidi="ar-SA"/>
        </w:rPr>
      </w:pPr>
      <w:r w:rsidRPr="007D3FCB">
        <w:rPr>
          <w:rFonts w:eastAsia="Calibri" w:cs="Arial"/>
          <w:noProof w:val="0"/>
          <w:szCs w:val="22"/>
          <w:lang w:bidi="ar-SA"/>
        </w:rPr>
        <w:t xml:space="preserve">V případě, že by na trhu zpětného odběru existovalo monopolní postavení (nedokonalá konkurence), povinný subjekt zodpovědný za zpětný odběr je svým chováním schopen měnit tržní situaci a tak případně negativně ovlivňovat další hráče na trhu (zpracovatele, svozové společnosti, místa zpětného odběru apod.). Kolektivní systém v případě nedokonalé konkurence svým chováním do určité míry může například ovlivňovat ceny za zpracování, nebo cenu odkupu výrobku od posledního uživatele (ta samozřejmě musí být podle zákona nezáporná, nicméně pokud má výrobek hodnotu, cena je pozitivní a povinná osoba si určuje cenovou politiku odkupů vyřazených výrobků). </w:t>
      </w:r>
    </w:p>
    <w:p w:rsidR="007B24D3" w:rsidRPr="007D3FCB" w:rsidP="007B24D3" w14:paraId="2279B97D" w14:textId="421D9070">
      <w:pPr>
        <w:spacing w:after="120"/>
        <w:rPr>
          <w:rFonts w:eastAsia="Calibri" w:cs="Arial"/>
          <w:noProof w:val="0"/>
          <w:szCs w:val="22"/>
          <w:lang w:bidi="ar-SA"/>
        </w:rPr>
      </w:pPr>
      <w:r>
        <w:rPr>
          <w:rFonts w:eastAsia="Calibri" w:cs="Arial"/>
          <w:noProof w:val="0"/>
          <w:szCs w:val="22"/>
          <w:lang w:bidi="ar-SA"/>
        </w:rPr>
        <w:t xml:space="preserve">Obrázek </w:t>
      </w:r>
      <w:r w:rsidR="00B6155C">
        <w:rPr>
          <w:rFonts w:eastAsia="Calibri" w:cs="Arial"/>
          <w:noProof w:val="0"/>
          <w:szCs w:val="22"/>
          <w:lang w:bidi="ar-SA"/>
        </w:rPr>
        <w:t>12</w:t>
      </w:r>
      <w:r>
        <w:rPr>
          <w:rFonts w:eastAsia="Calibri" w:cs="Arial"/>
          <w:noProof w:val="0"/>
          <w:szCs w:val="22"/>
          <w:lang w:bidi="ar-SA"/>
        </w:rPr>
        <w:t xml:space="preserve"> </w:t>
      </w:r>
      <w:r w:rsidRPr="007D3FCB">
        <w:rPr>
          <w:rFonts w:eastAsia="Calibri" w:cs="Arial"/>
          <w:noProof w:val="0"/>
          <w:szCs w:val="22"/>
          <w:lang w:bidi="ar-SA"/>
        </w:rPr>
        <w:t>graficky znázorňuje rovnovážný stav pro monopol. V podmínkách nedokonalé konkurence platí, že mezní příjem (MR) je klesající, neboť firma je schopna realizovat vyšší množství produkce pouze za předpokladu nižší ceny. Zároveň průměrný příjem (AR) je taktéž klesající s rostoucím množstvím produkce. V případě monopolu tak křivka průměrných nákladů současně představuje poptávkovou křivku (D). Stanovená optimální produkce pro</w:t>
      </w:r>
      <w:r w:rsidR="00B6155C">
        <w:rPr>
          <w:rFonts w:eastAsia="Calibri" w:cs="Arial"/>
          <w:noProof w:val="0"/>
          <w:szCs w:val="22"/>
          <w:lang w:bidi="ar-SA"/>
        </w:rPr>
        <w:t> </w:t>
      </w:r>
      <w:r w:rsidRPr="007D3FCB">
        <w:rPr>
          <w:rFonts w:eastAsia="Calibri" w:cs="Arial"/>
          <w:noProof w:val="0"/>
          <w:szCs w:val="22"/>
          <w:lang w:bidi="ar-SA"/>
        </w:rPr>
        <w:t>firmu je situace, kdy dojde k vyrovnání mezních nákladů s mezními příjmy (MC = MR). Jedná se o rovnovážný stav, neboť při vyšší produkci nebo při nižší produkci než optimální by nedošlo k maximalizaci zisku. Oproti dokonalé konkurenci v případě nedokonalé konkurence dochází k projevu tržní síly monopolu ve formě realizace za cenu zabezpečující monopolní zisk. Monopol se tak ve vztahu k ceně stává cenovým tvůrcem. Díky koupěschopné poptávce je tak monopol schopen realizovat množství q</w:t>
      </w:r>
      <w:r w:rsidRPr="007D3FCB">
        <w:rPr>
          <w:rFonts w:eastAsia="Calibri" w:cs="Arial"/>
          <w:noProof w:val="0"/>
          <w:szCs w:val="22"/>
          <w:vertAlign w:val="subscript"/>
          <w:lang w:bidi="ar-SA"/>
        </w:rPr>
        <w:t>M</w:t>
      </w:r>
      <w:r w:rsidRPr="007D3FCB">
        <w:rPr>
          <w:rFonts w:eastAsia="Calibri" w:cs="Arial"/>
          <w:noProof w:val="0"/>
          <w:szCs w:val="22"/>
          <w:lang w:bidi="ar-SA"/>
        </w:rPr>
        <w:t xml:space="preserve"> za cenu vyšší (P</w:t>
      </w:r>
      <w:r w:rsidRPr="007D3FCB">
        <w:rPr>
          <w:rFonts w:eastAsia="Calibri" w:cs="Arial"/>
          <w:noProof w:val="0"/>
          <w:szCs w:val="22"/>
          <w:vertAlign w:val="subscript"/>
          <w:lang w:bidi="ar-SA"/>
        </w:rPr>
        <w:t>M</w:t>
      </w:r>
      <w:r w:rsidRPr="007D3FCB">
        <w:rPr>
          <w:rFonts w:eastAsia="Calibri" w:cs="Arial"/>
          <w:noProof w:val="0"/>
          <w:szCs w:val="22"/>
          <w:lang w:bidi="ar-SA"/>
        </w:rPr>
        <w:t>) než je cena (P</w:t>
      </w:r>
      <w:r w:rsidRPr="007D3FCB">
        <w:rPr>
          <w:rFonts w:eastAsia="Calibri" w:cs="Arial"/>
          <w:noProof w:val="0"/>
          <w:szCs w:val="22"/>
          <w:vertAlign w:val="subscript"/>
          <w:lang w:bidi="ar-SA"/>
        </w:rPr>
        <w:t>A</w:t>
      </w:r>
      <w:r w:rsidRPr="007D3FCB">
        <w:rPr>
          <w:rFonts w:eastAsia="Calibri" w:cs="Arial"/>
          <w:noProof w:val="0"/>
          <w:szCs w:val="22"/>
          <w:lang w:bidi="ar-SA"/>
        </w:rPr>
        <w:t>) odpovídající průměrným nákladům produkci q</w:t>
      </w:r>
      <w:r w:rsidRPr="007D3FCB">
        <w:rPr>
          <w:rFonts w:eastAsia="Calibri" w:cs="Arial"/>
          <w:noProof w:val="0"/>
          <w:szCs w:val="22"/>
          <w:vertAlign w:val="subscript"/>
          <w:lang w:bidi="ar-SA"/>
        </w:rPr>
        <w:t>M</w:t>
      </w:r>
      <w:r w:rsidRPr="007D3FCB">
        <w:rPr>
          <w:rFonts w:eastAsia="Calibri" w:cs="Arial"/>
          <w:noProof w:val="0"/>
          <w:szCs w:val="22"/>
          <w:lang w:bidi="ar-SA"/>
        </w:rPr>
        <w:t xml:space="preserve">. Monopolní zisk je pak na </w:t>
      </w:r>
      <w:r>
        <w:rPr>
          <w:rFonts w:eastAsia="Calibri" w:cs="Arial"/>
          <w:noProof w:val="0"/>
          <w:szCs w:val="22"/>
          <w:lang w:bidi="ar-SA"/>
        </w:rPr>
        <w:t xml:space="preserve">obrázku </w:t>
      </w:r>
      <w:r w:rsidR="00B6155C">
        <w:rPr>
          <w:rFonts w:eastAsia="Calibri" w:cs="Arial"/>
          <w:noProof w:val="0"/>
          <w:szCs w:val="22"/>
          <w:lang w:bidi="ar-SA"/>
        </w:rPr>
        <w:t>1</w:t>
      </w:r>
      <w:r w:rsidR="00FB44D0">
        <w:rPr>
          <w:rFonts w:eastAsia="Calibri" w:cs="Arial"/>
          <w:noProof w:val="0"/>
          <w:szCs w:val="22"/>
          <w:lang w:bidi="ar-SA"/>
        </w:rPr>
        <w:t>1</w:t>
      </w:r>
      <w:r>
        <w:rPr>
          <w:rFonts w:eastAsia="Calibri" w:cs="Arial"/>
          <w:noProof w:val="0"/>
          <w:szCs w:val="22"/>
          <w:lang w:bidi="ar-SA"/>
        </w:rPr>
        <w:t xml:space="preserve"> </w:t>
      </w:r>
      <w:r w:rsidRPr="007D3FCB">
        <w:rPr>
          <w:rFonts w:eastAsia="Calibri" w:cs="Arial"/>
          <w:noProof w:val="0"/>
          <w:szCs w:val="22"/>
          <w:lang w:bidi="ar-SA"/>
        </w:rPr>
        <w:t>znázorněn jako obsah obdélníku s vrcholy P</w:t>
      </w:r>
      <w:r w:rsidRPr="007D3FCB">
        <w:rPr>
          <w:rFonts w:eastAsia="Calibri" w:cs="Arial"/>
          <w:noProof w:val="0"/>
          <w:szCs w:val="22"/>
          <w:vertAlign w:val="subscript"/>
          <w:lang w:bidi="ar-SA"/>
        </w:rPr>
        <w:t>A</w:t>
      </w:r>
      <w:r w:rsidRPr="007D3FCB">
        <w:rPr>
          <w:rFonts w:eastAsia="Calibri" w:cs="Arial"/>
          <w:noProof w:val="0"/>
          <w:szCs w:val="22"/>
          <w:lang w:bidi="ar-SA"/>
        </w:rPr>
        <w:t>, P</w:t>
      </w:r>
      <w:r w:rsidRPr="007D3FCB">
        <w:rPr>
          <w:rFonts w:eastAsia="Calibri" w:cs="Arial"/>
          <w:noProof w:val="0"/>
          <w:szCs w:val="22"/>
          <w:vertAlign w:val="subscript"/>
          <w:lang w:bidi="ar-SA"/>
        </w:rPr>
        <w:t>M</w:t>
      </w:r>
      <w:r w:rsidRPr="007D3FCB">
        <w:rPr>
          <w:rFonts w:eastAsia="Calibri" w:cs="Arial"/>
          <w:noProof w:val="0"/>
          <w:szCs w:val="22"/>
          <w:lang w:bidi="ar-SA"/>
        </w:rPr>
        <w:t>, E</w:t>
      </w:r>
      <w:r w:rsidRPr="007D3FCB">
        <w:rPr>
          <w:rFonts w:eastAsia="Calibri" w:cs="Arial"/>
          <w:noProof w:val="0"/>
          <w:szCs w:val="22"/>
          <w:vertAlign w:val="subscript"/>
          <w:lang w:bidi="ar-SA"/>
        </w:rPr>
        <w:t>M</w:t>
      </w:r>
      <w:r w:rsidRPr="007D3FCB">
        <w:rPr>
          <w:rFonts w:eastAsia="Calibri" w:cs="Arial"/>
          <w:noProof w:val="0"/>
          <w:szCs w:val="22"/>
          <w:lang w:bidi="ar-SA"/>
        </w:rPr>
        <w:t>, A.</w:t>
      </w:r>
    </w:p>
    <w:p w:rsidR="007B24D3" w:rsidRPr="007D3FCB" w:rsidP="007B24D3" w14:paraId="32CDC3BC" w14:textId="2286D6B7">
      <w:pPr>
        <w:pStyle w:val="Caption"/>
        <w:rPr>
          <w:rFonts w:cs="Arial"/>
          <w:lang w:eastAsia="cs-CZ" w:bidi="ar-SA"/>
        </w:rPr>
      </w:pPr>
      <w:r w:rsidRPr="007D3FCB">
        <w:rPr>
          <w:rFonts w:cs="Arial"/>
          <w:lang w:eastAsia="cs-CZ" w:bidi="ar-SA"/>
        </w:rPr>
        <w:t>Obrázek</w:t>
      </w:r>
      <w:r w:rsidR="00DC6033">
        <w:rPr>
          <w:rFonts w:cs="Arial"/>
          <w:lang w:eastAsia="cs-CZ" w:bidi="ar-SA"/>
        </w:rPr>
        <w:t xml:space="preserve"> 1</w:t>
      </w:r>
      <w:r w:rsidR="00FB44D0">
        <w:rPr>
          <w:rFonts w:cs="Arial"/>
          <w:lang w:eastAsia="cs-CZ" w:bidi="ar-SA"/>
        </w:rPr>
        <w:t>1</w:t>
      </w:r>
      <w:r w:rsidRPr="007D3FCB">
        <w:rPr>
          <w:rFonts w:cs="Arial"/>
          <w:lang w:eastAsia="cs-CZ" w:bidi="ar-SA"/>
        </w:rPr>
        <w:t xml:space="preserve">: Rovnováha </w:t>
      </w:r>
      <w:r w:rsidRPr="007D3FCB">
        <w:rPr>
          <w:rFonts w:cs="Arial"/>
        </w:rPr>
        <w:t>monopolu</w:t>
      </w:r>
    </w:p>
    <w:p w:rsidR="007B24D3" w:rsidRPr="007D3FCB" w:rsidP="007B24D3" w14:paraId="1ADAC1AD" w14:textId="77777777">
      <w:pPr>
        <w:spacing w:after="120"/>
        <w:rPr>
          <w:rFonts w:eastAsia="Calibri" w:cs="Arial"/>
          <w:noProof w:val="0"/>
          <w:szCs w:val="22"/>
          <w:lang w:bidi="ar-SA"/>
        </w:rPr>
      </w:pPr>
      <w:r w:rsidRPr="007D3FCB">
        <w:rPr>
          <w:rFonts w:eastAsia="Calibri" w:cs="Arial"/>
          <w:szCs w:val="22"/>
          <w:lang w:eastAsia="cs-CZ" w:bidi="ar-SA"/>
        </w:rPr>
        <w:drawing>
          <wp:inline distT="0" distB="0" distL="0" distR="0">
            <wp:extent cx="3985260" cy="2979420"/>
            <wp:effectExtent l="19050" t="19050" r="15240" b="1143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77085" name="Picture 1"/>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5260" cy="2979420"/>
                    </a:xfrm>
                    <a:prstGeom prst="rect">
                      <a:avLst/>
                    </a:prstGeom>
                    <a:noFill/>
                    <a:ln>
                      <a:solidFill>
                        <a:sysClr val="windowText" lastClr="000000"/>
                      </a:solidFill>
                    </a:ln>
                  </pic:spPr>
                </pic:pic>
              </a:graphicData>
            </a:graphic>
          </wp:inline>
        </w:drawing>
      </w:r>
    </w:p>
    <w:p w:rsidR="007B24D3" w:rsidRPr="007D3FCB" w:rsidP="00FB44D0" w14:paraId="5544D8C9" w14:textId="77777777">
      <w:pPr>
        <w:widowControl w:val="0"/>
        <w:spacing w:after="240" w:line="240" w:lineRule="auto"/>
        <w:jc w:val="right"/>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P="007B24D3" w14:paraId="4D3D6B6D" w14:textId="09A77D80">
      <w:pPr>
        <w:spacing w:after="120"/>
        <w:rPr>
          <w:rFonts w:eastAsia="Calibri" w:cs="Arial"/>
          <w:noProof w:val="0"/>
          <w:szCs w:val="22"/>
          <w:lang w:bidi="ar-SA"/>
        </w:rPr>
      </w:pPr>
      <w:r w:rsidRPr="007D3FCB">
        <w:rPr>
          <w:rFonts w:eastAsia="Calibri" w:cs="Arial"/>
          <w:noProof w:val="0"/>
          <w:szCs w:val="22"/>
          <w:lang w:bidi="ar-SA"/>
        </w:rPr>
        <w:t>Existence monopolního zisku pak v případě nedokonalé konkurence obecně vytváří obecně ekonomickou neefektivitu, v ekonomické teorii označovanou jako náklady mrtvé váhy (</w:t>
      </w:r>
      <w:r w:rsidRPr="007D3FCB">
        <w:rPr>
          <w:rFonts w:eastAsia="Calibri" w:cs="Arial"/>
          <w:i/>
          <w:noProof w:val="0"/>
          <w:szCs w:val="22"/>
          <w:lang w:bidi="ar-SA"/>
        </w:rPr>
        <w:t>angl. dead weight loss</w:t>
      </w:r>
      <w:r w:rsidRPr="007D3FCB">
        <w:rPr>
          <w:rFonts w:eastAsia="Calibri" w:cs="Arial"/>
          <w:noProof w:val="0"/>
          <w:szCs w:val="22"/>
          <w:lang w:bidi="ar-SA"/>
        </w:rPr>
        <w:t xml:space="preserve">), což znamená, že monopol nabízí méně služeb za vyšší ceny. Monopolní situace je znázorněna na </w:t>
      </w:r>
      <w:r w:rsidR="008469AA">
        <w:rPr>
          <w:rFonts w:eastAsia="Calibri" w:cs="Arial"/>
          <w:noProof w:val="0"/>
          <w:szCs w:val="22"/>
          <w:lang w:bidi="ar-SA"/>
        </w:rPr>
        <w:t>obrázku 1</w:t>
      </w:r>
      <w:r w:rsidR="00FB44D0">
        <w:rPr>
          <w:rFonts w:eastAsia="Calibri" w:cs="Arial"/>
          <w:noProof w:val="0"/>
          <w:szCs w:val="22"/>
          <w:lang w:bidi="ar-SA"/>
        </w:rPr>
        <w:t>2</w:t>
      </w:r>
      <w:r w:rsidR="008469AA">
        <w:rPr>
          <w:rFonts w:eastAsia="Calibri" w:cs="Arial"/>
          <w:noProof w:val="0"/>
          <w:szCs w:val="22"/>
          <w:lang w:bidi="ar-SA"/>
        </w:rPr>
        <w:t xml:space="preserve"> </w:t>
      </w:r>
      <w:r w:rsidRPr="007D3FCB">
        <w:rPr>
          <w:rFonts w:eastAsia="Calibri" w:cs="Arial"/>
          <w:noProof w:val="0"/>
          <w:szCs w:val="22"/>
          <w:lang w:bidi="ar-SA"/>
        </w:rPr>
        <w:t>níže, kdy jsou znázorněny náklady mrtvé váhy monopolu oproti dokonalé konkurenci.</w:t>
      </w:r>
    </w:p>
    <w:p w:rsidR="007B24D3" w:rsidRPr="007D3FCB" w:rsidP="007B24D3" w14:paraId="484F1302" w14:textId="30339EC5">
      <w:pPr>
        <w:pStyle w:val="Caption"/>
        <w:rPr>
          <w:rFonts w:cs="Arial"/>
          <w:lang w:eastAsia="cs-CZ" w:bidi="ar-SA"/>
        </w:rPr>
      </w:pPr>
      <w:r w:rsidRPr="007D3FCB">
        <w:rPr>
          <w:rFonts w:cs="Arial"/>
          <w:lang w:eastAsia="cs-CZ" w:bidi="ar-SA"/>
        </w:rPr>
        <w:t xml:space="preserve">Obrázek </w:t>
      </w:r>
      <w:r w:rsidR="00DC6033">
        <w:rPr>
          <w:rFonts w:cs="Arial"/>
          <w:lang w:eastAsia="cs-CZ" w:bidi="ar-SA"/>
        </w:rPr>
        <w:t>1</w:t>
      </w:r>
      <w:r w:rsidR="00FB44D0">
        <w:rPr>
          <w:rFonts w:cs="Arial"/>
          <w:lang w:eastAsia="cs-CZ" w:bidi="ar-SA"/>
        </w:rPr>
        <w:t>2</w:t>
      </w:r>
      <w:r w:rsidRPr="007D3FCB">
        <w:rPr>
          <w:rFonts w:cs="Arial"/>
          <w:lang w:eastAsia="cs-CZ" w:bidi="ar-SA"/>
        </w:rPr>
        <w:t>: Alokační neefektivnost monopolu</w:t>
      </w:r>
    </w:p>
    <w:p w:rsidR="007B24D3" w:rsidRPr="007D3FCB" w:rsidP="007B24D3" w14:paraId="1C990879" w14:textId="77777777">
      <w:pPr>
        <w:spacing w:after="120"/>
        <w:rPr>
          <w:rFonts w:eastAsia="Calibri" w:cs="Arial"/>
          <w:noProof w:val="0"/>
          <w:szCs w:val="22"/>
          <w:lang w:bidi="ar-SA"/>
        </w:rPr>
      </w:pPr>
      <w:r w:rsidRPr="007D3FCB">
        <w:rPr>
          <w:rFonts w:eastAsia="Calibri" w:cs="Arial"/>
          <w:szCs w:val="22"/>
          <w:lang w:eastAsia="cs-CZ" w:bidi="ar-SA"/>
        </w:rPr>
        <w:drawing>
          <wp:inline distT="0" distB="0" distL="0" distR="0">
            <wp:extent cx="4137660" cy="2926080"/>
            <wp:effectExtent l="19050" t="19050" r="15240" b="2667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45333" name="Picture 2"/>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7660" cy="2926080"/>
                    </a:xfrm>
                    <a:prstGeom prst="rect">
                      <a:avLst/>
                    </a:prstGeom>
                    <a:noFill/>
                    <a:ln>
                      <a:solidFill>
                        <a:sysClr val="windowText" lastClr="000000"/>
                      </a:solidFill>
                    </a:ln>
                  </pic:spPr>
                </pic:pic>
              </a:graphicData>
            </a:graphic>
          </wp:inline>
        </w:drawing>
      </w:r>
    </w:p>
    <w:p w:rsidR="007B24D3" w:rsidRPr="007D3FCB" w:rsidP="00FB44D0" w14:paraId="35E6CE25" w14:textId="77777777">
      <w:pPr>
        <w:widowControl w:val="0"/>
        <w:spacing w:after="240" w:line="240" w:lineRule="auto"/>
        <w:jc w:val="right"/>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P="007B24D3" w14:paraId="727F2027" w14:textId="77777777">
      <w:pPr>
        <w:spacing w:after="120"/>
        <w:rPr>
          <w:rFonts w:eastAsia="Calibri" w:cs="Arial"/>
          <w:noProof w:val="0"/>
          <w:szCs w:val="22"/>
          <w:lang w:bidi="ar-SA"/>
        </w:rPr>
      </w:pPr>
      <w:r w:rsidRPr="007D3FCB">
        <w:rPr>
          <w:rFonts w:eastAsia="Calibri" w:cs="Arial"/>
          <w:noProof w:val="0"/>
          <w:szCs w:val="22"/>
          <w:lang w:bidi="ar-SA"/>
        </w:rPr>
        <w:t>Vzhledem k výše zmíněné neefektivitě monopolních situací (v případě oligopolu je situace obdobná s tím, že ztráty mrtvé váhy jsou menší) je vhodné podporovat konkurenci v odvětví, byť by se jednalo o konkurenci okrajovou. V případě zpětného odběru odpadů by pak situace mohla vést k tzv. monopolistické konkurenci.</w:t>
      </w:r>
    </w:p>
    <w:p w:rsidR="007B24D3" w:rsidRPr="007D3FCB" w:rsidP="007B24D3" w14:paraId="120179A6" w14:textId="77777777">
      <w:pPr>
        <w:keepNext/>
        <w:spacing w:after="120"/>
        <w:rPr>
          <w:rFonts w:eastAsia="Calibri" w:cs="Arial"/>
          <w:i/>
          <w:noProof w:val="0"/>
          <w:szCs w:val="22"/>
          <w:lang w:bidi="ar-SA"/>
        </w:rPr>
      </w:pPr>
      <w:r w:rsidRPr="007D3FCB">
        <w:rPr>
          <w:rFonts w:eastAsia="Calibri" w:cs="Arial"/>
          <w:i/>
          <w:noProof w:val="0"/>
          <w:szCs w:val="22"/>
          <w:lang w:bidi="ar-SA"/>
        </w:rPr>
        <w:t>Případ třetí – Monopolistická konkurence na trhu se zpětným odběrem</w:t>
      </w:r>
    </w:p>
    <w:p w:rsidR="007B24D3" w:rsidRPr="007D3FCB" w:rsidP="007B24D3" w14:paraId="5DA483FC" w14:textId="77777777">
      <w:pPr>
        <w:spacing w:after="120"/>
        <w:rPr>
          <w:rFonts w:eastAsia="Calibri" w:cs="Arial"/>
          <w:noProof w:val="0"/>
          <w:szCs w:val="22"/>
          <w:lang w:bidi="ar-SA"/>
        </w:rPr>
      </w:pPr>
      <w:r w:rsidRPr="007D3FCB">
        <w:rPr>
          <w:rFonts w:eastAsia="Calibri" w:cs="Arial"/>
          <w:noProof w:val="0"/>
          <w:szCs w:val="22"/>
          <w:lang w:bidi="ar-SA"/>
        </w:rPr>
        <w:t>Jinou formou nedokonalé konkurence je tzv. monopolistická konkurence neboli konkurence velké skupiny. Oproti dokonalé konkurenci spočívá nedokonalost této formy ve skutečnosti, že produkce jednotlivých firem není identická, produkt je tak diferencovatelný. Trh navíc ovlivňují i další faktory (např. značka, reklama, tradice a zvyky spotřebitelů apod.), které ve</w:t>
      </w:r>
      <w:r w:rsidR="00B6155C">
        <w:rPr>
          <w:rFonts w:eastAsia="Calibri" w:cs="Arial"/>
          <w:noProof w:val="0"/>
          <w:szCs w:val="22"/>
          <w:lang w:bidi="ar-SA"/>
        </w:rPr>
        <w:t> </w:t>
      </w:r>
      <w:r w:rsidRPr="007D3FCB">
        <w:rPr>
          <w:rFonts w:eastAsia="Calibri" w:cs="Arial"/>
          <w:noProof w:val="0"/>
          <w:szCs w:val="22"/>
          <w:lang w:bidi="ar-SA"/>
        </w:rPr>
        <w:t>spojitosti s diferencovatelností produktů rozkládají celkovou poptávku. Rozklad celkové poptávky umožňuje jednotlivým firmám existence „svého“ dočasně stabilizovaného trhu. Z toho vyplývá, že ačkoliv je firma krátkodobě na „svém“ trhu v postavení monopolu, nemůže monopolní výhody realizovat jako dlouhodobě stabilizovaný zisk, který je výrazně vyšší než úroveň průměrných nákladů.</w:t>
      </w:r>
    </w:p>
    <w:p w:rsidR="007B24D3" w:rsidRPr="007D3FCB" w:rsidP="007B24D3" w14:paraId="0B683A9C" w14:textId="77777777">
      <w:pPr>
        <w:spacing w:after="120"/>
        <w:rPr>
          <w:rFonts w:eastAsia="Calibri" w:cs="Arial"/>
          <w:noProof w:val="0"/>
          <w:szCs w:val="22"/>
          <w:lang w:bidi="ar-SA"/>
        </w:rPr>
      </w:pPr>
      <w:r>
        <w:rPr>
          <w:rFonts w:eastAsia="Calibri" w:cs="Arial"/>
          <w:noProof w:val="0"/>
          <w:szCs w:val="22"/>
          <w:lang w:bidi="ar-SA"/>
        </w:rPr>
        <w:t>Obrázek 1</w:t>
      </w:r>
      <w:r w:rsidR="00B6155C">
        <w:rPr>
          <w:rFonts w:eastAsia="Calibri" w:cs="Arial"/>
          <w:noProof w:val="0"/>
          <w:szCs w:val="22"/>
          <w:lang w:bidi="ar-SA"/>
        </w:rPr>
        <w:t>4</w:t>
      </w:r>
      <w:r>
        <w:rPr>
          <w:rFonts w:eastAsia="Calibri" w:cs="Arial"/>
          <w:noProof w:val="0"/>
          <w:szCs w:val="22"/>
          <w:lang w:bidi="ar-SA"/>
        </w:rPr>
        <w:t xml:space="preserve"> </w:t>
      </w:r>
      <w:r w:rsidRPr="007D3FCB">
        <w:rPr>
          <w:rFonts w:eastAsia="Calibri" w:cs="Arial"/>
          <w:noProof w:val="0"/>
          <w:szCs w:val="22"/>
          <w:lang w:bidi="ar-SA"/>
        </w:rPr>
        <w:t>graficky znázorňuje rovnovážný stav pro monopolistickou konkurenci. Firma začíná na „svém“ trhu v postavení monopolu a realizuje tak množství q</w:t>
      </w:r>
      <w:r w:rsidRPr="007D3FCB">
        <w:rPr>
          <w:rFonts w:eastAsia="Calibri" w:cs="Arial"/>
          <w:noProof w:val="0"/>
          <w:szCs w:val="22"/>
          <w:vertAlign w:val="subscript"/>
          <w:lang w:bidi="ar-SA"/>
        </w:rPr>
        <w:t>1</w:t>
      </w:r>
      <w:r w:rsidRPr="007D3FCB">
        <w:rPr>
          <w:rFonts w:eastAsia="Calibri" w:cs="Arial"/>
          <w:noProof w:val="0"/>
          <w:szCs w:val="22"/>
          <w:lang w:bidi="ar-SA"/>
        </w:rPr>
        <w:t xml:space="preserve">  při cenách P</w:t>
      </w:r>
      <w:r w:rsidRPr="007D3FCB">
        <w:rPr>
          <w:rFonts w:eastAsia="Calibri" w:cs="Arial"/>
          <w:noProof w:val="0"/>
          <w:szCs w:val="22"/>
          <w:vertAlign w:val="subscript"/>
          <w:lang w:bidi="ar-SA"/>
        </w:rPr>
        <w:t>1</w:t>
      </w:r>
      <w:r w:rsidRPr="007D3FCB">
        <w:rPr>
          <w:rFonts w:eastAsia="Calibri" w:cs="Arial"/>
          <w:noProof w:val="0"/>
          <w:szCs w:val="22"/>
          <w:lang w:bidi="ar-SA"/>
        </w:rPr>
        <w:t>. Realizace za cenu P</w:t>
      </w:r>
      <w:r w:rsidRPr="007D3FCB">
        <w:rPr>
          <w:rFonts w:eastAsia="Calibri" w:cs="Arial"/>
          <w:noProof w:val="0"/>
          <w:szCs w:val="22"/>
          <w:vertAlign w:val="subscript"/>
          <w:lang w:bidi="ar-SA"/>
        </w:rPr>
        <w:t>1</w:t>
      </w:r>
      <w:r w:rsidRPr="007D3FCB">
        <w:rPr>
          <w:rFonts w:eastAsia="Calibri" w:cs="Arial"/>
          <w:noProof w:val="0"/>
          <w:szCs w:val="22"/>
          <w:lang w:bidi="ar-SA"/>
        </w:rPr>
        <w:t xml:space="preserve"> ovšem vytváří abnormální zisk (obdobně jako v případě monopolu), čímž dojde k přilákání dalších producentů. Vyšší konkurence na trhu povede k nárůstu nabídky. V důsledku nárůstu celkové nabídky dojde k poklesu poptávky po produkci dříve monopolní firmy (D</w:t>
      </w:r>
      <w:r w:rsidRPr="007D3FCB">
        <w:rPr>
          <w:rFonts w:eastAsia="Calibri" w:cs="Arial"/>
          <w:noProof w:val="0"/>
          <w:szCs w:val="22"/>
          <w:vertAlign w:val="subscript"/>
          <w:lang w:bidi="ar-SA"/>
        </w:rPr>
        <w:t>1</w:t>
      </w:r>
      <w:r w:rsidRPr="007D3FCB">
        <w:rPr>
          <w:rFonts w:eastAsia="Calibri" w:cs="Arial"/>
          <w:noProof w:val="0"/>
          <w:szCs w:val="22"/>
          <w:lang w:bidi="ar-SA"/>
        </w:rPr>
        <w:t xml:space="preserve"> → D</w:t>
      </w:r>
      <w:r w:rsidRPr="007D3FCB">
        <w:rPr>
          <w:rFonts w:eastAsia="Calibri" w:cs="Arial"/>
          <w:noProof w:val="0"/>
          <w:szCs w:val="22"/>
          <w:vertAlign w:val="subscript"/>
          <w:lang w:bidi="ar-SA"/>
        </w:rPr>
        <w:t>2</w:t>
      </w:r>
      <w:r w:rsidRPr="007D3FCB">
        <w:rPr>
          <w:rFonts w:eastAsia="Calibri" w:cs="Arial"/>
          <w:noProof w:val="0"/>
          <w:szCs w:val="22"/>
          <w:lang w:bidi="ar-SA"/>
        </w:rPr>
        <w:t>)</w:t>
      </w:r>
      <w:r w:rsidR="00B6155C">
        <w:rPr>
          <w:rFonts w:eastAsia="Calibri" w:cs="Arial"/>
          <w:noProof w:val="0"/>
          <w:szCs w:val="22"/>
          <w:lang w:bidi="ar-SA"/>
        </w:rPr>
        <w:t>,</w:t>
      </w:r>
      <w:r w:rsidRPr="007D3FCB">
        <w:rPr>
          <w:rFonts w:eastAsia="Calibri" w:cs="Arial"/>
          <w:noProof w:val="0"/>
          <w:szCs w:val="22"/>
          <w:lang w:bidi="ar-SA"/>
        </w:rPr>
        <w:t xml:space="preserve"> a tím pádem i poklesu mezního příjmu (MR</w:t>
      </w:r>
      <w:r w:rsidRPr="007D3FCB">
        <w:rPr>
          <w:rFonts w:eastAsia="Calibri" w:cs="Arial"/>
          <w:noProof w:val="0"/>
          <w:szCs w:val="22"/>
          <w:vertAlign w:val="subscript"/>
          <w:lang w:bidi="ar-SA"/>
        </w:rPr>
        <w:t>1</w:t>
      </w:r>
      <w:r w:rsidRPr="007D3FCB">
        <w:rPr>
          <w:rFonts w:eastAsia="Calibri" w:cs="Arial"/>
          <w:noProof w:val="0"/>
          <w:szCs w:val="22"/>
          <w:lang w:bidi="ar-SA"/>
        </w:rPr>
        <w:t xml:space="preserve"> → MR</w:t>
      </w:r>
      <w:r w:rsidRPr="007D3FCB">
        <w:rPr>
          <w:rFonts w:eastAsia="Calibri" w:cs="Arial"/>
          <w:noProof w:val="0"/>
          <w:szCs w:val="22"/>
          <w:vertAlign w:val="subscript"/>
          <w:lang w:bidi="ar-SA"/>
        </w:rPr>
        <w:t>2</w:t>
      </w:r>
      <w:r w:rsidRPr="007D3FCB">
        <w:rPr>
          <w:rFonts w:eastAsia="Calibri" w:cs="Arial"/>
          <w:noProof w:val="0"/>
          <w:szCs w:val="22"/>
          <w:lang w:bidi="ar-SA"/>
        </w:rPr>
        <w:t>). Rovnovážný stave MC = MR</w:t>
      </w:r>
      <w:r w:rsidRPr="007D3FCB">
        <w:rPr>
          <w:rFonts w:eastAsia="Calibri" w:cs="Arial"/>
          <w:noProof w:val="0"/>
          <w:szCs w:val="22"/>
          <w:vertAlign w:val="subscript"/>
          <w:lang w:bidi="ar-SA"/>
        </w:rPr>
        <w:t>2</w:t>
      </w:r>
      <w:r w:rsidRPr="007D3FCB">
        <w:rPr>
          <w:rFonts w:eastAsia="Calibri" w:cs="Arial"/>
          <w:noProof w:val="0"/>
          <w:szCs w:val="22"/>
          <w:lang w:bidi="ar-SA"/>
        </w:rPr>
        <w:t xml:space="preserve"> ta nastane při úrovni množství q</w:t>
      </w:r>
      <w:r w:rsidRPr="007D3FCB">
        <w:rPr>
          <w:rFonts w:eastAsia="Calibri" w:cs="Arial"/>
          <w:noProof w:val="0"/>
          <w:szCs w:val="22"/>
          <w:vertAlign w:val="subscript"/>
          <w:lang w:bidi="ar-SA"/>
        </w:rPr>
        <w:t>2</w:t>
      </w:r>
      <w:r w:rsidRPr="007D3FCB">
        <w:rPr>
          <w:rFonts w:eastAsia="Calibri" w:cs="Arial"/>
          <w:noProof w:val="0"/>
          <w:szCs w:val="22"/>
          <w:lang w:bidi="ar-SA"/>
        </w:rPr>
        <w:t xml:space="preserve"> a ceně P</w:t>
      </w:r>
      <w:r w:rsidRPr="007D3FCB">
        <w:rPr>
          <w:rFonts w:eastAsia="Calibri" w:cs="Arial"/>
          <w:noProof w:val="0"/>
          <w:szCs w:val="22"/>
          <w:vertAlign w:val="subscript"/>
          <w:lang w:bidi="ar-SA"/>
        </w:rPr>
        <w:t>2</w:t>
      </w:r>
      <w:r w:rsidRPr="007D3FCB">
        <w:rPr>
          <w:rFonts w:eastAsia="Calibri" w:cs="Arial"/>
          <w:noProof w:val="0"/>
          <w:szCs w:val="22"/>
          <w:lang w:bidi="ar-SA"/>
        </w:rPr>
        <w:t>. Původně monopolní společnost tak v důsledku monopolistické konkurence byla nucena snížit svůj abnormální zisk. V souladu s podmínkami dokonalé konkurence tak nová tržní cena (P</w:t>
      </w:r>
      <w:r w:rsidRPr="007D3FCB">
        <w:rPr>
          <w:rFonts w:eastAsia="Calibri" w:cs="Arial"/>
          <w:noProof w:val="0"/>
          <w:szCs w:val="22"/>
          <w:vertAlign w:val="subscript"/>
          <w:lang w:bidi="ar-SA"/>
        </w:rPr>
        <w:t>2</w:t>
      </w:r>
      <w:r w:rsidRPr="007D3FCB">
        <w:rPr>
          <w:rFonts w:eastAsia="Calibri" w:cs="Arial"/>
          <w:noProof w:val="0"/>
          <w:szCs w:val="22"/>
          <w:lang w:bidi="ar-SA"/>
        </w:rPr>
        <w:t>) odpovídá průměrným nákladům (AC</w:t>
      </w:r>
      <w:r w:rsidRPr="007D3FCB">
        <w:rPr>
          <w:rFonts w:eastAsia="Calibri" w:cs="Arial"/>
          <w:noProof w:val="0"/>
          <w:szCs w:val="22"/>
          <w:vertAlign w:val="subscript"/>
          <w:lang w:bidi="ar-SA"/>
        </w:rPr>
        <w:t>2</w:t>
      </w:r>
      <w:r w:rsidRPr="007D3FCB">
        <w:rPr>
          <w:rFonts w:eastAsia="Calibri" w:cs="Arial"/>
          <w:noProof w:val="0"/>
          <w:szCs w:val="22"/>
          <w:lang w:bidi="ar-SA"/>
        </w:rPr>
        <w:t>). Zároveň však tržní cena stále představuje situaci, kdy průměrné náklady jsou stále ještě vyšší než náklady mezní (AC&gt;MC). Dochází tak k situaci charakteristické pro nedokonalou konkurenci, že tržní cena je vyšší než mezní náklady (P&gt;MC) což umožnuje dosažení abnormálního zisku.</w:t>
      </w:r>
    </w:p>
    <w:p w:rsidR="007B24D3" w:rsidRPr="007D3FCB" w:rsidP="007B24D3" w14:paraId="389D20E7" w14:textId="1A5D71BB">
      <w:pPr>
        <w:keepNext/>
        <w:spacing w:line="240" w:lineRule="auto"/>
        <w:rPr>
          <w:rFonts w:cs="Arial"/>
          <w:b/>
          <w:bCs/>
          <w:noProof w:val="0"/>
          <w:color w:val="000000"/>
          <w:sz w:val="20"/>
          <w:szCs w:val="20"/>
          <w:lang w:eastAsia="cs-CZ" w:bidi="ar-SA"/>
        </w:rPr>
      </w:pPr>
      <w:r w:rsidRPr="007D3FCB">
        <w:rPr>
          <w:rFonts w:cs="Arial"/>
          <w:b/>
          <w:bCs/>
          <w:noProof w:val="0"/>
          <w:color w:val="000000"/>
          <w:sz w:val="20"/>
          <w:szCs w:val="20"/>
          <w:lang w:eastAsia="cs-CZ" w:bidi="ar-SA"/>
        </w:rPr>
        <w:t>Obrázek</w:t>
      </w:r>
      <w:r w:rsidR="00DC6033">
        <w:rPr>
          <w:rFonts w:cs="Arial"/>
          <w:b/>
          <w:bCs/>
          <w:noProof w:val="0"/>
          <w:color w:val="000000"/>
          <w:sz w:val="20"/>
          <w:szCs w:val="20"/>
          <w:lang w:eastAsia="cs-CZ" w:bidi="ar-SA"/>
        </w:rPr>
        <w:t xml:space="preserve"> 1</w:t>
      </w:r>
      <w:r w:rsidR="00FB44D0">
        <w:rPr>
          <w:rFonts w:cs="Arial"/>
          <w:b/>
          <w:bCs/>
          <w:noProof w:val="0"/>
          <w:color w:val="000000"/>
          <w:sz w:val="20"/>
          <w:szCs w:val="20"/>
          <w:lang w:eastAsia="cs-CZ" w:bidi="ar-SA"/>
        </w:rPr>
        <w:t>3</w:t>
      </w:r>
      <w:r w:rsidRPr="007D3FCB">
        <w:rPr>
          <w:rFonts w:cs="Arial"/>
          <w:b/>
          <w:bCs/>
          <w:noProof w:val="0"/>
          <w:color w:val="000000"/>
          <w:sz w:val="20"/>
          <w:szCs w:val="20"/>
          <w:lang w:eastAsia="cs-CZ" w:bidi="ar-SA"/>
        </w:rPr>
        <w:t>: Rovnováha firmy v podmínkách monopolistické konkurence</w:t>
      </w:r>
    </w:p>
    <w:p w:rsidR="007B24D3" w:rsidRPr="007D3FCB" w:rsidP="007B24D3" w14:paraId="7F041A87" w14:textId="77777777">
      <w:pPr>
        <w:spacing w:after="120"/>
        <w:rPr>
          <w:rFonts w:eastAsia="Calibri" w:cs="Arial"/>
          <w:noProof w:val="0"/>
          <w:szCs w:val="22"/>
          <w:lang w:bidi="ar-SA"/>
        </w:rPr>
      </w:pPr>
      <w:r w:rsidRPr="007D3FCB">
        <w:rPr>
          <w:rFonts w:eastAsia="Calibri" w:cs="Arial"/>
          <w:szCs w:val="22"/>
          <w:lang w:eastAsia="cs-CZ" w:bidi="ar-SA"/>
        </w:rPr>
        <w:drawing>
          <wp:inline distT="0" distB="0" distL="0" distR="0">
            <wp:extent cx="4290060" cy="2887980"/>
            <wp:effectExtent l="19050" t="19050" r="15240" b="2667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34373" name="Picture 3"/>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0060" cy="2887980"/>
                    </a:xfrm>
                    <a:prstGeom prst="rect">
                      <a:avLst/>
                    </a:prstGeom>
                    <a:noFill/>
                    <a:ln>
                      <a:solidFill>
                        <a:sysClr val="windowText" lastClr="000000"/>
                      </a:solidFill>
                    </a:ln>
                  </pic:spPr>
                </pic:pic>
              </a:graphicData>
            </a:graphic>
          </wp:inline>
        </w:drawing>
      </w:r>
    </w:p>
    <w:p w:rsidR="007B24D3" w:rsidRPr="007D3FCB" w:rsidP="00FB44D0" w14:paraId="5B7A9A5D" w14:textId="77777777">
      <w:pPr>
        <w:widowControl w:val="0"/>
        <w:spacing w:after="240" w:line="240" w:lineRule="auto"/>
        <w:jc w:val="right"/>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P="007B24D3" w14:paraId="0980BC3A" w14:textId="77777777">
      <w:pPr>
        <w:spacing w:after="120"/>
        <w:rPr>
          <w:rFonts w:eastAsia="Calibri" w:cs="Arial"/>
          <w:noProof w:val="0"/>
          <w:szCs w:val="22"/>
          <w:lang w:bidi="ar-SA"/>
        </w:rPr>
      </w:pPr>
      <w:r w:rsidRPr="007D3FCB">
        <w:rPr>
          <w:rFonts w:eastAsia="Calibri" w:cs="Arial"/>
          <w:noProof w:val="0"/>
          <w:szCs w:val="22"/>
          <w:lang w:bidi="ar-SA"/>
        </w:rPr>
        <w:t>Dosahovaný abnormální zisk v případě monopolistické konkurence je však menší (tím menší, čím větší je počet producentů na daném trhu) než v případě monopolního zisku. Obdobně dochází ke snižování neefektivity plynoucí z nedokonalé konkurence a redukci ztráty z mrtvé váhy.</w:t>
      </w:r>
    </w:p>
    <w:p w:rsidR="00737B4A" w:rsidP="007B24D3" w14:paraId="2AC1B9C4" w14:textId="77777777">
      <w:pPr>
        <w:spacing w:after="120"/>
        <w:rPr>
          <w:rFonts w:eastAsia="Calibri" w:cs="Arial"/>
          <w:noProof w:val="0"/>
          <w:szCs w:val="22"/>
          <w:lang w:bidi="ar-SA"/>
        </w:rPr>
      </w:pPr>
    </w:p>
    <w:p w:rsidR="00737B4A" w:rsidP="007B24D3" w14:paraId="65004C9F" w14:textId="77777777">
      <w:pPr>
        <w:spacing w:after="120"/>
        <w:rPr>
          <w:rFonts w:eastAsia="Calibri" w:cs="Arial"/>
          <w:noProof w:val="0"/>
          <w:szCs w:val="22"/>
          <w:lang w:bidi="ar-SA"/>
        </w:rPr>
      </w:pPr>
    </w:p>
    <w:p w:rsidR="00737B4A" w:rsidP="007B24D3" w14:paraId="57886759" w14:textId="77777777">
      <w:pPr>
        <w:spacing w:after="120"/>
        <w:rPr>
          <w:rFonts w:eastAsia="Calibri" w:cs="Arial"/>
          <w:noProof w:val="0"/>
          <w:szCs w:val="22"/>
          <w:lang w:bidi="ar-SA"/>
        </w:rPr>
      </w:pPr>
    </w:p>
    <w:p w:rsidR="00737B4A" w:rsidP="007B24D3" w14:paraId="26F19747" w14:textId="77777777">
      <w:pPr>
        <w:spacing w:after="120"/>
        <w:rPr>
          <w:rFonts w:eastAsia="Calibri" w:cs="Arial"/>
          <w:noProof w:val="0"/>
          <w:szCs w:val="22"/>
          <w:lang w:bidi="ar-SA"/>
        </w:rPr>
      </w:pPr>
    </w:p>
    <w:p w:rsidR="00737B4A" w:rsidP="007B24D3" w14:paraId="1D453F62" w14:textId="77777777">
      <w:pPr>
        <w:spacing w:after="120"/>
        <w:rPr>
          <w:rFonts w:eastAsia="Calibri" w:cs="Arial"/>
          <w:noProof w:val="0"/>
          <w:szCs w:val="22"/>
          <w:lang w:bidi="ar-SA"/>
        </w:rPr>
      </w:pPr>
    </w:p>
    <w:p w:rsidR="00737B4A" w:rsidP="007B24D3" w14:paraId="049D5C1C" w14:textId="77777777">
      <w:pPr>
        <w:spacing w:after="120"/>
        <w:rPr>
          <w:rFonts w:eastAsia="Calibri" w:cs="Arial"/>
          <w:noProof w:val="0"/>
          <w:szCs w:val="22"/>
          <w:lang w:bidi="ar-SA"/>
        </w:rPr>
      </w:pPr>
    </w:p>
    <w:p w:rsidR="00737B4A" w:rsidP="007B24D3" w14:paraId="23E358EB" w14:textId="77777777">
      <w:pPr>
        <w:spacing w:after="120"/>
        <w:rPr>
          <w:rFonts w:eastAsia="Calibri" w:cs="Arial"/>
          <w:noProof w:val="0"/>
          <w:szCs w:val="22"/>
          <w:lang w:bidi="ar-SA"/>
        </w:rPr>
      </w:pPr>
    </w:p>
    <w:p w:rsidR="00737B4A" w:rsidP="007B24D3" w14:paraId="63D6F26E" w14:textId="77777777">
      <w:pPr>
        <w:spacing w:after="120"/>
        <w:rPr>
          <w:rFonts w:eastAsia="Calibri" w:cs="Arial"/>
          <w:noProof w:val="0"/>
          <w:szCs w:val="22"/>
          <w:lang w:bidi="ar-SA"/>
        </w:rPr>
      </w:pPr>
    </w:p>
    <w:p w:rsidR="00737B4A" w:rsidP="007B24D3" w14:paraId="481F559B" w14:textId="77777777">
      <w:pPr>
        <w:spacing w:after="120"/>
        <w:rPr>
          <w:rFonts w:eastAsia="Calibri" w:cs="Arial"/>
          <w:noProof w:val="0"/>
          <w:szCs w:val="22"/>
          <w:lang w:bidi="ar-SA"/>
        </w:rPr>
      </w:pPr>
    </w:p>
    <w:p w:rsidR="00737B4A" w:rsidP="007B24D3" w14:paraId="7523E782" w14:textId="77777777">
      <w:pPr>
        <w:spacing w:after="120"/>
        <w:rPr>
          <w:rFonts w:eastAsia="Calibri" w:cs="Arial"/>
          <w:noProof w:val="0"/>
          <w:szCs w:val="22"/>
          <w:lang w:bidi="ar-SA"/>
        </w:rPr>
      </w:pPr>
    </w:p>
    <w:p w:rsidR="00737B4A" w:rsidP="007B24D3" w14:paraId="7D755C03" w14:textId="77777777">
      <w:pPr>
        <w:spacing w:after="120"/>
        <w:rPr>
          <w:rFonts w:eastAsia="Calibri" w:cs="Arial"/>
          <w:noProof w:val="0"/>
          <w:szCs w:val="22"/>
          <w:lang w:bidi="ar-SA"/>
        </w:rPr>
      </w:pPr>
    </w:p>
    <w:p w:rsidR="00737B4A" w:rsidP="007B24D3" w14:paraId="1A57CD9D" w14:textId="77777777">
      <w:pPr>
        <w:spacing w:after="120"/>
        <w:rPr>
          <w:rFonts w:eastAsia="Calibri" w:cs="Arial"/>
          <w:noProof w:val="0"/>
          <w:szCs w:val="22"/>
          <w:lang w:bidi="ar-SA"/>
        </w:rPr>
      </w:pPr>
    </w:p>
    <w:p w:rsidR="00737B4A" w:rsidP="007B24D3" w14:paraId="3577B084" w14:textId="77777777">
      <w:pPr>
        <w:spacing w:after="120"/>
        <w:rPr>
          <w:rFonts w:eastAsia="Calibri" w:cs="Arial"/>
          <w:noProof w:val="0"/>
          <w:szCs w:val="22"/>
          <w:lang w:bidi="ar-SA"/>
        </w:rPr>
      </w:pPr>
    </w:p>
    <w:p w:rsidR="00737B4A" w:rsidP="007B24D3" w14:paraId="4BBB7F6F" w14:textId="77777777">
      <w:pPr>
        <w:spacing w:after="120"/>
        <w:rPr>
          <w:rFonts w:eastAsia="Calibri" w:cs="Arial"/>
          <w:noProof w:val="0"/>
          <w:szCs w:val="22"/>
          <w:lang w:bidi="ar-SA"/>
        </w:rPr>
      </w:pPr>
    </w:p>
    <w:p w:rsidR="00737B4A" w:rsidP="007B24D3" w14:paraId="7314AA1A" w14:textId="77777777">
      <w:pPr>
        <w:spacing w:after="120"/>
        <w:rPr>
          <w:rFonts w:eastAsia="Calibri" w:cs="Arial"/>
          <w:noProof w:val="0"/>
          <w:szCs w:val="22"/>
          <w:lang w:bidi="ar-SA"/>
        </w:rPr>
      </w:pPr>
    </w:p>
    <w:sectPr w:rsidSect="00962E44">
      <w:headerReference w:type="even" r:id="rId42"/>
      <w:headerReference w:type="default" r:id="rId43"/>
      <w:footerReference w:type="default" r:id="rId44"/>
      <w:headerReference w:type="first" r:id="rId45"/>
      <w:pgSz w:w="11906" w:h="16838"/>
      <w:pgMar w:top="1417" w:right="1417" w:bottom="1417" w:left="1417" w:header="567" w:footer="454" w:gutter="0"/>
      <w:pgNumType w:fmt="numberInDash"/>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96350888"/>
      <w:docPartObj>
        <w:docPartGallery w:val="Page Numbers (Bottom of Page)"/>
        <w:docPartUnique/>
      </w:docPartObj>
    </w:sdtPr>
    <w:sdtContent>
      <w:p w:rsidR="00BF16B7" w14:paraId="25A27E56" w14:textId="77777777">
        <w:pPr>
          <w:jc w:val="center"/>
        </w:pPr>
        <w:r>
          <w:fldChar w:fldCharType="begin"/>
        </w:r>
        <w:r>
          <w:instrText xml:space="preserve"> PAGE   \* MERGEFORMAT </w:instrText>
        </w:r>
        <w:r>
          <w:fldChar w:fldCharType="separate"/>
        </w:r>
        <w:r w:rsidR="0015019E">
          <w:t>- 94 -</w:t>
        </w:r>
        <w:r>
          <w:fldChar w:fldCharType="end"/>
        </w:r>
      </w:p>
    </w:sdtContent>
  </w:sdt>
  <w:p w:rsidR="00BF16B7" w:rsidP="001820AA" w14:paraId="65D5790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57015706" w14:textId="77777777">
    <w:pPr>
      <w:pStyle w:val="Footer"/>
      <w:jc w:val="center"/>
    </w:pPr>
    <w:r>
      <w:fldChar w:fldCharType="begin"/>
    </w:r>
    <w:r>
      <w:instrText xml:space="preserve"> PAGE   \* MERGEFORMAT </w:instrText>
    </w:r>
    <w:r>
      <w:fldChar w:fldCharType="separate"/>
    </w:r>
    <w:r w:rsidR="00450F5C">
      <w:t>- 192 -</w:t>
    </w:r>
    <w:r>
      <w:fldChar w:fldCharType="end"/>
    </w:r>
  </w:p>
  <w:p w:rsidR="00BF16B7" w14:paraId="69746488" w14:textId="77777777">
    <w:pPr>
      <w:pStyle w:val="Footer"/>
    </w:pPr>
  </w:p>
  <w:p w:rsidR="00BF16B7" w14:paraId="3141B01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37102" w:rsidP="00DF00F7" w14:paraId="26B6323D" w14:textId="77777777">
      <w:pPr>
        <w:spacing w:line="240" w:lineRule="auto"/>
      </w:pPr>
      <w:r>
        <w:separator/>
      </w:r>
    </w:p>
  </w:footnote>
  <w:footnote w:type="continuationSeparator" w:id="1">
    <w:p w:rsidR="00C37102" w:rsidP="00DF00F7" w14:paraId="6A9026DC" w14:textId="77777777">
      <w:pPr>
        <w:spacing w:line="240" w:lineRule="auto"/>
      </w:pPr>
      <w:r>
        <w:continuationSeparator/>
      </w:r>
    </w:p>
  </w:footnote>
  <w:footnote w:id="2">
    <w:p w:rsidR="00BF16B7" w:rsidP="006631D1" w14:paraId="35990930" w14:textId="77777777">
      <w:pPr>
        <w:pStyle w:val="FootnoteText"/>
      </w:pPr>
      <w:r>
        <w:rPr>
          <w:rStyle w:val="FootnoteReference"/>
        </w:rPr>
        <w:footnoteRef/>
      </w:r>
      <w:hyperlink r:id="rId1" w:history="1">
        <w:r w:rsidRPr="00E931B8">
          <w:t>http://ekonomika.idnes.cz/na-sporu-inzerentu-s-novou-vydelaly-male-televize-fwi-/ekoakcie.aspx?c=A130419_223051_ekoakcie_brm</w:t>
        </w:r>
      </w:hyperlink>
      <w:r>
        <w:t xml:space="preserve">; </w:t>
      </w:r>
      <w:hyperlink r:id="rId2" w:history="1">
        <w:r w:rsidRPr="00E931B8">
          <w:t>http://www.mojebillboardy.cz/hledat/index/search_county/10-praha/search_billboardtype/1</w:t>
        </w:r>
      </w:hyperlink>
      <w:r w:rsidRPr="00017255">
        <w:t>; http://www.rozhlas.cz/reklama/cenik/_zprava/1303159</w:t>
      </w:r>
    </w:p>
  </w:footnote>
  <w:footnote w:id="3">
    <w:p w:rsidR="00BF16B7" w14:paraId="09C5D897" w14:textId="378220B4">
      <w:pPr>
        <w:pStyle w:val="FootnoteText"/>
      </w:pPr>
      <w:r>
        <w:rPr>
          <w:rStyle w:val="FootnoteReference"/>
        </w:rPr>
        <w:footnoteRef/>
      </w:r>
      <w:r>
        <w:t xml:space="preserve"> </w:t>
      </w:r>
      <w:r w:rsidRPr="00805C93">
        <w:t>Výpočet administrativní zátěže je proveden dle Standardního nákladového modelu s využitím Metodiky určování velikosti a původu administrativní zátěže podnikatelů, Ministerstvo vnitra, 2007, Metodiky měření a přeměřování administrativní zátěže podnikatelů, Ministerstvo průmyslu a obchodu, 2017.</w:t>
      </w:r>
    </w:p>
  </w:footnote>
  <w:footnote w:id="4">
    <w:p w:rsidR="00BF16B7" w:rsidP="00ED5B2D" w14:paraId="55FB2EA5" w14:textId="77777777">
      <w:pPr>
        <w:pStyle w:val="FootnoteText"/>
      </w:pPr>
      <w:r>
        <w:rPr>
          <w:rStyle w:val="FootnoteReference"/>
        </w:rPr>
        <w:footnoteRef/>
      </w:r>
      <w:r>
        <w:t xml:space="preserve"> ElektroG  (Elektro- und Elektronikgerätegesetz)– Gesetz über das Inverkehrbringen, die Rücknahme und die umweltverträgliche Entsorgung von Elektro- und Elektronikgeräten </w:t>
      </w:r>
    </w:p>
  </w:footnote>
  <w:footnote w:id="5">
    <w:p w:rsidR="00BF16B7" w:rsidP="00ED5B2D" w14:paraId="20394669" w14:textId="77777777">
      <w:pPr>
        <w:pStyle w:val="FootnoteText"/>
      </w:pPr>
      <w:r>
        <w:rPr>
          <w:rStyle w:val="FootnoteReference"/>
        </w:rPr>
        <w:footnoteRef/>
      </w:r>
      <w:r>
        <w:t xml:space="preserve"> örE – öffentlich-rechtlicher Entsorgungsträger: veřejná právnická osoba zabývající se zpětným odběrem odpadu, která je podle Kreislaufwirtschaftsgesetz (zákon o recyklaci) zodpovídá za vytvoření odběrových míst, např. obec</w:t>
      </w:r>
    </w:p>
  </w:footnote>
  <w:footnote w:id="6">
    <w:p w:rsidR="00BF16B7" w:rsidP="00ED5B2D" w14:paraId="504EF526" w14:textId="51F4F075">
      <w:pPr>
        <w:pStyle w:val="FootnoteText"/>
      </w:pPr>
      <w:r>
        <w:rPr>
          <w:rStyle w:val="FootnoteReference"/>
        </w:rPr>
        <w:footnoteRef/>
      </w:r>
      <w:r>
        <w:t xml:space="preserve"> Transport OEEZ v rámci tohoto textu znamená vyzvednutí OEEZ v odběrných místech a jejich transport na místo dalšího zpracování v rámci zákonů dané země</w:t>
      </w:r>
    </w:p>
  </w:footnote>
  <w:footnote w:id="7">
    <w:p w:rsidR="00BF16B7" w:rsidP="00ED5B2D" w14:paraId="001F85D4" w14:textId="77777777">
      <w:pPr>
        <w:pStyle w:val="FootnoteText"/>
      </w:pPr>
      <w:r>
        <w:rPr>
          <w:rStyle w:val="FootnoteReference"/>
        </w:rPr>
        <w:footnoteRef/>
      </w:r>
      <w:r>
        <w:t xml:space="preserve"> Např. E. Kristensen, B. Lindblad, J. Mortensen (2011): The WEEE Directive and Extended Producer Responsibility</w:t>
      </w:r>
    </w:p>
  </w:footnote>
  <w:footnote w:id="8">
    <w:p w:rsidR="00BF16B7" w:rsidP="00ED5B2D" w14:paraId="545DD362" w14:textId="77777777">
      <w:pPr>
        <w:pStyle w:val="FootnoteText"/>
      </w:pPr>
      <w:r>
        <w:rPr>
          <w:rStyle w:val="FootnoteReference"/>
        </w:rPr>
        <w:footnoteRef/>
      </w:r>
      <w:r>
        <w:t xml:space="preserve"> Např. VKU (2014): Packaging Waste Management in Germany – Description and Evaluation</w:t>
      </w:r>
    </w:p>
  </w:footnote>
  <w:footnote w:id="9">
    <w:p w:rsidR="00BF16B7" w:rsidP="00ED5B2D" w14:paraId="2E832761" w14:textId="77777777">
      <w:pPr>
        <w:pStyle w:val="FootnoteText"/>
      </w:pPr>
      <w:r>
        <w:rPr>
          <w:rStyle w:val="FootnoteReference"/>
        </w:rPr>
        <w:footnoteRef/>
      </w:r>
      <w:r>
        <w:t xml:space="preserve"> Elektroaltgeräteverordnung - Verordnung des Bundesministers für Land- und Forstwirtschaft, Umwelt und Wasserwirtschaft über die Abfallvermeidung, Sammlung und Behandlung von elektrischen und elektronischen Altgeräten</w:t>
      </w:r>
    </w:p>
  </w:footnote>
  <w:footnote w:id="10">
    <w:p w:rsidR="00BF16B7" w:rsidP="00ED5B2D" w14:paraId="788A6EC1" w14:textId="77777777">
      <w:pPr>
        <w:pStyle w:val="FootnoteText"/>
      </w:pPr>
      <w:r>
        <w:rPr>
          <w:rStyle w:val="FootnoteReference"/>
        </w:rPr>
        <w:footnoteRef/>
      </w:r>
      <w:r>
        <w:t xml:space="preserve"> EAG-VO určuje minimální počet míst zpětného odběru na politické oblasti</w:t>
      </w:r>
    </w:p>
  </w:footnote>
  <w:footnote w:id="11">
    <w:p w:rsidR="00BF16B7" w:rsidP="00ED5B2D" w14:paraId="71C7DCFE" w14:textId="77777777">
      <w:pPr>
        <w:pStyle w:val="FootnoteText"/>
      </w:pPr>
      <w:r>
        <w:rPr>
          <w:rStyle w:val="FootnoteReference"/>
        </w:rPr>
        <w:footnoteRef/>
      </w:r>
      <w:r>
        <w:t xml:space="preserve"> Environmental protection act</w:t>
      </w:r>
    </w:p>
  </w:footnote>
  <w:footnote w:id="12">
    <w:p w:rsidR="00BF16B7" w:rsidP="00ED5B2D" w14:paraId="1B75F848" w14:textId="77777777">
      <w:pPr>
        <w:pStyle w:val="FootnoteText"/>
      </w:pPr>
      <w:r>
        <w:rPr>
          <w:rStyle w:val="FootnoteReference"/>
        </w:rPr>
        <w:footnoteRef/>
      </w:r>
      <w:r>
        <w:t xml:space="preserve"> Statutory Order on batteries and accumulators and waste batteries and accumulators</w:t>
      </w:r>
    </w:p>
  </w:footnote>
  <w:footnote w:id="13">
    <w:p w:rsidR="00BF16B7" w:rsidRPr="000E6DE5" w:rsidP="000C1DE3" w14:paraId="7E29A8DB" w14:textId="5AC4827E">
      <w:pPr>
        <w:autoSpaceDE w:val="0"/>
        <w:autoSpaceDN w:val="0"/>
        <w:adjustRightInd w:val="0"/>
        <w:spacing w:before="0" w:after="0" w:line="240" w:lineRule="auto"/>
        <w:jc w:val="left"/>
        <w:rPr>
          <w:rFonts w:cs="Arial"/>
          <w:sz w:val="18"/>
          <w:szCs w:val="18"/>
        </w:rPr>
      </w:pPr>
      <w:r>
        <w:rPr>
          <w:rStyle w:val="FootnoteReference"/>
        </w:rPr>
        <w:footnoteRef/>
      </w:r>
      <w:r>
        <w:t xml:space="preserve"> </w:t>
      </w:r>
      <w:r w:rsidRPr="000E6DE5">
        <w:rPr>
          <w:rFonts w:cs="Arial"/>
          <w:sz w:val="18"/>
          <w:szCs w:val="18"/>
        </w:rPr>
        <w:t xml:space="preserve">Extended Producer Responsibility and the Impact of Online Sales </w:t>
      </w:r>
      <w:r>
        <w:rPr>
          <w:rFonts w:cs="Arial"/>
          <w:sz w:val="18"/>
          <w:szCs w:val="18"/>
          <w:lang w:val="en-US"/>
        </w:rPr>
        <w:t>&lt;</w:t>
      </w:r>
      <w:r w:rsidRPr="000E6DE5">
        <w:rPr>
          <w:rFonts w:cs="Arial"/>
          <w:sz w:val="18"/>
          <w:szCs w:val="18"/>
        </w:rPr>
        <w:t xml:space="preserve">dostupné z: </w:t>
      </w:r>
    </w:p>
    <w:p w:rsidR="00BF16B7" w:rsidRPr="000E6DE5" w14:paraId="2B235040" w14:textId="057A0E21">
      <w:pPr>
        <w:pStyle w:val="FootnoteText"/>
        <w:rPr>
          <w:sz w:val="18"/>
          <w:szCs w:val="18"/>
        </w:rPr>
      </w:pPr>
      <w:hyperlink r:id="rId3" w:history="1">
        <w:r w:rsidRPr="000C1DE3">
          <w:rPr>
            <w:color w:val="0000FF"/>
            <w:sz w:val="18"/>
            <w:szCs w:val="18"/>
            <w:u w:val="single"/>
          </w:rPr>
          <w:t>https://www.oecd.org/environment/waste/policy-highlights-extended-producer-responsibility-and-the-impact-of-online-sales.pdf</w:t>
        </w:r>
      </w:hyperlink>
      <w:r>
        <w:rPr>
          <w:color w:val="000000"/>
          <w:sz w:val="18"/>
          <w:szCs w:val="18"/>
        </w:rPr>
        <w:t>&gt;</w:t>
      </w:r>
    </w:p>
  </w:footnote>
  <w:footnote w:id="14">
    <w:p w:rsidR="00BF16B7" w:rsidP="00231413" w14:paraId="12DD5886" w14:textId="45FAE996">
      <w:pPr>
        <w:spacing w:line="240" w:lineRule="auto"/>
      </w:pPr>
      <w:r w:rsidRPr="006B3ED5">
        <w:rPr>
          <w:rStyle w:val="FootnoteReference"/>
          <w:sz w:val="20"/>
          <w:szCs w:val="20"/>
        </w:rPr>
        <w:footnoteRef/>
      </w:r>
      <w:r>
        <w:t xml:space="preserve"> </w:t>
      </w:r>
      <w:r w:rsidRPr="00067732">
        <w:rPr>
          <w:bCs/>
          <w:noProof w:val="0"/>
          <w:color w:val="000000"/>
          <w:sz w:val="20"/>
          <w:szCs w:val="20"/>
          <w:lang w:eastAsia="cs-CZ" w:bidi="ar-SA"/>
        </w:rPr>
        <w:t>Hodinové náklady</w:t>
      </w:r>
      <w:r>
        <w:rPr>
          <w:bCs/>
          <w:noProof w:val="0"/>
          <w:color w:val="000000"/>
          <w:sz w:val="20"/>
          <w:szCs w:val="20"/>
          <w:lang w:eastAsia="cs-CZ" w:bidi="ar-SA"/>
        </w:rPr>
        <w:t xml:space="preserve"> </w:t>
      </w:r>
      <w:r w:rsidRPr="006B3ED5">
        <w:rPr>
          <w:sz w:val="20"/>
          <w:szCs w:val="20"/>
        </w:rPr>
        <w:t xml:space="preserve">dle Metodiky MV </w:t>
      </w:r>
      <w:r>
        <w:rPr>
          <w:sz w:val="20"/>
          <w:szCs w:val="20"/>
        </w:rPr>
        <w:t>(</w:t>
      </w:r>
      <w:r w:rsidRPr="006B3ED5">
        <w:rPr>
          <w:sz w:val="20"/>
          <w:szCs w:val="20"/>
        </w:rPr>
        <w:t>11. platová třída, 7. stupeň</w:t>
      </w:r>
      <w:r>
        <w:rPr>
          <w:sz w:val="20"/>
          <w:szCs w:val="20"/>
        </w:rPr>
        <w:t xml:space="preserve">) </w:t>
      </w:r>
      <w:r w:rsidRPr="00067732">
        <w:rPr>
          <w:bCs/>
          <w:noProof w:val="0"/>
          <w:color w:val="000000"/>
          <w:sz w:val="20"/>
          <w:szCs w:val="20"/>
          <w:lang w:eastAsia="cs-CZ" w:bidi="ar-SA"/>
        </w:rPr>
        <w:t>zahrnují</w:t>
      </w:r>
      <w:r w:rsidRPr="006B3ED5">
        <w:rPr>
          <w:bCs/>
          <w:noProof w:val="0"/>
          <w:color w:val="000000"/>
          <w:sz w:val="20"/>
          <w:szCs w:val="20"/>
          <w:lang w:eastAsia="cs-CZ" w:bidi="ar-SA"/>
        </w:rPr>
        <w:t xml:space="preserve"> 20 % osobní odměny a</w:t>
      </w:r>
      <w:r>
        <w:rPr>
          <w:bCs/>
          <w:noProof w:val="0"/>
          <w:color w:val="000000"/>
          <w:sz w:val="20"/>
          <w:szCs w:val="20"/>
          <w:lang w:eastAsia="cs-CZ" w:bidi="ar-SA"/>
        </w:rPr>
        <w:t> </w:t>
      </w:r>
      <w:r w:rsidRPr="006B3ED5">
        <w:rPr>
          <w:bCs/>
          <w:noProof w:val="0"/>
          <w:color w:val="000000"/>
          <w:sz w:val="20"/>
          <w:szCs w:val="20"/>
          <w:lang w:eastAsia="cs-CZ" w:bidi="ar-SA"/>
        </w:rPr>
        <w:t>příplatky</w:t>
      </w:r>
      <w:r w:rsidRPr="00067732">
        <w:rPr>
          <w:bCs/>
          <w:noProof w:val="0"/>
          <w:color w:val="000000"/>
          <w:sz w:val="20"/>
          <w:szCs w:val="20"/>
          <w:lang w:eastAsia="cs-CZ" w:bidi="ar-SA"/>
        </w:rPr>
        <w:t>; 35 % povinné odvody na zdravot</w:t>
      </w:r>
      <w:r w:rsidRPr="006B3ED5">
        <w:rPr>
          <w:bCs/>
          <w:noProof w:val="0"/>
          <w:color w:val="000000"/>
          <w:sz w:val="20"/>
          <w:szCs w:val="20"/>
          <w:lang w:eastAsia="cs-CZ" w:bidi="ar-SA"/>
        </w:rPr>
        <w:t>ní a sociální pojištění; 43 % režijní náklady</w:t>
      </w:r>
    </w:p>
  </w:footnote>
  <w:footnote w:id="15">
    <w:p w:rsidR="00BF16B7" w14:paraId="43AC174B" w14:textId="158CDEB9">
      <w:pPr>
        <w:pStyle w:val="FootnoteText"/>
      </w:pPr>
      <w:r>
        <w:rPr>
          <w:rStyle w:val="FootnoteReference"/>
        </w:rPr>
        <w:footnoteRef/>
      </w:r>
      <w:r>
        <w:t xml:space="preserve"> </w:t>
      </w:r>
      <w:r w:rsidRPr="00937FFC">
        <w:rPr>
          <w:color w:val="000000"/>
        </w:rPr>
        <w:t>Hodinové náklady příspěvkové organizace CENIA, česká informační agentura životního prostředí vycházejí z</w:t>
      </w:r>
      <w:r>
        <w:rPr>
          <w:color w:val="000000"/>
        </w:rPr>
        <w:t> </w:t>
      </w:r>
      <w:r w:rsidRPr="00937FFC">
        <w:rPr>
          <w:color w:val="000000"/>
        </w:rPr>
        <w:t>průměrné mzdy roku 2018 s připočítáním 35 % odvodů na zdravotní a sociální pojištění, 20 % zohlednění osobních příplatků a odměn a 43 % režijní náklady, tzn. 382 Kč/hod.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019E" w:rsidRPr="0015019E" w:rsidP="0015019E" w14:paraId="27E6FD02" w14:textId="3751677A">
    <w:pPr>
      <w:pStyle w:val="Header"/>
      <w:jc w:val="right"/>
      <w:rPr>
        <w:b/>
      </w:rPr>
    </w:pPr>
    <w:r w:rsidRPr="0015019E">
      <w:rPr>
        <w:b/>
      </w:rPr>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108C85C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5316837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690E8C03"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5F57E05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14:paraId="480C6834"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16B7" w:rsidRPr="00D47090" w:rsidP="00D47090" w14:paraId="3089B473" w14:textId="77777777">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2C4B98"/>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5A3088"/>
    <w:multiLevelType w:val="hybridMultilevel"/>
    <w:tmpl w:val="3998FE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8A1816"/>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1F530C"/>
    <w:multiLevelType w:val="hybridMultilevel"/>
    <w:tmpl w:val="841490D0"/>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070655"/>
    <w:multiLevelType w:val="hybridMultilevel"/>
    <w:tmpl w:val="30AC9532"/>
    <w:lvl w:ilvl="0">
      <w:start w:val="1"/>
      <w:numFmt w:val="bullet"/>
      <w:lvlText w:val=""/>
      <w:lvlJc w:val="left"/>
      <w:pPr>
        <w:ind w:left="7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441FAF"/>
    <w:multiLevelType w:val="hybridMultilevel"/>
    <w:tmpl w:val="B060E5F0"/>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5B10A7F"/>
    <w:multiLevelType w:val="hybridMultilevel"/>
    <w:tmpl w:val="CAEE884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0666294B"/>
    <w:multiLevelType w:val="hybridMultilevel"/>
    <w:tmpl w:val="AE8802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77A7B89"/>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8991108"/>
    <w:multiLevelType w:val="hybridMultilevel"/>
    <w:tmpl w:val="4EC2E49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90E152E"/>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9BB0C8A"/>
    <w:multiLevelType w:val="hybridMultilevel"/>
    <w:tmpl w:val="7708F3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B6A1A4F"/>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BA31905"/>
    <w:multiLevelType w:val="hybridMultilevel"/>
    <w:tmpl w:val="F2D43FE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BCE1245"/>
    <w:multiLevelType w:val="hybridMultilevel"/>
    <w:tmpl w:val="5B483B76"/>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CD02B9F"/>
    <w:multiLevelType w:val="hybridMultilevel"/>
    <w:tmpl w:val="7CFAEAFC"/>
    <w:lvl w:ilvl="0">
      <w:start w:val="1"/>
      <w:numFmt w:val="bullet"/>
      <w:lvlText w:val=""/>
      <w:lvlJc w:val="left"/>
      <w:pPr>
        <w:ind w:left="7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CE96782"/>
    <w:multiLevelType w:val="hybridMultilevel"/>
    <w:tmpl w:val="740EA5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DE54D0F"/>
    <w:multiLevelType w:val="hybridMultilevel"/>
    <w:tmpl w:val="7EF03348"/>
    <w:lvl w:ilvl="0">
      <w:start w:val="1"/>
      <w:numFmt w:val="decimal"/>
      <w:pStyle w:val="vpis"/>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3B72EE"/>
    <w:multiLevelType w:val="hybridMultilevel"/>
    <w:tmpl w:val="AFE80D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0194C60"/>
    <w:multiLevelType w:val="hybridMultilevel"/>
    <w:tmpl w:val="669E5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0652A54"/>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10812DE"/>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2DA68E8"/>
    <w:multiLevelType w:val="hybridMultilevel"/>
    <w:tmpl w:val="A35C6D22"/>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2DD67F2"/>
    <w:multiLevelType w:val="hybridMultilevel"/>
    <w:tmpl w:val="AC0CDC46"/>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325215F"/>
    <w:multiLevelType w:val="hybridMultilevel"/>
    <w:tmpl w:val="028891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13FE1B85"/>
    <w:multiLevelType w:val="hybridMultilevel"/>
    <w:tmpl w:val="E25CA9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5591FDB"/>
    <w:multiLevelType w:val="hybridMultilevel"/>
    <w:tmpl w:val="9BF695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562121B"/>
    <w:multiLevelType w:val="hybridMultilevel"/>
    <w:tmpl w:val="3808D25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5A57D5E"/>
    <w:multiLevelType w:val="hybridMultilevel"/>
    <w:tmpl w:val="B4EA0E4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69B5D76"/>
    <w:multiLevelType w:val="hybridMultilevel"/>
    <w:tmpl w:val="A2FC2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87908D8"/>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8C02D12"/>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8DE44A4"/>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9423BB2"/>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9C553A1"/>
    <w:multiLevelType w:val="hybridMultilevel"/>
    <w:tmpl w:val="418E5D18"/>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9CD10F6"/>
    <w:multiLevelType w:val="hybridMultilevel"/>
    <w:tmpl w:val="E2F211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1A2373C9"/>
    <w:multiLevelType w:val="hybridMultilevel"/>
    <w:tmpl w:val="60866796"/>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B460D48"/>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B4D1D24"/>
    <w:multiLevelType w:val="hybridMultilevel"/>
    <w:tmpl w:val="512441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1C5B108A"/>
    <w:multiLevelType w:val="hybridMultilevel"/>
    <w:tmpl w:val="9F62EDE8"/>
    <w:lvl w:ilvl="0">
      <w:start w:val="1"/>
      <w:numFmt w:val="bullet"/>
      <w:pStyle w:val="Bullet2"/>
      <w:lvlText w:val="o"/>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1CCE3828"/>
    <w:multiLevelType w:val="hybridMultilevel"/>
    <w:tmpl w:val="22AA364C"/>
    <w:lvl w:ilvl="0">
      <w:start w:va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1DCA04E7"/>
    <w:multiLevelType w:val="hybridMultilevel"/>
    <w:tmpl w:val="60540E0C"/>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1E23661F"/>
    <w:multiLevelType w:val="multilevel"/>
    <w:tmpl w:val="EEF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6F1F71"/>
    <w:multiLevelType w:val="hybridMultilevel"/>
    <w:tmpl w:val="F7D2B940"/>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1FCF7990"/>
    <w:multiLevelType w:val="hybridMultilevel"/>
    <w:tmpl w:val="A838D8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21061398"/>
    <w:multiLevelType w:val="hybridMultilevel"/>
    <w:tmpl w:val="B9A802B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1270408"/>
    <w:multiLevelType w:val="hybridMultilevel"/>
    <w:tmpl w:val="C9AC5B5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216C66C6"/>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1F913C5"/>
    <w:multiLevelType w:val="hybridMultilevel"/>
    <w:tmpl w:val="0944B26E"/>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Arial" w:eastAsia="Times New Roma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24532EC8"/>
    <w:multiLevelType w:val="hybridMultilevel"/>
    <w:tmpl w:val="B47433E2"/>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50">
    <w:nsid w:val="25501C8D"/>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57121C6"/>
    <w:multiLevelType w:val="hybridMultilevel"/>
    <w:tmpl w:val="C8F28F20"/>
    <w:lvl w:ilvl="0">
      <w:start w:val="1"/>
      <w:numFmt w:val="bullet"/>
      <w:pStyle w:val="Styl-NormlnsodrkouVlevo189cmPedsazen063cm"/>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nsid w:val="25A01B95"/>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6FF31D4"/>
    <w:multiLevelType w:val="hybridMultilevel"/>
    <w:tmpl w:val="4EC2E49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27BC7F83"/>
    <w:multiLevelType w:val="hybridMultilevel"/>
    <w:tmpl w:val="1CB6BDD6"/>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9822573"/>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2A111137"/>
    <w:multiLevelType w:val="hybridMultilevel"/>
    <w:tmpl w:val="4ECEA602"/>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2B326A2C"/>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D45745E"/>
    <w:multiLevelType w:val="hybridMultilevel"/>
    <w:tmpl w:val="F252B5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2F2D0BBD"/>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2F9C35AA"/>
    <w:multiLevelType w:val="hybridMultilevel"/>
    <w:tmpl w:val="BE30CC4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2FE05119"/>
    <w:multiLevelType w:val="hybridMultilevel"/>
    <w:tmpl w:val="0874B1E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12931E5"/>
    <w:multiLevelType w:val="hybridMultilevel"/>
    <w:tmpl w:val="D36092D6"/>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1972636"/>
    <w:multiLevelType w:val="hybridMultilevel"/>
    <w:tmpl w:val="53F8BD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31D7518B"/>
    <w:multiLevelType w:val="hybridMultilevel"/>
    <w:tmpl w:val="F8382A0A"/>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65">
    <w:nsid w:val="322F0140"/>
    <w:multiLevelType w:val="hybridMultilevel"/>
    <w:tmpl w:val="4EC2E49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32D55CA4"/>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33935683"/>
    <w:multiLevelType w:val="hybridMultilevel"/>
    <w:tmpl w:val="73C24F16"/>
    <w:lvl w:ilvl="0">
      <w:start w:val="1"/>
      <w:numFmt w:val="bullet"/>
      <w:pStyle w:val="odrky1"/>
      <w:lvlText w:val=""/>
      <w:lvlJc w:val="left"/>
      <w:pPr>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346848F1"/>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4C93120"/>
    <w:multiLevelType w:val="hybridMultilevel"/>
    <w:tmpl w:val="F5126146"/>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5140E40"/>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5DA2082"/>
    <w:multiLevelType w:val="hybridMultilevel"/>
    <w:tmpl w:val="C36A4E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36146313"/>
    <w:multiLevelType w:val="hybridMultilevel"/>
    <w:tmpl w:val="1FE60686"/>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383B6494"/>
    <w:multiLevelType w:val="hybridMultilevel"/>
    <w:tmpl w:val="8EA260F6"/>
    <w:lvl w:ilvl="0">
      <w:start w:val="1"/>
      <w:numFmt w:val="bullet"/>
      <w:lvlText w:val=""/>
      <w:lvlJc w:val="left"/>
      <w:pPr>
        <w:ind w:left="7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389D0FDA"/>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A04738A"/>
    <w:multiLevelType w:val="hybridMultilevel"/>
    <w:tmpl w:val="6740720A"/>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3A120749"/>
    <w:multiLevelType w:val="hybridMultilevel"/>
    <w:tmpl w:val="BFC0C48C"/>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3DC03BDE"/>
    <w:multiLevelType w:val="hybridMultilevel"/>
    <w:tmpl w:val="841490D0"/>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3FF604A8"/>
    <w:multiLevelType w:val="hybridMultilevel"/>
    <w:tmpl w:val="B48A8E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420C14BE"/>
    <w:multiLevelType w:val="hybridMultilevel"/>
    <w:tmpl w:val="BC2C605C"/>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3391C9E"/>
    <w:multiLevelType w:val="multilevel"/>
    <w:tmpl w:val="11EAB41A"/>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nsid w:val="456B50DB"/>
    <w:multiLevelType w:val="hybridMultilevel"/>
    <w:tmpl w:val="4AB430C4"/>
    <w:lvl w:ilvl="0">
      <w:start w:val="1"/>
      <w:numFmt w:val="bullet"/>
      <w:pStyle w:val="Odraky2"/>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3">
    <w:nsid w:val="46741D95"/>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47FB2C4A"/>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95A4DB5"/>
    <w:multiLevelType w:val="hybridMultilevel"/>
    <w:tmpl w:val="841490D0"/>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982361B"/>
    <w:multiLevelType w:val="hybridMultilevel"/>
    <w:tmpl w:val="D36092D6"/>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A7B13D5"/>
    <w:multiLevelType w:val="hybridMultilevel"/>
    <w:tmpl w:val="122C63B8"/>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88">
    <w:nsid w:val="4ACD6A44"/>
    <w:multiLevelType w:val="hybridMultilevel"/>
    <w:tmpl w:val="419C857C"/>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B862AFA"/>
    <w:multiLevelType w:val="hybridMultilevel"/>
    <w:tmpl w:val="8BE667A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4CDC4FDE"/>
    <w:multiLevelType w:val="hybridMultilevel"/>
    <w:tmpl w:val="E25CA9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4D7257EE"/>
    <w:multiLevelType w:val="hybridMultilevel"/>
    <w:tmpl w:val="13E46B8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4D7B2744"/>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4D9A62E1"/>
    <w:multiLevelType w:val="hybridMultilevel"/>
    <w:tmpl w:val="35C8C7C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4FB50C38"/>
    <w:multiLevelType w:val="hybridMultilevel"/>
    <w:tmpl w:val="FF70EE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4FF40028"/>
    <w:multiLevelType w:val="hybridMultilevel"/>
    <w:tmpl w:val="FD9000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518A502C"/>
    <w:multiLevelType w:val="hybridMultilevel"/>
    <w:tmpl w:val="3808D25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1F26F75"/>
    <w:multiLevelType w:val="hybridMultilevel"/>
    <w:tmpl w:val="71AAFF04"/>
    <w:lvl w:ilvl="0">
      <w:start w:val="1"/>
      <w:numFmt w:val="bullet"/>
      <w:pStyle w:val="Bullet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
    <w:nsid w:val="521A7DD8"/>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25D13BA"/>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567A44D8"/>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67D533E"/>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56DA4373"/>
    <w:multiLevelType w:val="hybridMultilevel"/>
    <w:tmpl w:val="926004FE"/>
    <w:lvl w:ilvl="0">
      <w:start w:val="1"/>
      <w:numFmt w:val="upperLetter"/>
      <w:pStyle w:val="Nadpis2a"/>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58556D55"/>
    <w:multiLevelType w:val="hybridMultilevel"/>
    <w:tmpl w:val="4ECEA602"/>
    <w:lvl w:ilvl="0">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5B5B086C"/>
    <w:multiLevelType w:val="hybridMultilevel"/>
    <w:tmpl w:val="6F187738"/>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105">
    <w:nsid w:val="5B7A1EEC"/>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C5F6E22"/>
    <w:multiLevelType w:val="hybridMultilevel"/>
    <w:tmpl w:val="D34C93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7">
    <w:nsid w:val="5C666F71"/>
    <w:multiLevelType w:val="hybridMultilevel"/>
    <w:tmpl w:val="0D56D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5C7006B0"/>
    <w:multiLevelType w:val="hybridMultilevel"/>
    <w:tmpl w:val="F91672DA"/>
    <w:lvl w:ilvl="0">
      <w:start w:val="1"/>
      <w:numFmt w:val="bullet"/>
      <w:pStyle w:val="Odraky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5C76595F"/>
    <w:multiLevelType w:val="hybridMultilevel"/>
    <w:tmpl w:val="ADBA66CE"/>
    <w:lvl w:ilvl="0">
      <w:start w:val="1"/>
      <w:numFmt w:val="lowerLetter"/>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5CDA6276"/>
    <w:multiLevelType w:val="hybridMultilevel"/>
    <w:tmpl w:val="F89AC9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5D5C5B17"/>
    <w:multiLevelType w:val="hybridMultilevel"/>
    <w:tmpl w:val="4EC2E49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5DBD6179"/>
    <w:multiLevelType w:val="hybridMultilevel"/>
    <w:tmpl w:val="41AE2AF8"/>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113">
    <w:nsid w:val="5E616899"/>
    <w:multiLevelType w:val="hybridMultilevel"/>
    <w:tmpl w:val="3244A946"/>
    <w:lvl w:ilvl="0">
      <w:start w:val="1"/>
      <w:numFmt w:val="lowerLetter"/>
      <w:pStyle w:val="variantadopady"/>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5FEC2C0B"/>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60172BA9"/>
    <w:multiLevelType w:val="hybridMultilevel"/>
    <w:tmpl w:val="38EE7BAA"/>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116">
    <w:nsid w:val="60BE1B15"/>
    <w:multiLevelType w:val="hybridMultilevel"/>
    <w:tmpl w:val="4AC03BA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62C850AC"/>
    <w:multiLevelType w:val="hybridMultilevel"/>
    <w:tmpl w:val="A1D61B1E"/>
    <w:lvl w:ilvl="0">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start w:val="6"/>
      <w:numFmt w:val="bullet"/>
      <w:lvlText w:val="-"/>
      <w:lvlJc w:val="left"/>
      <w:pPr>
        <w:tabs>
          <w:tab w:val="num" w:pos="1108"/>
        </w:tabs>
        <w:ind w:left="1108" w:hanging="360"/>
      </w:pPr>
      <w:rPr>
        <w:rFonts w:ascii="Arial" w:eastAsia="Times New Roman" w:hAnsi="Arial" w:cs="Times New Roman" w:hint="default"/>
      </w:rPr>
    </w:lvl>
    <w:lvl w:ilvl="2">
      <w:start w:val="1"/>
      <w:numFmt w:val="bullet"/>
      <w:lvlText w:val=""/>
      <w:lvlJc w:val="left"/>
      <w:pPr>
        <w:tabs>
          <w:tab w:val="num" w:pos="1828"/>
        </w:tabs>
        <w:ind w:left="1828" w:hanging="360"/>
      </w:pPr>
      <w:rPr>
        <w:rFonts w:ascii="Wingdings" w:hAnsi="Wingdings" w:cs="Wingdings" w:hint="default"/>
      </w:rPr>
    </w:lvl>
    <w:lvl w:ilvl="3">
      <w:start w:val="1"/>
      <w:numFmt w:val="bullet"/>
      <w:lvlText w:val=""/>
      <w:lvlJc w:val="left"/>
      <w:pPr>
        <w:tabs>
          <w:tab w:val="num" w:pos="2548"/>
        </w:tabs>
        <w:ind w:left="2548" w:hanging="360"/>
      </w:pPr>
      <w:rPr>
        <w:rFonts w:ascii="Symbol" w:hAnsi="Symbol" w:cs="Symbol" w:hint="default"/>
      </w:rPr>
    </w:lvl>
    <w:lvl w:ilvl="4">
      <w:start w:val="1"/>
      <w:numFmt w:val="bullet"/>
      <w:lvlText w:val="o"/>
      <w:lvlJc w:val="left"/>
      <w:pPr>
        <w:tabs>
          <w:tab w:val="num" w:pos="3268"/>
        </w:tabs>
        <w:ind w:left="3268" w:hanging="360"/>
      </w:pPr>
      <w:rPr>
        <w:rFonts w:ascii="Courier New" w:hAnsi="Courier New" w:cs="Courier New" w:hint="default"/>
      </w:rPr>
    </w:lvl>
    <w:lvl w:ilvl="5">
      <w:start w:val="1"/>
      <w:numFmt w:val="bullet"/>
      <w:lvlText w:val=""/>
      <w:lvlJc w:val="left"/>
      <w:pPr>
        <w:tabs>
          <w:tab w:val="num" w:pos="3988"/>
        </w:tabs>
        <w:ind w:left="3988" w:hanging="360"/>
      </w:pPr>
      <w:rPr>
        <w:rFonts w:ascii="Wingdings" w:hAnsi="Wingdings" w:cs="Wingdings" w:hint="default"/>
      </w:rPr>
    </w:lvl>
    <w:lvl w:ilvl="6">
      <w:start w:val="1"/>
      <w:numFmt w:val="bullet"/>
      <w:lvlText w:val=""/>
      <w:lvlJc w:val="left"/>
      <w:pPr>
        <w:tabs>
          <w:tab w:val="num" w:pos="4708"/>
        </w:tabs>
        <w:ind w:left="4708" w:hanging="360"/>
      </w:pPr>
      <w:rPr>
        <w:rFonts w:ascii="Symbol" w:hAnsi="Symbol" w:cs="Symbol" w:hint="default"/>
      </w:rPr>
    </w:lvl>
    <w:lvl w:ilvl="7">
      <w:start w:val="1"/>
      <w:numFmt w:val="bullet"/>
      <w:lvlText w:val="o"/>
      <w:lvlJc w:val="left"/>
      <w:pPr>
        <w:tabs>
          <w:tab w:val="num" w:pos="5428"/>
        </w:tabs>
        <w:ind w:left="5428" w:hanging="360"/>
      </w:pPr>
      <w:rPr>
        <w:rFonts w:ascii="Courier New" w:hAnsi="Courier New" w:cs="Courier New" w:hint="default"/>
      </w:rPr>
    </w:lvl>
    <w:lvl w:ilvl="8">
      <w:start w:val="1"/>
      <w:numFmt w:val="bullet"/>
      <w:lvlText w:val=""/>
      <w:lvlJc w:val="left"/>
      <w:pPr>
        <w:tabs>
          <w:tab w:val="num" w:pos="6148"/>
        </w:tabs>
        <w:ind w:left="6148" w:hanging="360"/>
      </w:pPr>
      <w:rPr>
        <w:rFonts w:ascii="Wingdings" w:hAnsi="Wingdings" w:cs="Wingdings" w:hint="default"/>
      </w:rPr>
    </w:lvl>
  </w:abstractNum>
  <w:abstractNum w:abstractNumId="118">
    <w:nsid w:val="6580229C"/>
    <w:multiLevelType w:val="hybridMultilevel"/>
    <w:tmpl w:val="E25CA9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66936E94"/>
    <w:multiLevelType w:val="multilevel"/>
    <w:tmpl w:val="2910C9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lvlText w:val="%1.%2.%3"/>
      <w:lvlJc w:val="left"/>
      <w:pPr>
        <w:ind w:left="1996" w:hanging="578"/>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cap="rnd">
          <w14:noFill/>
          <w14:bevel/>
        </w14:textOutline>
      </w:rPr>
    </w:lvl>
    <w:lvl w:ilvl="3">
      <w:start w:val="1"/>
      <w:numFmt w:val="decimal"/>
      <w:pStyle w:val="Heading4"/>
      <w:lvlText w:val="%1.%2.%3.%4"/>
      <w:lvlJc w:val="left"/>
      <w:pPr>
        <w:ind w:left="864" w:hanging="864"/>
      </w:pPr>
      <w:rPr>
        <w:rFonts w:hint="default"/>
        <w:b/>
        <w:i/>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0">
    <w:nsid w:val="68583BB3"/>
    <w:multiLevelType w:val="hybridMultilevel"/>
    <w:tmpl w:val="3F68C4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68D617E1"/>
    <w:multiLevelType w:val="hybridMultilevel"/>
    <w:tmpl w:val="6740720A"/>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3D0D58"/>
    <w:multiLevelType w:val="hybridMultilevel"/>
    <w:tmpl w:val="19985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97E6651"/>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125">
    <w:nsid w:val="6B7779B6"/>
    <w:multiLevelType w:val="hybridMultilevel"/>
    <w:tmpl w:val="755AA0A4"/>
    <w:lvl w:ilvl="0">
      <w:start w:va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6B846A14"/>
    <w:multiLevelType w:val="hybridMultilevel"/>
    <w:tmpl w:val="B0B8FF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6C1F2F63"/>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6DD3032D"/>
    <w:multiLevelType w:val="hybridMultilevel"/>
    <w:tmpl w:val="97D43E72"/>
    <w:lvl w:ilvl="0">
      <w:start w:val="1"/>
      <w:numFmt w:val="upp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9">
    <w:nsid w:val="703A41C8"/>
    <w:multiLevelType w:val="hybridMultilevel"/>
    <w:tmpl w:val="841490D0"/>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nsid w:val="70716413"/>
    <w:multiLevelType w:val="hybridMultilevel"/>
    <w:tmpl w:val="EE6A0BCA"/>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131">
    <w:nsid w:val="70A665B6"/>
    <w:multiLevelType w:val="hybridMultilevel"/>
    <w:tmpl w:val="633C5F0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2">
    <w:nsid w:val="70D9113E"/>
    <w:multiLevelType w:val="hybridMultilevel"/>
    <w:tmpl w:val="51FC8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71C43E58"/>
    <w:multiLevelType w:val="hybridMultilevel"/>
    <w:tmpl w:val="CCAC90D4"/>
    <w:lvl w:ilvl="0">
      <w:start w:val="1"/>
      <w:numFmt w:val="bullet"/>
      <w:lvlText w:val=""/>
      <w:lvlJc w:val="left"/>
      <w:pPr>
        <w:ind w:left="1077" w:hanging="360"/>
      </w:pPr>
      <w:rPr>
        <w:rFonts w:ascii="Symbol" w:hAnsi="Symbol" w:hint="default"/>
      </w:rPr>
    </w:lvl>
    <w:lvl w:ilvl="1" w:tentative="1">
      <w:start w:val="1"/>
      <w:numFmt w:val="bullet"/>
      <w:lvlText w:val="o"/>
      <w:lvlJc w:val="left"/>
      <w:pPr>
        <w:ind w:left="1797" w:hanging="360"/>
      </w:pPr>
      <w:rPr>
        <w:rFonts w:ascii="Courier New" w:hAnsi="Courier New" w:cs="Courier New" w:hint="default"/>
      </w:rPr>
    </w:lvl>
    <w:lvl w:ilvl="2" w:tentative="1">
      <w:start w:val="1"/>
      <w:numFmt w:val="bullet"/>
      <w:lvlText w:val=""/>
      <w:lvlJc w:val="left"/>
      <w:pPr>
        <w:ind w:left="2517" w:hanging="360"/>
      </w:pPr>
      <w:rPr>
        <w:rFonts w:ascii="Wingdings" w:hAnsi="Wingdings" w:hint="default"/>
      </w:rPr>
    </w:lvl>
    <w:lvl w:ilvl="3" w:tentative="1">
      <w:start w:val="1"/>
      <w:numFmt w:val="bullet"/>
      <w:lvlText w:val=""/>
      <w:lvlJc w:val="left"/>
      <w:pPr>
        <w:ind w:left="3237" w:hanging="360"/>
      </w:pPr>
      <w:rPr>
        <w:rFonts w:ascii="Symbol" w:hAnsi="Symbol" w:hint="default"/>
      </w:rPr>
    </w:lvl>
    <w:lvl w:ilvl="4" w:tentative="1">
      <w:start w:val="1"/>
      <w:numFmt w:val="bullet"/>
      <w:lvlText w:val="o"/>
      <w:lvlJc w:val="left"/>
      <w:pPr>
        <w:ind w:left="3957" w:hanging="360"/>
      </w:pPr>
      <w:rPr>
        <w:rFonts w:ascii="Courier New" w:hAnsi="Courier New" w:cs="Courier New" w:hint="default"/>
      </w:rPr>
    </w:lvl>
    <w:lvl w:ilvl="5" w:tentative="1">
      <w:start w:val="1"/>
      <w:numFmt w:val="bullet"/>
      <w:lvlText w:val=""/>
      <w:lvlJc w:val="left"/>
      <w:pPr>
        <w:ind w:left="4677" w:hanging="360"/>
      </w:pPr>
      <w:rPr>
        <w:rFonts w:ascii="Wingdings" w:hAnsi="Wingdings" w:hint="default"/>
      </w:rPr>
    </w:lvl>
    <w:lvl w:ilvl="6" w:tentative="1">
      <w:start w:val="1"/>
      <w:numFmt w:val="bullet"/>
      <w:lvlText w:val=""/>
      <w:lvlJc w:val="left"/>
      <w:pPr>
        <w:ind w:left="5397" w:hanging="360"/>
      </w:pPr>
      <w:rPr>
        <w:rFonts w:ascii="Symbol" w:hAnsi="Symbol" w:hint="default"/>
      </w:rPr>
    </w:lvl>
    <w:lvl w:ilvl="7" w:tentative="1">
      <w:start w:val="1"/>
      <w:numFmt w:val="bullet"/>
      <w:lvlText w:val="o"/>
      <w:lvlJc w:val="left"/>
      <w:pPr>
        <w:ind w:left="6117" w:hanging="360"/>
      </w:pPr>
      <w:rPr>
        <w:rFonts w:ascii="Courier New" w:hAnsi="Courier New" w:cs="Courier New" w:hint="default"/>
      </w:rPr>
    </w:lvl>
    <w:lvl w:ilvl="8" w:tentative="1">
      <w:start w:val="1"/>
      <w:numFmt w:val="bullet"/>
      <w:lvlText w:val=""/>
      <w:lvlJc w:val="left"/>
      <w:pPr>
        <w:ind w:left="6837" w:hanging="360"/>
      </w:pPr>
      <w:rPr>
        <w:rFonts w:ascii="Wingdings" w:hAnsi="Wingdings" w:hint="default"/>
      </w:rPr>
    </w:lvl>
  </w:abstractNum>
  <w:abstractNum w:abstractNumId="134">
    <w:nsid w:val="73253552"/>
    <w:multiLevelType w:val="hybridMultilevel"/>
    <w:tmpl w:val="F2D43FE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3DC1B0D"/>
    <w:multiLevelType w:val="hybridMultilevel"/>
    <w:tmpl w:val="E26268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74134BE2"/>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6D3BBF"/>
    <w:multiLevelType w:val="hybridMultilevel"/>
    <w:tmpl w:val="7D5A6268"/>
    <w:lvl w:ilvl="0">
      <w:start w:val="6"/>
      <w:numFmt w:val="upp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55B635F"/>
    <w:multiLevelType w:val="hybridMultilevel"/>
    <w:tmpl w:val="4EC2E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76486AC5"/>
    <w:multiLevelType w:val="hybridMultilevel"/>
    <w:tmpl w:val="9B56A56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0">
    <w:nsid w:val="772340BA"/>
    <w:multiLevelType w:val="hybridMultilevel"/>
    <w:tmpl w:val="E6481414"/>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7A0C6930"/>
    <w:multiLevelType w:val="hybridMultilevel"/>
    <w:tmpl w:val="B4220704"/>
    <w:lvl w:ilvl="0">
      <w:start w:val="1"/>
      <w:numFmt w:val="lowerLetter"/>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2">
    <w:nsid w:val="7A625691"/>
    <w:multiLevelType w:val="hybridMultilevel"/>
    <w:tmpl w:val="7C8CA11C"/>
    <w:lvl w:ilvl="0">
      <w:start w:val="1"/>
      <w:numFmt w:val="bullet"/>
      <w:pStyle w:val="Odstavecseseznamem1"/>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3">
    <w:nsid w:val="7AEA3C39"/>
    <w:multiLevelType w:val="hybridMultilevel"/>
    <w:tmpl w:val="085E64FC"/>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BE14BEE"/>
    <w:multiLevelType w:val="hybridMultilevel"/>
    <w:tmpl w:val="E25CA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E4E532D"/>
    <w:multiLevelType w:val="hybridMultilevel"/>
    <w:tmpl w:val="6740720A"/>
    <w:lvl w:ilvl="0">
      <w:start w:val="1"/>
      <w:numFmt w:val="lowerLetter"/>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7ED806AF"/>
    <w:multiLevelType w:val="hybridMultilevel"/>
    <w:tmpl w:val="3FB6A8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5"/>
  </w:num>
  <w:num w:numId="2">
    <w:abstractNumId w:val="25"/>
  </w:num>
  <w:num w:numId="3">
    <w:abstractNumId w:val="46"/>
  </w:num>
  <w:num w:numId="4">
    <w:abstractNumId w:val="111"/>
  </w:num>
  <w:num w:numId="5">
    <w:abstractNumId w:val="109"/>
  </w:num>
  <w:num w:numId="6">
    <w:abstractNumId w:val="90"/>
  </w:num>
  <w:num w:numId="7">
    <w:abstractNumId w:val="9"/>
  </w:num>
  <w:num w:numId="8">
    <w:abstractNumId w:val="141"/>
  </w:num>
  <w:num w:numId="9">
    <w:abstractNumId w:val="118"/>
  </w:num>
  <w:num w:numId="10">
    <w:abstractNumId w:val="100"/>
  </w:num>
  <w:num w:numId="11">
    <w:abstractNumId w:val="0"/>
  </w:num>
  <w:num w:numId="12">
    <w:abstractNumId w:val="105"/>
  </w:num>
  <w:num w:numId="13">
    <w:abstractNumId w:val="143"/>
  </w:num>
  <w:num w:numId="14">
    <w:abstractNumId w:val="20"/>
  </w:num>
  <w:num w:numId="15">
    <w:abstractNumId w:val="123"/>
  </w:num>
  <w:num w:numId="16">
    <w:abstractNumId w:val="14"/>
  </w:num>
  <w:num w:numId="17">
    <w:abstractNumId w:val="33"/>
  </w:num>
  <w:num w:numId="18">
    <w:abstractNumId w:val="29"/>
  </w:num>
  <w:num w:numId="19">
    <w:abstractNumId w:val="51"/>
  </w:num>
  <w:num w:numId="20">
    <w:abstractNumId w:val="89"/>
  </w:num>
  <w:num w:numId="21">
    <w:abstractNumId w:val="56"/>
  </w:num>
  <w:num w:numId="22">
    <w:abstractNumId w:val="95"/>
  </w:num>
  <w:num w:numId="23">
    <w:abstractNumId w:val="108"/>
  </w:num>
  <w:num w:numId="24">
    <w:abstractNumId w:val="124"/>
  </w:num>
  <w:num w:numId="25">
    <w:abstractNumId w:val="147"/>
  </w:num>
  <w:num w:numId="26">
    <w:abstractNumId w:val="68"/>
  </w:num>
  <w:num w:numId="27">
    <w:abstractNumId w:val="97"/>
  </w:num>
  <w:num w:numId="28">
    <w:abstractNumId w:val="39"/>
  </w:num>
  <w:num w:numId="29">
    <w:abstractNumId w:val="117"/>
  </w:num>
  <w:num w:numId="30">
    <w:abstractNumId w:val="142"/>
  </w:num>
  <w:num w:numId="31">
    <w:abstractNumId w:val="17"/>
  </w:num>
  <w:num w:numId="32">
    <w:abstractNumId w:val="82"/>
  </w:num>
  <w:num w:numId="33">
    <w:abstractNumId w:val="67"/>
  </w:num>
  <w:num w:numId="34">
    <w:abstractNumId w:val="81"/>
  </w:num>
  <w:num w:numId="3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num>
  <w:num w:numId="37">
    <w:abstractNumId w:val="66"/>
  </w:num>
  <w:num w:numId="38">
    <w:abstractNumId w:val="23"/>
  </w:num>
  <w:num w:numId="39">
    <w:abstractNumId w:val="84"/>
  </w:num>
  <w:num w:numId="40">
    <w:abstractNumId w:val="94"/>
  </w:num>
  <w:num w:numId="41">
    <w:abstractNumId w:val="128"/>
  </w:num>
  <w:num w:numId="42">
    <w:abstractNumId w:val="119"/>
  </w:num>
  <w:num w:numId="43">
    <w:abstractNumId w:val="64"/>
  </w:num>
  <w:num w:numId="44">
    <w:abstractNumId w:val="28"/>
  </w:num>
  <w:num w:numId="45">
    <w:abstractNumId w:val="104"/>
  </w:num>
  <w:num w:numId="46">
    <w:abstractNumId w:val="87"/>
  </w:num>
  <w:num w:numId="47">
    <w:abstractNumId w:val="102"/>
  </w:num>
  <w:num w:numId="48">
    <w:abstractNumId w:val="130"/>
  </w:num>
  <w:num w:numId="49">
    <w:abstractNumId w:val="83"/>
  </w:num>
  <w:num w:numId="50">
    <w:abstractNumId w:val="99"/>
  </w:num>
  <w:num w:numId="51">
    <w:abstractNumId w:val="136"/>
  </w:num>
  <w:num w:numId="52">
    <w:abstractNumId w:val="121"/>
  </w:num>
  <w:num w:numId="53">
    <w:abstractNumId w:val="21"/>
  </w:num>
  <w:num w:numId="54">
    <w:abstractNumId w:val="92"/>
  </w:num>
  <w:num w:numId="55">
    <w:abstractNumId w:val="70"/>
  </w:num>
  <w:num w:numId="56">
    <w:abstractNumId w:val="98"/>
  </w:num>
  <w:num w:numId="57">
    <w:abstractNumId w:val="7"/>
  </w:num>
  <w:num w:numId="58">
    <w:abstractNumId w:val="132"/>
  </w:num>
  <w:num w:numId="59">
    <w:abstractNumId w:val="93"/>
  </w:num>
  <w:num w:numId="60">
    <w:abstractNumId w:val="24"/>
  </w:num>
  <w:num w:numId="61">
    <w:abstractNumId w:val="91"/>
  </w:num>
  <w:num w:numId="62">
    <w:abstractNumId w:val="18"/>
  </w:num>
  <w:num w:numId="63">
    <w:abstractNumId w:val="45"/>
  </w:num>
  <w:num w:numId="64">
    <w:abstractNumId w:val="73"/>
  </w:num>
  <w:num w:numId="65">
    <w:abstractNumId w:val="140"/>
  </w:num>
  <w:num w:numId="66">
    <w:abstractNumId w:val="134"/>
  </w:num>
  <w:num w:numId="67">
    <w:abstractNumId w:val="57"/>
  </w:num>
  <w:num w:numId="68">
    <w:abstractNumId w:val="48"/>
  </w:num>
  <w:num w:numId="69">
    <w:abstractNumId w:val="16"/>
  </w:num>
  <w:num w:numId="70">
    <w:abstractNumId w:val="135"/>
  </w:num>
  <w:num w:numId="71">
    <w:abstractNumId w:val="44"/>
  </w:num>
  <w:num w:numId="72">
    <w:abstractNumId w:val="38"/>
  </w:num>
  <w:num w:numId="73">
    <w:abstractNumId w:val="49"/>
  </w:num>
  <w:num w:numId="74">
    <w:abstractNumId w:val="37"/>
  </w:num>
  <w:num w:numId="75">
    <w:abstractNumId w:val="52"/>
  </w:num>
  <w:num w:numId="76">
    <w:abstractNumId w:val="3"/>
  </w:num>
  <w:num w:numId="77">
    <w:abstractNumId w:val="10"/>
  </w:num>
  <w:num w:numId="78">
    <w:abstractNumId w:val="58"/>
  </w:num>
  <w:num w:numId="79">
    <w:abstractNumId w:val="35"/>
  </w:num>
  <w:num w:numId="80">
    <w:abstractNumId w:val="77"/>
  </w:num>
  <w:num w:numId="81">
    <w:abstractNumId w:val="106"/>
  </w:num>
  <w:num w:numId="82">
    <w:abstractNumId w:val="40"/>
  </w:num>
  <w:num w:numId="83">
    <w:abstractNumId w:val="60"/>
  </w:num>
  <w:num w:numId="84">
    <w:abstractNumId w:val="137"/>
  </w:num>
  <w:num w:numId="85">
    <w:abstractNumId w:val="115"/>
  </w:num>
  <w:num w:numId="86">
    <w:abstractNumId w:val="139"/>
  </w:num>
  <w:num w:numId="87">
    <w:abstractNumId w:val="131"/>
  </w:num>
  <w:num w:numId="88">
    <w:abstractNumId w:val="107"/>
  </w:num>
  <w:num w:numId="89">
    <w:abstractNumId w:val="6"/>
  </w:num>
  <w:num w:numId="90">
    <w:abstractNumId w:val="133"/>
  </w:num>
  <w:num w:numId="91">
    <w:abstractNumId w:val="112"/>
  </w:num>
  <w:num w:numId="92">
    <w:abstractNumId w:val="59"/>
  </w:num>
  <w:num w:numId="93">
    <w:abstractNumId w:val="88"/>
  </w:num>
  <w:num w:numId="94">
    <w:abstractNumId w:val="146"/>
  </w:num>
  <w:num w:numId="95">
    <w:abstractNumId w:val="80"/>
  </w:num>
  <w:num w:numId="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9"/>
  </w:num>
  <w:num w:numId="98">
    <w:abstractNumId w:val="5"/>
  </w:num>
  <w:num w:numId="99">
    <w:abstractNumId w:val="62"/>
  </w:num>
  <w:num w:numId="100">
    <w:abstractNumId w:val="126"/>
  </w:num>
  <w:num w:numId="101">
    <w:abstractNumId w:val="61"/>
  </w:num>
  <w:num w:numId="10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num>
  <w:num w:numId="106">
    <w:abstractNumId w:val="1"/>
  </w:num>
  <w:num w:numId="107">
    <w:abstractNumId w:val="53"/>
  </w:num>
  <w:num w:numId="108">
    <w:abstractNumId w:val="113"/>
  </w:num>
  <w:num w:numId="109">
    <w:abstractNumId w:val="36"/>
  </w:num>
  <w:num w:numId="110">
    <w:abstractNumId w:val="116"/>
  </w:num>
  <w:num w:numId="111">
    <w:abstractNumId w:val="144"/>
  </w:num>
  <w:num w:numId="112">
    <w:abstractNumId w:val="11"/>
  </w:num>
  <w:num w:numId="113">
    <w:abstractNumId w:val="120"/>
  </w:num>
  <w:num w:numId="114">
    <w:abstractNumId w:val="96"/>
  </w:num>
  <w:num w:numId="115">
    <w:abstractNumId w:val="8"/>
  </w:num>
  <w:num w:numId="116">
    <w:abstractNumId w:val="13"/>
  </w:num>
  <w:num w:numId="117">
    <w:abstractNumId w:val="75"/>
  </w:num>
  <w:num w:numId="118">
    <w:abstractNumId w:val="138"/>
  </w:num>
  <w:num w:numId="119">
    <w:abstractNumId w:val="110"/>
  </w:num>
  <w:num w:numId="120">
    <w:abstractNumId w:val="26"/>
  </w:num>
  <w:num w:numId="121">
    <w:abstractNumId w:val="22"/>
  </w:num>
  <w:num w:numId="122">
    <w:abstractNumId w:val="41"/>
  </w:num>
  <w:num w:numId="123">
    <w:abstractNumId w:val="43"/>
  </w:num>
  <w:num w:numId="124">
    <w:abstractNumId w:val="34"/>
  </w:num>
  <w:num w:numId="125">
    <w:abstractNumId w:val="125"/>
  </w:num>
  <w:num w:numId="126">
    <w:abstractNumId w:val="54"/>
  </w:num>
  <w:num w:numId="127">
    <w:abstractNumId w:val="15"/>
  </w:num>
  <w:num w:numId="128">
    <w:abstractNumId w:val="4"/>
  </w:num>
  <w:num w:numId="129">
    <w:abstractNumId w:val="74"/>
  </w:num>
  <w:num w:numId="130">
    <w:abstractNumId w:val="103"/>
  </w:num>
  <w:num w:numId="131">
    <w:abstractNumId w:val="30"/>
  </w:num>
  <w:num w:numId="132">
    <w:abstractNumId w:val="145"/>
  </w:num>
  <w:num w:numId="133">
    <w:abstractNumId w:val="47"/>
  </w:num>
  <w:num w:numId="134">
    <w:abstractNumId w:val="101"/>
  </w:num>
  <w:num w:numId="135">
    <w:abstractNumId w:val="55"/>
  </w:num>
  <w:num w:numId="136">
    <w:abstractNumId w:val="31"/>
  </w:num>
  <w:num w:numId="137">
    <w:abstractNumId w:val="76"/>
  </w:num>
  <w:num w:numId="138">
    <w:abstractNumId w:val="71"/>
  </w:num>
  <w:num w:numId="139">
    <w:abstractNumId w:val="127"/>
  </w:num>
  <w:num w:numId="140">
    <w:abstractNumId w:val="86"/>
  </w:num>
  <w:num w:numId="141">
    <w:abstractNumId w:val="12"/>
  </w:num>
  <w:num w:numId="142">
    <w:abstractNumId w:val="63"/>
  </w:num>
  <w:num w:numId="143">
    <w:abstractNumId w:val="85"/>
  </w:num>
  <w:num w:numId="144">
    <w:abstractNumId w:val="129"/>
  </w:num>
  <w:num w:numId="145">
    <w:abstractNumId w:val="2"/>
  </w:num>
  <w:num w:numId="146">
    <w:abstractNumId w:val="78"/>
  </w:num>
  <w:num w:numId="147">
    <w:abstractNumId w:val="50"/>
  </w:num>
  <w:num w:numId="148">
    <w:abstractNumId w:val="32"/>
  </w:num>
  <w:num w:numId="149">
    <w:abstractNumId w:val="1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cumentProtection w:edit="forms" w:enforcement="0"/>
  <w:defaultTabStop w:val="0"/>
  <w:hyphenationZone w:val="425"/>
  <w:drawingGridHorizontalSpacing w:val="120"/>
  <w:displayHorizont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5F"/>
    <w:rsid w:val="0000091D"/>
    <w:rsid w:val="00001D06"/>
    <w:rsid w:val="00002D1C"/>
    <w:rsid w:val="00003FB7"/>
    <w:rsid w:val="00004A96"/>
    <w:rsid w:val="00004A98"/>
    <w:rsid w:val="00005C21"/>
    <w:rsid w:val="00005FF9"/>
    <w:rsid w:val="000060B7"/>
    <w:rsid w:val="0000696E"/>
    <w:rsid w:val="000071ED"/>
    <w:rsid w:val="000074D9"/>
    <w:rsid w:val="000078CB"/>
    <w:rsid w:val="000104AE"/>
    <w:rsid w:val="00010BAB"/>
    <w:rsid w:val="000110B1"/>
    <w:rsid w:val="000111A7"/>
    <w:rsid w:val="0001176B"/>
    <w:rsid w:val="00012208"/>
    <w:rsid w:val="00012BA9"/>
    <w:rsid w:val="00013232"/>
    <w:rsid w:val="00013687"/>
    <w:rsid w:val="0001393B"/>
    <w:rsid w:val="00013E6C"/>
    <w:rsid w:val="000140BB"/>
    <w:rsid w:val="00014DE3"/>
    <w:rsid w:val="0001567D"/>
    <w:rsid w:val="00016C5C"/>
    <w:rsid w:val="00016F53"/>
    <w:rsid w:val="00017255"/>
    <w:rsid w:val="00017B79"/>
    <w:rsid w:val="00020559"/>
    <w:rsid w:val="0002078A"/>
    <w:rsid w:val="000219A7"/>
    <w:rsid w:val="000225D4"/>
    <w:rsid w:val="0002268A"/>
    <w:rsid w:val="00022926"/>
    <w:rsid w:val="00022E32"/>
    <w:rsid w:val="00022FE5"/>
    <w:rsid w:val="000240C7"/>
    <w:rsid w:val="0002555E"/>
    <w:rsid w:val="0002684C"/>
    <w:rsid w:val="00027196"/>
    <w:rsid w:val="00027721"/>
    <w:rsid w:val="00030869"/>
    <w:rsid w:val="00030C9D"/>
    <w:rsid w:val="00031E6C"/>
    <w:rsid w:val="00031EAB"/>
    <w:rsid w:val="00032AD0"/>
    <w:rsid w:val="00033DE9"/>
    <w:rsid w:val="000341D6"/>
    <w:rsid w:val="00034826"/>
    <w:rsid w:val="00035D6D"/>
    <w:rsid w:val="000361A9"/>
    <w:rsid w:val="00036327"/>
    <w:rsid w:val="00036D1A"/>
    <w:rsid w:val="00037557"/>
    <w:rsid w:val="000377A3"/>
    <w:rsid w:val="00037C22"/>
    <w:rsid w:val="0004064D"/>
    <w:rsid w:val="0004161E"/>
    <w:rsid w:val="00041DE2"/>
    <w:rsid w:val="00042581"/>
    <w:rsid w:val="000429DE"/>
    <w:rsid w:val="00042A18"/>
    <w:rsid w:val="00042AE3"/>
    <w:rsid w:val="00042B4E"/>
    <w:rsid w:val="00042D22"/>
    <w:rsid w:val="0004362D"/>
    <w:rsid w:val="0004367C"/>
    <w:rsid w:val="00043961"/>
    <w:rsid w:val="000439D6"/>
    <w:rsid w:val="00043FDF"/>
    <w:rsid w:val="00044CB0"/>
    <w:rsid w:val="00045B91"/>
    <w:rsid w:val="00045DE0"/>
    <w:rsid w:val="00045E5C"/>
    <w:rsid w:val="000461C4"/>
    <w:rsid w:val="00046BCA"/>
    <w:rsid w:val="0004727F"/>
    <w:rsid w:val="00047BDC"/>
    <w:rsid w:val="00050D90"/>
    <w:rsid w:val="000523D1"/>
    <w:rsid w:val="000523FA"/>
    <w:rsid w:val="00053490"/>
    <w:rsid w:val="00053B47"/>
    <w:rsid w:val="00053FE6"/>
    <w:rsid w:val="000554A1"/>
    <w:rsid w:val="000556B8"/>
    <w:rsid w:val="000556F0"/>
    <w:rsid w:val="00055EA5"/>
    <w:rsid w:val="0005624A"/>
    <w:rsid w:val="00056282"/>
    <w:rsid w:val="00056485"/>
    <w:rsid w:val="000601AB"/>
    <w:rsid w:val="0006082B"/>
    <w:rsid w:val="0006157B"/>
    <w:rsid w:val="000625D3"/>
    <w:rsid w:val="00063DD4"/>
    <w:rsid w:val="000645EF"/>
    <w:rsid w:val="00064B7D"/>
    <w:rsid w:val="00065454"/>
    <w:rsid w:val="00065A17"/>
    <w:rsid w:val="00065E44"/>
    <w:rsid w:val="00065FEB"/>
    <w:rsid w:val="000669CF"/>
    <w:rsid w:val="00066A74"/>
    <w:rsid w:val="00066B46"/>
    <w:rsid w:val="00067457"/>
    <w:rsid w:val="00067732"/>
    <w:rsid w:val="0006778B"/>
    <w:rsid w:val="0006792F"/>
    <w:rsid w:val="000708D4"/>
    <w:rsid w:val="00070DAB"/>
    <w:rsid w:val="000713DA"/>
    <w:rsid w:val="0007184B"/>
    <w:rsid w:val="00071A47"/>
    <w:rsid w:val="000725CF"/>
    <w:rsid w:val="00073069"/>
    <w:rsid w:val="00073219"/>
    <w:rsid w:val="00073761"/>
    <w:rsid w:val="00073AFA"/>
    <w:rsid w:val="00075FB3"/>
    <w:rsid w:val="000765F0"/>
    <w:rsid w:val="0007699D"/>
    <w:rsid w:val="00076A89"/>
    <w:rsid w:val="00076A8D"/>
    <w:rsid w:val="00077F75"/>
    <w:rsid w:val="000808D1"/>
    <w:rsid w:val="00081372"/>
    <w:rsid w:val="000815DE"/>
    <w:rsid w:val="0008200E"/>
    <w:rsid w:val="0008237F"/>
    <w:rsid w:val="00082783"/>
    <w:rsid w:val="000828D7"/>
    <w:rsid w:val="00083DBB"/>
    <w:rsid w:val="00083F8E"/>
    <w:rsid w:val="00084265"/>
    <w:rsid w:val="00084391"/>
    <w:rsid w:val="00084446"/>
    <w:rsid w:val="000844C4"/>
    <w:rsid w:val="0008452B"/>
    <w:rsid w:val="00084603"/>
    <w:rsid w:val="00085C33"/>
    <w:rsid w:val="00086FC7"/>
    <w:rsid w:val="00087235"/>
    <w:rsid w:val="000873EB"/>
    <w:rsid w:val="00087406"/>
    <w:rsid w:val="00087696"/>
    <w:rsid w:val="0008785B"/>
    <w:rsid w:val="00087E19"/>
    <w:rsid w:val="00090340"/>
    <w:rsid w:val="000904F5"/>
    <w:rsid w:val="00091277"/>
    <w:rsid w:val="00091B7E"/>
    <w:rsid w:val="00091E03"/>
    <w:rsid w:val="00092224"/>
    <w:rsid w:val="0009235B"/>
    <w:rsid w:val="00092C2B"/>
    <w:rsid w:val="00092C52"/>
    <w:rsid w:val="00092CD7"/>
    <w:rsid w:val="00093089"/>
    <w:rsid w:val="00093115"/>
    <w:rsid w:val="00093469"/>
    <w:rsid w:val="00094101"/>
    <w:rsid w:val="0009456F"/>
    <w:rsid w:val="0009458F"/>
    <w:rsid w:val="000953CA"/>
    <w:rsid w:val="00095633"/>
    <w:rsid w:val="00095B7F"/>
    <w:rsid w:val="00095DFF"/>
    <w:rsid w:val="0009696F"/>
    <w:rsid w:val="000970CF"/>
    <w:rsid w:val="00097C19"/>
    <w:rsid w:val="00097E6C"/>
    <w:rsid w:val="00097EE6"/>
    <w:rsid w:val="000A0026"/>
    <w:rsid w:val="000A0F92"/>
    <w:rsid w:val="000A1C4E"/>
    <w:rsid w:val="000A1CF4"/>
    <w:rsid w:val="000A1FA8"/>
    <w:rsid w:val="000A3AB6"/>
    <w:rsid w:val="000A3F79"/>
    <w:rsid w:val="000A5A7E"/>
    <w:rsid w:val="000A5E16"/>
    <w:rsid w:val="000A6044"/>
    <w:rsid w:val="000A6067"/>
    <w:rsid w:val="000A621B"/>
    <w:rsid w:val="000A661C"/>
    <w:rsid w:val="000A6781"/>
    <w:rsid w:val="000A6B0F"/>
    <w:rsid w:val="000A6C85"/>
    <w:rsid w:val="000A77E7"/>
    <w:rsid w:val="000A7B27"/>
    <w:rsid w:val="000B00F8"/>
    <w:rsid w:val="000B05FC"/>
    <w:rsid w:val="000B07F0"/>
    <w:rsid w:val="000B0B14"/>
    <w:rsid w:val="000B25E3"/>
    <w:rsid w:val="000B263E"/>
    <w:rsid w:val="000B2F6D"/>
    <w:rsid w:val="000B3123"/>
    <w:rsid w:val="000B326B"/>
    <w:rsid w:val="000B36B6"/>
    <w:rsid w:val="000B4360"/>
    <w:rsid w:val="000B4BAD"/>
    <w:rsid w:val="000B65C9"/>
    <w:rsid w:val="000B681B"/>
    <w:rsid w:val="000B6E9B"/>
    <w:rsid w:val="000B70AB"/>
    <w:rsid w:val="000B721E"/>
    <w:rsid w:val="000B7CBF"/>
    <w:rsid w:val="000C0F73"/>
    <w:rsid w:val="000C1125"/>
    <w:rsid w:val="000C141F"/>
    <w:rsid w:val="000C18BE"/>
    <w:rsid w:val="000C18C3"/>
    <w:rsid w:val="000C1BF0"/>
    <w:rsid w:val="000C1DE3"/>
    <w:rsid w:val="000C2474"/>
    <w:rsid w:val="000C2B0E"/>
    <w:rsid w:val="000C2C4A"/>
    <w:rsid w:val="000C329D"/>
    <w:rsid w:val="000C332A"/>
    <w:rsid w:val="000C33C7"/>
    <w:rsid w:val="000C43A7"/>
    <w:rsid w:val="000C55C9"/>
    <w:rsid w:val="000C598B"/>
    <w:rsid w:val="000C5D13"/>
    <w:rsid w:val="000C64F7"/>
    <w:rsid w:val="000C6F4F"/>
    <w:rsid w:val="000C7029"/>
    <w:rsid w:val="000C73AE"/>
    <w:rsid w:val="000C7590"/>
    <w:rsid w:val="000D02D2"/>
    <w:rsid w:val="000D09E8"/>
    <w:rsid w:val="000D1338"/>
    <w:rsid w:val="000D14C5"/>
    <w:rsid w:val="000D2073"/>
    <w:rsid w:val="000D2E1D"/>
    <w:rsid w:val="000D32C3"/>
    <w:rsid w:val="000D4515"/>
    <w:rsid w:val="000D5642"/>
    <w:rsid w:val="000D61E8"/>
    <w:rsid w:val="000D734A"/>
    <w:rsid w:val="000D7918"/>
    <w:rsid w:val="000E05AC"/>
    <w:rsid w:val="000E05CC"/>
    <w:rsid w:val="000E0DD3"/>
    <w:rsid w:val="000E1617"/>
    <w:rsid w:val="000E25A9"/>
    <w:rsid w:val="000E29D5"/>
    <w:rsid w:val="000E3463"/>
    <w:rsid w:val="000E3797"/>
    <w:rsid w:val="000E45DE"/>
    <w:rsid w:val="000E4B26"/>
    <w:rsid w:val="000E514F"/>
    <w:rsid w:val="000E5B51"/>
    <w:rsid w:val="000E6B47"/>
    <w:rsid w:val="000E6DE5"/>
    <w:rsid w:val="000E719F"/>
    <w:rsid w:val="000E767E"/>
    <w:rsid w:val="000F21EA"/>
    <w:rsid w:val="000F2CBE"/>
    <w:rsid w:val="000F2F90"/>
    <w:rsid w:val="000F3186"/>
    <w:rsid w:val="000F4094"/>
    <w:rsid w:val="000F533C"/>
    <w:rsid w:val="000F608B"/>
    <w:rsid w:val="000F6175"/>
    <w:rsid w:val="000F69A6"/>
    <w:rsid w:val="00100315"/>
    <w:rsid w:val="00100FC0"/>
    <w:rsid w:val="00101BB5"/>
    <w:rsid w:val="00101C2F"/>
    <w:rsid w:val="00101E02"/>
    <w:rsid w:val="0010416C"/>
    <w:rsid w:val="00104902"/>
    <w:rsid w:val="00104AF7"/>
    <w:rsid w:val="001061CF"/>
    <w:rsid w:val="00106E37"/>
    <w:rsid w:val="00106EA7"/>
    <w:rsid w:val="00106FF1"/>
    <w:rsid w:val="001070C7"/>
    <w:rsid w:val="00110339"/>
    <w:rsid w:val="0011180B"/>
    <w:rsid w:val="00111AA4"/>
    <w:rsid w:val="00111B46"/>
    <w:rsid w:val="00111F74"/>
    <w:rsid w:val="00111F8B"/>
    <w:rsid w:val="001120A5"/>
    <w:rsid w:val="0011219A"/>
    <w:rsid w:val="001125CC"/>
    <w:rsid w:val="00112D49"/>
    <w:rsid w:val="00112FE8"/>
    <w:rsid w:val="00113DD7"/>
    <w:rsid w:val="00114381"/>
    <w:rsid w:val="00114514"/>
    <w:rsid w:val="0011456A"/>
    <w:rsid w:val="00115F29"/>
    <w:rsid w:val="001160D4"/>
    <w:rsid w:val="0011664A"/>
    <w:rsid w:val="00116920"/>
    <w:rsid w:val="00116AA8"/>
    <w:rsid w:val="0011754B"/>
    <w:rsid w:val="0011790B"/>
    <w:rsid w:val="0012078E"/>
    <w:rsid w:val="001209A0"/>
    <w:rsid w:val="00120DC8"/>
    <w:rsid w:val="00120F48"/>
    <w:rsid w:val="001212C3"/>
    <w:rsid w:val="001213AA"/>
    <w:rsid w:val="001219B1"/>
    <w:rsid w:val="00121AD8"/>
    <w:rsid w:val="00121FFB"/>
    <w:rsid w:val="00122759"/>
    <w:rsid w:val="0012379A"/>
    <w:rsid w:val="001241A1"/>
    <w:rsid w:val="00125E5C"/>
    <w:rsid w:val="0012681B"/>
    <w:rsid w:val="00126C8E"/>
    <w:rsid w:val="00126EC0"/>
    <w:rsid w:val="0013065F"/>
    <w:rsid w:val="00131A0D"/>
    <w:rsid w:val="00131D9B"/>
    <w:rsid w:val="00132394"/>
    <w:rsid w:val="00132E33"/>
    <w:rsid w:val="00133193"/>
    <w:rsid w:val="00133364"/>
    <w:rsid w:val="00133D67"/>
    <w:rsid w:val="0013450D"/>
    <w:rsid w:val="00135502"/>
    <w:rsid w:val="001357E4"/>
    <w:rsid w:val="00135E91"/>
    <w:rsid w:val="001362B6"/>
    <w:rsid w:val="001364FA"/>
    <w:rsid w:val="00136663"/>
    <w:rsid w:val="0013705A"/>
    <w:rsid w:val="00137370"/>
    <w:rsid w:val="00137830"/>
    <w:rsid w:val="00137BE8"/>
    <w:rsid w:val="001401DA"/>
    <w:rsid w:val="001403A1"/>
    <w:rsid w:val="0014043D"/>
    <w:rsid w:val="00140701"/>
    <w:rsid w:val="001413C6"/>
    <w:rsid w:val="001417B0"/>
    <w:rsid w:val="00142FF9"/>
    <w:rsid w:val="00143504"/>
    <w:rsid w:val="00143678"/>
    <w:rsid w:val="00143BEF"/>
    <w:rsid w:val="00144EC0"/>
    <w:rsid w:val="00145847"/>
    <w:rsid w:val="00146256"/>
    <w:rsid w:val="00146307"/>
    <w:rsid w:val="00146440"/>
    <w:rsid w:val="00146607"/>
    <w:rsid w:val="001469E8"/>
    <w:rsid w:val="001471B0"/>
    <w:rsid w:val="001475A4"/>
    <w:rsid w:val="001477D3"/>
    <w:rsid w:val="00147F71"/>
    <w:rsid w:val="0015019E"/>
    <w:rsid w:val="0015050F"/>
    <w:rsid w:val="00150A0D"/>
    <w:rsid w:val="00150CBC"/>
    <w:rsid w:val="00150D30"/>
    <w:rsid w:val="00151931"/>
    <w:rsid w:val="00152012"/>
    <w:rsid w:val="00152383"/>
    <w:rsid w:val="001535DE"/>
    <w:rsid w:val="001539F1"/>
    <w:rsid w:val="00153E74"/>
    <w:rsid w:val="001547BB"/>
    <w:rsid w:val="00154BAF"/>
    <w:rsid w:val="00154C69"/>
    <w:rsid w:val="00154DB6"/>
    <w:rsid w:val="001550EA"/>
    <w:rsid w:val="0015529A"/>
    <w:rsid w:val="00155C04"/>
    <w:rsid w:val="00155FEB"/>
    <w:rsid w:val="00160164"/>
    <w:rsid w:val="001612DC"/>
    <w:rsid w:val="0016171B"/>
    <w:rsid w:val="001643E4"/>
    <w:rsid w:val="001643E8"/>
    <w:rsid w:val="00164459"/>
    <w:rsid w:val="001652EE"/>
    <w:rsid w:val="001660ED"/>
    <w:rsid w:val="00166372"/>
    <w:rsid w:val="001669D2"/>
    <w:rsid w:val="00167563"/>
    <w:rsid w:val="00167FBD"/>
    <w:rsid w:val="00167FCF"/>
    <w:rsid w:val="0017046F"/>
    <w:rsid w:val="00172974"/>
    <w:rsid w:val="0017362D"/>
    <w:rsid w:val="001736D9"/>
    <w:rsid w:val="00173EDE"/>
    <w:rsid w:val="00174573"/>
    <w:rsid w:val="00175012"/>
    <w:rsid w:val="001752EB"/>
    <w:rsid w:val="00176699"/>
    <w:rsid w:val="00177B26"/>
    <w:rsid w:val="00180E8D"/>
    <w:rsid w:val="001810BA"/>
    <w:rsid w:val="00181421"/>
    <w:rsid w:val="001820AA"/>
    <w:rsid w:val="00183063"/>
    <w:rsid w:val="00183BC1"/>
    <w:rsid w:val="00184CFD"/>
    <w:rsid w:val="0018508D"/>
    <w:rsid w:val="00185D99"/>
    <w:rsid w:val="00187321"/>
    <w:rsid w:val="001875EF"/>
    <w:rsid w:val="001877BD"/>
    <w:rsid w:val="00187E69"/>
    <w:rsid w:val="0019034D"/>
    <w:rsid w:val="00190573"/>
    <w:rsid w:val="00190619"/>
    <w:rsid w:val="0019089D"/>
    <w:rsid w:val="0019166A"/>
    <w:rsid w:val="001919F7"/>
    <w:rsid w:val="00192722"/>
    <w:rsid w:val="001927AC"/>
    <w:rsid w:val="00193C68"/>
    <w:rsid w:val="00193FA6"/>
    <w:rsid w:val="0019401C"/>
    <w:rsid w:val="0019420B"/>
    <w:rsid w:val="001943D3"/>
    <w:rsid w:val="00195293"/>
    <w:rsid w:val="001952A3"/>
    <w:rsid w:val="001954E2"/>
    <w:rsid w:val="0019745F"/>
    <w:rsid w:val="00197DAD"/>
    <w:rsid w:val="001A019D"/>
    <w:rsid w:val="001A0776"/>
    <w:rsid w:val="001A137A"/>
    <w:rsid w:val="001A155E"/>
    <w:rsid w:val="001A193E"/>
    <w:rsid w:val="001A212F"/>
    <w:rsid w:val="001A3DC5"/>
    <w:rsid w:val="001A4112"/>
    <w:rsid w:val="001A456F"/>
    <w:rsid w:val="001A46E8"/>
    <w:rsid w:val="001A4B26"/>
    <w:rsid w:val="001A6028"/>
    <w:rsid w:val="001A6C77"/>
    <w:rsid w:val="001A7A11"/>
    <w:rsid w:val="001B0158"/>
    <w:rsid w:val="001B0324"/>
    <w:rsid w:val="001B2063"/>
    <w:rsid w:val="001B3418"/>
    <w:rsid w:val="001B3427"/>
    <w:rsid w:val="001B3635"/>
    <w:rsid w:val="001B3A66"/>
    <w:rsid w:val="001B3DF2"/>
    <w:rsid w:val="001B43D6"/>
    <w:rsid w:val="001B4788"/>
    <w:rsid w:val="001B5B42"/>
    <w:rsid w:val="001B6107"/>
    <w:rsid w:val="001B62CF"/>
    <w:rsid w:val="001B692F"/>
    <w:rsid w:val="001B773F"/>
    <w:rsid w:val="001C01C7"/>
    <w:rsid w:val="001C0354"/>
    <w:rsid w:val="001C07B6"/>
    <w:rsid w:val="001C24F5"/>
    <w:rsid w:val="001C2CE1"/>
    <w:rsid w:val="001C3916"/>
    <w:rsid w:val="001C3CF8"/>
    <w:rsid w:val="001C3F74"/>
    <w:rsid w:val="001C4501"/>
    <w:rsid w:val="001C524B"/>
    <w:rsid w:val="001C5289"/>
    <w:rsid w:val="001C52FC"/>
    <w:rsid w:val="001C5E25"/>
    <w:rsid w:val="001C6618"/>
    <w:rsid w:val="001C6B30"/>
    <w:rsid w:val="001C7258"/>
    <w:rsid w:val="001C7593"/>
    <w:rsid w:val="001C7C35"/>
    <w:rsid w:val="001C7DD4"/>
    <w:rsid w:val="001D0FCC"/>
    <w:rsid w:val="001D1AE4"/>
    <w:rsid w:val="001D1E53"/>
    <w:rsid w:val="001D1F0D"/>
    <w:rsid w:val="001D2141"/>
    <w:rsid w:val="001D223D"/>
    <w:rsid w:val="001D2A58"/>
    <w:rsid w:val="001D2C7E"/>
    <w:rsid w:val="001D30BA"/>
    <w:rsid w:val="001D47CD"/>
    <w:rsid w:val="001D4901"/>
    <w:rsid w:val="001D49B2"/>
    <w:rsid w:val="001D4F0F"/>
    <w:rsid w:val="001D55FF"/>
    <w:rsid w:val="001D584F"/>
    <w:rsid w:val="001D5B02"/>
    <w:rsid w:val="001D5D05"/>
    <w:rsid w:val="001D602A"/>
    <w:rsid w:val="001D6305"/>
    <w:rsid w:val="001D693E"/>
    <w:rsid w:val="001D7951"/>
    <w:rsid w:val="001E0D8B"/>
    <w:rsid w:val="001E19C6"/>
    <w:rsid w:val="001E19E6"/>
    <w:rsid w:val="001E1F3C"/>
    <w:rsid w:val="001E3A78"/>
    <w:rsid w:val="001E3C9D"/>
    <w:rsid w:val="001E5465"/>
    <w:rsid w:val="001E56D4"/>
    <w:rsid w:val="001E704D"/>
    <w:rsid w:val="001E7ED6"/>
    <w:rsid w:val="001F03DC"/>
    <w:rsid w:val="001F1AB7"/>
    <w:rsid w:val="001F1AD7"/>
    <w:rsid w:val="001F1EAE"/>
    <w:rsid w:val="001F1FAA"/>
    <w:rsid w:val="001F241A"/>
    <w:rsid w:val="001F2745"/>
    <w:rsid w:val="001F2900"/>
    <w:rsid w:val="001F29E5"/>
    <w:rsid w:val="001F32AF"/>
    <w:rsid w:val="001F3EBE"/>
    <w:rsid w:val="001F4055"/>
    <w:rsid w:val="001F4AB4"/>
    <w:rsid w:val="001F5F9B"/>
    <w:rsid w:val="001F649B"/>
    <w:rsid w:val="001F6A94"/>
    <w:rsid w:val="001F717E"/>
    <w:rsid w:val="001F7532"/>
    <w:rsid w:val="001F7AC0"/>
    <w:rsid w:val="00200992"/>
    <w:rsid w:val="00200F6D"/>
    <w:rsid w:val="00201173"/>
    <w:rsid w:val="00201F4B"/>
    <w:rsid w:val="002021B9"/>
    <w:rsid w:val="002027A7"/>
    <w:rsid w:val="00203FBC"/>
    <w:rsid w:val="002041AA"/>
    <w:rsid w:val="00204DE2"/>
    <w:rsid w:val="00205F12"/>
    <w:rsid w:val="00206BAF"/>
    <w:rsid w:val="00207A14"/>
    <w:rsid w:val="0021192C"/>
    <w:rsid w:val="002121E9"/>
    <w:rsid w:val="00212AAC"/>
    <w:rsid w:val="00212AB8"/>
    <w:rsid w:val="00212C9D"/>
    <w:rsid w:val="002131C5"/>
    <w:rsid w:val="002132B7"/>
    <w:rsid w:val="00213FCE"/>
    <w:rsid w:val="002148E7"/>
    <w:rsid w:val="00214CA0"/>
    <w:rsid w:val="0021531D"/>
    <w:rsid w:val="0021615C"/>
    <w:rsid w:val="00217708"/>
    <w:rsid w:val="00217A66"/>
    <w:rsid w:val="00217E4D"/>
    <w:rsid w:val="002204EC"/>
    <w:rsid w:val="00221615"/>
    <w:rsid w:val="00221B58"/>
    <w:rsid w:val="00222084"/>
    <w:rsid w:val="00222095"/>
    <w:rsid w:val="0022248B"/>
    <w:rsid w:val="00222B37"/>
    <w:rsid w:val="00222D38"/>
    <w:rsid w:val="00222ECE"/>
    <w:rsid w:val="0022301D"/>
    <w:rsid w:val="002235BC"/>
    <w:rsid w:val="0022441D"/>
    <w:rsid w:val="00224918"/>
    <w:rsid w:val="00224A93"/>
    <w:rsid w:val="00224E9C"/>
    <w:rsid w:val="00225481"/>
    <w:rsid w:val="002258F6"/>
    <w:rsid w:val="00225AFA"/>
    <w:rsid w:val="00225F64"/>
    <w:rsid w:val="00226E44"/>
    <w:rsid w:val="00226F7D"/>
    <w:rsid w:val="002271BA"/>
    <w:rsid w:val="00227507"/>
    <w:rsid w:val="00227C24"/>
    <w:rsid w:val="00227E99"/>
    <w:rsid w:val="00230019"/>
    <w:rsid w:val="00231373"/>
    <w:rsid w:val="00231413"/>
    <w:rsid w:val="002318F0"/>
    <w:rsid w:val="0023254B"/>
    <w:rsid w:val="00232C56"/>
    <w:rsid w:val="00232F26"/>
    <w:rsid w:val="00233456"/>
    <w:rsid w:val="00233901"/>
    <w:rsid w:val="00234884"/>
    <w:rsid w:val="002358A6"/>
    <w:rsid w:val="002367FD"/>
    <w:rsid w:val="0023683C"/>
    <w:rsid w:val="00236995"/>
    <w:rsid w:val="0023701A"/>
    <w:rsid w:val="002371CC"/>
    <w:rsid w:val="00237AFD"/>
    <w:rsid w:val="00237C8F"/>
    <w:rsid w:val="00237E65"/>
    <w:rsid w:val="00240479"/>
    <w:rsid w:val="002408DF"/>
    <w:rsid w:val="00241A93"/>
    <w:rsid w:val="0024210A"/>
    <w:rsid w:val="0024251A"/>
    <w:rsid w:val="00242695"/>
    <w:rsid w:val="00242C3C"/>
    <w:rsid w:val="00242D60"/>
    <w:rsid w:val="00243E2A"/>
    <w:rsid w:val="0024434E"/>
    <w:rsid w:val="00244E05"/>
    <w:rsid w:val="00244FEB"/>
    <w:rsid w:val="00245C42"/>
    <w:rsid w:val="00246453"/>
    <w:rsid w:val="00246AE7"/>
    <w:rsid w:val="00246BC8"/>
    <w:rsid w:val="002471FC"/>
    <w:rsid w:val="002472C0"/>
    <w:rsid w:val="00250587"/>
    <w:rsid w:val="00250B18"/>
    <w:rsid w:val="00250BC6"/>
    <w:rsid w:val="00250CDE"/>
    <w:rsid w:val="00250FCA"/>
    <w:rsid w:val="00251294"/>
    <w:rsid w:val="002513D1"/>
    <w:rsid w:val="00252011"/>
    <w:rsid w:val="00252610"/>
    <w:rsid w:val="00252C86"/>
    <w:rsid w:val="00252ECA"/>
    <w:rsid w:val="00253148"/>
    <w:rsid w:val="002533A8"/>
    <w:rsid w:val="0025388A"/>
    <w:rsid w:val="00253D2F"/>
    <w:rsid w:val="0025418D"/>
    <w:rsid w:val="0025422F"/>
    <w:rsid w:val="0025424B"/>
    <w:rsid w:val="00255421"/>
    <w:rsid w:val="00255442"/>
    <w:rsid w:val="002564B6"/>
    <w:rsid w:val="00256558"/>
    <w:rsid w:val="002573B1"/>
    <w:rsid w:val="002575A5"/>
    <w:rsid w:val="00257690"/>
    <w:rsid w:val="00257E70"/>
    <w:rsid w:val="00260943"/>
    <w:rsid w:val="00260961"/>
    <w:rsid w:val="00261161"/>
    <w:rsid w:val="00261D71"/>
    <w:rsid w:val="00261D77"/>
    <w:rsid w:val="00262686"/>
    <w:rsid w:val="00262B39"/>
    <w:rsid w:val="00262B56"/>
    <w:rsid w:val="00264A6F"/>
    <w:rsid w:val="0026550D"/>
    <w:rsid w:val="002656A1"/>
    <w:rsid w:val="00265D23"/>
    <w:rsid w:val="00266057"/>
    <w:rsid w:val="002660B2"/>
    <w:rsid w:val="002661DC"/>
    <w:rsid w:val="002661FE"/>
    <w:rsid w:val="002662A9"/>
    <w:rsid w:val="00266504"/>
    <w:rsid w:val="00266B88"/>
    <w:rsid w:val="00267762"/>
    <w:rsid w:val="0027013B"/>
    <w:rsid w:val="0027132D"/>
    <w:rsid w:val="002718C4"/>
    <w:rsid w:val="00273C7B"/>
    <w:rsid w:val="002740C3"/>
    <w:rsid w:val="00274861"/>
    <w:rsid w:val="00274AFB"/>
    <w:rsid w:val="00275FB1"/>
    <w:rsid w:val="00277487"/>
    <w:rsid w:val="00277A2C"/>
    <w:rsid w:val="00277E48"/>
    <w:rsid w:val="00277EB4"/>
    <w:rsid w:val="0028000B"/>
    <w:rsid w:val="00280023"/>
    <w:rsid w:val="00280840"/>
    <w:rsid w:val="0028113F"/>
    <w:rsid w:val="0028187C"/>
    <w:rsid w:val="00281996"/>
    <w:rsid w:val="00282AFE"/>
    <w:rsid w:val="00285317"/>
    <w:rsid w:val="002854AA"/>
    <w:rsid w:val="002855F6"/>
    <w:rsid w:val="00286BBA"/>
    <w:rsid w:val="0028726C"/>
    <w:rsid w:val="00290074"/>
    <w:rsid w:val="002901B1"/>
    <w:rsid w:val="002903A4"/>
    <w:rsid w:val="002903FF"/>
    <w:rsid w:val="0029075E"/>
    <w:rsid w:val="002907BD"/>
    <w:rsid w:val="002907D1"/>
    <w:rsid w:val="00290EE8"/>
    <w:rsid w:val="00291812"/>
    <w:rsid w:val="0029194A"/>
    <w:rsid w:val="00291E2E"/>
    <w:rsid w:val="00293395"/>
    <w:rsid w:val="00293EAF"/>
    <w:rsid w:val="002945EB"/>
    <w:rsid w:val="00294BB1"/>
    <w:rsid w:val="0029509F"/>
    <w:rsid w:val="0029680F"/>
    <w:rsid w:val="00296B5E"/>
    <w:rsid w:val="00297E9F"/>
    <w:rsid w:val="002A03BC"/>
    <w:rsid w:val="002A08BE"/>
    <w:rsid w:val="002A12A9"/>
    <w:rsid w:val="002A2909"/>
    <w:rsid w:val="002A2E2C"/>
    <w:rsid w:val="002A3008"/>
    <w:rsid w:val="002A35AF"/>
    <w:rsid w:val="002A3964"/>
    <w:rsid w:val="002A43E0"/>
    <w:rsid w:val="002A47AF"/>
    <w:rsid w:val="002A4EA5"/>
    <w:rsid w:val="002A5214"/>
    <w:rsid w:val="002A565C"/>
    <w:rsid w:val="002A5C5D"/>
    <w:rsid w:val="002A6B4D"/>
    <w:rsid w:val="002A6D88"/>
    <w:rsid w:val="002B029F"/>
    <w:rsid w:val="002B0703"/>
    <w:rsid w:val="002B1154"/>
    <w:rsid w:val="002B1767"/>
    <w:rsid w:val="002B1C50"/>
    <w:rsid w:val="002B21A6"/>
    <w:rsid w:val="002B2B11"/>
    <w:rsid w:val="002B2C63"/>
    <w:rsid w:val="002B388B"/>
    <w:rsid w:val="002B3F70"/>
    <w:rsid w:val="002B3F84"/>
    <w:rsid w:val="002B3FF8"/>
    <w:rsid w:val="002B4040"/>
    <w:rsid w:val="002B47AD"/>
    <w:rsid w:val="002B4BB5"/>
    <w:rsid w:val="002B542A"/>
    <w:rsid w:val="002B593F"/>
    <w:rsid w:val="002B5956"/>
    <w:rsid w:val="002B5D04"/>
    <w:rsid w:val="002B5D43"/>
    <w:rsid w:val="002B7FE9"/>
    <w:rsid w:val="002C090F"/>
    <w:rsid w:val="002C1048"/>
    <w:rsid w:val="002C1813"/>
    <w:rsid w:val="002C183F"/>
    <w:rsid w:val="002C1C27"/>
    <w:rsid w:val="002C2251"/>
    <w:rsid w:val="002C2D60"/>
    <w:rsid w:val="002C4386"/>
    <w:rsid w:val="002C4831"/>
    <w:rsid w:val="002C485C"/>
    <w:rsid w:val="002C4BD5"/>
    <w:rsid w:val="002C5357"/>
    <w:rsid w:val="002C7E6A"/>
    <w:rsid w:val="002D0AC4"/>
    <w:rsid w:val="002D0B00"/>
    <w:rsid w:val="002D13D7"/>
    <w:rsid w:val="002D153C"/>
    <w:rsid w:val="002D1629"/>
    <w:rsid w:val="002D273D"/>
    <w:rsid w:val="002D2900"/>
    <w:rsid w:val="002D31D5"/>
    <w:rsid w:val="002D35D6"/>
    <w:rsid w:val="002D3EEC"/>
    <w:rsid w:val="002D4A90"/>
    <w:rsid w:val="002D4D53"/>
    <w:rsid w:val="002D575D"/>
    <w:rsid w:val="002D63A4"/>
    <w:rsid w:val="002D66F0"/>
    <w:rsid w:val="002D67C2"/>
    <w:rsid w:val="002D718D"/>
    <w:rsid w:val="002D76A3"/>
    <w:rsid w:val="002D7F5E"/>
    <w:rsid w:val="002E1876"/>
    <w:rsid w:val="002E19CF"/>
    <w:rsid w:val="002E1AA4"/>
    <w:rsid w:val="002E1F28"/>
    <w:rsid w:val="002E2185"/>
    <w:rsid w:val="002E29AC"/>
    <w:rsid w:val="002E2FCD"/>
    <w:rsid w:val="002E300C"/>
    <w:rsid w:val="002E3554"/>
    <w:rsid w:val="002E3675"/>
    <w:rsid w:val="002E3E31"/>
    <w:rsid w:val="002E4075"/>
    <w:rsid w:val="002E4FB5"/>
    <w:rsid w:val="002E5945"/>
    <w:rsid w:val="002E6DA4"/>
    <w:rsid w:val="002E710D"/>
    <w:rsid w:val="002E73C6"/>
    <w:rsid w:val="002E746A"/>
    <w:rsid w:val="002F0675"/>
    <w:rsid w:val="002F067B"/>
    <w:rsid w:val="002F09DB"/>
    <w:rsid w:val="002F11C2"/>
    <w:rsid w:val="002F1A86"/>
    <w:rsid w:val="002F26C2"/>
    <w:rsid w:val="002F2F29"/>
    <w:rsid w:val="002F370B"/>
    <w:rsid w:val="002F3826"/>
    <w:rsid w:val="002F39F4"/>
    <w:rsid w:val="002F40B7"/>
    <w:rsid w:val="002F4696"/>
    <w:rsid w:val="002F69D5"/>
    <w:rsid w:val="002F700E"/>
    <w:rsid w:val="002F70D3"/>
    <w:rsid w:val="002F7558"/>
    <w:rsid w:val="002F75DB"/>
    <w:rsid w:val="002F76D7"/>
    <w:rsid w:val="003001C2"/>
    <w:rsid w:val="003006F8"/>
    <w:rsid w:val="00300A7E"/>
    <w:rsid w:val="00303754"/>
    <w:rsid w:val="003038CC"/>
    <w:rsid w:val="003039AF"/>
    <w:rsid w:val="0030430F"/>
    <w:rsid w:val="00304909"/>
    <w:rsid w:val="003050DA"/>
    <w:rsid w:val="00305401"/>
    <w:rsid w:val="00305FC4"/>
    <w:rsid w:val="003062AE"/>
    <w:rsid w:val="0030718E"/>
    <w:rsid w:val="00311350"/>
    <w:rsid w:val="003122FF"/>
    <w:rsid w:val="003126EF"/>
    <w:rsid w:val="00312E75"/>
    <w:rsid w:val="003133EA"/>
    <w:rsid w:val="00314B74"/>
    <w:rsid w:val="00314F00"/>
    <w:rsid w:val="0031503D"/>
    <w:rsid w:val="00315395"/>
    <w:rsid w:val="00315E0C"/>
    <w:rsid w:val="00316561"/>
    <w:rsid w:val="00316BAD"/>
    <w:rsid w:val="003174C6"/>
    <w:rsid w:val="00317718"/>
    <w:rsid w:val="0032017E"/>
    <w:rsid w:val="00320BC4"/>
    <w:rsid w:val="003211D6"/>
    <w:rsid w:val="0032182D"/>
    <w:rsid w:val="0032196E"/>
    <w:rsid w:val="00323C3E"/>
    <w:rsid w:val="00324860"/>
    <w:rsid w:val="0032492C"/>
    <w:rsid w:val="00324EDE"/>
    <w:rsid w:val="00325145"/>
    <w:rsid w:val="0032528B"/>
    <w:rsid w:val="00325E59"/>
    <w:rsid w:val="003265E8"/>
    <w:rsid w:val="00326824"/>
    <w:rsid w:val="00326B96"/>
    <w:rsid w:val="00327115"/>
    <w:rsid w:val="00327E62"/>
    <w:rsid w:val="00330409"/>
    <w:rsid w:val="003305AD"/>
    <w:rsid w:val="003305E8"/>
    <w:rsid w:val="00330778"/>
    <w:rsid w:val="00331677"/>
    <w:rsid w:val="00331917"/>
    <w:rsid w:val="0033267B"/>
    <w:rsid w:val="00332681"/>
    <w:rsid w:val="0033276E"/>
    <w:rsid w:val="00332A96"/>
    <w:rsid w:val="00332FCA"/>
    <w:rsid w:val="00333014"/>
    <w:rsid w:val="00333557"/>
    <w:rsid w:val="0033364F"/>
    <w:rsid w:val="00334121"/>
    <w:rsid w:val="00334D00"/>
    <w:rsid w:val="00334D1D"/>
    <w:rsid w:val="00334FF9"/>
    <w:rsid w:val="003351D5"/>
    <w:rsid w:val="00336646"/>
    <w:rsid w:val="00336F06"/>
    <w:rsid w:val="00337308"/>
    <w:rsid w:val="0033793D"/>
    <w:rsid w:val="0034094A"/>
    <w:rsid w:val="00342BD4"/>
    <w:rsid w:val="00342E14"/>
    <w:rsid w:val="00345448"/>
    <w:rsid w:val="00346879"/>
    <w:rsid w:val="00347507"/>
    <w:rsid w:val="003504A1"/>
    <w:rsid w:val="003507D2"/>
    <w:rsid w:val="00351383"/>
    <w:rsid w:val="003513D2"/>
    <w:rsid w:val="00351BBF"/>
    <w:rsid w:val="00352103"/>
    <w:rsid w:val="00352B54"/>
    <w:rsid w:val="00352D5E"/>
    <w:rsid w:val="003530E6"/>
    <w:rsid w:val="00353B48"/>
    <w:rsid w:val="00353F6D"/>
    <w:rsid w:val="0035496A"/>
    <w:rsid w:val="0035625B"/>
    <w:rsid w:val="003564E4"/>
    <w:rsid w:val="00356641"/>
    <w:rsid w:val="00356E4F"/>
    <w:rsid w:val="00356E59"/>
    <w:rsid w:val="003572FE"/>
    <w:rsid w:val="0036006E"/>
    <w:rsid w:val="00364076"/>
    <w:rsid w:val="00364D54"/>
    <w:rsid w:val="00364D7A"/>
    <w:rsid w:val="00364F1D"/>
    <w:rsid w:val="003652A3"/>
    <w:rsid w:val="003657A2"/>
    <w:rsid w:val="00365F99"/>
    <w:rsid w:val="00366364"/>
    <w:rsid w:val="003667E6"/>
    <w:rsid w:val="00366C4F"/>
    <w:rsid w:val="00366C50"/>
    <w:rsid w:val="00366F9B"/>
    <w:rsid w:val="00367DF5"/>
    <w:rsid w:val="003703FB"/>
    <w:rsid w:val="003706A6"/>
    <w:rsid w:val="00370CBD"/>
    <w:rsid w:val="003718AC"/>
    <w:rsid w:val="0037205D"/>
    <w:rsid w:val="003720E3"/>
    <w:rsid w:val="00372879"/>
    <w:rsid w:val="00372AB0"/>
    <w:rsid w:val="00372E53"/>
    <w:rsid w:val="0037301B"/>
    <w:rsid w:val="003731A6"/>
    <w:rsid w:val="00373338"/>
    <w:rsid w:val="00373739"/>
    <w:rsid w:val="00373C04"/>
    <w:rsid w:val="00373C15"/>
    <w:rsid w:val="003742E5"/>
    <w:rsid w:val="003748C7"/>
    <w:rsid w:val="00375CCD"/>
    <w:rsid w:val="00377155"/>
    <w:rsid w:val="00377262"/>
    <w:rsid w:val="003775DF"/>
    <w:rsid w:val="0037781C"/>
    <w:rsid w:val="00377912"/>
    <w:rsid w:val="00377920"/>
    <w:rsid w:val="00377EFA"/>
    <w:rsid w:val="00380B36"/>
    <w:rsid w:val="00381DAB"/>
    <w:rsid w:val="00381FB7"/>
    <w:rsid w:val="003821BD"/>
    <w:rsid w:val="003827EF"/>
    <w:rsid w:val="00382B3D"/>
    <w:rsid w:val="00382DA3"/>
    <w:rsid w:val="003830E9"/>
    <w:rsid w:val="00383E64"/>
    <w:rsid w:val="00383FCC"/>
    <w:rsid w:val="00384113"/>
    <w:rsid w:val="00384FC8"/>
    <w:rsid w:val="00386150"/>
    <w:rsid w:val="0038654E"/>
    <w:rsid w:val="00386646"/>
    <w:rsid w:val="003875A6"/>
    <w:rsid w:val="0038775B"/>
    <w:rsid w:val="00387C89"/>
    <w:rsid w:val="00390D54"/>
    <w:rsid w:val="003912A0"/>
    <w:rsid w:val="00392B81"/>
    <w:rsid w:val="003931E7"/>
    <w:rsid w:val="00393E71"/>
    <w:rsid w:val="003949C2"/>
    <w:rsid w:val="0039543B"/>
    <w:rsid w:val="00396263"/>
    <w:rsid w:val="00396C59"/>
    <w:rsid w:val="00397528"/>
    <w:rsid w:val="00397821"/>
    <w:rsid w:val="003978F7"/>
    <w:rsid w:val="003A1393"/>
    <w:rsid w:val="003A2208"/>
    <w:rsid w:val="003A261B"/>
    <w:rsid w:val="003A2972"/>
    <w:rsid w:val="003A3331"/>
    <w:rsid w:val="003A3599"/>
    <w:rsid w:val="003A411F"/>
    <w:rsid w:val="003A4884"/>
    <w:rsid w:val="003A4E77"/>
    <w:rsid w:val="003A5183"/>
    <w:rsid w:val="003A614D"/>
    <w:rsid w:val="003A677D"/>
    <w:rsid w:val="003A77C5"/>
    <w:rsid w:val="003B06AB"/>
    <w:rsid w:val="003B2232"/>
    <w:rsid w:val="003B2660"/>
    <w:rsid w:val="003B2AD1"/>
    <w:rsid w:val="003B3870"/>
    <w:rsid w:val="003B3CAF"/>
    <w:rsid w:val="003B4AD2"/>
    <w:rsid w:val="003B4E80"/>
    <w:rsid w:val="003B5426"/>
    <w:rsid w:val="003B5518"/>
    <w:rsid w:val="003B6000"/>
    <w:rsid w:val="003B6125"/>
    <w:rsid w:val="003B67F8"/>
    <w:rsid w:val="003B7283"/>
    <w:rsid w:val="003B74C0"/>
    <w:rsid w:val="003B7D9B"/>
    <w:rsid w:val="003C0C10"/>
    <w:rsid w:val="003C0D85"/>
    <w:rsid w:val="003C163D"/>
    <w:rsid w:val="003C1EA7"/>
    <w:rsid w:val="003C2085"/>
    <w:rsid w:val="003C2A97"/>
    <w:rsid w:val="003C2E32"/>
    <w:rsid w:val="003C2ECD"/>
    <w:rsid w:val="003C322D"/>
    <w:rsid w:val="003C3612"/>
    <w:rsid w:val="003C3A0F"/>
    <w:rsid w:val="003C403C"/>
    <w:rsid w:val="003C445B"/>
    <w:rsid w:val="003C4AB1"/>
    <w:rsid w:val="003C5934"/>
    <w:rsid w:val="003C5D5C"/>
    <w:rsid w:val="003C6BA1"/>
    <w:rsid w:val="003C6BEE"/>
    <w:rsid w:val="003C6FC8"/>
    <w:rsid w:val="003D0F3F"/>
    <w:rsid w:val="003D2567"/>
    <w:rsid w:val="003D31B5"/>
    <w:rsid w:val="003D34D6"/>
    <w:rsid w:val="003D3A66"/>
    <w:rsid w:val="003D485A"/>
    <w:rsid w:val="003D48A2"/>
    <w:rsid w:val="003D56FD"/>
    <w:rsid w:val="003D60C4"/>
    <w:rsid w:val="003D652F"/>
    <w:rsid w:val="003D6900"/>
    <w:rsid w:val="003D79D6"/>
    <w:rsid w:val="003E06F6"/>
    <w:rsid w:val="003E08D8"/>
    <w:rsid w:val="003E09BD"/>
    <w:rsid w:val="003E0AB1"/>
    <w:rsid w:val="003E1423"/>
    <w:rsid w:val="003E17FA"/>
    <w:rsid w:val="003E2969"/>
    <w:rsid w:val="003E2E17"/>
    <w:rsid w:val="003E3123"/>
    <w:rsid w:val="003E3975"/>
    <w:rsid w:val="003E44ED"/>
    <w:rsid w:val="003E523A"/>
    <w:rsid w:val="003E5573"/>
    <w:rsid w:val="003E6986"/>
    <w:rsid w:val="003E6BDF"/>
    <w:rsid w:val="003E7197"/>
    <w:rsid w:val="003E75BD"/>
    <w:rsid w:val="003F01B8"/>
    <w:rsid w:val="003F0645"/>
    <w:rsid w:val="003F08BD"/>
    <w:rsid w:val="003F0CAB"/>
    <w:rsid w:val="003F0E58"/>
    <w:rsid w:val="003F1017"/>
    <w:rsid w:val="003F2583"/>
    <w:rsid w:val="003F2B94"/>
    <w:rsid w:val="003F2EB9"/>
    <w:rsid w:val="003F3B54"/>
    <w:rsid w:val="003F3BEE"/>
    <w:rsid w:val="003F3E23"/>
    <w:rsid w:val="003F4BC3"/>
    <w:rsid w:val="003F523C"/>
    <w:rsid w:val="003F5666"/>
    <w:rsid w:val="003F5A0E"/>
    <w:rsid w:val="003F5DCC"/>
    <w:rsid w:val="003F63E9"/>
    <w:rsid w:val="003F6CC7"/>
    <w:rsid w:val="003F6DFD"/>
    <w:rsid w:val="003F744E"/>
    <w:rsid w:val="003F755E"/>
    <w:rsid w:val="003F7B05"/>
    <w:rsid w:val="00400E48"/>
    <w:rsid w:val="00401872"/>
    <w:rsid w:val="00401AF6"/>
    <w:rsid w:val="004025A6"/>
    <w:rsid w:val="00403ABF"/>
    <w:rsid w:val="00403F5B"/>
    <w:rsid w:val="00404605"/>
    <w:rsid w:val="004046BE"/>
    <w:rsid w:val="0040493B"/>
    <w:rsid w:val="00404DDA"/>
    <w:rsid w:val="00405901"/>
    <w:rsid w:val="00406528"/>
    <w:rsid w:val="004071B3"/>
    <w:rsid w:val="00410177"/>
    <w:rsid w:val="004103E0"/>
    <w:rsid w:val="00410474"/>
    <w:rsid w:val="00410934"/>
    <w:rsid w:val="004114EA"/>
    <w:rsid w:val="00411528"/>
    <w:rsid w:val="00411BD4"/>
    <w:rsid w:val="00412607"/>
    <w:rsid w:val="00412A89"/>
    <w:rsid w:val="00412DA2"/>
    <w:rsid w:val="00412FFA"/>
    <w:rsid w:val="004136CC"/>
    <w:rsid w:val="0041484E"/>
    <w:rsid w:val="00414A20"/>
    <w:rsid w:val="00414C04"/>
    <w:rsid w:val="004155CE"/>
    <w:rsid w:val="0041626E"/>
    <w:rsid w:val="00416665"/>
    <w:rsid w:val="00416C75"/>
    <w:rsid w:val="00416E9D"/>
    <w:rsid w:val="00417226"/>
    <w:rsid w:val="0042008C"/>
    <w:rsid w:val="0042012E"/>
    <w:rsid w:val="00420AAE"/>
    <w:rsid w:val="00420B72"/>
    <w:rsid w:val="00421D20"/>
    <w:rsid w:val="00421EDB"/>
    <w:rsid w:val="00421F7C"/>
    <w:rsid w:val="004221D6"/>
    <w:rsid w:val="00422B12"/>
    <w:rsid w:val="00423199"/>
    <w:rsid w:val="004239F0"/>
    <w:rsid w:val="00423B3C"/>
    <w:rsid w:val="004247C2"/>
    <w:rsid w:val="00424824"/>
    <w:rsid w:val="00424E68"/>
    <w:rsid w:val="00426812"/>
    <w:rsid w:val="00426DC6"/>
    <w:rsid w:val="00426E64"/>
    <w:rsid w:val="004271FC"/>
    <w:rsid w:val="0042761C"/>
    <w:rsid w:val="00427C80"/>
    <w:rsid w:val="004300FB"/>
    <w:rsid w:val="0043177B"/>
    <w:rsid w:val="00432C82"/>
    <w:rsid w:val="00432F88"/>
    <w:rsid w:val="00433060"/>
    <w:rsid w:val="00433A45"/>
    <w:rsid w:val="00433C7E"/>
    <w:rsid w:val="00434613"/>
    <w:rsid w:val="004347FA"/>
    <w:rsid w:val="00434A2F"/>
    <w:rsid w:val="00434A7D"/>
    <w:rsid w:val="004354D8"/>
    <w:rsid w:val="0043634D"/>
    <w:rsid w:val="00436412"/>
    <w:rsid w:val="00436CE0"/>
    <w:rsid w:val="0043778E"/>
    <w:rsid w:val="00437A56"/>
    <w:rsid w:val="00437B3B"/>
    <w:rsid w:val="00437CB3"/>
    <w:rsid w:val="0044036E"/>
    <w:rsid w:val="0044057D"/>
    <w:rsid w:val="00440626"/>
    <w:rsid w:val="00440F76"/>
    <w:rsid w:val="00441BFD"/>
    <w:rsid w:val="004425E5"/>
    <w:rsid w:val="00442C7B"/>
    <w:rsid w:val="00442F36"/>
    <w:rsid w:val="0044305E"/>
    <w:rsid w:val="00443886"/>
    <w:rsid w:val="00443DDB"/>
    <w:rsid w:val="00443E71"/>
    <w:rsid w:val="00444750"/>
    <w:rsid w:val="00445337"/>
    <w:rsid w:val="00445AB4"/>
    <w:rsid w:val="00446446"/>
    <w:rsid w:val="004465E3"/>
    <w:rsid w:val="00447039"/>
    <w:rsid w:val="004471E8"/>
    <w:rsid w:val="0044724F"/>
    <w:rsid w:val="0044748F"/>
    <w:rsid w:val="00450A66"/>
    <w:rsid w:val="00450D96"/>
    <w:rsid w:val="00450E6C"/>
    <w:rsid w:val="00450F5C"/>
    <w:rsid w:val="00451636"/>
    <w:rsid w:val="00451D71"/>
    <w:rsid w:val="0045220B"/>
    <w:rsid w:val="004527B5"/>
    <w:rsid w:val="00453C37"/>
    <w:rsid w:val="00453C76"/>
    <w:rsid w:val="00453D7E"/>
    <w:rsid w:val="00453E8D"/>
    <w:rsid w:val="004546CE"/>
    <w:rsid w:val="004559CD"/>
    <w:rsid w:val="0045684B"/>
    <w:rsid w:val="00456AD6"/>
    <w:rsid w:val="00456C9F"/>
    <w:rsid w:val="0045700D"/>
    <w:rsid w:val="004603C8"/>
    <w:rsid w:val="00460B6F"/>
    <w:rsid w:val="0046112E"/>
    <w:rsid w:val="00461726"/>
    <w:rsid w:val="0046212A"/>
    <w:rsid w:val="00462900"/>
    <w:rsid w:val="0046292D"/>
    <w:rsid w:val="00462F9F"/>
    <w:rsid w:val="00463825"/>
    <w:rsid w:val="00463CE4"/>
    <w:rsid w:val="0046423B"/>
    <w:rsid w:val="004649D9"/>
    <w:rsid w:val="00464C02"/>
    <w:rsid w:val="00465192"/>
    <w:rsid w:val="00465677"/>
    <w:rsid w:val="004659F6"/>
    <w:rsid w:val="00466EB0"/>
    <w:rsid w:val="004673B1"/>
    <w:rsid w:val="00467FD2"/>
    <w:rsid w:val="00470315"/>
    <w:rsid w:val="00470744"/>
    <w:rsid w:val="00470E04"/>
    <w:rsid w:val="004716FB"/>
    <w:rsid w:val="00471E03"/>
    <w:rsid w:val="0047206F"/>
    <w:rsid w:val="00472C07"/>
    <w:rsid w:val="00473CBE"/>
    <w:rsid w:val="00473CF8"/>
    <w:rsid w:val="00473E00"/>
    <w:rsid w:val="004745D2"/>
    <w:rsid w:val="00474B7C"/>
    <w:rsid w:val="00474DE8"/>
    <w:rsid w:val="00475038"/>
    <w:rsid w:val="004754CA"/>
    <w:rsid w:val="00475923"/>
    <w:rsid w:val="004761A1"/>
    <w:rsid w:val="0047687C"/>
    <w:rsid w:val="00476A23"/>
    <w:rsid w:val="00477775"/>
    <w:rsid w:val="00477B0E"/>
    <w:rsid w:val="00480056"/>
    <w:rsid w:val="004802F9"/>
    <w:rsid w:val="00480662"/>
    <w:rsid w:val="00480E5D"/>
    <w:rsid w:val="0048201A"/>
    <w:rsid w:val="004827F2"/>
    <w:rsid w:val="00482E28"/>
    <w:rsid w:val="00484698"/>
    <w:rsid w:val="0048514C"/>
    <w:rsid w:val="004853B4"/>
    <w:rsid w:val="004859E2"/>
    <w:rsid w:val="00485FC0"/>
    <w:rsid w:val="0048618E"/>
    <w:rsid w:val="00487142"/>
    <w:rsid w:val="00490050"/>
    <w:rsid w:val="004904B2"/>
    <w:rsid w:val="00491240"/>
    <w:rsid w:val="00491C98"/>
    <w:rsid w:val="00491CDF"/>
    <w:rsid w:val="004925F1"/>
    <w:rsid w:val="004934CE"/>
    <w:rsid w:val="00493BED"/>
    <w:rsid w:val="004940DA"/>
    <w:rsid w:val="00494AD4"/>
    <w:rsid w:val="00494C10"/>
    <w:rsid w:val="004952D5"/>
    <w:rsid w:val="004961D3"/>
    <w:rsid w:val="0049621B"/>
    <w:rsid w:val="00496B7B"/>
    <w:rsid w:val="004972B3"/>
    <w:rsid w:val="004974C5"/>
    <w:rsid w:val="00497658"/>
    <w:rsid w:val="0049798E"/>
    <w:rsid w:val="004A02E9"/>
    <w:rsid w:val="004A03CC"/>
    <w:rsid w:val="004A0BCD"/>
    <w:rsid w:val="004A14FA"/>
    <w:rsid w:val="004A165E"/>
    <w:rsid w:val="004A19E0"/>
    <w:rsid w:val="004A1C71"/>
    <w:rsid w:val="004A202A"/>
    <w:rsid w:val="004A20DA"/>
    <w:rsid w:val="004A2592"/>
    <w:rsid w:val="004A311E"/>
    <w:rsid w:val="004A4085"/>
    <w:rsid w:val="004A45A4"/>
    <w:rsid w:val="004A4E39"/>
    <w:rsid w:val="004A5092"/>
    <w:rsid w:val="004A5340"/>
    <w:rsid w:val="004A6145"/>
    <w:rsid w:val="004A6833"/>
    <w:rsid w:val="004B0087"/>
    <w:rsid w:val="004B089F"/>
    <w:rsid w:val="004B095E"/>
    <w:rsid w:val="004B1082"/>
    <w:rsid w:val="004B20A6"/>
    <w:rsid w:val="004B2939"/>
    <w:rsid w:val="004B2BE5"/>
    <w:rsid w:val="004B3968"/>
    <w:rsid w:val="004B3A38"/>
    <w:rsid w:val="004B3CA7"/>
    <w:rsid w:val="004B482A"/>
    <w:rsid w:val="004B554E"/>
    <w:rsid w:val="004B5A03"/>
    <w:rsid w:val="004B6953"/>
    <w:rsid w:val="004B6C92"/>
    <w:rsid w:val="004B7730"/>
    <w:rsid w:val="004B7914"/>
    <w:rsid w:val="004C09ED"/>
    <w:rsid w:val="004C0C72"/>
    <w:rsid w:val="004C1618"/>
    <w:rsid w:val="004C198B"/>
    <w:rsid w:val="004C2B1E"/>
    <w:rsid w:val="004C2B54"/>
    <w:rsid w:val="004C2B82"/>
    <w:rsid w:val="004C35BF"/>
    <w:rsid w:val="004C3E42"/>
    <w:rsid w:val="004C5446"/>
    <w:rsid w:val="004C7066"/>
    <w:rsid w:val="004D0A91"/>
    <w:rsid w:val="004D187D"/>
    <w:rsid w:val="004D1A82"/>
    <w:rsid w:val="004D1EE8"/>
    <w:rsid w:val="004D215F"/>
    <w:rsid w:val="004D25F1"/>
    <w:rsid w:val="004D3569"/>
    <w:rsid w:val="004D38FE"/>
    <w:rsid w:val="004D49A4"/>
    <w:rsid w:val="004D5856"/>
    <w:rsid w:val="004D5D59"/>
    <w:rsid w:val="004D62BE"/>
    <w:rsid w:val="004D7A19"/>
    <w:rsid w:val="004D7BEB"/>
    <w:rsid w:val="004D7E53"/>
    <w:rsid w:val="004D7EA0"/>
    <w:rsid w:val="004E03A1"/>
    <w:rsid w:val="004E0563"/>
    <w:rsid w:val="004E0DA2"/>
    <w:rsid w:val="004E101C"/>
    <w:rsid w:val="004E13FC"/>
    <w:rsid w:val="004E195F"/>
    <w:rsid w:val="004E38DE"/>
    <w:rsid w:val="004E3EC0"/>
    <w:rsid w:val="004E40F2"/>
    <w:rsid w:val="004E4805"/>
    <w:rsid w:val="004E489A"/>
    <w:rsid w:val="004E5051"/>
    <w:rsid w:val="004E51CA"/>
    <w:rsid w:val="004E5288"/>
    <w:rsid w:val="004E6B02"/>
    <w:rsid w:val="004E6F8F"/>
    <w:rsid w:val="004E714B"/>
    <w:rsid w:val="004F158B"/>
    <w:rsid w:val="004F17A9"/>
    <w:rsid w:val="004F1BAE"/>
    <w:rsid w:val="004F207D"/>
    <w:rsid w:val="004F2CF7"/>
    <w:rsid w:val="004F311D"/>
    <w:rsid w:val="004F3D66"/>
    <w:rsid w:val="004F3E07"/>
    <w:rsid w:val="004F450D"/>
    <w:rsid w:val="004F4CDF"/>
    <w:rsid w:val="004F4E51"/>
    <w:rsid w:val="004F526F"/>
    <w:rsid w:val="004F5364"/>
    <w:rsid w:val="004F649C"/>
    <w:rsid w:val="004F6A0C"/>
    <w:rsid w:val="004F6C0A"/>
    <w:rsid w:val="004F77DD"/>
    <w:rsid w:val="004F7802"/>
    <w:rsid w:val="00500741"/>
    <w:rsid w:val="0050089B"/>
    <w:rsid w:val="005012E7"/>
    <w:rsid w:val="00501437"/>
    <w:rsid w:val="00501477"/>
    <w:rsid w:val="00501677"/>
    <w:rsid w:val="00502394"/>
    <w:rsid w:val="005032A3"/>
    <w:rsid w:val="00503C24"/>
    <w:rsid w:val="00503D71"/>
    <w:rsid w:val="00503E45"/>
    <w:rsid w:val="00504AFC"/>
    <w:rsid w:val="00504D77"/>
    <w:rsid w:val="005067A9"/>
    <w:rsid w:val="00507406"/>
    <w:rsid w:val="0051030C"/>
    <w:rsid w:val="00510CBE"/>
    <w:rsid w:val="00511E8E"/>
    <w:rsid w:val="00511FF4"/>
    <w:rsid w:val="00512699"/>
    <w:rsid w:val="00512FD3"/>
    <w:rsid w:val="00512FDB"/>
    <w:rsid w:val="00513579"/>
    <w:rsid w:val="005140E5"/>
    <w:rsid w:val="00514150"/>
    <w:rsid w:val="00514FB9"/>
    <w:rsid w:val="005176EC"/>
    <w:rsid w:val="00517B1B"/>
    <w:rsid w:val="00520306"/>
    <w:rsid w:val="00521313"/>
    <w:rsid w:val="005218D0"/>
    <w:rsid w:val="005219E8"/>
    <w:rsid w:val="0052223F"/>
    <w:rsid w:val="005226D1"/>
    <w:rsid w:val="00525267"/>
    <w:rsid w:val="005252E6"/>
    <w:rsid w:val="00525449"/>
    <w:rsid w:val="00525489"/>
    <w:rsid w:val="005256BC"/>
    <w:rsid w:val="00525B33"/>
    <w:rsid w:val="005268A0"/>
    <w:rsid w:val="005269C1"/>
    <w:rsid w:val="00526F1E"/>
    <w:rsid w:val="0052722D"/>
    <w:rsid w:val="005300C5"/>
    <w:rsid w:val="00530496"/>
    <w:rsid w:val="00530C4E"/>
    <w:rsid w:val="00530C93"/>
    <w:rsid w:val="00530E30"/>
    <w:rsid w:val="00531657"/>
    <w:rsid w:val="00531923"/>
    <w:rsid w:val="00532305"/>
    <w:rsid w:val="005328D7"/>
    <w:rsid w:val="00533410"/>
    <w:rsid w:val="00533680"/>
    <w:rsid w:val="00534B26"/>
    <w:rsid w:val="00534B96"/>
    <w:rsid w:val="005359ED"/>
    <w:rsid w:val="00535C1B"/>
    <w:rsid w:val="00535E57"/>
    <w:rsid w:val="00535ED8"/>
    <w:rsid w:val="00536150"/>
    <w:rsid w:val="00536B7D"/>
    <w:rsid w:val="00537001"/>
    <w:rsid w:val="005406C0"/>
    <w:rsid w:val="005409F9"/>
    <w:rsid w:val="00542100"/>
    <w:rsid w:val="005424A4"/>
    <w:rsid w:val="005424D3"/>
    <w:rsid w:val="005425A9"/>
    <w:rsid w:val="00542E0F"/>
    <w:rsid w:val="0054373A"/>
    <w:rsid w:val="00543744"/>
    <w:rsid w:val="00543D4B"/>
    <w:rsid w:val="00543DD4"/>
    <w:rsid w:val="00544107"/>
    <w:rsid w:val="0054416B"/>
    <w:rsid w:val="00545C9A"/>
    <w:rsid w:val="00546839"/>
    <w:rsid w:val="00547CDE"/>
    <w:rsid w:val="00550D3B"/>
    <w:rsid w:val="0055166A"/>
    <w:rsid w:val="00551801"/>
    <w:rsid w:val="00552819"/>
    <w:rsid w:val="005529EC"/>
    <w:rsid w:val="00552CB8"/>
    <w:rsid w:val="00553090"/>
    <w:rsid w:val="00553B88"/>
    <w:rsid w:val="00553DD7"/>
    <w:rsid w:val="00554AB0"/>
    <w:rsid w:val="005552F1"/>
    <w:rsid w:val="0055537F"/>
    <w:rsid w:val="005557D3"/>
    <w:rsid w:val="0055699D"/>
    <w:rsid w:val="00557C41"/>
    <w:rsid w:val="00560AA0"/>
    <w:rsid w:val="00560E63"/>
    <w:rsid w:val="00561110"/>
    <w:rsid w:val="00561370"/>
    <w:rsid w:val="00562EBA"/>
    <w:rsid w:val="00563F8E"/>
    <w:rsid w:val="00564811"/>
    <w:rsid w:val="00564B60"/>
    <w:rsid w:val="00564BD1"/>
    <w:rsid w:val="00564CDB"/>
    <w:rsid w:val="00564E6A"/>
    <w:rsid w:val="00564F65"/>
    <w:rsid w:val="00565240"/>
    <w:rsid w:val="00566E77"/>
    <w:rsid w:val="00566EAB"/>
    <w:rsid w:val="005670E3"/>
    <w:rsid w:val="00567505"/>
    <w:rsid w:val="00567D7C"/>
    <w:rsid w:val="005703DF"/>
    <w:rsid w:val="00571A8E"/>
    <w:rsid w:val="00571F2E"/>
    <w:rsid w:val="00572F7B"/>
    <w:rsid w:val="00574BFC"/>
    <w:rsid w:val="005751B9"/>
    <w:rsid w:val="00575B63"/>
    <w:rsid w:val="00575C09"/>
    <w:rsid w:val="00575F1F"/>
    <w:rsid w:val="00575F6E"/>
    <w:rsid w:val="00576B28"/>
    <w:rsid w:val="005778A1"/>
    <w:rsid w:val="005779A7"/>
    <w:rsid w:val="00577A16"/>
    <w:rsid w:val="00580CF0"/>
    <w:rsid w:val="005814F7"/>
    <w:rsid w:val="00582361"/>
    <w:rsid w:val="005824A4"/>
    <w:rsid w:val="00582AD7"/>
    <w:rsid w:val="0058340D"/>
    <w:rsid w:val="00584943"/>
    <w:rsid w:val="00584F6F"/>
    <w:rsid w:val="005853C3"/>
    <w:rsid w:val="00586864"/>
    <w:rsid w:val="00586EDE"/>
    <w:rsid w:val="00586FBC"/>
    <w:rsid w:val="005870C0"/>
    <w:rsid w:val="0059005C"/>
    <w:rsid w:val="00590DC6"/>
    <w:rsid w:val="005913AF"/>
    <w:rsid w:val="00591A71"/>
    <w:rsid w:val="00592446"/>
    <w:rsid w:val="005934E7"/>
    <w:rsid w:val="005939CC"/>
    <w:rsid w:val="005947A9"/>
    <w:rsid w:val="005948AB"/>
    <w:rsid w:val="00594EF2"/>
    <w:rsid w:val="00594F6F"/>
    <w:rsid w:val="00595954"/>
    <w:rsid w:val="00595E6F"/>
    <w:rsid w:val="00595F69"/>
    <w:rsid w:val="00596093"/>
    <w:rsid w:val="005967D0"/>
    <w:rsid w:val="00597B1F"/>
    <w:rsid w:val="005A0204"/>
    <w:rsid w:val="005A0377"/>
    <w:rsid w:val="005A0DFB"/>
    <w:rsid w:val="005A1777"/>
    <w:rsid w:val="005A32F2"/>
    <w:rsid w:val="005A335F"/>
    <w:rsid w:val="005A364B"/>
    <w:rsid w:val="005A36CE"/>
    <w:rsid w:val="005A39DD"/>
    <w:rsid w:val="005A3F55"/>
    <w:rsid w:val="005A4264"/>
    <w:rsid w:val="005A4735"/>
    <w:rsid w:val="005A4808"/>
    <w:rsid w:val="005A53AF"/>
    <w:rsid w:val="005A581C"/>
    <w:rsid w:val="005A5FDD"/>
    <w:rsid w:val="005A730D"/>
    <w:rsid w:val="005A744C"/>
    <w:rsid w:val="005A7930"/>
    <w:rsid w:val="005A7B6D"/>
    <w:rsid w:val="005B0637"/>
    <w:rsid w:val="005B0E1D"/>
    <w:rsid w:val="005B2B7D"/>
    <w:rsid w:val="005B40CD"/>
    <w:rsid w:val="005B47A3"/>
    <w:rsid w:val="005B4C23"/>
    <w:rsid w:val="005B4E5E"/>
    <w:rsid w:val="005B5507"/>
    <w:rsid w:val="005B5825"/>
    <w:rsid w:val="005B5B09"/>
    <w:rsid w:val="005B64ED"/>
    <w:rsid w:val="005B7144"/>
    <w:rsid w:val="005C0AD7"/>
    <w:rsid w:val="005C0D36"/>
    <w:rsid w:val="005C13FF"/>
    <w:rsid w:val="005C29BC"/>
    <w:rsid w:val="005C3042"/>
    <w:rsid w:val="005C348F"/>
    <w:rsid w:val="005C3F76"/>
    <w:rsid w:val="005C42CE"/>
    <w:rsid w:val="005C475B"/>
    <w:rsid w:val="005C48E8"/>
    <w:rsid w:val="005C5404"/>
    <w:rsid w:val="005C61DF"/>
    <w:rsid w:val="005C6327"/>
    <w:rsid w:val="005C748C"/>
    <w:rsid w:val="005C7588"/>
    <w:rsid w:val="005C7B80"/>
    <w:rsid w:val="005D085D"/>
    <w:rsid w:val="005D1BFF"/>
    <w:rsid w:val="005D22F2"/>
    <w:rsid w:val="005D2388"/>
    <w:rsid w:val="005D34C6"/>
    <w:rsid w:val="005D388A"/>
    <w:rsid w:val="005D4142"/>
    <w:rsid w:val="005D5C20"/>
    <w:rsid w:val="005D660F"/>
    <w:rsid w:val="005D68DD"/>
    <w:rsid w:val="005D6D6D"/>
    <w:rsid w:val="005D6F16"/>
    <w:rsid w:val="005D73B4"/>
    <w:rsid w:val="005D7988"/>
    <w:rsid w:val="005E0005"/>
    <w:rsid w:val="005E0B3E"/>
    <w:rsid w:val="005E1446"/>
    <w:rsid w:val="005E14AE"/>
    <w:rsid w:val="005E2B53"/>
    <w:rsid w:val="005E3DF6"/>
    <w:rsid w:val="005E41EA"/>
    <w:rsid w:val="005E41F0"/>
    <w:rsid w:val="005E425B"/>
    <w:rsid w:val="005E58E2"/>
    <w:rsid w:val="005E5A71"/>
    <w:rsid w:val="005E62B6"/>
    <w:rsid w:val="005E764C"/>
    <w:rsid w:val="005E76C1"/>
    <w:rsid w:val="005E7C93"/>
    <w:rsid w:val="005F1159"/>
    <w:rsid w:val="005F196F"/>
    <w:rsid w:val="005F2B9C"/>
    <w:rsid w:val="005F30D5"/>
    <w:rsid w:val="005F324D"/>
    <w:rsid w:val="005F3366"/>
    <w:rsid w:val="005F41E2"/>
    <w:rsid w:val="005F42B3"/>
    <w:rsid w:val="005F4B59"/>
    <w:rsid w:val="005F4D7F"/>
    <w:rsid w:val="005F4EFC"/>
    <w:rsid w:val="005F4F22"/>
    <w:rsid w:val="005F5301"/>
    <w:rsid w:val="005F537C"/>
    <w:rsid w:val="005F6EF3"/>
    <w:rsid w:val="005F7FF4"/>
    <w:rsid w:val="00600EF4"/>
    <w:rsid w:val="00601934"/>
    <w:rsid w:val="00601960"/>
    <w:rsid w:val="00601A43"/>
    <w:rsid w:val="00602057"/>
    <w:rsid w:val="006023CE"/>
    <w:rsid w:val="00602751"/>
    <w:rsid w:val="006031E5"/>
    <w:rsid w:val="006033E4"/>
    <w:rsid w:val="006034F4"/>
    <w:rsid w:val="0060353A"/>
    <w:rsid w:val="00603C00"/>
    <w:rsid w:val="00603CE5"/>
    <w:rsid w:val="006042EE"/>
    <w:rsid w:val="00604899"/>
    <w:rsid w:val="00605603"/>
    <w:rsid w:val="00607C00"/>
    <w:rsid w:val="006103CC"/>
    <w:rsid w:val="00610557"/>
    <w:rsid w:val="006108AF"/>
    <w:rsid w:val="00610985"/>
    <w:rsid w:val="0061137C"/>
    <w:rsid w:val="00611D40"/>
    <w:rsid w:val="006127FA"/>
    <w:rsid w:val="006129FC"/>
    <w:rsid w:val="00612B8C"/>
    <w:rsid w:val="00613E53"/>
    <w:rsid w:val="00613EC6"/>
    <w:rsid w:val="00614519"/>
    <w:rsid w:val="00614651"/>
    <w:rsid w:val="00615483"/>
    <w:rsid w:val="00615930"/>
    <w:rsid w:val="00615E9E"/>
    <w:rsid w:val="00616033"/>
    <w:rsid w:val="0061614D"/>
    <w:rsid w:val="00616498"/>
    <w:rsid w:val="00616C71"/>
    <w:rsid w:val="00616E66"/>
    <w:rsid w:val="006205B2"/>
    <w:rsid w:val="00620E29"/>
    <w:rsid w:val="00620E6B"/>
    <w:rsid w:val="00620F3C"/>
    <w:rsid w:val="00621AE2"/>
    <w:rsid w:val="00621B3E"/>
    <w:rsid w:val="006220A9"/>
    <w:rsid w:val="00622821"/>
    <w:rsid w:val="006234D8"/>
    <w:rsid w:val="006239CF"/>
    <w:rsid w:val="00625DC2"/>
    <w:rsid w:val="00625F7A"/>
    <w:rsid w:val="00626BB4"/>
    <w:rsid w:val="006270B5"/>
    <w:rsid w:val="00627FF1"/>
    <w:rsid w:val="0063058C"/>
    <w:rsid w:val="0063093E"/>
    <w:rsid w:val="00630CB3"/>
    <w:rsid w:val="00630E9B"/>
    <w:rsid w:val="00631086"/>
    <w:rsid w:val="006312DB"/>
    <w:rsid w:val="00632D34"/>
    <w:rsid w:val="00633A62"/>
    <w:rsid w:val="00634254"/>
    <w:rsid w:val="00634303"/>
    <w:rsid w:val="00634BC3"/>
    <w:rsid w:val="00634ED3"/>
    <w:rsid w:val="006360CC"/>
    <w:rsid w:val="00636384"/>
    <w:rsid w:val="006368E6"/>
    <w:rsid w:val="00637236"/>
    <w:rsid w:val="00640DED"/>
    <w:rsid w:val="006415EE"/>
    <w:rsid w:val="00641A08"/>
    <w:rsid w:val="006420EE"/>
    <w:rsid w:val="0064347B"/>
    <w:rsid w:val="00644115"/>
    <w:rsid w:val="00645350"/>
    <w:rsid w:val="006453A0"/>
    <w:rsid w:val="00645C31"/>
    <w:rsid w:val="006468A1"/>
    <w:rsid w:val="00646BE5"/>
    <w:rsid w:val="00647462"/>
    <w:rsid w:val="00647AE4"/>
    <w:rsid w:val="00647BF6"/>
    <w:rsid w:val="00650F8E"/>
    <w:rsid w:val="006512F9"/>
    <w:rsid w:val="00651828"/>
    <w:rsid w:val="006520BD"/>
    <w:rsid w:val="00652650"/>
    <w:rsid w:val="0065354B"/>
    <w:rsid w:val="00654128"/>
    <w:rsid w:val="0065533D"/>
    <w:rsid w:val="00655779"/>
    <w:rsid w:val="006560E7"/>
    <w:rsid w:val="00656EFD"/>
    <w:rsid w:val="006575AA"/>
    <w:rsid w:val="00660AA2"/>
    <w:rsid w:val="00660AA9"/>
    <w:rsid w:val="00661581"/>
    <w:rsid w:val="00662BAC"/>
    <w:rsid w:val="00662DEB"/>
    <w:rsid w:val="006631D1"/>
    <w:rsid w:val="006637B5"/>
    <w:rsid w:val="00663BC8"/>
    <w:rsid w:val="00663FE3"/>
    <w:rsid w:val="00664041"/>
    <w:rsid w:val="00665F93"/>
    <w:rsid w:val="006668DE"/>
    <w:rsid w:val="0066693E"/>
    <w:rsid w:val="00667393"/>
    <w:rsid w:val="00667440"/>
    <w:rsid w:val="00670A85"/>
    <w:rsid w:val="00670B86"/>
    <w:rsid w:val="00670EBE"/>
    <w:rsid w:val="006717CE"/>
    <w:rsid w:val="00671B26"/>
    <w:rsid w:val="00671D1B"/>
    <w:rsid w:val="00671E44"/>
    <w:rsid w:val="006722D0"/>
    <w:rsid w:val="0067232D"/>
    <w:rsid w:val="00672CF2"/>
    <w:rsid w:val="006731BC"/>
    <w:rsid w:val="00673B0F"/>
    <w:rsid w:val="006744D2"/>
    <w:rsid w:val="006770D4"/>
    <w:rsid w:val="006775D6"/>
    <w:rsid w:val="00677BC5"/>
    <w:rsid w:val="006807C4"/>
    <w:rsid w:val="0068115C"/>
    <w:rsid w:val="00681C96"/>
    <w:rsid w:val="00681F48"/>
    <w:rsid w:val="00684247"/>
    <w:rsid w:val="006846A1"/>
    <w:rsid w:val="00684772"/>
    <w:rsid w:val="00684B61"/>
    <w:rsid w:val="00684DC5"/>
    <w:rsid w:val="00685091"/>
    <w:rsid w:val="00685ED7"/>
    <w:rsid w:val="00686AA3"/>
    <w:rsid w:val="00686AE0"/>
    <w:rsid w:val="006870B5"/>
    <w:rsid w:val="00687832"/>
    <w:rsid w:val="00690135"/>
    <w:rsid w:val="006902E8"/>
    <w:rsid w:val="00690380"/>
    <w:rsid w:val="00690E01"/>
    <w:rsid w:val="006918B4"/>
    <w:rsid w:val="00691CBC"/>
    <w:rsid w:val="00692955"/>
    <w:rsid w:val="00692CF1"/>
    <w:rsid w:val="00693537"/>
    <w:rsid w:val="0069371C"/>
    <w:rsid w:val="006946CE"/>
    <w:rsid w:val="0069513A"/>
    <w:rsid w:val="00695B69"/>
    <w:rsid w:val="006971B8"/>
    <w:rsid w:val="006973FE"/>
    <w:rsid w:val="00697B4D"/>
    <w:rsid w:val="00697D9B"/>
    <w:rsid w:val="00697EE8"/>
    <w:rsid w:val="006A0B5E"/>
    <w:rsid w:val="006A13F7"/>
    <w:rsid w:val="006A1847"/>
    <w:rsid w:val="006A2158"/>
    <w:rsid w:val="006A2D04"/>
    <w:rsid w:val="006A2E65"/>
    <w:rsid w:val="006A3043"/>
    <w:rsid w:val="006A30BC"/>
    <w:rsid w:val="006A4C7D"/>
    <w:rsid w:val="006A4FFE"/>
    <w:rsid w:val="006A54F0"/>
    <w:rsid w:val="006A565A"/>
    <w:rsid w:val="006A5E76"/>
    <w:rsid w:val="006A6790"/>
    <w:rsid w:val="006A68F8"/>
    <w:rsid w:val="006A718B"/>
    <w:rsid w:val="006B0B4C"/>
    <w:rsid w:val="006B0DB2"/>
    <w:rsid w:val="006B1254"/>
    <w:rsid w:val="006B1B69"/>
    <w:rsid w:val="006B1BF3"/>
    <w:rsid w:val="006B201F"/>
    <w:rsid w:val="006B2EC7"/>
    <w:rsid w:val="006B3ED5"/>
    <w:rsid w:val="006B413F"/>
    <w:rsid w:val="006B4A85"/>
    <w:rsid w:val="006B5B67"/>
    <w:rsid w:val="006B5DB2"/>
    <w:rsid w:val="006B73E6"/>
    <w:rsid w:val="006B7717"/>
    <w:rsid w:val="006B7D67"/>
    <w:rsid w:val="006B7E4D"/>
    <w:rsid w:val="006C066F"/>
    <w:rsid w:val="006C0A0F"/>
    <w:rsid w:val="006C10C2"/>
    <w:rsid w:val="006C118C"/>
    <w:rsid w:val="006C1859"/>
    <w:rsid w:val="006C1CA1"/>
    <w:rsid w:val="006C1DF1"/>
    <w:rsid w:val="006C1EE7"/>
    <w:rsid w:val="006C2859"/>
    <w:rsid w:val="006C3B94"/>
    <w:rsid w:val="006C5984"/>
    <w:rsid w:val="006C5A70"/>
    <w:rsid w:val="006C6102"/>
    <w:rsid w:val="006C6CF9"/>
    <w:rsid w:val="006C6FBF"/>
    <w:rsid w:val="006C74DE"/>
    <w:rsid w:val="006D002F"/>
    <w:rsid w:val="006D0E4E"/>
    <w:rsid w:val="006D1553"/>
    <w:rsid w:val="006D1A60"/>
    <w:rsid w:val="006D2663"/>
    <w:rsid w:val="006D268F"/>
    <w:rsid w:val="006D27EF"/>
    <w:rsid w:val="006D29D2"/>
    <w:rsid w:val="006D2DED"/>
    <w:rsid w:val="006D2DEE"/>
    <w:rsid w:val="006D4410"/>
    <w:rsid w:val="006D4594"/>
    <w:rsid w:val="006D47DB"/>
    <w:rsid w:val="006D50CF"/>
    <w:rsid w:val="006D53D9"/>
    <w:rsid w:val="006D57FE"/>
    <w:rsid w:val="006D650B"/>
    <w:rsid w:val="006D7D5D"/>
    <w:rsid w:val="006E0026"/>
    <w:rsid w:val="006E08A8"/>
    <w:rsid w:val="006E0DF4"/>
    <w:rsid w:val="006E0E3D"/>
    <w:rsid w:val="006E208F"/>
    <w:rsid w:val="006E2211"/>
    <w:rsid w:val="006E2DB2"/>
    <w:rsid w:val="006E3888"/>
    <w:rsid w:val="006E6F5F"/>
    <w:rsid w:val="006E7DA0"/>
    <w:rsid w:val="006F41C5"/>
    <w:rsid w:val="006F5445"/>
    <w:rsid w:val="006F5470"/>
    <w:rsid w:val="006F590E"/>
    <w:rsid w:val="006F5C87"/>
    <w:rsid w:val="006F6AD2"/>
    <w:rsid w:val="006F7104"/>
    <w:rsid w:val="006F7442"/>
    <w:rsid w:val="006F7C20"/>
    <w:rsid w:val="006F7ECD"/>
    <w:rsid w:val="0070083A"/>
    <w:rsid w:val="00701628"/>
    <w:rsid w:val="00702A7A"/>
    <w:rsid w:val="00702EF6"/>
    <w:rsid w:val="00703ACC"/>
    <w:rsid w:val="00703F8B"/>
    <w:rsid w:val="007045F2"/>
    <w:rsid w:val="00704CCB"/>
    <w:rsid w:val="00704E6A"/>
    <w:rsid w:val="00705FA4"/>
    <w:rsid w:val="00706756"/>
    <w:rsid w:val="00706DE7"/>
    <w:rsid w:val="007070C5"/>
    <w:rsid w:val="00707723"/>
    <w:rsid w:val="00707746"/>
    <w:rsid w:val="00707D60"/>
    <w:rsid w:val="00710168"/>
    <w:rsid w:val="007103A7"/>
    <w:rsid w:val="00710603"/>
    <w:rsid w:val="00710769"/>
    <w:rsid w:val="00710AF2"/>
    <w:rsid w:val="007112E0"/>
    <w:rsid w:val="00711438"/>
    <w:rsid w:val="00711A48"/>
    <w:rsid w:val="00711C1B"/>
    <w:rsid w:val="00712793"/>
    <w:rsid w:val="00712C9A"/>
    <w:rsid w:val="00712F6C"/>
    <w:rsid w:val="00713024"/>
    <w:rsid w:val="00713788"/>
    <w:rsid w:val="00714783"/>
    <w:rsid w:val="007148AC"/>
    <w:rsid w:val="0071498F"/>
    <w:rsid w:val="00715640"/>
    <w:rsid w:val="00715EED"/>
    <w:rsid w:val="00716966"/>
    <w:rsid w:val="00716CF8"/>
    <w:rsid w:val="00717177"/>
    <w:rsid w:val="00717594"/>
    <w:rsid w:val="00717636"/>
    <w:rsid w:val="00720435"/>
    <w:rsid w:val="00720A1D"/>
    <w:rsid w:val="00720A51"/>
    <w:rsid w:val="00720ED2"/>
    <w:rsid w:val="00722668"/>
    <w:rsid w:val="007236C2"/>
    <w:rsid w:val="00723AC6"/>
    <w:rsid w:val="00723EB1"/>
    <w:rsid w:val="00724022"/>
    <w:rsid w:val="00724195"/>
    <w:rsid w:val="00725673"/>
    <w:rsid w:val="00725A24"/>
    <w:rsid w:val="00725D27"/>
    <w:rsid w:val="00725E2D"/>
    <w:rsid w:val="00726622"/>
    <w:rsid w:val="00727359"/>
    <w:rsid w:val="0072774A"/>
    <w:rsid w:val="00727788"/>
    <w:rsid w:val="007301D2"/>
    <w:rsid w:val="00730308"/>
    <w:rsid w:val="00731405"/>
    <w:rsid w:val="00731E3A"/>
    <w:rsid w:val="00732746"/>
    <w:rsid w:val="0073286D"/>
    <w:rsid w:val="00733149"/>
    <w:rsid w:val="00733FE0"/>
    <w:rsid w:val="00734330"/>
    <w:rsid w:val="007345EF"/>
    <w:rsid w:val="00734ADD"/>
    <w:rsid w:val="00734E25"/>
    <w:rsid w:val="00735486"/>
    <w:rsid w:val="00735B62"/>
    <w:rsid w:val="00735D9F"/>
    <w:rsid w:val="00735E83"/>
    <w:rsid w:val="00735E88"/>
    <w:rsid w:val="00735FE3"/>
    <w:rsid w:val="00736471"/>
    <w:rsid w:val="00736BBF"/>
    <w:rsid w:val="00737B4A"/>
    <w:rsid w:val="00737F38"/>
    <w:rsid w:val="0074158A"/>
    <w:rsid w:val="00742073"/>
    <w:rsid w:val="007428B9"/>
    <w:rsid w:val="00742FB6"/>
    <w:rsid w:val="00743073"/>
    <w:rsid w:val="0074316A"/>
    <w:rsid w:val="00743367"/>
    <w:rsid w:val="00743CDF"/>
    <w:rsid w:val="00743D58"/>
    <w:rsid w:val="00744323"/>
    <w:rsid w:val="007446A0"/>
    <w:rsid w:val="00744B2C"/>
    <w:rsid w:val="00744D1D"/>
    <w:rsid w:val="0074522A"/>
    <w:rsid w:val="00745BEF"/>
    <w:rsid w:val="00745C75"/>
    <w:rsid w:val="00745F17"/>
    <w:rsid w:val="007465EB"/>
    <w:rsid w:val="007468AB"/>
    <w:rsid w:val="00746ED4"/>
    <w:rsid w:val="00747098"/>
    <w:rsid w:val="00747D45"/>
    <w:rsid w:val="00750726"/>
    <w:rsid w:val="00750749"/>
    <w:rsid w:val="007507B4"/>
    <w:rsid w:val="007508EB"/>
    <w:rsid w:val="0075119E"/>
    <w:rsid w:val="007521B3"/>
    <w:rsid w:val="00752C53"/>
    <w:rsid w:val="007531B3"/>
    <w:rsid w:val="007532A4"/>
    <w:rsid w:val="00754AB9"/>
    <w:rsid w:val="0075546E"/>
    <w:rsid w:val="0075555F"/>
    <w:rsid w:val="00755D41"/>
    <w:rsid w:val="00756612"/>
    <w:rsid w:val="007572E0"/>
    <w:rsid w:val="00760D93"/>
    <w:rsid w:val="00762264"/>
    <w:rsid w:val="00762678"/>
    <w:rsid w:val="00762AF2"/>
    <w:rsid w:val="00762B7E"/>
    <w:rsid w:val="00763A9B"/>
    <w:rsid w:val="00764042"/>
    <w:rsid w:val="00764604"/>
    <w:rsid w:val="00764BE4"/>
    <w:rsid w:val="00764DC7"/>
    <w:rsid w:val="00765813"/>
    <w:rsid w:val="00766823"/>
    <w:rsid w:val="0076683C"/>
    <w:rsid w:val="0076742A"/>
    <w:rsid w:val="007705B7"/>
    <w:rsid w:val="00770B26"/>
    <w:rsid w:val="00771A3A"/>
    <w:rsid w:val="00771BA6"/>
    <w:rsid w:val="00772F84"/>
    <w:rsid w:val="00773064"/>
    <w:rsid w:val="00773610"/>
    <w:rsid w:val="0077419F"/>
    <w:rsid w:val="007754D3"/>
    <w:rsid w:val="00775D31"/>
    <w:rsid w:val="00775FB8"/>
    <w:rsid w:val="007767B5"/>
    <w:rsid w:val="00776A46"/>
    <w:rsid w:val="00777520"/>
    <w:rsid w:val="007800B0"/>
    <w:rsid w:val="00780711"/>
    <w:rsid w:val="007811C8"/>
    <w:rsid w:val="00782288"/>
    <w:rsid w:val="007828CC"/>
    <w:rsid w:val="00782BCC"/>
    <w:rsid w:val="00783869"/>
    <w:rsid w:val="00783AE6"/>
    <w:rsid w:val="00783E53"/>
    <w:rsid w:val="00783EB9"/>
    <w:rsid w:val="00783EEE"/>
    <w:rsid w:val="007840FC"/>
    <w:rsid w:val="00784677"/>
    <w:rsid w:val="00784777"/>
    <w:rsid w:val="007847CA"/>
    <w:rsid w:val="00784B81"/>
    <w:rsid w:val="007858E5"/>
    <w:rsid w:val="0078635F"/>
    <w:rsid w:val="0078656C"/>
    <w:rsid w:val="0078677A"/>
    <w:rsid w:val="00786924"/>
    <w:rsid w:val="007869A0"/>
    <w:rsid w:val="00786EED"/>
    <w:rsid w:val="00786FD5"/>
    <w:rsid w:val="00787F44"/>
    <w:rsid w:val="00790469"/>
    <w:rsid w:val="00790811"/>
    <w:rsid w:val="0079096A"/>
    <w:rsid w:val="00790F8C"/>
    <w:rsid w:val="007910E3"/>
    <w:rsid w:val="00792DBC"/>
    <w:rsid w:val="00793ADA"/>
    <w:rsid w:val="007941D0"/>
    <w:rsid w:val="007949FB"/>
    <w:rsid w:val="00794E15"/>
    <w:rsid w:val="00795362"/>
    <w:rsid w:val="00796E17"/>
    <w:rsid w:val="00796EC0"/>
    <w:rsid w:val="0079714A"/>
    <w:rsid w:val="0079723B"/>
    <w:rsid w:val="00797B00"/>
    <w:rsid w:val="00797DBE"/>
    <w:rsid w:val="007A043B"/>
    <w:rsid w:val="007A0AD8"/>
    <w:rsid w:val="007A0D35"/>
    <w:rsid w:val="007A1C13"/>
    <w:rsid w:val="007A268A"/>
    <w:rsid w:val="007A2E3D"/>
    <w:rsid w:val="007A304B"/>
    <w:rsid w:val="007A32C8"/>
    <w:rsid w:val="007A34B3"/>
    <w:rsid w:val="007A418E"/>
    <w:rsid w:val="007A42F0"/>
    <w:rsid w:val="007A4453"/>
    <w:rsid w:val="007A5648"/>
    <w:rsid w:val="007A5B35"/>
    <w:rsid w:val="007A5B87"/>
    <w:rsid w:val="007A69C5"/>
    <w:rsid w:val="007A6D46"/>
    <w:rsid w:val="007A7270"/>
    <w:rsid w:val="007A7ECB"/>
    <w:rsid w:val="007B05D3"/>
    <w:rsid w:val="007B0C69"/>
    <w:rsid w:val="007B0D4B"/>
    <w:rsid w:val="007B11C8"/>
    <w:rsid w:val="007B24D3"/>
    <w:rsid w:val="007B2E26"/>
    <w:rsid w:val="007B374E"/>
    <w:rsid w:val="007B3B8A"/>
    <w:rsid w:val="007B4173"/>
    <w:rsid w:val="007B4EEC"/>
    <w:rsid w:val="007B5309"/>
    <w:rsid w:val="007B54D0"/>
    <w:rsid w:val="007B59CD"/>
    <w:rsid w:val="007B6407"/>
    <w:rsid w:val="007B71CF"/>
    <w:rsid w:val="007B7AFF"/>
    <w:rsid w:val="007B7D80"/>
    <w:rsid w:val="007B7E83"/>
    <w:rsid w:val="007C1F67"/>
    <w:rsid w:val="007C2281"/>
    <w:rsid w:val="007C24B4"/>
    <w:rsid w:val="007C25D5"/>
    <w:rsid w:val="007C3503"/>
    <w:rsid w:val="007C3BCF"/>
    <w:rsid w:val="007C3F24"/>
    <w:rsid w:val="007C4684"/>
    <w:rsid w:val="007C509C"/>
    <w:rsid w:val="007C59E3"/>
    <w:rsid w:val="007C5CDB"/>
    <w:rsid w:val="007C627F"/>
    <w:rsid w:val="007C6380"/>
    <w:rsid w:val="007C7C7A"/>
    <w:rsid w:val="007D052D"/>
    <w:rsid w:val="007D17E4"/>
    <w:rsid w:val="007D18B2"/>
    <w:rsid w:val="007D1981"/>
    <w:rsid w:val="007D1E4E"/>
    <w:rsid w:val="007D214D"/>
    <w:rsid w:val="007D23B2"/>
    <w:rsid w:val="007D23E0"/>
    <w:rsid w:val="007D2461"/>
    <w:rsid w:val="007D320F"/>
    <w:rsid w:val="007D37D5"/>
    <w:rsid w:val="007D38B1"/>
    <w:rsid w:val="007D3FCB"/>
    <w:rsid w:val="007D41C6"/>
    <w:rsid w:val="007D44CB"/>
    <w:rsid w:val="007D548D"/>
    <w:rsid w:val="007D59B3"/>
    <w:rsid w:val="007D5B54"/>
    <w:rsid w:val="007D5D07"/>
    <w:rsid w:val="007D62CD"/>
    <w:rsid w:val="007D65F6"/>
    <w:rsid w:val="007D6F2C"/>
    <w:rsid w:val="007D766B"/>
    <w:rsid w:val="007D76B7"/>
    <w:rsid w:val="007D7978"/>
    <w:rsid w:val="007E007B"/>
    <w:rsid w:val="007E1128"/>
    <w:rsid w:val="007E1D9E"/>
    <w:rsid w:val="007E24A2"/>
    <w:rsid w:val="007E24AA"/>
    <w:rsid w:val="007E32C4"/>
    <w:rsid w:val="007E39E4"/>
    <w:rsid w:val="007E4E35"/>
    <w:rsid w:val="007E50BD"/>
    <w:rsid w:val="007E50E5"/>
    <w:rsid w:val="007E54D5"/>
    <w:rsid w:val="007E58F7"/>
    <w:rsid w:val="007E661F"/>
    <w:rsid w:val="007E6E96"/>
    <w:rsid w:val="007E7066"/>
    <w:rsid w:val="007E7FD0"/>
    <w:rsid w:val="007F00E4"/>
    <w:rsid w:val="007F024A"/>
    <w:rsid w:val="007F0B32"/>
    <w:rsid w:val="007F135A"/>
    <w:rsid w:val="007F1386"/>
    <w:rsid w:val="007F21FC"/>
    <w:rsid w:val="007F2CD3"/>
    <w:rsid w:val="007F2DA2"/>
    <w:rsid w:val="007F33FC"/>
    <w:rsid w:val="007F3B42"/>
    <w:rsid w:val="007F4B9F"/>
    <w:rsid w:val="007F6355"/>
    <w:rsid w:val="007F6B6C"/>
    <w:rsid w:val="007F7784"/>
    <w:rsid w:val="007F7851"/>
    <w:rsid w:val="007F7A55"/>
    <w:rsid w:val="00800F4F"/>
    <w:rsid w:val="00801058"/>
    <w:rsid w:val="00801291"/>
    <w:rsid w:val="008015F4"/>
    <w:rsid w:val="008018BE"/>
    <w:rsid w:val="00801E3A"/>
    <w:rsid w:val="00802ADB"/>
    <w:rsid w:val="00802C99"/>
    <w:rsid w:val="00802DCA"/>
    <w:rsid w:val="00803456"/>
    <w:rsid w:val="00803C7B"/>
    <w:rsid w:val="00804EB7"/>
    <w:rsid w:val="00805C93"/>
    <w:rsid w:val="00805F91"/>
    <w:rsid w:val="008067DA"/>
    <w:rsid w:val="00806B51"/>
    <w:rsid w:val="008077AD"/>
    <w:rsid w:val="008106B7"/>
    <w:rsid w:val="00810E18"/>
    <w:rsid w:val="008129F8"/>
    <w:rsid w:val="00812E2C"/>
    <w:rsid w:val="00812ED7"/>
    <w:rsid w:val="00813218"/>
    <w:rsid w:val="00813B91"/>
    <w:rsid w:val="00814874"/>
    <w:rsid w:val="00814E66"/>
    <w:rsid w:val="0081511A"/>
    <w:rsid w:val="00815529"/>
    <w:rsid w:val="00815BD0"/>
    <w:rsid w:val="00815D19"/>
    <w:rsid w:val="008161DE"/>
    <w:rsid w:val="008168D3"/>
    <w:rsid w:val="00816981"/>
    <w:rsid w:val="00816D07"/>
    <w:rsid w:val="00817149"/>
    <w:rsid w:val="00817DD4"/>
    <w:rsid w:val="008202DD"/>
    <w:rsid w:val="00820561"/>
    <w:rsid w:val="0082064A"/>
    <w:rsid w:val="00820A7A"/>
    <w:rsid w:val="00820E94"/>
    <w:rsid w:val="0082165B"/>
    <w:rsid w:val="00821699"/>
    <w:rsid w:val="00821852"/>
    <w:rsid w:val="00821A33"/>
    <w:rsid w:val="00821C10"/>
    <w:rsid w:val="00822A23"/>
    <w:rsid w:val="008231E9"/>
    <w:rsid w:val="008232AE"/>
    <w:rsid w:val="0082351C"/>
    <w:rsid w:val="00824A2A"/>
    <w:rsid w:val="00825B7A"/>
    <w:rsid w:val="00827C45"/>
    <w:rsid w:val="00827DBB"/>
    <w:rsid w:val="00827FF5"/>
    <w:rsid w:val="00830117"/>
    <w:rsid w:val="00830CA2"/>
    <w:rsid w:val="008310C3"/>
    <w:rsid w:val="00831B32"/>
    <w:rsid w:val="008324C8"/>
    <w:rsid w:val="0083276D"/>
    <w:rsid w:val="008330C9"/>
    <w:rsid w:val="00833809"/>
    <w:rsid w:val="008339AE"/>
    <w:rsid w:val="00834158"/>
    <w:rsid w:val="008341E3"/>
    <w:rsid w:val="00834646"/>
    <w:rsid w:val="00835419"/>
    <w:rsid w:val="00835528"/>
    <w:rsid w:val="008359C3"/>
    <w:rsid w:val="00835AEA"/>
    <w:rsid w:val="0083726F"/>
    <w:rsid w:val="008377F3"/>
    <w:rsid w:val="0084001B"/>
    <w:rsid w:val="0084059F"/>
    <w:rsid w:val="00840601"/>
    <w:rsid w:val="0084074B"/>
    <w:rsid w:val="0084129F"/>
    <w:rsid w:val="008413A7"/>
    <w:rsid w:val="00841C40"/>
    <w:rsid w:val="00842291"/>
    <w:rsid w:val="00842505"/>
    <w:rsid w:val="0084290A"/>
    <w:rsid w:val="008434C8"/>
    <w:rsid w:val="00843E4F"/>
    <w:rsid w:val="00844A86"/>
    <w:rsid w:val="00844C52"/>
    <w:rsid w:val="00845C91"/>
    <w:rsid w:val="008468CD"/>
    <w:rsid w:val="008469AA"/>
    <w:rsid w:val="00846A21"/>
    <w:rsid w:val="00846D15"/>
    <w:rsid w:val="0084739D"/>
    <w:rsid w:val="008501E6"/>
    <w:rsid w:val="008501EA"/>
    <w:rsid w:val="008503E5"/>
    <w:rsid w:val="00850CF8"/>
    <w:rsid w:val="00851988"/>
    <w:rsid w:val="00852006"/>
    <w:rsid w:val="00852147"/>
    <w:rsid w:val="00852D07"/>
    <w:rsid w:val="00853BCD"/>
    <w:rsid w:val="008540B1"/>
    <w:rsid w:val="0085435E"/>
    <w:rsid w:val="00854A5C"/>
    <w:rsid w:val="00856F1D"/>
    <w:rsid w:val="00857888"/>
    <w:rsid w:val="008602EB"/>
    <w:rsid w:val="008603F8"/>
    <w:rsid w:val="00860D79"/>
    <w:rsid w:val="008612CA"/>
    <w:rsid w:val="00861A91"/>
    <w:rsid w:val="00862A9A"/>
    <w:rsid w:val="0086368D"/>
    <w:rsid w:val="00863793"/>
    <w:rsid w:val="0086404F"/>
    <w:rsid w:val="008646A4"/>
    <w:rsid w:val="00865784"/>
    <w:rsid w:val="00866449"/>
    <w:rsid w:val="00866938"/>
    <w:rsid w:val="00866EE8"/>
    <w:rsid w:val="00867047"/>
    <w:rsid w:val="0087002C"/>
    <w:rsid w:val="008700E0"/>
    <w:rsid w:val="00871468"/>
    <w:rsid w:val="00871C1C"/>
    <w:rsid w:val="008721A3"/>
    <w:rsid w:val="00872D8F"/>
    <w:rsid w:val="00873084"/>
    <w:rsid w:val="0087361D"/>
    <w:rsid w:val="00873B7C"/>
    <w:rsid w:val="00875360"/>
    <w:rsid w:val="00875F5A"/>
    <w:rsid w:val="008761FD"/>
    <w:rsid w:val="00876A14"/>
    <w:rsid w:val="00877D6E"/>
    <w:rsid w:val="0088138C"/>
    <w:rsid w:val="00881DBA"/>
    <w:rsid w:val="00882C67"/>
    <w:rsid w:val="00882E54"/>
    <w:rsid w:val="00882F5D"/>
    <w:rsid w:val="00882FA4"/>
    <w:rsid w:val="008832E6"/>
    <w:rsid w:val="0088377D"/>
    <w:rsid w:val="00883E08"/>
    <w:rsid w:val="008853F0"/>
    <w:rsid w:val="0088671E"/>
    <w:rsid w:val="008867C1"/>
    <w:rsid w:val="008876E5"/>
    <w:rsid w:val="00890E5B"/>
    <w:rsid w:val="00892122"/>
    <w:rsid w:val="00892245"/>
    <w:rsid w:val="00892380"/>
    <w:rsid w:val="00892679"/>
    <w:rsid w:val="0089277C"/>
    <w:rsid w:val="00892C46"/>
    <w:rsid w:val="00893102"/>
    <w:rsid w:val="008948EE"/>
    <w:rsid w:val="0089499C"/>
    <w:rsid w:val="00894CCF"/>
    <w:rsid w:val="00894EFC"/>
    <w:rsid w:val="00895DED"/>
    <w:rsid w:val="00896150"/>
    <w:rsid w:val="008966D1"/>
    <w:rsid w:val="008968AD"/>
    <w:rsid w:val="00897A12"/>
    <w:rsid w:val="00897DFF"/>
    <w:rsid w:val="00897FA1"/>
    <w:rsid w:val="008A02BC"/>
    <w:rsid w:val="008A0701"/>
    <w:rsid w:val="008A0801"/>
    <w:rsid w:val="008A08F3"/>
    <w:rsid w:val="008A1900"/>
    <w:rsid w:val="008A1ED2"/>
    <w:rsid w:val="008A2078"/>
    <w:rsid w:val="008A24F2"/>
    <w:rsid w:val="008A4851"/>
    <w:rsid w:val="008A4CB3"/>
    <w:rsid w:val="008A68E3"/>
    <w:rsid w:val="008A690E"/>
    <w:rsid w:val="008A6BC4"/>
    <w:rsid w:val="008A75F0"/>
    <w:rsid w:val="008A7ADC"/>
    <w:rsid w:val="008A7BE6"/>
    <w:rsid w:val="008A7DA7"/>
    <w:rsid w:val="008B02D7"/>
    <w:rsid w:val="008B0A1D"/>
    <w:rsid w:val="008B1066"/>
    <w:rsid w:val="008B169F"/>
    <w:rsid w:val="008B3289"/>
    <w:rsid w:val="008B3512"/>
    <w:rsid w:val="008B37AA"/>
    <w:rsid w:val="008B37C5"/>
    <w:rsid w:val="008B410E"/>
    <w:rsid w:val="008B45FD"/>
    <w:rsid w:val="008B470E"/>
    <w:rsid w:val="008B4FEE"/>
    <w:rsid w:val="008B7901"/>
    <w:rsid w:val="008C06E0"/>
    <w:rsid w:val="008C0E44"/>
    <w:rsid w:val="008C104F"/>
    <w:rsid w:val="008C1B07"/>
    <w:rsid w:val="008C202A"/>
    <w:rsid w:val="008C2A42"/>
    <w:rsid w:val="008C2B0A"/>
    <w:rsid w:val="008C2B30"/>
    <w:rsid w:val="008C37F2"/>
    <w:rsid w:val="008C3B6D"/>
    <w:rsid w:val="008C475D"/>
    <w:rsid w:val="008C4A1E"/>
    <w:rsid w:val="008C4AF5"/>
    <w:rsid w:val="008C4E62"/>
    <w:rsid w:val="008C4E84"/>
    <w:rsid w:val="008C5135"/>
    <w:rsid w:val="008C53D7"/>
    <w:rsid w:val="008C5F29"/>
    <w:rsid w:val="008C74CB"/>
    <w:rsid w:val="008C7CA6"/>
    <w:rsid w:val="008D01DD"/>
    <w:rsid w:val="008D0DAF"/>
    <w:rsid w:val="008D1516"/>
    <w:rsid w:val="008D170E"/>
    <w:rsid w:val="008D19A4"/>
    <w:rsid w:val="008D1CDE"/>
    <w:rsid w:val="008D1DE1"/>
    <w:rsid w:val="008D26BC"/>
    <w:rsid w:val="008D3EB0"/>
    <w:rsid w:val="008D450B"/>
    <w:rsid w:val="008D45B4"/>
    <w:rsid w:val="008D49C1"/>
    <w:rsid w:val="008D49F8"/>
    <w:rsid w:val="008D5010"/>
    <w:rsid w:val="008D5386"/>
    <w:rsid w:val="008D55C3"/>
    <w:rsid w:val="008D5880"/>
    <w:rsid w:val="008D5E0F"/>
    <w:rsid w:val="008D5F56"/>
    <w:rsid w:val="008D66B8"/>
    <w:rsid w:val="008D6AB3"/>
    <w:rsid w:val="008D72DF"/>
    <w:rsid w:val="008D7904"/>
    <w:rsid w:val="008D7E8F"/>
    <w:rsid w:val="008E0061"/>
    <w:rsid w:val="008E0D2E"/>
    <w:rsid w:val="008E10C9"/>
    <w:rsid w:val="008E11D0"/>
    <w:rsid w:val="008E2D48"/>
    <w:rsid w:val="008E35B5"/>
    <w:rsid w:val="008E3CE9"/>
    <w:rsid w:val="008E3F0A"/>
    <w:rsid w:val="008E40E6"/>
    <w:rsid w:val="008E453F"/>
    <w:rsid w:val="008E555C"/>
    <w:rsid w:val="008E6682"/>
    <w:rsid w:val="008E672A"/>
    <w:rsid w:val="008E6829"/>
    <w:rsid w:val="008E7F80"/>
    <w:rsid w:val="008F0427"/>
    <w:rsid w:val="008F0CAD"/>
    <w:rsid w:val="008F16CA"/>
    <w:rsid w:val="008F1EA6"/>
    <w:rsid w:val="008F203D"/>
    <w:rsid w:val="008F2F93"/>
    <w:rsid w:val="008F325E"/>
    <w:rsid w:val="008F41B6"/>
    <w:rsid w:val="008F4565"/>
    <w:rsid w:val="008F46E9"/>
    <w:rsid w:val="008F4EDC"/>
    <w:rsid w:val="008F52EF"/>
    <w:rsid w:val="008F5F1E"/>
    <w:rsid w:val="008F6E15"/>
    <w:rsid w:val="008F7031"/>
    <w:rsid w:val="008F70FB"/>
    <w:rsid w:val="008F7708"/>
    <w:rsid w:val="008F7E5F"/>
    <w:rsid w:val="008F7F81"/>
    <w:rsid w:val="0090012C"/>
    <w:rsid w:val="00900E94"/>
    <w:rsid w:val="009023BF"/>
    <w:rsid w:val="00902A83"/>
    <w:rsid w:val="009032B6"/>
    <w:rsid w:val="009038AB"/>
    <w:rsid w:val="00903DB9"/>
    <w:rsid w:val="0090420E"/>
    <w:rsid w:val="0090466A"/>
    <w:rsid w:val="00904A72"/>
    <w:rsid w:val="00904CCF"/>
    <w:rsid w:val="00905468"/>
    <w:rsid w:val="00905A86"/>
    <w:rsid w:val="00906209"/>
    <w:rsid w:val="0090651B"/>
    <w:rsid w:val="009067C2"/>
    <w:rsid w:val="00906B27"/>
    <w:rsid w:val="00907338"/>
    <w:rsid w:val="0090753D"/>
    <w:rsid w:val="009106B7"/>
    <w:rsid w:val="00910BB1"/>
    <w:rsid w:val="00910D75"/>
    <w:rsid w:val="00911651"/>
    <w:rsid w:val="00911CE5"/>
    <w:rsid w:val="00911F9F"/>
    <w:rsid w:val="0091248D"/>
    <w:rsid w:val="009128FB"/>
    <w:rsid w:val="00912A11"/>
    <w:rsid w:val="00912DCF"/>
    <w:rsid w:val="009134F3"/>
    <w:rsid w:val="00913DB7"/>
    <w:rsid w:val="00913E7B"/>
    <w:rsid w:val="009140D4"/>
    <w:rsid w:val="00914339"/>
    <w:rsid w:val="00915EAC"/>
    <w:rsid w:val="0091708F"/>
    <w:rsid w:val="00917A25"/>
    <w:rsid w:val="00917A90"/>
    <w:rsid w:val="00917D6F"/>
    <w:rsid w:val="00920D4F"/>
    <w:rsid w:val="00921201"/>
    <w:rsid w:val="00922064"/>
    <w:rsid w:val="00922CD9"/>
    <w:rsid w:val="009230C9"/>
    <w:rsid w:val="009235E7"/>
    <w:rsid w:val="00923717"/>
    <w:rsid w:val="00923CC7"/>
    <w:rsid w:val="00924237"/>
    <w:rsid w:val="00924300"/>
    <w:rsid w:val="0092438A"/>
    <w:rsid w:val="009246BC"/>
    <w:rsid w:val="009249AE"/>
    <w:rsid w:val="0092566F"/>
    <w:rsid w:val="00925CEA"/>
    <w:rsid w:val="00925CFC"/>
    <w:rsid w:val="00925D58"/>
    <w:rsid w:val="00925F10"/>
    <w:rsid w:val="00926083"/>
    <w:rsid w:val="009263C9"/>
    <w:rsid w:val="009269C8"/>
    <w:rsid w:val="00926AF0"/>
    <w:rsid w:val="009275E3"/>
    <w:rsid w:val="00930CD6"/>
    <w:rsid w:val="0093166E"/>
    <w:rsid w:val="00932690"/>
    <w:rsid w:val="00933A70"/>
    <w:rsid w:val="00933B88"/>
    <w:rsid w:val="00934A9E"/>
    <w:rsid w:val="00934F41"/>
    <w:rsid w:val="0093548C"/>
    <w:rsid w:val="009356B6"/>
    <w:rsid w:val="00935FB1"/>
    <w:rsid w:val="0093608F"/>
    <w:rsid w:val="00936929"/>
    <w:rsid w:val="009369C7"/>
    <w:rsid w:val="00937B51"/>
    <w:rsid w:val="00937B55"/>
    <w:rsid w:val="00937FFC"/>
    <w:rsid w:val="00940CFD"/>
    <w:rsid w:val="00941870"/>
    <w:rsid w:val="00942148"/>
    <w:rsid w:val="0094343D"/>
    <w:rsid w:val="0094352B"/>
    <w:rsid w:val="009440ED"/>
    <w:rsid w:val="009449B7"/>
    <w:rsid w:val="00944A9E"/>
    <w:rsid w:val="00945304"/>
    <w:rsid w:val="009460E7"/>
    <w:rsid w:val="00947393"/>
    <w:rsid w:val="009474B1"/>
    <w:rsid w:val="00950B00"/>
    <w:rsid w:val="00952C74"/>
    <w:rsid w:val="009530AE"/>
    <w:rsid w:val="00953701"/>
    <w:rsid w:val="00953B2F"/>
    <w:rsid w:val="00953B9F"/>
    <w:rsid w:val="00954175"/>
    <w:rsid w:val="00954441"/>
    <w:rsid w:val="009565DF"/>
    <w:rsid w:val="00960355"/>
    <w:rsid w:val="00960636"/>
    <w:rsid w:val="00960766"/>
    <w:rsid w:val="00960C8C"/>
    <w:rsid w:val="00961667"/>
    <w:rsid w:val="009616D7"/>
    <w:rsid w:val="00962C68"/>
    <w:rsid w:val="00962D92"/>
    <w:rsid w:val="00962E44"/>
    <w:rsid w:val="00963152"/>
    <w:rsid w:val="00963FAF"/>
    <w:rsid w:val="00964320"/>
    <w:rsid w:val="00964E5C"/>
    <w:rsid w:val="009652C9"/>
    <w:rsid w:val="009664C2"/>
    <w:rsid w:val="00966658"/>
    <w:rsid w:val="009672F3"/>
    <w:rsid w:val="00970211"/>
    <w:rsid w:val="00970347"/>
    <w:rsid w:val="0097057C"/>
    <w:rsid w:val="009711DE"/>
    <w:rsid w:val="0097242A"/>
    <w:rsid w:val="00972B2A"/>
    <w:rsid w:val="00972F41"/>
    <w:rsid w:val="00972F58"/>
    <w:rsid w:val="00972FBD"/>
    <w:rsid w:val="00973592"/>
    <w:rsid w:val="00974140"/>
    <w:rsid w:val="00974796"/>
    <w:rsid w:val="009757D9"/>
    <w:rsid w:val="00975D8C"/>
    <w:rsid w:val="00975F57"/>
    <w:rsid w:val="00977513"/>
    <w:rsid w:val="00977678"/>
    <w:rsid w:val="0097769C"/>
    <w:rsid w:val="00977974"/>
    <w:rsid w:val="0098129D"/>
    <w:rsid w:val="00981546"/>
    <w:rsid w:val="009821F3"/>
    <w:rsid w:val="0098259C"/>
    <w:rsid w:val="00982966"/>
    <w:rsid w:val="009829B0"/>
    <w:rsid w:val="0098348D"/>
    <w:rsid w:val="009841CB"/>
    <w:rsid w:val="0098437A"/>
    <w:rsid w:val="00985BE1"/>
    <w:rsid w:val="009906E5"/>
    <w:rsid w:val="00990F82"/>
    <w:rsid w:val="009912B0"/>
    <w:rsid w:val="009915C3"/>
    <w:rsid w:val="00991D7D"/>
    <w:rsid w:val="00991F12"/>
    <w:rsid w:val="0099249D"/>
    <w:rsid w:val="00992726"/>
    <w:rsid w:val="00992A2E"/>
    <w:rsid w:val="00992B82"/>
    <w:rsid w:val="00992C0E"/>
    <w:rsid w:val="00992D98"/>
    <w:rsid w:val="00993A14"/>
    <w:rsid w:val="00994540"/>
    <w:rsid w:val="00994CCC"/>
    <w:rsid w:val="009950FB"/>
    <w:rsid w:val="00995725"/>
    <w:rsid w:val="009969DB"/>
    <w:rsid w:val="00996ABA"/>
    <w:rsid w:val="00997676"/>
    <w:rsid w:val="00997BF4"/>
    <w:rsid w:val="00997FAA"/>
    <w:rsid w:val="009A0521"/>
    <w:rsid w:val="009A1410"/>
    <w:rsid w:val="009A1AB8"/>
    <w:rsid w:val="009A27B9"/>
    <w:rsid w:val="009A27FC"/>
    <w:rsid w:val="009A2BDF"/>
    <w:rsid w:val="009A2DDC"/>
    <w:rsid w:val="009A3526"/>
    <w:rsid w:val="009A3CF0"/>
    <w:rsid w:val="009A3D9D"/>
    <w:rsid w:val="009A3FDD"/>
    <w:rsid w:val="009A435A"/>
    <w:rsid w:val="009A457A"/>
    <w:rsid w:val="009A5282"/>
    <w:rsid w:val="009A5544"/>
    <w:rsid w:val="009A5E50"/>
    <w:rsid w:val="009A7149"/>
    <w:rsid w:val="009A7528"/>
    <w:rsid w:val="009A7B5C"/>
    <w:rsid w:val="009A7DA0"/>
    <w:rsid w:val="009A7DCA"/>
    <w:rsid w:val="009A7E46"/>
    <w:rsid w:val="009B24BF"/>
    <w:rsid w:val="009B2A14"/>
    <w:rsid w:val="009B2C0E"/>
    <w:rsid w:val="009B34A0"/>
    <w:rsid w:val="009B4902"/>
    <w:rsid w:val="009B56D9"/>
    <w:rsid w:val="009B5E32"/>
    <w:rsid w:val="009B5FD5"/>
    <w:rsid w:val="009B6777"/>
    <w:rsid w:val="009B697B"/>
    <w:rsid w:val="009B74B1"/>
    <w:rsid w:val="009B74D2"/>
    <w:rsid w:val="009B7509"/>
    <w:rsid w:val="009B7D6A"/>
    <w:rsid w:val="009B7DD5"/>
    <w:rsid w:val="009B7ED6"/>
    <w:rsid w:val="009C0BB9"/>
    <w:rsid w:val="009C1384"/>
    <w:rsid w:val="009C1A2A"/>
    <w:rsid w:val="009C1C9E"/>
    <w:rsid w:val="009C23D5"/>
    <w:rsid w:val="009C3AE8"/>
    <w:rsid w:val="009C4567"/>
    <w:rsid w:val="009C489C"/>
    <w:rsid w:val="009C5BE0"/>
    <w:rsid w:val="009C600E"/>
    <w:rsid w:val="009C63DF"/>
    <w:rsid w:val="009C65A0"/>
    <w:rsid w:val="009C75C1"/>
    <w:rsid w:val="009D021C"/>
    <w:rsid w:val="009D0843"/>
    <w:rsid w:val="009D2C96"/>
    <w:rsid w:val="009D357C"/>
    <w:rsid w:val="009D5A19"/>
    <w:rsid w:val="009D5B49"/>
    <w:rsid w:val="009D6166"/>
    <w:rsid w:val="009D670E"/>
    <w:rsid w:val="009D674D"/>
    <w:rsid w:val="009D6FB7"/>
    <w:rsid w:val="009E03B4"/>
    <w:rsid w:val="009E05C8"/>
    <w:rsid w:val="009E0B6D"/>
    <w:rsid w:val="009E0BD8"/>
    <w:rsid w:val="009E13EE"/>
    <w:rsid w:val="009E15F0"/>
    <w:rsid w:val="009E17A4"/>
    <w:rsid w:val="009E193B"/>
    <w:rsid w:val="009E229B"/>
    <w:rsid w:val="009E3B1F"/>
    <w:rsid w:val="009E4392"/>
    <w:rsid w:val="009E472D"/>
    <w:rsid w:val="009E568F"/>
    <w:rsid w:val="009E5CE4"/>
    <w:rsid w:val="009E6BE4"/>
    <w:rsid w:val="009E76EF"/>
    <w:rsid w:val="009E7DCF"/>
    <w:rsid w:val="009F0040"/>
    <w:rsid w:val="009F1008"/>
    <w:rsid w:val="009F1026"/>
    <w:rsid w:val="009F1B2D"/>
    <w:rsid w:val="009F1E55"/>
    <w:rsid w:val="009F3F99"/>
    <w:rsid w:val="009F49F8"/>
    <w:rsid w:val="009F4EE3"/>
    <w:rsid w:val="009F6127"/>
    <w:rsid w:val="009F6DCD"/>
    <w:rsid w:val="009F7AE4"/>
    <w:rsid w:val="009F7E0D"/>
    <w:rsid w:val="009F7E31"/>
    <w:rsid w:val="009F7FAE"/>
    <w:rsid w:val="00A000DB"/>
    <w:rsid w:val="00A007FD"/>
    <w:rsid w:val="00A00F73"/>
    <w:rsid w:val="00A01931"/>
    <w:rsid w:val="00A01CAA"/>
    <w:rsid w:val="00A020B4"/>
    <w:rsid w:val="00A02E7E"/>
    <w:rsid w:val="00A035F2"/>
    <w:rsid w:val="00A04184"/>
    <w:rsid w:val="00A0467E"/>
    <w:rsid w:val="00A0479A"/>
    <w:rsid w:val="00A0522C"/>
    <w:rsid w:val="00A053F5"/>
    <w:rsid w:val="00A058CC"/>
    <w:rsid w:val="00A062B2"/>
    <w:rsid w:val="00A0656C"/>
    <w:rsid w:val="00A06963"/>
    <w:rsid w:val="00A069C7"/>
    <w:rsid w:val="00A0708B"/>
    <w:rsid w:val="00A071D5"/>
    <w:rsid w:val="00A076E1"/>
    <w:rsid w:val="00A07921"/>
    <w:rsid w:val="00A079B9"/>
    <w:rsid w:val="00A10242"/>
    <w:rsid w:val="00A10629"/>
    <w:rsid w:val="00A110D4"/>
    <w:rsid w:val="00A12371"/>
    <w:rsid w:val="00A13596"/>
    <w:rsid w:val="00A136D5"/>
    <w:rsid w:val="00A13900"/>
    <w:rsid w:val="00A1440C"/>
    <w:rsid w:val="00A15928"/>
    <w:rsid w:val="00A15C5C"/>
    <w:rsid w:val="00A16081"/>
    <w:rsid w:val="00A16646"/>
    <w:rsid w:val="00A16E7D"/>
    <w:rsid w:val="00A1756D"/>
    <w:rsid w:val="00A17F43"/>
    <w:rsid w:val="00A202B8"/>
    <w:rsid w:val="00A2048C"/>
    <w:rsid w:val="00A20C3D"/>
    <w:rsid w:val="00A21A9F"/>
    <w:rsid w:val="00A2222C"/>
    <w:rsid w:val="00A22410"/>
    <w:rsid w:val="00A2245A"/>
    <w:rsid w:val="00A2287E"/>
    <w:rsid w:val="00A23554"/>
    <w:rsid w:val="00A23D0E"/>
    <w:rsid w:val="00A2413F"/>
    <w:rsid w:val="00A24610"/>
    <w:rsid w:val="00A25613"/>
    <w:rsid w:val="00A25909"/>
    <w:rsid w:val="00A25ACF"/>
    <w:rsid w:val="00A25CB9"/>
    <w:rsid w:val="00A26D1B"/>
    <w:rsid w:val="00A304B8"/>
    <w:rsid w:val="00A31006"/>
    <w:rsid w:val="00A31314"/>
    <w:rsid w:val="00A320DA"/>
    <w:rsid w:val="00A32106"/>
    <w:rsid w:val="00A32254"/>
    <w:rsid w:val="00A33250"/>
    <w:rsid w:val="00A34F90"/>
    <w:rsid w:val="00A362CD"/>
    <w:rsid w:val="00A3632F"/>
    <w:rsid w:val="00A363D5"/>
    <w:rsid w:val="00A3666B"/>
    <w:rsid w:val="00A368CD"/>
    <w:rsid w:val="00A376F2"/>
    <w:rsid w:val="00A37A79"/>
    <w:rsid w:val="00A37B0C"/>
    <w:rsid w:val="00A37D0A"/>
    <w:rsid w:val="00A40475"/>
    <w:rsid w:val="00A4120F"/>
    <w:rsid w:val="00A41664"/>
    <w:rsid w:val="00A42168"/>
    <w:rsid w:val="00A44388"/>
    <w:rsid w:val="00A45329"/>
    <w:rsid w:val="00A45DD6"/>
    <w:rsid w:val="00A463E6"/>
    <w:rsid w:val="00A46C3E"/>
    <w:rsid w:val="00A471BC"/>
    <w:rsid w:val="00A4734B"/>
    <w:rsid w:val="00A478AB"/>
    <w:rsid w:val="00A47BCB"/>
    <w:rsid w:val="00A47D24"/>
    <w:rsid w:val="00A5045B"/>
    <w:rsid w:val="00A509BE"/>
    <w:rsid w:val="00A51D93"/>
    <w:rsid w:val="00A52195"/>
    <w:rsid w:val="00A52327"/>
    <w:rsid w:val="00A52692"/>
    <w:rsid w:val="00A52A74"/>
    <w:rsid w:val="00A52C20"/>
    <w:rsid w:val="00A52C3F"/>
    <w:rsid w:val="00A534F4"/>
    <w:rsid w:val="00A53AEA"/>
    <w:rsid w:val="00A53F81"/>
    <w:rsid w:val="00A53FCF"/>
    <w:rsid w:val="00A55022"/>
    <w:rsid w:val="00A55256"/>
    <w:rsid w:val="00A55654"/>
    <w:rsid w:val="00A561ED"/>
    <w:rsid w:val="00A56310"/>
    <w:rsid w:val="00A5636C"/>
    <w:rsid w:val="00A56F6C"/>
    <w:rsid w:val="00A5713F"/>
    <w:rsid w:val="00A571AD"/>
    <w:rsid w:val="00A605F3"/>
    <w:rsid w:val="00A60787"/>
    <w:rsid w:val="00A60FDB"/>
    <w:rsid w:val="00A6151E"/>
    <w:rsid w:val="00A62087"/>
    <w:rsid w:val="00A623A7"/>
    <w:rsid w:val="00A628D7"/>
    <w:rsid w:val="00A62BC4"/>
    <w:rsid w:val="00A63371"/>
    <w:rsid w:val="00A63EA0"/>
    <w:rsid w:val="00A64752"/>
    <w:rsid w:val="00A64F41"/>
    <w:rsid w:val="00A64F48"/>
    <w:rsid w:val="00A650B9"/>
    <w:rsid w:val="00A655A3"/>
    <w:rsid w:val="00A6593E"/>
    <w:rsid w:val="00A679A7"/>
    <w:rsid w:val="00A67A8E"/>
    <w:rsid w:val="00A7010F"/>
    <w:rsid w:val="00A702B5"/>
    <w:rsid w:val="00A70303"/>
    <w:rsid w:val="00A7092D"/>
    <w:rsid w:val="00A7109E"/>
    <w:rsid w:val="00A718CF"/>
    <w:rsid w:val="00A71FD0"/>
    <w:rsid w:val="00A72096"/>
    <w:rsid w:val="00A72AB9"/>
    <w:rsid w:val="00A740BC"/>
    <w:rsid w:val="00A746FF"/>
    <w:rsid w:val="00A74C45"/>
    <w:rsid w:val="00A74DF6"/>
    <w:rsid w:val="00A804A6"/>
    <w:rsid w:val="00A80A35"/>
    <w:rsid w:val="00A80A91"/>
    <w:rsid w:val="00A80C2B"/>
    <w:rsid w:val="00A81391"/>
    <w:rsid w:val="00A817F1"/>
    <w:rsid w:val="00A8201D"/>
    <w:rsid w:val="00A820D0"/>
    <w:rsid w:val="00A82347"/>
    <w:rsid w:val="00A827F6"/>
    <w:rsid w:val="00A82D9D"/>
    <w:rsid w:val="00A832B0"/>
    <w:rsid w:val="00A835A0"/>
    <w:rsid w:val="00A85470"/>
    <w:rsid w:val="00A86992"/>
    <w:rsid w:val="00A86DF2"/>
    <w:rsid w:val="00A87659"/>
    <w:rsid w:val="00A8771C"/>
    <w:rsid w:val="00A90400"/>
    <w:rsid w:val="00A90E88"/>
    <w:rsid w:val="00A913E2"/>
    <w:rsid w:val="00A91717"/>
    <w:rsid w:val="00A91B9C"/>
    <w:rsid w:val="00A92581"/>
    <w:rsid w:val="00A928C1"/>
    <w:rsid w:val="00A93FAA"/>
    <w:rsid w:val="00A94A8F"/>
    <w:rsid w:val="00A95706"/>
    <w:rsid w:val="00A95A95"/>
    <w:rsid w:val="00A96144"/>
    <w:rsid w:val="00A97269"/>
    <w:rsid w:val="00A977B6"/>
    <w:rsid w:val="00A97FF9"/>
    <w:rsid w:val="00AA02EC"/>
    <w:rsid w:val="00AA09D3"/>
    <w:rsid w:val="00AA12DD"/>
    <w:rsid w:val="00AA1DD8"/>
    <w:rsid w:val="00AA21D3"/>
    <w:rsid w:val="00AA24BA"/>
    <w:rsid w:val="00AA2610"/>
    <w:rsid w:val="00AA303F"/>
    <w:rsid w:val="00AA3350"/>
    <w:rsid w:val="00AA37D5"/>
    <w:rsid w:val="00AA3D25"/>
    <w:rsid w:val="00AA5C69"/>
    <w:rsid w:val="00AA5F63"/>
    <w:rsid w:val="00AA6024"/>
    <w:rsid w:val="00AA7033"/>
    <w:rsid w:val="00AA715A"/>
    <w:rsid w:val="00AA74DD"/>
    <w:rsid w:val="00AA7573"/>
    <w:rsid w:val="00AA7E6E"/>
    <w:rsid w:val="00AB0227"/>
    <w:rsid w:val="00AB042B"/>
    <w:rsid w:val="00AB04D6"/>
    <w:rsid w:val="00AB2207"/>
    <w:rsid w:val="00AB281D"/>
    <w:rsid w:val="00AB3540"/>
    <w:rsid w:val="00AB3A5B"/>
    <w:rsid w:val="00AB3E08"/>
    <w:rsid w:val="00AB4953"/>
    <w:rsid w:val="00AB4E84"/>
    <w:rsid w:val="00AB4F8A"/>
    <w:rsid w:val="00AB51B9"/>
    <w:rsid w:val="00AB68E0"/>
    <w:rsid w:val="00AB6E04"/>
    <w:rsid w:val="00AB6F15"/>
    <w:rsid w:val="00AC02E3"/>
    <w:rsid w:val="00AC0AD2"/>
    <w:rsid w:val="00AC0D69"/>
    <w:rsid w:val="00AC1F54"/>
    <w:rsid w:val="00AC2006"/>
    <w:rsid w:val="00AC213F"/>
    <w:rsid w:val="00AC2763"/>
    <w:rsid w:val="00AC2F2B"/>
    <w:rsid w:val="00AC3573"/>
    <w:rsid w:val="00AC3637"/>
    <w:rsid w:val="00AC3FDE"/>
    <w:rsid w:val="00AC4401"/>
    <w:rsid w:val="00AC5170"/>
    <w:rsid w:val="00AC58A2"/>
    <w:rsid w:val="00AC5B6A"/>
    <w:rsid w:val="00AC5DEF"/>
    <w:rsid w:val="00AC68A4"/>
    <w:rsid w:val="00AC6FEA"/>
    <w:rsid w:val="00AC71F0"/>
    <w:rsid w:val="00AC751C"/>
    <w:rsid w:val="00AC7ADF"/>
    <w:rsid w:val="00AD1067"/>
    <w:rsid w:val="00AD1A0C"/>
    <w:rsid w:val="00AD1B03"/>
    <w:rsid w:val="00AD1F8F"/>
    <w:rsid w:val="00AD267D"/>
    <w:rsid w:val="00AD2738"/>
    <w:rsid w:val="00AD2782"/>
    <w:rsid w:val="00AD2AD5"/>
    <w:rsid w:val="00AD2B13"/>
    <w:rsid w:val="00AD2BB2"/>
    <w:rsid w:val="00AD3415"/>
    <w:rsid w:val="00AD3598"/>
    <w:rsid w:val="00AD386C"/>
    <w:rsid w:val="00AD3EAE"/>
    <w:rsid w:val="00AD48C0"/>
    <w:rsid w:val="00AD4AE6"/>
    <w:rsid w:val="00AD4E25"/>
    <w:rsid w:val="00AD57C7"/>
    <w:rsid w:val="00AD5BDF"/>
    <w:rsid w:val="00AD5C64"/>
    <w:rsid w:val="00AD662E"/>
    <w:rsid w:val="00AD69CC"/>
    <w:rsid w:val="00AD71B0"/>
    <w:rsid w:val="00AD7449"/>
    <w:rsid w:val="00AD7ECA"/>
    <w:rsid w:val="00AE0437"/>
    <w:rsid w:val="00AE05B5"/>
    <w:rsid w:val="00AE0BC6"/>
    <w:rsid w:val="00AE0C84"/>
    <w:rsid w:val="00AE0F59"/>
    <w:rsid w:val="00AE1B0E"/>
    <w:rsid w:val="00AE1B6F"/>
    <w:rsid w:val="00AE1FA1"/>
    <w:rsid w:val="00AE20CC"/>
    <w:rsid w:val="00AE22D7"/>
    <w:rsid w:val="00AE265B"/>
    <w:rsid w:val="00AE29F8"/>
    <w:rsid w:val="00AE2CBB"/>
    <w:rsid w:val="00AE2F0D"/>
    <w:rsid w:val="00AE3122"/>
    <w:rsid w:val="00AE3852"/>
    <w:rsid w:val="00AE54F1"/>
    <w:rsid w:val="00AE5C24"/>
    <w:rsid w:val="00AE69CF"/>
    <w:rsid w:val="00AE76A9"/>
    <w:rsid w:val="00AE772C"/>
    <w:rsid w:val="00AF0E01"/>
    <w:rsid w:val="00AF1071"/>
    <w:rsid w:val="00AF1255"/>
    <w:rsid w:val="00AF23B8"/>
    <w:rsid w:val="00AF28E6"/>
    <w:rsid w:val="00AF2F38"/>
    <w:rsid w:val="00AF3B4F"/>
    <w:rsid w:val="00AF3E93"/>
    <w:rsid w:val="00AF4028"/>
    <w:rsid w:val="00AF4274"/>
    <w:rsid w:val="00AF433F"/>
    <w:rsid w:val="00AF448F"/>
    <w:rsid w:val="00AF4885"/>
    <w:rsid w:val="00AF53B0"/>
    <w:rsid w:val="00AF5817"/>
    <w:rsid w:val="00AF752F"/>
    <w:rsid w:val="00AF7732"/>
    <w:rsid w:val="00AF7D51"/>
    <w:rsid w:val="00B0011E"/>
    <w:rsid w:val="00B0031B"/>
    <w:rsid w:val="00B00D85"/>
    <w:rsid w:val="00B00FB3"/>
    <w:rsid w:val="00B011C5"/>
    <w:rsid w:val="00B0164A"/>
    <w:rsid w:val="00B01CC2"/>
    <w:rsid w:val="00B01D95"/>
    <w:rsid w:val="00B02F42"/>
    <w:rsid w:val="00B049B6"/>
    <w:rsid w:val="00B0522E"/>
    <w:rsid w:val="00B06F22"/>
    <w:rsid w:val="00B073FA"/>
    <w:rsid w:val="00B0785C"/>
    <w:rsid w:val="00B07E03"/>
    <w:rsid w:val="00B10713"/>
    <w:rsid w:val="00B11D9F"/>
    <w:rsid w:val="00B126C5"/>
    <w:rsid w:val="00B1290B"/>
    <w:rsid w:val="00B1292A"/>
    <w:rsid w:val="00B12ADA"/>
    <w:rsid w:val="00B13055"/>
    <w:rsid w:val="00B133AF"/>
    <w:rsid w:val="00B1436D"/>
    <w:rsid w:val="00B149F2"/>
    <w:rsid w:val="00B14B61"/>
    <w:rsid w:val="00B1555C"/>
    <w:rsid w:val="00B1658C"/>
    <w:rsid w:val="00B1659B"/>
    <w:rsid w:val="00B16E08"/>
    <w:rsid w:val="00B16F3E"/>
    <w:rsid w:val="00B1740A"/>
    <w:rsid w:val="00B17433"/>
    <w:rsid w:val="00B200E2"/>
    <w:rsid w:val="00B20109"/>
    <w:rsid w:val="00B20272"/>
    <w:rsid w:val="00B20448"/>
    <w:rsid w:val="00B2170A"/>
    <w:rsid w:val="00B218E0"/>
    <w:rsid w:val="00B22BBE"/>
    <w:rsid w:val="00B23463"/>
    <w:rsid w:val="00B24116"/>
    <w:rsid w:val="00B24834"/>
    <w:rsid w:val="00B24C77"/>
    <w:rsid w:val="00B24EF4"/>
    <w:rsid w:val="00B2592C"/>
    <w:rsid w:val="00B260DC"/>
    <w:rsid w:val="00B26267"/>
    <w:rsid w:val="00B26639"/>
    <w:rsid w:val="00B27322"/>
    <w:rsid w:val="00B27831"/>
    <w:rsid w:val="00B27894"/>
    <w:rsid w:val="00B30B57"/>
    <w:rsid w:val="00B31EB0"/>
    <w:rsid w:val="00B3229B"/>
    <w:rsid w:val="00B32387"/>
    <w:rsid w:val="00B323EE"/>
    <w:rsid w:val="00B33133"/>
    <w:rsid w:val="00B34377"/>
    <w:rsid w:val="00B34E56"/>
    <w:rsid w:val="00B367C6"/>
    <w:rsid w:val="00B36AD3"/>
    <w:rsid w:val="00B40134"/>
    <w:rsid w:val="00B408FB"/>
    <w:rsid w:val="00B41476"/>
    <w:rsid w:val="00B41725"/>
    <w:rsid w:val="00B43151"/>
    <w:rsid w:val="00B4333E"/>
    <w:rsid w:val="00B43AE5"/>
    <w:rsid w:val="00B43B7D"/>
    <w:rsid w:val="00B444D6"/>
    <w:rsid w:val="00B447F2"/>
    <w:rsid w:val="00B45E02"/>
    <w:rsid w:val="00B46178"/>
    <w:rsid w:val="00B46553"/>
    <w:rsid w:val="00B4675C"/>
    <w:rsid w:val="00B46833"/>
    <w:rsid w:val="00B4762C"/>
    <w:rsid w:val="00B47A4C"/>
    <w:rsid w:val="00B51702"/>
    <w:rsid w:val="00B518E6"/>
    <w:rsid w:val="00B51954"/>
    <w:rsid w:val="00B51B33"/>
    <w:rsid w:val="00B51DA9"/>
    <w:rsid w:val="00B523CB"/>
    <w:rsid w:val="00B5305D"/>
    <w:rsid w:val="00B53699"/>
    <w:rsid w:val="00B551B3"/>
    <w:rsid w:val="00B5523B"/>
    <w:rsid w:val="00B561A9"/>
    <w:rsid w:val="00B572D6"/>
    <w:rsid w:val="00B57734"/>
    <w:rsid w:val="00B60EEC"/>
    <w:rsid w:val="00B61299"/>
    <w:rsid w:val="00B613AD"/>
    <w:rsid w:val="00B6155C"/>
    <w:rsid w:val="00B618DA"/>
    <w:rsid w:val="00B61F73"/>
    <w:rsid w:val="00B6219C"/>
    <w:rsid w:val="00B626B1"/>
    <w:rsid w:val="00B63C51"/>
    <w:rsid w:val="00B648E7"/>
    <w:rsid w:val="00B66397"/>
    <w:rsid w:val="00B66628"/>
    <w:rsid w:val="00B6736D"/>
    <w:rsid w:val="00B677E2"/>
    <w:rsid w:val="00B70640"/>
    <w:rsid w:val="00B71416"/>
    <w:rsid w:val="00B727C6"/>
    <w:rsid w:val="00B72BF2"/>
    <w:rsid w:val="00B7387B"/>
    <w:rsid w:val="00B73C5E"/>
    <w:rsid w:val="00B73FD6"/>
    <w:rsid w:val="00B73FDF"/>
    <w:rsid w:val="00B740EE"/>
    <w:rsid w:val="00B74697"/>
    <w:rsid w:val="00B74989"/>
    <w:rsid w:val="00B74A9A"/>
    <w:rsid w:val="00B74B7A"/>
    <w:rsid w:val="00B74D5B"/>
    <w:rsid w:val="00B752EC"/>
    <w:rsid w:val="00B756E6"/>
    <w:rsid w:val="00B7570F"/>
    <w:rsid w:val="00B75FC6"/>
    <w:rsid w:val="00B75FCB"/>
    <w:rsid w:val="00B76069"/>
    <w:rsid w:val="00B760EA"/>
    <w:rsid w:val="00B76493"/>
    <w:rsid w:val="00B76B27"/>
    <w:rsid w:val="00B76B49"/>
    <w:rsid w:val="00B76CF9"/>
    <w:rsid w:val="00B777C9"/>
    <w:rsid w:val="00B77BD8"/>
    <w:rsid w:val="00B80166"/>
    <w:rsid w:val="00B80D55"/>
    <w:rsid w:val="00B8108F"/>
    <w:rsid w:val="00B81C8B"/>
    <w:rsid w:val="00B831E6"/>
    <w:rsid w:val="00B83BCF"/>
    <w:rsid w:val="00B83CC8"/>
    <w:rsid w:val="00B84113"/>
    <w:rsid w:val="00B84406"/>
    <w:rsid w:val="00B8440A"/>
    <w:rsid w:val="00B84686"/>
    <w:rsid w:val="00B8497F"/>
    <w:rsid w:val="00B84B2C"/>
    <w:rsid w:val="00B8567C"/>
    <w:rsid w:val="00B866DF"/>
    <w:rsid w:val="00B86E13"/>
    <w:rsid w:val="00B8709D"/>
    <w:rsid w:val="00B90D4C"/>
    <w:rsid w:val="00B90FA2"/>
    <w:rsid w:val="00B90FBD"/>
    <w:rsid w:val="00B91082"/>
    <w:rsid w:val="00B91D48"/>
    <w:rsid w:val="00B932C7"/>
    <w:rsid w:val="00B93992"/>
    <w:rsid w:val="00B9721B"/>
    <w:rsid w:val="00B97A96"/>
    <w:rsid w:val="00BA05DA"/>
    <w:rsid w:val="00BA0F9A"/>
    <w:rsid w:val="00BA19C6"/>
    <w:rsid w:val="00BA19F8"/>
    <w:rsid w:val="00BA1FF2"/>
    <w:rsid w:val="00BA221C"/>
    <w:rsid w:val="00BA233C"/>
    <w:rsid w:val="00BA244D"/>
    <w:rsid w:val="00BA2533"/>
    <w:rsid w:val="00BA3074"/>
    <w:rsid w:val="00BA3A55"/>
    <w:rsid w:val="00BA4559"/>
    <w:rsid w:val="00BA5553"/>
    <w:rsid w:val="00BA6A5F"/>
    <w:rsid w:val="00BA6FEA"/>
    <w:rsid w:val="00BA7A26"/>
    <w:rsid w:val="00BA7CAF"/>
    <w:rsid w:val="00BB138D"/>
    <w:rsid w:val="00BB289F"/>
    <w:rsid w:val="00BB29C9"/>
    <w:rsid w:val="00BB2BA4"/>
    <w:rsid w:val="00BB2FCE"/>
    <w:rsid w:val="00BB3705"/>
    <w:rsid w:val="00BB3D11"/>
    <w:rsid w:val="00BB4BBA"/>
    <w:rsid w:val="00BB51F4"/>
    <w:rsid w:val="00BB5225"/>
    <w:rsid w:val="00BB59BA"/>
    <w:rsid w:val="00BB65AA"/>
    <w:rsid w:val="00BB6E9C"/>
    <w:rsid w:val="00BB6F77"/>
    <w:rsid w:val="00BB75B8"/>
    <w:rsid w:val="00BB7BA8"/>
    <w:rsid w:val="00BC1A05"/>
    <w:rsid w:val="00BC2F48"/>
    <w:rsid w:val="00BC318A"/>
    <w:rsid w:val="00BC33F3"/>
    <w:rsid w:val="00BC3528"/>
    <w:rsid w:val="00BC4B15"/>
    <w:rsid w:val="00BC509F"/>
    <w:rsid w:val="00BC5187"/>
    <w:rsid w:val="00BC578A"/>
    <w:rsid w:val="00BC5799"/>
    <w:rsid w:val="00BC680B"/>
    <w:rsid w:val="00BC6999"/>
    <w:rsid w:val="00BD0B58"/>
    <w:rsid w:val="00BD0F7F"/>
    <w:rsid w:val="00BD1098"/>
    <w:rsid w:val="00BD1BF4"/>
    <w:rsid w:val="00BD201C"/>
    <w:rsid w:val="00BD251B"/>
    <w:rsid w:val="00BD2A8B"/>
    <w:rsid w:val="00BD363A"/>
    <w:rsid w:val="00BD3C5F"/>
    <w:rsid w:val="00BD3DAF"/>
    <w:rsid w:val="00BD3E88"/>
    <w:rsid w:val="00BD503F"/>
    <w:rsid w:val="00BD5070"/>
    <w:rsid w:val="00BD5269"/>
    <w:rsid w:val="00BD6CC5"/>
    <w:rsid w:val="00BD7946"/>
    <w:rsid w:val="00BE03B5"/>
    <w:rsid w:val="00BE07D3"/>
    <w:rsid w:val="00BE152B"/>
    <w:rsid w:val="00BE1620"/>
    <w:rsid w:val="00BE2333"/>
    <w:rsid w:val="00BE2B5F"/>
    <w:rsid w:val="00BE2D47"/>
    <w:rsid w:val="00BE2D4A"/>
    <w:rsid w:val="00BE30E6"/>
    <w:rsid w:val="00BE31A6"/>
    <w:rsid w:val="00BE57C4"/>
    <w:rsid w:val="00BE59F1"/>
    <w:rsid w:val="00BE6D6C"/>
    <w:rsid w:val="00BF0225"/>
    <w:rsid w:val="00BF16B7"/>
    <w:rsid w:val="00BF2075"/>
    <w:rsid w:val="00BF2441"/>
    <w:rsid w:val="00BF293F"/>
    <w:rsid w:val="00BF3385"/>
    <w:rsid w:val="00BF402B"/>
    <w:rsid w:val="00BF4232"/>
    <w:rsid w:val="00BF4798"/>
    <w:rsid w:val="00BF47AD"/>
    <w:rsid w:val="00BF5353"/>
    <w:rsid w:val="00BF5883"/>
    <w:rsid w:val="00BF5A42"/>
    <w:rsid w:val="00BF5A83"/>
    <w:rsid w:val="00BF6101"/>
    <w:rsid w:val="00BF6270"/>
    <w:rsid w:val="00BF6A8F"/>
    <w:rsid w:val="00BF6FD3"/>
    <w:rsid w:val="00BF7BEB"/>
    <w:rsid w:val="00C00728"/>
    <w:rsid w:val="00C008B7"/>
    <w:rsid w:val="00C009F0"/>
    <w:rsid w:val="00C00A95"/>
    <w:rsid w:val="00C0118D"/>
    <w:rsid w:val="00C016DB"/>
    <w:rsid w:val="00C02A81"/>
    <w:rsid w:val="00C02C11"/>
    <w:rsid w:val="00C030F0"/>
    <w:rsid w:val="00C031BB"/>
    <w:rsid w:val="00C03233"/>
    <w:rsid w:val="00C03A13"/>
    <w:rsid w:val="00C04C3F"/>
    <w:rsid w:val="00C04C5C"/>
    <w:rsid w:val="00C04D5B"/>
    <w:rsid w:val="00C04F7E"/>
    <w:rsid w:val="00C0576C"/>
    <w:rsid w:val="00C05E85"/>
    <w:rsid w:val="00C0612F"/>
    <w:rsid w:val="00C06411"/>
    <w:rsid w:val="00C065AA"/>
    <w:rsid w:val="00C06632"/>
    <w:rsid w:val="00C06B7C"/>
    <w:rsid w:val="00C06BC4"/>
    <w:rsid w:val="00C10084"/>
    <w:rsid w:val="00C1045F"/>
    <w:rsid w:val="00C108D8"/>
    <w:rsid w:val="00C10E76"/>
    <w:rsid w:val="00C11E4A"/>
    <w:rsid w:val="00C120FD"/>
    <w:rsid w:val="00C13894"/>
    <w:rsid w:val="00C138F6"/>
    <w:rsid w:val="00C13C09"/>
    <w:rsid w:val="00C1498C"/>
    <w:rsid w:val="00C14B64"/>
    <w:rsid w:val="00C14F33"/>
    <w:rsid w:val="00C158B6"/>
    <w:rsid w:val="00C16927"/>
    <w:rsid w:val="00C16F43"/>
    <w:rsid w:val="00C17608"/>
    <w:rsid w:val="00C17EB3"/>
    <w:rsid w:val="00C17FCC"/>
    <w:rsid w:val="00C20D79"/>
    <w:rsid w:val="00C21398"/>
    <w:rsid w:val="00C21572"/>
    <w:rsid w:val="00C2183F"/>
    <w:rsid w:val="00C21AF1"/>
    <w:rsid w:val="00C22698"/>
    <w:rsid w:val="00C22856"/>
    <w:rsid w:val="00C22D1C"/>
    <w:rsid w:val="00C234C2"/>
    <w:rsid w:val="00C23799"/>
    <w:rsid w:val="00C23A89"/>
    <w:rsid w:val="00C23B7B"/>
    <w:rsid w:val="00C23C7E"/>
    <w:rsid w:val="00C249D3"/>
    <w:rsid w:val="00C24A01"/>
    <w:rsid w:val="00C24C27"/>
    <w:rsid w:val="00C25071"/>
    <w:rsid w:val="00C25E64"/>
    <w:rsid w:val="00C262B5"/>
    <w:rsid w:val="00C26A91"/>
    <w:rsid w:val="00C26B69"/>
    <w:rsid w:val="00C27A63"/>
    <w:rsid w:val="00C27B74"/>
    <w:rsid w:val="00C27BED"/>
    <w:rsid w:val="00C27D23"/>
    <w:rsid w:val="00C27D42"/>
    <w:rsid w:val="00C27EEB"/>
    <w:rsid w:val="00C31D27"/>
    <w:rsid w:val="00C32573"/>
    <w:rsid w:val="00C32904"/>
    <w:rsid w:val="00C32DF2"/>
    <w:rsid w:val="00C3364C"/>
    <w:rsid w:val="00C33942"/>
    <w:rsid w:val="00C3407C"/>
    <w:rsid w:val="00C34B6A"/>
    <w:rsid w:val="00C353E6"/>
    <w:rsid w:val="00C35C7E"/>
    <w:rsid w:val="00C36042"/>
    <w:rsid w:val="00C36149"/>
    <w:rsid w:val="00C37102"/>
    <w:rsid w:val="00C4066C"/>
    <w:rsid w:val="00C41DAC"/>
    <w:rsid w:val="00C42006"/>
    <w:rsid w:val="00C42079"/>
    <w:rsid w:val="00C422DC"/>
    <w:rsid w:val="00C4272C"/>
    <w:rsid w:val="00C427FD"/>
    <w:rsid w:val="00C42BDA"/>
    <w:rsid w:val="00C440AE"/>
    <w:rsid w:val="00C442A6"/>
    <w:rsid w:val="00C44409"/>
    <w:rsid w:val="00C44ED3"/>
    <w:rsid w:val="00C4570E"/>
    <w:rsid w:val="00C4593B"/>
    <w:rsid w:val="00C45C2D"/>
    <w:rsid w:val="00C464B4"/>
    <w:rsid w:val="00C473DD"/>
    <w:rsid w:val="00C47726"/>
    <w:rsid w:val="00C502A3"/>
    <w:rsid w:val="00C502F5"/>
    <w:rsid w:val="00C520E3"/>
    <w:rsid w:val="00C533C1"/>
    <w:rsid w:val="00C54581"/>
    <w:rsid w:val="00C54EEC"/>
    <w:rsid w:val="00C559D2"/>
    <w:rsid w:val="00C55CE2"/>
    <w:rsid w:val="00C56B9C"/>
    <w:rsid w:val="00C57390"/>
    <w:rsid w:val="00C574FE"/>
    <w:rsid w:val="00C57809"/>
    <w:rsid w:val="00C60139"/>
    <w:rsid w:val="00C60347"/>
    <w:rsid w:val="00C606D0"/>
    <w:rsid w:val="00C61B4C"/>
    <w:rsid w:val="00C61C4F"/>
    <w:rsid w:val="00C62090"/>
    <w:rsid w:val="00C621B8"/>
    <w:rsid w:val="00C62D63"/>
    <w:rsid w:val="00C63593"/>
    <w:rsid w:val="00C6427C"/>
    <w:rsid w:val="00C64525"/>
    <w:rsid w:val="00C64CC7"/>
    <w:rsid w:val="00C64F52"/>
    <w:rsid w:val="00C65336"/>
    <w:rsid w:val="00C6594B"/>
    <w:rsid w:val="00C65C4D"/>
    <w:rsid w:val="00C66B52"/>
    <w:rsid w:val="00C67012"/>
    <w:rsid w:val="00C6724B"/>
    <w:rsid w:val="00C67383"/>
    <w:rsid w:val="00C67A49"/>
    <w:rsid w:val="00C67B36"/>
    <w:rsid w:val="00C700DA"/>
    <w:rsid w:val="00C70536"/>
    <w:rsid w:val="00C7082D"/>
    <w:rsid w:val="00C71F74"/>
    <w:rsid w:val="00C72298"/>
    <w:rsid w:val="00C722EA"/>
    <w:rsid w:val="00C72935"/>
    <w:rsid w:val="00C72BBD"/>
    <w:rsid w:val="00C72C06"/>
    <w:rsid w:val="00C732F7"/>
    <w:rsid w:val="00C73CD8"/>
    <w:rsid w:val="00C74F37"/>
    <w:rsid w:val="00C7502B"/>
    <w:rsid w:val="00C750B5"/>
    <w:rsid w:val="00C75889"/>
    <w:rsid w:val="00C758C9"/>
    <w:rsid w:val="00C75912"/>
    <w:rsid w:val="00C75BB9"/>
    <w:rsid w:val="00C76426"/>
    <w:rsid w:val="00C76F18"/>
    <w:rsid w:val="00C76FD3"/>
    <w:rsid w:val="00C771D2"/>
    <w:rsid w:val="00C80110"/>
    <w:rsid w:val="00C8019A"/>
    <w:rsid w:val="00C80349"/>
    <w:rsid w:val="00C80631"/>
    <w:rsid w:val="00C806DA"/>
    <w:rsid w:val="00C81260"/>
    <w:rsid w:val="00C83978"/>
    <w:rsid w:val="00C85B53"/>
    <w:rsid w:val="00C860DC"/>
    <w:rsid w:val="00C86FC2"/>
    <w:rsid w:val="00C87069"/>
    <w:rsid w:val="00C8731B"/>
    <w:rsid w:val="00C8771C"/>
    <w:rsid w:val="00C919FA"/>
    <w:rsid w:val="00C92C1F"/>
    <w:rsid w:val="00C92FA6"/>
    <w:rsid w:val="00C93523"/>
    <w:rsid w:val="00C94399"/>
    <w:rsid w:val="00C944CF"/>
    <w:rsid w:val="00C94CD5"/>
    <w:rsid w:val="00C95433"/>
    <w:rsid w:val="00C954F5"/>
    <w:rsid w:val="00C957E8"/>
    <w:rsid w:val="00C961B9"/>
    <w:rsid w:val="00C977D4"/>
    <w:rsid w:val="00C97AC0"/>
    <w:rsid w:val="00C97B9C"/>
    <w:rsid w:val="00C97DCD"/>
    <w:rsid w:val="00C97F20"/>
    <w:rsid w:val="00CA02C5"/>
    <w:rsid w:val="00CA0604"/>
    <w:rsid w:val="00CA0A15"/>
    <w:rsid w:val="00CA0E51"/>
    <w:rsid w:val="00CA1568"/>
    <w:rsid w:val="00CA179F"/>
    <w:rsid w:val="00CA1ECA"/>
    <w:rsid w:val="00CA211E"/>
    <w:rsid w:val="00CA37E5"/>
    <w:rsid w:val="00CA3901"/>
    <w:rsid w:val="00CA3F08"/>
    <w:rsid w:val="00CA415C"/>
    <w:rsid w:val="00CA4243"/>
    <w:rsid w:val="00CA47B7"/>
    <w:rsid w:val="00CA5D23"/>
    <w:rsid w:val="00CA6524"/>
    <w:rsid w:val="00CA6965"/>
    <w:rsid w:val="00CA69D0"/>
    <w:rsid w:val="00CA6B68"/>
    <w:rsid w:val="00CA6B92"/>
    <w:rsid w:val="00CA6CDD"/>
    <w:rsid w:val="00CA791C"/>
    <w:rsid w:val="00CB0162"/>
    <w:rsid w:val="00CB028A"/>
    <w:rsid w:val="00CB0702"/>
    <w:rsid w:val="00CB08CD"/>
    <w:rsid w:val="00CB128F"/>
    <w:rsid w:val="00CB13D7"/>
    <w:rsid w:val="00CB13DE"/>
    <w:rsid w:val="00CB17F6"/>
    <w:rsid w:val="00CB26F8"/>
    <w:rsid w:val="00CB2B98"/>
    <w:rsid w:val="00CB2BE0"/>
    <w:rsid w:val="00CB35F4"/>
    <w:rsid w:val="00CB3B1C"/>
    <w:rsid w:val="00CB4229"/>
    <w:rsid w:val="00CB4D7C"/>
    <w:rsid w:val="00CB5082"/>
    <w:rsid w:val="00CB50EE"/>
    <w:rsid w:val="00CB5AC0"/>
    <w:rsid w:val="00CB5CAB"/>
    <w:rsid w:val="00CB5EA2"/>
    <w:rsid w:val="00CB6C4A"/>
    <w:rsid w:val="00CB7B07"/>
    <w:rsid w:val="00CC0BB4"/>
    <w:rsid w:val="00CC0F90"/>
    <w:rsid w:val="00CC13C0"/>
    <w:rsid w:val="00CC1572"/>
    <w:rsid w:val="00CC1AD6"/>
    <w:rsid w:val="00CC2CBD"/>
    <w:rsid w:val="00CC34A8"/>
    <w:rsid w:val="00CC3855"/>
    <w:rsid w:val="00CC39B7"/>
    <w:rsid w:val="00CC3CAB"/>
    <w:rsid w:val="00CC451C"/>
    <w:rsid w:val="00CC4780"/>
    <w:rsid w:val="00CC4B08"/>
    <w:rsid w:val="00CC4BB1"/>
    <w:rsid w:val="00CC5248"/>
    <w:rsid w:val="00CC5289"/>
    <w:rsid w:val="00CC5773"/>
    <w:rsid w:val="00CC58A1"/>
    <w:rsid w:val="00CC5CE4"/>
    <w:rsid w:val="00CC6028"/>
    <w:rsid w:val="00CC604C"/>
    <w:rsid w:val="00CC704C"/>
    <w:rsid w:val="00CC7434"/>
    <w:rsid w:val="00CC7560"/>
    <w:rsid w:val="00CC76CF"/>
    <w:rsid w:val="00CC7AFC"/>
    <w:rsid w:val="00CD0550"/>
    <w:rsid w:val="00CD0A2B"/>
    <w:rsid w:val="00CD0A66"/>
    <w:rsid w:val="00CD0BFB"/>
    <w:rsid w:val="00CD0C3E"/>
    <w:rsid w:val="00CD1658"/>
    <w:rsid w:val="00CD232A"/>
    <w:rsid w:val="00CD2A85"/>
    <w:rsid w:val="00CD3C70"/>
    <w:rsid w:val="00CD3F93"/>
    <w:rsid w:val="00CD44A0"/>
    <w:rsid w:val="00CD4A58"/>
    <w:rsid w:val="00CD54F0"/>
    <w:rsid w:val="00CD565C"/>
    <w:rsid w:val="00CD5A7A"/>
    <w:rsid w:val="00CD5DA4"/>
    <w:rsid w:val="00CD61BC"/>
    <w:rsid w:val="00CD6A7C"/>
    <w:rsid w:val="00CD71C6"/>
    <w:rsid w:val="00CD779B"/>
    <w:rsid w:val="00CD7E6A"/>
    <w:rsid w:val="00CE0243"/>
    <w:rsid w:val="00CE1F48"/>
    <w:rsid w:val="00CE259D"/>
    <w:rsid w:val="00CE30E6"/>
    <w:rsid w:val="00CE39A7"/>
    <w:rsid w:val="00CE3CC0"/>
    <w:rsid w:val="00CE3DE8"/>
    <w:rsid w:val="00CE3E50"/>
    <w:rsid w:val="00CE4238"/>
    <w:rsid w:val="00CE4E36"/>
    <w:rsid w:val="00CE51DA"/>
    <w:rsid w:val="00CE53AE"/>
    <w:rsid w:val="00CE5685"/>
    <w:rsid w:val="00CE5706"/>
    <w:rsid w:val="00CE5754"/>
    <w:rsid w:val="00CE6DF3"/>
    <w:rsid w:val="00CE72E5"/>
    <w:rsid w:val="00CF04A4"/>
    <w:rsid w:val="00CF0A3A"/>
    <w:rsid w:val="00CF1553"/>
    <w:rsid w:val="00CF336B"/>
    <w:rsid w:val="00CF3608"/>
    <w:rsid w:val="00CF37A8"/>
    <w:rsid w:val="00CF3B22"/>
    <w:rsid w:val="00CF3CF3"/>
    <w:rsid w:val="00CF3EB1"/>
    <w:rsid w:val="00CF3F31"/>
    <w:rsid w:val="00CF420E"/>
    <w:rsid w:val="00CF44E1"/>
    <w:rsid w:val="00CF4734"/>
    <w:rsid w:val="00CF4949"/>
    <w:rsid w:val="00CF49DC"/>
    <w:rsid w:val="00CF5014"/>
    <w:rsid w:val="00CF51DC"/>
    <w:rsid w:val="00CF551B"/>
    <w:rsid w:val="00CF57DA"/>
    <w:rsid w:val="00CF64E2"/>
    <w:rsid w:val="00CF6905"/>
    <w:rsid w:val="00CF69A2"/>
    <w:rsid w:val="00CF6F3F"/>
    <w:rsid w:val="00CF75FD"/>
    <w:rsid w:val="00CF7904"/>
    <w:rsid w:val="00CF7EF7"/>
    <w:rsid w:val="00CF7F7D"/>
    <w:rsid w:val="00D00262"/>
    <w:rsid w:val="00D0034D"/>
    <w:rsid w:val="00D004E4"/>
    <w:rsid w:val="00D009CA"/>
    <w:rsid w:val="00D01095"/>
    <w:rsid w:val="00D01D45"/>
    <w:rsid w:val="00D02A2B"/>
    <w:rsid w:val="00D02A53"/>
    <w:rsid w:val="00D02C93"/>
    <w:rsid w:val="00D0302C"/>
    <w:rsid w:val="00D0316B"/>
    <w:rsid w:val="00D059DB"/>
    <w:rsid w:val="00D05E8F"/>
    <w:rsid w:val="00D060AC"/>
    <w:rsid w:val="00D068B9"/>
    <w:rsid w:val="00D06AE3"/>
    <w:rsid w:val="00D07223"/>
    <w:rsid w:val="00D07545"/>
    <w:rsid w:val="00D1008C"/>
    <w:rsid w:val="00D10140"/>
    <w:rsid w:val="00D10146"/>
    <w:rsid w:val="00D10B20"/>
    <w:rsid w:val="00D10D79"/>
    <w:rsid w:val="00D113EB"/>
    <w:rsid w:val="00D1154D"/>
    <w:rsid w:val="00D11D4D"/>
    <w:rsid w:val="00D11FCD"/>
    <w:rsid w:val="00D12328"/>
    <w:rsid w:val="00D1250C"/>
    <w:rsid w:val="00D12F23"/>
    <w:rsid w:val="00D12FE4"/>
    <w:rsid w:val="00D13BCA"/>
    <w:rsid w:val="00D13F97"/>
    <w:rsid w:val="00D14E4C"/>
    <w:rsid w:val="00D15277"/>
    <w:rsid w:val="00D16039"/>
    <w:rsid w:val="00D1680A"/>
    <w:rsid w:val="00D177CF"/>
    <w:rsid w:val="00D178C8"/>
    <w:rsid w:val="00D20681"/>
    <w:rsid w:val="00D2098A"/>
    <w:rsid w:val="00D20F57"/>
    <w:rsid w:val="00D2140E"/>
    <w:rsid w:val="00D21C17"/>
    <w:rsid w:val="00D223CD"/>
    <w:rsid w:val="00D228D5"/>
    <w:rsid w:val="00D2350A"/>
    <w:rsid w:val="00D23F38"/>
    <w:rsid w:val="00D241D4"/>
    <w:rsid w:val="00D24744"/>
    <w:rsid w:val="00D24792"/>
    <w:rsid w:val="00D257CD"/>
    <w:rsid w:val="00D25E40"/>
    <w:rsid w:val="00D26184"/>
    <w:rsid w:val="00D267D1"/>
    <w:rsid w:val="00D26ADC"/>
    <w:rsid w:val="00D27BB8"/>
    <w:rsid w:val="00D27F5A"/>
    <w:rsid w:val="00D30200"/>
    <w:rsid w:val="00D318CB"/>
    <w:rsid w:val="00D31B1A"/>
    <w:rsid w:val="00D31CFE"/>
    <w:rsid w:val="00D323CB"/>
    <w:rsid w:val="00D3269D"/>
    <w:rsid w:val="00D32BFA"/>
    <w:rsid w:val="00D32F1A"/>
    <w:rsid w:val="00D33954"/>
    <w:rsid w:val="00D3594C"/>
    <w:rsid w:val="00D35C5B"/>
    <w:rsid w:val="00D368C6"/>
    <w:rsid w:val="00D40F73"/>
    <w:rsid w:val="00D40FC0"/>
    <w:rsid w:val="00D41DE7"/>
    <w:rsid w:val="00D421F7"/>
    <w:rsid w:val="00D424EF"/>
    <w:rsid w:val="00D42B13"/>
    <w:rsid w:val="00D434AB"/>
    <w:rsid w:val="00D43595"/>
    <w:rsid w:val="00D43C4B"/>
    <w:rsid w:val="00D44192"/>
    <w:rsid w:val="00D44334"/>
    <w:rsid w:val="00D44766"/>
    <w:rsid w:val="00D45476"/>
    <w:rsid w:val="00D45861"/>
    <w:rsid w:val="00D45E16"/>
    <w:rsid w:val="00D46158"/>
    <w:rsid w:val="00D46595"/>
    <w:rsid w:val="00D46B1E"/>
    <w:rsid w:val="00D47090"/>
    <w:rsid w:val="00D47567"/>
    <w:rsid w:val="00D5043D"/>
    <w:rsid w:val="00D51015"/>
    <w:rsid w:val="00D515A4"/>
    <w:rsid w:val="00D51AFD"/>
    <w:rsid w:val="00D51B4E"/>
    <w:rsid w:val="00D51E7A"/>
    <w:rsid w:val="00D529A2"/>
    <w:rsid w:val="00D52E1D"/>
    <w:rsid w:val="00D538ED"/>
    <w:rsid w:val="00D53BB8"/>
    <w:rsid w:val="00D540E4"/>
    <w:rsid w:val="00D545DB"/>
    <w:rsid w:val="00D553D5"/>
    <w:rsid w:val="00D554FF"/>
    <w:rsid w:val="00D563B7"/>
    <w:rsid w:val="00D570AD"/>
    <w:rsid w:val="00D5767A"/>
    <w:rsid w:val="00D577D9"/>
    <w:rsid w:val="00D579A2"/>
    <w:rsid w:val="00D60060"/>
    <w:rsid w:val="00D61278"/>
    <w:rsid w:val="00D61334"/>
    <w:rsid w:val="00D618E3"/>
    <w:rsid w:val="00D62CB8"/>
    <w:rsid w:val="00D62EC5"/>
    <w:rsid w:val="00D62F2B"/>
    <w:rsid w:val="00D6435C"/>
    <w:rsid w:val="00D643DA"/>
    <w:rsid w:val="00D649AF"/>
    <w:rsid w:val="00D649E4"/>
    <w:rsid w:val="00D651D7"/>
    <w:rsid w:val="00D65584"/>
    <w:rsid w:val="00D65A10"/>
    <w:rsid w:val="00D65FD8"/>
    <w:rsid w:val="00D661AF"/>
    <w:rsid w:val="00D664E3"/>
    <w:rsid w:val="00D66D66"/>
    <w:rsid w:val="00D67041"/>
    <w:rsid w:val="00D67460"/>
    <w:rsid w:val="00D67820"/>
    <w:rsid w:val="00D70111"/>
    <w:rsid w:val="00D71166"/>
    <w:rsid w:val="00D7164F"/>
    <w:rsid w:val="00D71817"/>
    <w:rsid w:val="00D71C94"/>
    <w:rsid w:val="00D721F6"/>
    <w:rsid w:val="00D73208"/>
    <w:rsid w:val="00D748E3"/>
    <w:rsid w:val="00D749A3"/>
    <w:rsid w:val="00D74E55"/>
    <w:rsid w:val="00D750A8"/>
    <w:rsid w:val="00D75B52"/>
    <w:rsid w:val="00D75D56"/>
    <w:rsid w:val="00D75FBD"/>
    <w:rsid w:val="00D76796"/>
    <w:rsid w:val="00D77783"/>
    <w:rsid w:val="00D77F85"/>
    <w:rsid w:val="00D8014C"/>
    <w:rsid w:val="00D80690"/>
    <w:rsid w:val="00D81207"/>
    <w:rsid w:val="00D8150C"/>
    <w:rsid w:val="00D81802"/>
    <w:rsid w:val="00D81A8E"/>
    <w:rsid w:val="00D81D6A"/>
    <w:rsid w:val="00D81F64"/>
    <w:rsid w:val="00D82D97"/>
    <w:rsid w:val="00D83C46"/>
    <w:rsid w:val="00D83C71"/>
    <w:rsid w:val="00D84E48"/>
    <w:rsid w:val="00D85C6F"/>
    <w:rsid w:val="00D8630B"/>
    <w:rsid w:val="00D867D3"/>
    <w:rsid w:val="00D86B47"/>
    <w:rsid w:val="00D87876"/>
    <w:rsid w:val="00D90288"/>
    <w:rsid w:val="00D90368"/>
    <w:rsid w:val="00D9139C"/>
    <w:rsid w:val="00D9349C"/>
    <w:rsid w:val="00D93C54"/>
    <w:rsid w:val="00D941B5"/>
    <w:rsid w:val="00D94213"/>
    <w:rsid w:val="00D943EF"/>
    <w:rsid w:val="00D94A64"/>
    <w:rsid w:val="00D94C6F"/>
    <w:rsid w:val="00D96106"/>
    <w:rsid w:val="00D96576"/>
    <w:rsid w:val="00D9689D"/>
    <w:rsid w:val="00D968AC"/>
    <w:rsid w:val="00D96CBF"/>
    <w:rsid w:val="00D96CD2"/>
    <w:rsid w:val="00D96DAF"/>
    <w:rsid w:val="00D96F8C"/>
    <w:rsid w:val="00DA086F"/>
    <w:rsid w:val="00DA1276"/>
    <w:rsid w:val="00DA1612"/>
    <w:rsid w:val="00DA19F1"/>
    <w:rsid w:val="00DA2EEC"/>
    <w:rsid w:val="00DA4C10"/>
    <w:rsid w:val="00DA5E43"/>
    <w:rsid w:val="00DA6AD6"/>
    <w:rsid w:val="00DA6DDC"/>
    <w:rsid w:val="00DA7566"/>
    <w:rsid w:val="00DA79FC"/>
    <w:rsid w:val="00DA7AAB"/>
    <w:rsid w:val="00DA7AE9"/>
    <w:rsid w:val="00DA7F30"/>
    <w:rsid w:val="00DB02C3"/>
    <w:rsid w:val="00DB074C"/>
    <w:rsid w:val="00DB0BA4"/>
    <w:rsid w:val="00DB1B9A"/>
    <w:rsid w:val="00DB1D43"/>
    <w:rsid w:val="00DB25E5"/>
    <w:rsid w:val="00DB2C94"/>
    <w:rsid w:val="00DB300F"/>
    <w:rsid w:val="00DB3548"/>
    <w:rsid w:val="00DB35B5"/>
    <w:rsid w:val="00DB3797"/>
    <w:rsid w:val="00DB3E7D"/>
    <w:rsid w:val="00DB3FE1"/>
    <w:rsid w:val="00DB434F"/>
    <w:rsid w:val="00DB565C"/>
    <w:rsid w:val="00DB6807"/>
    <w:rsid w:val="00DB749E"/>
    <w:rsid w:val="00DC05C0"/>
    <w:rsid w:val="00DC1697"/>
    <w:rsid w:val="00DC16EE"/>
    <w:rsid w:val="00DC1795"/>
    <w:rsid w:val="00DC21FE"/>
    <w:rsid w:val="00DC2641"/>
    <w:rsid w:val="00DC3533"/>
    <w:rsid w:val="00DC372F"/>
    <w:rsid w:val="00DC4565"/>
    <w:rsid w:val="00DC4A47"/>
    <w:rsid w:val="00DC4B29"/>
    <w:rsid w:val="00DC4BBA"/>
    <w:rsid w:val="00DC4C40"/>
    <w:rsid w:val="00DC6033"/>
    <w:rsid w:val="00DC65EA"/>
    <w:rsid w:val="00DC68F6"/>
    <w:rsid w:val="00DC69F3"/>
    <w:rsid w:val="00DC6BD8"/>
    <w:rsid w:val="00DC6D94"/>
    <w:rsid w:val="00DC712F"/>
    <w:rsid w:val="00DD0684"/>
    <w:rsid w:val="00DD076C"/>
    <w:rsid w:val="00DD2681"/>
    <w:rsid w:val="00DD3542"/>
    <w:rsid w:val="00DD370D"/>
    <w:rsid w:val="00DD446B"/>
    <w:rsid w:val="00DD47D6"/>
    <w:rsid w:val="00DD4CE1"/>
    <w:rsid w:val="00DD6255"/>
    <w:rsid w:val="00DD6AC1"/>
    <w:rsid w:val="00DD72C3"/>
    <w:rsid w:val="00DD76DE"/>
    <w:rsid w:val="00DE1178"/>
    <w:rsid w:val="00DE1C0C"/>
    <w:rsid w:val="00DE1C57"/>
    <w:rsid w:val="00DE1E3D"/>
    <w:rsid w:val="00DE27AD"/>
    <w:rsid w:val="00DE3380"/>
    <w:rsid w:val="00DE3781"/>
    <w:rsid w:val="00DE3C8F"/>
    <w:rsid w:val="00DE411F"/>
    <w:rsid w:val="00DE42AC"/>
    <w:rsid w:val="00DE4E2C"/>
    <w:rsid w:val="00DE5010"/>
    <w:rsid w:val="00DE6B78"/>
    <w:rsid w:val="00DE6EE3"/>
    <w:rsid w:val="00DE7BAB"/>
    <w:rsid w:val="00DF00F7"/>
    <w:rsid w:val="00DF0251"/>
    <w:rsid w:val="00DF029E"/>
    <w:rsid w:val="00DF08CE"/>
    <w:rsid w:val="00DF0ADE"/>
    <w:rsid w:val="00DF130A"/>
    <w:rsid w:val="00DF1FC9"/>
    <w:rsid w:val="00DF2A18"/>
    <w:rsid w:val="00DF2C6B"/>
    <w:rsid w:val="00DF33F0"/>
    <w:rsid w:val="00DF344F"/>
    <w:rsid w:val="00DF36C3"/>
    <w:rsid w:val="00DF3F42"/>
    <w:rsid w:val="00DF447D"/>
    <w:rsid w:val="00DF472E"/>
    <w:rsid w:val="00DF47CC"/>
    <w:rsid w:val="00DF4A08"/>
    <w:rsid w:val="00DF512B"/>
    <w:rsid w:val="00DF680E"/>
    <w:rsid w:val="00DF6CDE"/>
    <w:rsid w:val="00DF6D5C"/>
    <w:rsid w:val="00DF6ED2"/>
    <w:rsid w:val="00DF76BB"/>
    <w:rsid w:val="00DF7996"/>
    <w:rsid w:val="00DF7A9F"/>
    <w:rsid w:val="00E00026"/>
    <w:rsid w:val="00E0094B"/>
    <w:rsid w:val="00E00A7D"/>
    <w:rsid w:val="00E00C42"/>
    <w:rsid w:val="00E00F98"/>
    <w:rsid w:val="00E0117F"/>
    <w:rsid w:val="00E01378"/>
    <w:rsid w:val="00E0288B"/>
    <w:rsid w:val="00E029E4"/>
    <w:rsid w:val="00E0452D"/>
    <w:rsid w:val="00E04C55"/>
    <w:rsid w:val="00E052F8"/>
    <w:rsid w:val="00E0541F"/>
    <w:rsid w:val="00E05ECD"/>
    <w:rsid w:val="00E06769"/>
    <w:rsid w:val="00E06E10"/>
    <w:rsid w:val="00E07F11"/>
    <w:rsid w:val="00E07FC1"/>
    <w:rsid w:val="00E111A3"/>
    <w:rsid w:val="00E113F3"/>
    <w:rsid w:val="00E119B1"/>
    <w:rsid w:val="00E11D52"/>
    <w:rsid w:val="00E11FEC"/>
    <w:rsid w:val="00E12302"/>
    <w:rsid w:val="00E1254D"/>
    <w:rsid w:val="00E12C45"/>
    <w:rsid w:val="00E1301D"/>
    <w:rsid w:val="00E1305E"/>
    <w:rsid w:val="00E136EC"/>
    <w:rsid w:val="00E13B67"/>
    <w:rsid w:val="00E13C79"/>
    <w:rsid w:val="00E14209"/>
    <w:rsid w:val="00E14266"/>
    <w:rsid w:val="00E1456B"/>
    <w:rsid w:val="00E149B9"/>
    <w:rsid w:val="00E14A11"/>
    <w:rsid w:val="00E14B69"/>
    <w:rsid w:val="00E15550"/>
    <w:rsid w:val="00E15C0E"/>
    <w:rsid w:val="00E16FE5"/>
    <w:rsid w:val="00E178E4"/>
    <w:rsid w:val="00E1799E"/>
    <w:rsid w:val="00E20907"/>
    <w:rsid w:val="00E22A32"/>
    <w:rsid w:val="00E22CFC"/>
    <w:rsid w:val="00E22DCF"/>
    <w:rsid w:val="00E22F09"/>
    <w:rsid w:val="00E23837"/>
    <w:rsid w:val="00E24330"/>
    <w:rsid w:val="00E24DB3"/>
    <w:rsid w:val="00E24DC3"/>
    <w:rsid w:val="00E25E12"/>
    <w:rsid w:val="00E26770"/>
    <w:rsid w:val="00E27670"/>
    <w:rsid w:val="00E27BB0"/>
    <w:rsid w:val="00E27CA5"/>
    <w:rsid w:val="00E27FE7"/>
    <w:rsid w:val="00E30147"/>
    <w:rsid w:val="00E31102"/>
    <w:rsid w:val="00E311BE"/>
    <w:rsid w:val="00E315B5"/>
    <w:rsid w:val="00E31F88"/>
    <w:rsid w:val="00E32267"/>
    <w:rsid w:val="00E325CF"/>
    <w:rsid w:val="00E326C1"/>
    <w:rsid w:val="00E33506"/>
    <w:rsid w:val="00E344A3"/>
    <w:rsid w:val="00E34561"/>
    <w:rsid w:val="00E34593"/>
    <w:rsid w:val="00E352BC"/>
    <w:rsid w:val="00E359DB"/>
    <w:rsid w:val="00E370D3"/>
    <w:rsid w:val="00E3799D"/>
    <w:rsid w:val="00E37D0B"/>
    <w:rsid w:val="00E37F8A"/>
    <w:rsid w:val="00E404DB"/>
    <w:rsid w:val="00E40A41"/>
    <w:rsid w:val="00E411E4"/>
    <w:rsid w:val="00E43BCA"/>
    <w:rsid w:val="00E44F23"/>
    <w:rsid w:val="00E45245"/>
    <w:rsid w:val="00E4569B"/>
    <w:rsid w:val="00E4577C"/>
    <w:rsid w:val="00E45976"/>
    <w:rsid w:val="00E4631E"/>
    <w:rsid w:val="00E4681E"/>
    <w:rsid w:val="00E46D4B"/>
    <w:rsid w:val="00E5142A"/>
    <w:rsid w:val="00E51F78"/>
    <w:rsid w:val="00E524FF"/>
    <w:rsid w:val="00E52875"/>
    <w:rsid w:val="00E52D58"/>
    <w:rsid w:val="00E53601"/>
    <w:rsid w:val="00E53808"/>
    <w:rsid w:val="00E53839"/>
    <w:rsid w:val="00E54E36"/>
    <w:rsid w:val="00E553DE"/>
    <w:rsid w:val="00E55F90"/>
    <w:rsid w:val="00E55FAA"/>
    <w:rsid w:val="00E5664C"/>
    <w:rsid w:val="00E5691D"/>
    <w:rsid w:val="00E57302"/>
    <w:rsid w:val="00E606DF"/>
    <w:rsid w:val="00E60B7F"/>
    <w:rsid w:val="00E60D27"/>
    <w:rsid w:val="00E60EE5"/>
    <w:rsid w:val="00E61493"/>
    <w:rsid w:val="00E61AF8"/>
    <w:rsid w:val="00E62520"/>
    <w:rsid w:val="00E628C0"/>
    <w:rsid w:val="00E629CF"/>
    <w:rsid w:val="00E62BA9"/>
    <w:rsid w:val="00E63053"/>
    <w:rsid w:val="00E631F0"/>
    <w:rsid w:val="00E63481"/>
    <w:rsid w:val="00E639E8"/>
    <w:rsid w:val="00E6459C"/>
    <w:rsid w:val="00E64856"/>
    <w:rsid w:val="00E64969"/>
    <w:rsid w:val="00E64CFB"/>
    <w:rsid w:val="00E64D0F"/>
    <w:rsid w:val="00E6504B"/>
    <w:rsid w:val="00E650B1"/>
    <w:rsid w:val="00E6682B"/>
    <w:rsid w:val="00E66A89"/>
    <w:rsid w:val="00E66ADA"/>
    <w:rsid w:val="00E67F97"/>
    <w:rsid w:val="00E7024A"/>
    <w:rsid w:val="00E702BB"/>
    <w:rsid w:val="00E7085B"/>
    <w:rsid w:val="00E70953"/>
    <w:rsid w:val="00E71820"/>
    <w:rsid w:val="00E71F96"/>
    <w:rsid w:val="00E72BFF"/>
    <w:rsid w:val="00E72CD1"/>
    <w:rsid w:val="00E72D97"/>
    <w:rsid w:val="00E72E1E"/>
    <w:rsid w:val="00E73740"/>
    <w:rsid w:val="00E73A86"/>
    <w:rsid w:val="00E74641"/>
    <w:rsid w:val="00E75378"/>
    <w:rsid w:val="00E76842"/>
    <w:rsid w:val="00E77B9E"/>
    <w:rsid w:val="00E8056A"/>
    <w:rsid w:val="00E80945"/>
    <w:rsid w:val="00E80D78"/>
    <w:rsid w:val="00E8135E"/>
    <w:rsid w:val="00E82C35"/>
    <w:rsid w:val="00E83E19"/>
    <w:rsid w:val="00E847CB"/>
    <w:rsid w:val="00E84B4E"/>
    <w:rsid w:val="00E850D1"/>
    <w:rsid w:val="00E86414"/>
    <w:rsid w:val="00E86BE7"/>
    <w:rsid w:val="00E876B6"/>
    <w:rsid w:val="00E87884"/>
    <w:rsid w:val="00E878D5"/>
    <w:rsid w:val="00E904C6"/>
    <w:rsid w:val="00E90CB7"/>
    <w:rsid w:val="00E91058"/>
    <w:rsid w:val="00E91627"/>
    <w:rsid w:val="00E91AF2"/>
    <w:rsid w:val="00E920AE"/>
    <w:rsid w:val="00E92B0F"/>
    <w:rsid w:val="00E92BC1"/>
    <w:rsid w:val="00E92BDA"/>
    <w:rsid w:val="00E92BEA"/>
    <w:rsid w:val="00E931B8"/>
    <w:rsid w:val="00E93420"/>
    <w:rsid w:val="00E939C1"/>
    <w:rsid w:val="00E956FE"/>
    <w:rsid w:val="00E95AA0"/>
    <w:rsid w:val="00E95FB2"/>
    <w:rsid w:val="00E96449"/>
    <w:rsid w:val="00E96639"/>
    <w:rsid w:val="00E97695"/>
    <w:rsid w:val="00E978CE"/>
    <w:rsid w:val="00E97FD5"/>
    <w:rsid w:val="00EA0A5C"/>
    <w:rsid w:val="00EA0DDB"/>
    <w:rsid w:val="00EA1D65"/>
    <w:rsid w:val="00EA2873"/>
    <w:rsid w:val="00EA28BC"/>
    <w:rsid w:val="00EA2FE2"/>
    <w:rsid w:val="00EA3724"/>
    <w:rsid w:val="00EA3913"/>
    <w:rsid w:val="00EA513D"/>
    <w:rsid w:val="00EA5F1A"/>
    <w:rsid w:val="00EA688C"/>
    <w:rsid w:val="00EA6A7D"/>
    <w:rsid w:val="00EA7412"/>
    <w:rsid w:val="00EB0332"/>
    <w:rsid w:val="00EB0BEF"/>
    <w:rsid w:val="00EB0DB5"/>
    <w:rsid w:val="00EB0E01"/>
    <w:rsid w:val="00EB1018"/>
    <w:rsid w:val="00EB1502"/>
    <w:rsid w:val="00EB2743"/>
    <w:rsid w:val="00EB28A9"/>
    <w:rsid w:val="00EB2D01"/>
    <w:rsid w:val="00EB3E11"/>
    <w:rsid w:val="00EB5415"/>
    <w:rsid w:val="00EB5789"/>
    <w:rsid w:val="00EB6BDC"/>
    <w:rsid w:val="00EB7397"/>
    <w:rsid w:val="00EB7526"/>
    <w:rsid w:val="00EB7941"/>
    <w:rsid w:val="00EC0266"/>
    <w:rsid w:val="00EC07A6"/>
    <w:rsid w:val="00EC0C66"/>
    <w:rsid w:val="00EC13DF"/>
    <w:rsid w:val="00EC1D3E"/>
    <w:rsid w:val="00EC3D02"/>
    <w:rsid w:val="00EC48F9"/>
    <w:rsid w:val="00EC4CBD"/>
    <w:rsid w:val="00EC503C"/>
    <w:rsid w:val="00EC539D"/>
    <w:rsid w:val="00EC5975"/>
    <w:rsid w:val="00EC5B14"/>
    <w:rsid w:val="00EC5EF8"/>
    <w:rsid w:val="00EC6279"/>
    <w:rsid w:val="00EC6618"/>
    <w:rsid w:val="00EC66B6"/>
    <w:rsid w:val="00EC71FC"/>
    <w:rsid w:val="00EC7E4E"/>
    <w:rsid w:val="00ED03C3"/>
    <w:rsid w:val="00ED0D21"/>
    <w:rsid w:val="00ED1004"/>
    <w:rsid w:val="00ED179C"/>
    <w:rsid w:val="00ED3272"/>
    <w:rsid w:val="00ED3687"/>
    <w:rsid w:val="00ED38E9"/>
    <w:rsid w:val="00ED3CAA"/>
    <w:rsid w:val="00ED3E2E"/>
    <w:rsid w:val="00ED43EE"/>
    <w:rsid w:val="00ED45CC"/>
    <w:rsid w:val="00ED4792"/>
    <w:rsid w:val="00ED47DB"/>
    <w:rsid w:val="00ED5B2D"/>
    <w:rsid w:val="00ED621E"/>
    <w:rsid w:val="00ED657F"/>
    <w:rsid w:val="00ED73E4"/>
    <w:rsid w:val="00ED77E2"/>
    <w:rsid w:val="00EE0090"/>
    <w:rsid w:val="00EE03D9"/>
    <w:rsid w:val="00EE0667"/>
    <w:rsid w:val="00EE1213"/>
    <w:rsid w:val="00EE1915"/>
    <w:rsid w:val="00EE217B"/>
    <w:rsid w:val="00EE2C26"/>
    <w:rsid w:val="00EE338A"/>
    <w:rsid w:val="00EE3DF2"/>
    <w:rsid w:val="00EE42A8"/>
    <w:rsid w:val="00EE53C5"/>
    <w:rsid w:val="00EE5C2B"/>
    <w:rsid w:val="00EE7079"/>
    <w:rsid w:val="00EE7966"/>
    <w:rsid w:val="00EF14AC"/>
    <w:rsid w:val="00EF3B62"/>
    <w:rsid w:val="00EF413E"/>
    <w:rsid w:val="00EF59AB"/>
    <w:rsid w:val="00EF6349"/>
    <w:rsid w:val="00EF6B10"/>
    <w:rsid w:val="00EF70EE"/>
    <w:rsid w:val="00EF733B"/>
    <w:rsid w:val="00EF73F2"/>
    <w:rsid w:val="00F00439"/>
    <w:rsid w:val="00F004DF"/>
    <w:rsid w:val="00F004E5"/>
    <w:rsid w:val="00F00EC7"/>
    <w:rsid w:val="00F038D7"/>
    <w:rsid w:val="00F03930"/>
    <w:rsid w:val="00F04392"/>
    <w:rsid w:val="00F0451A"/>
    <w:rsid w:val="00F0580B"/>
    <w:rsid w:val="00F05BD6"/>
    <w:rsid w:val="00F05FC7"/>
    <w:rsid w:val="00F068A9"/>
    <w:rsid w:val="00F07C0E"/>
    <w:rsid w:val="00F110CD"/>
    <w:rsid w:val="00F116E0"/>
    <w:rsid w:val="00F11B62"/>
    <w:rsid w:val="00F11FAB"/>
    <w:rsid w:val="00F1217A"/>
    <w:rsid w:val="00F1380A"/>
    <w:rsid w:val="00F13BEF"/>
    <w:rsid w:val="00F1468F"/>
    <w:rsid w:val="00F14DD9"/>
    <w:rsid w:val="00F1515B"/>
    <w:rsid w:val="00F15456"/>
    <w:rsid w:val="00F173B8"/>
    <w:rsid w:val="00F205D1"/>
    <w:rsid w:val="00F2125B"/>
    <w:rsid w:val="00F221FD"/>
    <w:rsid w:val="00F22629"/>
    <w:rsid w:val="00F23381"/>
    <w:rsid w:val="00F23C51"/>
    <w:rsid w:val="00F240B7"/>
    <w:rsid w:val="00F24692"/>
    <w:rsid w:val="00F251C4"/>
    <w:rsid w:val="00F251E9"/>
    <w:rsid w:val="00F25578"/>
    <w:rsid w:val="00F258C8"/>
    <w:rsid w:val="00F25C39"/>
    <w:rsid w:val="00F25F1A"/>
    <w:rsid w:val="00F27063"/>
    <w:rsid w:val="00F300B9"/>
    <w:rsid w:val="00F3076A"/>
    <w:rsid w:val="00F307AE"/>
    <w:rsid w:val="00F30B92"/>
    <w:rsid w:val="00F30EA1"/>
    <w:rsid w:val="00F30ECA"/>
    <w:rsid w:val="00F30ED6"/>
    <w:rsid w:val="00F325EB"/>
    <w:rsid w:val="00F32668"/>
    <w:rsid w:val="00F32A08"/>
    <w:rsid w:val="00F32C2A"/>
    <w:rsid w:val="00F32C37"/>
    <w:rsid w:val="00F32EF7"/>
    <w:rsid w:val="00F330F0"/>
    <w:rsid w:val="00F33272"/>
    <w:rsid w:val="00F3397B"/>
    <w:rsid w:val="00F33AFA"/>
    <w:rsid w:val="00F33C09"/>
    <w:rsid w:val="00F34F1D"/>
    <w:rsid w:val="00F3543E"/>
    <w:rsid w:val="00F357E9"/>
    <w:rsid w:val="00F359DD"/>
    <w:rsid w:val="00F35DBD"/>
    <w:rsid w:val="00F35E4A"/>
    <w:rsid w:val="00F367DB"/>
    <w:rsid w:val="00F3691D"/>
    <w:rsid w:val="00F36E46"/>
    <w:rsid w:val="00F37472"/>
    <w:rsid w:val="00F40743"/>
    <w:rsid w:val="00F41B41"/>
    <w:rsid w:val="00F41BBD"/>
    <w:rsid w:val="00F43033"/>
    <w:rsid w:val="00F43260"/>
    <w:rsid w:val="00F44709"/>
    <w:rsid w:val="00F44BBA"/>
    <w:rsid w:val="00F457D1"/>
    <w:rsid w:val="00F458D5"/>
    <w:rsid w:val="00F45B12"/>
    <w:rsid w:val="00F47C8B"/>
    <w:rsid w:val="00F47E58"/>
    <w:rsid w:val="00F50BD6"/>
    <w:rsid w:val="00F50E20"/>
    <w:rsid w:val="00F51079"/>
    <w:rsid w:val="00F51DEE"/>
    <w:rsid w:val="00F525C3"/>
    <w:rsid w:val="00F52988"/>
    <w:rsid w:val="00F52D4B"/>
    <w:rsid w:val="00F53878"/>
    <w:rsid w:val="00F549FD"/>
    <w:rsid w:val="00F54AB6"/>
    <w:rsid w:val="00F55675"/>
    <w:rsid w:val="00F56F70"/>
    <w:rsid w:val="00F5730C"/>
    <w:rsid w:val="00F60114"/>
    <w:rsid w:val="00F6053D"/>
    <w:rsid w:val="00F61532"/>
    <w:rsid w:val="00F62739"/>
    <w:rsid w:val="00F630C1"/>
    <w:rsid w:val="00F63228"/>
    <w:rsid w:val="00F635E4"/>
    <w:rsid w:val="00F637CE"/>
    <w:rsid w:val="00F6524F"/>
    <w:rsid w:val="00F6585F"/>
    <w:rsid w:val="00F65898"/>
    <w:rsid w:val="00F658D1"/>
    <w:rsid w:val="00F6624D"/>
    <w:rsid w:val="00F66B49"/>
    <w:rsid w:val="00F67736"/>
    <w:rsid w:val="00F70717"/>
    <w:rsid w:val="00F70B1C"/>
    <w:rsid w:val="00F7158E"/>
    <w:rsid w:val="00F71996"/>
    <w:rsid w:val="00F71A1A"/>
    <w:rsid w:val="00F71A4F"/>
    <w:rsid w:val="00F727A9"/>
    <w:rsid w:val="00F72DE3"/>
    <w:rsid w:val="00F72F30"/>
    <w:rsid w:val="00F744CE"/>
    <w:rsid w:val="00F749FC"/>
    <w:rsid w:val="00F7515A"/>
    <w:rsid w:val="00F751A3"/>
    <w:rsid w:val="00F75C60"/>
    <w:rsid w:val="00F7617E"/>
    <w:rsid w:val="00F768CA"/>
    <w:rsid w:val="00F76DD2"/>
    <w:rsid w:val="00F77B51"/>
    <w:rsid w:val="00F801FA"/>
    <w:rsid w:val="00F805D4"/>
    <w:rsid w:val="00F81633"/>
    <w:rsid w:val="00F81C0B"/>
    <w:rsid w:val="00F81C8A"/>
    <w:rsid w:val="00F83DA4"/>
    <w:rsid w:val="00F8417A"/>
    <w:rsid w:val="00F84781"/>
    <w:rsid w:val="00F86584"/>
    <w:rsid w:val="00F865B3"/>
    <w:rsid w:val="00F8698F"/>
    <w:rsid w:val="00F871D9"/>
    <w:rsid w:val="00F87A7C"/>
    <w:rsid w:val="00F90655"/>
    <w:rsid w:val="00F91848"/>
    <w:rsid w:val="00F91D2E"/>
    <w:rsid w:val="00F920A9"/>
    <w:rsid w:val="00F929EA"/>
    <w:rsid w:val="00F933EA"/>
    <w:rsid w:val="00F934D1"/>
    <w:rsid w:val="00F93AE9"/>
    <w:rsid w:val="00F93F6C"/>
    <w:rsid w:val="00F93FD5"/>
    <w:rsid w:val="00F942B3"/>
    <w:rsid w:val="00F94497"/>
    <w:rsid w:val="00F94CE8"/>
    <w:rsid w:val="00F94D2A"/>
    <w:rsid w:val="00F95507"/>
    <w:rsid w:val="00F95CFB"/>
    <w:rsid w:val="00F96E97"/>
    <w:rsid w:val="00F97AF3"/>
    <w:rsid w:val="00F97D5C"/>
    <w:rsid w:val="00FA0108"/>
    <w:rsid w:val="00FA022D"/>
    <w:rsid w:val="00FA05C3"/>
    <w:rsid w:val="00FA0AC2"/>
    <w:rsid w:val="00FA0E1D"/>
    <w:rsid w:val="00FA23E6"/>
    <w:rsid w:val="00FA27A2"/>
    <w:rsid w:val="00FA29ED"/>
    <w:rsid w:val="00FA2C7A"/>
    <w:rsid w:val="00FA352D"/>
    <w:rsid w:val="00FA3E75"/>
    <w:rsid w:val="00FA4290"/>
    <w:rsid w:val="00FA46BA"/>
    <w:rsid w:val="00FA47DD"/>
    <w:rsid w:val="00FA5A62"/>
    <w:rsid w:val="00FA60E3"/>
    <w:rsid w:val="00FA6945"/>
    <w:rsid w:val="00FA6B8B"/>
    <w:rsid w:val="00FA6FC4"/>
    <w:rsid w:val="00FA78D5"/>
    <w:rsid w:val="00FA794A"/>
    <w:rsid w:val="00FB0270"/>
    <w:rsid w:val="00FB1872"/>
    <w:rsid w:val="00FB1B5E"/>
    <w:rsid w:val="00FB23D5"/>
    <w:rsid w:val="00FB2941"/>
    <w:rsid w:val="00FB30A1"/>
    <w:rsid w:val="00FB4015"/>
    <w:rsid w:val="00FB44D0"/>
    <w:rsid w:val="00FB47F5"/>
    <w:rsid w:val="00FB53C9"/>
    <w:rsid w:val="00FB6C31"/>
    <w:rsid w:val="00FB7903"/>
    <w:rsid w:val="00FB7994"/>
    <w:rsid w:val="00FC1F0D"/>
    <w:rsid w:val="00FC201F"/>
    <w:rsid w:val="00FC2B5B"/>
    <w:rsid w:val="00FC3C63"/>
    <w:rsid w:val="00FC3DF2"/>
    <w:rsid w:val="00FC42CC"/>
    <w:rsid w:val="00FC5254"/>
    <w:rsid w:val="00FC53D6"/>
    <w:rsid w:val="00FC57DF"/>
    <w:rsid w:val="00FC586A"/>
    <w:rsid w:val="00FD0108"/>
    <w:rsid w:val="00FD0FBE"/>
    <w:rsid w:val="00FD1EC9"/>
    <w:rsid w:val="00FD1FC9"/>
    <w:rsid w:val="00FD31D2"/>
    <w:rsid w:val="00FD3C10"/>
    <w:rsid w:val="00FD3EFA"/>
    <w:rsid w:val="00FD50FD"/>
    <w:rsid w:val="00FD5176"/>
    <w:rsid w:val="00FD56BA"/>
    <w:rsid w:val="00FD5E92"/>
    <w:rsid w:val="00FD62A9"/>
    <w:rsid w:val="00FD6ABA"/>
    <w:rsid w:val="00FD6C9B"/>
    <w:rsid w:val="00FD7163"/>
    <w:rsid w:val="00FD76B9"/>
    <w:rsid w:val="00FD7C72"/>
    <w:rsid w:val="00FE05EE"/>
    <w:rsid w:val="00FE07AD"/>
    <w:rsid w:val="00FE0B46"/>
    <w:rsid w:val="00FE0BA1"/>
    <w:rsid w:val="00FE1D40"/>
    <w:rsid w:val="00FE291C"/>
    <w:rsid w:val="00FE29C4"/>
    <w:rsid w:val="00FE333B"/>
    <w:rsid w:val="00FE3D3C"/>
    <w:rsid w:val="00FE3E27"/>
    <w:rsid w:val="00FE52B8"/>
    <w:rsid w:val="00FE5334"/>
    <w:rsid w:val="00FE57F2"/>
    <w:rsid w:val="00FE5EA8"/>
    <w:rsid w:val="00FE5FA8"/>
    <w:rsid w:val="00FE73DE"/>
    <w:rsid w:val="00FE79B6"/>
    <w:rsid w:val="00FF0816"/>
    <w:rsid w:val="00FF0A24"/>
    <w:rsid w:val="00FF121F"/>
    <w:rsid w:val="00FF1864"/>
    <w:rsid w:val="00FF1D15"/>
    <w:rsid w:val="00FF3380"/>
    <w:rsid w:val="00FF391C"/>
    <w:rsid w:val="00FF3FA0"/>
    <w:rsid w:val="00FF4CF0"/>
    <w:rsid w:val="00FF4E9C"/>
    <w:rsid w:val="00FF603F"/>
    <w:rsid w:val="00FF6383"/>
    <w:rsid w:val="00FF6606"/>
    <w:rsid w:val="00FF6638"/>
    <w:rsid w:val="00FF67E6"/>
    <w:rsid w:val="00FF6EDD"/>
    <w:rsid w:val="00FF6F9D"/>
    <w:rsid w:val="00FF7BCA"/>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5:docId w15:val="{D36E2E33-CB8A-41D4-9ECB-5C4A2FF9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pPr>
        <w:spacing w:before="120" w:after="60" w:line="276" w:lineRule="auto"/>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DE5"/>
    <w:rPr>
      <w:rFonts w:ascii="Arial" w:hAnsi="Arial"/>
      <w:noProof/>
      <w:sz w:val="22"/>
      <w:szCs w:val="24"/>
      <w:lang w:eastAsia="en-US" w:bidi="en-US"/>
    </w:rPr>
  </w:style>
  <w:style w:type="paragraph" w:styleId="Heading1">
    <w:name w:val="heading 1"/>
    <w:basedOn w:val="Normal"/>
    <w:next w:val="Heading2"/>
    <w:link w:val="Nadpis1Char"/>
    <w:uiPriority w:val="99"/>
    <w:qFormat/>
    <w:rsid w:val="00AC5170"/>
    <w:pPr>
      <w:keepNext/>
      <w:numPr>
        <w:numId w:val="42"/>
      </w:numPr>
      <w:spacing w:before="360"/>
      <w:outlineLvl w:val="0"/>
    </w:pPr>
    <w:rPr>
      <w:rFonts w:cs="Arial"/>
      <w:b/>
      <w:bCs/>
      <w:kern w:val="32"/>
      <w:sz w:val="28"/>
      <w:szCs w:val="32"/>
    </w:rPr>
  </w:style>
  <w:style w:type="paragraph" w:styleId="Heading2">
    <w:name w:val="heading 2"/>
    <w:aliases w:val="Heading 2 Firm,Heading 2 Firm1"/>
    <w:basedOn w:val="Heading1"/>
    <w:link w:val="Nadpis2Char"/>
    <w:uiPriority w:val="99"/>
    <w:unhideWhenUsed/>
    <w:qFormat/>
    <w:rsid w:val="00C67383"/>
    <w:pPr>
      <w:numPr>
        <w:ilvl w:val="1"/>
      </w:numPr>
      <w:spacing w:before="240"/>
      <w:outlineLvl w:val="1"/>
    </w:pPr>
    <w:rPr>
      <w:bCs w:val="0"/>
      <w:iCs/>
      <w:sz w:val="24"/>
      <w:szCs w:val="28"/>
    </w:rPr>
  </w:style>
  <w:style w:type="paragraph" w:styleId="Heading3">
    <w:name w:val="heading 3"/>
    <w:basedOn w:val="Normal"/>
    <w:next w:val="Normal"/>
    <w:link w:val="Nadpis3Char"/>
    <w:autoRedefine/>
    <w:uiPriority w:val="99"/>
    <w:unhideWhenUsed/>
    <w:qFormat/>
    <w:rsid w:val="00BF16B7"/>
    <w:pPr>
      <w:widowControl w:val="0"/>
      <w:outlineLvl w:val="2"/>
    </w:pPr>
    <w:rPr>
      <w:rFonts w:eastAsia="Calibri" w:cs="Arial"/>
      <w:b/>
      <w:bCs/>
      <w:lang w:bidi="ar-SA"/>
    </w:rPr>
  </w:style>
  <w:style w:type="paragraph" w:styleId="Heading4">
    <w:name w:val="heading 4"/>
    <w:basedOn w:val="Normal"/>
    <w:next w:val="Normal"/>
    <w:link w:val="Nadpis4Char"/>
    <w:uiPriority w:val="99"/>
    <w:unhideWhenUsed/>
    <w:qFormat/>
    <w:rsid w:val="00BE2B5F"/>
    <w:pPr>
      <w:keepNext/>
      <w:numPr>
        <w:ilvl w:val="3"/>
        <w:numId w:val="42"/>
      </w:numPr>
      <w:spacing w:before="240"/>
      <w:outlineLvl w:val="3"/>
    </w:pPr>
    <w:rPr>
      <w:bCs/>
      <w:sz w:val="28"/>
      <w:szCs w:val="28"/>
    </w:rPr>
  </w:style>
  <w:style w:type="paragraph" w:styleId="Heading5">
    <w:name w:val="heading 5"/>
    <w:basedOn w:val="Normal"/>
    <w:next w:val="Normal"/>
    <w:link w:val="Nadpis5Char"/>
    <w:uiPriority w:val="99"/>
    <w:unhideWhenUsed/>
    <w:qFormat/>
    <w:rsid w:val="00BE2B5F"/>
    <w:pPr>
      <w:numPr>
        <w:ilvl w:val="4"/>
        <w:numId w:val="42"/>
      </w:numPr>
      <w:spacing w:before="240"/>
      <w:outlineLvl w:val="4"/>
    </w:pPr>
    <w:rPr>
      <w:bCs/>
      <w:i/>
      <w:iCs/>
      <w:sz w:val="26"/>
      <w:szCs w:val="26"/>
    </w:rPr>
  </w:style>
  <w:style w:type="paragraph" w:styleId="Heading6">
    <w:name w:val="heading 6"/>
    <w:basedOn w:val="Normal"/>
    <w:next w:val="Normal"/>
    <w:link w:val="Nadpis6Char"/>
    <w:uiPriority w:val="9"/>
    <w:unhideWhenUsed/>
    <w:qFormat/>
    <w:rsid w:val="00BE2B5F"/>
    <w:pPr>
      <w:numPr>
        <w:ilvl w:val="5"/>
        <w:numId w:val="42"/>
      </w:numPr>
      <w:spacing w:before="240"/>
      <w:outlineLvl w:val="5"/>
    </w:pPr>
    <w:rPr>
      <w:bCs/>
      <w:szCs w:val="22"/>
    </w:rPr>
  </w:style>
  <w:style w:type="paragraph" w:styleId="Heading7">
    <w:name w:val="heading 7"/>
    <w:basedOn w:val="Normal"/>
    <w:next w:val="Normal"/>
    <w:link w:val="Nadpis7Char"/>
    <w:uiPriority w:val="9"/>
    <w:unhideWhenUsed/>
    <w:qFormat/>
    <w:rsid w:val="00BE2B5F"/>
    <w:pPr>
      <w:numPr>
        <w:ilvl w:val="6"/>
        <w:numId w:val="42"/>
      </w:numPr>
      <w:spacing w:before="240"/>
      <w:outlineLvl w:val="6"/>
    </w:pPr>
  </w:style>
  <w:style w:type="paragraph" w:styleId="Heading8">
    <w:name w:val="heading 8"/>
    <w:basedOn w:val="Normal"/>
    <w:next w:val="Normal"/>
    <w:link w:val="Nadpis8Char"/>
    <w:uiPriority w:val="9"/>
    <w:unhideWhenUsed/>
    <w:qFormat/>
    <w:rsid w:val="00BE2B5F"/>
    <w:pPr>
      <w:numPr>
        <w:ilvl w:val="7"/>
        <w:numId w:val="42"/>
      </w:numPr>
      <w:spacing w:before="240"/>
      <w:outlineLvl w:val="7"/>
    </w:pPr>
    <w:rPr>
      <w:i/>
      <w:iCs/>
    </w:rPr>
  </w:style>
  <w:style w:type="paragraph" w:styleId="Heading9">
    <w:name w:val="heading 9"/>
    <w:basedOn w:val="Normal"/>
    <w:next w:val="Normal"/>
    <w:link w:val="Nadpis9Char"/>
    <w:uiPriority w:val="9"/>
    <w:unhideWhenUsed/>
    <w:qFormat/>
    <w:rsid w:val="00BE2B5F"/>
    <w:pPr>
      <w:numPr>
        <w:ilvl w:val="8"/>
        <w:numId w:val="42"/>
      </w:numPr>
      <w:spacing w:before="24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2Char">
    <w:name w:val="Nadpis 2 Char"/>
    <w:aliases w:val="Heading 2 Firm Char,Heading 2 Firm1 Char"/>
    <w:basedOn w:val="DefaultParagraphFont"/>
    <w:link w:val="Heading2"/>
    <w:uiPriority w:val="99"/>
    <w:rsid w:val="00C67383"/>
    <w:rPr>
      <w:rFonts w:ascii="Times New Roman" w:hAnsi="Times New Roman" w:cs="Arial"/>
      <w:b/>
      <w:iCs/>
      <w:noProof/>
      <w:kern w:val="32"/>
      <w:sz w:val="24"/>
      <w:szCs w:val="28"/>
      <w:lang w:eastAsia="en-US" w:bidi="en-US"/>
    </w:rPr>
  </w:style>
  <w:style w:type="character" w:customStyle="1" w:styleId="Nadpis1Char">
    <w:name w:val="Nadpis 1 Char"/>
    <w:basedOn w:val="DefaultParagraphFont"/>
    <w:link w:val="Heading1"/>
    <w:uiPriority w:val="99"/>
    <w:rsid w:val="00AC5170"/>
    <w:rPr>
      <w:rFonts w:ascii="Times New Roman" w:hAnsi="Times New Roman" w:cs="Arial"/>
      <w:b/>
      <w:bCs/>
      <w:noProof/>
      <w:kern w:val="32"/>
      <w:sz w:val="28"/>
      <w:szCs w:val="32"/>
      <w:lang w:eastAsia="en-US" w:bidi="en-US"/>
    </w:rPr>
  </w:style>
  <w:style w:type="character" w:customStyle="1" w:styleId="Nadpis3Char">
    <w:name w:val="Nadpis 3 Char"/>
    <w:basedOn w:val="DefaultParagraphFont"/>
    <w:link w:val="Heading3"/>
    <w:uiPriority w:val="99"/>
    <w:rsid w:val="00BF16B7"/>
    <w:rPr>
      <w:rFonts w:ascii="Arial" w:eastAsia="Calibri" w:hAnsi="Arial" w:cs="Arial"/>
      <w:b/>
      <w:bCs/>
      <w:noProof/>
      <w:sz w:val="22"/>
      <w:szCs w:val="24"/>
      <w:lang w:eastAsia="en-US"/>
    </w:rPr>
  </w:style>
  <w:style w:type="character" w:customStyle="1" w:styleId="Nadpis4Char">
    <w:name w:val="Nadpis 4 Char"/>
    <w:basedOn w:val="DefaultParagraphFont"/>
    <w:link w:val="Heading4"/>
    <w:uiPriority w:val="99"/>
    <w:rsid w:val="00BE2B5F"/>
    <w:rPr>
      <w:rFonts w:ascii="Times New Roman" w:hAnsi="Times New Roman"/>
      <w:bCs/>
      <w:noProof/>
      <w:sz w:val="28"/>
      <w:szCs w:val="28"/>
      <w:lang w:eastAsia="en-US" w:bidi="en-US"/>
    </w:rPr>
  </w:style>
  <w:style w:type="character" w:customStyle="1" w:styleId="Nadpis5Char">
    <w:name w:val="Nadpis 5 Char"/>
    <w:basedOn w:val="DefaultParagraphFont"/>
    <w:link w:val="Heading5"/>
    <w:uiPriority w:val="99"/>
    <w:rsid w:val="00BE2B5F"/>
    <w:rPr>
      <w:rFonts w:ascii="Times New Roman" w:hAnsi="Times New Roman"/>
      <w:bCs/>
      <w:i/>
      <w:iCs/>
      <w:noProof/>
      <w:sz w:val="26"/>
      <w:szCs w:val="26"/>
      <w:lang w:eastAsia="en-US" w:bidi="en-US"/>
    </w:rPr>
  </w:style>
  <w:style w:type="character" w:customStyle="1" w:styleId="Nadpis6Char">
    <w:name w:val="Nadpis 6 Char"/>
    <w:basedOn w:val="DefaultParagraphFont"/>
    <w:link w:val="Heading6"/>
    <w:uiPriority w:val="9"/>
    <w:rsid w:val="00BE2B5F"/>
    <w:rPr>
      <w:rFonts w:ascii="Times New Roman" w:hAnsi="Times New Roman"/>
      <w:bCs/>
      <w:noProof/>
      <w:sz w:val="24"/>
      <w:szCs w:val="22"/>
      <w:lang w:eastAsia="en-US" w:bidi="en-US"/>
    </w:rPr>
  </w:style>
  <w:style w:type="character" w:customStyle="1" w:styleId="Nadpis7Char">
    <w:name w:val="Nadpis 7 Char"/>
    <w:basedOn w:val="DefaultParagraphFont"/>
    <w:link w:val="Heading7"/>
    <w:uiPriority w:val="9"/>
    <w:rsid w:val="00BE2B5F"/>
    <w:rPr>
      <w:rFonts w:ascii="Times New Roman" w:hAnsi="Times New Roman"/>
      <w:noProof/>
      <w:sz w:val="24"/>
      <w:szCs w:val="24"/>
      <w:lang w:eastAsia="en-US" w:bidi="en-US"/>
    </w:rPr>
  </w:style>
  <w:style w:type="character" w:customStyle="1" w:styleId="Nadpis8Char">
    <w:name w:val="Nadpis 8 Char"/>
    <w:basedOn w:val="DefaultParagraphFont"/>
    <w:link w:val="Heading8"/>
    <w:uiPriority w:val="9"/>
    <w:rsid w:val="00BE2B5F"/>
    <w:rPr>
      <w:rFonts w:ascii="Times New Roman" w:hAnsi="Times New Roman"/>
      <w:i/>
      <w:iCs/>
      <w:noProof/>
      <w:sz w:val="24"/>
      <w:szCs w:val="24"/>
      <w:lang w:eastAsia="en-US" w:bidi="en-US"/>
    </w:rPr>
  </w:style>
  <w:style w:type="character" w:customStyle="1" w:styleId="Nadpis9Char">
    <w:name w:val="Nadpis 9 Char"/>
    <w:basedOn w:val="DefaultParagraphFont"/>
    <w:link w:val="Heading9"/>
    <w:uiPriority w:val="9"/>
    <w:rsid w:val="00BE2B5F"/>
    <w:rPr>
      <w:rFonts w:ascii="Cambria" w:hAnsi="Cambria"/>
      <w:noProof/>
      <w:sz w:val="24"/>
      <w:szCs w:val="22"/>
      <w:lang w:eastAsia="en-US" w:bidi="en-US"/>
    </w:rPr>
  </w:style>
  <w:style w:type="character" w:styleId="Emphasis">
    <w:name w:val="Emphasis"/>
    <w:basedOn w:val="DefaultParagraphFont"/>
    <w:uiPriority w:val="20"/>
    <w:qFormat/>
    <w:rsid w:val="007E7FD0"/>
    <w:rPr>
      <w:rFonts w:ascii="Arial" w:hAnsi="Arial"/>
      <w:b/>
      <w:i/>
      <w:iCs/>
      <w:sz w:val="22"/>
    </w:rPr>
  </w:style>
  <w:style w:type="paragraph" w:styleId="Caption">
    <w:name w:val="caption"/>
    <w:basedOn w:val="Normal"/>
    <w:next w:val="Normal"/>
    <w:link w:val="TitulekChar"/>
    <w:uiPriority w:val="99"/>
    <w:unhideWhenUsed/>
    <w:qFormat/>
    <w:rsid w:val="00743CDF"/>
    <w:pPr>
      <w:keepNext/>
      <w:spacing w:before="240"/>
      <w:contextualSpacing/>
    </w:pPr>
    <w:rPr>
      <w:b/>
      <w:spacing w:val="10"/>
      <w:sz w:val="18"/>
      <w:szCs w:val="18"/>
    </w:rPr>
  </w:style>
  <w:style w:type="paragraph" w:styleId="Title">
    <w:name w:val="Title"/>
    <w:basedOn w:val="Normal"/>
    <w:next w:val="Normal"/>
    <w:link w:val="NzevChar"/>
    <w:uiPriority w:val="10"/>
    <w:qFormat/>
    <w:rsid w:val="009F6DCD"/>
    <w:pPr>
      <w:spacing w:before="240"/>
      <w:jc w:val="center"/>
      <w:outlineLvl w:val="0"/>
    </w:pPr>
    <w:rPr>
      <w:b/>
      <w:bCs/>
      <w:kern w:val="28"/>
      <w:sz w:val="32"/>
      <w:szCs w:val="32"/>
    </w:rPr>
  </w:style>
  <w:style w:type="character" w:customStyle="1" w:styleId="NzevChar">
    <w:name w:val="Název Char"/>
    <w:basedOn w:val="DefaultParagraphFont"/>
    <w:link w:val="Title"/>
    <w:uiPriority w:val="10"/>
    <w:rsid w:val="009F6DCD"/>
    <w:rPr>
      <w:rFonts w:ascii="Times New Roman" w:hAnsi="Times New Roman"/>
      <w:b/>
      <w:bCs/>
      <w:noProof/>
      <w:kern w:val="28"/>
      <w:sz w:val="32"/>
      <w:szCs w:val="32"/>
      <w:lang w:eastAsia="en-US" w:bidi="en-US"/>
    </w:rPr>
  </w:style>
  <w:style w:type="paragraph" w:styleId="Subtitle">
    <w:name w:val="Subtitle"/>
    <w:basedOn w:val="Normal"/>
    <w:next w:val="Normal"/>
    <w:link w:val="PodtitulChar"/>
    <w:uiPriority w:val="11"/>
    <w:qFormat/>
    <w:rsid w:val="00BE2B5F"/>
    <w:pPr>
      <w:jc w:val="center"/>
      <w:outlineLvl w:val="1"/>
    </w:pPr>
    <w:rPr>
      <w:rFonts w:ascii="Cambria" w:hAnsi="Cambria"/>
    </w:rPr>
  </w:style>
  <w:style w:type="character" w:customStyle="1" w:styleId="PodtitulChar">
    <w:name w:val="Podtitul Char"/>
    <w:basedOn w:val="DefaultParagraphFont"/>
    <w:link w:val="Subtitle"/>
    <w:uiPriority w:val="11"/>
    <w:rsid w:val="00BE2B5F"/>
    <w:rPr>
      <w:rFonts w:ascii="Cambria" w:hAnsi="Cambria"/>
      <w:noProof/>
      <w:sz w:val="22"/>
      <w:szCs w:val="24"/>
      <w:lang w:eastAsia="en-US" w:bidi="en-US"/>
    </w:rPr>
  </w:style>
  <w:style w:type="character" w:styleId="Strong">
    <w:name w:val="Strong"/>
    <w:basedOn w:val="DefaultParagraphFont"/>
    <w:uiPriority w:val="22"/>
    <w:rsid w:val="00BE2B5F"/>
    <w:rPr>
      <w:b/>
      <w:bCs/>
    </w:rPr>
  </w:style>
  <w:style w:type="paragraph" w:styleId="NoSpacing">
    <w:name w:val="No Spacing"/>
    <w:basedOn w:val="Normal"/>
    <w:link w:val="BezmezerChar"/>
    <w:uiPriority w:val="1"/>
    <w:qFormat/>
    <w:rsid w:val="00BE2B5F"/>
    <w:rPr>
      <w:szCs w:val="32"/>
    </w:rPr>
  </w:style>
  <w:style w:type="character" w:customStyle="1" w:styleId="BezmezerChar">
    <w:name w:val="Bez mezer Char"/>
    <w:basedOn w:val="DefaultParagraphFont"/>
    <w:link w:val="NoSpacing"/>
    <w:uiPriority w:val="1"/>
    <w:rsid w:val="00BE2B5F"/>
    <w:rPr>
      <w:sz w:val="24"/>
      <w:szCs w:val="32"/>
    </w:rPr>
  </w:style>
  <w:style w:type="paragraph" w:styleId="ListParagraph">
    <w:name w:val="List Paragraph"/>
    <w:basedOn w:val="Normal"/>
    <w:link w:val="OdstavecseseznamemChar"/>
    <w:uiPriority w:val="99"/>
    <w:qFormat/>
    <w:rsid w:val="00BE2B5F"/>
    <w:pPr>
      <w:ind w:left="720"/>
      <w:contextualSpacing/>
    </w:pPr>
  </w:style>
  <w:style w:type="character" w:customStyle="1" w:styleId="OdstavecseseznamemChar">
    <w:name w:val="Odstavec se seznamem Char"/>
    <w:basedOn w:val="DefaultParagraphFont"/>
    <w:link w:val="ListParagraph"/>
    <w:uiPriority w:val="99"/>
    <w:rsid w:val="000C329D"/>
    <w:rPr>
      <w:rFonts w:ascii="Times New Roman" w:hAnsi="Times New Roman"/>
      <w:noProof/>
      <w:sz w:val="24"/>
      <w:szCs w:val="24"/>
      <w:lang w:val="cs-CZ"/>
    </w:rPr>
  </w:style>
  <w:style w:type="paragraph" w:customStyle="1" w:styleId="Citace1">
    <w:name w:val="Citace1"/>
    <w:basedOn w:val="Normal"/>
    <w:next w:val="Normal"/>
    <w:link w:val="CitaceChar"/>
    <w:uiPriority w:val="29"/>
    <w:rsid w:val="00BE2B5F"/>
    <w:rPr>
      <w:i/>
    </w:rPr>
  </w:style>
  <w:style w:type="character" w:customStyle="1" w:styleId="CitaceChar">
    <w:name w:val="Citace Char"/>
    <w:basedOn w:val="DefaultParagraphFont"/>
    <w:link w:val="Citace1"/>
    <w:uiPriority w:val="29"/>
    <w:rsid w:val="00BE2B5F"/>
    <w:rPr>
      <w:i/>
      <w:sz w:val="24"/>
      <w:szCs w:val="24"/>
    </w:rPr>
  </w:style>
  <w:style w:type="paragraph" w:customStyle="1" w:styleId="Citaceintenzivn1">
    <w:name w:val="Citace – intenzivní1"/>
    <w:basedOn w:val="Normal"/>
    <w:next w:val="Normal"/>
    <w:link w:val="CitaceintenzivnChar"/>
    <w:uiPriority w:val="30"/>
    <w:rsid w:val="00BE2B5F"/>
    <w:pPr>
      <w:ind w:left="720" w:right="720"/>
    </w:pPr>
    <w:rPr>
      <w:i/>
      <w:szCs w:val="22"/>
    </w:rPr>
  </w:style>
  <w:style w:type="character" w:customStyle="1" w:styleId="CitaceintenzivnChar">
    <w:name w:val="Citace – intenzivní Char"/>
    <w:basedOn w:val="DefaultParagraphFont"/>
    <w:link w:val="Citaceintenzivn1"/>
    <w:uiPriority w:val="30"/>
    <w:rsid w:val="00BE2B5F"/>
    <w:rPr>
      <w:b/>
      <w:i/>
      <w:sz w:val="24"/>
    </w:rPr>
  </w:style>
  <w:style w:type="character" w:styleId="SubtleEmphasis">
    <w:name w:val="Subtle Emphasis"/>
    <w:uiPriority w:val="99"/>
    <w:rsid w:val="00BE2B5F"/>
    <w:rPr>
      <w:i/>
      <w:color w:val="5A5A5A"/>
    </w:rPr>
  </w:style>
  <w:style w:type="character" w:styleId="IntenseEmphasis">
    <w:name w:val="Intense Emphasis"/>
    <w:basedOn w:val="DefaultParagraphFont"/>
    <w:uiPriority w:val="21"/>
    <w:rsid w:val="00BE2B5F"/>
    <w:rPr>
      <w:b/>
      <w:i/>
      <w:sz w:val="24"/>
      <w:szCs w:val="24"/>
      <w:u w:val="single"/>
    </w:rPr>
  </w:style>
  <w:style w:type="character" w:styleId="SubtleReference">
    <w:name w:val="Subtle Reference"/>
    <w:basedOn w:val="DefaultParagraphFont"/>
    <w:uiPriority w:val="99"/>
    <w:rsid w:val="00BE2B5F"/>
    <w:rPr>
      <w:sz w:val="24"/>
      <w:szCs w:val="24"/>
      <w:u w:val="single"/>
    </w:rPr>
  </w:style>
  <w:style w:type="character" w:styleId="IntenseReference">
    <w:name w:val="Intense Reference"/>
    <w:basedOn w:val="DefaultParagraphFont"/>
    <w:uiPriority w:val="99"/>
    <w:rsid w:val="00BE2B5F"/>
    <w:rPr>
      <w:b/>
      <w:sz w:val="24"/>
      <w:u w:val="single"/>
    </w:rPr>
  </w:style>
  <w:style w:type="character" w:styleId="BookTitle">
    <w:name w:val="Book Title"/>
    <w:basedOn w:val="DefaultParagraphFont"/>
    <w:uiPriority w:val="33"/>
    <w:rsid w:val="00BE2B5F"/>
    <w:rPr>
      <w:rFonts w:ascii="Cambria" w:eastAsia="Times New Roman" w:hAnsi="Cambria"/>
      <w:b/>
      <w:i/>
      <w:sz w:val="24"/>
      <w:szCs w:val="24"/>
    </w:rPr>
  </w:style>
  <w:style w:type="paragraph" w:styleId="TOCHeading">
    <w:name w:val="TOC Heading"/>
    <w:basedOn w:val="Heading1"/>
    <w:next w:val="Normal"/>
    <w:uiPriority w:val="39"/>
    <w:unhideWhenUsed/>
    <w:qFormat/>
    <w:rsid w:val="00BE2B5F"/>
    <w:pPr>
      <w:outlineLvl w:val="9"/>
    </w:pPr>
  </w:style>
  <w:style w:type="character" w:styleId="CommentReference">
    <w:name w:val="annotation reference"/>
    <w:aliases w:val="Značka poznámky"/>
    <w:basedOn w:val="DefaultParagraphFont"/>
    <w:uiPriority w:val="99"/>
    <w:unhideWhenUsed/>
    <w:rsid w:val="003C1EA7"/>
    <w:rPr>
      <w:sz w:val="16"/>
      <w:szCs w:val="16"/>
    </w:rPr>
  </w:style>
  <w:style w:type="paragraph" w:styleId="CommentText">
    <w:name w:val="annotation text"/>
    <w:aliases w:val="Text poznámky"/>
    <w:basedOn w:val="Normal"/>
    <w:link w:val="TextkomenteChar"/>
    <w:uiPriority w:val="99"/>
    <w:unhideWhenUsed/>
    <w:rsid w:val="003C1EA7"/>
    <w:rPr>
      <w:sz w:val="20"/>
      <w:szCs w:val="20"/>
    </w:rPr>
  </w:style>
  <w:style w:type="character" w:customStyle="1" w:styleId="TextkomenteChar">
    <w:name w:val="Text komentáře Char"/>
    <w:aliases w:val="Text poznámky Char"/>
    <w:basedOn w:val="DefaultParagraphFont"/>
    <w:link w:val="CommentText"/>
    <w:uiPriority w:val="99"/>
    <w:rsid w:val="003C1EA7"/>
    <w:rPr>
      <w:rFonts w:ascii="Times New Roman" w:hAnsi="Times New Roman"/>
      <w:b/>
      <w:sz w:val="20"/>
      <w:szCs w:val="20"/>
    </w:rPr>
  </w:style>
  <w:style w:type="paragraph" w:styleId="CommentSubject">
    <w:name w:val="annotation subject"/>
    <w:basedOn w:val="CommentText"/>
    <w:next w:val="CommentText"/>
    <w:link w:val="PedmtkomenteChar"/>
    <w:uiPriority w:val="99"/>
    <w:semiHidden/>
    <w:unhideWhenUsed/>
    <w:rsid w:val="003C1EA7"/>
    <w:rPr>
      <w:bCs/>
    </w:rPr>
  </w:style>
  <w:style w:type="character" w:customStyle="1" w:styleId="PedmtkomenteChar">
    <w:name w:val="Předmět komentáře Char"/>
    <w:basedOn w:val="TextkomenteChar"/>
    <w:link w:val="CommentSubject"/>
    <w:uiPriority w:val="99"/>
    <w:semiHidden/>
    <w:rsid w:val="003C1EA7"/>
    <w:rPr>
      <w:rFonts w:ascii="Times New Roman" w:hAnsi="Times New Roman"/>
      <w:b w:val="0"/>
      <w:bCs/>
      <w:sz w:val="20"/>
      <w:szCs w:val="20"/>
    </w:rPr>
  </w:style>
  <w:style w:type="paragraph" w:styleId="BalloonText">
    <w:name w:val="Balloon Text"/>
    <w:basedOn w:val="Normal"/>
    <w:link w:val="TextbublinyChar"/>
    <w:uiPriority w:val="99"/>
    <w:unhideWhenUsed/>
    <w:rsid w:val="003C1EA7"/>
    <w:rPr>
      <w:rFonts w:ascii="Tahoma" w:hAnsi="Tahoma" w:cs="Tahoma"/>
      <w:sz w:val="16"/>
      <w:szCs w:val="16"/>
    </w:rPr>
  </w:style>
  <w:style w:type="character" w:customStyle="1" w:styleId="TextbublinyChar">
    <w:name w:val="Text bubliny Char"/>
    <w:basedOn w:val="DefaultParagraphFont"/>
    <w:link w:val="BalloonText"/>
    <w:uiPriority w:val="99"/>
    <w:semiHidden/>
    <w:rsid w:val="003C1EA7"/>
    <w:rPr>
      <w:rFonts w:ascii="Tahoma" w:hAnsi="Tahoma" w:cs="Tahoma"/>
      <w:b/>
      <w:sz w:val="16"/>
      <w:szCs w:val="16"/>
    </w:rPr>
  </w:style>
  <w:style w:type="paragraph" w:styleId="Header">
    <w:name w:val="header"/>
    <w:basedOn w:val="Normal"/>
    <w:link w:val="ZhlavChar"/>
    <w:uiPriority w:val="99"/>
    <w:unhideWhenUsed/>
    <w:rsid w:val="00DF00F7"/>
    <w:pPr>
      <w:tabs>
        <w:tab w:val="center" w:pos="4536"/>
        <w:tab w:val="right" w:pos="9072"/>
      </w:tabs>
      <w:spacing w:line="240" w:lineRule="auto"/>
    </w:pPr>
  </w:style>
  <w:style w:type="character" w:customStyle="1" w:styleId="ZhlavChar">
    <w:name w:val="Záhlaví Char"/>
    <w:basedOn w:val="DefaultParagraphFont"/>
    <w:link w:val="Header"/>
    <w:uiPriority w:val="99"/>
    <w:rsid w:val="00DF00F7"/>
    <w:rPr>
      <w:rFonts w:ascii="Times New Roman" w:hAnsi="Times New Roman"/>
      <w:sz w:val="24"/>
      <w:szCs w:val="24"/>
    </w:rPr>
  </w:style>
  <w:style w:type="paragraph" w:styleId="Footer">
    <w:name w:val="footer"/>
    <w:basedOn w:val="Normal"/>
    <w:link w:val="ZpatChar"/>
    <w:uiPriority w:val="99"/>
    <w:unhideWhenUsed/>
    <w:rsid w:val="00DF00F7"/>
    <w:pPr>
      <w:tabs>
        <w:tab w:val="center" w:pos="4536"/>
        <w:tab w:val="right" w:pos="9072"/>
      </w:tabs>
      <w:spacing w:line="240" w:lineRule="auto"/>
    </w:pPr>
  </w:style>
  <w:style w:type="character" w:customStyle="1" w:styleId="ZpatChar">
    <w:name w:val="Zápatí Char"/>
    <w:basedOn w:val="DefaultParagraphFont"/>
    <w:link w:val="Footer"/>
    <w:uiPriority w:val="99"/>
    <w:rsid w:val="00DF00F7"/>
    <w:rPr>
      <w:rFonts w:ascii="Times New Roman" w:hAnsi="Times New Roman"/>
      <w:sz w:val="24"/>
      <w:szCs w:val="24"/>
    </w:rPr>
  </w:style>
  <w:style w:type="paragraph" w:customStyle="1" w:styleId="Normln-tun">
    <w:name w:val="Normální - tučné"/>
    <w:basedOn w:val="Normal"/>
    <w:uiPriority w:val="99"/>
    <w:qFormat/>
    <w:rsid w:val="008C2A42"/>
    <w:pPr>
      <w:keepNext/>
      <w:spacing w:before="240" w:after="120"/>
    </w:pPr>
    <w:rPr>
      <w:b/>
      <w:szCs w:val="22"/>
    </w:rPr>
  </w:style>
  <w:style w:type="paragraph" w:customStyle="1" w:styleId="Zkon-podkapitola">
    <w:name w:val="Zákon-podkapitola"/>
    <w:basedOn w:val="Normal"/>
    <w:uiPriority w:val="99"/>
    <w:rsid w:val="00153E74"/>
    <w:pPr>
      <w:tabs>
        <w:tab w:val="num" w:pos="-180"/>
      </w:tabs>
      <w:spacing w:line="240" w:lineRule="auto"/>
      <w:ind w:left="-180" w:right="-648" w:hanging="360"/>
      <w:contextualSpacing/>
    </w:pPr>
    <w:rPr>
      <w:rFonts w:cs="Arial"/>
      <w:szCs w:val="18"/>
      <w:lang w:eastAsia="cs-CZ" w:bidi="ar-SA"/>
    </w:rPr>
  </w:style>
  <w:style w:type="paragraph" w:styleId="Revision">
    <w:name w:val="Revision"/>
    <w:hidden/>
    <w:uiPriority w:val="99"/>
    <w:semiHidden/>
    <w:rsid w:val="002471FC"/>
    <w:rPr>
      <w:rFonts w:ascii="Times New Roman" w:hAnsi="Times New Roman"/>
      <w:noProof/>
      <w:sz w:val="24"/>
      <w:szCs w:val="24"/>
      <w:lang w:eastAsia="en-US" w:bidi="en-US"/>
    </w:rPr>
  </w:style>
  <w:style w:type="paragraph" w:styleId="NormalWeb">
    <w:name w:val="Normal (Web)"/>
    <w:basedOn w:val="Normal"/>
    <w:link w:val="NormlnwebChar"/>
    <w:uiPriority w:val="99"/>
    <w:unhideWhenUsed/>
    <w:rsid w:val="00BB3D11"/>
    <w:pPr>
      <w:spacing w:before="100" w:beforeAutospacing="1" w:after="100" w:afterAutospacing="1" w:line="240" w:lineRule="auto"/>
      <w:jc w:val="left"/>
    </w:pPr>
    <w:rPr>
      <w:noProof w:val="0"/>
      <w:lang w:eastAsia="cs-CZ" w:bidi="ar-SA"/>
    </w:rPr>
  </w:style>
  <w:style w:type="character" w:styleId="Hyperlink">
    <w:name w:val="Hyperlink"/>
    <w:basedOn w:val="DefaultParagraphFont"/>
    <w:uiPriority w:val="99"/>
    <w:unhideWhenUsed/>
    <w:rsid w:val="00BB3D11"/>
    <w:rPr>
      <w:color w:val="0000FF"/>
      <w:u w:val="single"/>
    </w:rPr>
  </w:style>
  <w:style w:type="paragraph" w:styleId="Quote">
    <w:name w:val="Quote"/>
    <w:basedOn w:val="Normal"/>
    <w:next w:val="Normal"/>
    <w:link w:val="CittChar"/>
    <w:uiPriority w:val="29"/>
    <w:rsid w:val="00324860"/>
    <w:rPr>
      <w:i/>
      <w:iCs/>
      <w:noProof w:val="0"/>
      <w:lang w:bidi="ar-SA"/>
    </w:rPr>
  </w:style>
  <w:style w:type="character" w:customStyle="1" w:styleId="CittChar">
    <w:name w:val="Citát Char"/>
    <w:basedOn w:val="DefaultParagraphFont"/>
    <w:link w:val="Quote"/>
    <w:uiPriority w:val="29"/>
    <w:rsid w:val="00324860"/>
    <w:rPr>
      <w:rFonts w:ascii="Times New Roman" w:hAnsi="Times New Roman"/>
      <w:i/>
      <w:iCs/>
      <w:sz w:val="24"/>
      <w:szCs w:val="24"/>
      <w:lang w:eastAsia="en-US"/>
    </w:rPr>
  </w:style>
  <w:style w:type="paragraph" w:styleId="IntenseQuote">
    <w:name w:val="Intense Quote"/>
    <w:basedOn w:val="Normal"/>
    <w:next w:val="Normal"/>
    <w:link w:val="VrazncittChar"/>
    <w:uiPriority w:val="99"/>
    <w:rsid w:val="00324860"/>
    <w:pPr>
      <w:ind w:left="720" w:right="720"/>
    </w:pPr>
    <w:rPr>
      <w:i/>
      <w:iCs/>
      <w:noProof w:val="0"/>
      <w:lang w:bidi="ar-SA"/>
    </w:rPr>
  </w:style>
  <w:style w:type="character" w:customStyle="1" w:styleId="VrazncittChar">
    <w:name w:val="Výrazný citát Char"/>
    <w:basedOn w:val="DefaultParagraphFont"/>
    <w:link w:val="IntenseQuote"/>
    <w:uiPriority w:val="99"/>
    <w:rsid w:val="00324860"/>
    <w:rPr>
      <w:rFonts w:ascii="Times New Roman" w:hAnsi="Times New Roman"/>
      <w:i/>
      <w:iCs/>
      <w:sz w:val="24"/>
      <w:szCs w:val="24"/>
      <w:lang w:eastAsia="en-US"/>
    </w:rPr>
  </w:style>
  <w:style w:type="paragraph" w:customStyle="1" w:styleId="Styl-NormlnsodrkouVlevo189cmPedsazen063cm">
    <w:name w:val="Styl - Normální s odrážkou + Vlevo:  189 cm Předsazení:  063 cm"/>
    <w:basedOn w:val="Normal"/>
    <w:uiPriority w:val="99"/>
    <w:rsid w:val="00324860"/>
    <w:pPr>
      <w:numPr>
        <w:numId w:val="19"/>
      </w:numPr>
    </w:pPr>
    <w:rPr>
      <w:noProof w:val="0"/>
      <w:lang w:bidi="ar-SA"/>
    </w:rPr>
  </w:style>
  <w:style w:type="character" w:customStyle="1" w:styleId="st">
    <w:name w:val="st"/>
    <w:basedOn w:val="DefaultParagraphFont"/>
    <w:rsid w:val="00324860"/>
  </w:style>
  <w:style w:type="paragraph" w:customStyle="1" w:styleId="Quote1">
    <w:name w:val="Quote1"/>
    <w:basedOn w:val="Normal"/>
    <w:next w:val="Normal"/>
    <w:link w:val="QuoteChar"/>
    <w:rsid w:val="003C2085"/>
    <w:pPr>
      <w:spacing w:line="240" w:lineRule="auto"/>
    </w:pPr>
    <w:rPr>
      <w:rFonts w:ascii="Garamond" w:hAnsi="Garamond"/>
      <w:i/>
      <w:iCs/>
      <w:noProof w:val="0"/>
      <w:color w:val="000000"/>
      <w:sz w:val="20"/>
      <w:szCs w:val="20"/>
      <w:lang w:eastAsia="cs-CZ" w:bidi="ar-SA"/>
    </w:rPr>
  </w:style>
  <w:style w:type="character" w:customStyle="1" w:styleId="QuoteChar">
    <w:name w:val="Quote Char"/>
    <w:link w:val="Quote1"/>
    <w:locked/>
    <w:rsid w:val="003C2085"/>
    <w:rPr>
      <w:rFonts w:ascii="Garamond" w:hAnsi="Garamond"/>
      <w:i/>
      <w:iCs/>
      <w:color w:val="000000"/>
    </w:rPr>
  </w:style>
  <w:style w:type="paragraph" w:customStyle="1" w:styleId="Text-Normaln">
    <w:name w:val="Text - Normalní"/>
    <w:basedOn w:val="Normal"/>
    <w:link w:val="Text-NormalnChar"/>
    <w:rsid w:val="003C2085"/>
    <w:pPr>
      <w:spacing w:after="120" w:line="240" w:lineRule="auto"/>
    </w:pPr>
    <w:rPr>
      <w:rFonts w:ascii="Garamond" w:eastAsia="Calibri" w:hAnsi="Garamond"/>
      <w:noProof w:val="0"/>
      <w:szCs w:val="22"/>
      <w:lang w:bidi="ar-SA"/>
    </w:rPr>
  </w:style>
  <w:style w:type="paragraph" w:customStyle="1" w:styleId="Odraky1">
    <w:name w:val="Odražky (1)"/>
    <w:basedOn w:val="ListParagraph"/>
    <w:link w:val="Odraky1Char"/>
    <w:rsid w:val="003C2085"/>
    <w:pPr>
      <w:numPr>
        <w:numId w:val="23"/>
      </w:numPr>
      <w:spacing w:after="120" w:line="240" w:lineRule="auto"/>
    </w:pPr>
    <w:rPr>
      <w:rFonts w:ascii="Garamond" w:eastAsia="Calibri" w:hAnsi="Garamond"/>
      <w:noProof w:val="0"/>
      <w:szCs w:val="22"/>
      <w:lang w:bidi="ar-SA"/>
    </w:rPr>
  </w:style>
  <w:style w:type="character" w:customStyle="1" w:styleId="Text-NormalnChar">
    <w:name w:val="Text - Normalní Char"/>
    <w:basedOn w:val="DefaultParagraphFont"/>
    <w:link w:val="Text-Normaln"/>
    <w:rsid w:val="003C2085"/>
    <w:rPr>
      <w:rFonts w:ascii="Garamond" w:eastAsia="Calibri" w:hAnsi="Garamond"/>
      <w:sz w:val="24"/>
      <w:szCs w:val="22"/>
      <w:lang w:eastAsia="en-US"/>
    </w:rPr>
  </w:style>
  <w:style w:type="character" w:customStyle="1" w:styleId="Odraky1Char">
    <w:name w:val="Odražky (1) Char"/>
    <w:basedOn w:val="OdstavecseseznamemChar"/>
    <w:link w:val="Odraky1"/>
    <w:rsid w:val="003C2085"/>
    <w:rPr>
      <w:rFonts w:ascii="Garamond" w:eastAsia="Calibri" w:hAnsi="Garamond"/>
      <w:noProof/>
      <w:sz w:val="24"/>
      <w:szCs w:val="22"/>
      <w:lang w:val="cs-CZ" w:eastAsia="en-US"/>
    </w:rPr>
  </w:style>
  <w:style w:type="paragraph" w:customStyle="1" w:styleId="Zdroj1">
    <w:name w:val="Zdroj (1)"/>
    <w:basedOn w:val="Normal"/>
    <w:link w:val="Zdroj1Char"/>
    <w:rsid w:val="003C2085"/>
    <w:pPr>
      <w:spacing w:after="120" w:line="240" w:lineRule="auto"/>
    </w:pPr>
    <w:rPr>
      <w:rFonts w:ascii="Garamond" w:eastAsia="Calibri" w:hAnsi="Garamond"/>
      <w:i/>
      <w:noProof w:val="0"/>
      <w:szCs w:val="22"/>
      <w:lang w:bidi="ar-SA"/>
    </w:rPr>
  </w:style>
  <w:style w:type="paragraph" w:customStyle="1" w:styleId="Nadpis2a">
    <w:name w:val="Nadpis (2a)"/>
    <w:basedOn w:val="Heading2"/>
    <w:link w:val="Nadpis2aChar"/>
    <w:rsid w:val="00434A2F"/>
    <w:pPr>
      <w:keepNext w:val="0"/>
      <w:numPr>
        <w:ilvl w:val="0"/>
        <w:numId w:val="47"/>
      </w:numPr>
      <w:spacing w:before="120" w:after="120" w:line="240" w:lineRule="auto"/>
    </w:pPr>
    <w:rPr>
      <w:rFonts w:ascii="Cambria" w:eastAsia="Calibri" w:hAnsi="Cambria"/>
      <w:bCs/>
      <w:iCs w:val="0"/>
      <w:noProof w:val="0"/>
      <w:kern w:val="0"/>
      <w:szCs w:val="24"/>
      <w:u w:val="single"/>
      <w:lang w:bidi="ar-SA"/>
    </w:rPr>
  </w:style>
  <w:style w:type="character" w:customStyle="1" w:styleId="Zdroj1Char">
    <w:name w:val="Zdroj (1) Char"/>
    <w:basedOn w:val="DefaultParagraphFont"/>
    <w:link w:val="Zdroj1"/>
    <w:rsid w:val="003C2085"/>
    <w:rPr>
      <w:rFonts w:ascii="Garamond" w:eastAsia="Calibri" w:hAnsi="Garamond"/>
      <w:i/>
      <w:sz w:val="22"/>
      <w:szCs w:val="22"/>
      <w:lang w:eastAsia="en-US"/>
    </w:rPr>
  </w:style>
  <w:style w:type="character" w:customStyle="1" w:styleId="Nadpis2aChar">
    <w:name w:val="Nadpis (2a) Char"/>
    <w:basedOn w:val="DefaultParagraphFont"/>
    <w:link w:val="Nadpis2a"/>
    <w:rsid w:val="00434A2F"/>
    <w:rPr>
      <w:rFonts w:ascii="Cambria" w:eastAsia="Calibri" w:hAnsi="Cambria" w:cs="Arial"/>
      <w:b/>
      <w:bCs/>
      <w:sz w:val="24"/>
      <w:szCs w:val="24"/>
      <w:u w:val="single"/>
      <w:lang w:eastAsia="en-US"/>
    </w:rPr>
  </w:style>
  <w:style w:type="character" w:customStyle="1" w:styleId="TitulekChar">
    <w:name w:val="Titulek Char"/>
    <w:basedOn w:val="DefaultParagraphFont"/>
    <w:link w:val="Caption"/>
    <w:uiPriority w:val="99"/>
    <w:rsid w:val="00743CDF"/>
    <w:rPr>
      <w:rFonts w:ascii="Arial" w:hAnsi="Arial"/>
      <w:b/>
      <w:noProof/>
      <w:spacing w:val="10"/>
      <w:sz w:val="18"/>
      <w:szCs w:val="18"/>
      <w:lang w:eastAsia="en-US" w:bidi="en-US"/>
    </w:rPr>
  </w:style>
  <w:style w:type="character" w:styleId="PlaceholderText">
    <w:name w:val="Placeholder Text"/>
    <w:basedOn w:val="DefaultParagraphFont"/>
    <w:uiPriority w:val="99"/>
    <w:semiHidden/>
    <w:rsid w:val="006415EE"/>
    <w:rPr>
      <w:color w:val="808080"/>
    </w:rPr>
  </w:style>
  <w:style w:type="character" w:styleId="HTMLCite">
    <w:name w:val="HTML Cite"/>
    <w:basedOn w:val="DefaultParagraphFont"/>
    <w:uiPriority w:val="99"/>
    <w:semiHidden/>
    <w:unhideWhenUsed/>
    <w:rsid w:val="006415EE"/>
    <w:rPr>
      <w:i/>
      <w:iCs/>
    </w:rPr>
  </w:style>
  <w:style w:type="character" w:styleId="FollowedHyperlink">
    <w:name w:val="FollowedHyperlink"/>
    <w:basedOn w:val="DefaultParagraphFont"/>
    <w:uiPriority w:val="99"/>
    <w:unhideWhenUsed/>
    <w:rsid w:val="006415EE"/>
    <w:rPr>
      <w:color w:val="800080"/>
      <w:u w:val="single"/>
    </w:rPr>
  </w:style>
  <w:style w:type="paragraph" w:styleId="FootnoteText">
    <w:name w:val="footnote text"/>
    <w:basedOn w:val="Normal"/>
    <w:link w:val="TextpoznpodarouChar1"/>
    <w:uiPriority w:val="99"/>
    <w:rsid w:val="00404DDA"/>
    <w:pPr>
      <w:spacing w:line="240" w:lineRule="auto"/>
    </w:pPr>
    <w:rPr>
      <w:noProof w:val="0"/>
      <w:sz w:val="20"/>
      <w:szCs w:val="20"/>
      <w:lang w:eastAsia="cs-CZ" w:bidi="ar-SA"/>
    </w:rPr>
  </w:style>
  <w:style w:type="character" w:customStyle="1" w:styleId="TextpoznpodarouChar">
    <w:name w:val="Text pozn. pod čarou Char"/>
    <w:basedOn w:val="DefaultParagraphFont"/>
    <w:uiPriority w:val="99"/>
    <w:rsid w:val="006415EE"/>
    <w:rPr>
      <w:rFonts w:ascii="Times New Roman" w:hAnsi="Times New Roman"/>
      <w:noProof/>
      <w:lang w:eastAsia="en-US" w:bidi="en-US"/>
    </w:rPr>
  </w:style>
  <w:style w:type="character" w:styleId="FootnoteReference">
    <w:name w:val="footnote reference"/>
    <w:basedOn w:val="DefaultParagraphFont"/>
    <w:uiPriority w:val="99"/>
    <w:rsid w:val="006415EE"/>
    <w:rPr>
      <w:vertAlign w:val="superscript"/>
    </w:rPr>
  </w:style>
  <w:style w:type="paragraph" w:styleId="Index1">
    <w:name w:val="index 1"/>
    <w:basedOn w:val="Normal"/>
    <w:next w:val="Normal"/>
    <w:autoRedefine/>
    <w:uiPriority w:val="99"/>
    <w:unhideWhenUsed/>
    <w:rsid w:val="006415EE"/>
    <w:pPr>
      <w:spacing w:line="240" w:lineRule="auto"/>
      <w:ind w:left="220" w:hanging="220"/>
    </w:pPr>
    <w:rPr>
      <w:rFonts w:ascii="Garamond" w:eastAsia="Calibri" w:hAnsi="Garamond"/>
      <w:noProof w:val="0"/>
      <w:szCs w:val="22"/>
      <w:lang w:bidi="ar-SA"/>
    </w:rPr>
  </w:style>
  <w:style w:type="paragraph" w:styleId="TOC1">
    <w:name w:val="toc 1"/>
    <w:basedOn w:val="Normal"/>
    <w:next w:val="Normal"/>
    <w:autoRedefine/>
    <w:uiPriority w:val="39"/>
    <w:unhideWhenUsed/>
    <w:qFormat/>
    <w:rsid w:val="008015F4"/>
    <w:pPr>
      <w:tabs>
        <w:tab w:val="left" w:pos="720"/>
        <w:tab w:val="right" w:leader="dot" w:pos="9062"/>
      </w:tabs>
      <w:spacing w:after="120"/>
      <w:jc w:val="left"/>
    </w:pPr>
    <w:rPr>
      <w:rFonts w:asciiTheme="minorHAnsi" w:hAnsiTheme="minorHAnsi"/>
      <w:b/>
      <w:bCs/>
      <w:caps/>
      <w:color w:val="000000" w:themeColor="text1"/>
      <w:sz w:val="20"/>
      <w:szCs w:val="20"/>
    </w:rPr>
  </w:style>
  <w:style w:type="paragraph" w:styleId="TOC2">
    <w:name w:val="toc 2"/>
    <w:basedOn w:val="Normal"/>
    <w:next w:val="Normal"/>
    <w:autoRedefine/>
    <w:uiPriority w:val="39"/>
    <w:unhideWhenUsed/>
    <w:qFormat/>
    <w:rsid w:val="006415EE"/>
    <w:pPr>
      <w:ind w:left="240"/>
      <w:jc w:val="left"/>
    </w:pPr>
    <w:rPr>
      <w:rFonts w:asciiTheme="minorHAnsi" w:hAnsiTheme="minorHAnsi"/>
      <w:smallCaps/>
      <w:sz w:val="20"/>
      <w:szCs w:val="20"/>
    </w:rPr>
  </w:style>
  <w:style w:type="paragraph" w:styleId="TOC3">
    <w:name w:val="toc 3"/>
    <w:basedOn w:val="Normal"/>
    <w:next w:val="Normal"/>
    <w:autoRedefine/>
    <w:uiPriority w:val="39"/>
    <w:unhideWhenUsed/>
    <w:qFormat/>
    <w:rsid w:val="00600EF4"/>
    <w:pPr>
      <w:jc w:val="left"/>
    </w:pPr>
    <w:rPr>
      <w:rFonts w:asciiTheme="minorHAnsi" w:hAnsiTheme="minorHAnsi"/>
      <w:i/>
      <w:iCs/>
      <w:sz w:val="20"/>
      <w:szCs w:val="20"/>
    </w:rPr>
  </w:style>
  <w:style w:type="paragraph" w:styleId="TableofFigures">
    <w:name w:val="table of figures"/>
    <w:basedOn w:val="Normal"/>
    <w:next w:val="Normal"/>
    <w:uiPriority w:val="99"/>
    <w:unhideWhenUsed/>
    <w:rsid w:val="006415EE"/>
    <w:pPr>
      <w:spacing w:line="240" w:lineRule="auto"/>
    </w:pPr>
    <w:rPr>
      <w:rFonts w:ascii="Garamond" w:eastAsia="Calibri" w:hAnsi="Garamond"/>
      <w:noProof w:val="0"/>
      <w:szCs w:val="22"/>
      <w:lang w:bidi="ar-SA"/>
    </w:rPr>
  </w:style>
  <w:style w:type="paragraph" w:styleId="BodyText3">
    <w:name w:val="Body Text 3"/>
    <w:basedOn w:val="Normal"/>
    <w:link w:val="Zkladntext3Char"/>
    <w:rsid w:val="006415EE"/>
    <w:pPr>
      <w:spacing w:after="120" w:line="240" w:lineRule="auto"/>
    </w:pPr>
    <w:rPr>
      <w:noProof w:val="0"/>
      <w:sz w:val="16"/>
      <w:szCs w:val="16"/>
      <w:lang w:eastAsia="cs-CZ" w:bidi="ar-SA"/>
    </w:rPr>
  </w:style>
  <w:style w:type="character" w:customStyle="1" w:styleId="Zkladntext3Char">
    <w:name w:val="Základní text 3 Char"/>
    <w:basedOn w:val="DefaultParagraphFont"/>
    <w:link w:val="BodyText3"/>
    <w:rsid w:val="006415EE"/>
    <w:rPr>
      <w:rFonts w:ascii="Times New Roman" w:hAnsi="Times New Roman"/>
      <w:sz w:val="16"/>
      <w:szCs w:val="16"/>
    </w:rPr>
  </w:style>
  <w:style w:type="paragraph" w:customStyle="1" w:styleId="bn">
    <w:name w:val="běžný"/>
    <w:basedOn w:val="Normal"/>
    <w:rsid w:val="006415EE"/>
    <w:pPr>
      <w:autoSpaceDE w:val="0"/>
      <w:autoSpaceDN w:val="0"/>
      <w:adjustRightInd w:val="0"/>
      <w:spacing w:after="120" w:line="240" w:lineRule="auto"/>
    </w:pPr>
    <w:rPr>
      <w:noProof w:val="0"/>
      <w:lang w:eastAsia="cs-CZ" w:bidi="ar-SA"/>
    </w:rPr>
  </w:style>
  <w:style w:type="paragraph" w:customStyle="1" w:styleId="MDSR">
    <w:name w:val="MDS ČR"/>
    <w:rsid w:val="006415EE"/>
    <w:pPr>
      <w:suppressAutoHyphens/>
      <w:overflowPunct w:val="0"/>
      <w:autoSpaceDE w:val="0"/>
      <w:autoSpaceDN w:val="0"/>
      <w:adjustRightInd w:val="0"/>
      <w:ind w:firstLine="567"/>
      <w:textAlignment w:val="baseline"/>
    </w:pPr>
    <w:rPr>
      <w:rFonts w:ascii="Times New Roman" w:hAnsi="Times New Roman"/>
      <w:sz w:val="24"/>
    </w:rPr>
  </w:style>
  <w:style w:type="character" w:customStyle="1" w:styleId="CitaceChar1">
    <w:name w:val="Citace Char1"/>
    <w:basedOn w:val="DefaultParagraphFont"/>
    <w:uiPriority w:val="29"/>
    <w:rsid w:val="006415EE"/>
    <w:rPr>
      <w:rFonts w:ascii="Times New Roman" w:eastAsia="Times New Roman" w:hAnsi="Times New Roman"/>
      <w:i/>
      <w:iCs/>
      <w:color w:val="000000"/>
      <w:sz w:val="24"/>
    </w:rPr>
  </w:style>
  <w:style w:type="table" w:customStyle="1" w:styleId="Svtlstnovn1">
    <w:name w:val="Světlé stínování1"/>
    <w:basedOn w:val="TableNormal"/>
    <w:uiPriority w:val="60"/>
    <w:rsid w:val="006415EE"/>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RozloendokumentuChar"/>
    <w:semiHidden/>
    <w:rsid w:val="006415EE"/>
    <w:pPr>
      <w:shd w:val="clear" w:color="auto" w:fill="000080"/>
      <w:spacing w:after="120" w:line="240" w:lineRule="auto"/>
    </w:pPr>
    <w:rPr>
      <w:rFonts w:ascii="Tahoma" w:eastAsia="Calibri" w:hAnsi="Tahoma" w:cs="Tahoma"/>
      <w:noProof w:val="0"/>
      <w:sz w:val="20"/>
      <w:szCs w:val="20"/>
      <w:lang w:bidi="ar-SA"/>
    </w:rPr>
  </w:style>
  <w:style w:type="character" w:customStyle="1" w:styleId="RozloendokumentuChar">
    <w:name w:val="Rozložení dokumentu Char"/>
    <w:basedOn w:val="DefaultParagraphFont"/>
    <w:link w:val="DocumentMap"/>
    <w:semiHidden/>
    <w:rsid w:val="006415EE"/>
    <w:rPr>
      <w:rFonts w:ascii="Tahoma" w:eastAsia="Calibri" w:hAnsi="Tahoma" w:cs="Tahoma"/>
      <w:shd w:val="clear" w:color="auto" w:fill="000080"/>
      <w:lang w:eastAsia="en-US"/>
    </w:rPr>
  </w:style>
  <w:style w:type="paragraph" w:styleId="BodyText">
    <w:name w:val="Body Text"/>
    <w:basedOn w:val="Normal"/>
    <w:link w:val="ZkladntextChar"/>
    <w:unhideWhenUsed/>
    <w:rsid w:val="006415EE"/>
    <w:pPr>
      <w:spacing w:after="120" w:line="240" w:lineRule="auto"/>
    </w:pPr>
    <w:rPr>
      <w:rFonts w:ascii="Garamond" w:eastAsia="Calibri" w:hAnsi="Garamond"/>
      <w:noProof w:val="0"/>
      <w:szCs w:val="22"/>
      <w:lang w:bidi="ar-SA"/>
    </w:rPr>
  </w:style>
  <w:style w:type="character" w:customStyle="1" w:styleId="ZkladntextChar">
    <w:name w:val="Základní text Char"/>
    <w:basedOn w:val="DefaultParagraphFont"/>
    <w:link w:val="BodyText"/>
    <w:rsid w:val="006415EE"/>
    <w:rPr>
      <w:rFonts w:ascii="Garamond" w:eastAsia="Calibri" w:hAnsi="Garamond"/>
      <w:sz w:val="24"/>
      <w:szCs w:val="22"/>
      <w:lang w:eastAsia="en-US"/>
    </w:rPr>
  </w:style>
  <w:style w:type="character" w:customStyle="1" w:styleId="longtext">
    <w:name w:val="long_text"/>
    <w:basedOn w:val="DefaultParagraphFont"/>
    <w:rsid w:val="006415EE"/>
  </w:style>
  <w:style w:type="character" w:customStyle="1" w:styleId="TextpoznpodarouChar1">
    <w:name w:val="Text pozn. pod čarou Char1"/>
    <w:basedOn w:val="DefaultParagraphFont"/>
    <w:link w:val="FootnoteText"/>
    <w:uiPriority w:val="99"/>
    <w:rsid w:val="00404DDA"/>
    <w:rPr>
      <w:rFonts w:ascii="Times New Roman" w:hAnsi="Times New Roman"/>
    </w:rPr>
  </w:style>
  <w:style w:type="paragraph" w:customStyle="1" w:styleId="Odstavecseseznamem1">
    <w:name w:val="Odstavec se seznamem1"/>
    <w:basedOn w:val="Normal"/>
    <w:uiPriority w:val="34"/>
    <w:rsid w:val="006415EE"/>
    <w:pPr>
      <w:numPr>
        <w:numId w:val="30"/>
      </w:numPr>
      <w:spacing w:after="120" w:line="240" w:lineRule="auto"/>
      <w:ind w:left="567" w:hanging="567"/>
      <w:contextualSpacing/>
    </w:pPr>
    <w:rPr>
      <w:rFonts w:ascii="Garamond" w:eastAsia="Calibri" w:hAnsi="Garamond"/>
      <w:noProof w:val="0"/>
      <w:szCs w:val="22"/>
      <w:lang w:bidi="ar-SA"/>
    </w:rPr>
  </w:style>
  <w:style w:type="character" w:customStyle="1" w:styleId="Zstupntext1">
    <w:name w:val="Zástupný text1"/>
    <w:basedOn w:val="DefaultParagraphFont"/>
    <w:uiPriority w:val="99"/>
    <w:semiHidden/>
    <w:rsid w:val="006415EE"/>
    <w:rPr>
      <w:color w:val="808080"/>
    </w:rPr>
  </w:style>
  <w:style w:type="paragraph" w:customStyle="1" w:styleId="Nadpisobsahu1">
    <w:name w:val="Nadpis obsahu1"/>
    <w:basedOn w:val="Heading1"/>
    <w:next w:val="Normal"/>
    <w:uiPriority w:val="39"/>
    <w:rsid w:val="006415EE"/>
    <w:pPr>
      <w:keepNext w:val="0"/>
      <w:widowControl w:val="0"/>
      <w:spacing w:before="120" w:after="120" w:line="240" w:lineRule="auto"/>
      <w:outlineLvl w:val="9"/>
    </w:pPr>
    <w:rPr>
      <w:rFonts w:ascii="Cambria" w:hAnsi="Cambria"/>
      <w:noProof w:val="0"/>
      <w:color w:val="B6B002"/>
      <w:kern w:val="0"/>
      <w:szCs w:val="28"/>
      <w:lang w:bidi="ar-SA"/>
    </w:rPr>
  </w:style>
  <w:style w:type="paragraph" w:customStyle="1" w:styleId="Revize1">
    <w:name w:val="Revize1"/>
    <w:hidden/>
    <w:uiPriority w:val="99"/>
    <w:semiHidden/>
    <w:rsid w:val="006415EE"/>
    <w:rPr>
      <w:rFonts w:ascii="Garamond" w:eastAsia="Calibri" w:hAnsi="Garamond"/>
      <w:sz w:val="24"/>
      <w:szCs w:val="22"/>
      <w:lang w:eastAsia="en-US"/>
    </w:rPr>
  </w:style>
  <w:style w:type="numbering" w:customStyle="1" w:styleId="NoList1">
    <w:name w:val="No List1"/>
    <w:next w:val="NoList"/>
    <w:semiHidden/>
    <w:rsid w:val="006415EE"/>
  </w:style>
  <w:style w:type="paragraph" w:customStyle="1" w:styleId="beznytext">
    <w:name w:val="bezny_text"/>
    <w:basedOn w:val="Normal"/>
    <w:rsid w:val="006415EE"/>
    <w:pPr>
      <w:spacing w:before="100" w:beforeAutospacing="1" w:after="100" w:afterAutospacing="1" w:line="240" w:lineRule="auto"/>
    </w:pPr>
    <w:rPr>
      <w:rFonts w:eastAsia="MS Mincho"/>
      <w:noProof w:val="0"/>
      <w:shd w:val="clear" w:color="auto" w:fill="FFFFFF"/>
      <w:lang w:eastAsia="ja-JP" w:bidi="ar-SA"/>
    </w:rPr>
  </w:style>
  <w:style w:type="paragraph" w:styleId="HTMLBottomofForm">
    <w:name w:val="HTML Bottom of Form"/>
    <w:basedOn w:val="Normal"/>
    <w:next w:val="Normal"/>
    <w:link w:val="z-KonecformuleChar"/>
    <w:hidden/>
    <w:uiPriority w:val="99"/>
    <w:unhideWhenUsed/>
    <w:rsid w:val="006415EE"/>
    <w:pPr>
      <w:pBdr>
        <w:top w:val="single" w:sz="6" w:space="1" w:color="auto"/>
      </w:pBdr>
      <w:spacing w:after="120" w:line="240" w:lineRule="auto"/>
      <w:jc w:val="center"/>
    </w:pPr>
    <w:rPr>
      <w:rFonts w:cs="Arial"/>
      <w:noProof w:val="0"/>
      <w:vanish/>
      <w:sz w:val="16"/>
      <w:szCs w:val="16"/>
      <w:shd w:val="clear" w:color="auto" w:fill="FFFFFF"/>
      <w:lang w:val="en-US" w:bidi="ar-SA"/>
    </w:rPr>
  </w:style>
  <w:style w:type="character" w:customStyle="1" w:styleId="z-KonecformuleChar">
    <w:name w:val="z-Konec formuláře Char"/>
    <w:basedOn w:val="DefaultParagraphFont"/>
    <w:link w:val="HTMLBottomofForm"/>
    <w:uiPriority w:val="99"/>
    <w:rsid w:val="006415EE"/>
    <w:rPr>
      <w:rFonts w:ascii="Arial" w:hAnsi="Arial" w:cs="Arial"/>
      <w:vanish/>
      <w:sz w:val="16"/>
      <w:szCs w:val="16"/>
      <w:lang w:val="en-US" w:eastAsia="en-US"/>
    </w:rPr>
  </w:style>
  <w:style w:type="table" w:styleId="TableGrid">
    <w:name w:val="Table Grid"/>
    <w:basedOn w:val="TableNormal"/>
    <w:uiPriority w:val="59"/>
    <w:rsid w:val="006415E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DefaultParagraphFont"/>
    <w:rsid w:val="006415EE"/>
    <w:rPr>
      <w:sz w:val="14"/>
      <w:szCs w:val="14"/>
    </w:rPr>
  </w:style>
  <w:style w:type="character" w:customStyle="1" w:styleId="longtext1">
    <w:name w:val="long_text1"/>
    <w:basedOn w:val="DefaultParagraphFont"/>
    <w:rsid w:val="006415EE"/>
    <w:rPr>
      <w:sz w:val="20"/>
      <w:szCs w:val="20"/>
    </w:rPr>
  </w:style>
  <w:style w:type="paragraph" w:customStyle="1" w:styleId="poduct020301blit">
    <w:name w:val="poduct_020301_blit"/>
    <w:basedOn w:val="Normal"/>
    <w:rsid w:val="006415EE"/>
    <w:pPr>
      <w:spacing w:before="100" w:beforeAutospacing="1" w:after="100" w:afterAutospacing="1" w:line="240" w:lineRule="auto"/>
      <w:jc w:val="left"/>
    </w:pPr>
    <w:rPr>
      <w:rFonts w:eastAsia="MS Mincho"/>
      <w:noProof w:val="0"/>
      <w:lang w:eastAsia="ja-JP" w:bidi="ar-SA"/>
    </w:rPr>
  </w:style>
  <w:style w:type="paragraph" w:customStyle="1" w:styleId="mt30">
    <w:name w:val="mt30"/>
    <w:basedOn w:val="Normal"/>
    <w:rsid w:val="006415EE"/>
    <w:pPr>
      <w:spacing w:before="100" w:beforeAutospacing="1" w:after="100" w:afterAutospacing="1" w:line="240" w:lineRule="auto"/>
      <w:jc w:val="left"/>
    </w:pPr>
    <w:rPr>
      <w:rFonts w:eastAsia="MS Mincho"/>
      <w:noProof w:val="0"/>
      <w:lang w:eastAsia="ja-JP" w:bidi="ar-SA"/>
    </w:rPr>
  </w:style>
  <w:style w:type="paragraph" w:customStyle="1" w:styleId="mt20">
    <w:name w:val="mt20"/>
    <w:basedOn w:val="Normal"/>
    <w:rsid w:val="006415EE"/>
    <w:pPr>
      <w:spacing w:before="100" w:beforeAutospacing="1" w:after="100" w:afterAutospacing="1" w:line="240" w:lineRule="auto"/>
      <w:jc w:val="left"/>
    </w:pPr>
    <w:rPr>
      <w:rFonts w:eastAsia="MS Mincho"/>
      <w:noProof w:val="0"/>
      <w:lang w:eastAsia="ja-JP" w:bidi="ar-SA"/>
    </w:rPr>
  </w:style>
  <w:style w:type="paragraph" w:customStyle="1" w:styleId="title41">
    <w:name w:val="title4_1"/>
    <w:basedOn w:val="Normal"/>
    <w:rsid w:val="006415EE"/>
    <w:pPr>
      <w:spacing w:before="100" w:beforeAutospacing="1" w:after="100" w:afterAutospacing="1" w:line="240" w:lineRule="auto"/>
      <w:jc w:val="left"/>
    </w:pPr>
    <w:rPr>
      <w:rFonts w:eastAsia="MS Mincho"/>
      <w:noProof w:val="0"/>
      <w:lang w:eastAsia="ja-JP" w:bidi="ar-SA"/>
    </w:rPr>
  </w:style>
  <w:style w:type="paragraph" w:customStyle="1" w:styleId="tcentermt10">
    <w:name w:val="tcenter mt10"/>
    <w:basedOn w:val="Normal"/>
    <w:rsid w:val="006415EE"/>
    <w:pPr>
      <w:spacing w:before="100" w:beforeAutospacing="1" w:after="100" w:afterAutospacing="1" w:line="240" w:lineRule="auto"/>
      <w:jc w:val="left"/>
    </w:pPr>
    <w:rPr>
      <w:rFonts w:eastAsia="MS Mincho"/>
      <w:noProof w:val="0"/>
      <w:lang w:eastAsia="ja-JP" w:bidi="ar-SA"/>
    </w:rPr>
  </w:style>
  <w:style w:type="paragraph" w:customStyle="1" w:styleId="title41mt10">
    <w:name w:val="title4_1mt10"/>
    <w:basedOn w:val="Normal"/>
    <w:rsid w:val="006415EE"/>
    <w:pPr>
      <w:spacing w:before="100" w:beforeAutospacing="1" w:after="100" w:afterAutospacing="1" w:line="240" w:lineRule="auto"/>
      <w:jc w:val="left"/>
    </w:pPr>
    <w:rPr>
      <w:rFonts w:eastAsia="MS Mincho"/>
      <w:noProof w:val="0"/>
      <w:lang w:eastAsia="ja-JP" w:bidi="ar-SA"/>
    </w:rPr>
  </w:style>
  <w:style w:type="character" w:customStyle="1" w:styleId="TextbublinyChar1">
    <w:name w:val="Text bubliny Char1"/>
    <w:basedOn w:val="DefaultParagraphFont"/>
    <w:uiPriority w:val="99"/>
    <w:rsid w:val="006415EE"/>
    <w:rPr>
      <w:rFonts w:ascii="Tahoma" w:hAnsi="Tahoma" w:cs="Tahoma"/>
      <w:sz w:val="16"/>
      <w:szCs w:val="16"/>
      <w:lang w:eastAsia="en-US"/>
    </w:rPr>
  </w:style>
  <w:style w:type="character" w:customStyle="1" w:styleId="A4">
    <w:name w:val="A4"/>
    <w:uiPriority w:val="99"/>
    <w:rsid w:val="006415EE"/>
    <w:rPr>
      <w:rFonts w:cs="H-Helvetica"/>
      <w:color w:val="000000"/>
      <w:sz w:val="18"/>
      <w:szCs w:val="18"/>
    </w:rPr>
  </w:style>
  <w:style w:type="character" w:customStyle="1" w:styleId="Nadpis1Char1">
    <w:name w:val="Nadpis 1 Char1"/>
    <w:basedOn w:val="DefaultParagraphFont"/>
    <w:uiPriority w:val="9"/>
    <w:rsid w:val="006415EE"/>
    <w:rPr>
      <w:rFonts w:ascii="Cambria" w:eastAsia="Times New Roman" w:hAnsi="Cambria"/>
      <w:b/>
      <w:bCs/>
      <w:color w:val="B6B002"/>
      <w:sz w:val="28"/>
      <w:szCs w:val="28"/>
    </w:rPr>
  </w:style>
  <w:style w:type="paragraph" w:customStyle="1" w:styleId="Default">
    <w:name w:val="Default"/>
    <w:link w:val="DefaultChar"/>
    <w:rsid w:val="006415EE"/>
    <w:pPr>
      <w:autoSpaceDE w:val="0"/>
      <w:autoSpaceDN w:val="0"/>
      <w:adjustRightInd w:val="0"/>
    </w:pPr>
    <w:rPr>
      <w:rFonts w:eastAsia="MS Mincho" w:cs="Calibri"/>
      <w:color w:val="000000"/>
      <w:sz w:val="24"/>
      <w:szCs w:val="24"/>
      <w:lang w:eastAsia="en-US"/>
    </w:rPr>
  </w:style>
  <w:style w:type="paragraph" w:customStyle="1" w:styleId="pagehdr">
    <w:name w:val="pagehdr"/>
    <w:basedOn w:val="Normal"/>
    <w:rsid w:val="006415EE"/>
    <w:pPr>
      <w:spacing w:before="100" w:beforeAutospacing="1" w:after="100" w:afterAutospacing="1" w:line="240" w:lineRule="auto"/>
      <w:jc w:val="left"/>
    </w:pPr>
    <w:rPr>
      <w:rFonts w:cs="Arial"/>
      <w:b/>
      <w:bCs/>
      <w:noProof w:val="0"/>
      <w:color w:val="456994"/>
      <w:sz w:val="20"/>
      <w:szCs w:val="20"/>
      <w:lang w:val="en-US" w:bidi="ar-SA"/>
    </w:rPr>
  </w:style>
  <w:style w:type="character" w:customStyle="1" w:styleId="titles21">
    <w:name w:val="titles21"/>
    <w:basedOn w:val="DefaultParagraphFont"/>
    <w:rsid w:val="006415EE"/>
    <w:rPr>
      <w:rFonts w:ascii="Verdana" w:hAnsi="Verdana" w:hint="default"/>
      <w:b/>
      <w:bCs/>
      <w:color w:val="073770"/>
      <w:sz w:val="15"/>
      <w:szCs w:val="15"/>
    </w:rPr>
  </w:style>
  <w:style w:type="character" w:customStyle="1" w:styleId="style341">
    <w:name w:val="style341"/>
    <w:basedOn w:val="DefaultParagraphFont"/>
    <w:rsid w:val="006415EE"/>
    <w:rPr>
      <w:color w:val="006600"/>
    </w:rPr>
  </w:style>
  <w:style w:type="character" w:customStyle="1" w:styleId="style251">
    <w:name w:val="style251"/>
    <w:basedOn w:val="DefaultParagraphFont"/>
    <w:rsid w:val="006415EE"/>
    <w:rPr>
      <w:b/>
      <w:bCs/>
      <w:color w:val="993300"/>
      <w:sz w:val="15"/>
      <w:szCs w:val="15"/>
    </w:rPr>
  </w:style>
  <w:style w:type="character" w:customStyle="1" w:styleId="style231">
    <w:name w:val="style231"/>
    <w:basedOn w:val="DefaultParagraphFont"/>
    <w:rsid w:val="006415EE"/>
    <w:rPr>
      <w:color w:val="000000"/>
      <w:sz w:val="15"/>
      <w:szCs w:val="15"/>
    </w:rPr>
  </w:style>
  <w:style w:type="character" w:customStyle="1" w:styleId="style27">
    <w:name w:val="style27"/>
    <w:basedOn w:val="DefaultParagraphFont"/>
    <w:rsid w:val="006415EE"/>
  </w:style>
  <w:style w:type="table" w:customStyle="1" w:styleId="TableGrid1">
    <w:name w:val="Table Grid1"/>
    <w:basedOn w:val="TableNormal"/>
    <w:next w:val="TableGrid"/>
    <w:rsid w:val="006415E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al"/>
    <w:rsid w:val="006415EE"/>
    <w:pPr>
      <w:spacing w:line="240" w:lineRule="auto"/>
      <w:jc w:val="left"/>
    </w:pPr>
    <w:rPr>
      <w:noProof w:val="0"/>
      <w:sz w:val="20"/>
      <w:szCs w:val="20"/>
      <w:lang w:val="en-US" w:bidi="ar-SA"/>
    </w:rPr>
  </w:style>
  <w:style w:type="numbering" w:customStyle="1" w:styleId="NoList2">
    <w:name w:val="No List2"/>
    <w:next w:val="NoList"/>
    <w:uiPriority w:val="99"/>
    <w:semiHidden/>
    <w:unhideWhenUsed/>
    <w:rsid w:val="006415EE"/>
  </w:style>
  <w:style w:type="character" w:styleId="PageNumber">
    <w:name w:val="page number"/>
    <w:basedOn w:val="DefaultParagraphFont"/>
    <w:semiHidden/>
    <w:rsid w:val="006415EE"/>
  </w:style>
  <w:style w:type="paragraph" w:customStyle="1" w:styleId="nadp">
    <w:name w:val="nadp"/>
    <w:basedOn w:val="BodyText"/>
    <w:rsid w:val="006415EE"/>
  </w:style>
  <w:style w:type="paragraph" w:customStyle="1" w:styleId="text">
    <w:name w:val="text"/>
    <w:basedOn w:val="Normal"/>
    <w:rsid w:val="006415EE"/>
    <w:pPr>
      <w:spacing w:before="100" w:beforeAutospacing="1" w:after="100" w:afterAutospacing="1" w:line="240" w:lineRule="auto"/>
    </w:pPr>
    <w:rPr>
      <w:rFonts w:ascii="Verdana" w:eastAsia="Arial Unicode MS" w:hAnsi="Verdana" w:cs="Arial Unicode MS"/>
      <w:noProof w:val="0"/>
      <w:color w:val="000000"/>
      <w:szCs w:val="22"/>
      <w:lang w:eastAsia="cs-CZ" w:bidi="ar-SA"/>
    </w:rPr>
  </w:style>
  <w:style w:type="paragraph" w:customStyle="1" w:styleId="textleft">
    <w:name w:val="text_left"/>
    <w:basedOn w:val="Normal"/>
    <w:rsid w:val="006415EE"/>
    <w:pPr>
      <w:spacing w:before="100" w:beforeAutospacing="1" w:after="100" w:afterAutospacing="1" w:line="240" w:lineRule="auto"/>
      <w:textAlignment w:val="top"/>
    </w:pPr>
    <w:rPr>
      <w:rFonts w:ascii="Verdana" w:eastAsia="Arial Unicode MS" w:hAnsi="Verdana" w:cs="Arial Unicode MS"/>
      <w:noProof w:val="0"/>
      <w:color w:val="000000"/>
      <w:sz w:val="20"/>
      <w:szCs w:val="20"/>
      <w:lang w:eastAsia="cs-CZ" w:bidi="ar-SA"/>
    </w:rPr>
  </w:style>
  <w:style w:type="paragraph" w:styleId="BodyText2">
    <w:name w:val="Body Text 2"/>
    <w:basedOn w:val="Normal"/>
    <w:link w:val="Zkladntext2Char"/>
    <w:uiPriority w:val="99"/>
    <w:rsid w:val="006415EE"/>
    <w:pPr>
      <w:spacing w:after="120" w:line="240" w:lineRule="auto"/>
    </w:pPr>
    <w:rPr>
      <w:rFonts w:cs="Arial"/>
      <w:noProof w:val="0"/>
      <w:sz w:val="20"/>
      <w:lang w:val="en-US" w:eastAsia="cs-CZ" w:bidi="ar-SA"/>
    </w:rPr>
  </w:style>
  <w:style w:type="character" w:customStyle="1" w:styleId="Zkladntext2Char">
    <w:name w:val="Základní text 2 Char"/>
    <w:basedOn w:val="DefaultParagraphFont"/>
    <w:link w:val="BodyText2"/>
    <w:uiPriority w:val="99"/>
    <w:rsid w:val="006415EE"/>
    <w:rPr>
      <w:rFonts w:ascii="Arial" w:hAnsi="Arial" w:cs="Arial"/>
      <w:szCs w:val="24"/>
      <w:lang w:val="en-US"/>
    </w:rPr>
  </w:style>
  <w:style w:type="paragraph" w:customStyle="1" w:styleId="04dot">
    <w:name w:val="04 dot"/>
    <w:basedOn w:val="Normal"/>
    <w:rsid w:val="006415EE"/>
    <w:pPr>
      <w:spacing w:after="120" w:line="240" w:lineRule="auto"/>
    </w:pPr>
    <w:rPr>
      <w:noProof w:val="0"/>
      <w:sz w:val="20"/>
      <w:szCs w:val="20"/>
      <w:lang w:eastAsia="cs-CZ" w:bidi="ar-SA"/>
    </w:rPr>
  </w:style>
  <w:style w:type="paragraph" w:customStyle="1" w:styleId="Nadpis2Heading2FirmHeading2Firm1">
    <w:name w:val="Nadpis 2;Heading 2 Firm;Heading 2 Firm1"/>
    <w:basedOn w:val="Normal"/>
    <w:rsid w:val="006415EE"/>
    <w:pPr>
      <w:spacing w:after="120" w:line="240" w:lineRule="auto"/>
    </w:pPr>
    <w:rPr>
      <w:noProof w:val="0"/>
      <w:sz w:val="20"/>
      <w:szCs w:val="20"/>
      <w:lang w:eastAsia="cs-CZ" w:bidi="ar-SA"/>
    </w:rPr>
  </w:style>
  <w:style w:type="paragraph" w:customStyle="1" w:styleId="normalodsazene">
    <w:name w:val="normalodsazene"/>
    <w:basedOn w:val="Normal"/>
    <w:rsid w:val="006415EE"/>
    <w:pPr>
      <w:spacing w:before="100" w:beforeAutospacing="1" w:after="100" w:afterAutospacing="1" w:line="240" w:lineRule="auto"/>
      <w:ind w:firstLine="480"/>
    </w:pPr>
    <w:rPr>
      <w:rFonts w:ascii="MS Sans Serif" w:hAnsi="MS Sans Serif"/>
      <w:noProof w:val="0"/>
      <w:snapToGrid w:val="0"/>
      <w:color w:val="343434"/>
      <w:sz w:val="15"/>
      <w:szCs w:val="15"/>
      <w:lang w:eastAsia="cs-CZ" w:bidi="ar-SA"/>
    </w:rPr>
  </w:style>
  <w:style w:type="paragraph" w:customStyle="1" w:styleId="pskom">
    <w:name w:val="pskom"/>
    <w:basedOn w:val="Normal"/>
    <w:rsid w:val="006415EE"/>
    <w:pPr>
      <w:spacing w:before="100" w:beforeAutospacing="1" w:after="100" w:afterAutospacing="1" w:line="240" w:lineRule="auto"/>
    </w:pPr>
    <w:rPr>
      <w:rFonts w:ascii="Verdana" w:hAnsi="Verdana"/>
      <w:i/>
      <w:iCs/>
      <w:noProof w:val="0"/>
      <w:snapToGrid w:val="0"/>
      <w:color w:val="343434"/>
      <w:lang w:eastAsia="cs-CZ" w:bidi="ar-SA"/>
    </w:rPr>
  </w:style>
  <w:style w:type="paragraph" w:customStyle="1" w:styleId="Textbodu">
    <w:name w:val="Text bodu"/>
    <w:basedOn w:val="Normal"/>
    <w:rsid w:val="006415EE"/>
    <w:pPr>
      <w:numPr>
        <w:ilvl w:val="2"/>
        <w:numId w:val="24"/>
      </w:numPr>
      <w:spacing w:after="120" w:line="240" w:lineRule="auto"/>
      <w:outlineLvl w:val="8"/>
    </w:pPr>
    <w:rPr>
      <w:noProof w:val="0"/>
      <w:szCs w:val="20"/>
      <w:lang w:eastAsia="cs-CZ" w:bidi="ar-SA"/>
    </w:rPr>
  </w:style>
  <w:style w:type="paragraph" w:customStyle="1" w:styleId="Textpsmene">
    <w:name w:val="Text písmene"/>
    <w:basedOn w:val="Normal"/>
    <w:rsid w:val="006415EE"/>
    <w:pPr>
      <w:numPr>
        <w:ilvl w:val="1"/>
        <w:numId w:val="24"/>
      </w:numPr>
      <w:spacing w:after="120" w:line="240" w:lineRule="auto"/>
      <w:outlineLvl w:val="7"/>
    </w:pPr>
    <w:rPr>
      <w:noProof w:val="0"/>
      <w:szCs w:val="20"/>
      <w:lang w:eastAsia="cs-CZ" w:bidi="ar-SA"/>
    </w:rPr>
  </w:style>
  <w:style w:type="paragraph" w:customStyle="1" w:styleId="Textodstavce">
    <w:name w:val="Text odstavce"/>
    <w:basedOn w:val="Normal"/>
    <w:rsid w:val="006415EE"/>
    <w:pPr>
      <w:numPr>
        <w:numId w:val="24"/>
      </w:numPr>
      <w:tabs>
        <w:tab w:val="left" w:pos="851"/>
      </w:tabs>
      <w:spacing w:after="120" w:line="240" w:lineRule="auto"/>
      <w:outlineLvl w:val="6"/>
    </w:pPr>
    <w:rPr>
      <w:noProof w:val="0"/>
      <w:szCs w:val="20"/>
      <w:lang w:eastAsia="cs-CZ" w:bidi="ar-SA"/>
    </w:rPr>
  </w:style>
  <w:style w:type="paragraph" w:customStyle="1" w:styleId="Nadpis-11">
    <w:name w:val="Nadpis-1.1"/>
    <w:basedOn w:val="Normal"/>
    <w:rsid w:val="006415EE"/>
    <w:pPr>
      <w:keepNext/>
      <w:numPr>
        <w:ilvl w:val="1"/>
        <w:numId w:val="25"/>
      </w:numPr>
      <w:spacing w:before="360" w:after="120" w:line="240" w:lineRule="auto"/>
    </w:pPr>
    <w:rPr>
      <w:b/>
      <w:noProof w:val="0"/>
      <w:lang w:eastAsia="cs-CZ" w:bidi="ar-SA"/>
    </w:rPr>
  </w:style>
  <w:style w:type="paragraph" w:customStyle="1" w:styleId="StylTunZarovnatdoblokuPed6b">
    <w:name w:val="Styl Tučné Zarovnat do bloku Před:  6 b."/>
    <w:basedOn w:val="Normal"/>
    <w:rsid w:val="006415EE"/>
    <w:pPr>
      <w:spacing w:after="120" w:line="240" w:lineRule="auto"/>
    </w:pPr>
    <w:rPr>
      <w:b/>
      <w:bCs/>
      <w:noProof w:val="0"/>
      <w:szCs w:val="20"/>
      <w:u w:val="single"/>
      <w:lang w:eastAsia="cs-CZ" w:bidi="ar-SA"/>
    </w:rPr>
  </w:style>
  <w:style w:type="paragraph" w:customStyle="1" w:styleId="StylTunKurzvaZarovnatdoblokuPed6b">
    <w:name w:val="Styl Tučné Kurzíva Zarovnat do bloku Před:  6 b."/>
    <w:basedOn w:val="Normal"/>
    <w:rsid w:val="006415EE"/>
    <w:pPr>
      <w:spacing w:after="120" w:line="240" w:lineRule="auto"/>
    </w:pPr>
    <w:rPr>
      <w:bCs/>
      <w:i/>
      <w:iCs/>
      <w:noProof w:val="0"/>
      <w:szCs w:val="20"/>
      <w:u w:val="single"/>
      <w:lang w:eastAsia="cs-CZ" w:bidi="ar-SA"/>
    </w:rPr>
  </w:style>
  <w:style w:type="paragraph" w:customStyle="1" w:styleId="poznamkadole">
    <w:name w:val="poznamkadole"/>
    <w:basedOn w:val="Normal"/>
    <w:rsid w:val="006415EE"/>
    <w:pPr>
      <w:spacing w:before="100" w:beforeAutospacing="1" w:after="100" w:afterAutospacing="1" w:line="240" w:lineRule="auto"/>
    </w:pPr>
    <w:rPr>
      <w:rFonts w:ascii="Arial Unicode MS" w:eastAsia="Arial Unicode MS" w:hAnsi="Arial Unicode MS" w:cs="Arial Unicode MS"/>
      <w:noProof w:val="0"/>
      <w:sz w:val="17"/>
      <w:szCs w:val="17"/>
      <w:lang w:eastAsia="cs-CZ" w:bidi="ar-SA"/>
    </w:rPr>
  </w:style>
  <w:style w:type="paragraph" w:styleId="Date">
    <w:name w:val="Date"/>
    <w:basedOn w:val="Normal"/>
    <w:link w:val="DatumChar"/>
    <w:semiHidden/>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character" w:customStyle="1" w:styleId="DatumChar">
    <w:name w:val="Datum Char"/>
    <w:basedOn w:val="DefaultParagraphFont"/>
    <w:link w:val="Date"/>
    <w:semiHidden/>
    <w:rsid w:val="006415EE"/>
    <w:rPr>
      <w:rFonts w:ascii="Arial Unicode MS" w:eastAsia="Arial Unicode MS" w:hAnsi="Arial Unicode MS" w:cs="Arial Unicode MS"/>
      <w:sz w:val="24"/>
      <w:szCs w:val="24"/>
    </w:rPr>
  </w:style>
  <w:style w:type="paragraph" w:customStyle="1" w:styleId="perex">
    <w:name w:val="perex"/>
    <w:basedOn w:val="Normal"/>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paragraph" w:customStyle="1" w:styleId="tdhlavickal">
    <w:name w:val="tdhlavickal"/>
    <w:basedOn w:val="Normal"/>
    <w:rsid w:val="006415EE"/>
    <w:pPr>
      <w:spacing w:before="100" w:beforeAutospacing="1" w:after="100" w:afterAutospacing="1" w:line="240" w:lineRule="auto"/>
    </w:pPr>
    <w:rPr>
      <w:rFonts w:ascii="Arial Unicode MS" w:eastAsia="Arial Unicode MS" w:hAnsi="Arial Unicode MS" w:cs="Arial Unicode MS"/>
      <w:b/>
      <w:bCs/>
      <w:noProof w:val="0"/>
      <w:sz w:val="18"/>
      <w:szCs w:val="18"/>
      <w:lang w:eastAsia="cs-CZ" w:bidi="ar-SA"/>
    </w:rPr>
  </w:style>
  <w:style w:type="paragraph" w:customStyle="1" w:styleId="tdhlavickat">
    <w:name w:val="tdhlavickat"/>
    <w:basedOn w:val="Normal"/>
    <w:rsid w:val="006415EE"/>
    <w:pPr>
      <w:shd w:val="clear" w:color="auto" w:fill="999999"/>
      <w:spacing w:before="100" w:beforeAutospacing="1" w:after="100" w:afterAutospacing="1" w:line="240" w:lineRule="auto"/>
      <w:jc w:val="center"/>
    </w:pPr>
    <w:rPr>
      <w:rFonts w:ascii="Arial Unicode MS" w:eastAsia="Arial Unicode MS" w:hAnsi="Arial Unicode MS" w:cs="Arial Unicode MS"/>
      <w:b/>
      <w:bCs/>
      <w:noProof w:val="0"/>
      <w:sz w:val="18"/>
      <w:szCs w:val="18"/>
      <w:lang w:eastAsia="cs-CZ" w:bidi="ar-SA"/>
    </w:rPr>
  </w:style>
  <w:style w:type="paragraph" w:customStyle="1" w:styleId="textnorm">
    <w:name w:val="textnorm"/>
    <w:basedOn w:val="Normal"/>
    <w:rsid w:val="006415EE"/>
    <w:pPr>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radektmava">
    <w:name w:val="radektmava"/>
    <w:basedOn w:val="Normal"/>
    <w:rsid w:val="006415EE"/>
    <w:pPr>
      <w:shd w:val="clear" w:color="auto" w:fill="CCCCCC"/>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dzluta">
    <w:name w:val="tdzluta"/>
    <w:basedOn w:val="Normal"/>
    <w:rsid w:val="006415EE"/>
    <w:pPr>
      <w:shd w:val="clear" w:color="auto" w:fill="FFFF00"/>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extcervena">
    <w:name w:val="textcervena"/>
    <w:basedOn w:val="Normal"/>
    <w:rsid w:val="006415EE"/>
    <w:pPr>
      <w:spacing w:before="100" w:beforeAutospacing="1" w:after="100" w:afterAutospacing="1" w:line="240" w:lineRule="auto"/>
    </w:pPr>
    <w:rPr>
      <w:rFonts w:ascii="Arial Unicode MS" w:eastAsia="Arial Unicode MS" w:hAnsi="Arial Unicode MS" w:cs="Arial Unicode MS"/>
      <w:noProof w:val="0"/>
      <w:color w:val="FF0000"/>
      <w:sz w:val="18"/>
      <w:szCs w:val="18"/>
      <w:lang w:eastAsia="cs-CZ" w:bidi="ar-SA"/>
    </w:rPr>
  </w:style>
  <w:style w:type="paragraph" w:customStyle="1" w:styleId="poznamkanahore">
    <w:name w:val="poznamkanahore"/>
    <w:basedOn w:val="Normal"/>
    <w:rsid w:val="006415EE"/>
    <w:pPr>
      <w:spacing w:before="100" w:beforeAutospacing="1" w:after="100" w:afterAutospacing="1" w:line="240" w:lineRule="auto"/>
    </w:pPr>
    <w:rPr>
      <w:rFonts w:ascii="Arial Unicode MS" w:eastAsia="Arial Unicode MS" w:hAnsi="Arial Unicode MS" w:cs="Arial Unicode MS"/>
      <w:i/>
      <w:iCs/>
      <w:noProof w:val="0"/>
      <w:sz w:val="18"/>
      <w:szCs w:val="18"/>
      <w:lang w:eastAsia="cs-CZ" w:bidi="ar-SA"/>
    </w:rPr>
  </w:style>
  <w:style w:type="paragraph" w:customStyle="1" w:styleId="index">
    <w:name w:val="index"/>
    <w:basedOn w:val="Normal"/>
    <w:rsid w:val="006415EE"/>
    <w:pPr>
      <w:spacing w:before="100" w:beforeAutospacing="1" w:after="100" w:afterAutospacing="1" w:line="240" w:lineRule="auto"/>
    </w:pPr>
    <w:rPr>
      <w:rFonts w:ascii="Arial Unicode MS" w:eastAsia="Arial Unicode MS" w:hAnsi="Arial Unicode MS" w:cs="Arial Unicode MS"/>
      <w:noProof w:val="0"/>
      <w:sz w:val="21"/>
      <w:szCs w:val="21"/>
      <w:lang w:eastAsia="cs-CZ" w:bidi="ar-SA"/>
    </w:rPr>
  </w:style>
  <w:style w:type="paragraph" w:customStyle="1" w:styleId="navigace">
    <w:name w:val="navigace"/>
    <w:basedOn w:val="Normal"/>
    <w:rsid w:val="006415EE"/>
    <w:pPr>
      <w:spacing w:before="100" w:beforeAutospacing="1" w:after="100" w:afterAutospacing="1" w:line="240" w:lineRule="auto"/>
      <w:jc w:val="right"/>
    </w:pPr>
    <w:rPr>
      <w:rFonts w:ascii="Arial Unicode MS" w:eastAsia="Arial Unicode MS" w:hAnsi="Arial Unicode MS" w:cs="Arial Unicode MS"/>
      <w:b/>
      <w:bCs/>
      <w:noProof w:val="0"/>
      <w:sz w:val="17"/>
      <w:szCs w:val="17"/>
      <w:lang w:eastAsia="cs-CZ" w:bidi="ar-SA"/>
    </w:rPr>
  </w:style>
  <w:style w:type="paragraph" w:customStyle="1" w:styleId="textcerny">
    <w:name w:val="text_cerny"/>
    <w:basedOn w:val="Normal"/>
    <w:rsid w:val="006415EE"/>
    <w:pPr>
      <w:spacing w:before="100" w:beforeAutospacing="1" w:after="100" w:afterAutospacing="1" w:line="240" w:lineRule="auto"/>
    </w:pPr>
    <w:rPr>
      <w:rFonts w:ascii="Verdana" w:eastAsia="Arial Unicode MS" w:hAnsi="Verdana" w:cs="Arial Unicode MS"/>
      <w:noProof w:val="0"/>
      <w:color w:val="000000"/>
      <w:sz w:val="17"/>
      <w:szCs w:val="17"/>
      <w:lang w:eastAsia="cs-CZ" w:bidi="ar-SA"/>
    </w:rPr>
  </w:style>
  <w:style w:type="character" w:customStyle="1" w:styleId="a">
    <w:name w:val="a"/>
    <w:basedOn w:val="DefaultParagraphFont"/>
    <w:rsid w:val="006415EE"/>
  </w:style>
  <w:style w:type="character" w:customStyle="1" w:styleId="bbtext">
    <w:name w:val="bbtext"/>
    <w:basedOn w:val="DefaultParagraphFont"/>
    <w:rsid w:val="006415EE"/>
  </w:style>
  <w:style w:type="paragraph" w:customStyle="1" w:styleId="Normlntun">
    <w:name w:val="Normální tučný"/>
    <w:basedOn w:val="Normal"/>
    <w:qFormat/>
    <w:rsid w:val="00F11B62"/>
    <w:pPr>
      <w:keepNext/>
      <w:spacing w:before="360" w:after="120" w:line="240" w:lineRule="auto"/>
    </w:pPr>
    <w:rPr>
      <w:b/>
      <w:bCs/>
      <w:noProof w:val="0"/>
      <w:szCs w:val="20"/>
      <w:lang w:eastAsia="cs-CZ" w:bidi="ar-SA"/>
    </w:rPr>
  </w:style>
  <w:style w:type="paragraph" w:customStyle="1" w:styleId="Normlnkurzva">
    <w:name w:val="Normální kurzíva"/>
    <w:basedOn w:val="Normal"/>
    <w:rsid w:val="006415EE"/>
    <w:pPr>
      <w:spacing w:after="120" w:line="240" w:lineRule="auto"/>
    </w:pPr>
    <w:rPr>
      <w:i/>
      <w:iCs/>
      <w:noProof w:val="0"/>
      <w:sz w:val="20"/>
      <w:szCs w:val="20"/>
      <w:lang w:eastAsia="cs-CZ" w:bidi="ar-SA"/>
    </w:rPr>
  </w:style>
  <w:style w:type="paragraph" w:customStyle="1" w:styleId="Source">
    <w:name w:val="Source"/>
    <w:basedOn w:val="Normal"/>
    <w:rsid w:val="006415EE"/>
    <w:pPr>
      <w:spacing w:after="120" w:line="240" w:lineRule="auto"/>
    </w:pPr>
    <w:rPr>
      <w:noProof w:val="0"/>
      <w:sz w:val="16"/>
      <w:szCs w:val="20"/>
      <w:lang w:eastAsia="cs-CZ" w:bidi="ar-SA"/>
    </w:rPr>
  </w:style>
  <w:style w:type="paragraph" w:styleId="BodyTextIndent">
    <w:name w:val="Body Text Indent"/>
    <w:basedOn w:val="Normal"/>
    <w:link w:val="ZkladntextodsazenChar"/>
    <w:semiHidden/>
    <w:rsid w:val="006415EE"/>
    <w:pPr>
      <w:spacing w:after="120" w:line="240" w:lineRule="auto"/>
      <w:ind w:left="4248" w:hanging="4245"/>
    </w:pPr>
    <w:rPr>
      <w:rFonts w:cs="Arial"/>
      <w:noProof w:val="0"/>
      <w:sz w:val="20"/>
      <w:lang w:eastAsia="cs-CZ" w:bidi="ar-SA"/>
    </w:rPr>
  </w:style>
  <w:style w:type="character" w:customStyle="1" w:styleId="ZkladntextodsazenChar">
    <w:name w:val="Základní text odsazený Char"/>
    <w:basedOn w:val="DefaultParagraphFont"/>
    <w:link w:val="BodyTextIndent"/>
    <w:semiHidden/>
    <w:rsid w:val="006415EE"/>
    <w:rPr>
      <w:rFonts w:ascii="Arial" w:hAnsi="Arial" w:cs="Arial"/>
      <w:szCs w:val="24"/>
    </w:rPr>
  </w:style>
  <w:style w:type="paragraph" w:customStyle="1" w:styleId="Normlnsmezerou">
    <w:name w:val="Normální s mezerou"/>
    <w:basedOn w:val="Normal"/>
    <w:rsid w:val="006415EE"/>
    <w:pPr>
      <w:widowControl w:val="0"/>
      <w:autoSpaceDE w:val="0"/>
      <w:autoSpaceDN w:val="0"/>
      <w:adjustRightInd w:val="0"/>
      <w:spacing w:before="60" w:line="240" w:lineRule="auto"/>
      <w:ind w:firstLine="709"/>
    </w:pPr>
    <w:rPr>
      <w:rFonts w:cs="Arial"/>
      <w:noProof w:val="0"/>
      <w:lang w:eastAsia="cs-CZ" w:bidi="ar-SA"/>
    </w:rPr>
  </w:style>
  <w:style w:type="paragraph" w:styleId="BodyTextIndent3">
    <w:name w:val="Body Text Indent 3"/>
    <w:basedOn w:val="Normal"/>
    <w:link w:val="Zkladntextodsazen3Char"/>
    <w:semiHidden/>
    <w:rsid w:val="006415EE"/>
    <w:pPr>
      <w:spacing w:after="120" w:line="240" w:lineRule="auto"/>
      <w:ind w:left="60"/>
    </w:pPr>
    <w:rPr>
      <w:noProof w:val="0"/>
      <w:szCs w:val="20"/>
      <w:lang w:val="en-US" w:eastAsia="cs-CZ" w:bidi="ar-SA"/>
    </w:rPr>
  </w:style>
  <w:style w:type="character" w:customStyle="1" w:styleId="Zkladntextodsazen3Char">
    <w:name w:val="Základní text odsazený 3 Char"/>
    <w:basedOn w:val="DefaultParagraphFont"/>
    <w:link w:val="BodyTextIndent3"/>
    <w:semiHidden/>
    <w:rsid w:val="006415EE"/>
    <w:rPr>
      <w:rFonts w:ascii="Times New Roman" w:hAnsi="Times New Roman"/>
      <w:sz w:val="22"/>
      <w:lang w:val="en-US"/>
    </w:rPr>
  </w:style>
  <w:style w:type="paragraph" w:customStyle="1" w:styleId="Nadpes">
    <w:name w:val="Nadpes"/>
    <w:basedOn w:val="Heading2"/>
    <w:rsid w:val="006415EE"/>
    <w:pPr>
      <w:widowControl w:val="0"/>
      <w:numPr>
        <w:numId w:val="26"/>
      </w:numPr>
      <w:tabs>
        <w:tab w:val="center" w:pos="1134"/>
      </w:tabs>
      <w:autoSpaceDE w:val="0"/>
      <w:autoSpaceDN w:val="0"/>
      <w:adjustRightInd w:val="0"/>
      <w:spacing w:before="360" w:after="120" w:line="240" w:lineRule="auto"/>
    </w:pPr>
    <w:rPr>
      <w:bCs/>
      <w:iCs w:val="0"/>
      <w:noProof w:val="0"/>
      <w:color w:val="808000"/>
      <w:kern w:val="0"/>
      <w:sz w:val="28"/>
      <w:szCs w:val="24"/>
      <w:lang w:val="en-US" w:eastAsia="cs-CZ" w:bidi="ar-SA"/>
    </w:rPr>
  </w:style>
  <w:style w:type="paragraph" w:customStyle="1" w:styleId="Nadpepes">
    <w:name w:val="Nadpepes"/>
    <w:basedOn w:val="Heading2"/>
    <w:rsid w:val="006415EE"/>
    <w:pPr>
      <w:widowControl w:val="0"/>
      <w:tabs>
        <w:tab w:val="num" w:pos="360"/>
        <w:tab w:val="center" w:pos="1134"/>
      </w:tabs>
      <w:autoSpaceDE w:val="0"/>
      <w:autoSpaceDN w:val="0"/>
      <w:adjustRightInd w:val="0"/>
      <w:spacing w:before="360" w:after="120" w:line="240" w:lineRule="auto"/>
    </w:pPr>
    <w:rPr>
      <w:bCs/>
      <w:i/>
      <w:noProof w:val="0"/>
      <w:color w:val="808000"/>
      <w:kern w:val="0"/>
      <w:sz w:val="26"/>
      <w:szCs w:val="24"/>
      <w:lang w:val="en-US" w:eastAsia="cs-CZ" w:bidi="ar-SA"/>
    </w:rPr>
  </w:style>
  <w:style w:type="paragraph" w:customStyle="1" w:styleId="Nadpepepes">
    <w:name w:val="Nadpepepes"/>
    <w:basedOn w:val="Heading4"/>
    <w:rsid w:val="006415EE"/>
    <w:pPr>
      <w:numPr>
        <w:ilvl w:val="2"/>
        <w:numId w:val="26"/>
      </w:numPr>
      <w:tabs>
        <w:tab w:val="center" w:pos="4536"/>
        <w:tab w:val="left" w:pos="8306"/>
        <w:tab w:val="right" w:pos="10206"/>
      </w:tabs>
      <w:spacing w:after="0" w:line="240" w:lineRule="auto"/>
    </w:pPr>
    <w:rPr>
      <w:b/>
      <w:noProof w:val="0"/>
      <w:color w:val="808000"/>
      <w:sz w:val="22"/>
      <w:szCs w:val="20"/>
      <w:lang w:val="en-US" w:eastAsia="cs-CZ" w:bidi="ar-SA"/>
    </w:rPr>
  </w:style>
  <w:style w:type="paragraph" w:customStyle="1" w:styleId="Pedmtkomente1">
    <w:name w:val="Předmět komentáře1"/>
    <w:basedOn w:val="CommentText"/>
    <w:next w:val="CommentText"/>
    <w:semiHidden/>
    <w:rsid w:val="006415EE"/>
    <w:pPr>
      <w:spacing w:line="240" w:lineRule="auto"/>
      <w:jc w:val="left"/>
    </w:pPr>
    <w:rPr>
      <w:b/>
      <w:bCs/>
      <w:noProof w:val="0"/>
      <w:lang w:val="en-US" w:bidi="ar-SA"/>
    </w:rPr>
  </w:style>
  <w:style w:type="paragraph" w:customStyle="1" w:styleId="Textbubliny1">
    <w:name w:val="Text bubliny1"/>
    <w:basedOn w:val="Normal"/>
    <w:semiHidden/>
    <w:rsid w:val="006415EE"/>
    <w:pPr>
      <w:spacing w:line="240" w:lineRule="auto"/>
      <w:jc w:val="left"/>
    </w:pPr>
    <w:rPr>
      <w:rFonts w:ascii="Tahoma" w:hAnsi="Tahoma" w:cs="Tahoma"/>
      <w:noProof w:val="0"/>
      <w:sz w:val="16"/>
      <w:szCs w:val="16"/>
      <w:lang w:val="en-US" w:bidi="ar-SA"/>
    </w:rPr>
  </w:style>
  <w:style w:type="paragraph" w:styleId="TOC4">
    <w:name w:val="toc 4"/>
    <w:basedOn w:val="Normal"/>
    <w:next w:val="Normal"/>
    <w:autoRedefine/>
    <w:uiPriority w:val="39"/>
    <w:rsid w:val="006415EE"/>
    <w:pPr>
      <w:ind w:left="720"/>
      <w:jc w:val="left"/>
    </w:pPr>
    <w:rPr>
      <w:rFonts w:asciiTheme="minorHAnsi" w:hAnsiTheme="minorHAnsi"/>
      <w:sz w:val="18"/>
      <w:szCs w:val="18"/>
    </w:rPr>
  </w:style>
  <w:style w:type="paragraph" w:styleId="TOC5">
    <w:name w:val="toc 5"/>
    <w:basedOn w:val="Normal"/>
    <w:next w:val="Normal"/>
    <w:autoRedefine/>
    <w:uiPriority w:val="39"/>
    <w:rsid w:val="006415EE"/>
    <w:pPr>
      <w:ind w:left="960"/>
      <w:jc w:val="left"/>
    </w:pPr>
    <w:rPr>
      <w:rFonts w:asciiTheme="minorHAnsi" w:hAnsiTheme="minorHAnsi"/>
      <w:sz w:val="18"/>
      <w:szCs w:val="18"/>
    </w:rPr>
  </w:style>
  <w:style w:type="paragraph" w:styleId="TOC6">
    <w:name w:val="toc 6"/>
    <w:basedOn w:val="Normal"/>
    <w:next w:val="Normal"/>
    <w:autoRedefine/>
    <w:uiPriority w:val="39"/>
    <w:rsid w:val="006415EE"/>
    <w:pPr>
      <w:ind w:left="1200"/>
      <w:jc w:val="left"/>
    </w:pPr>
    <w:rPr>
      <w:rFonts w:asciiTheme="minorHAnsi" w:hAnsiTheme="minorHAnsi"/>
      <w:sz w:val="18"/>
      <w:szCs w:val="18"/>
    </w:rPr>
  </w:style>
  <w:style w:type="paragraph" w:styleId="TOC7">
    <w:name w:val="toc 7"/>
    <w:basedOn w:val="Normal"/>
    <w:next w:val="Normal"/>
    <w:autoRedefine/>
    <w:uiPriority w:val="39"/>
    <w:rsid w:val="006415EE"/>
    <w:pPr>
      <w:ind w:left="1440"/>
      <w:jc w:val="left"/>
    </w:pPr>
    <w:rPr>
      <w:rFonts w:asciiTheme="minorHAnsi" w:hAnsiTheme="minorHAnsi"/>
      <w:sz w:val="18"/>
      <w:szCs w:val="18"/>
    </w:rPr>
  </w:style>
  <w:style w:type="paragraph" w:styleId="TOC8">
    <w:name w:val="toc 8"/>
    <w:basedOn w:val="Normal"/>
    <w:next w:val="Normal"/>
    <w:autoRedefine/>
    <w:uiPriority w:val="39"/>
    <w:rsid w:val="006415EE"/>
    <w:pPr>
      <w:ind w:left="1680"/>
      <w:jc w:val="left"/>
    </w:pPr>
    <w:rPr>
      <w:rFonts w:asciiTheme="minorHAnsi" w:hAnsiTheme="minorHAnsi"/>
      <w:sz w:val="18"/>
      <w:szCs w:val="18"/>
    </w:rPr>
  </w:style>
  <w:style w:type="paragraph" w:styleId="TOC9">
    <w:name w:val="toc 9"/>
    <w:basedOn w:val="Normal"/>
    <w:next w:val="Normal"/>
    <w:autoRedefine/>
    <w:uiPriority w:val="39"/>
    <w:rsid w:val="006415EE"/>
    <w:pPr>
      <w:ind w:left="1920"/>
      <w:jc w:val="left"/>
    </w:pPr>
    <w:rPr>
      <w:rFonts w:asciiTheme="minorHAnsi" w:hAnsiTheme="minorHAnsi"/>
      <w:sz w:val="18"/>
      <w:szCs w:val="18"/>
    </w:rPr>
  </w:style>
  <w:style w:type="paragraph" w:customStyle="1" w:styleId="Nadpis2Heading2FirmHeading2Firm13">
    <w:name w:val="Nadpis 2;Heading 2 Firm;Heading 2 Firm13"/>
    <w:basedOn w:val="Normal"/>
    <w:rsid w:val="006415EE"/>
    <w:pPr>
      <w:spacing w:after="120" w:line="240" w:lineRule="auto"/>
    </w:pPr>
    <w:rPr>
      <w:noProof w:val="0"/>
      <w:sz w:val="20"/>
      <w:szCs w:val="20"/>
      <w:lang w:eastAsia="cs-CZ" w:bidi="ar-SA"/>
    </w:rPr>
  </w:style>
  <w:style w:type="paragraph" w:customStyle="1" w:styleId="Nadpis2Heading2FirmHeading2Firm12">
    <w:name w:val="Nadpis 2;Heading 2 Firm;Heading 2 Firm12"/>
    <w:basedOn w:val="Normal"/>
    <w:rsid w:val="006415EE"/>
    <w:pPr>
      <w:spacing w:after="120" w:line="240" w:lineRule="auto"/>
    </w:pPr>
    <w:rPr>
      <w:noProof w:val="0"/>
      <w:sz w:val="20"/>
      <w:szCs w:val="20"/>
      <w:lang w:eastAsia="cs-CZ" w:bidi="ar-SA"/>
    </w:rPr>
  </w:style>
  <w:style w:type="paragraph" w:customStyle="1" w:styleId="Nadpis2Heading2FirmHeading2Firm11">
    <w:name w:val="Nadpis 2;Heading 2 Firm;Heading 2 Firm11"/>
    <w:basedOn w:val="Normal"/>
    <w:rsid w:val="006415EE"/>
    <w:pPr>
      <w:spacing w:after="120" w:line="240" w:lineRule="auto"/>
    </w:pPr>
    <w:rPr>
      <w:noProof w:val="0"/>
      <w:sz w:val="20"/>
      <w:szCs w:val="20"/>
      <w:lang w:eastAsia="cs-CZ" w:bidi="ar-SA"/>
    </w:rPr>
  </w:style>
  <w:style w:type="character" w:customStyle="1" w:styleId="SourceChar">
    <w:name w:val="Source Char"/>
    <w:basedOn w:val="DefaultParagraphFont"/>
    <w:rsid w:val="006415EE"/>
    <w:rPr>
      <w:sz w:val="16"/>
      <w:lang w:val="en-GB" w:eastAsia="cs-CZ" w:bidi="ar-SA"/>
    </w:rPr>
  </w:style>
  <w:style w:type="paragraph" w:customStyle="1" w:styleId="font5">
    <w:name w:val="font5"/>
    <w:basedOn w:val="Normal"/>
    <w:rsid w:val="006415EE"/>
    <w:pPr>
      <w:spacing w:before="100" w:beforeAutospacing="1" w:after="100" w:afterAutospacing="1" w:line="240" w:lineRule="auto"/>
      <w:jc w:val="left"/>
    </w:pPr>
    <w:rPr>
      <w:rFonts w:ascii="Tahoma" w:eastAsia="Arial Unicode MS" w:hAnsi="Tahoma" w:cs="Tahoma"/>
      <w:noProof w:val="0"/>
      <w:color w:val="000000"/>
      <w:sz w:val="16"/>
      <w:szCs w:val="16"/>
      <w:lang w:eastAsia="cs-CZ" w:bidi="ar-SA"/>
    </w:rPr>
  </w:style>
  <w:style w:type="paragraph" w:customStyle="1" w:styleId="font6">
    <w:name w:val="font6"/>
    <w:basedOn w:val="Normal"/>
    <w:rsid w:val="006415EE"/>
    <w:pPr>
      <w:spacing w:before="100" w:beforeAutospacing="1" w:after="100" w:afterAutospacing="1" w:line="240" w:lineRule="auto"/>
      <w:jc w:val="left"/>
    </w:pPr>
    <w:rPr>
      <w:rFonts w:ascii="Tahoma" w:eastAsia="Arial Unicode MS" w:hAnsi="Tahoma" w:cs="Tahoma"/>
      <w:b/>
      <w:bCs/>
      <w:noProof w:val="0"/>
      <w:color w:val="000000"/>
      <w:sz w:val="16"/>
      <w:szCs w:val="16"/>
      <w:lang w:eastAsia="cs-CZ" w:bidi="ar-SA"/>
    </w:rPr>
  </w:style>
  <w:style w:type="paragraph" w:customStyle="1" w:styleId="xl24">
    <w:name w:val="xl24"/>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25">
    <w:name w:val="xl25"/>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6">
    <w:name w:val="xl26"/>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7">
    <w:name w:val="xl27"/>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8">
    <w:name w:val="xl28"/>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9">
    <w:name w:val="xl29"/>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0">
    <w:name w:val="xl30"/>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1">
    <w:name w:val="xl31"/>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2">
    <w:name w:val="xl32"/>
    <w:basedOn w:val="Normal"/>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3">
    <w:name w:val="xl33"/>
    <w:basedOn w:val="Normal"/>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5">
    <w:name w:val="xl35"/>
    <w:basedOn w:val="Normal"/>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36">
    <w:name w:val="xl36"/>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7">
    <w:name w:val="xl37"/>
    <w:basedOn w:val="Normal"/>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8">
    <w:name w:val="xl38"/>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9">
    <w:name w:val="xl39"/>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0">
    <w:name w:val="xl40"/>
    <w:basedOn w:val="Normal"/>
    <w:rsid w:val="006415EE"/>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1">
    <w:name w:val="xl41"/>
    <w:basedOn w:val="Normal"/>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42">
    <w:name w:val="xl42"/>
    <w:basedOn w:val="Normal"/>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43">
    <w:name w:val="xl43"/>
    <w:basedOn w:val="Normal"/>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4">
    <w:name w:val="xl44"/>
    <w:basedOn w:val="Normal"/>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5">
    <w:name w:val="xl45"/>
    <w:basedOn w:val="Normal"/>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6">
    <w:name w:val="xl46"/>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7">
    <w:name w:val="xl47"/>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8">
    <w:name w:val="xl48"/>
    <w:basedOn w:val="Normal"/>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9">
    <w:name w:val="xl49"/>
    <w:basedOn w:val="Normal"/>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0">
    <w:name w:val="xl50"/>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1">
    <w:name w:val="xl51"/>
    <w:basedOn w:val="Normal"/>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2">
    <w:name w:val="xl52"/>
    <w:basedOn w:val="Normal"/>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3">
    <w:name w:val="xl53"/>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4">
    <w:name w:val="xl54"/>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5">
    <w:name w:val="xl55"/>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6">
    <w:name w:val="xl56"/>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57">
    <w:name w:val="xl57"/>
    <w:basedOn w:val="Normal"/>
    <w:rsid w:val="006415E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58">
    <w:name w:val="xl58"/>
    <w:basedOn w:val="Normal"/>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59">
    <w:name w:val="xl59"/>
    <w:basedOn w:val="Normal"/>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0">
    <w:name w:val="xl60"/>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1">
    <w:name w:val="xl61"/>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2">
    <w:name w:val="xl62"/>
    <w:basedOn w:val="Normal"/>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3">
    <w:name w:val="xl63"/>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4">
    <w:name w:val="xl64"/>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5">
    <w:name w:val="xl65"/>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6">
    <w:name w:val="xl66"/>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7">
    <w:name w:val="xl67"/>
    <w:basedOn w:val="Normal"/>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8">
    <w:name w:val="xl68"/>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9">
    <w:name w:val="xl69"/>
    <w:basedOn w:val="Normal"/>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0">
    <w:name w:val="xl70"/>
    <w:basedOn w:val="Normal"/>
    <w:rsid w:val="006415EE"/>
    <w:pPr>
      <w:pBdr>
        <w:top w:val="single" w:sz="4" w:space="0" w:color="auto"/>
        <w:lef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1">
    <w:name w:val="xl71"/>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2">
    <w:name w:val="xl72"/>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3">
    <w:name w:val="xl73"/>
    <w:basedOn w:val="Normal"/>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4">
    <w:name w:val="xl74"/>
    <w:basedOn w:val="Normal"/>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5">
    <w:name w:val="xl75"/>
    <w:basedOn w:val="Normal"/>
    <w:rsid w:val="006415E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76">
    <w:name w:val="xl76"/>
    <w:basedOn w:val="Normal"/>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7">
    <w:name w:val="xl77"/>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8">
    <w:name w:val="xl78"/>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9">
    <w:name w:val="xl79"/>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0">
    <w:name w:val="xl80"/>
    <w:basedOn w:val="Normal"/>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1">
    <w:name w:val="xl81"/>
    <w:basedOn w:val="Normal"/>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82">
    <w:name w:val="xl82"/>
    <w:basedOn w:val="Normal"/>
    <w:rsid w:val="006415EE"/>
    <w:pPr>
      <w:pBdr>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3">
    <w:name w:val="xl83"/>
    <w:basedOn w:val="Normal"/>
    <w:rsid w:val="006415EE"/>
    <w:pPr>
      <w:pBdr>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4">
    <w:name w:val="xl84"/>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5">
    <w:name w:val="xl85"/>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6">
    <w:name w:val="xl86"/>
    <w:basedOn w:val="Normal"/>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7">
    <w:name w:val="xl87"/>
    <w:basedOn w:val="Normal"/>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8">
    <w:name w:val="xl88"/>
    <w:basedOn w:val="Normal"/>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9">
    <w:name w:val="xl89"/>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0">
    <w:name w:val="xl90"/>
    <w:basedOn w:val="Normal"/>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1">
    <w:name w:val="xl91"/>
    <w:basedOn w:val="Normal"/>
    <w:rsid w:val="006415EE"/>
    <w:pPr>
      <w:pBdr>
        <w:lef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2">
    <w:name w:val="xl92"/>
    <w:basedOn w:val="Normal"/>
    <w:rsid w:val="006415EE"/>
    <w:pPr>
      <w:pBdr>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3">
    <w:name w:val="xl93"/>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4">
    <w:name w:val="xl94"/>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5">
    <w:name w:val="xl95"/>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6">
    <w:name w:val="xl96"/>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7">
    <w:name w:val="xl97"/>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8">
    <w:name w:val="xl98"/>
    <w:basedOn w:val="Normal"/>
    <w:rsid w:val="006415EE"/>
    <w:pPr>
      <w:pBdr>
        <w:top w:val="single" w:sz="8"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9">
    <w:name w:val="xl99"/>
    <w:basedOn w:val="Normal"/>
    <w:rsid w:val="006415E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0">
    <w:name w:val="xl100"/>
    <w:basedOn w:val="Normal"/>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1">
    <w:name w:val="xl101"/>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2">
    <w:name w:val="xl102"/>
    <w:basedOn w:val="Normal"/>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3">
    <w:name w:val="xl103"/>
    <w:basedOn w:val="Normal"/>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4">
    <w:name w:val="xl104"/>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5">
    <w:name w:val="xl105"/>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06">
    <w:name w:val="xl106"/>
    <w:basedOn w:val="Normal"/>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7">
    <w:name w:val="xl107"/>
    <w:basedOn w:val="Normal"/>
    <w:rsid w:val="006415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8">
    <w:name w:val="xl108"/>
    <w:basedOn w:val="Normal"/>
    <w:rsid w:val="006415EE"/>
    <w:pPr>
      <w:pBdr>
        <w:top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9">
    <w:name w:val="xl109"/>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0">
    <w:name w:val="xl110"/>
    <w:basedOn w:val="Normal"/>
    <w:rsid w:val="006415EE"/>
    <w:pPr>
      <w:pBdr>
        <w:top w:val="single" w:sz="8"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1">
    <w:name w:val="xl111"/>
    <w:basedOn w:val="Normal"/>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color w:val="FF0000"/>
      <w:lang w:eastAsia="cs-CZ" w:bidi="ar-SA"/>
    </w:rPr>
  </w:style>
  <w:style w:type="paragraph" w:customStyle="1" w:styleId="xl112">
    <w:name w:val="xl112"/>
    <w:basedOn w:val="Normal"/>
    <w:rsid w:val="006415EE"/>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3">
    <w:name w:val="xl113"/>
    <w:basedOn w:val="Normal"/>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4">
    <w:name w:val="xl114"/>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5">
    <w:name w:val="xl115"/>
    <w:basedOn w:val="Normal"/>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6">
    <w:name w:val="xl116"/>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7">
    <w:name w:val="xl117"/>
    <w:basedOn w:val="Normal"/>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8">
    <w:name w:val="xl118"/>
    <w:basedOn w:val="Normal"/>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9">
    <w:name w:val="xl119"/>
    <w:basedOn w:val="Normal"/>
    <w:rsid w:val="006415EE"/>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120">
    <w:name w:val="xl120"/>
    <w:basedOn w:val="Normal"/>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21">
    <w:name w:val="xl121"/>
    <w:basedOn w:val="Normal"/>
    <w:rsid w:val="006415EE"/>
    <w:pPr>
      <w:pBdr>
        <w:top w:val="single" w:sz="8"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2">
    <w:name w:val="xl122"/>
    <w:basedOn w:val="Normal"/>
    <w:rsid w:val="006415EE"/>
    <w:pPr>
      <w:pBdr>
        <w:top w:val="single" w:sz="4" w:space="0" w:color="auto"/>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23">
    <w:name w:val="xl123"/>
    <w:basedOn w:val="Normal"/>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4">
    <w:name w:val="xl124"/>
    <w:basedOn w:val="Normal"/>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5">
    <w:name w:val="xl125"/>
    <w:basedOn w:val="Normal"/>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6">
    <w:name w:val="xl126"/>
    <w:basedOn w:val="Normal"/>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7">
    <w:name w:val="xl127"/>
    <w:basedOn w:val="Normal"/>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8">
    <w:name w:val="xl128"/>
    <w:basedOn w:val="Normal"/>
    <w:rsid w:val="006415EE"/>
    <w:pPr>
      <w:pBdr>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9">
    <w:name w:val="xl129"/>
    <w:basedOn w:val="Normal"/>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0">
    <w:name w:val="xl130"/>
    <w:basedOn w:val="Normal"/>
    <w:rsid w:val="006415EE"/>
    <w:pPr>
      <w:pBdr>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1">
    <w:name w:val="xl131"/>
    <w:basedOn w:val="Normal"/>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2">
    <w:name w:val="xl132"/>
    <w:basedOn w:val="Normal"/>
    <w:rsid w:val="006415EE"/>
    <w:pPr>
      <w:pBdr>
        <w:top w:val="single" w:sz="4"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3">
    <w:name w:val="xl133"/>
    <w:basedOn w:val="Normal"/>
    <w:rsid w:val="006415EE"/>
    <w:pPr>
      <w:pBdr>
        <w:top w:val="single" w:sz="8"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4">
    <w:name w:val="xl134"/>
    <w:basedOn w:val="Normal"/>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5">
    <w:name w:val="xl135"/>
    <w:basedOn w:val="Normal"/>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6">
    <w:name w:val="xl136"/>
    <w:basedOn w:val="Normal"/>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7">
    <w:name w:val="xl137"/>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8">
    <w:name w:val="xl138"/>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9">
    <w:name w:val="xl139"/>
    <w:basedOn w:val="Normal"/>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0">
    <w:name w:val="xl140"/>
    <w:basedOn w:val="Normal"/>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41">
    <w:name w:val="xl141"/>
    <w:basedOn w:val="Normal"/>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2">
    <w:name w:val="xl142"/>
    <w:basedOn w:val="Normal"/>
    <w:rsid w:val="006415EE"/>
    <w:pPr>
      <w:pBdr>
        <w:top w:val="single" w:sz="8" w:space="0" w:color="auto"/>
        <w:bottom w:val="single" w:sz="8" w:space="0" w:color="auto"/>
        <w:right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3">
    <w:name w:val="xl143"/>
    <w:basedOn w:val="Normal"/>
    <w:rsid w:val="006415EE"/>
    <w:pPr>
      <w:pBdr>
        <w:top w:val="single" w:sz="8" w:space="0" w:color="auto"/>
        <w:left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b/>
      <w:bCs/>
      <w:noProof w:val="0"/>
      <w:color w:val="FFFFFF"/>
      <w:lang w:eastAsia="cs-CZ" w:bidi="ar-SA"/>
    </w:rPr>
  </w:style>
  <w:style w:type="paragraph" w:customStyle="1" w:styleId="xl144">
    <w:name w:val="xl144"/>
    <w:basedOn w:val="Normal"/>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5">
    <w:name w:val="xl145"/>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6">
    <w:name w:val="xl146"/>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7">
    <w:name w:val="xl147"/>
    <w:basedOn w:val="Normal"/>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4">
    <w:name w:val="xl34"/>
    <w:basedOn w:val="Normal"/>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8">
    <w:name w:val="xl148"/>
    <w:basedOn w:val="Normal"/>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9">
    <w:name w:val="xl149"/>
    <w:basedOn w:val="Normal"/>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character" w:customStyle="1" w:styleId="cun1">
    <w:name w:val="cun1"/>
    <w:basedOn w:val="DefaultParagraphFont"/>
    <w:rsid w:val="006415EE"/>
    <w:rPr>
      <w:sz w:val="16"/>
      <w:szCs w:val="16"/>
    </w:rPr>
  </w:style>
  <w:style w:type="character" w:customStyle="1" w:styleId="cu1">
    <w:name w:val="cu1"/>
    <w:basedOn w:val="DefaultParagraphFont"/>
    <w:rsid w:val="006415EE"/>
    <w:rPr>
      <w:i/>
      <w:iCs/>
      <w:sz w:val="16"/>
      <w:szCs w:val="16"/>
    </w:rPr>
  </w:style>
  <w:style w:type="paragraph" w:customStyle="1" w:styleId="source0">
    <w:name w:val="source"/>
    <w:basedOn w:val="Normal"/>
    <w:rsid w:val="006415EE"/>
    <w:pPr>
      <w:spacing w:line="240" w:lineRule="auto"/>
    </w:pPr>
    <w:rPr>
      <w:noProof w:val="0"/>
      <w:sz w:val="16"/>
      <w:lang w:val="en-US" w:eastAsia="cs-CZ" w:bidi="ar-SA"/>
    </w:rPr>
  </w:style>
  <w:style w:type="paragraph" w:customStyle="1" w:styleId="center">
    <w:name w:val="center"/>
    <w:basedOn w:val="Normal"/>
    <w:rsid w:val="006415EE"/>
    <w:pP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character" w:customStyle="1" w:styleId="vtwelve1">
    <w:name w:val="vtwelve1"/>
    <w:basedOn w:val="DefaultParagraphFont"/>
    <w:rsid w:val="006415EE"/>
    <w:rPr>
      <w:rFonts w:ascii="Verdana" w:hAnsi="Verdana" w:hint="default"/>
      <w:sz w:val="18"/>
      <w:szCs w:val="18"/>
    </w:rPr>
  </w:style>
  <w:style w:type="numbering" w:customStyle="1" w:styleId="NoList3">
    <w:name w:val="No List3"/>
    <w:next w:val="NoList"/>
    <w:uiPriority w:val="99"/>
    <w:semiHidden/>
    <w:unhideWhenUsed/>
    <w:rsid w:val="006415EE"/>
  </w:style>
  <w:style w:type="character" w:customStyle="1" w:styleId="CharChar19">
    <w:name w:val="Char Char19"/>
    <w:basedOn w:val="DefaultParagraphFont"/>
    <w:rsid w:val="006415EE"/>
    <w:rPr>
      <w:rFonts w:ascii="Arial" w:hAnsi="Arial"/>
      <w:b/>
      <w:bCs/>
      <w:i/>
      <w:iCs/>
      <w:sz w:val="26"/>
      <w:szCs w:val="26"/>
    </w:rPr>
  </w:style>
  <w:style w:type="character" w:customStyle="1" w:styleId="CharChar18">
    <w:name w:val="Char Char18"/>
    <w:basedOn w:val="DefaultParagraphFont"/>
    <w:rsid w:val="006415EE"/>
    <w:rPr>
      <w:b/>
      <w:bCs/>
      <w:szCs w:val="22"/>
    </w:rPr>
  </w:style>
  <w:style w:type="character" w:customStyle="1" w:styleId="CharChar17">
    <w:name w:val="Char Char17"/>
    <w:basedOn w:val="DefaultParagraphFont"/>
    <w:rsid w:val="006415EE"/>
    <w:rPr>
      <w:sz w:val="24"/>
      <w:szCs w:val="24"/>
    </w:rPr>
  </w:style>
  <w:style w:type="character" w:customStyle="1" w:styleId="CharChar16">
    <w:name w:val="Char Char16"/>
    <w:basedOn w:val="DefaultParagraphFont"/>
    <w:rsid w:val="006415EE"/>
    <w:rPr>
      <w:i/>
      <w:iCs/>
      <w:sz w:val="24"/>
      <w:szCs w:val="24"/>
    </w:rPr>
  </w:style>
  <w:style w:type="character" w:customStyle="1" w:styleId="CharChar15">
    <w:name w:val="Char Char15"/>
    <w:basedOn w:val="DefaultParagraphFont"/>
    <w:rsid w:val="006415EE"/>
    <w:rPr>
      <w:rFonts w:ascii="Arial" w:hAnsi="Arial" w:cs="Arial"/>
      <w:szCs w:val="22"/>
    </w:rPr>
  </w:style>
  <w:style w:type="character" w:customStyle="1" w:styleId="CharChar14">
    <w:name w:val="Char Char14"/>
    <w:basedOn w:val="DefaultParagraphFont"/>
    <w:rsid w:val="006415EE"/>
    <w:rPr>
      <w:rFonts w:ascii="Arial" w:hAnsi="Arial"/>
      <w:szCs w:val="24"/>
      <w:lang w:val="cs-CZ" w:eastAsia="cs-CZ" w:bidi="ar-SA"/>
    </w:rPr>
  </w:style>
  <w:style w:type="character" w:customStyle="1" w:styleId="CharChar13">
    <w:name w:val="Char Char13"/>
    <w:basedOn w:val="DefaultParagraphFont"/>
    <w:semiHidden/>
    <w:rsid w:val="006415EE"/>
    <w:rPr>
      <w:rFonts w:ascii="Arial" w:hAnsi="Arial"/>
      <w:sz w:val="16"/>
      <w:lang w:val="cs-CZ" w:eastAsia="cs-CZ" w:bidi="ar-SA"/>
    </w:rPr>
  </w:style>
  <w:style w:type="paragraph" w:customStyle="1" w:styleId="footnote">
    <w:name w:val="footnote"/>
    <w:basedOn w:val="FootnoteText"/>
    <w:rsid w:val="006415EE"/>
    <w:pPr>
      <w:spacing w:after="120" w:line="288" w:lineRule="auto"/>
    </w:pPr>
    <w:rPr>
      <w:sz w:val="16"/>
    </w:rPr>
  </w:style>
  <w:style w:type="character" w:customStyle="1" w:styleId="footnoteChar">
    <w:name w:val="footnote Char"/>
    <w:rsid w:val="006415EE"/>
    <w:rPr>
      <w:rFonts w:ascii="Arial" w:hAnsi="Arial"/>
      <w:sz w:val="16"/>
      <w:lang w:val="cs-CZ" w:eastAsia="cs-CZ" w:bidi="ar-SA"/>
    </w:rPr>
  </w:style>
  <w:style w:type="paragraph" w:customStyle="1" w:styleId="StyleHeading2Italic">
    <w:name w:val="Style Heading 2 + Italic"/>
    <w:basedOn w:val="Heading2"/>
    <w:rsid w:val="006415EE"/>
    <w:pPr>
      <w:tabs>
        <w:tab w:val="num" w:pos="576"/>
      </w:tabs>
      <w:spacing w:before="0" w:after="120" w:line="288" w:lineRule="auto"/>
    </w:pPr>
    <w:rPr>
      <w:bCs/>
      <w:noProof w:val="0"/>
      <w:color w:val="000080"/>
      <w:kern w:val="0"/>
      <w:sz w:val="20"/>
      <w:lang w:eastAsia="cs-CZ" w:bidi="ar-SA"/>
    </w:rPr>
  </w:style>
  <w:style w:type="character" w:customStyle="1" w:styleId="CharChar11">
    <w:name w:val="Char Char11"/>
    <w:basedOn w:val="DefaultParagraphFont"/>
    <w:rsid w:val="006415EE"/>
    <w:rPr>
      <w:rFonts w:ascii="Arial Narrow" w:hAnsi="Arial Narrow"/>
      <w:szCs w:val="24"/>
      <w:lang w:val="cs-CZ" w:eastAsia="cs-CZ" w:bidi="ar-SA"/>
    </w:rPr>
  </w:style>
  <w:style w:type="paragraph" w:customStyle="1" w:styleId="Zdroj">
    <w:name w:val="Zdroj"/>
    <w:basedOn w:val="Normal"/>
    <w:next w:val="Normal"/>
    <w:rsid w:val="006415EE"/>
    <w:pPr>
      <w:spacing w:after="120" w:line="288" w:lineRule="auto"/>
    </w:pPr>
    <w:rPr>
      <w:noProof w:val="0"/>
      <w:sz w:val="18"/>
      <w:lang w:eastAsia="cs-CZ" w:bidi="ar-SA"/>
    </w:rPr>
  </w:style>
  <w:style w:type="character" w:customStyle="1" w:styleId="ZdrojChar">
    <w:name w:val="Zdroj Char"/>
    <w:basedOn w:val="DefaultParagraphFont"/>
    <w:rsid w:val="006415EE"/>
    <w:rPr>
      <w:rFonts w:ascii="Arial" w:hAnsi="Arial"/>
      <w:sz w:val="18"/>
      <w:szCs w:val="24"/>
      <w:lang w:val="cs-CZ" w:eastAsia="cs-CZ" w:bidi="ar-SA"/>
    </w:rPr>
  </w:style>
  <w:style w:type="table" w:customStyle="1" w:styleId="TableGrid2">
    <w:name w:val="Table Grid2"/>
    <w:basedOn w:val="TableNormal"/>
    <w:next w:val="TableGrid"/>
    <w:uiPriority w:val="59"/>
    <w:rsid w:val="006415EE"/>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al"/>
    <w:rsid w:val="006415EE"/>
    <w:pPr>
      <w:pBdr>
        <w:top w:val="single" w:sz="12" w:space="1" w:color="808080"/>
        <w:left w:val="single" w:sz="12" w:space="4" w:color="808080"/>
        <w:bottom w:val="single" w:sz="12" w:space="1" w:color="808080"/>
        <w:right w:val="single" w:sz="12" w:space="4" w:color="808080"/>
      </w:pBdr>
      <w:spacing w:after="120" w:line="288" w:lineRule="auto"/>
    </w:pPr>
    <w:rPr>
      <w:noProof w:val="0"/>
      <w:sz w:val="20"/>
      <w:lang w:eastAsia="cs-CZ" w:bidi="ar-SA"/>
    </w:rPr>
  </w:style>
  <w:style w:type="character" w:customStyle="1" w:styleId="google-src-text">
    <w:name w:val="google-src-text"/>
    <w:basedOn w:val="DefaultParagraphFont"/>
    <w:rsid w:val="006415EE"/>
  </w:style>
  <w:style w:type="character" w:customStyle="1" w:styleId="CharChar10">
    <w:name w:val="Char Char10"/>
    <w:basedOn w:val="DefaultParagraphFont"/>
    <w:rsid w:val="006415EE"/>
    <w:rPr>
      <w:rFonts w:ascii="Arial" w:hAnsi="Arial"/>
      <w:lang w:val="cs-CZ" w:eastAsia="cs-CZ" w:bidi="ar-SA"/>
    </w:rPr>
  </w:style>
  <w:style w:type="character" w:customStyle="1" w:styleId="CharChar9">
    <w:name w:val="Char Char9"/>
    <w:basedOn w:val="DefaultParagraphFont"/>
    <w:rsid w:val="006415EE"/>
    <w:rPr>
      <w:rFonts w:ascii="Tahoma" w:hAnsi="Tahoma" w:cs="Tahoma"/>
      <w:sz w:val="16"/>
      <w:szCs w:val="16"/>
      <w:lang w:val="cs-CZ" w:eastAsia="cs-CZ" w:bidi="ar-SA"/>
    </w:rPr>
  </w:style>
  <w:style w:type="paragraph" w:customStyle="1" w:styleId="normln">
    <w:name w:val="normální"/>
    <w:basedOn w:val="Normal"/>
    <w:rsid w:val="006415EE"/>
    <w:pPr>
      <w:spacing w:before="60" w:line="300" w:lineRule="auto"/>
    </w:pPr>
    <w:rPr>
      <w:noProof w:val="0"/>
      <w:sz w:val="20"/>
      <w:szCs w:val="20"/>
      <w:lang w:eastAsia="cs-CZ" w:bidi="ar-SA"/>
    </w:rPr>
  </w:style>
  <w:style w:type="paragraph" w:customStyle="1" w:styleId="Normln1">
    <w:name w:val="Normální 1"/>
    <w:basedOn w:val="Normal"/>
    <w:next w:val="Normal"/>
    <w:rsid w:val="006415EE"/>
    <w:pPr>
      <w:spacing w:after="120" w:line="288" w:lineRule="auto"/>
    </w:pPr>
    <w:rPr>
      <w:noProof w:val="0"/>
      <w:szCs w:val="20"/>
      <w:lang w:bidi="ar-SA"/>
    </w:rPr>
  </w:style>
  <w:style w:type="character" w:customStyle="1" w:styleId="CharChar8">
    <w:name w:val="Char Char8"/>
    <w:basedOn w:val="CharChar10"/>
    <w:rsid w:val="006415EE"/>
    <w:rPr>
      <w:rFonts w:ascii="Arial" w:hAnsi="Arial"/>
      <w:b/>
      <w:bCs/>
      <w:lang w:val="cs-CZ" w:eastAsia="cs-CZ" w:bidi="ar-SA"/>
    </w:rPr>
  </w:style>
  <w:style w:type="paragraph" w:customStyle="1" w:styleId="orm">
    <w:name w:val="orm"/>
    <w:basedOn w:val="Caption"/>
    <w:rsid w:val="006415EE"/>
    <w:pPr>
      <w:widowControl w:val="0"/>
      <w:spacing w:before="0" w:line="288" w:lineRule="auto"/>
      <w:contextualSpacing w:val="0"/>
      <w:jc w:val="left"/>
    </w:pPr>
    <w:rPr>
      <w:rFonts w:ascii="Garamond" w:hAnsi="Garamond"/>
      <w:bCs/>
      <w:i/>
      <w:noProof w:val="0"/>
      <w:color w:val="000000"/>
      <w:spacing w:val="0"/>
      <w:sz w:val="20"/>
      <w:szCs w:val="20"/>
      <w:lang w:eastAsia="cs-CZ" w:bidi="ar-SA"/>
    </w:rPr>
  </w:style>
  <w:style w:type="character" w:customStyle="1" w:styleId="CharChar12">
    <w:name w:val="Char Char12"/>
    <w:basedOn w:val="DefaultParagraphFont"/>
    <w:rsid w:val="006415EE"/>
    <w:rPr>
      <w:rFonts w:ascii="Arial" w:eastAsia="Times New Roman" w:hAnsi="Arial"/>
      <w:sz w:val="16"/>
    </w:rPr>
  </w:style>
  <w:style w:type="paragraph" w:customStyle="1" w:styleId="CM4">
    <w:name w:val="CM4"/>
    <w:basedOn w:val="Default"/>
    <w:next w:val="Default"/>
    <w:uiPriority w:val="99"/>
    <w:rsid w:val="006415EE"/>
  </w:style>
  <w:style w:type="character" w:customStyle="1" w:styleId="CharChar7">
    <w:name w:val="Char Char7"/>
    <w:basedOn w:val="DefaultParagraphFont"/>
    <w:rsid w:val="006415EE"/>
    <w:rPr>
      <w:rFonts w:ascii="Arial" w:hAnsi="Arial"/>
      <w:i/>
      <w:iCs/>
      <w:sz w:val="22"/>
      <w:szCs w:val="24"/>
      <w:lang w:val="cs-CZ" w:eastAsia="cs-CZ" w:bidi="ar-SA"/>
    </w:rPr>
  </w:style>
  <w:style w:type="character" w:customStyle="1" w:styleId="CharChar6">
    <w:name w:val="Char Char6"/>
    <w:basedOn w:val="DefaultParagraphFont"/>
    <w:rsid w:val="006415EE"/>
    <w:rPr>
      <w:rFonts w:ascii="Arial" w:hAnsi="Arial"/>
      <w:sz w:val="32"/>
      <w:lang w:val="cs-CZ" w:eastAsia="cs-CZ" w:bidi="ar-SA"/>
    </w:rPr>
  </w:style>
  <w:style w:type="paragraph" w:customStyle="1" w:styleId="Nadpisobsahuaseznamu">
    <w:name w:val="Nadpis obsahu a seznamu"/>
    <w:basedOn w:val="TOC1"/>
    <w:rsid w:val="006415EE"/>
    <w:pPr>
      <w:spacing w:before="240" w:after="240"/>
    </w:pPr>
    <w:rPr>
      <w:rFonts w:ascii="Arial" w:hAnsi="Arial" w:cs="Arial"/>
      <w:sz w:val="28"/>
      <w:lang w:eastAsia="cs-CZ"/>
    </w:rPr>
  </w:style>
  <w:style w:type="paragraph" w:customStyle="1" w:styleId="Zkratky">
    <w:name w:val="Zkratky"/>
    <w:basedOn w:val="Normal"/>
    <w:rsid w:val="006415EE"/>
    <w:pPr>
      <w:tabs>
        <w:tab w:val="left" w:leader="dot" w:pos="2835"/>
      </w:tabs>
      <w:spacing w:after="120" w:line="240" w:lineRule="auto"/>
      <w:jc w:val="left"/>
    </w:pPr>
    <w:rPr>
      <w:noProof w:val="0"/>
      <w:lang w:eastAsia="cs-CZ" w:bidi="ar-SA"/>
    </w:rPr>
  </w:style>
  <w:style w:type="paragraph" w:customStyle="1" w:styleId="Zhlavtabulky">
    <w:name w:val="Záhlaví tabulky"/>
    <w:basedOn w:val="Normal"/>
    <w:rsid w:val="006415EE"/>
    <w:pPr>
      <w:spacing w:after="120" w:line="240" w:lineRule="auto"/>
      <w:jc w:val="center"/>
    </w:pPr>
    <w:rPr>
      <w:b/>
      <w:noProof w:val="0"/>
      <w:lang w:eastAsia="cs-CZ" w:bidi="ar-SA"/>
    </w:rPr>
  </w:style>
  <w:style w:type="paragraph" w:customStyle="1" w:styleId="Bullet1">
    <w:name w:val="Bullet 1"/>
    <w:basedOn w:val="Normal"/>
    <w:rsid w:val="006415EE"/>
    <w:pPr>
      <w:numPr>
        <w:numId w:val="27"/>
      </w:numPr>
      <w:spacing w:after="120" w:line="240" w:lineRule="auto"/>
      <w:jc w:val="left"/>
    </w:pPr>
    <w:rPr>
      <w:noProof w:val="0"/>
      <w:lang w:eastAsia="cs-CZ" w:bidi="ar-SA"/>
    </w:rPr>
  </w:style>
  <w:style w:type="paragraph" w:customStyle="1" w:styleId="Bullet2">
    <w:name w:val="Bullet 2"/>
    <w:basedOn w:val="Normal"/>
    <w:rsid w:val="006415EE"/>
    <w:pPr>
      <w:numPr>
        <w:numId w:val="28"/>
      </w:numPr>
      <w:tabs>
        <w:tab w:val="clear" w:pos="720"/>
        <w:tab w:val="left" w:pos="851"/>
      </w:tabs>
      <w:spacing w:after="120" w:line="240" w:lineRule="auto"/>
      <w:ind w:left="851" w:hanging="284"/>
      <w:jc w:val="left"/>
    </w:pPr>
    <w:rPr>
      <w:noProof w:val="0"/>
      <w:lang w:eastAsia="cs-CZ" w:bidi="ar-SA"/>
    </w:rPr>
  </w:style>
  <w:style w:type="character" w:customStyle="1" w:styleId="CharChar5">
    <w:name w:val="Char Char5"/>
    <w:basedOn w:val="DefaultParagraphFont"/>
    <w:rsid w:val="006415EE"/>
    <w:rPr>
      <w:rFonts w:ascii="Arial" w:hAnsi="Arial"/>
      <w:b/>
      <w:bCs/>
      <w:sz w:val="22"/>
      <w:szCs w:val="24"/>
      <w:lang w:val="cs-CZ" w:eastAsia="cs-CZ" w:bidi="ar-SA"/>
    </w:rPr>
  </w:style>
  <w:style w:type="character" w:customStyle="1" w:styleId="CharChar4">
    <w:name w:val="Char Char4"/>
    <w:basedOn w:val="DefaultParagraphFont"/>
    <w:rsid w:val="006415EE"/>
    <w:rPr>
      <w:rFonts w:ascii="Arial" w:hAnsi="Arial"/>
      <w:sz w:val="22"/>
      <w:szCs w:val="24"/>
      <w:lang w:val="cs-CZ" w:eastAsia="cs-CZ" w:bidi="ar-SA"/>
    </w:rPr>
  </w:style>
  <w:style w:type="character" w:customStyle="1" w:styleId="textemarge">
    <w:name w:val="textemarge"/>
    <w:basedOn w:val="DefaultParagraphFont"/>
    <w:rsid w:val="006415EE"/>
  </w:style>
  <w:style w:type="character" w:customStyle="1" w:styleId="CharChar3">
    <w:name w:val="Char Char3"/>
    <w:basedOn w:val="DefaultParagraphFont"/>
    <w:rsid w:val="006415EE"/>
    <w:rPr>
      <w:rFonts w:ascii="Arial" w:hAnsi="Arial"/>
      <w:color w:val="FF0000"/>
      <w:sz w:val="22"/>
      <w:szCs w:val="24"/>
      <w:lang w:val="cs-CZ" w:eastAsia="cs-CZ" w:bidi="ar-SA"/>
    </w:rPr>
  </w:style>
  <w:style w:type="paragraph" w:styleId="BodyTextIndent2">
    <w:name w:val="Body Text Indent 2"/>
    <w:basedOn w:val="Normal"/>
    <w:link w:val="Zkladntextodsazen2Char"/>
    <w:semiHidden/>
    <w:rsid w:val="006415EE"/>
    <w:pPr>
      <w:tabs>
        <w:tab w:val="num" w:pos="720"/>
      </w:tabs>
      <w:spacing w:after="120" w:line="240" w:lineRule="auto"/>
      <w:ind w:left="720" w:hanging="360"/>
    </w:pPr>
    <w:rPr>
      <w:noProof w:val="0"/>
      <w:color w:val="0000FF"/>
      <w:lang w:eastAsia="cs-CZ" w:bidi="ar-SA"/>
    </w:rPr>
  </w:style>
  <w:style w:type="character" w:customStyle="1" w:styleId="Zkladntextodsazen2Char">
    <w:name w:val="Základní text odsazený 2 Char"/>
    <w:basedOn w:val="DefaultParagraphFont"/>
    <w:link w:val="BodyTextIndent2"/>
    <w:semiHidden/>
    <w:rsid w:val="006415EE"/>
    <w:rPr>
      <w:rFonts w:ascii="Arial" w:hAnsi="Arial"/>
      <w:color w:val="0000FF"/>
      <w:sz w:val="24"/>
      <w:szCs w:val="24"/>
    </w:rPr>
  </w:style>
  <w:style w:type="character" w:customStyle="1" w:styleId="CharChar2">
    <w:name w:val="Char Char2"/>
    <w:basedOn w:val="DefaultParagraphFont"/>
    <w:rsid w:val="006415EE"/>
    <w:rPr>
      <w:rFonts w:ascii="Arial" w:hAnsi="Arial"/>
      <w:color w:val="0000FF"/>
      <w:sz w:val="24"/>
      <w:szCs w:val="24"/>
      <w:lang w:val="cs-CZ" w:eastAsia="cs-CZ" w:bidi="ar-SA"/>
    </w:rPr>
  </w:style>
  <w:style w:type="character" w:customStyle="1" w:styleId="CharChar1">
    <w:name w:val="Char Char1"/>
    <w:basedOn w:val="DefaultParagraphFont"/>
    <w:rsid w:val="006415EE"/>
    <w:rPr>
      <w:b/>
      <w:bCs/>
      <w:sz w:val="24"/>
      <w:lang w:val="cs-CZ" w:eastAsia="cs-CZ" w:bidi="ar-SA"/>
    </w:rPr>
  </w:style>
  <w:style w:type="paragraph" w:styleId="PlainText">
    <w:name w:val="Plain Text"/>
    <w:basedOn w:val="Normal"/>
    <w:link w:val="ProsttextChar"/>
    <w:uiPriority w:val="99"/>
    <w:semiHidden/>
    <w:rsid w:val="006415EE"/>
    <w:pPr>
      <w:spacing w:line="240" w:lineRule="auto"/>
      <w:jc w:val="left"/>
    </w:pPr>
    <w:rPr>
      <w:rFonts w:ascii="Consolas" w:eastAsia="Arial Unicode MS" w:hAnsi="Consolas" w:cs="Arial Unicode MS"/>
      <w:noProof w:val="0"/>
      <w:sz w:val="21"/>
      <w:szCs w:val="21"/>
      <w:lang w:eastAsia="cs-CZ" w:bidi="ar-SA"/>
    </w:rPr>
  </w:style>
  <w:style w:type="character" w:customStyle="1" w:styleId="ProsttextChar">
    <w:name w:val="Prostý text Char"/>
    <w:basedOn w:val="DefaultParagraphFont"/>
    <w:link w:val="PlainText"/>
    <w:uiPriority w:val="99"/>
    <w:semiHidden/>
    <w:rsid w:val="006415EE"/>
    <w:rPr>
      <w:rFonts w:ascii="Consolas" w:eastAsia="Arial Unicode MS" w:hAnsi="Consolas" w:cs="Arial Unicode MS"/>
      <w:sz w:val="21"/>
      <w:szCs w:val="21"/>
    </w:rPr>
  </w:style>
  <w:style w:type="character" w:customStyle="1" w:styleId="CharChar">
    <w:name w:val="Char Char"/>
    <w:basedOn w:val="DefaultParagraphFont"/>
    <w:rsid w:val="006415EE"/>
    <w:rPr>
      <w:rFonts w:ascii="Consolas" w:eastAsia="Arial Unicode MS" w:hAnsi="Consolas" w:cs="Arial Unicode MS"/>
      <w:sz w:val="21"/>
      <w:szCs w:val="21"/>
      <w:lang w:val="cs-CZ" w:eastAsia="cs-CZ" w:bidi="ar-SA"/>
    </w:rPr>
  </w:style>
  <w:style w:type="paragraph" w:customStyle="1" w:styleId="Nadpisobsahu2">
    <w:name w:val="Nadpis obsahu2"/>
    <w:basedOn w:val="Heading1"/>
    <w:next w:val="Normal"/>
    <w:rsid w:val="006415EE"/>
    <w:pPr>
      <w:keepNext w:val="0"/>
      <w:widowControl w:val="0"/>
      <w:spacing w:before="120" w:after="120"/>
      <w:jc w:val="left"/>
      <w:outlineLvl w:val="9"/>
    </w:pPr>
    <w:rPr>
      <w:rFonts w:ascii="Cambria" w:hAnsi="Cambria"/>
      <w:noProof w:val="0"/>
      <w:color w:val="365F91"/>
      <w:kern w:val="0"/>
      <w:szCs w:val="28"/>
      <w:lang w:bidi="ar-SA"/>
    </w:rPr>
  </w:style>
  <w:style w:type="paragraph" w:customStyle="1" w:styleId="Odstavecseseznamem2">
    <w:name w:val="Odstavec se seznamem2"/>
    <w:basedOn w:val="Normal"/>
    <w:rsid w:val="006415EE"/>
    <w:pPr>
      <w:spacing w:after="200"/>
      <w:ind w:left="720"/>
      <w:contextualSpacing/>
      <w:jc w:val="left"/>
    </w:pPr>
    <w:rPr>
      <w:rFonts w:ascii="Verdana" w:eastAsia="Calibri" w:hAnsi="Verdana"/>
      <w:noProof w:val="0"/>
      <w:sz w:val="18"/>
      <w:szCs w:val="18"/>
      <w:lang w:bidi="ar-SA"/>
    </w:rPr>
  </w:style>
  <w:style w:type="paragraph" w:customStyle="1" w:styleId="bodytext0">
    <w:name w:val="bodytext"/>
    <w:basedOn w:val="Normal"/>
    <w:rsid w:val="006415EE"/>
    <w:pP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OdrazkaIstav">
    <w:name w:val="Odrazka_I_stav"/>
    <w:basedOn w:val="Normal"/>
    <w:rsid w:val="006415EE"/>
    <w:pPr>
      <w:numPr>
        <w:numId w:val="29"/>
      </w:numPr>
      <w:tabs>
        <w:tab w:val="left" w:pos="284"/>
      </w:tabs>
      <w:spacing w:before="60" w:line="240" w:lineRule="auto"/>
    </w:pPr>
    <w:rPr>
      <w:rFonts w:cs="Arial"/>
      <w:sz w:val="20"/>
      <w:szCs w:val="20"/>
      <w:lang w:eastAsia="cs-CZ" w:bidi="ar-SA"/>
    </w:rPr>
  </w:style>
  <w:style w:type="table" w:customStyle="1" w:styleId="TableGrid3">
    <w:name w:val="Table Grid3"/>
    <w:basedOn w:val="TableNormal"/>
    <w:next w:val="TableGrid"/>
    <w:uiPriority w:val="59"/>
    <w:rsid w:val="006415E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al"/>
    <w:rsid w:val="006415EE"/>
    <w:pPr>
      <w:spacing w:after="120" w:line="240" w:lineRule="auto"/>
    </w:pPr>
    <w:rPr>
      <w:rFonts w:ascii="Garamond" w:eastAsia="Calibri" w:hAnsi="Garamond"/>
      <w:i/>
      <w:noProof w:val="0"/>
      <w:szCs w:val="22"/>
      <w:lang w:bidi="ar-SA"/>
    </w:rPr>
  </w:style>
  <w:style w:type="numbering" w:customStyle="1" w:styleId="NoList4">
    <w:name w:val="No List4"/>
    <w:next w:val="NoList"/>
    <w:uiPriority w:val="99"/>
    <w:semiHidden/>
    <w:unhideWhenUsed/>
    <w:rsid w:val="006415EE"/>
  </w:style>
  <w:style w:type="paragraph" w:customStyle="1" w:styleId="documentannotation">
    <w:name w:val="documentannotation"/>
    <w:basedOn w:val="Normal"/>
    <w:rsid w:val="006415EE"/>
    <w:pPr>
      <w:spacing w:before="100" w:beforeAutospacing="1" w:after="100" w:afterAutospacing="1" w:line="240" w:lineRule="auto"/>
      <w:jc w:val="left"/>
    </w:pPr>
    <w:rPr>
      <w:noProof w:val="0"/>
      <w:lang w:val="en-US" w:bidi="ar-SA"/>
    </w:rPr>
  </w:style>
  <w:style w:type="character" w:customStyle="1" w:styleId="platne">
    <w:name w:val="platne"/>
    <w:basedOn w:val="DefaultParagraphFont"/>
    <w:rsid w:val="006415EE"/>
  </w:style>
  <w:style w:type="character" w:customStyle="1" w:styleId="ZpatChar1">
    <w:name w:val="Zápatí Char1"/>
    <w:basedOn w:val="DefaultParagraphFont"/>
    <w:uiPriority w:val="99"/>
    <w:rsid w:val="006415EE"/>
    <w:rPr>
      <w:rFonts w:ascii="Garamond" w:hAnsi="Garamond"/>
      <w:sz w:val="24"/>
      <w:szCs w:val="22"/>
      <w:lang w:val="en-GB"/>
    </w:rPr>
  </w:style>
  <w:style w:type="character" w:customStyle="1" w:styleId="apple-converted-space">
    <w:name w:val="apple-converted-space"/>
    <w:basedOn w:val="DefaultParagraphFont"/>
    <w:rsid w:val="006415EE"/>
  </w:style>
  <w:style w:type="paragraph" w:customStyle="1" w:styleId="ca">
    <w:name w:val="ca"/>
    <w:basedOn w:val="Normal"/>
    <w:rsid w:val="006415EE"/>
    <w:pPr>
      <w:spacing w:before="100" w:beforeAutospacing="1" w:after="100" w:afterAutospacing="1" w:line="240" w:lineRule="auto"/>
      <w:jc w:val="left"/>
    </w:pPr>
    <w:rPr>
      <w:noProof w:val="0"/>
      <w:lang w:val="en-US" w:bidi="ar-SA"/>
    </w:rPr>
  </w:style>
  <w:style w:type="character" w:customStyle="1" w:styleId="Caption1">
    <w:name w:val="Caption1"/>
    <w:basedOn w:val="DefaultParagraphFont"/>
    <w:rsid w:val="006415EE"/>
  </w:style>
  <w:style w:type="paragraph" w:customStyle="1" w:styleId="introduction">
    <w:name w:val="introduction"/>
    <w:basedOn w:val="Normal"/>
    <w:rsid w:val="006415EE"/>
    <w:pPr>
      <w:spacing w:before="100" w:beforeAutospacing="1" w:after="100" w:afterAutospacing="1" w:line="240" w:lineRule="auto"/>
      <w:jc w:val="left"/>
    </w:pPr>
    <w:rPr>
      <w:noProof w:val="0"/>
      <w:lang w:val="en-US" w:bidi="ar-SA"/>
    </w:rPr>
  </w:style>
  <w:style w:type="paragraph" w:customStyle="1" w:styleId="first-child">
    <w:name w:val="first-child"/>
    <w:basedOn w:val="Normal"/>
    <w:rsid w:val="006415EE"/>
    <w:pPr>
      <w:spacing w:before="100" w:beforeAutospacing="1" w:after="100" w:afterAutospacing="1" w:line="240" w:lineRule="auto"/>
      <w:jc w:val="left"/>
    </w:pPr>
    <w:rPr>
      <w:noProof w:val="0"/>
      <w:lang w:val="en-US" w:bidi="ar-SA"/>
    </w:rPr>
  </w:style>
  <w:style w:type="character" w:customStyle="1" w:styleId="quote-credit">
    <w:name w:val="quote-credit"/>
    <w:basedOn w:val="DefaultParagraphFont"/>
    <w:rsid w:val="006415EE"/>
  </w:style>
  <w:style w:type="character" w:customStyle="1" w:styleId="quote-credit-title">
    <w:name w:val="quote-credit-title"/>
    <w:basedOn w:val="DefaultParagraphFont"/>
    <w:rsid w:val="006415EE"/>
  </w:style>
  <w:style w:type="character" w:customStyle="1" w:styleId="A5">
    <w:name w:val="A5"/>
    <w:uiPriority w:val="99"/>
    <w:rsid w:val="006415EE"/>
    <w:rPr>
      <w:rFonts w:cs="Frutiger Next Pro"/>
      <w:color w:val="000000"/>
      <w:sz w:val="17"/>
      <w:szCs w:val="17"/>
    </w:rPr>
  </w:style>
  <w:style w:type="paragraph" w:customStyle="1" w:styleId="Listarrow">
    <w:name w:val="List arrow"/>
    <w:basedOn w:val="Default"/>
    <w:next w:val="Default"/>
    <w:uiPriority w:val="99"/>
    <w:rsid w:val="006415EE"/>
    <w:rPr>
      <w:rFonts w:ascii="Wingdings" w:eastAsia="Calibri" w:hAnsi="Wingdings" w:cs="Times New Roman"/>
      <w:color w:val="auto"/>
    </w:rPr>
  </w:style>
  <w:style w:type="paragraph" w:customStyle="1" w:styleId="Listeapuces">
    <w:name w:val="Liste a puces"/>
    <w:basedOn w:val="Default"/>
    <w:next w:val="Default"/>
    <w:uiPriority w:val="99"/>
    <w:rsid w:val="006415EE"/>
    <w:rPr>
      <w:rFonts w:ascii="Arial" w:eastAsia="Calibri" w:hAnsi="Arial" w:cs="Arial"/>
      <w:color w:val="auto"/>
    </w:rPr>
  </w:style>
  <w:style w:type="paragraph" w:customStyle="1" w:styleId="Titre3">
    <w:name w:val="Titre 3"/>
    <w:basedOn w:val="Default"/>
    <w:next w:val="Default"/>
    <w:uiPriority w:val="99"/>
    <w:rsid w:val="006415EE"/>
    <w:rPr>
      <w:rFonts w:ascii="Arial" w:eastAsia="Calibri" w:hAnsi="Arial" w:cs="Arial"/>
      <w:color w:val="auto"/>
    </w:rPr>
  </w:style>
  <w:style w:type="paragraph" w:customStyle="1" w:styleId="Example">
    <w:name w:val="Example"/>
    <w:basedOn w:val="Default"/>
    <w:next w:val="Default"/>
    <w:uiPriority w:val="99"/>
    <w:rsid w:val="006415EE"/>
    <w:rPr>
      <w:rFonts w:ascii="Arial" w:eastAsia="Calibri" w:hAnsi="Arial" w:cs="Arial"/>
      <w:color w:val="auto"/>
    </w:rPr>
  </w:style>
  <w:style w:type="character" w:customStyle="1" w:styleId="Appelnotedebasdep">
    <w:name w:val="Appel note de bas de p."/>
    <w:uiPriority w:val="99"/>
    <w:rsid w:val="006415EE"/>
    <w:rPr>
      <w:color w:val="000000"/>
    </w:rPr>
  </w:style>
  <w:style w:type="paragraph" w:customStyle="1" w:styleId="Titre2">
    <w:name w:val="Titre 2"/>
    <w:basedOn w:val="Default"/>
    <w:next w:val="Default"/>
    <w:uiPriority w:val="99"/>
    <w:rsid w:val="006415EE"/>
    <w:rPr>
      <w:rFonts w:ascii="Arial" w:eastAsia="Calibri" w:hAnsi="Arial" w:cs="Arial"/>
      <w:color w:val="auto"/>
    </w:rPr>
  </w:style>
  <w:style w:type="paragraph" w:customStyle="1" w:styleId="Titre4">
    <w:name w:val="Titre 4"/>
    <w:basedOn w:val="Default"/>
    <w:next w:val="Default"/>
    <w:uiPriority w:val="99"/>
    <w:rsid w:val="006415EE"/>
    <w:rPr>
      <w:rFonts w:ascii="Arial" w:eastAsia="Calibri" w:hAnsi="Arial" w:cs="Arial"/>
      <w:color w:val="auto"/>
    </w:rPr>
  </w:style>
  <w:style w:type="paragraph" w:customStyle="1" w:styleId="detail-odstavec">
    <w:name w:val="detail-odstavec"/>
    <w:basedOn w:val="Normal"/>
    <w:rsid w:val="006415EE"/>
    <w:pPr>
      <w:spacing w:before="100" w:beforeAutospacing="1" w:after="100" w:afterAutospacing="1" w:line="240" w:lineRule="auto"/>
      <w:jc w:val="left"/>
    </w:pPr>
    <w:rPr>
      <w:noProof w:val="0"/>
      <w:lang w:val="en-US" w:bidi="ar-SA"/>
    </w:rPr>
  </w:style>
  <w:style w:type="character" w:customStyle="1" w:styleId="zde">
    <w:name w:val="zde"/>
    <w:basedOn w:val="DefaultParagraphFont"/>
    <w:rsid w:val="006415EE"/>
  </w:style>
  <w:style w:type="paragraph" w:customStyle="1" w:styleId="CM1">
    <w:name w:val="CM1"/>
    <w:basedOn w:val="Default"/>
    <w:next w:val="Default"/>
    <w:uiPriority w:val="99"/>
    <w:rsid w:val="006415EE"/>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6415EE"/>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6415EE"/>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6415EE"/>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6415EE"/>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6415EE"/>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6415EE"/>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6415EE"/>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6415EE"/>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6415EE"/>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6415EE"/>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6415EE"/>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6415EE"/>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6415EE"/>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6415EE"/>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6415EE"/>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6415EE"/>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6415EE"/>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6415EE"/>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6415EE"/>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6415EE"/>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6415EE"/>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6415EE"/>
    <w:pPr>
      <w:widowControl w:val="0"/>
      <w:spacing w:line="358" w:lineRule="atLeast"/>
    </w:pPr>
    <w:rPr>
      <w:rFonts w:ascii="CMSSB X 10" w:eastAsia="Times New Roman" w:hAnsi="CMSSB X 10" w:cs="Times New Roman"/>
      <w:color w:val="auto"/>
    </w:rPr>
  </w:style>
  <w:style w:type="character" w:customStyle="1" w:styleId="ZhlavChar1">
    <w:name w:val="Záhlaví Char1"/>
    <w:basedOn w:val="DefaultParagraphFont"/>
    <w:rsid w:val="006415EE"/>
    <w:rPr>
      <w:rFonts w:ascii="Garamond" w:hAnsi="Garamond"/>
      <w:sz w:val="24"/>
      <w:szCs w:val="22"/>
      <w:lang w:val="en-GB"/>
    </w:rPr>
  </w:style>
  <w:style w:type="character" w:customStyle="1" w:styleId="Nadpis3Char1">
    <w:name w:val="Nadpis 3 Char1"/>
    <w:basedOn w:val="DefaultParagraphFont"/>
    <w:uiPriority w:val="9"/>
    <w:rsid w:val="006415EE"/>
    <w:rPr>
      <w:rFonts w:ascii="Cambria" w:eastAsia="Times New Roman" w:hAnsi="Cambria"/>
      <w:b/>
      <w:bCs/>
      <w:color w:val="B6B002"/>
      <w:sz w:val="24"/>
      <w:szCs w:val="22"/>
    </w:rPr>
  </w:style>
  <w:style w:type="character" w:customStyle="1" w:styleId="Nadpis4Char1">
    <w:name w:val="Nadpis 4 Char1"/>
    <w:basedOn w:val="DefaultParagraphFont"/>
    <w:uiPriority w:val="9"/>
    <w:rsid w:val="006415EE"/>
    <w:rPr>
      <w:rFonts w:ascii="Cambria" w:eastAsia="Times New Roman" w:hAnsi="Cambria"/>
      <w:b/>
      <w:bCs/>
      <w:i/>
      <w:iCs/>
      <w:color w:val="AC9B02"/>
      <w:sz w:val="22"/>
      <w:szCs w:val="22"/>
    </w:rPr>
  </w:style>
  <w:style w:type="paragraph" w:customStyle="1" w:styleId="Note">
    <w:name w:val="Note"/>
    <w:basedOn w:val="Caption"/>
    <w:link w:val="NoteChar"/>
    <w:rsid w:val="006415EE"/>
    <w:pPr>
      <w:widowControl w:val="0"/>
      <w:spacing w:before="0" w:line="360" w:lineRule="auto"/>
      <w:ind w:left="1440"/>
      <w:contextualSpacing w:val="0"/>
      <w:jc w:val="left"/>
    </w:pPr>
    <w:rPr>
      <w:bCs/>
      <w:color w:val="000000"/>
    </w:rPr>
  </w:style>
  <w:style w:type="paragraph" w:customStyle="1" w:styleId="Text0">
    <w:name w:val="Text"/>
    <w:basedOn w:val="Default"/>
    <w:link w:val="TextChar"/>
    <w:rsid w:val="006415EE"/>
    <w:pPr>
      <w:widowControl w:val="0"/>
      <w:spacing w:line="538" w:lineRule="atLeast"/>
    </w:pPr>
    <w:rPr>
      <w:rFonts w:ascii="Times New Roman" w:hAnsi="Times New Roman"/>
    </w:rPr>
  </w:style>
  <w:style w:type="character" w:customStyle="1" w:styleId="NoteChar">
    <w:name w:val="Note Char"/>
    <w:basedOn w:val="TitulekChar"/>
    <w:link w:val="Note"/>
    <w:rsid w:val="006415EE"/>
    <w:rPr>
      <w:rFonts w:ascii="Times New Roman" w:hAnsi="Times New Roman"/>
      <w:b/>
      <w:bCs/>
      <w:noProof/>
      <w:color w:val="000000"/>
      <w:spacing w:val="10"/>
      <w:sz w:val="18"/>
      <w:szCs w:val="18"/>
      <w:lang w:eastAsia="en-US" w:bidi="en-US"/>
    </w:rPr>
  </w:style>
  <w:style w:type="character" w:customStyle="1" w:styleId="DefaultChar">
    <w:name w:val="Default Char"/>
    <w:basedOn w:val="DefaultParagraphFont"/>
    <w:link w:val="Default"/>
    <w:rsid w:val="006415EE"/>
    <w:rPr>
      <w:rFonts w:eastAsia="MS Mincho" w:cs="Calibri"/>
      <w:color w:val="000000"/>
      <w:sz w:val="24"/>
      <w:szCs w:val="24"/>
      <w:lang w:eastAsia="en-US"/>
    </w:rPr>
  </w:style>
  <w:style w:type="character" w:customStyle="1" w:styleId="TextChar">
    <w:name w:val="Text Char"/>
    <w:basedOn w:val="DefaultChar"/>
    <w:link w:val="Text0"/>
    <w:rsid w:val="006415EE"/>
    <w:rPr>
      <w:rFonts w:ascii="Times New Roman" w:eastAsia="MS Mincho" w:hAnsi="Times New Roman" w:cs="Calibri"/>
      <w:color w:val="000000"/>
      <w:sz w:val="24"/>
      <w:szCs w:val="24"/>
      <w:lang w:eastAsia="en-US"/>
    </w:rPr>
  </w:style>
  <w:style w:type="character" w:styleId="LineNumber">
    <w:name w:val="line number"/>
    <w:basedOn w:val="DefaultParagraphFont"/>
    <w:uiPriority w:val="99"/>
    <w:semiHidden/>
    <w:unhideWhenUsed/>
    <w:rsid w:val="006415EE"/>
  </w:style>
  <w:style w:type="character" w:customStyle="1" w:styleId="Nadpis5Char1">
    <w:name w:val="Nadpis 5 Char1"/>
    <w:basedOn w:val="DefaultParagraphFont"/>
    <w:uiPriority w:val="99"/>
    <w:rsid w:val="006415EE"/>
    <w:rPr>
      <w:rFonts w:eastAsia="Times New Roman"/>
      <w:b/>
      <w:bCs/>
      <w:i/>
      <w:iCs/>
      <w:sz w:val="26"/>
      <w:szCs w:val="26"/>
    </w:rPr>
  </w:style>
  <w:style w:type="character" w:customStyle="1" w:styleId="Nadpis6Char1">
    <w:name w:val="Nadpis 6 Char1"/>
    <w:basedOn w:val="DefaultParagraphFont"/>
    <w:uiPriority w:val="9"/>
    <w:rsid w:val="006415EE"/>
    <w:rPr>
      <w:rFonts w:eastAsia="Times New Roman"/>
      <w:b/>
      <w:bCs/>
      <w:sz w:val="24"/>
      <w:szCs w:val="22"/>
    </w:rPr>
  </w:style>
  <w:style w:type="character" w:customStyle="1" w:styleId="Nadpis7Char1">
    <w:name w:val="Nadpis 7 Char1"/>
    <w:basedOn w:val="DefaultParagraphFont"/>
    <w:uiPriority w:val="9"/>
    <w:rsid w:val="006415EE"/>
    <w:rPr>
      <w:rFonts w:eastAsia="Times New Roman"/>
      <w:sz w:val="24"/>
      <w:szCs w:val="24"/>
    </w:rPr>
  </w:style>
  <w:style w:type="character" w:customStyle="1" w:styleId="Nadpis8Char1">
    <w:name w:val="Nadpis 8 Char1"/>
    <w:basedOn w:val="DefaultParagraphFont"/>
    <w:uiPriority w:val="9"/>
    <w:rsid w:val="006415EE"/>
    <w:rPr>
      <w:rFonts w:eastAsia="Times New Roman"/>
      <w:i/>
      <w:iCs/>
      <w:sz w:val="24"/>
      <w:szCs w:val="24"/>
    </w:rPr>
  </w:style>
  <w:style w:type="character" w:customStyle="1" w:styleId="Nadpis9Char1">
    <w:name w:val="Nadpis 9 Char1"/>
    <w:basedOn w:val="DefaultParagraphFont"/>
    <w:uiPriority w:val="9"/>
    <w:rsid w:val="006415EE"/>
    <w:rPr>
      <w:rFonts w:ascii="Cambria" w:eastAsia="Times New Roman" w:hAnsi="Cambria"/>
      <w:sz w:val="24"/>
      <w:szCs w:val="22"/>
    </w:rPr>
  </w:style>
  <w:style w:type="character" w:customStyle="1" w:styleId="TextkomenteChar1">
    <w:name w:val="Text komentáře Char1"/>
    <w:aliases w:val="Text poznámky Char1"/>
    <w:basedOn w:val="DefaultParagraphFont"/>
    <w:rsid w:val="006415EE"/>
    <w:rPr>
      <w:rFonts w:ascii="Garamond" w:hAnsi="Garamond"/>
      <w:lang w:val="en-GB"/>
    </w:rPr>
  </w:style>
  <w:style w:type="paragraph" w:styleId="TOAHeading">
    <w:name w:val="toa heading"/>
    <w:basedOn w:val="Normal"/>
    <w:next w:val="Normal"/>
    <w:uiPriority w:val="99"/>
    <w:semiHidden/>
    <w:unhideWhenUsed/>
    <w:rsid w:val="006415EE"/>
    <w:pPr>
      <w:autoSpaceDE w:val="0"/>
      <w:autoSpaceDN w:val="0"/>
      <w:adjustRightInd w:val="0"/>
      <w:spacing w:after="200" w:line="360" w:lineRule="auto"/>
      <w:jc w:val="left"/>
    </w:pPr>
    <w:rPr>
      <w:rFonts w:asciiTheme="majorHAnsi" w:eastAsiaTheme="majorEastAsia" w:hAnsiTheme="majorHAnsi" w:cstheme="majorBidi"/>
      <w:b/>
      <w:bCs/>
      <w:noProof w:val="0"/>
      <w:lang w:val="en-US" w:bidi="ar-SA"/>
    </w:rPr>
  </w:style>
  <w:style w:type="paragraph" w:styleId="TableofAuthorities">
    <w:name w:val="table of authorities"/>
    <w:basedOn w:val="Normal"/>
    <w:next w:val="Normal"/>
    <w:uiPriority w:val="99"/>
    <w:semiHidden/>
    <w:unhideWhenUsed/>
    <w:rsid w:val="006415EE"/>
    <w:pPr>
      <w:autoSpaceDE w:val="0"/>
      <w:autoSpaceDN w:val="0"/>
      <w:adjustRightInd w:val="0"/>
      <w:spacing w:line="360" w:lineRule="auto"/>
      <w:ind w:left="240" w:hanging="240"/>
      <w:jc w:val="left"/>
    </w:pPr>
    <w:rPr>
      <w:rFonts w:eastAsiaTheme="minorHAnsi" w:cs="Times-Roman"/>
      <w:noProof w:val="0"/>
      <w:szCs w:val="20"/>
      <w:lang w:val="en-US" w:bidi="ar-SA"/>
    </w:rPr>
  </w:style>
  <w:style w:type="paragraph" w:customStyle="1" w:styleId="free">
    <w:name w:val="free"/>
    <w:basedOn w:val="Normal"/>
    <w:rsid w:val="006415EE"/>
    <w:pPr>
      <w:spacing w:before="100" w:beforeAutospacing="1" w:after="100" w:afterAutospacing="1" w:line="240" w:lineRule="auto"/>
      <w:jc w:val="left"/>
    </w:pPr>
    <w:rPr>
      <w:noProof w:val="0"/>
      <w:lang w:eastAsia="cs-CZ" w:bidi="ar-SA"/>
    </w:rPr>
  </w:style>
  <w:style w:type="character" w:customStyle="1" w:styleId="PedmtkomenteChar1">
    <w:name w:val="Předmět komentáře Char1"/>
    <w:basedOn w:val="TextkomenteChar1"/>
    <w:uiPriority w:val="99"/>
    <w:semiHidden/>
    <w:rsid w:val="006415EE"/>
    <w:rPr>
      <w:rFonts w:ascii="Garamond" w:hAnsi="Garamond"/>
      <w:b/>
      <w:bCs/>
      <w:lang w:val="en-GB"/>
    </w:rPr>
  </w:style>
  <w:style w:type="paragraph" w:customStyle="1" w:styleId="definicetext">
    <w:name w:val="definice text"/>
    <w:basedOn w:val="Normal"/>
    <w:link w:val="definicetextChar"/>
    <w:rsid w:val="006415EE"/>
    <w:pPr>
      <w:spacing w:line="360" w:lineRule="auto"/>
      <w:ind w:left="720" w:right="567"/>
    </w:pPr>
    <w:rPr>
      <w:i/>
      <w:noProof w:val="0"/>
      <w:color w:val="000000" w:themeColor="text1"/>
      <w:lang w:val="en-US" w:bidi="ar-SA"/>
    </w:rPr>
  </w:style>
  <w:style w:type="paragraph" w:customStyle="1" w:styleId="definicenadpis">
    <w:name w:val="definice nadpis"/>
    <w:basedOn w:val="Normal"/>
    <w:link w:val="definicenadpisChar"/>
    <w:rsid w:val="006415EE"/>
    <w:pPr>
      <w:spacing w:line="360" w:lineRule="auto"/>
      <w:ind w:left="720"/>
    </w:pPr>
    <w:rPr>
      <w:b/>
      <w:i/>
      <w:noProof w:val="0"/>
      <w:szCs w:val="22"/>
      <w:lang w:val="en-US" w:bidi="ar-SA"/>
    </w:rPr>
  </w:style>
  <w:style w:type="character" w:customStyle="1" w:styleId="definicetextChar">
    <w:name w:val="definice text Char"/>
    <w:basedOn w:val="DefaultParagraphFont"/>
    <w:link w:val="definicetext"/>
    <w:rsid w:val="006415EE"/>
    <w:rPr>
      <w:rFonts w:ascii="Times New Roman" w:hAnsi="Times New Roman"/>
      <w:i/>
      <w:color w:val="000000" w:themeColor="text1"/>
      <w:sz w:val="24"/>
      <w:szCs w:val="24"/>
      <w:lang w:val="en-US" w:eastAsia="en-US"/>
    </w:rPr>
  </w:style>
  <w:style w:type="paragraph" w:customStyle="1" w:styleId="vpis">
    <w:name w:val="výpis"/>
    <w:basedOn w:val="ListParagraph"/>
    <w:link w:val="vpisChar"/>
    <w:rsid w:val="006415EE"/>
    <w:pPr>
      <w:numPr>
        <w:numId w:val="31"/>
      </w:numPr>
      <w:autoSpaceDE w:val="0"/>
      <w:autoSpaceDN w:val="0"/>
      <w:adjustRightInd w:val="0"/>
      <w:spacing w:line="360" w:lineRule="auto"/>
      <w:outlineLvl w:val="0"/>
    </w:pPr>
    <w:rPr>
      <w:b/>
      <w:i/>
      <w:lang w:bidi="ar-SA"/>
    </w:rPr>
  </w:style>
  <w:style w:type="character" w:customStyle="1" w:styleId="definicenadpisChar">
    <w:name w:val="definice nadpis Char"/>
    <w:basedOn w:val="DefaultParagraphFont"/>
    <w:link w:val="definicenadpis"/>
    <w:rsid w:val="006415EE"/>
    <w:rPr>
      <w:rFonts w:ascii="Times New Roman" w:hAnsi="Times New Roman"/>
      <w:b/>
      <w:i/>
      <w:sz w:val="24"/>
      <w:szCs w:val="22"/>
      <w:lang w:val="en-US" w:eastAsia="en-US"/>
    </w:rPr>
  </w:style>
  <w:style w:type="paragraph" w:customStyle="1" w:styleId="citace">
    <w:name w:val="citace"/>
    <w:basedOn w:val="NormalWeb"/>
    <w:link w:val="citaceChar0"/>
    <w:rsid w:val="006415EE"/>
    <w:rPr>
      <w:noProof/>
    </w:rPr>
  </w:style>
  <w:style w:type="character" w:customStyle="1" w:styleId="vpisChar">
    <w:name w:val="výpis Char"/>
    <w:basedOn w:val="OdstavecseseznamemChar"/>
    <w:link w:val="vpis"/>
    <w:rsid w:val="006415EE"/>
    <w:rPr>
      <w:rFonts w:ascii="Times New Roman" w:hAnsi="Times New Roman"/>
      <w:b/>
      <w:i/>
      <w:noProof/>
      <w:sz w:val="24"/>
      <w:szCs w:val="24"/>
      <w:lang w:val="cs-CZ" w:eastAsia="en-US"/>
    </w:rPr>
  </w:style>
  <w:style w:type="character" w:customStyle="1" w:styleId="NormlnwebChar">
    <w:name w:val="Normální (web) Char"/>
    <w:basedOn w:val="DefaultParagraphFont"/>
    <w:link w:val="NormalWeb"/>
    <w:uiPriority w:val="99"/>
    <w:rsid w:val="006415EE"/>
    <w:rPr>
      <w:rFonts w:ascii="Times New Roman" w:hAnsi="Times New Roman"/>
      <w:sz w:val="24"/>
      <w:szCs w:val="24"/>
    </w:rPr>
  </w:style>
  <w:style w:type="character" w:customStyle="1" w:styleId="citaceChar0">
    <w:name w:val="citace Char"/>
    <w:basedOn w:val="NormlnwebChar"/>
    <w:link w:val="citace"/>
    <w:rsid w:val="006415EE"/>
    <w:rPr>
      <w:rFonts w:ascii="Times New Roman" w:hAnsi="Times New Roman"/>
      <w:noProof/>
      <w:sz w:val="24"/>
      <w:szCs w:val="24"/>
    </w:rPr>
  </w:style>
  <w:style w:type="paragraph" w:customStyle="1" w:styleId="poznpodarou">
    <w:name w:val="pozn. pod čarou"/>
    <w:basedOn w:val="Normal"/>
    <w:link w:val="poznpodarouChar"/>
    <w:rsid w:val="006415EE"/>
    <w:pPr>
      <w:spacing w:after="120"/>
    </w:pPr>
    <w:rPr>
      <w:noProof w:val="0"/>
      <w:sz w:val="20"/>
      <w:szCs w:val="22"/>
      <w:lang w:val="en-US" w:bidi="ar-SA"/>
    </w:rPr>
  </w:style>
  <w:style w:type="character" w:customStyle="1" w:styleId="poznpodarouChar">
    <w:name w:val="pozn. pod čarou Char"/>
    <w:basedOn w:val="DefaultParagraphFont"/>
    <w:link w:val="poznpodarou"/>
    <w:rsid w:val="006415EE"/>
    <w:rPr>
      <w:rFonts w:ascii="Times New Roman" w:hAnsi="Times New Roman"/>
      <w:szCs w:val="22"/>
      <w:lang w:val="en-US" w:eastAsia="en-US"/>
    </w:rPr>
  </w:style>
  <w:style w:type="character" w:customStyle="1" w:styleId="bold">
    <w:name w:val="bold"/>
    <w:basedOn w:val="DefaultParagraphFont"/>
    <w:rsid w:val="006415EE"/>
  </w:style>
  <w:style w:type="character" w:customStyle="1" w:styleId="webname">
    <w:name w:val="webname"/>
    <w:basedOn w:val="DefaultParagraphFont"/>
    <w:rsid w:val="006415EE"/>
  </w:style>
  <w:style w:type="paragraph" w:styleId="EndnoteText">
    <w:name w:val="endnote text"/>
    <w:basedOn w:val="Normal"/>
    <w:link w:val="TextvysvtlivekChar"/>
    <w:uiPriority w:val="99"/>
    <w:semiHidden/>
    <w:unhideWhenUsed/>
    <w:rsid w:val="006415EE"/>
    <w:pPr>
      <w:spacing w:line="240" w:lineRule="auto"/>
    </w:pPr>
    <w:rPr>
      <w:noProof w:val="0"/>
      <w:sz w:val="20"/>
      <w:szCs w:val="20"/>
      <w:lang w:val="en-US" w:bidi="ar-SA"/>
    </w:rPr>
  </w:style>
  <w:style w:type="character" w:customStyle="1" w:styleId="TextvysvtlivekChar">
    <w:name w:val="Text vysvětlivek Char"/>
    <w:basedOn w:val="DefaultParagraphFont"/>
    <w:link w:val="EndnoteText"/>
    <w:uiPriority w:val="99"/>
    <w:semiHidden/>
    <w:rsid w:val="006415EE"/>
    <w:rPr>
      <w:rFonts w:ascii="Times New Roman" w:hAnsi="Times New Roman"/>
      <w:lang w:val="en-US" w:eastAsia="en-US"/>
    </w:rPr>
  </w:style>
  <w:style w:type="character" w:styleId="EndnoteReference">
    <w:name w:val="endnote reference"/>
    <w:basedOn w:val="DefaultParagraphFont"/>
    <w:uiPriority w:val="99"/>
    <w:semiHidden/>
    <w:unhideWhenUsed/>
    <w:rsid w:val="006415EE"/>
    <w:rPr>
      <w:vertAlign w:val="superscript"/>
    </w:rPr>
  </w:style>
  <w:style w:type="character" w:customStyle="1" w:styleId="reference-accessdate">
    <w:name w:val="reference-accessdate"/>
    <w:basedOn w:val="DefaultParagraphFont"/>
    <w:rsid w:val="006415EE"/>
  </w:style>
  <w:style w:type="character" w:customStyle="1" w:styleId="articledate">
    <w:name w:val="articledate"/>
    <w:basedOn w:val="DefaultParagraphFont"/>
    <w:rsid w:val="006415EE"/>
  </w:style>
  <w:style w:type="character" w:customStyle="1" w:styleId="goog-trans-section">
    <w:name w:val="goog-trans-section"/>
    <w:basedOn w:val="DefaultParagraphFont"/>
    <w:rsid w:val="006415EE"/>
  </w:style>
  <w:style w:type="character" w:customStyle="1" w:styleId="Datum1">
    <w:name w:val="Datum1"/>
    <w:basedOn w:val="DefaultParagraphFont"/>
    <w:rsid w:val="006415EE"/>
  </w:style>
  <w:style w:type="character" w:customStyle="1" w:styleId="sep">
    <w:name w:val="sep"/>
    <w:basedOn w:val="DefaultParagraphFont"/>
    <w:rsid w:val="006415EE"/>
  </w:style>
  <w:style w:type="numbering" w:customStyle="1" w:styleId="NoList5">
    <w:name w:val="No List5"/>
    <w:next w:val="NoList"/>
    <w:uiPriority w:val="99"/>
    <w:semiHidden/>
    <w:unhideWhenUsed/>
    <w:rsid w:val="006415EE"/>
  </w:style>
  <w:style w:type="table" w:customStyle="1" w:styleId="TableGrid4">
    <w:name w:val="Table Grid4"/>
    <w:basedOn w:val="TableNormal"/>
    <w:next w:val="TableGrid"/>
    <w:uiPriority w:val="59"/>
    <w:rsid w:val="006415EE"/>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6415EE"/>
    <w:pPr>
      <w:spacing w:after="200"/>
    </w:pPr>
    <w:rPr>
      <w:sz w:val="22"/>
      <w:szCs w:val="22"/>
      <w:lang w:eastAsia="en-US"/>
    </w:rPr>
  </w:style>
  <w:style w:type="paragraph" w:customStyle="1" w:styleId="TITULNISTRANKA">
    <w:name w:val="TITULNI STRANKA"/>
    <w:basedOn w:val="Normal"/>
    <w:next w:val="Normal"/>
    <w:rsid w:val="006415EE"/>
    <w:pPr>
      <w:spacing w:line="360" w:lineRule="auto"/>
      <w:jc w:val="center"/>
    </w:pPr>
    <w:rPr>
      <w:rFonts w:cs="Arial"/>
      <w:b/>
      <w:smallCaps/>
      <w:noProof w:val="0"/>
      <w:sz w:val="36"/>
      <w:szCs w:val="36"/>
      <w:lang w:eastAsia="cs-CZ" w:bidi="ar-SA"/>
    </w:rPr>
  </w:style>
  <w:style w:type="paragraph" w:customStyle="1" w:styleId="Char4CharCharChar">
    <w:name w:val="Char4 Char Char Char"/>
    <w:basedOn w:val="Normal"/>
    <w:rsid w:val="006415EE"/>
    <w:pPr>
      <w:spacing w:after="160" w:line="240" w:lineRule="exact"/>
      <w:jc w:val="left"/>
    </w:pPr>
    <w:rPr>
      <w:rFonts w:ascii="Times New Roman Bold" w:hAnsi="Times New Roman Bold"/>
      <w:noProof w:val="0"/>
      <w:szCs w:val="26"/>
      <w:lang w:val="sk-SK" w:bidi="ar-SA"/>
    </w:rPr>
  </w:style>
  <w:style w:type="paragraph" w:customStyle="1" w:styleId="Char4CharCharChar2">
    <w:name w:val="Char4 Char Char Char2"/>
    <w:basedOn w:val="Normal"/>
    <w:rsid w:val="006415EE"/>
    <w:pPr>
      <w:spacing w:after="160" w:line="240" w:lineRule="exact"/>
      <w:jc w:val="left"/>
    </w:pPr>
    <w:rPr>
      <w:rFonts w:ascii="Times New Roman Bold" w:hAnsi="Times New Roman Bold"/>
      <w:noProof w:val="0"/>
      <w:szCs w:val="26"/>
      <w:lang w:val="sk-SK" w:bidi="ar-SA"/>
    </w:rPr>
  </w:style>
  <w:style w:type="numbering" w:customStyle="1" w:styleId="NoList6">
    <w:name w:val="No List6"/>
    <w:next w:val="NoList"/>
    <w:uiPriority w:val="99"/>
    <w:semiHidden/>
    <w:unhideWhenUsed/>
    <w:rsid w:val="006415EE"/>
  </w:style>
  <w:style w:type="paragraph" w:customStyle="1" w:styleId="Char4CharCharChar1">
    <w:name w:val="Char4 Char Char Char1"/>
    <w:basedOn w:val="Normal"/>
    <w:rsid w:val="006415EE"/>
    <w:pPr>
      <w:spacing w:after="160" w:line="240" w:lineRule="exact"/>
      <w:jc w:val="left"/>
    </w:pPr>
    <w:rPr>
      <w:rFonts w:ascii="Times New Roman Bold" w:hAnsi="Times New Roman Bold"/>
      <w:noProof w:val="0"/>
      <w:szCs w:val="26"/>
      <w:lang w:val="sk-SK" w:bidi="ar-SA"/>
    </w:rPr>
  </w:style>
  <w:style w:type="paragraph" w:customStyle="1" w:styleId="Rfrenceinstitutionelle">
    <w:name w:val="Référence institutionelle"/>
    <w:basedOn w:val="Normal"/>
    <w:next w:val="Normal"/>
    <w:rsid w:val="006415EE"/>
    <w:pPr>
      <w:spacing w:after="240" w:line="240" w:lineRule="auto"/>
      <w:ind w:left="5103"/>
      <w:jc w:val="left"/>
    </w:pPr>
    <w:rPr>
      <w:noProof w:val="0"/>
      <w:szCs w:val="20"/>
      <w:lang w:eastAsia="en-GB" w:bidi="ar-SA"/>
    </w:rPr>
  </w:style>
  <w:style w:type="paragraph" w:customStyle="1" w:styleId="Typedudocument">
    <w:name w:val="Type du document"/>
    <w:basedOn w:val="Normal"/>
    <w:next w:val="Normal"/>
    <w:rsid w:val="006415EE"/>
    <w:pPr>
      <w:spacing w:before="360" w:line="240" w:lineRule="auto"/>
      <w:jc w:val="center"/>
    </w:pPr>
    <w:rPr>
      <w:b/>
      <w:noProof w:val="0"/>
      <w:szCs w:val="20"/>
      <w:lang w:eastAsia="en-GB" w:bidi="ar-SA"/>
    </w:rPr>
  </w:style>
  <w:style w:type="paragraph" w:customStyle="1" w:styleId="Confidentialit">
    <w:name w:val="Confidentialité"/>
    <w:basedOn w:val="Normal"/>
    <w:next w:val="Normal"/>
    <w:rsid w:val="006415EE"/>
    <w:pPr>
      <w:spacing w:before="240" w:after="240" w:line="240" w:lineRule="auto"/>
      <w:ind w:left="5103"/>
    </w:pPr>
    <w:rPr>
      <w:noProof w:val="0"/>
      <w:szCs w:val="20"/>
      <w:u w:val="single"/>
      <w:lang w:eastAsia="en-GB" w:bidi="ar-SA"/>
    </w:rPr>
  </w:style>
  <w:style w:type="character" w:customStyle="1" w:styleId="tw4winMark">
    <w:name w:val="tw4winMark"/>
    <w:rsid w:val="006415EE"/>
    <w:rPr>
      <w:vanish/>
      <w:color w:val="800080"/>
      <w:vertAlign w:val="subscript"/>
    </w:rPr>
  </w:style>
  <w:style w:type="paragraph" w:customStyle="1" w:styleId="odst">
    <w:name w:val="odst"/>
    <w:basedOn w:val="Normal"/>
    <w:rsid w:val="006415EE"/>
    <w:pPr>
      <w:spacing w:before="100" w:beforeAutospacing="1" w:after="100" w:afterAutospacing="1" w:line="240" w:lineRule="auto"/>
      <w:jc w:val="left"/>
    </w:pPr>
    <w:rPr>
      <w:noProof w:val="0"/>
      <w:lang w:eastAsia="cs-CZ" w:bidi="ar-SA"/>
    </w:rPr>
  </w:style>
  <w:style w:type="character" w:customStyle="1" w:styleId="d-b">
    <w:name w:val="d-b"/>
    <w:basedOn w:val="DefaultParagraphFont"/>
    <w:rsid w:val="006415EE"/>
  </w:style>
  <w:style w:type="character" w:customStyle="1" w:styleId="fs-12">
    <w:name w:val="fs-12"/>
    <w:basedOn w:val="DefaultParagraphFont"/>
    <w:rsid w:val="006415EE"/>
  </w:style>
  <w:style w:type="character" w:customStyle="1" w:styleId="fs-11">
    <w:name w:val="fs-11"/>
    <w:basedOn w:val="DefaultParagraphFont"/>
    <w:rsid w:val="006415EE"/>
  </w:style>
  <w:style w:type="paragraph" w:customStyle="1" w:styleId="Barevnseznamzvraznn11">
    <w:name w:val="Barevný seznam – zvýraznění 11"/>
    <w:basedOn w:val="Normal"/>
    <w:link w:val="Barevnseznamzvraznn1Char"/>
    <w:uiPriority w:val="99"/>
    <w:rsid w:val="006415EE"/>
    <w:pPr>
      <w:spacing w:line="240" w:lineRule="auto"/>
      <w:ind w:left="720"/>
      <w:contextualSpacing/>
      <w:jc w:val="left"/>
    </w:pPr>
    <w:rPr>
      <w:noProof w:val="0"/>
      <w:sz w:val="20"/>
      <w:szCs w:val="20"/>
      <w:lang w:eastAsia="cs-CZ" w:bidi="ar-SA"/>
    </w:rPr>
  </w:style>
  <w:style w:type="paragraph" w:customStyle="1" w:styleId="Normodsaz">
    <w:name w:val="Norm.odsaz."/>
    <w:basedOn w:val="Normal"/>
    <w:uiPriority w:val="99"/>
    <w:rsid w:val="006415EE"/>
    <w:pPr>
      <w:autoSpaceDE w:val="0"/>
      <w:autoSpaceDN w:val="0"/>
      <w:spacing w:after="120" w:line="240" w:lineRule="auto"/>
    </w:pPr>
    <w:rPr>
      <w:rFonts w:eastAsia="Calibri"/>
      <w:noProof w:val="0"/>
      <w:lang w:eastAsia="cs-CZ" w:bidi="ar-SA"/>
    </w:rPr>
  </w:style>
  <w:style w:type="character" w:customStyle="1" w:styleId="Barevnseznamzvraznn1Char">
    <w:name w:val="Barevný seznam – zvýraznění 1 Char"/>
    <w:link w:val="Barevnseznamzvraznn11"/>
    <w:uiPriority w:val="99"/>
    <w:rsid w:val="006415EE"/>
    <w:rPr>
      <w:rFonts w:ascii="Times New Roman" w:hAnsi="Times New Roman"/>
    </w:rPr>
  </w:style>
  <w:style w:type="paragraph" w:customStyle="1" w:styleId="odrky1">
    <w:name w:val="odrážky1"/>
    <w:basedOn w:val="Normal"/>
    <w:uiPriority w:val="99"/>
    <w:rsid w:val="006415EE"/>
    <w:pPr>
      <w:widowControl w:val="0"/>
      <w:numPr>
        <w:numId w:val="33"/>
      </w:numPr>
      <w:autoSpaceDE w:val="0"/>
      <w:autoSpaceDN w:val="0"/>
      <w:adjustRightInd w:val="0"/>
      <w:spacing w:after="120" w:line="288" w:lineRule="auto"/>
      <w:contextualSpacing/>
    </w:pPr>
    <w:rPr>
      <w:rFonts w:cs="Arial"/>
      <w:noProof w:val="0"/>
      <w:lang w:eastAsia="cs-CZ" w:bidi="ar-SA"/>
    </w:rPr>
  </w:style>
  <w:style w:type="paragraph" w:customStyle="1" w:styleId="Nadpis1">
    <w:name w:val="Nadpis (1)"/>
    <w:basedOn w:val="Heading1"/>
    <w:link w:val="Nadpis1Char0"/>
    <w:rsid w:val="006415EE"/>
    <w:pPr>
      <w:keepNext w:val="0"/>
      <w:widowControl w:val="0"/>
      <w:spacing w:before="120" w:after="120" w:line="240" w:lineRule="auto"/>
    </w:pPr>
    <w:rPr>
      <w:rFonts w:ascii="Cambria" w:hAnsi="Cambria"/>
      <w:noProof w:val="0"/>
      <w:color w:val="B6B002"/>
      <w:kern w:val="0"/>
      <w:szCs w:val="28"/>
      <w:lang w:bidi="ar-SA"/>
    </w:rPr>
  </w:style>
  <w:style w:type="paragraph" w:customStyle="1" w:styleId="Nadpis2">
    <w:name w:val="Nadpis (2)"/>
    <w:basedOn w:val="Heading2"/>
    <w:link w:val="Nadpis2Char0"/>
    <w:rsid w:val="006415EE"/>
    <w:pPr>
      <w:spacing w:before="120" w:after="120" w:line="240" w:lineRule="auto"/>
    </w:pPr>
    <w:rPr>
      <w:rFonts w:ascii="Cambria" w:eastAsia="Calibri" w:hAnsi="Cambria"/>
      <w:bCs/>
      <w:iCs w:val="0"/>
      <w:color w:val="B6B002"/>
      <w:sz w:val="26"/>
      <w:szCs w:val="26"/>
    </w:rPr>
  </w:style>
  <w:style w:type="character" w:customStyle="1" w:styleId="Nadpis1Char0">
    <w:name w:val="Nadpis (1) Char"/>
    <w:basedOn w:val="Nadpis1Char1"/>
    <w:link w:val="Nadpis1"/>
    <w:rsid w:val="006415EE"/>
    <w:rPr>
      <w:rFonts w:ascii="Cambria" w:eastAsia="Times New Roman" w:hAnsi="Cambria" w:cs="Arial"/>
      <w:b/>
      <w:bCs/>
      <w:color w:val="B6B002"/>
      <w:sz w:val="28"/>
      <w:szCs w:val="28"/>
      <w:lang w:eastAsia="en-US"/>
    </w:rPr>
  </w:style>
  <w:style w:type="paragraph" w:customStyle="1" w:styleId="Nadpis3">
    <w:name w:val="Nadpis (3)"/>
    <w:basedOn w:val="Heading3"/>
    <w:link w:val="Nadpis3Char0"/>
    <w:rsid w:val="006415EE"/>
    <w:pPr>
      <w:spacing w:after="120" w:line="240" w:lineRule="auto"/>
    </w:pPr>
    <w:rPr>
      <w:rFonts w:ascii="Cambria" w:hAnsi="Cambria"/>
      <w:noProof w:val="0"/>
      <w:color w:val="B6B002"/>
      <w:szCs w:val="22"/>
    </w:rPr>
  </w:style>
  <w:style w:type="character" w:customStyle="1" w:styleId="Nadpis2Char0">
    <w:name w:val="Nadpis (2) Char"/>
    <w:basedOn w:val="Nadpis2Char"/>
    <w:link w:val="Nadpis2"/>
    <w:rsid w:val="006415EE"/>
    <w:rPr>
      <w:rFonts w:ascii="Cambria" w:eastAsia="Calibri" w:hAnsi="Cambria" w:cs="Arial"/>
      <w:b/>
      <w:bCs/>
      <w:iCs w:val="0"/>
      <w:noProof/>
      <w:color w:val="B6B002"/>
      <w:kern w:val="32"/>
      <w:sz w:val="26"/>
      <w:szCs w:val="26"/>
      <w:lang w:eastAsia="en-US" w:bidi="en-US"/>
    </w:rPr>
  </w:style>
  <w:style w:type="character" w:customStyle="1" w:styleId="Nadpis3Char0">
    <w:name w:val="Nadpis (3) Char"/>
    <w:basedOn w:val="Nadpis3Char1"/>
    <w:link w:val="Nadpis3"/>
    <w:rsid w:val="006415EE"/>
    <w:rPr>
      <w:rFonts w:ascii="Cambria" w:eastAsia="Times New Roman" w:hAnsi="Cambria" w:cs="Arial"/>
      <w:b/>
      <w:bCs/>
      <w:color w:val="B6B002"/>
      <w:sz w:val="24"/>
      <w:szCs w:val="22"/>
      <w:lang w:eastAsia="en-US"/>
    </w:rPr>
  </w:style>
  <w:style w:type="paragraph" w:customStyle="1" w:styleId="Text-Tabulka">
    <w:name w:val="Text - Tabulka"/>
    <w:basedOn w:val="Normal"/>
    <w:link w:val="Text-TabulkaChar"/>
    <w:rsid w:val="006415EE"/>
    <w:pPr>
      <w:spacing w:after="120" w:line="240" w:lineRule="auto"/>
      <w:jc w:val="left"/>
    </w:pPr>
    <w:rPr>
      <w:rFonts w:ascii="Garamond" w:eastAsia="MS Mincho" w:hAnsi="Garamond"/>
      <w:noProof w:val="0"/>
      <w:sz w:val="20"/>
      <w:szCs w:val="20"/>
      <w:lang w:bidi="ar-SA"/>
    </w:rPr>
  </w:style>
  <w:style w:type="character" w:customStyle="1" w:styleId="Text-TabulkaChar">
    <w:name w:val="Text - Tabulka Char"/>
    <w:basedOn w:val="DefaultParagraphFont"/>
    <w:link w:val="Text-Tabulka"/>
    <w:rsid w:val="006415EE"/>
    <w:rPr>
      <w:rFonts w:ascii="Garamond" w:eastAsia="MS Mincho" w:hAnsi="Garamond"/>
      <w:lang w:eastAsia="en-US"/>
    </w:rPr>
  </w:style>
  <w:style w:type="paragraph" w:customStyle="1" w:styleId="Odraky2">
    <w:name w:val="Odražky (2)"/>
    <w:basedOn w:val="ListParagraph"/>
    <w:link w:val="Odraky2Char"/>
    <w:rsid w:val="006415EE"/>
    <w:pPr>
      <w:numPr>
        <w:numId w:val="32"/>
      </w:numPr>
      <w:spacing w:after="120" w:line="240" w:lineRule="auto"/>
      <w:ind w:left="1134" w:hanging="425"/>
    </w:pPr>
    <w:rPr>
      <w:rFonts w:ascii="Garamond" w:eastAsia="Calibri" w:hAnsi="Garamond"/>
      <w:szCs w:val="22"/>
      <w:lang w:bidi="ar-SA"/>
    </w:rPr>
  </w:style>
  <w:style w:type="character" w:customStyle="1" w:styleId="Odraky2Char">
    <w:name w:val="Odražky (2) Char"/>
    <w:basedOn w:val="OdstavecseseznamemChar"/>
    <w:link w:val="Odraky2"/>
    <w:rsid w:val="006415EE"/>
    <w:rPr>
      <w:rFonts w:ascii="Garamond" w:eastAsia="Calibri" w:hAnsi="Garamond"/>
      <w:noProof/>
      <w:sz w:val="24"/>
      <w:szCs w:val="22"/>
      <w:lang w:val="cs-CZ" w:eastAsia="en-US"/>
    </w:rPr>
  </w:style>
  <w:style w:type="paragraph" w:styleId="Index5">
    <w:name w:val="index 5"/>
    <w:basedOn w:val="Normal"/>
    <w:next w:val="Normal"/>
    <w:autoRedefine/>
    <w:uiPriority w:val="99"/>
    <w:semiHidden/>
    <w:unhideWhenUsed/>
    <w:rsid w:val="006415EE"/>
    <w:pPr>
      <w:spacing w:line="240" w:lineRule="auto"/>
      <w:ind w:left="1200" w:hanging="240"/>
    </w:pPr>
    <w:rPr>
      <w:rFonts w:ascii="Garamond" w:eastAsia="Calibri" w:hAnsi="Garamond"/>
      <w:noProof w:val="0"/>
      <w:szCs w:val="22"/>
      <w:lang w:bidi="ar-SA"/>
    </w:rPr>
  </w:style>
  <w:style w:type="paragraph" w:customStyle="1" w:styleId="Styl14bTunzarovnnnasted">
    <w:name w:val="Styl 14 b. Tučné zarovnání na střed"/>
    <w:basedOn w:val="Normal"/>
    <w:rsid w:val="006415EE"/>
    <w:pPr>
      <w:spacing w:after="80" w:line="240" w:lineRule="auto"/>
      <w:jc w:val="left"/>
    </w:pPr>
    <w:rPr>
      <w:rFonts w:ascii="Calibri" w:eastAsia="MS Mincho" w:hAnsi="Calibri"/>
      <w:bCs/>
      <w:noProof w:val="0"/>
      <w:szCs w:val="20"/>
      <w:lang w:eastAsia="ja-JP" w:bidi="ar-SA"/>
    </w:rPr>
  </w:style>
  <w:style w:type="paragraph" w:customStyle="1" w:styleId="Nadpis3a">
    <w:name w:val="Nadpis (3a)"/>
    <w:basedOn w:val="Text-Normaln"/>
    <w:link w:val="Nadpis3aChar"/>
    <w:rsid w:val="006415EE"/>
    <w:pPr>
      <w:numPr>
        <w:ilvl w:val="2"/>
        <w:numId w:val="34"/>
      </w:numPr>
    </w:pPr>
    <w:rPr>
      <w:b/>
      <w:i/>
    </w:rPr>
  </w:style>
  <w:style w:type="character" w:customStyle="1" w:styleId="Nadpis3aChar">
    <w:name w:val="Nadpis (3a) Char"/>
    <w:basedOn w:val="Text-NormalnChar"/>
    <w:link w:val="Nadpis3a"/>
    <w:rsid w:val="006415EE"/>
    <w:rPr>
      <w:rFonts w:ascii="Garamond" w:eastAsia="Calibri" w:hAnsi="Garamond"/>
      <w:b/>
      <w:i/>
      <w:sz w:val="24"/>
      <w:szCs w:val="22"/>
      <w:lang w:eastAsia="en-US"/>
    </w:rPr>
  </w:style>
  <w:style w:type="paragraph" w:customStyle="1" w:styleId="abcd">
    <w:name w:val="abcd"/>
    <w:basedOn w:val="Normal"/>
    <w:rsid w:val="003211D6"/>
    <w:pPr>
      <w:spacing w:after="120"/>
      <w:ind w:left="284" w:hanging="284"/>
      <w:contextualSpacing/>
    </w:pPr>
    <w:rPr>
      <w:rFonts w:cs="Arial"/>
      <w:noProof w:val="0"/>
      <w:lang w:eastAsia="cs-CZ" w:bidi="ar-SA"/>
    </w:rPr>
  </w:style>
  <w:style w:type="numbering" w:customStyle="1" w:styleId="Bezseznamu1">
    <w:name w:val="Bez seznamu1"/>
    <w:next w:val="NoList"/>
    <w:uiPriority w:val="99"/>
    <w:semiHidden/>
    <w:unhideWhenUsed/>
    <w:rsid w:val="00ED5B2D"/>
  </w:style>
  <w:style w:type="table" w:customStyle="1" w:styleId="TabulkaRIA">
    <w:name w:val="Tabulka RIA"/>
    <w:basedOn w:val="TableNormal"/>
    <w:uiPriority w:val="99"/>
    <w:rsid w:val="00ED5B2D"/>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1">
    <w:name w:val="No List11"/>
    <w:next w:val="NoList"/>
    <w:semiHidden/>
    <w:rsid w:val="00ED5B2D"/>
  </w:style>
  <w:style w:type="numbering" w:customStyle="1" w:styleId="NoList21">
    <w:name w:val="No List21"/>
    <w:next w:val="NoList"/>
    <w:uiPriority w:val="99"/>
    <w:semiHidden/>
    <w:unhideWhenUsed/>
    <w:rsid w:val="00ED5B2D"/>
  </w:style>
  <w:style w:type="numbering" w:customStyle="1" w:styleId="NoList31">
    <w:name w:val="No List31"/>
    <w:next w:val="NoList"/>
    <w:uiPriority w:val="99"/>
    <w:semiHidden/>
    <w:unhideWhenUsed/>
    <w:rsid w:val="00ED5B2D"/>
  </w:style>
  <w:style w:type="numbering" w:customStyle="1" w:styleId="NoList41">
    <w:name w:val="No List41"/>
    <w:next w:val="NoList"/>
    <w:uiPriority w:val="99"/>
    <w:semiHidden/>
    <w:unhideWhenUsed/>
    <w:rsid w:val="00ED5B2D"/>
  </w:style>
  <w:style w:type="numbering" w:customStyle="1" w:styleId="NoList51">
    <w:name w:val="No List51"/>
    <w:next w:val="NoList"/>
    <w:uiPriority w:val="99"/>
    <w:semiHidden/>
    <w:unhideWhenUsed/>
    <w:rsid w:val="00ED5B2D"/>
  </w:style>
  <w:style w:type="numbering" w:customStyle="1" w:styleId="NoList61">
    <w:name w:val="No List61"/>
    <w:next w:val="NoList"/>
    <w:uiPriority w:val="99"/>
    <w:semiHidden/>
    <w:unhideWhenUsed/>
    <w:rsid w:val="00ED5B2D"/>
  </w:style>
  <w:style w:type="numbering" w:customStyle="1" w:styleId="Bezseznamu2">
    <w:name w:val="Bez seznamu2"/>
    <w:next w:val="NoList"/>
    <w:uiPriority w:val="99"/>
    <w:semiHidden/>
    <w:unhideWhenUsed/>
    <w:rsid w:val="00DC1795"/>
  </w:style>
  <w:style w:type="table" w:customStyle="1" w:styleId="TabulkaRIA1">
    <w:name w:val="Tabulka RIA1"/>
    <w:basedOn w:val="TableNormal"/>
    <w:uiPriority w:val="99"/>
    <w:rsid w:val="00DC1795"/>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2">
    <w:name w:val="No List12"/>
    <w:next w:val="NoList"/>
    <w:semiHidden/>
    <w:rsid w:val="00DC1795"/>
  </w:style>
  <w:style w:type="numbering" w:customStyle="1" w:styleId="NoList22">
    <w:name w:val="No List22"/>
    <w:next w:val="NoList"/>
    <w:uiPriority w:val="99"/>
    <w:semiHidden/>
    <w:unhideWhenUsed/>
    <w:rsid w:val="00DC1795"/>
  </w:style>
  <w:style w:type="numbering" w:customStyle="1" w:styleId="NoList32">
    <w:name w:val="No List32"/>
    <w:next w:val="NoList"/>
    <w:uiPriority w:val="99"/>
    <w:semiHidden/>
    <w:unhideWhenUsed/>
    <w:rsid w:val="00DC1795"/>
  </w:style>
  <w:style w:type="numbering" w:customStyle="1" w:styleId="NoList42">
    <w:name w:val="No List42"/>
    <w:next w:val="NoList"/>
    <w:uiPriority w:val="99"/>
    <w:semiHidden/>
    <w:unhideWhenUsed/>
    <w:rsid w:val="00DC1795"/>
  </w:style>
  <w:style w:type="numbering" w:customStyle="1" w:styleId="NoList52">
    <w:name w:val="No List52"/>
    <w:next w:val="NoList"/>
    <w:uiPriority w:val="99"/>
    <w:semiHidden/>
    <w:unhideWhenUsed/>
    <w:rsid w:val="00DC1795"/>
  </w:style>
  <w:style w:type="numbering" w:customStyle="1" w:styleId="NoList62">
    <w:name w:val="No List62"/>
    <w:next w:val="NoList"/>
    <w:uiPriority w:val="99"/>
    <w:semiHidden/>
    <w:unhideWhenUsed/>
    <w:rsid w:val="00DC1795"/>
  </w:style>
  <w:style w:type="paragraph" w:customStyle="1" w:styleId="Odstavecseseznamem3">
    <w:name w:val="Odstavec se seznamem3"/>
    <w:basedOn w:val="Normal"/>
    <w:uiPriority w:val="34"/>
    <w:qFormat/>
    <w:rsid w:val="008D45B4"/>
    <w:pPr>
      <w:spacing w:after="120"/>
      <w:ind w:left="720"/>
    </w:pPr>
    <w:rPr>
      <w:noProof w:val="0"/>
      <w:lang w:bidi="ar-SA"/>
    </w:rPr>
  </w:style>
  <w:style w:type="paragraph" w:customStyle="1" w:styleId="Odstavecseseznamem4">
    <w:name w:val="Odstavec se seznamem4"/>
    <w:basedOn w:val="Normal"/>
    <w:link w:val="ListParagraphChar"/>
    <w:uiPriority w:val="99"/>
    <w:qFormat/>
    <w:rsid w:val="00261D77"/>
    <w:pPr>
      <w:ind w:left="720"/>
      <w:contextualSpacing/>
    </w:pPr>
  </w:style>
  <w:style w:type="character" w:customStyle="1" w:styleId="ListParagraphChar">
    <w:name w:val="List Paragraph Char"/>
    <w:link w:val="Odstavecseseznamem4"/>
    <w:uiPriority w:val="99"/>
    <w:rsid w:val="00261D77"/>
    <w:rPr>
      <w:rFonts w:ascii="Arial" w:hAnsi="Arial"/>
      <w:noProof/>
      <w:sz w:val="22"/>
      <w:szCs w:val="24"/>
      <w:lang w:eastAsia="en-US" w:bidi="en-US"/>
    </w:rPr>
  </w:style>
  <w:style w:type="table" w:customStyle="1" w:styleId="Mkatabulky1">
    <w:name w:val="Mřížka tabulky1"/>
    <w:basedOn w:val="TableNormal"/>
    <w:next w:val="TableGrid"/>
    <w:uiPriority w:val="59"/>
    <w:rsid w:val="006F6AD2"/>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TableNormal"/>
    <w:next w:val="TableGrid"/>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3">
    <w:name w:val="Mřížka tabulky3"/>
    <w:basedOn w:val="TableNormal"/>
    <w:next w:val="TableGrid"/>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4">
    <w:name w:val="Mřížka tabulky4"/>
    <w:basedOn w:val="TableNormal"/>
    <w:next w:val="TableGrid"/>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5">
    <w:name w:val="Mřížka tabulky5"/>
    <w:basedOn w:val="TableNormal"/>
    <w:next w:val="TableGrid"/>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6">
    <w:name w:val="Mřížka tabulky6"/>
    <w:basedOn w:val="TableNormal"/>
    <w:next w:val="TableGrid"/>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7">
    <w:name w:val="Mřížka tabulky7"/>
    <w:basedOn w:val="TableNormal"/>
    <w:next w:val="TableGrid"/>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8">
    <w:name w:val="Mřížka tabulky8"/>
    <w:basedOn w:val="TableNormal"/>
    <w:next w:val="TableGrid"/>
    <w:uiPriority w:val="59"/>
    <w:rsid w:val="00384FC8"/>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9">
    <w:name w:val="Mřížka tabulky9"/>
    <w:basedOn w:val="TableNormal"/>
    <w:next w:val="TableGrid"/>
    <w:uiPriority w:val="59"/>
    <w:rsid w:val="00A3666B"/>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0">
    <w:name w:val="Mřížka tabulky10"/>
    <w:basedOn w:val="TableNormal"/>
    <w:next w:val="TableGrid"/>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1">
    <w:name w:val="Mřížka tabulky11"/>
    <w:basedOn w:val="TableNormal"/>
    <w:next w:val="TableGrid"/>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2">
    <w:name w:val="Mřížka tabulky12"/>
    <w:basedOn w:val="TableNormal"/>
    <w:next w:val="TableGrid"/>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3">
    <w:name w:val="Mřížka tabulky13"/>
    <w:basedOn w:val="TableNormal"/>
    <w:next w:val="TableGrid"/>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4">
    <w:name w:val="Mřížka tabulky14"/>
    <w:basedOn w:val="TableNormal"/>
    <w:next w:val="TableGrid"/>
    <w:uiPriority w:val="59"/>
    <w:rsid w:val="00CB13D7"/>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5">
    <w:name w:val="Mřížka tabulky15"/>
    <w:basedOn w:val="TableNormal"/>
    <w:next w:val="TableGrid"/>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6">
    <w:name w:val="Mřížka tabulky16"/>
    <w:basedOn w:val="TableNormal"/>
    <w:next w:val="TableGrid"/>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7">
    <w:name w:val="Mřížka tabulky17"/>
    <w:basedOn w:val="TableNormal"/>
    <w:next w:val="TableGrid"/>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8">
    <w:name w:val="Mřížka tabulky18"/>
    <w:basedOn w:val="TableNormal"/>
    <w:next w:val="TableGrid"/>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tlmka1">
    <w:name w:val="Světlá mřížka1"/>
    <w:basedOn w:val="TableNormal"/>
    <w:uiPriority w:val="62"/>
    <w:rsid w:val="004D1E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nky">
    <w:name w:val="Články"/>
    <w:basedOn w:val="Normal"/>
    <w:link w:val="lnkyChar"/>
    <w:qFormat/>
    <w:rsid w:val="00CC0F90"/>
    <w:pPr>
      <w:spacing w:line="240" w:lineRule="auto"/>
      <w:jc w:val="center"/>
    </w:pPr>
    <w:rPr>
      <w:noProof w:val="0"/>
      <w:lang w:bidi="ar-SA"/>
    </w:rPr>
  </w:style>
  <w:style w:type="character" w:customStyle="1" w:styleId="lnkyChar">
    <w:name w:val="Články Char"/>
    <w:link w:val="lnky"/>
    <w:rsid w:val="00CC0F90"/>
    <w:rPr>
      <w:rFonts w:ascii="Times New Roman" w:hAnsi="Times New Roman"/>
      <w:sz w:val="24"/>
      <w:szCs w:val="24"/>
    </w:rPr>
  </w:style>
  <w:style w:type="table" w:styleId="LightGridAccent5">
    <w:name w:val="Light Grid Accent 5"/>
    <w:basedOn w:val="TableNormal"/>
    <w:uiPriority w:val="62"/>
    <w:rsid w:val="000645EF"/>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mavtabulkasmkou5zvraznn12">
    <w:name w:val="Tmavá tabulka s mřížkou 5 – zvýraznění 12"/>
    <w:basedOn w:val="TableNormal"/>
    <w:uiPriority w:val="50"/>
    <w:rsid w:val="001070C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opady">
    <w:name w:val="dopady"/>
    <w:basedOn w:val="Heading4"/>
    <w:link w:val="dopadyChar"/>
    <w:qFormat/>
    <w:rsid w:val="006A3043"/>
    <w:pPr>
      <w:keepLines/>
      <w:numPr>
        <w:ilvl w:val="0"/>
        <w:numId w:val="0"/>
      </w:numPr>
      <w:spacing w:after="0"/>
      <w:ind w:left="862" w:hanging="862"/>
    </w:pPr>
    <w:rPr>
      <w:b/>
      <w:bCs w:val="0"/>
    </w:rPr>
  </w:style>
  <w:style w:type="paragraph" w:customStyle="1" w:styleId="variantadopady">
    <w:name w:val="varianta_dopady"/>
    <w:basedOn w:val="Subtitle"/>
    <w:link w:val="variantadopadyChar"/>
    <w:autoRedefine/>
    <w:qFormat/>
    <w:rsid w:val="00526F1E"/>
    <w:pPr>
      <w:keepNext/>
      <w:keepLines/>
      <w:numPr>
        <w:numId w:val="108"/>
      </w:numPr>
      <w:spacing w:before="240" w:after="120"/>
      <w:ind w:left="714" w:hanging="357"/>
      <w:jc w:val="both"/>
    </w:pPr>
    <w:rPr>
      <w:rFonts w:ascii="Arial" w:hAnsi="Arial" w:cs="Arial"/>
      <w:b/>
    </w:rPr>
  </w:style>
  <w:style w:type="character" w:customStyle="1" w:styleId="dopadyChar">
    <w:name w:val="dopady Char"/>
    <w:basedOn w:val="Nadpis4Char"/>
    <w:link w:val="dopady"/>
    <w:rsid w:val="006A3043"/>
    <w:rPr>
      <w:rFonts w:ascii="Arial" w:hAnsi="Arial"/>
      <w:b/>
      <w:bCs w:val="0"/>
      <w:noProof/>
      <w:sz w:val="28"/>
      <w:szCs w:val="28"/>
      <w:lang w:eastAsia="en-US" w:bidi="en-US"/>
    </w:rPr>
  </w:style>
  <w:style w:type="character" w:customStyle="1" w:styleId="variantadopadyChar">
    <w:name w:val="varianta_dopady Char"/>
    <w:basedOn w:val="PodtitulChar"/>
    <w:link w:val="variantadopady"/>
    <w:rsid w:val="00526F1E"/>
    <w:rPr>
      <w:rFonts w:ascii="Arial" w:hAnsi="Arial" w:cs="Arial"/>
      <w:b/>
      <w:noProof/>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hart" Target="charts/chart1.xml" /><Relationship Id="rId11" Type="http://schemas.openxmlformats.org/officeDocument/2006/relationships/chart" Target="charts/chart2.xml" /><Relationship Id="rId12" Type="http://schemas.openxmlformats.org/officeDocument/2006/relationships/chart" Target="charts/chart3.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emf" /><Relationship Id="rId16" Type="http://schemas.openxmlformats.org/officeDocument/2006/relationships/hyperlink" Target="http://www.unep.org" TargetMode="External" /><Relationship Id="rId17" Type="http://schemas.openxmlformats.org/officeDocument/2006/relationships/hyperlink" Target="http://ec.europa.eu/environment/waste/weee" TargetMode="External"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settings" Target="settings.xml" /><Relationship Id="rId20" Type="http://schemas.openxmlformats.org/officeDocument/2006/relationships/image" Target="media/image9.png" /><Relationship Id="rId21" Type="http://schemas.openxmlformats.org/officeDocument/2006/relationships/header" Target="header2.xml" /><Relationship Id="rId22" Type="http://schemas.openxmlformats.org/officeDocument/2006/relationships/header" Target="header3.xml" /><Relationship Id="rId23" Type="http://schemas.openxmlformats.org/officeDocument/2006/relationships/footer" Target="footer1.xml" /><Relationship Id="rId24" Type="http://schemas.openxmlformats.org/officeDocument/2006/relationships/header" Target="header4.xml" /><Relationship Id="rId25" Type="http://schemas.openxmlformats.org/officeDocument/2006/relationships/image" Target="media/image10.emf" /><Relationship Id="rId26" Type="http://schemas.openxmlformats.org/officeDocument/2006/relationships/chart" Target="charts/chart4.xml" /><Relationship Id="rId27" Type="http://schemas.openxmlformats.org/officeDocument/2006/relationships/chart" Target="charts/chart5.xml" /><Relationship Id="rId28" Type="http://schemas.openxmlformats.org/officeDocument/2006/relationships/chart" Target="charts/chart6.xml" /><Relationship Id="rId29" Type="http://schemas.openxmlformats.org/officeDocument/2006/relationships/chart" Target="charts/chart7.xml" /><Relationship Id="rId3" Type="http://schemas.openxmlformats.org/officeDocument/2006/relationships/webSettings" Target="webSettings.xml" /><Relationship Id="rId30" Type="http://schemas.openxmlformats.org/officeDocument/2006/relationships/image" Target="media/image11.emf" /><Relationship Id="rId31" Type="http://schemas.openxmlformats.org/officeDocument/2006/relationships/image" Target="media/image12.emf" /><Relationship Id="rId32" Type="http://schemas.openxmlformats.org/officeDocument/2006/relationships/image" Target="media/image13.png" /><Relationship Id="rId33" Type="http://schemas.openxmlformats.org/officeDocument/2006/relationships/hyperlink" Target="https://www.oecd.org/environment/waste/policy-highlights-extended-producer-responsibility-and-the-impact-of-online-sales.pdf" TargetMode="External" /><Relationship Id="rId34" Type="http://schemas.openxmlformats.org/officeDocument/2006/relationships/hyperlink" Target="mailto:eva.dvorakova@mzp.cz" TargetMode="External" /><Relationship Id="rId35" Type="http://schemas.openxmlformats.org/officeDocument/2006/relationships/hyperlink" Target="mailto:ladislav.trylc@mzp.cz" TargetMode="External" /><Relationship Id="rId36" Type="http://schemas.openxmlformats.org/officeDocument/2006/relationships/hyperlink" Target="mailto:marketa.michalova@mzp.cz" TargetMode="External" /><Relationship Id="rId37" Type="http://schemas.openxmlformats.org/officeDocument/2006/relationships/hyperlink" Target="mailto:petra.choutkova@mzp.cz" TargetMode="External" /><Relationship Id="rId38" Type="http://schemas.openxmlformats.org/officeDocument/2006/relationships/image" Target="media/image14.emf" /><Relationship Id="rId39" Type="http://schemas.openxmlformats.org/officeDocument/2006/relationships/image" Target="media/image15.emf" /><Relationship Id="rId4" Type="http://schemas.openxmlformats.org/officeDocument/2006/relationships/fontTable" Target="fontTable.xml" /><Relationship Id="rId40" Type="http://schemas.openxmlformats.org/officeDocument/2006/relationships/image" Target="media/image16.emf" /><Relationship Id="rId41" Type="http://schemas.openxmlformats.org/officeDocument/2006/relationships/image" Target="media/image17.emf" /><Relationship Id="rId42" Type="http://schemas.openxmlformats.org/officeDocument/2006/relationships/header" Target="header5.xml" /><Relationship Id="rId43" Type="http://schemas.openxmlformats.org/officeDocument/2006/relationships/header" Target="header6.xml" /><Relationship Id="rId44" Type="http://schemas.openxmlformats.org/officeDocument/2006/relationships/footer" Target="footer2.xml" /><Relationship Id="rId45" Type="http://schemas.openxmlformats.org/officeDocument/2006/relationships/header" Target="header7.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image" Target="media/image1.emf" /><Relationship Id="rId7" Type="http://schemas.openxmlformats.org/officeDocument/2006/relationships/header" Target="header1.xml" /><Relationship Id="rId8" Type="http://schemas.openxmlformats.org/officeDocument/2006/relationships/image" Target="media/image2.png" /><Relationship Id="rId9" Type="http://schemas.openxmlformats.org/officeDocument/2006/relationships/image" Target="media/image3.png" /></Relationships>
</file>

<file path=word/_rels/footnotes.xml.rels>&#65279;<?xml version="1.0" encoding="utf-8" standalone="yes"?><Relationships xmlns="http://schemas.openxmlformats.org/package/2006/relationships"><Relationship Id="rId1" Type="http://schemas.openxmlformats.org/officeDocument/2006/relationships/hyperlink" Target="http://ekonomika.idnes.cz/na-sporu-inzerentu-s-novou-vydelaly-male-televize-fwi-/ekoakcie.aspx?c=A130419_223051_ekoakcie_brm" TargetMode="External" /><Relationship Id="rId2" Type="http://schemas.openxmlformats.org/officeDocument/2006/relationships/hyperlink" Target="http://www.mojebillboardy.cz/hledat/index/search_county/10-praha/search_billboardtype/1" TargetMode="External" /><Relationship Id="rId3" Type="http://schemas.openxmlformats.org/officeDocument/2006/relationships/hyperlink" Target="https://www.oecd.org/environment/waste/policy-highlights-extended-producer-responsibility-and-the-impact-of-online-sales.pdf"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User\Desktop\Z&#225;kono%20v&#253;robc&#237;ch%20s%20ukon&#269;enou%20&#382;ivotnost&#237;\Podklady%20-%20statistiky%20aj\ZO%20EEZ%20KS.xlsx" TargetMode="Externa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User\Desktop\Z&#225;kono%20v&#253;robc&#237;ch%20s%20ukon&#269;enou%20&#382;ivotnost&#237;\Podklady%20-%20statistiky%20aj\ZO%20EEZ%20KS.xlsx" TargetMode="External" /></Relationships>
</file>

<file path=word/charts/_rels/chart3.xml.rels>&#65279;<?xml version="1.0" encoding="utf-8" standalone="yes"?><Relationships xmlns="http://schemas.openxmlformats.org/package/2006/relationships"><Relationship Id="rId1" Type="http://schemas.openxmlformats.org/officeDocument/2006/relationships/oleObject" Target="file:///C:\Users\User\Desktop\Z&#225;kono%20v&#253;robc&#237;ch%20s%20ukon&#269;enou%20&#382;ivotnost&#237;\Podklady%20-%20statistiky%20aj\ZO%20EEZ%20KS.xlsx" TargetMode="External" /></Relationships>
</file>

<file path=word/charts/_rels/chart4.xml.rels>&#65279;<?xml version="1.0" encoding="utf-8" standalone="yes"?><Relationships xmlns="http://schemas.openxmlformats.org/package/2006/relationships"><Relationship Id="rId1" Type="http://schemas.openxmlformats.org/officeDocument/2006/relationships/oleObject" Target="file:///C:\===BUSINESS===\=2015=\TACR\eez_youngova\Kopie%20-%20Efektivita%20KS(1).xlsx" TargetMode="Externa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7.xml.rels>&#65279;<?xml version="1.0" encoding="utf-8" standalone="yes"?><Relationships xmlns="http://schemas.openxmlformats.org/package/2006/relationships"><Relationship Id="rId1" Type="http://schemas.openxmlformats.org/officeDocument/2006/relationships/oleObject" Target="file:///C:\===BUSINESS===\=2015=\TACR\eez_youngova\Kopie%20-%20Efektivita%20KS(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6580927384076991"/>
          <c:y val="0.050925925925925937"/>
          <c:w val="0.69663712239705211"/>
          <c:h val="0.84167468649752175"/>
        </c:manualLayout>
      </c:layout>
      <c:barChart>
        <c:barDir val="col"/>
        <c:grouping val="clustered"/>
        <c:varyColors val="0"/>
        <c:ser>
          <c:idx val="0"/>
          <c:order val="0"/>
          <c:tx>
            <c:strRef>
              <c:f>List2!$A$15</c:f>
              <c:strCache>
                <c:ptCount val="1"/>
                <c:pt idx="0">
                  <c:v>ASEKOL 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List2!$B$15</c:f>
              <c:numCache>
                <c:formatCode>General</c:formatCode>
                <c:ptCount val="1"/>
                <c:pt idx="0">
                  <c:v>56.809999999999995</c:v>
                </c:pt>
              </c:numCache>
            </c:numRef>
          </c:val>
          <c:extLst>
            <c:ext xmlns:c="http://schemas.openxmlformats.org/drawingml/2006/chart" xmlns:c16="http://schemas.microsoft.com/office/drawing/2014/chart" uri="{C3380CC4-5D6E-409C-BE32-E72D297353CC}">
              <c16:uniqueId val="{00000000-837F-47C9-B54F-208F888DFE65}"/>
            </c:ext>
          </c:extLst>
        </c:ser>
        <c:ser>
          <c:idx val="1"/>
          <c:order val="1"/>
          <c:tx>
            <c:strRef>
              <c:f>List2!$A$16</c:f>
              <c:strCache>
                <c:ptCount val="1"/>
                <c:pt idx="0">
                  <c:v>Bren, s.r.o.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List2!$B$16</c:f>
              <c:numCache>
                <c:formatCode>General</c:formatCode>
                <c:ptCount val="1"/>
                <c:pt idx="0">
                  <c:v>2.15</c:v>
                </c:pt>
              </c:numCache>
            </c:numRef>
          </c:val>
          <c:extLst>
            <c:ext xmlns:c="http://schemas.openxmlformats.org/drawingml/2006/chart" xmlns:c16="http://schemas.microsoft.com/office/drawing/2014/chart" uri="{C3380CC4-5D6E-409C-BE32-E72D297353CC}">
              <c16:uniqueId val="{00000001-837F-47C9-B54F-208F888DFE65}"/>
            </c:ext>
          </c:extLst>
        </c:ser>
        <c:ser>
          <c:idx val="2"/>
          <c:order val="2"/>
          <c:tx>
            <c:strRef>
              <c:f>List2!$A$17</c:f>
              <c:strCache>
                <c:ptCount val="1"/>
                <c:pt idx="0">
                  <c:v>EKOLAMP s.r.o.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List2!$B$17</c:f>
              <c:numCache>
                <c:formatCode>General</c:formatCode>
                <c:ptCount val="1"/>
                <c:pt idx="0">
                  <c:v>19.82</c:v>
                </c:pt>
              </c:numCache>
            </c:numRef>
          </c:val>
          <c:extLst>
            <c:ext xmlns:c="http://schemas.openxmlformats.org/drawingml/2006/chart" xmlns:c16="http://schemas.microsoft.com/office/drawing/2014/chart" uri="{C3380CC4-5D6E-409C-BE32-E72D297353CC}">
              <c16:uniqueId val="{00000002-837F-47C9-B54F-208F888DFE65}"/>
            </c:ext>
          </c:extLst>
        </c:ser>
        <c:ser>
          <c:idx val="3"/>
          <c:order val="3"/>
          <c:tx>
            <c:strRef>
              <c:f>List2!$A$18</c:f>
              <c:strCache>
                <c:ptCount val="1"/>
                <c:pt idx="0">
                  <c:v>Elektrowin 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List2!$B$18</c:f>
              <c:numCache>
                <c:formatCode>General</c:formatCode>
                <c:ptCount val="1"/>
                <c:pt idx="0">
                  <c:v>51.290000000000013</c:v>
                </c:pt>
              </c:numCache>
            </c:numRef>
          </c:val>
          <c:extLst>
            <c:ext xmlns:c="http://schemas.openxmlformats.org/drawingml/2006/chart" xmlns:c16="http://schemas.microsoft.com/office/drawing/2014/chart" uri="{C3380CC4-5D6E-409C-BE32-E72D297353CC}">
              <c16:uniqueId val="{00000003-837F-47C9-B54F-208F888DFE65}"/>
            </c:ext>
          </c:extLst>
        </c:ser>
        <c:ser>
          <c:idx val="4"/>
          <c:order val="4"/>
          <c:tx>
            <c:strRef>
              <c:f>List2!$A$19</c:f>
              <c:strCache>
                <c:ptCount val="1"/>
                <c:pt idx="0">
                  <c:v>OFO - recycling s.r.o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List2!$B$19</c:f>
              <c:numCache>
                <c:formatCode>General</c:formatCode>
                <c:ptCount val="1"/>
                <c:pt idx="0">
                  <c:v>21.52</c:v>
                </c:pt>
              </c:numCache>
            </c:numRef>
          </c:val>
          <c:extLst>
            <c:ext xmlns:c="http://schemas.openxmlformats.org/drawingml/2006/chart" xmlns:c16="http://schemas.microsoft.com/office/drawing/2014/chart" uri="{C3380CC4-5D6E-409C-BE32-E72D297353CC}">
              <c16:uniqueId val="{00000004-837F-47C9-B54F-208F888DFE65}"/>
            </c:ext>
          </c:extLst>
        </c:ser>
        <c:ser>
          <c:idx val="5"/>
          <c:order val="5"/>
          <c:tx>
            <c:strRef>
              <c:f>List2!$A$20</c:f>
              <c:strCache>
                <c:ptCount val="1"/>
                <c:pt idx="0">
                  <c:v>REMA Systém, 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List2!$B$20</c:f>
              <c:numCache>
                <c:formatCode>General</c:formatCode>
                <c:ptCount val="1"/>
                <c:pt idx="0">
                  <c:v>58.71</c:v>
                </c:pt>
              </c:numCache>
            </c:numRef>
          </c:val>
          <c:extLst>
            <c:ext xmlns:c="http://schemas.openxmlformats.org/drawingml/2006/chart" xmlns:c16="http://schemas.microsoft.com/office/drawing/2014/chart" uri="{C3380CC4-5D6E-409C-BE32-E72D297353CC}">
              <c16:uniqueId val="{00000005-837F-47C9-B54F-208F888DFE65}"/>
            </c:ext>
          </c:extLst>
        </c:ser>
        <c:ser>
          <c:idx val="6"/>
          <c:order val="6"/>
          <c:tx>
            <c:strRef>
              <c:f>List2!$A$21</c:f>
              <c:strCache>
                <c:ptCount val="1"/>
                <c:pt idx="0">
                  <c:v>RETELA s.r.o.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List2!$B$21</c:f>
              <c:numCache>
                <c:formatCode>General</c:formatCode>
                <c:ptCount val="1"/>
                <c:pt idx="0">
                  <c:v>21.91</c:v>
                </c:pt>
              </c:numCache>
            </c:numRef>
          </c:val>
          <c:extLst>
            <c:ext xmlns:c="http://schemas.openxmlformats.org/drawingml/2006/chart" xmlns:c16="http://schemas.microsoft.com/office/drawing/2014/chart" uri="{C3380CC4-5D6E-409C-BE32-E72D297353CC}">
              <c16:uniqueId val="{00000006-837F-47C9-B54F-208F888DFE65}"/>
            </c:ext>
          </c:extLst>
        </c:ser>
        <c:ser>
          <c:idx val="7"/>
          <c:order val="7"/>
          <c:tx>
            <c:strRef>
              <c:f>List2!$A$22</c:f>
              <c:strCache>
                <c:ptCount val="1"/>
                <c:pt idx="0">
                  <c:v>Individuální systémy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List2!$B$14</c:f>
              <c:strCache>
                <c:ptCount val="1"/>
                <c:pt idx="0">
                  <c:v>Úroveň zpětného odběru a odděleného sběru elektroodp. [%]</c:v>
                </c:pt>
              </c:strCache>
            </c:strRef>
          </c:cat>
          <c:val>
            <c:numRef>
              <c:f>List2!$B$22</c:f>
              <c:numCache>
                <c:formatCode>General</c:formatCode>
                <c:ptCount val="1"/>
                <c:pt idx="0">
                  <c:v>30.72</c:v>
                </c:pt>
              </c:numCache>
            </c:numRef>
          </c:val>
          <c:extLst>
            <c:ext xmlns:c="http://schemas.openxmlformats.org/drawingml/2006/chart" xmlns:c16="http://schemas.microsoft.com/office/drawing/2014/chart" uri="{C3380CC4-5D6E-409C-BE32-E72D297353CC}">
              <c16:uniqueId val="{00000007-837F-47C9-B54F-208F888DFE65}"/>
            </c:ext>
          </c:extLst>
        </c:ser>
        <c:dLbls>
          <c:showLegendKey val="0"/>
          <c:showVal val="1"/>
          <c:showCatName val="0"/>
          <c:showSerName val="0"/>
          <c:showPercent val="0"/>
          <c:showBubbleSize val="0"/>
        </c:dLbls>
        <c:gapWidth val="219"/>
        <c:overlap val="-27"/>
        <c:axId val="149273800"/>
        <c:axId val="149273408"/>
      </c:barChart>
      <c:catAx>
        <c:axId val="149273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9273408"/>
        <c:crosses val="autoZero"/>
        <c:auto val="1"/>
        <c:lblAlgn val="ctr"/>
        <c:lblOffset val="100"/>
        <c:noMultiLvlLbl val="0"/>
      </c:catAx>
      <c:valAx>
        <c:axId val="14927340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49273800"/>
        <c:crosses val="autoZero"/>
        <c:crossBetween val="between"/>
      </c:valAx>
      <c:spPr>
        <a:noFill/>
        <a:ln>
          <a:noFill/>
        </a:ln>
        <a:effectLst/>
      </c:spPr>
    </c:plotArea>
    <c:legend>
      <c:legendPos val="r"/>
      <c:layout>
        <c:manualLayout>
          <c:xMode val="edge"/>
          <c:yMode val="edge"/>
          <c:x val="0.74367445155943013"/>
          <c:y val="0.030090405365995929"/>
          <c:w val="0.23965883721241135"/>
          <c:h val="0.62500437445319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0555555555555565"/>
          <c:y val="0.038689074313472009"/>
          <c:w val="0.74943839601277273"/>
          <c:h val="0.84658628119246238"/>
        </c:manualLayout>
      </c:layout>
      <c:barChart>
        <c:barDir val="col"/>
        <c:grouping val="percentStacked"/>
        <c:varyColors val="0"/>
        <c:ser>
          <c:idx val="0"/>
          <c:order val="0"/>
          <c:tx>
            <c:strRef>
              <c:f>List1!$B$15</c:f>
              <c:strCache>
                <c:ptCount val="1"/>
                <c:pt idx="0">
                  <c:v>ASEKOL a.s.</c:v>
                </c:pt>
              </c:strCache>
            </c:strRef>
          </c:tx>
          <c:spPr>
            <a:solidFill>
              <a:schemeClr val="accent1"/>
            </a:solidFill>
            <a:ln>
              <a:noFill/>
            </a:ln>
            <a:effectLst/>
          </c:spPr>
          <c:invertIfNegative val="0"/>
          <c:dLbls>
            <c:dLbl>
              <c:idx val="6"/>
              <c:delete val="1"/>
              <c:extLst>
                <c:ext xmlns:c="http://schemas.openxmlformats.org/drawingml/2006/chart" xmlns:c16="http://schemas.microsoft.com/office/drawing/2014/chart" uri="{C3380CC4-5D6E-409C-BE32-E72D297353CC}">
                  <c16:uniqueId val="{00000000-7486-4D02-8F32-9B169697B580}"/>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1-7486-4D02-8F32-9B169697B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List1!$B$16:$B$26</c:f>
              <c:numCache>
                <c:formatCode>0</c:formatCode>
                <c:ptCount val="11"/>
                <c:pt idx="0">
                  <c:v>9.3628356773537611</c:v>
                </c:pt>
                <c:pt idx="1">
                  <c:v>3.9702834242797471</c:v>
                </c:pt>
                <c:pt idx="2">
                  <c:v>32.527121770021651</c:v>
                </c:pt>
                <c:pt idx="3">
                  <c:v>64.952764536596</c:v>
                </c:pt>
                <c:pt idx="4">
                  <c:v>2.7142518453675475</c:v>
                </c:pt>
                <c:pt idx="5">
                  <c:v>10.515701849714869</c:v>
                </c:pt>
                <c:pt idx="6">
                  <c:v>0.594432362485857</c:v>
                </c:pt>
                <c:pt idx="7">
                  <c:v>58.714262147380154</c:v>
                </c:pt>
                <c:pt idx="8">
                  <c:v>13.616071428571422</c:v>
                </c:pt>
                <c:pt idx="9">
                  <c:v>2.8478017723479345</c:v>
                </c:pt>
                <c:pt idx="10">
                  <c:v>4.702440942946339</c:v>
                </c:pt>
              </c:numCache>
            </c:numRef>
          </c:val>
          <c:extLst>
            <c:ext xmlns:c="http://schemas.openxmlformats.org/drawingml/2006/chart" xmlns:c16="http://schemas.microsoft.com/office/drawing/2014/chart" uri="{C3380CC4-5D6E-409C-BE32-E72D297353CC}">
              <c16:uniqueId val="{00000002-7486-4D02-8F32-9B169697B580}"/>
            </c:ext>
          </c:extLst>
        </c:ser>
        <c:ser>
          <c:idx val="1"/>
          <c:order val="1"/>
          <c:tx>
            <c:strRef>
              <c:f>List1!$C$15</c:f>
              <c:strCache>
                <c:ptCount val="1"/>
                <c:pt idx="0">
                  <c:v>Bren, s.r.o.</c:v>
                </c:pt>
              </c:strCache>
            </c:strRef>
          </c:tx>
          <c:spPr>
            <a:solidFill>
              <a:schemeClr val="accent2"/>
            </a:solidFill>
            <a:ln>
              <a:noFill/>
            </a:ln>
            <a:effectLst/>
          </c:spPr>
          <c:invertIfNegative val="0"/>
          <c:dLbls>
            <c:dLbl>
              <c:idx val="0"/>
              <c:delete val="1"/>
              <c:extLst>
                <c:ext xmlns:c="http://schemas.openxmlformats.org/drawingml/2006/chart" xmlns:c16="http://schemas.microsoft.com/office/drawing/2014/chart" uri="{C3380CC4-5D6E-409C-BE32-E72D297353CC}">
                  <c16:uniqueId val="{00000003-7486-4D02-8F32-9B169697B580}"/>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4-7486-4D02-8F32-9B169697B580}"/>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05-7486-4D02-8F32-9B169697B580}"/>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06-7486-4D02-8F32-9B169697B580}"/>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7-7486-4D02-8F32-9B169697B580}"/>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8-7486-4D02-8F32-9B169697B580}"/>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9-7486-4D02-8F32-9B169697B580}"/>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A-7486-4D02-8F32-9B169697B580}"/>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B-7486-4D02-8F32-9B169697B580}"/>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0C-7486-4D02-8F32-9B169697B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List1!$C$16:$C$26</c:f>
              <c:numCache>
                <c:formatCode>0</c:formatCode>
                <c:ptCount val="11"/>
                <c:pt idx="0">
                  <c:v>0</c:v>
                </c:pt>
                <c:pt idx="1">
                  <c:v>0.15412207881474568</c:v>
                </c:pt>
                <c:pt idx="2">
                  <c:v>0</c:v>
                </c:pt>
                <c:pt idx="3">
                  <c:v>0</c:v>
                </c:pt>
                <c:pt idx="4">
                  <c:v>0</c:v>
                </c:pt>
                <c:pt idx="5">
                  <c:v>0</c:v>
                </c:pt>
                <c:pt idx="6">
                  <c:v>5.0172421969743191</c:v>
                </c:pt>
                <c:pt idx="7">
                  <c:v>0</c:v>
                </c:pt>
                <c:pt idx="8">
                  <c:v>0</c:v>
                </c:pt>
                <c:pt idx="9">
                  <c:v>0</c:v>
                </c:pt>
                <c:pt idx="10">
                  <c:v>0</c:v>
                </c:pt>
              </c:numCache>
            </c:numRef>
          </c:val>
          <c:extLst>
            <c:ext xmlns:c="http://schemas.openxmlformats.org/drawingml/2006/chart" xmlns:c16="http://schemas.microsoft.com/office/drawing/2014/chart" uri="{C3380CC4-5D6E-409C-BE32-E72D297353CC}">
              <c16:uniqueId val="{0000000D-7486-4D02-8F32-9B169697B580}"/>
            </c:ext>
          </c:extLst>
        </c:ser>
        <c:ser>
          <c:idx val="2"/>
          <c:order val="2"/>
          <c:tx>
            <c:strRef>
              <c:f>List1!$D$15</c:f>
              <c:strCache>
                <c:ptCount val="1"/>
                <c:pt idx="0">
                  <c:v>EKOLAMP s.r.o.</c:v>
                </c:pt>
              </c:strCache>
            </c:strRef>
          </c:tx>
          <c:spPr>
            <a:solidFill>
              <a:schemeClr val="accent3"/>
            </a:solidFill>
            <a:ln>
              <a:noFill/>
            </a:ln>
            <a:effectLst/>
          </c:spPr>
          <c:invertIfNegative val="0"/>
          <c:dLbls>
            <c:dLbl>
              <c:idx val="0"/>
              <c:delete val="1"/>
              <c:extLst>
                <c:ext xmlns:c="http://schemas.openxmlformats.org/drawingml/2006/chart" xmlns:c16="http://schemas.microsoft.com/office/drawing/2014/chart" uri="{C3380CC4-5D6E-409C-BE32-E72D297353CC}">
                  <c16:uniqueId val="{0000000E-7486-4D02-8F32-9B169697B580}"/>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0F-7486-4D02-8F32-9B169697B580}"/>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10-7486-4D02-8F32-9B169697B580}"/>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11-7486-4D02-8F32-9B169697B580}"/>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12-7486-4D02-8F32-9B169697B580}"/>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13-7486-4D02-8F32-9B169697B580}"/>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14-7486-4D02-8F32-9B169697B580}"/>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15-7486-4D02-8F32-9B169697B580}"/>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16-7486-4D02-8F32-9B169697B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List1!$D$16:$D$26</c:f>
              <c:numCache>
                <c:formatCode>0</c:formatCode>
                <c:ptCount val="11"/>
                <c:pt idx="0">
                  <c:v>0</c:v>
                </c:pt>
                <c:pt idx="1">
                  <c:v>0</c:v>
                </c:pt>
                <c:pt idx="2">
                  <c:v>0</c:v>
                </c:pt>
                <c:pt idx="3">
                  <c:v>0</c:v>
                </c:pt>
                <c:pt idx="4">
                  <c:v>65.774530052477289</c:v>
                </c:pt>
                <c:pt idx="5">
                  <c:v>71.743392675084309</c:v>
                </c:pt>
                <c:pt idx="6">
                  <c:v>0</c:v>
                </c:pt>
                <c:pt idx="7">
                  <c:v>0</c:v>
                </c:pt>
                <c:pt idx="8">
                  <c:v>0</c:v>
                </c:pt>
                <c:pt idx="9">
                  <c:v>0</c:v>
                </c:pt>
                <c:pt idx="10">
                  <c:v>0</c:v>
                </c:pt>
              </c:numCache>
            </c:numRef>
          </c:val>
          <c:extLst>
            <c:ext xmlns:c="http://schemas.openxmlformats.org/drawingml/2006/chart" xmlns:c16="http://schemas.microsoft.com/office/drawing/2014/chart" uri="{C3380CC4-5D6E-409C-BE32-E72D297353CC}">
              <c16:uniqueId val="{00000017-7486-4D02-8F32-9B169697B580}"/>
            </c:ext>
          </c:extLst>
        </c:ser>
        <c:ser>
          <c:idx val="3"/>
          <c:order val="3"/>
          <c:tx>
            <c:strRef>
              <c:f>List1!$E$15</c:f>
              <c:strCache>
                <c:ptCount val="1"/>
                <c:pt idx="0">
                  <c:v>Elektrowin a.s.</c:v>
                </c:pt>
              </c:strCache>
            </c:strRef>
          </c:tx>
          <c:spPr>
            <a:solidFill>
              <a:schemeClr val="accent4"/>
            </a:solidFill>
            <a:ln>
              <a:noFill/>
            </a:ln>
            <a:effectLst/>
          </c:spPr>
          <c:invertIfNegative val="0"/>
          <c:dLbls>
            <c:dLbl>
              <c:idx val="2"/>
              <c:delete val="1"/>
              <c:extLst>
                <c:ext xmlns:c="http://schemas.openxmlformats.org/drawingml/2006/chart" xmlns:c16="http://schemas.microsoft.com/office/drawing/2014/chart" uri="{C3380CC4-5D6E-409C-BE32-E72D297353CC}">
                  <c16:uniqueId val="{00000018-7486-4D02-8F32-9B169697B580}"/>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19-7486-4D02-8F32-9B169697B580}"/>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1A-7486-4D02-8F32-9B169697B580}"/>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1B-7486-4D02-8F32-9B169697B580}"/>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1C-7486-4D02-8F32-9B169697B580}"/>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1D-7486-4D02-8F32-9B169697B580}"/>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1E-7486-4D02-8F32-9B169697B580}"/>
                </c:ext>
                <c:ext xmlns:c15="http://schemas.microsoft.com/office/drawing/2012/chart" uri="{CE6537A1-D6FC-4f65-9D91-7224C49458BB}"/>
              </c:extLst>
            </c:dLbl>
            <c:dLbl>
              <c:idx val="10"/>
              <c:delete val="1"/>
              <c:extLst>
                <c:ext xmlns:c="http://schemas.openxmlformats.org/drawingml/2006/chart" xmlns:c16="http://schemas.microsoft.com/office/drawing/2014/chart" uri="{C3380CC4-5D6E-409C-BE32-E72D297353CC}">
                  <c16:uniqueId val="{0000001F-7486-4D02-8F32-9B169697B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List1!$E$16:$E$26</c:f>
              <c:numCache>
                <c:formatCode>0</c:formatCode>
                <c:ptCount val="11"/>
                <c:pt idx="0">
                  <c:v>81.257469034262712</c:v>
                </c:pt>
                <c:pt idx="1">
                  <c:v>72.017788233236189</c:v>
                </c:pt>
                <c:pt idx="2">
                  <c:v>0.4022886981550392</c:v>
                </c:pt>
                <c:pt idx="3">
                  <c:v>2.822714386498157</c:v>
                </c:pt>
                <c:pt idx="4">
                  <c:v>0.16675557257685802</c:v>
                </c:pt>
                <c:pt idx="5">
                  <c:v>0.56634213563081892</c:v>
                </c:pt>
                <c:pt idx="6">
                  <c:v>23.911573613002453</c:v>
                </c:pt>
                <c:pt idx="7">
                  <c:v>0.5426189358273158</c:v>
                </c:pt>
                <c:pt idx="8">
                  <c:v>0.46359890109890139</c:v>
                </c:pt>
                <c:pt idx="9">
                  <c:v>0.085421762269392035</c:v>
                </c:pt>
                <c:pt idx="10">
                  <c:v>0</c:v>
                </c:pt>
              </c:numCache>
            </c:numRef>
          </c:val>
          <c:extLst>
            <c:ext xmlns:c="http://schemas.openxmlformats.org/drawingml/2006/chart" xmlns:c16="http://schemas.microsoft.com/office/drawing/2014/chart" uri="{C3380CC4-5D6E-409C-BE32-E72D297353CC}">
              <c16:uniqueId val="{00000020-7486-4D02-8F32-9B169697B580}"/>
            </c:ext>
          </c:extLst>
        </c:ser>
        <c:ser>
          <c:idx val="4"/>
          <c:order val="4"/>
          <c:tx>
            <c:strRef>
              <c:f>List1!$F$15</c:f>
              <c:strCache>
                <c:ptCount val="1"/>
                <c:pt idx="0">
                  <c:v>OFO - recycling s.r.o</c:v>
                </c:pt>
              </c:strCache>
            </c:strRef>
          </c:tx>
          <c:spPr>
            <a:solidFill>
              <a:schemeClr val="accent5"/>
            </a:solidFill>
            <a:ln>
              <a:noFill/>
            </a:ln>
            <a:effectLst/>
          </c:spPr>
          <c:invertIfNegative val="0"/>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List1!$F$16:$F$26</c:f>
              <c:numCache>
                <c:formatCode>0</c:formatCode>
                <c:ptCount val="11"/>
                <c:pt idx="0">
                  <c:v>2.0178665399697668</c:v>
                </c:pt>
                <c:pt idx="1">
                  <c:v>0.23283702921703858</c:v>
                </c:pt>
                <c:pt idx="2">
                  <c:v>0.069242762125789281</c:v>
                </c:pt>
                <c:pt idx="3">
                  <c:v>0.764928788699338</c:v>
                </c:pt>
                <c:pt idx="4">
                  <c:v>0.0049012232541386916</c:v>
                </c:pt>
                <c:pt idx="5">
                  <c:v>0.0033610809236250382</c:v>
                </c:pt>
                <c:pt idx="6">
                  <c:v>0.041327073297968177</c:v>
                </c:pt>
                <c:pt idx="7">
                  <c:v>0.32130756443282643</c:v>
                </c:pt>
                <c:pt idx="8">
                  <c:v>0</c:v>
                </c:pt>
                <c:pt idx="9">
                  <c:v>0.025196347144209156</c:v>
                </c:pt>
                <c:pt idx="10">
                  <c:v>0</c:v>
                </c:pt>
              </c:numCache>
            </c:numRef>
          </c:val>
          <c:extLst>
            <c:ext xmlns:c="http://schemas.openxmlformats.org/drawingml/2006/chart" xmlns:c16="http://schemas.microsoft.com/office/drawing/2014/chart" uri="{C3380CC4-5D6E-409C-BE32-E72D297353CC}">
              <c16:uniqueId val="{00000021-7486-4D02-8F32-9B169697B580}"/>
            </c:ext>
          </c:extLst>
        </c:ser>
        <c:ser>
          <c:idx val="5"/>
          <c:order val="5"/>
          <c:tx>
            <c:strRef>
              <c:f>List1!$G$15</c:f>
              <c:strCache>
                <c:ptCount val="1"/>
                <c:pt idx="0">
                  <c:v>REMA Systém, 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List1!$G$16:$G$26</c:f>
              <c:numCache>
                <c:formatCode>0</c:formatCode>
                <c:ptCount val="11"/>
                <c:pt idx="0">
                  <c:v>2.690089790500453</c:v>
                </c:pt>
                <c:pt idx="1">
                  <c:v>2.3966011288082689</c:v>
                </c:pt>
                <c:pt idx="2">
                  <c:v>60.5863229135604</c:v>
                </c:pt>
                <c:pt idx="3">
                  <c:v>17.863990360641033</c:v>
                </c:pt>
                <c:pt idx="4">
                  <c:v>4.3130764636420418</c:v>
                </c:pt>
                <c:pt idx="5">
                  <c:v>2.9908018418723485</c:v>
                </c:pt>
                <c:pt idx="6">
                  <c:v>8.7830870646260575</c:v>
                </c:pt>
                <c:pt idx="7">
                  <c:v>12.617032346484272</c:v>
                </c:pt>
                <c:pt idx="8">
                  <c:v>42.609246222527482</c:v>
                </c:pt>
                <c:pt idx="9">
                  <c:v>34.791239045734443</c:v>
                </c:pt>
                <c:pt idx="10">
                  <c:v>40.362822939455796</c:v>
                </c:pt>
              </c:numCache>
            </c:numRef>
          </c:val>
          <c:extLst>
            <c:ext xmlns:c="http://schemas.openxmlformats.org/drawingml/2006/chart" xmlns:c16="http://schemas.microsoft.com/office/drawing/2014/chart" uri="{C3380CC4-5D6E-409C-BE32-E72D297353CC}">
              <c16:uniqueId val="{00000022-7486-4D02-8F32-9B169697B580}"/>
            </c:ext>
          </c:extLst>
        </c:ser>
        <c:ser>
          <c:idx val="6"/>
          <c:order val="6"/>
          <c:tx>
            <c:strRef>
              <c:f>List1!$H$15</c:f>
              <c:strCache>
                <c:ptCount val="1"/>
                <c:pt idx="0">
                  <c:v>RETELA s.r.o.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List1!$H$16:$H$26</c:f>
              <c:numCache>
                <c:formatCode>0</c:formatCode>
                <c:ptCount val="11"/>
                <c:pt idx="0">
                  <c:v>3.7186771142806232</c:v>
                </c:pt>
                <c:pt idx="1">
                  <c:v>21.218276445336002</c:v>
                </c:pt>
                <c:pt idx="2">
                  <c:v>5.8058577188865383</c:v>
                </c:pt>
                <c:pt idx="3">
                  <c:v>13.577064698758544</c:v>
                </c:pt>
                <c:pt idx="4">
                  <c:v>22.567511500777339</c:v>
                </c:pt>
                <c:pt idx="5">
                  <c:v>14.145669247229922</c:v>
                </c:pt>
                <c:pt idx="6">
                  <c:v>54.28331402478269</c:v>
                </c:pt>
                <c:pt idx="7">
                  <c:v>23.727523063842746</c:v>
                </c:pt>
                <c:pt idx="8">
                  <c:v>40.031550480769226</c:v>
                </c:pt>
                <c:pt idx="9">
                  <c:v>56.712061061196373</c:v>
                </c:pt>
                <c:pt idx="10">
                  <c:v>53.3934760699098</c:v>
                </c:pt>
              </c:numCache>
            </c:numRef>
          </c:val>
          <c:extLst>
            <c:ext xmlns:c="http://schemas.openxmlformats.org/drawingml/2006/chart" xmlns:c16="http://schemas.microsoft.com/office/drawing/2014/chart" uri="{C3380CC4-5D6E-409C-BE32-E72D297353CC}">
              <c16:uniqueId val="{00000023-7486-4D02-8F32-9B169697B580}"/>
            </c:ext>
          </c:extLst>
        </c:ser>
        <c:ser>
          <c:idx val="7"/>
          <c:order val="7"/>
          <c:tx>
            <c:strRef>
              <c:f>List1!$I$15</c:f>
              <c:strCache>
                <c:ptCount val="1"/>
                <c:pt idx="0">
                  <c:v>Individuální systémy</c:v>
                </c:pt>
              </c:strCache>
            </c:strRef>
          </c:tx>
          <c:spPr>
            <a:solidFill>
              <a:schemeClr val="accent2">
                <a:lumMod val="60000"/>
              </a:schemeClr>
            </a:solidFill>
            <a:ln>
              <a:noFill/>
            </a:ln>
            <a:effectLst/>
          </c:spPr>
          <c:invertIfNegative val="0"/>
          <c:dLbls>
            <c:dLbl>
              <c:idx val="0"/>
              <c:delete val="1"/>
              <c:extLst>
                <c:ext xmlns:c="http://schemas.openxmlformats.org/drawingml/2006/chart" xmlns:c16="http://schemas.microsoft.com/office/drawing/2014/chart" uri="{C3380CC4-5D6E-409C-BE32-E72D297353CC}">
                  <c16:uniqueId val="{00000024-7486-4D02-8F32-9B169697B580}"/>
                </c:ext>
                <c:ext xmlns:c15="http://schemas.microsoft.com/office/drawing/2012/chart" uri="{CE6537A1-D6FC-4f65-9D91-7224C49458BB}"/>
              </c:extLst>
            </c:dLbl>
            <c:dLbl>
              <c:idx val="1"/>
              <c:delete val="1"/>
              <c:extLst>
                <c:ext xmlns:c="http://schemas.openxmlformats.org/drawingml/2006/chart" xmlns:c16="http://schemas.microsoft.com/office/drawing/2014/chart" uri="{C3380CC4-5D6E-409C-BE32-E72D297353CC}">
                  <c16:uniqueId val="{00000025-7486-4D02-8F32-9B169697B580}"/>
                </c:ext>
                <c:ext xmlns:c15="http://schemas.microsoft.com/office/drawing/2012/chart" uri="{CE6537A1-D6FC-4f65-9D91-7224C49458BB}"/>
              </c:extLst>
            </c:dLbl>
            <c:dLbl>
              <c:idx val="2"/>
              <c:delete val="1"/>
              <c:extLst>
                <c:ext xmlns:c="http://schemas.openxmlformats.org/drawingml/2006/chart" xmlns:c16="http://schemas.microsoft.com/office/drawing/2014/chart" uri="{C3380CC4-5D6E-409C-BE32-E72D297353CC}">
                  <c16:uniqueId val="{00000026-7486-4D02-8F32-9B169697B580}"/>
                </c:ext>
                <c:ext xmlns:c15="http://schemas.microsoft.com/office/drawing/2012/chart" uri="{CE6537A1-D6FC-4f65-9D91-7224C49458BB}"/>
              </c:extLst>
            </c:dLbl>
            <c:dLbl>
              <c:idx val="3"/>
              <c:delete val="1"/>
              <c:extLst>
                <c:ext xmlns:c="http://schemas.openxmlformats.org/drawingml/2006/chart" xmlns:c16="http://schemas.microsoft.com/office/drawing/2014/chart" uri="{C3380CC4-5D6E-409C-BE32-E72D297353CC}">
                  <c16:uniqueId val="{00000027-7486-4D02-8F32-9B169697B580}"/>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28-7486-4D02-8F32-9B169697B5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List1!$A$16:$A$26</c:f>
              <c:strCache>
                <c:ptCount val="11"/>
                <c:pt idx="0">
                  <c:v>1.</c:v>
                </c:pt>
                <c:pt idx="1">
                  <c:v>2.</c:v>
                </c:pt>
                <c:pt idx="2">
                  <c:v>3.</c:v>
                </c:pt>
                <c:pt idx="3">
                  <c:v>4.</c:v>
                </c:pt>
                <c:pt idx="4">
                  <c:v>5. </c:v>
                </c:pt>
                <c:pt idx="5">
                  <c:v>5a.</c:v>
                </c:pt>
                <c:pt idx="6">
                  <c:v>6.</c:v>
                </c:pt>
                <c:pt idx="7">
                  <c:v>7.</c:v>
                </c:pt>
                <c:pt idx="8">
                  <c:v>8.</c:v>
                </c:pt>
                <c:pt idx="9">
                  <c:v>9.</c:v>
                </c:pt>
                <c:pt idx="10">
                  <c:v>10.</c:v>
                </c:pt>
              </c:strCache>
            </c:strRef>
          </c:cat>
          <c:val>
            <c:numRef>
              <c:f>List1!$I$16:$I$26</c:f>
              <c:numCache>
                <c:formatCode>0</c:formatCode>
                <c:ptCount val="11"/>
                <c:pt idx="0">
                  <c:v>0.953061843632743</c:v>
                </c:pt>
                <c:pt idx="1">
                  <c:v>0.010091660307986262</c:v>
                </c:pt>
                <c:pt idx="2">
                  <c:v>0.60916613725058055</c:v>
                </c:pt>
                <c:pt idx="3">
                  <c:v>0.018537228806853566</c:v>
                </c:pt>
                <c:pt idx="4">
                  <c:v>4.4589733419047777</c:v>
                </c:pt>
                <c:pt idx="5">
                  <c:v>0.034731169544125418</c:v>
                </c:pt>
                <c:pt idx="6">
                  <c:v>7.3690236648306637</c:v>
                </c:pt>
                <c:pt idx="7">
                  <c:v>4.0772559420326662</c:v>
                </c:pt>
                <c:pt idx="8">
                  <c:v>3.2795329670329685</c:v>
                </c:pt>
                <c:pt idx="9">
                  <c:v>5.5382800113076325</c:v>
                </c:pt>
                <c:pt idx="10">
                  <c:v>1.5412600476881098</c:v>
                </c:pt>
              </c:numCache>
            </c:numRef>
          </c:val>
          <c:extLst>
            <c:ext xmlns:c="http://schemas.openxmlformats.org/drawingml/2006/chart" xmlns:c16="http://schemas.microsoft.com/office/drawing/2014/chart" uri="{C3380CC4-5D6E-409C-BE32-E72D297353CC}">
              <c16:uniqueId val="{00000029-7486-4D02-8F32-9B169697B580}"/>
            </c:ext>
          </c:extLst>
        </c:ser>
        <c:dLbls>
          <c:showLegendKey val="0"/>
          <c:showVal val="0"/>
          <c:showCatName val="0"/>
          <c:showSerName val="0"/>
          <c:showPercent val="0"/>
          <c:showBubbleSize val="0"/>
        </c:dLbls>
        <c:gapWidth val="79"/>
        <c:overlap val="100"/>
        <c:axId val="488998968"/>
        <c:axId val="511288552"/>
      </c:barChart>
      <c:catAx>
        <c:axId val="488998968"/>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cs-CZ"/>
                  <a:t>Skupina</a:t>
                </a:r>
                <a:r>
                  <a:rPr lang="cs-CZ" baseline="0"/>
                  <a:t> EEZ</a:t>
                </a:r>
                <a:endParaRPr lang="cs-CZ"/>
              </a:p>
            </c:rich>
          </c:tx>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511288552"/>
        <c:crosses val="autoZero"/>
        <c:auto val="1"/>
        <c:lblAlgn val="ctr"/>
        <c:lblOffset val="100"/>
        <c:noMultiLvlLbl val="0"/>
      </c:catAx>
      <c:valAx>
        <c:axId val="511288552"/>
        <c:scaling>
          <c:orientation val="minMax"/>
        </c:scaling>
        <c:delete val="0"/>
        <c:axPos val="l"/>
        <c:numFmt formatCode="0%" sourceLinked="1"/>
        <c:majorTickMark val="out"/>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8998968"/>
        <c:crosses val="autoZero"/>
        <c:crossBetween val="between"/>
      </c:valAx>
      <c:spPr>
        <a:noFill/>
        <a:ln>
          <a:noFill/>
        </a:ln>
        <a:effectLst/>
      </c:spPr>
    </c:plotArea>
    <c:legend>
      <c:legendPos val="t"/>
      <c:layout>
        <c:manualLayout>
          <c:xMode val="edge"/>
          <c:yMode val="edge"/>
          <c:x val="0.81481925770109065"/>
          <c:y val="0.079775296744623414"/>
          <c:w val="0.18109118129186932"/>
          <c:h val="0.75228017393348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233814523184582"/>
          <c:y val="0.060601851851851879"/>
          <c:w val="0.67167611915643455"/>
          <c:h val="0.83720435987168251"/>
        </c:manualLayout>
      </c:layout>
      <c:barChart>
        <c:barDir val="col"/>
        <c:grouping val="percentStacked"/>
        <c:varyColors val="0"/>
        <c:ser>
          <c:idx val="0"/>
          <c:order val="0"/>
          <c:tx>
            <c:strRef>
              <c:f>'Úroveň ZO a OS'!$A$2</c:f>
              <c:strCache>
                <c:ptCount val="1"/>
                <c:pt idx="0">
                  <c:v>ASEKOL 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OS'!$B$2:$L$2</c:f>
              <c:numCache>
                <c:formatCode>General</c:formatCode>
                <c:ptCount val="11"/>
                <c:pt idx="0">
                  <c:v>0.5</c:v>
                </c:pt>
                <c:pt idx="1">
                  <c:v>12</c:v>
                </c:pt>
                <c:pt idx="2">
                  <c:v>41</c:v>
                </c:pt>
                <c:pt idx="3">
                  <c:v>87</c:v>
                </c:pt>
                <c:pt idx="4">
                  <c:v>7</c:v>
                </c:pt>
                <c:pt idx="5">
                  <c:v>5</c:v>
                </c:pt>
                <c:pt idx="6">
                  <c:v>7</c:v>
                </c:pt>
                <c:pt idx="7">
                  <c:v>23</c:v>
                </c:pt>
                <c:pt idx="8">
                  <c:v>7</c:v>
                </c:pt>
                <c:pt idx="9">
                  <c:v>13</c:v>
                </c:pt>
                <c:pt idx="10">
                  <c:v>29</c:v>
                </c:pt>
              </c:numCache>
            </c:numRef>
          </c:val>
          <c:extLst>
            <c:ext xmlns:c="http://schemas.openxmlformats.org/drawingml/2006/chart" xmlns:c16="http://schemas.microsoft.com/office/drawing/2014/chart" uri="{C3380CC4-5D6E-409C-BE32-E72D297353CC}">
              <c16:uniqueId val="{00000000-3F0C-4264-B49B-F4774AF4DD47}"/>
            </c:ext>
          </c:extLst>
        </c:ser>
        <c:ser>
          <c:idx val="1"/>
          <c:order val="1"/>
          <c:tx>
            <c:strRef>
              <c:f>'Úroveň ZO a OS'!$A$3</c:f>
              <c:strCache>
                <c:ptCount val="1"/>
                <c:pt idx="0">
                  <c:v>Bren, s.r.o.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OS'!$B$3:$L$3</c:f>
              <c:numCache>
                <c:formatCode>General</c:formatCode>
                <c:ptCount val="11"/>
                <c:pt idx="1">
                  <c:v>0.5</c:v>
                </c:pt>
                <c:pt idx="6">
                  <c:v>0.5</c:v>
                </c:pt>
              </c:numCache>
            </c:numRef>
          </c:val>
          <c:extLst>
            <c:ext xmlns:c="http://schemas.openxmlformats.org/drawingml/2006/chart" xmlns:c16="http://schemas.microsoft.com/office/drawing/2014/chart" uri="{C3380CC4-5D6E-409C-BE32-E72D297353CC}">
              <c16:uniqueId val="{00000001-3F0C-4264-B49B-F4774AF4DD47}"/>
            </c:ext>
          </c:extLst>
        </c:ser>
        <c:ser>
          <c:idx val="2"/>
          <c:order val="2"/>
          <c:tx>
            <c:strRef>
              <c:f>'Úroveň ZO a OS'!$A$4</c:f>
              <c:strCache>
                <c:ptCount val="1"/>
                <c:pt idx="0">
                  <c:v>EKOLAMP s.r.o.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OS'!$B$4:$L$4</c:f>
              <c:numCache>
                <c:formatCode>General</c:formatCode>
                <c:ptCount val="11"/>
                <c:pt idx="4">
                  <c:v>68</c:v>
                </c:pt>
                <c:pt idx="5">
                  <c:v>86</c:v>
                </c:pt>
              </c:numCache>
            </c:numRef>
          </c:val>
          <c:extLst>
            <c:ext xmlns:c="http://schemas.openxmlformats.org/drawingml/2006/chart" xmlns:c16="http://schemas.microsoft.com/office/drawing/2014/chart" uri="{C3380CC4-5D6E-409C-BE32-E72D297353CC}">
              <c16:uniqueId val="{00000002-3F0C-4264-B49B-F4774AF4DD47}"/>
            </c:ext>
          </c:extLst>
        </c:ser>
        <c:ser>
          <c:idx val="3"/>
          <c:order val="3"/>
          <c:tx>
            <c:strRef>
              <c:f>'Úroveň ZO a OS'!$A$5</c:f>
              <c:strCache>
                <c:ptCount val="1"/>
                <c:pt idx="0">
                  <c:v>Elektrowin 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OS'!$B$5:$L$5</c:f>
              <c:numCache>
                <c:formatCode>General</c:formatCode>
                <c:ptCount val="11"/>
                <c:pt idx="0">
                  <c:v>79</c:v>
                </c:pt>
                <c:pt idx="1">
                  <c:v>68</c:v>
                </c:pt>
                <c:pt idx="6">
                  <c:v>41</c:v>
                </c:pt>
              </c:numCache>
            </c:numRef>
          </c:val>
          <c:extLst>
            <c:ext xmlns:c="http://schemas.openxmlformats.org/drawingml/2006/chart" xmlns:c16="http://schemas.microsoft.com/office/drawing/2014/chart" uri="{C3380CC4-5D6E-409C-BE32-E72D297353CC}">
              <c16:uniqueId val="{00000003-3F0C-4264-B49B-F4774AF4DD47}"/>
            </c:ext>
          </c:extLst>
        </c:ser>
        <c:ser>
          <c:idx val="4"/>
          <c:order val="4"/>
          <c:tx>
            <c:strRef>
              <c:f>'Úroveň ZO a OS'!$A$6</c:f>
              <c:strCache>
                <c:ptCount val="1"/>
                <c:pt idx="0">
                  <c:v>OFO - recycling s.r.o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OS'!$B$6:$L$6</c:f>
              <c:numCache>
                <c:formatCode>General</c:formatCode>
                <c:ptCount val="11"/>
                <c:pt idx="1">
                  <c:v>1.5</c:v>
                </c:pt>
                <c:pt idx="2">
                  <c:v>2</c:v>
                </c:pt>
                <c:pt idx="7">
                  <c:v>0.5</c:v>
                </c:pt>
                <c:pt idx="8">
                  <c:v>0.5</c:v>
                </c:pt>
                <c:pt idx="9">
                  <c:v>0.5</c:v>
                </c:pt>
              </c:numCache>
            </c:numRef>
          </c:val>
          <c:extLst>
            <c:ext xmlns:c="http://schemas.openxmlformats.org/drawingml/2006/chart" xmlns:c16="http://schemas.microsoft.com/office/drawing/2014/chart" uri="{C3380CC4-5D6E-409C-BE32-E72D297353CC}">
              <c16:uniqueId val="{00000004-3F0C-4264-B49B-F4774AF4DD47}"/>
            </c:ext>
          </c:extLst>
        </c:ser>
        <c:ser>
          <c:idx val="5"/>
          <c:order val="5"/>
          <c:tx>
            <c:strRef>
              <c:f>'Úroveň ZO a OS'!$A$7</c:f>
              <c:strCache>
                <c:ptCount val="1"/>
                <c:pt idx="0">
                  <c:v>REMA Systém, 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OS'!$B$7:$L$7</c:f>
              <c:numCache>
                <c:formatCode>General</c:formatCode>
                <c:ptCount val="11"/>
                <c:pt idx="0">
                  <c:v>12</c:v>
                </c:pt>
                <c:pt idx="1">
                  <c:v>7</c:v>
                </c:pt>
                <c:pt idx="2">
                  <c:v>50</c:v>
                </c:pt>
                <c:pt idx="3">
                  <c:v>6</c:v>
                </c:pt>
                <c:pt idx="4">
                  <c:v>10</c:v>
                </c:pt>
                <c:pt idx="5">
                  <c:v>4</c:v>
                </c:pt>
                <c:pt idx="6">
                  <c:v>29</c:v>
                </c:pt>
                <c:pt idx="7">
                  <c:v>28</c:v>
                </c:pt>
                <c:pt idx="8">
                  <c:v>24</c:v>
                </c:pt>
                <c:pt idx="9">
                  <c:v>57</c:v>
                </c:pt>
                <c:pt idx="10">
                  <c:v>19</c:v>
                </c:pt>
              </c:numCache>
            </c:numRef>
          </c:val>
          <c:extLst>
            <c:ext xmlns:c="http://schemas.openxmlformats.org/drawingml/2006/chart" xmlns:c16="http://schemas.microsoft.com/office/drawing/2014/chart" uri="{C3380CC4-5D6E-409C-BE32-E72D297353CC}">
              <c16:uniqueId val="{00000005-3F0C-4264-B49B-F4774AF4DD47}"/>
            </c:ext>
          </c:extLst>
        </c:ser>
        <c:ser>
          <c:idx val="6"/>
          <c:order val="6"/>
          <c:tx>
            <c:strRef>
              <c:f>'Úroveň ZO a OS'!$A$8</c:f>
              <c:strCache>
                <c:ptCount val="1"/>
                <c:pt idx="0">
                  <c:v>RETELA s.r.o.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OS'!$B$8:$L$8</c:f>
              <c:numCache>
                <c:formatCode>General</c:formatCode>
                <c:ptCount val="11"/>
                <c:pt idx="0">
                  <c:v>3</c:v>
                </c:pt>
                <c:pt idx="1">
                  <c:v>8</c:v>
                </c:pt>
                <c:pt idx="2">
                  <c:v>7</c:v>
                </c:pt>
                <c:pt idx="3">
                  <c:v>7</c:v>
                </c:pt>
                <c:pt idx="4">
                  <c:v>9</c:v>
                </c:pt>
                <c:pt idx="5">
                  <c:v>5</c:v>
                </c:pt>
                <c:pt idx="6">
                  <c:v>17</c:v>
                </c:pt>
                <c:pt idx="7">
                  <c:v>14</c:v>
                </c:pt>
                <c:pt idx="8">
                  <c:v>10</c:v>
                </c:pt>
                <c:pt idx="9">
                  <c:v>10</c:v>
                </c:pt>
                <c:pt idx="10">
                  <c:v>37</c:v>
                </c:pt>
              </c:numCache>
            </c:numRef>
          </c:val>
          <c:extLst>
            <c:ext xmlns:c="http://schemas.openxmlformats.org/drawingml/2006/chart" xmlns:c16="http://schemas.microsoft.com/office/drawing/2014/chart" uri="{C3380CC4-5D6E-409C-BE32-E72D297353CC}">
              <c16:uniqueId val="{00000006-3F0C-4264-B49B-F4774AF4DD47}"/>
            </c:ext>
          </c:extLst>
        </c:ser>
        <c:ser>
          <c:idx val="7"/>
          <c:order val="7"/>
          <c:tx>
            <c:strRef>
              <c:f>'Úroveň ZO a OS'!$A$9</c:f>
              <c:strCache>
                <c:ptCount val="1"/>
                <c:pt idx="0">
                  <c:v>Individuální systémy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OS'!$B$9:$L$9</c:f>
              <c:numCache>
                <c:formatCode>General</c:formatCode>
                <c:ptCount val="11"/>
                <c:pt idx="0">
                  <c:v>0.5</c:v>
                </c:pt>
                <c:pt idx="4">
                  <c:v>1</c:v>
                </c:pt>
                <c:pt idx="6">
                  <c:v>0.5</c:v>
                </c:pt>
                <c:pt idx="7">
                  <c:v>27</c:v>
                </c:pt>
                <c:pt idx="8">
                  <c:v>46</c:v>
                </c:pt>
                <c:pt idx="9">
                  <c:v>0.5</c:v>
                </c:pt>
                <c:pt idx="10">
                  <c:v>1</c:v>
                </c:pt>
              </c:numCache>
            </c:numRef>
          </c:val>
          <c:extLst>
            <c:ext xmlns:c="http://schemas.openxmlformats.org/drawingml/2006/chart" xmlns:c16="http://schemas.microsoft.com/office/drawing/2014/chart" uri="{C3380CC4-5D6E-409C-BE32-E72D297353CC}">
              <c16:uniqueId val="{00000007-3F0C-4264-B49B-F4774AF4DD47}"/>
            </c:ext>
          </c:extLst>
        </c:ser>
        <c:ser>
          <c:idx val="8"/>
          <c:order val="8"/>
          <c:tx>
            <c:strRef>
              <c:f>'Úroveň ZO a OS'!$A$10</c:f>
              <c:strCache>
                <c:ptCount val="1"/>
                <c:pt idx="0">
                  <c:v>Zpracovatelé elektroodpadů</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'Úroveň ZO a OS'!$B$1:$L$1</c:f>
              <c:strCache>
                <c:ptCount val="11"/>
                <c:pt idx="0">
                  <c:v>1</c:v>
                </c:pt>
                <c:pt idx="1">
                  <c:v>2</c:v>
                </c:pt>
                <c:pt idx="2">
                  <c:v>3</c:v>
                </c:pt>
                <c:pt idx="3">
                  <c:v>4</c:v>
                </c:pt>
                <c:pt idx="4">
                  <c:v>5</c:v>
                </c:pt>
                <c:pt idx="5">
                  <c:v>5a</c:v>
                </c:pt>
                <c:pt idx="6">
                  <c:v>6</c:v>
                </c:pt>
                <c:pt idx="7">
                  <c:v>7</c:v>
                </c:pt>
                <c:pt idx="8">
                  <c:v>8</c:v>
                </c:pt>
                <c:pt idx="9">
                  <c:v>9</c:v>
                </c:pt>
                <c:pt idx="10">
                  <c:v>10</c:v>
                </c:pt>
              </c:strCache>
            </c:strRef>
          </c:cat>
          <c:val>
            <c:numRef>
              <c:f>'Úroveň ZO a OS'!$B$10:$L$10</c:f>
              <c:numCache>
                <c:formatCode>General</c:formatCode>
                <c:ptCount val="11"/>
                <c:pt idx="0">
                  <c:v>5</c:v>
                </c:pt>
                <c:pt idx="1">
                  <c:v>3</c:v>
                </c:pt>
                <c:pt idx="4">
                  <c:v>5</c:v>
                </c:pt>
                <c:pt idx="6">
                  <c:v>5</c:v>
                </c:pt>
                <c:pt idx="7">
                  <c:v>7</c:v>
                </c:pt>
                <c:pt idx="8">
                  <c:v>12</c:v>
                </c:pt>
                <c:pt idx="9">
                  <c:v>19</c:v>
                </c:pt>
                <c:pt idx="10">
                  <c:v>14</c:v>
                </c:pt>
              </c:numCache>
            </c:numRef>
          </c:val>
          <c:extLst>
            <c:ext xmlns:c="http://schemas.openxmlformats.org/drawingml/2006/chart" xmlns:c16="http://schemas.microsoft.com/office/drawing/2014/chart" uri="{C3380CC4-5D6E-409C-BE32-E72D297353CC}">
              <c16:uniqueId val="{00000008-3F0C-4264-B49B-F4774AF4DD47}"/>
            </c:ext>
          </c:extLst>
        </c:ser>
        <c:dLbls>
          <c:showLegendKey val="0"/>
          <c:showVal val="1"/>
          <c:showCatName val="0"/>
          <c:showSerName val="0"/>
          <c:showPercent val="0"/>
          <c:showBubbleSize val="0"/>
        </c:dLbls>
        <c:gapWidth val="79"/>
        <c:overlap val="100"/>
        <c:axId val="511289336"/>
        <c:axId val="511289728"/>
      </c:barChart>
      <c:catAx>
        <c:axId val="511289336"/>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Skupina EEZ</a:t>
                </a:r>
              </a:p>
            </c:rich>
          </c:tx>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511289728"/>
        <c:crosses val="autoZero"/>
        <c:auto val="1"/>
        <c:lblAlgn val="ctr"/>
        <c:lblOffset val="100"/>
        <c:noMultiLvlLbl val="0"/>
      </c:catAx>
      <c:valAx>
        <c:axId val="511289728"/>
        <c:scaling>
          <c:orientation val="minMax"/>
        </c:scaling>
        <c:delete val="0"/>
        <c:axPos val="l"/>
        <c:numFmt formatCode="0%" sourceLinked="1"/>
        <c:majorTickMark val="out"/>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1289336"/>
        <c:crosses val="autoZero"/>
        <c:crossBetween val="between"/>
      </c:valAx>
      <c:spPr>
        <a:noFill/>
        <a:ln>
          <a:noFill/>
        </a:ln>
        <a:effectLst/>
      </c:spPr>
    </c:plotArea>
    <c:legend>
      <c:legendPos val="t"/>
      <c:layout>
        <c:manualLayout>
          <c:xMode val="edge"/>
          <c:yMode val="edge"/>
          <c:x val="0.75429381641980153"/>
          <c:y val="0.11914143119816874"/>
          <c:w val="0.24199511774314933"/>
          <c:h val="0.65571713318897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'Nákl. efektivita'!$C$21</c:f>
              <c:strCache>
                <c:ptCount val="1"/>
                <c:pt idx="0">
                  <c:v>KS ASEKOL a.s.</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'Nákl. efektivita'!$I$20:$K$20</c:f>
              <c:numCache>
                <c:formatCode>0</c:formatCode>
                <c:ptCount val="3"/>
                <c:pt idx="0">
                  <c:v>2011</c:v>
                </c:pt>
                <c:pt idx="1">
                  <c:v>2012</c:v>
                </c:pt>
                <c:pt idx="2">
                  <c:v>2013</c:v>
                </c:pt>
              </c:numCache>
            </c:numRef>
          </c:cat>
          <c:val>
            <c:numRef>
              <c:f>'Nákl. efektivita'!$I$21:$K$21</c:f>
              <c:numCache>
                <c:formatCode>0.00</c:formatCode>
                <c:ptCount val="3"/>
                <c:pt idx="0">
                  <c:v>9.3716939457439</c:v>
                </c:pt>
                <c:pt idx="1">
                  <c:v>8.0082851975027687</c:v>
                </c:pt>
                <c:pt idx="2">
                  <c:v>9.7336946126872874</c:v>
                </c:pt>
              </c:numCache>
            </c:numRef>
          </c:val>
          <c:extLst>
            <c:ext xmlns:c="http://schemas.openxmlformats.org/drawingml/2006/chart" xmlns:c16="http://schemas.microsoft.com/office/drawing/2014/chart" uri="{C3380CC4-5D6E-409C-BE32-E72D297353CC}">
              <c16:uniqueId val="{00000000-CC58-4E86-A2DB-39170AF80B6B}"/>
            </c:ext>
          </c:extLst>
        </c:ser>
        <c:ser>
          <c:idx val="2"/>
          <c:order val="1"/>
          <c:tx>
            <c:strRef>
              <c:f>'Nákl. efektivita'!$C$23</c:f>
              <c:strCache>
                <c:ptCount val="1"/>
                <c:pt idx="0">
                  <c:v>KS ELEKTROWIN a.s.</c:v>
                </c:pt>
              </c:strCache>
            </c:strRef>
          </c:tx>
          <c:spPr>
            <a:pattFill prst="dashVert">
              <a:fgClr>
                <a:schemeClr val="bg1"/>
              </a:fgClr>
              <a:bgClr>
                <a:schemeClr val="tx1"/>
              </a:bgClr>
            </a:pattFill>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'Nákl. efektivita'!$I$20:$K$20</c:f>
              <c:numCache>
                <c:formatCode>0</c:formatCode>
                <c:ptCount val="3"/>
                <c:pt idx="0">
                  <c:v>2011</c:v>
                </c:pt>
                <c:pt idx="1">
                  <c:v>2012</c:v>
                </c:pt>
                <c:pt idx="2">
                  <c:v>2013</c:v>
                </c:pt>
              </c:numCache>
            </c:numRef>
          </c:cat>
          <c:val>
            <c:numRef>
              <c:f>'Nákl. efektivita'!$I$23:$K$23</c:f>
              <c:numCache>
                <c:formatCode>0.00</c:formatCode>
                <c:ptCount val="3"/>
                <c:pt idx="0">
                  <c:v>5.9149615384615375</c:v>
                </c:pt>
                <c:pt idx="1">
                  <c:v>5.9516400000000029</c:v>
                </c:pt>
                <c:pt idx="2">
                  <c:v>6.4845467286272775</c:v>
                </c:pt>
              </c:numCache>
            </c:numRef>
          </c:val>
          <c:extLst>
            <c:ext xmlns:c="http://schemas.openxmlformats.org/drawingml/2006/chart" xmlns:c16="http://schemas.microsoft.com/office/drawing/2014/chart" uri="{C3380CC4-5D6E-409C-BE32-E72D297353CC}">
              <c16:uniqueId val="{00000001-CC58-4E86-A2DB-39170AF80B6B}"/>
            </c:ext>
          </c:extLst>
        </c:ser>
        <c:ser>
          <c:idx val="3"/>
          <c:order val="2"/>
          <c:tx>
            <c:strRef>
              <c:f>'Nákl. efektivita'!$C$24</c:f>
              <c:strCache>
                <c:ptCount val="1"/>
                <c:pt idx="0">
                  <c:v>KS REMA Systém, a.s.</c:v>
                </c:pt>
              </c:strCache>
            </c:strRef>
          </c:tx>
          <c:spPr>
            <a:pattFill prst="ltUpDiag">
              <a:fgClr>
                <a:schemeClr val="bg1">
                  <a:lumMod val="50000"/>
                </a:schemeClr>
              </a:fgClr>
              <a:bgClr>
                <a:schemeClr val="bg1"/>
              </a:bgClr>
            </a:pattFill>
            <a:ln>
              <a:solidFill>
                <a:schemeClr val="accent1"/>
              </a:solidFill>
            </a:ln>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'Nákl. efektivita'!$I$20:$K$20</c:f>
              <c:numCache>
                <c:formatCode>0</c:formatCode>
                <c:ptCount val="3"/>
                <c:pt idx="0">
                  <c:v>2011</c:v>
                </c:pt>
                <c:pt idx="1">
                  <c:v>2012</c:v>
                </c:pt>
                <c:pt idx="2">
                  <c:v>2013</c:v>
                </c:pt>
              </c:numCache>
            </c:numRef>
          </c:cat>
          <c:val>
            <c:numRef>
              <c:f>'Nákl. efektivita'!$I$24:$K$24</c:f>
              <c:numCache>
                <c:formatCode>0.00</c:formatCode>
                <c:ptCount val="3"/>
                <c:pt idx="0">
                  <c:v>8.8942586506862558</c:v>
                </c:pt>
                <c:pt idx="1">
                  <c:v>9.8069924350848527</c:v>
                </c:pt>
                <c:pt idx="2">
                  <c:v>13.538130528328956</c:v>
                </c:pt>
              </c:numCache>
            </c:numRef>
          </c:val>
          <c:extLst>
            <c:ext xmlns:c="http://schemas.openxmlformats.org/drawingml/2006/chart" xmlns:c16="http://schemas.microsoft.com/office/drawing/2014/chart" uri="{C3380CC4-5D6E-409C-BE32-E72D297353CC}">
              <c16:uniqueId val="{00000002-CC58-4E86-A2DB-39170AF80B6B}"/>
            </c:ext>
          </c:extLst>
        </c:ser>
        <c:ser>
          <c:idx val="4"/>
          <c:order val="3"/>
          <c:tx>
            <c:strRef>
              <c:f>'Nákl. efektivita'!$C$25</c:f>
              <c:strCache>
                <c:ptCount val="1"/>
                <c:pt idx="0">
                  <c:v>KS RETELA, s.r.o.</c:v>
                </c:pt>
              </c:strCache>
            </c:strRef>
          </c:tx>
          <c:spPr>
            <a:pattFill prst="pct80">
              <a:fgClr>
                <a:schemeClr val="bg1">
                  <a:lumMod val="50000"/>
                </a:schemeClr>
              </a:fgClr>
              <a:bgClr>
                <a:schemeClr val="bg1"/>
              </a:bgClr>
            </a:pattFill>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'Nákl. efektivita'!$I$20:$K$20</c:f>
              <c:numCache>
                <c:formatCode>0</c:formatCode>
                <c:ptCount val="3"/>
                <c:pt idx="0">
                  <c:v>2011</c:v>
                </c:pt>
                <c:pt idx="1">
                  <c:v>2012</c:v>
                </c:pt>
                <c:pt idx="2">
                  <c:v>2013</c:v>
                </c:pt>
              </c:numCache>
            </c:numRef>
          </c:cat>
          <c:val>
            <c:numRef>
              <c:f>'Nákl. efektivita'!$I$25:$K$25</c:f>
              <c:numCache>
                <c:formatCode>0.00</c:formatCode>
                <c:ptCount val="3"/>
                <c:pt idx="0">
                  <c:v>4.49111023310944</c:v>
                </c:pt>
                <c:pt idx="1">
                  <c:v>4.1443108233117458</c:v>
                </c:pt>
                <c:pt idx="2">
                  <c:v>3.5484870579657324</c:v>
                </c:pt>
              </c:numCache>
            </c:numRef>
          </c:val>
          <c:extLst>
            <c:ext xmlns:c="http://schemas.openxmlformats.org/drawingml/2006/chart" xmlns:c16="http://schemas.microsoft.com/office/drawing/2014/chart" uri="{C3380CC4-5D6E-409C-BE32-E72D297353CC}">
              <c16:uniqueId val="{00000003-CC58-4E86-A2DB-39170AF80B6B}"/>
            </c:ext>
          </c:extLst>
        </c:ser>
        <c:ser>
          <c:idx val="1"/>
          <c:order val="4"/>
          <c:tx>
            <c:v>KS EKOLAMP s.r.o.</c:v>
          </c:tx>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'Nákl. efektivita'!$I$22:$K$22</c:f>
              <c:numCache>
                <c:formatCode>0.00</c:formatCode>
                <c:ptCount val="3"/>
                <c:pt idx="0">
                  <c:v>48.55422794117645</c:v>
                </c:pt>
                <c:pt idx="1">
                  <c:v>46.441932168550892</c:v>
                </c:pt>
                <c:pt idx="2">
                  <c:v>35.939180537772074</c:v>
                </c:pt>
              </c:numCache>
            </c:numRef>
          </c:val>
          <c:extLst>
            <c:ext xmlns:c="http://schemas.openxmlformats.org/drawingml/2006/chart" xmlns:c16="http://schemas.microsoft.com/office/drawing/2014/chart" uri="{C3380CC4-5D6E-409C-BE32-E72D297353CC}">
              <c16:uniqueId val="{00000004-CC58-4E86-A2DB-39170AF80B6B}"/>
            </c:ext>
          </c:extLst>
        </c:ser>
        <c:dLbls>
          <c:showLegendKey val="0"/>
          <c:showVal val="0"/>
          <c:showCatName val="0"/>
          <c:showSerName val="0"/>
          <c:showPercent val="0"/>
          <c:showBubbleSize val="0"/>
        </c:dLbls>
        <c:gapWidth val="150"/>
        <c:axId val="494601968"/>
        <c:axId val="508137344"/>
      </c:barChart>
      <c:catAx>
        <c:axId val="494601968"/>
        <c:scaling>
          <c:orientation val="minMax"/>
        </c:scaling>
        <c:delete val="0"/>
        <c:axPos val="b"/>
        <c:numFmt formatCode="0" sourceLinked="1"/>
        <c:majorTickMark val="out"/>
        <c:minorTickMark val="none"/>
        <c:tickLblPos val="nextTo"/>
        <c:txPr>
          <a:bodyPr/>
          <a:lstStyle/>
          <a:p>
            <a:pPr>
              <a:defRPr sz="900"/>
            </a:pPr>
            <a:endParaRPr lang="cs-CZ"/>
          </a:p>
        </c:txPr>
        <c:crossAx val="508137344"/>
        <c:crosses val="autoZero"/>
        <c:auto val="1"/>
        <c:lblAlgn val="ctr"/>
        <c:lblOffset val="100"/>
        <c:noMultiLvlLbl val="0"/>
      </c:catAx>
      <c:valAx>
        <c:axId val="508137344"/>
        <c:scaling>
          <c:orientation val="minMax"/>
        </c:scaling>
        <c:delete val="0"/>
        <c:axPos val="l"/>
        <c:numFmt formatCode="0.00" sourceLinked="1"/>
        <c:majorTickMark val="out"/>
        <c:minorTickMark val="none"/>
        <c:tickLblPos val="nextTo"/>
        <c:txPr>
          <a:bodyPr/>
          <a:lstStyle/>
          <a:p>
            <a:pPr>
              <a:defRPr sz="900"/>
            </a:pPr>
            <a:endParaRPr lang="cs-CZ"/>
          </a:p>
        </c:txPr>
        <c:crossAx val="494601968"/>
        <c:crosses val="autoZero"/>
        <c:crossBetween val="between"/>
      </c:valAx>
      <c:spPr>
        <a:noFill/>
        <a:ln w="25400">
          <a:noFill/>
        </a:ln>
      </c:spPr>
    </c:plotArea>
    <c:legend>
      <c:legendPos val="b"/>
      <c:layout>
        <c:manualLayout>
          <c:xMode val="edge"/>
          <c:yMode val="edge"/>
          <c:x val="0.010137428958921816"/>
          <c:y val="0.84565283344585684"/>
          <c:w val="0.9896388491169692"/>
          <c:h val="0.13399686359635268"/>
        </c:manualLayout>
      </c:layout>
      <c:overlay val="0"/>
      <c:txPr>
        <a:bodyPr/>
        <a:lstStyle/>
        <a:p>
          <a:pPr>
            <a:defRPr sz="900"/>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Režije!$C$19</c:f>
              <c:strCache>
                <c:ptCount val="1"/>
                <c:pt idx="0">
                  <c:v>KS ASEKOL a.s.</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Režije!$I$18:$K$18</c:f>
              <c:numCache>
                <c:formatCode>0</c:formatCode>
                <c:ptCount val="3"/>
                <c:pt idx="0">
                  <c:v>2011</c:v>
                </c:pt>
                <c:pt idx="1">
                  <c:v>2012</c:v>
                </c:pt>
                <c:pt idx="2">
                  <c:v>2013</c:v>
                </c:pt>
              </c:numCache>
            </c:numRef>
          </c:cat>
          <c:val>
            <c:numRef>
              <c:f>Režije!$I$19:$K$19</c:f>
              <c:numCache>
                <c:formatCode>0.00</c:formatCode>
                <c:ptCount val="3"/>
                <c:pt idx="0">
                  <c:v>1.2434728436314211</c:v>
                </c:pt>
                <c:pt idx="1">
                  <c:v>1.4516016103623302</c:v>
                </c:pt>
                <c:pt idx="2">
                  <c:v>0.95658272234619068</c:v>
                </c:pt>
              </c:numCache>
            </c:numRef>
          </c:val>
          <c:extLst>
            <c:ext xmlns:c="http://schemas.openxmlformats.org/drawingml/2006/chart" xmlns:c16="http://schemas.microsoft.com/office/drawing/2014/chart" uri="{C3380CC4-5D6E-409C-BE32-E72D297353CC}">
              <c16:uniqueId val="{00000000-0C28-4DDC-B10C-86036D492756}"/>
            </c:ext>
          </c:extLst>
        </c:ser>
        <c:ser>
          <c:idx val="2"/>
          <c:order val="1"/>
          <c:tx>
            <c:strRef>
              <c:f>Režije!$C$20</c:f>
              <c:strCache>
                <c:ptCount val="1"/>
                <c:pt idx="0">
                  <c:v>KS ELEKTROWIN a.s.</c:v>
                </c:pt>
              </c:strCache>
            </c:strRef>
          </c:tx>
          <c:spPr>
            <a:pattFill prst="dashVert">
              <a:fgClr>
                <a:schemeClr val="bg1"/>
              </a:fgClr>
              <a:bgClr>
                <a:schemeClr val="tx1"/>
              </a:bgClr>
            </a:pattFill>
          </c:spPr>
          <c:invertIfNegative val="0"/>
          <c:dLbls>
            <c:spPr>
              <a:noFill/>
              <a:ln>
                <a:noFill/>
              </a:ln>
              <a:effectLst/>
            </c:spPr>
            <c:txPr>
              <a:bodyPr wrap="square" lIns="38100" tIns="19050" rIns="38100" bIns="19050" anchor="ctr">
                <a:spAutoFit/>
              </a:bodyPr>
              <a:lstStyle/>
              <a:p>
                <a:pPr>
                  <a:defRPr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Režije!$I$18:$K$18</c:f>
              <c:numCache>
                <c:formatCode>0</c:formatCode>
                <c:ptCount val="3"/>
                <c:pt idx="0">
                  <c:v>2011</c:v>
                </c:pt>
                <c:pt idx="1">
                  <c:v>2012</c:v>
                </c:pt>
                <c:pt idx="2">
                  <c:v>2013</c:v>
                </c:pt>
              </c:numCache>
            </c:numRef>
          </c:cat>
          <c:val>
            <c:numRef>
              <c:f>Režije!$I$20:$K$20</c:f>
              <c:numCache>
                <c:formatCode>0.00</c:formatCode>
                <c:ptCount val="3"/>
                <c:pt idx="0">
                  <c:v>0.62419230769230771</c:v>
                </c:pt>
                <c:pt idx="1">
                  <c:v>0.69880000000000031</c:v>
                </c:pt>
                <c:pt idx="2">
                  <c:v>0.64752526370140884</c:v>
                </c:pt>
              </c:numCache>
            </c:numRef>
          </c:val>
          <c:extLst>
            <c:ext xmlns:c="http://schemas.openxmlformats.org/drawingml/2006/chart" xmlns:c16="http://schemas.microsoft.com/office/drawing/2014/chart" uri="{C3380CC4-5D6E-409C-BE32-E72D297353CC}">
              <c16:uniqueId val="{00000001-0C28-4DDC-B10C-86036D492756}"/>
            </c:ext>
          </c:extLst>
        </c:ser>
        <c:ser>
          <c:idx val="3"/>
          <c:order val="2"/>
          <c:tx>
            <c:strRef>
              <c:f>Režije!$C$21</c:f>
              <c:strCache>
                <c:ptCount val="1"/>
                <c:pt idx="0">
                  <c:v>KS REMA Systém, a.s.</c:v>
                </c:pt>
              </c:strCache>
            </c:strRef>
          </c:tx>
          <c:spPr>
            <a:pattFill prst="ltUpDiag">
              <a:fgClr>
                <a:schemeClr val="bg1">
                  <a:lumMod val="50000"/>
                </a:schemeClr>
              </a:fgClr>
              <a:bgClr>
                <a:schemeClr val="bg1"/>
              </a:bgClr>
            </a:pattFill>
            <a:ln>
              <a:solidFill>
                <a:schemeClr val="accent1"/>
              </a:solidFill>
            </a:ln>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Režije!$I$18:$K$18</c:f>
              <c:numCache>
                <c:formatCode>0</c:formatCode>
                <c:ptCount val="3"/>
                <c:pt idx="0">
                  <c:v>2011</c:v>
                </c:pt>
                <c:pt idx="1">
                  <c:v>2012</c:v>
                </c:pt>
                <c:pt idx="2">
                  <c:v>2013</c:v>
                </c:pt>
              </c:numCache>
            </c:numRef>
          </c:cat>
          <c:val>
            <c:numRef>
              <c:f>Režije!$I$21:$K$21</c:f>
              <c:numCache>
                <c:formatCode>0.00</c:formatCode>
                <c:ptCount val="3"/>
                <c:pt idx="0">
                  <c:v>1.8467040402087764</c:v>
                </c:pt>
                <c:pt idx="1">
                  <c:v>1.777755060314864</c:v>
                </c:pt>
                <c:pt idx="2">
                  <c:v>2.0420750657422904</c:v>
                </c:pt>
              </c:numCache>
            </c:numRef>
          </c:val>
          <c:extLst>
            <c:ext xmlns:c="http://schemas.openxmlformats.org/drawingml/2006/chart" xmlns:c16="http://schemas.microsoft.com/office/drawing/2014/chart" uri="{C3380CC4-5D6E-409C-BE32-E72D297353CC}">
              <c16:uniqueId val="{00000002-0C28-4DDC-B10C-86036D492756}"/>
            </c:ext>
          </c:extLst>
        </c:ser>
        <c:ser>
          <c:idx val="4"/>
          <c:order val="3"/>
          <c:tx>
            <c:strRef>
              <c:f>Režije!$C$22</c:f>
              <c:strCache>
                <c:ptCount val="1"/>
                <c:pt idx="0">
                  <c:v>KS RETELA, s.r.o.</c:v>
                </c:pt>
              </c:strCache>
            </c:strRef>
          </c:tx>
          <c:spPr>
            <a:pattFill prst="pct80">
              <a:fgClr>
                <a:schemeClr val="bg1">
                  <a:lumMod val="50000"/>
                </a:schemeClr>
              </a:fgClr>
              <a:bgClr>
                <a:schemeClr val="bg1"/>
              </a:bgClr>
            </a:pattFill>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Režije!$I$18:$K$18</c:f>
              <c:numCache>
                <c:formatCode>0</c:formatCode>
                <c:ptCount val="3"/>
                <c:pt idx="0">
                  <c:v>2011</c:v>
                </c:pt>
                <c:pt idx="1">
                  <c:v>2012</c:v>
                </c:pt>
                <c:pt idx="2">
                  <c:v>2013</c:v>
                </c:pt>
              </c:numCache>
            </c:numRef>
          </c:cat>
          <c:val>
            <c:numRef>
              <c:f>Režije!$I$22:$K$22</c:f>
              <c:numCache>
                <c:formatCode>0.00</c:formatCode>
                <c:ptCount val="3"/>
                <c:pt idx="0">
                  <c:v>0.75049387593836425</c:v>
                </c:pt>
                <c:pt idx="1">
                  <c:v>0.76207215541165552</c:v>
                </c:pt>
                <c:pt idx="2">
                  <c:v>0.998906306963179</c:v>
                </c:pt>
              </c:numCache>
            </c:numRef>
          </c:val>
          <c:extLst>
            <c:ext xmlns:c="http://schemas.openxmlformats.org/drawingml/2006/chart" xmlns:c16="http://schemas.microsoft.com/office/drawing/2014/chart" uri="{C3380CC4-5D6E-409C-BE32-E72D297353CC}">
              <c16:uniqueId val="{00000003-0C28-4DDC-B10C-86036D492756}"/>
            </c:ext>
          </c:extLst>
        </c:ser>
        <c:dLbls>
          <c:showLegendKey val="0"/>
          <c:showVal val="0"/>
          <c:showCatName val="0"/>
          <c:showSerName val="0"/>
          <c:showPercent val="0"/>
          <c:showBubbleSize val="0"/>
        </c:dLbls>
        <c:gapWidth val="150"/>
        <c:axId val="508138128"/>
        <c:axId val="508138520"/>
      </c:barChart>
      <c:catAx>
        <c:axId val="508138128"/>
        <c:scaling>
          <c:orientation val="minMax"/>
        </c:scaling>
        <c:delete val="0"/>
        <c:axPos val="b"/>
        <c:numFmt formatCode="0" sourceLinked="1"/>
        <c:majorTickMark val="out"/>
        <c:minorTickMark val="none"/>
        <c:tickLblPos val="nextTo"/>
        <c:txPr>
          <a:bodyPr/>
          <a:lstStyle/>
          <a:p>
            <a:pPr>
              <a:defRPr sz="900"/>
            </a:pPr>
            <a:endParaRPr lang="cs-CZ"/>
          </a:p>
        </c:txPr>
        <c:crossAx val="508138520"/>
        <c:crosses val="autoZero"/>
        <c:auto val="1"/>
        <c:lblAlgn val="ctr"/>
        <c:lblOffset val="100"/>
        <c:noMultiLvlLbl val="0"/>
      </c:catAx>
      <c:valAx>
        <c:axId val="508138520"/>
        <c:scaling>
          <c:orientation val="minMax"/>
        </c:scaling>
        <c:delete val="0"/>
        <c:axPos val="l"/>
        <c:numFmt formatCode="0.00" sourceLinked="1"/>
        <c:majorTickMark val="out"/>
        <c:minorTickMark val="none"/>
        <c:tickLblPos val="nextTo"/>
        <c:txPr>
          <a:bodyPr/>
          <a:lstStyle/>
          <a:p>
            <a:pPr>
              <a:defRPr sz="900"/>
            </a:pPr>
            <a:endParaRPr lang="cs-CZ"/>
          </a:p>
        </c:txPr>
        <c:crossAx val="508138128"/>
        <c:crosses val="autoZero"/>
        <c:crossBetween val="between"/>
      </c:valAx>
      <c:spPr>
        <a:noFill/>
        <a:ln>
          <a:noFill/>
        </a:ln>
      </c:spPr>
    </c:plotArea>
    <c:legend>
      <c:legendPos val="b"/>
      <c:layout/>
      <c:overlay val="0"/>
      <c:txPr>
        <a:bodyPr/>
        <a:lstStyle/>
        <a:p>
          <a:pPr>
            <a:defRPr sz="900"/>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KS ASEKOL a.s.</c:v>
          </c:tx>
          <c:spPr>
            <a:solidFill>
              <a:srgbClr val="FFC000"/>
            </a:solidFill>
          </c:spPr>
          <c:invertIfNegative val="0"/>
          <c:dLbls>
            <c:dLbl>
              <c:idx val="0"/>
              <c:layout>
                <c:manualLayout>
                  <c:x val="-0.016666666666666677"/>
                  <c:y val="-4.8308620678653054E-1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9602-42E8-8CA0-2BD58536A67F}"/>
                </c:ext>
                <c:ext xmlns:c15="http://schemas.microsoft.com/office/drawing/2012/chart" uri="{CE6537A1-D6FC-4f65-9D91-7224C49458BB}"/>
              </c:extLst>
            </c:dLbl>
            <c:dLbl>
              <c:idx val="1"/>
              <c:layout>
                <c:manualLayout>
                  <c:x val="-0.016666666666666677"/>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9602-42E8-8CA0-2BD58536A67F}"/>
                </c:ext>
                <c:ext xmlns:c15="http://schemas.microsoft.com/office/drawing/2012/chart" uri="{CE6537A1-D6FC-4f65-9D91-7224C49458BB}"/>
              </c:extLst>
            </c:dLbl>
            <c:dLbl>
              <c:idx val="2"/>
              <c:layout>
                <c:manualLayout>
                  <c:x val="-0.0138888888888889"/>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9602-42E8-8CA0-2BD58536A67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podilnaklady!$N$4:$P$4</c:f>
              <c:numCache>
                <c:formatCode>0</c:formatCode>
                <c:ptCount val="3"/>
                <c:pt idx="0">
                  <c:v>2011</c:v>
                </c:pt>
                <c:pt idx="1">
                  <c:v>2012</c:v>
                </c:pt>
                <c:pt idx="2">
                  <c:v>2013</c:v>
                </c:pt>
              </c:numCache>
            </c:numRef>
          </c:cat>
          <c:val>
            <c:numRef>
              <c:f>podilnaklady!$N$5:$P$5</c:f>
              <c:numCache>
                <c:formatCode>0.00</c:formatCode>
                <c:ptCount val="3"/>
                <c:pt idx="0">
                  <c:v>0.1326838937368561</c:v>
                </c:pt>
                <c:pt idx="1">
                  <c:v>0.1812624768677053</c:v>
                </c:pt>
                <c:pt idx="2">
                  <c:v>0.0982753990554978</c:v>
                </c:pt>
              </c:numCache>
            </c:numRef>
          </c:val>
          <c:extLst>
            <c:ext xmlns:c="http://schemas.openxmlformats.org/drawingml/2006/chart" xmlns:c16="http://schemas.microsoft.com/office/drawing/2014/chart" uri="{C3380CC4-5D6E-409C-BE32-E72D297353CC}">
              <c16:uniqueId val="{00000003-9602-42E8-8CA0-2BD58536A67F}"/>
            </c:ext>
          </c:extLst>
        </c:ser>
        <c:ser>
          <c:idx val="1"/>
          <c:order val="1"/>
          <c:tx>
            <c:v>KS ELEKTROWIN a.s.</c:v>
          </c:tx>
          <c:spPr>
            <a:pattFill prst="dashVert">
              <a:fgClr>
                <a:schemeClr val="bg1"/>
              </a:fgClr>
              <a:bgClr>
                <a:schemeClr val="tx1"/>
              </a:bgClr>
            </a:pattFill>
          </c:spPr>
          <c:invertIfNegative val="0"/>
          <c:dLbls>
            <c:spPr>
              <a:noFill/>
              <a:ln>
                <a:noFill/>
              </a:ln>
              <a:effectLst/>
            </c:spPr>
            <c:txPr>
              <a:bodyPr wrap="square" lIns="38100" tIns="19050" rIns="38100" bIns="19050" anchor="ctr">
                <a:spAutoFit/>
              </a:bodyPr>
              <a:lstStyle/>
              <a:p>
                <a:pPr>
                  <a:defRPr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podilnaklady!$N$4:$P$4</c:f>
              <c:numCache>
                <c:formatCode>0</c:formatCode>
                <c:ptCount val="3"/>
                <c:pt idx="0">
                  <c:v>2011</c:v>
                </c:pt>
                <c:pt idx="1">
                  <c:v>2012</c:v>
                </c:pt>
                <c:pt idx="2">
                  <c:v>2013</c:v>
                </c:pt>
              </c:numCache>
            </c:numRef>
          </c:cat>
          <c:val>
            <c:numRef>
              <c:f>podilnaklady!$N$6:$P$6</c:f>
              <c:numCache>
                <c:formatCode>0.00</c:formatCode>
                <c:ptCount val="3"/>
                <c:pt idx="0">
                  <c:v>0.10552770354186584</c:v>
                </c:pt>
                <c:pt idx="1">
                  <c:v>0.11741301557217843</c:v>
                </c:pt>
                <c:pt idx="2">
                  <c:v>0.099856673226331225</c:v>
                </c:pt>
              </c:numCache>
            </c:numRef>
          </c:val>
          <c:extLst>
            <c:ext xmlns:c="http://schemas.openxmlformats.org/drawingml/2006/chart" xmlns:c16="http://schemas.microsoft.com/office/drawing/2014/chart" uri="{C3380CC4-5D6E-409C-BE32-E72D297353CC}">
              <c16:uniqueId val="{00000004-9602-42E8-8CA0-2BD58536A67F}"/>
            </c:ext>
          </c:extLst>
        </c:ser>
        <c:ser>
          <c:idx val="2"/>
          <c:order val="2"/>
          <c:tx>
            <c:v>KS REMA Systém, a.s.</c:v>
          </c:tx>
          <c:spPr>
            <a:pattFill prst="ltUpDiag">
              <a:fgClr>
                <a:schemeClr val="accent1"/>
              </a:fgClr>
              <a:bgClr>
                <a:schemeClr val="bg1"/>
              </a:bgClr>
            </a:pattFill>
            <a:ln>
              <a:solidFill>
                <a:schemeClr val="accent1"/>
              </a:solidFill>
            </a:ln>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podilnaklady!$N$4:$P$4</c:f>
              <c:numCache>
                <c:formatCode>0</c:formatCode>
                <c:ptCount val="3"/>
                <c:pt idx="0">
                  <c:v>2011</c:v>
                </c:pt>
                <c:pt idx="1">
                  <c:v>2012</c:v>
                </c:pt>
                <c:pt idx="2">
                  <c:v>2013</c:v>
                </c:pt>
              </c:numCache>
            </c:numRef>
          </c:cat>
          <c:val>
            <c:numRef>
              <c:f>podilnaklady!$N$7:$P$7</c:f>
              <c:numCache>
                <c:formatCode>0.00</c:formatCode>
                <c:ptCount val="3"/>
                <c:pt idx="0">
                  <c:v>0.20762877635296675</c:v>
                </c:pt>
                <c:pt idx="1">
                  <c:v>0.18127423591710803</c:v>
                </c:pt>
                <c:pt idx="2">
                  <c:v>0.15083877803284479</c:v>
                </c:pt>
              </c:numCache>
            </c:numRef>
          </c:val>
          <c:extLst>
            <c:ext xmlns:c="http://schemas.openxmlformats.org/drawingml/2006/chart" xmlns:c16="http://schemas.microsoft.com/office/drawing/2014/chart" uri="{C3380CC4-5D6E-409C-BE32-E72D297353CC}">
              <c16:uniqueId val="{00000005-9602-42E8-8CA0-2BD58536A67F}"/>
            </c:ext>
          </c:extLst>
        </c:ser>
        <c:ser>
          <c:idx val="3"/>
          <c:order val="3"/>
          <c:tx>
            <c:v>KS RETELA s.r.o.</c:v>
          </c:tx>
          <c:spPr>
            <a:pattFill prst="pct80">
              <a:fgClr>
                <a:schemeClr val="bg1">
                  <a:lumMod val="50000"/>
                </a:schemeClr>
              </a:fgClr>
              <a:bgClr>
                <a:schemeClr val="bg1"/>
              </a:bgClr>
            </a:pattFill>
          </c:spPr>
          <c:invertIfNegative val="0"/>
          <c:dLbls>
            <c:dLbl>
              <c:idx val="0"/>
              <c:layout>
                <c:manualLayout>
                  <c:x val="0.011111111111111061"/>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9602-42E8-8CA0-2BD58536A67F}"/>
                </c:ext>
                <c:ext xmlns:c15="http://schemas.microsoft.com/office/drawing/2012/chart" uri="{CE6537A1-D6FC-4f65-9D91-7224C49458BB}"/>
              </c:extLst>
            </c:dLbl>
            <c:dLbl>
              <c:idx val="1"/>
              <c:layout>
                <c:manualLayout>
                  <c:x val="0.019444444444444355"/>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9602-42E8-8CA0-2BD58536A67F}"/>
                </c:ext>
                <c:ext xmlns:c15="http://schemas.microsoft.com/office/drawing/2012/chart" uri="{CE6537A1-D6FC-4f65-9D91-7224C49458BB}"/>
              </c:extLst>
            </c:dLbl>
            <c:dLbl>
              <c:idx val="2"/>
              <c:layout>
                <c:manualLayout>
                  <c:x val="0.0138888888888889"/>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9602-42E8-8CA0-2BD58536A67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podilnaklady!$N$4:$P$4</c:f>
              <c:numCache>
                <c:formatCode>0</c:formatCode>
                <c:ptCount val="3"/>
                <c:pt idx="0">
                  <c:v>2011</c:v>
                </c:pt>
                <c:pt idx="1">
                  <c:v>2012</c:v>
                </c:pt>
                <c:pt idx="2">
                  <c:v>2013</c:v>
                </c:pt>
              </c:numCache>
            </c:numRef>
          </c:cat>
          <c:val>
            <c:numRef>
              <c:f>podilnaklady!$N$8:$P$8</c:f>
              <c:numCache>
                <c:formatCode>0.00</c:formatCode>
                <c:ptCount val="3"/>
                <c:pt idx="0">
                  <c:v>0.16710653646520629</c:v>
                </c:pt>
                <c:pt idx="1">
                  <c:v>0.18388392857142874</c:v>
                </c:pt>
                <c:pt idx="2">
                  <c:v>0.281502029074845</c:v>
                </c:pt>
              </c:numCache>
            </c:numRef>
          </c:val>
          <c:extLst>
            <c:ext xmlns:c="http://schemas.openxmlformats.org/drawingml/2006/chart" xmlns:c16="http://schemas.microsoft.com/office/drawing/2014/chart" uri="{C3380CC4-5D6E-409C-BE32-E72D297353CC}">
              <c16:uniqueId val="{00000009-9602-42E8-8CA0-2BD58536A67F}"/>
            </c:ext>
          </c:extLst>
        </c:ser>
        <c:dLbls>
          <c:showLegendKey val="0"/>
          <c:showVal val="0"/>
          <c:showCatName val="0"/>
          <c:showSerName val="0"/>
          <c:showPercent val="0"/>
          <c:showBubbleSize val="0"/>
        </c:dLbls>
        <c:gapWidth val="150"/>
        <c:axId val="469076184"/>
        <c:axId val="469076576"/>
      </c:barChart>
      <c:catAx>
        <c:axId val="469076184"/>
        <c:scaling>
          <c:orientation val="minMax"/>
        </c:scaling>
        <c:delete val="0"/>
        <c:axPos val="b"/>
        <c:numFmt formatCode="0" sourceLinked="1"/>
        <c:majorTickMark val="out"/>
        <c:minorTickMark val="none"/>
        <c:tickLblPos val="nextTo"/>
        <c:txPr>
          <a:bodyPr/>
          <a:lstStyle/>
          <a:p>
            <a:pPr>
              <a:defRPr sz="900"/>
            </a:pPr>
            <a:endParaRPr lang="cs-CZ"/>
          </a:p>
        </c:txPr>
        <c:crossAx val="469076576"/>
        <c:crosses val="autoZero"/>
        <c:auto val="1"/>
        <c:lblAlgn val="ctr"/>
        <c:lblOffset val="100"/>
        <c:noMultiLvlLbl val="0"/>
      </c:catAx>
      <c:valAx>
        <c:axId val="469076576"/>
        <c:scaling>
          <c:orientation val="minMax"/>
        </c:scaling>
        <c:delete val="0"/>
        <c:axPos val="l"/>
        <c:numFmt formatCode="0.00" sourceLinked="1"/>
        <c:majorTickMark val="out"/>
        <c:minorTickMark val="none"/>
        <c:tickLblPos val="nextTo"/>
        <c:txPr>
          <a:bodyPr/>
          <a:lstStyle/>
          <a:p>
            <a:pPr>
              <a:defRPr sz="900"/>
            </a:pPr>
            <a:endParaRPr lang="cs-CZ"/>
          </a:p>
        </c:txPr>
        <c:crossAx val="469076184"/>
        <c:crosses val="autoZero"/>
        <c:crossBetween val="between"/>
      </c:valAx>
      <c:spPr>
        <a:noFill/>
        <a:ln>
          <a:noFill/>
        </a:ln>
      </c:spPr>
    </c:plotArea>
    <c:legend>
      <c:legendPos val="b"/>
      <c:layout/>
      <c:overlay val="0"/>
      <c:txPr>
        <a:bodyPr/>
        <a:lstStyle/>
        <a:p>
          <a:pPr>
            <a:defRPr sz="900"/>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obyvnaSM!$B$5</c:f>
              <c:strCache>
                <c:ptCount val="1"/>
                <c:pt idx="0">
                  <c:v>KS ASEKOL a.s.</c:v>
                </c:pt>
              </c:strCache>
            </c:strRef>
          </c:tx>
          <c:spPr>
            <a:solidFill>
              <a:srgbClr val="FFC000"/>
            </a:solidFill>
          </c:spPr>
          <c:invertIfNegative val="0"/>
          <c:dLbls>
            <c:dLbl>
              <c:idx val="0"/>
              <c:layout>
                <c:manualLayout>
                  <c:x val="-0.016666666666666677"/>
                  <c:y val="-4.8308620678653054E-1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4BF-428F-B73F-06B572F97A13}"/>
                </c:ext>
                <c:ext xmlns:c15="http://schemas.microsoft.com/office/drawing/2012/chart" uri="{CE6537A1-D6FC-4f65-9D91-7224C49458BB}"/>
              </c:extLst>
            </c:dLbl>
            <c:dLbl>
              <c:idx val="1"/>
              <c:layout>
                <c:manualLayout>
                  <c:x val="-0.016666666666666677"/>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04BF-428F-B73F-06B572F97A13}"/>
                </c:ext>
                <c:ext xmlns:c15="http://schemas.microsoft.com/office/drawing/2012/chart" uri="{CE6537A1-D6FC-4f65-9D91-7224C49458BB}"/>
              </c:extLst>
            </c:dLbl>
            <c:dLbl>
              <c:idx val="2"/>
              <c:layout>
                <c:manualLayout>
                  <c:x val="-0.0138888888888889"/>
                  <c:y val="0"/>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04BF-428F-B73F-06B572F97A1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obyvnaSM!$H$4:$J$4</c:f>
              <c:numCache>
                <c:formatCode>General</c:formatCode>
                <c:ptCount val="3"/>
                <c:pt idx="0">
                  <c:v>2011</c:v>
                </c:pt>
                <c:pt idx="1">
                  <c:v>2012</c:v>
                </c:pt>
                <c:pt idx="2">
                  <c:v>2013</c:v>
                </c:pt>
              </c:numCache>
            </c:numRef>
          </c:cat>
          <c:val>
            <c:numRef>
              <c:f>obyvnaSM!$H$5:$J$5</c:f>
              <c:numCache>
                <c:formatCode>General</c:formatCode>
                <c:ptCount val="3"/>
                <c:pt idx="0">
                  <c:v>801</c:v>
                </c:pt>
                <c:pt idx="1">
                  <c:v>697</c:v>
                </c:pt>
                <c:pt idx="2">
                  <c:v>660</c:v>
                </c:pt>
              </c:numCache>
            </c:numRef>
          </c:val>
          <c:extLst>
            <c:ext xmlns:c="http://schemas.openxmlformats.org/drawingml/2006/chart" xmlns:c16="http://schemas.microsoft.com/office/drawing/2014/chart" uri="{C3380CC4-5D6E-409C-BE32-E72D297353CC}">
              <c16:uniqueId val="{00000003-04BF-428F-B73F-06B572F97A13}"/>
            </c:ext>
          </c:extLst>
        </c:ser>
        <c:ser>
          <c:idx val="1"/>
          <c:order val="1"/>
          <c:tx>
            <c:strRef>
              <c:f>obyvnaSM!$B$6</c:f>
              <c:strCache>
                <c:ptCount val="1"/>
                <c:pt idx="0">
                  <c:v>KS ELEKTROWIN a.s.</c:v>
                </c:pt>
              </c:strCache>
            </c:strRef>
          </c:tx>
          <c:spPr>
            <a:pattFill prst="dashVert">
              <a:fgClr>
                <a:schemeClr val="bg1"/>
              </a:fgClr>
              <a:bgClr>
                <a:schemeClr val="tx1"/>
              </a:bgClr>
            </a:pattFill>
          </c:spPr>
          <c:invertIfNegative val="0"/>
          <c:dLbls>
            <c:spPr>
              <a:noFill/>
              <a:ln>
                <a:noFill/>
              </a:ln>
              <a:effectLst/>
            </c:spPr>
            <c:txPr>
              <a:bodyPr wrap="square" lIns="38100" tIns="19050" rIns="38100" bIns="19050" anchor="ctr">
                <a:spAutoFit/>
              </a:bodyPr>
              <a:lstStyle/>
              <a:p>
                <a:pPr>
                  <a:defRPr sz="900" b="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obyvnaSM!$H$4:$J$4</c:f>
              <c:numCache>
                <c:formatCode>General</c:formatCode>
                <c:ptCount val="3"/>
                <c:pt idx="0">
                  <c:v>2011</c:v>
                </c:pt>
                <c:pt idx="1">
                  <c:v>2012</c:v>
                </c:pt>
                <c:pt idx="2">
                  <c:v>2013</c:v>
                </c:pt>
              </c:numCache>
            </c:numRef>
          </c:cat>
          <c:val>
            <c:numRef>
              <c:f>obyvnaSM!$H$6:$J$6</c:f>
              <c:numCache>
                <c:formatCode>General</c:formatCode>
                <c:ptCount val="3"/>
                <c:pt idx="0">
                  <c:v>1210</c:v>
                </c:pt>
                <c:pt idx="1">
                  <c:v>929</c:v>
                </c:pt>
                <c:pt idx="2">
                  <c:v>888</c:v>
                </c:pt>
              </c:numCache>
            </c:numRef>
          </c:val>
          <c:extLst>
            <c:ext xmlns:c="http://schemas.openxmlformats.org/drawingml/2006/chart" xmlns:c16="http://schemas.microsoft.com/office/drawing/2014/chart" uri="{C3380CC4-5D6E-409C-BE32-E72D297353CC}">
              <c16:uniqueId val="{00000004-04BF-428F-B73F-06B572F97A13}"/>
            </c:ext>
          </c:extLst>
        </c:ser>
        <c:ser>
          <c:idx val="2"/>
          <c:order val="2"/>
          <c:tx>
            <c:strRef>
              <c:f>obyvnaSM!$B$7</c:f>
              <c:strCache>
                <c:ptCount val="1"/>
                <c:pt idx="0">
                  <c:v>KS REMA Systém, a.s.</c:v>
                </c:pt>
              </c:strCache>
            </c:strRef>
          </c:tx>
          <c:spPr>
            <a:pattFill prst="ltUpDiag">
              <a:fgClr>
                <a:schemeClr val="accent1"/>
              </a:fgClr>
              <a:bgClr>
                <a:schemeClr val="bg1"/>
              </a:bgClr>
            </a:pattFill>
            <a:ln>
              <a:solidFill>
                <a:schemeClr val="accent1"/>
              </a:solidFill>
            </a:ln>
          </c:spPr>
          <c:invertIfNegative val="0"/>
          <c:dLbls>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obyvnaSM!$H$4:$J$4</c:f>
              <c:numCache>
                <c:formatCode>General</c:formatCode>
                <c:ptCount val="3"/>
                <c:pt idx="0">
                  <c:v>2011</c:v>
                </c:pt>
                <c:pt idx="1">
                  <c:v>2012</c:v>
                </c:pt>
                <c:pt idx="2">
                  <c:v>2013</c:v>
                </c:pt>
              </c:numCache>
            </c:numRef>
          </c:cat>
          <c:val>
            <c:numRef>
              <c:f>obyvnaSM!$H$7:$J$7</c:f>
              <c:numCache>
                <c:formatCode>General</c:formatCode>
                <c:ptCount val="3"/>
                <c:pt idx="0">
                  <c:v>1208</c:v>
                </c:pt>
                <c:pt idx="1">
                  <c:v>1074</c:v>
                </c:pt>
                <c:pt idx="2">
                  <c:v>937</c:v>
                </c:pt>
              </c:numCache>
            </c:numRef>
          </c:val>
          <c:extLst>
            <c:ext xmlns:c="http://schemas.openxmlformats.org/drawingml/2006/chart" xmlns:c16="http://schemas.microsoft.com/office/drawing/2014/chart" uri="{C3380CC4-5D6E-409C-BE32-E72D297353CC}">
              <c16:uniqueId val="{00000005-04BF-428F-B73F-06B572F97A13}"/>
            </c:ext>
          </c:extLst>
        </c:ser>
        <c:ser>
          <c:idx val="3"/>
          <c:order val="3"/>
          <c:tx>
            <c:strRef>
              <c:f>obyvnaSM!$B$8</c:f>
              <c:strCache>
                <c:ptCount val="1"/>
                <c:pt idx="0">
                  <c:v>KS RETELA, s.r.o.</c:v>
                </c:pt>
              </c:strCache>
            </c:strRef>
          </c:tx>
          <c:spPr>
            <a:pattFill prst="pct80">
              <a:fgClr>
                <a:schemeClr val="bg1">
                  <a:lumMod val="50000"/>
                </a:schemeClr>
              </a:fgClr>
              <a:bgClr>
                <a:schemeClr val="bg1"/>
              </a:bgClr>
            </a:pattFill>
          </c:spPr>
          <c:invertIfNegative val="0"/>
          <c:dLbls>
            <c:dLbl>
              <c:idx val="0"/>
              <c:layout>
                <c:manualLayout>
                  <c:x val="0.011111111111111061"/>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04BF-428F-B73F-06B572F97A13}"/>
                </c:ext>
                <c:ext xmlns:c15="http://schemas.microsoft.com/office/drawing/2012/chart" uri="{CE6537A1-D6FC-4f65-9D91-7224C49458BB}"/>
              </c:extLst>
            </c:dLbl>
            <c:dLbl>
              <c:idx val="1"/>
              <c:layout>
                <c:manualLayout>
                  <c:x val="0.019444444444444355"/>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04BF-428F-B73F-06B572F97A13}"/>
                </c:ext>
                <c:ext xmlns:c15="http://schemas.microsoft.com/office/drawing/2012/chart" uri="{CE6537A1-D6FC-4f65-9D91-7224C49458BB}"/>
              </c:extLst>
            </c:dLbl>
            <c:dLbl>
              <c:idx val="2"/>
              <c:layout>
                <c:manualLayout>
                  <c:x val="0.0138888888888889"/>
                  <c:y val="-0.00527009222661397"/>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04BF-428F-B73F-06B572F97A1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obyvnaSM!$H$4:$J$4</c:f>
              <c:numCache>
                <c:formatCode>General</c:formatCode>
                <c:ptCount val="3"/>
                <c:pt idx="0">
                  <c:v>2011</c:v>
                </c:pt>
                <c:pt idx="1">
                  <c:v>2012</c:v>
                </c:pt>
                <c:pt idx="2">
                  <c:v>2013</c:v>
                </c:pt>
              </c:numCache>
            </c:numRef>
          </c:cat>
          <c:val>
            <c:numRef>
              <c:f>obyvnaSM!$H$8:$J$8</c:f>
              <c:numCache>
                <c:formatCode>General</c:formatCode>
                <c:ptCount val="3"/>
                <c:pt idx="0">
                  <c:v>1281</c:v>
                </c:pt>
                <c:pt idx="1">
                  <c:v>1073</c:v>
                </c:pt>
                <c:pt idx="2">
                  <c:v>937</c:v>
                </c:pt>
              </c:numCache>
            </c:numRef>
          </c:val>
          <c:extLst>
            <c:ext xmlns:c="http://schemas.openxmlformats.org/drawingml/2006/chart" xmlns:c16="http://schemas.microsoft.com/office/drawing/2014/chart" uri="{C3380CC4-5D6E-409C-BE32-E72D297353CC}">
              <c16:uniqueId val="{00000009-04BF-428F-B73F-06B572F97A13}"/>
            </c:ext>
          </c:extLst>
        </c:ser>
        <c:dLbls>
          <c:showLegendKey val="0"/>
          <c:showVal val="0"/>
          <c:showCatName val="0"/>
          <c:showSerName val="0"/>
          <c:showPercent val="0"/>
          <c:showBubbleSize val="0"/>
        </c:dLbls>
        <c:gapWidth val="150"/>
        <c:axId val="469077360"/>
        <c:axId val="469077752"/>
      </c:barChart>
      <c:catAx>
        <c:axId val="469077360"/>
        <c:scaling>
          <c:orientation val="minMax"/>
        </c:scaling>
        <c:delete val="0"/>
        <c:axPos val="b"/>
        <c:numFmt formatCode="General" sourceLinked="1"/>
        <c:majorTickMark val="out"/>
        <c:minorTickMark val="none"/>
        <c:tickLblPos val="nextTo"/>
        <c:txPr>
          <a:bodyPr/>
          <a:lstStyle/>
          <a:p>
            <a:pPr>
              <a:defRPr sz="900"/>
            </a:pPr>
            <a:endParaRPr lang="cs-CZ"/>
          </a:p>
        </c:txPr>
        <c:crossAx val="469077752"/>
        <c:crosses val="autoZero"/>
        <c:auto val="1"/>
        <c:lblAlgn val="ctr"/>
        <c:lblOffset val="100"/>
        <c:noMultiLvlLbl val="0"/>
      </c:catAx>
      <c:valAx>
        <c:axId val="469077752"/>
        <c:scaling>
          <c:orientation val="minMax"/>
        </c:scaling>
        <c:delete val="0"/>
        <c:axPos val="l"/>
        <c:numFmt formatCode="General" sourceLinked="1"/>
        <c:majorTickMark val="out"/>
        <c:minorTickMark val="none"/>
        <c:tickLblPos val="nextTo"/>
        <c:txPr>
          <a:bodyPr/>
          <a:lstStyle/>
          <a:p>
            <a:pPr>
              <a:defRPr sz="900"/>
            </a:pPr>
            <a:endParaRPr lang="cs-CZ"/>
          </a:p>
        </c:txPr>
        <c:crossAx val="469077360"/>
        <c:crosses val="autoZero"/>
        <c:crossBetween val="between"/>
      </c:valAx>
      <c:spPr>
        <a:noFill/>
        <a:ln>
          <a:noFill/>
        </a:ln>
      </c:spPr>
    </c:plotArea>
    <c:legend>
      <c:legendPos val="b"/>
      <c:layout>
        <c:manualLayout>
          <c:xMode val="edge"/>
          <c:yMode val="edge"/>
          <c:x val="0.025490196078431372"/>
          <c:y val="0.88181287465649072"/>
          <c:w val="0.9571895424836605"/>
          <c:h val="0.087187383674689867"/>
        </c:manualLayout>
      </c:layout>
      <c:overlay val="0"/>
      <c:txPr>
        <a:bodyPr/>
        <a:lstStyle/>
        <a:p>
          <a:pPr>
            <a:defRPr sz="900"/>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9A676-2EEA-4F32-A846-08F2DE28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193</Pages>
  <Words>52187</Words>
  <Characters>307906</Characters>
  <Application>Microsoft Office Word</Application>
  <DocSecurity>0</DocSecurity>
  <Lines>2565</Lines>
  <Paragraphs>718</Paragraphs>
  <ScaleCrop>false</ScaleCrop>
  <HeadingPairs>
    <vt:vector size="2" baseType="variant">
      <vt:variant>
        <vt:lpstr>Název</vt:lpstr>
      </vt:variant>
      <vt:variant>
        <vt:i4>1</vt:i4>
      </vt:variant>
    </vt:vector>
  </HeadingPairs>
  <TitlesOfParts>
    <vt:vector size="1" baseType="lpstr">
      <vt:lpstr/>
    </vt:vector>
  </TitlesOfParts>
  <Company>MZPCR</Company>
  <LinksUpToDate>false</LinksUpToDate>
  <CharactersWithSpaces>359375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Josef Beneš</cp:lastModifiedBy>
  <cp:revision>28</cp:revision>
  <cp:lastPrinted>2019-07-25T12:16:00Z</cp:lastPrinted>
  <dcterms:created xsi:type="dcterms:W3CDTF">2019-07-24T20:55:00Z</dcterms:created>
  <dcterms:modified xsi:type="dcterms:W3CDTF">2019-07-25T17:54:00Z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MZP/2019/410/691</vt:lpwstr>
  </property>
  <property fmtid="{D5CDD505-2E9C-101B-9397-08002B2CF9AE}" pid="5" name="CJ_PostaDoruc_PisemnostOdpovedNa_Pisemnost">
    <vt:lpwstr>XXX-XXX-XXX</vt:lpwstr>
  </property>
  <property fmtid="{D5CDD505-2E9C-101B-9397-08002B2CF9AE}" pid="6" name="CJ_Spis_Pisemnost">
    <vt:lpwstr>MZP/2019/410/430</vt:lpwstr>
  </property>
  <property fmtid="{D5CDD505-2E9C-101B-9397-08002B2CF9AE}" pid="7" name="Contact_PostaOdes_All">
    <vt:lpwstr>ROZDĚLOVNÍK...</vt:lpwstr>
  </property>
  <property fmtid="{D5CDD505-2E9C-101B-9397-08002B2CF9AE}" pid="8" name="DatumNaroz">
    <vt:lpwstr/>
  </property>
  <property fmtid="{D5CDD505-2E9C-101B-9397-08002B2CF9AE}" pid="9" name="DatumPlatnosti_PisemnostTypZpristupneniInformaciZOSZ_Pisemnost">
    <vt:lpwstr>ZOSZ_DatumPlatnosti</vt:lpwstr>
  </property>
  <property fmtid="{D5CDD505-2E9C-101B-9397-08002B2CF9AE}" pid="10" name="DatumPoriz_Pisemnost">
    <vt:lpwstr>26.7.2019</vt:lpwstr>
  </property>
  <property fmtid="{D5CDD505-2E9C-101B-9397-08002B2CF9AE}" pid="11" name="DisplayName_CJCol">
    <vt:lpwstr>MZP/2019/410/691</vt:lpwstr>
  </property>
  <property fmtid="{D5CDD505-2E9C-101B-9397-08002B2CF9AE}" pid="12" name="DisplayName_SlozkaStupenUtajeniCollection_Slozka_Pisemnost">
    <vt:lpwstr/>
  </property>
  <property fmtid="{D5CDD505-2E9C-101B-9397-08002B2CF9AE}" pid="13" name="DisplayName_SpisovyUzel_PoziceZodpo_Pisemnost">
    <vt:lpwstr>Odbor legislativní</vt:lpwstr>
  </property>
  <property fmtid="{D5CDD505-2E9C-101B-9397-08002B2CF9AE}" pid="14" name="DisplayName_UserPoriz_Pisemnost">
    <vt:lpwstr>Mgr. Bc. Josef Beneš</vt:lpwstr>
  </property>
  <property fmtid="{D5CDD505-2E9C-101B-9397-08002B2CF9AE}" pid="15" name="DuvodZmeny_SlozkaStupenUtajeniCollection_Slozka_Pisemnost">
    <vt:lpwstr/>
  </property>
  <property fmtid="{D5CDD505-2E9C-101B-9397-08002B2CF9AE}" pid="16" name="EC_Pisemnost">
    <vt:lpwstr>ENV/2019/82661</vt:lpwstr>
  </property>
  <property fmtid="{D5CDD505-2E9C-101B-9397-08002B2CF9AE}" pid="17" name="Key_BarCode_Pisemnost">
    <vt:lpwstr>*B000406355*</vt:lpwstr>
  </property>
  <property fmtid="{D5CDD505-2E9C-101B-9397-08002B2CF9AE}" pid="18" name="KRukam">
    <vt:lpwstr>{KRukam}</vt:lpwstr>
  </property>
  <property fmtid="{D5CDD505-2E9C-101B-9397-08002B2CF9AE}" pid="19" name="NameAddress_Contact_SpisovyUzel_PoziceZodpo_Pisemnost">
    <vt:lpwstr>ADRESÁT SU...</vt:lpwstr>
  </property>
  <property fmtid="{D5CDD505-2E9C-101B-9397-08002B2CF9AE}" pid="20" name="NamePostalAddress_Contact_PostaOdes">
    <vt:lpwstr>{NameAddress_Contact_PostaOdes}
{PostalAddress_Contact_PostaOdes}</vt:lpwstr>
  </property>
  <property fmtid="{D5CDD505-2E9C-101B-9397-08002B2CF9AE}" pid="21" name="Odkaz">
    <vt:lpwstr>ODKAZ</vt:lpwstr>
  </property>
  <property fmtid="{D5CDD505-2E9C-101B-9397-08002B2CF9AE}" pid="22" name="Password_PisemnostTypZpristupneniInformaciZOSZ_Pisemnost">
    <vt:lpwstr>ZOSZ_Password</vt:lpwstr>
  </property>
  <property fmtid="{D5CDD505-2E9C-101B-9397-08002B2CF9AE}" pid="23" name="PocetListuDokumentu_Pisemnost">
    <vt:lpwstr>1</vt:lpwstr>
  </property>
  <property fmtid="{D5CDD505-2E9C-101B-9397-08002B2CF9AE}" pid="24" name="PocetListu_Pisemnost">
    <vt:lpwstr>1</vt:lpwstr>
  </property>
  <property fmtid="{D5CDD505-2E9C-101B-9397-08002B2CF9AE}" pid="25" name="PocetPriloh_Pisemnost">
    <vt:lpwstr>0</vt:lpwstr>
  </property>
  <property fmtid="{D5CDD505-2E9C-101B-9397-08002B2CF9AE}" pid="26" name="Podpis">
    <vt:lpwstr/>
  </property>
  <property fmtid="{D5CDD505-2E9C-101B-9397-08002B2CF9AE}" pid="27" name="PostalAddress_Contact_SpisovyUzel_PoziceZodpo_Pisemnost">
    <vt:lpwstr>ADRESA SU...</vt:lpwstr>
  </property>
  <property fmtid="{D5CDD505-2E9C-101B-9397-08002B2CF9AE}" pid="28" name="RC">
    <vt:lpwstr/>
  </property>
  <property fmtid="{D5CDD505-2E9C-101B-9397-08002B2CF9AE}" pid="29" name="SkartacniZnakLhuta_PisemnostZnak">
    <vt:lpwstr>A/10</vt:lpwstr>
  </property>
  <property fmtid="{D5CDD505-2E9C-101B-9397-08002B2CF9AE}" pid="30" name="SmlouvaCislo">
    <vt:lpwstr>ČÍSLO SMLOUVY</vt:lpwstr>
  </property>
  <property fmtid="{D5CDD505-2E9C-101B-9397-08002B2CF9AE}" pid="31" name="SZ_Spis_Pisemnost">
    <vt:lpwstr>ZN/MZP/2018/410/95</vt:lpwstr>
  </property>
  <property fmtid="{D5CDD505-2E9C-101B-9397-08002B2CF9AE}" pid="32" name="TEST">
    <vt:lpwstr>testovací pole</vt:lpwstr>
  </property>
  <property fmtid="{D5CDD505-2E9C-101B-9397-08002B2CF9AE}" pid="33" name="TypPrilohy_Pisemnost">
    <vt:lpwstr>TYP PŘÍLOHY</vt:lpwstr>
  </property>
  <property fmtid="{D5CDD505-2E9C-101B-9397-08002B2CF9AE}" pid="34" name="UserName_PisemnostTypZpristupneniInformaciZOSZ_Pisemnost">
    <vt:lpwstr>ZOSZ_UserName</vt:lpwstr>
  </property>
  <property fmtid="{D5CDD505-2E9C-101B-9397-08002B2CF9AE}" pid="35" name="Vec_Pisemnost">
    <vt:lpwstr>Návrh zákona o vybraných výrobcích s ukončenou životností - Vláda</vt:lpwstr>
  </property>
  <property fmtid="{D5CDD505-2E9C-101B-9397-08002B2CF9AE}" pid="36" name="Zkratka_SpisovyUzel_PoziceZodpo_Pisemnost">
    <vt:lpwstr>410</vt:lpwstr>
  </property>
</Properties>
</file>