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FI-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25 päivänä lokakuuta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Ranskan tasavallan virallinen lehti nro 0249, 25.10.2019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Teksti nro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Asetus nro 2019-1082, annettu 23 päivänä lokakuuta 2019, henkilökohtaisten liikkumisvälineiden sääntelystä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 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Asianosaiset</w:t>
      </w:r>
      <w:r>
        <w:rPr>
          <w:sz w:val="24"/>
          <w:szCs w:val="24"/>
          <w:rFonts w:ascii="Arial" w:hAnsi="Arial"/>
        </w:rPr>
        <w:t xml:space="preserve">: tienkäyttäjät, paikallisyhteisöt, lainvalvontaviranomaiset.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Aihe:</w:t>
      </w:r>
      <w:r>
        <w:rPr>
          <w:sz w:val="24"/>
          <w:szCs w:val="24"/>
          <w:rFonts w:ascii="Arial" w:hAnsi="Arial"/>
        </w:rPr>
        <w:t xml:space="preserve"> henkilökohtaisten liikkumisvälineiden teknisten ominaisuuksien ja ajoedellytysten määrittäminen.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Voimaantulo</w:t>
      </w:r>
      <w:r>
        <w:rPr>
          <w:sz w:val="24"/>
          <w:szCs w:val="24"/>
          <w:rFonts w:ascii="Arial" w:hAnsi="Arial"/>
        </w:rPr>
        <w:t xml:space="preserve">: säädös tulee voimaan sen julkaisua seuraavana päivänä, lukuun ottamatta 4, 5, 7, 8 ja 11 §:ää, jotka tulevat voimaan 1 päivänä heinäkuuta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Huomautus: Säädöksessä määritellään henkilökohtaiset liikkumisvälineet uusiksi ajoneuvoluokiksi tieliikennelaissa.</w:t>
      </w:r>
      <w:r>
        <w:rPr>
          <w:sz w:val="24"/>
          <w:szCs w:val="24"/>
          <w:rFonts w:ascii="Arial" w:hAnsi="Arial"/>
        </w:rPr>
        <w:t xml:space="preserve"> </w:t>
      </w:r>
      <w:r>
        <w:rPr>
          <w:sz w:val="24"/>
          <w:szCs w:val="24"/>
          <w:rFonts w:ascii="Arial" w:hAnsi="Arial"/>
        </w:rPr>
        <w:t xml:space="preserve">Siinä määritetään niiden tekniset ominaisuudet ja käyttö yleisillä teillä.</w:t>
      </w:r>
      <w:r>
        <w:rPr>
          <w:sz w:val="24"/>
          <w:szCs w:val="24"/>
          <w:rFonts w:ascii="Arial" w:hAnsi="Arial"/>
        </w:rPr>
        <w:t xml:space="preserve"> </w:t>
      </w:r>
      <w:r>
        <w:rPr>
          <w:sz w:val="24"/>
          <w:szCs w:val="24"/>
          <w:rFonts w:ascii="Arial" w:hAnsi="Arial"/>
        </w:rPr>
        <w:t xml:space="preserve">Siinä säädetään erityisesti varusteista, joita kyseisten ajoneuvojen kuljettajien on käytettävä, sekä liikennealueista, joissa kyseisten kuljettajien on ajettava ja joissa he voivat ajaa taajamassa ja taajaman ulkopuolella.</w:t>
      </w:r>
      <w:r>
        <w:rPr>
          <w:sz w:val="24"/>
          <w:szCs w:val="24"/>
          <w:rFonts w:ascii="Arial" w:hAnsi="Arial"/>
        </w:rPr>
        <w:t xml:space="preserve"> </w:t>
      </w:r>
      <w:r>
        <w:rPr>
          <w:sz w:val="24"/>
          <w:szCs w:val="24"/>
          <w:rFonts w:ascii="Arial" w:hAnsi="Arial"/>
        </w:rPr>
        <w:t xml:space="preserve">Säädöksessä säädetään liikennepoliisin toimivaltaa käyttävälle viranomaiselle annettavista mahdollisuuksista poiketa näistä yleisistä säännöistä; kyseinen viranomainen voi muun muassa sallia jalkakäytävällä ajamisen tai tietyin ehdoin sellaisilla ajoteillä ajamisen, joilla suurin sallittu nopeus on enintään 80 kilometriä tunnissa.</w:t>
      </w:r>
      <w:r>
        <w:rPr>
          <w:sz w:val="24"/>
          <w:szCs w:val="24"/>
          <w:rFonts w:ascii="Arial" w:hAnsi="Arial"/>
        </w:rPr>
        <w:t xml:space="preserve"> </w:t>
      </w:r>
      <w:r>
        <w:rPr>
          <w:sz w:val="24"/>
          <w:szCs w:val="24"/>
          <w:rFonts w:ascii="Arial" w:hAnsi="Arial"/>
        </w:rPr>
        <w:t xml:space="preserve">Siinä säädetään myös seuraamuksista, joita sovelletaan, mikäli henkilökohtaisten liikkumisvälineiden kuljettajiin sovellettavia säännöksiä ei noudateta.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Viitteet</w:t>
      </w:r>
      <w:r>
        <w:rPr>
          <w:sz w:val="24"/>
          <w:szCs w:val="24"/>
          <w:rFonts w:ascii="Arial" w:hAnsi="Arial"/>
        </w:rPr>
        <w:t xml:space="preserve">: tällä asetuksella muutetaan tieliikennelain säädösosaa, ja tieliikennelakiin voi tutustua tähän muutokseen perustuvana toisintona Légifrance-verkkosivustolla (https://www.legifrance.gouv.fr).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Pääministeri, joka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sisäministerin selonteon perusteella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kaksi- ja kolmipyöräisten ajoneuvojen ja nelipyörien hyväksynnästä ja markkinavalvonnasta 15 päivänä tammikuuta 2013 annetun Euroopan parlamentin ja neuvoston asetuksen (EU) N:o 168/2013 ja erityisesti sen 2 artiklan ja 3 artiklan 71 kohdan,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teknisiä määräyksiä ja tietoyhteiskunnan palveluja koskevia määräyksiä koskevien tietojen toimittamisessa noudatettavasta menettelystä 9 päivänä syyskuuta 2015 annetun Euroopan parlamentin ja neuvoston direktiivin (EU) 2015/1535 sekä Euroopan komissiolle toimitetun ilmoituksen 6 päivänä toukokuuta 2019 toimitetun ilmoituksen nro 2019/198/F,</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rikoslain ja erityisesti sen R. 610-1 §:n,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tieliikennelain,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liikenneturvallisuutta käsittelevän pysyvän ministeriöiden välisen työryhmän 6 päivänä toukokuuta ja 25 päivänä syyskuuta 2019 antamat lausunnot,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ottaa huomioon standardien arvioinnista vastaavan kansallisen neuvoston 9 päivänä toukokuuta ja 3 päivänä lokakuuta 2019 antamat lausunnot ja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kuultuaan Ranskan korkeinta hallinto-oikeutta (Conseil d’État) (julkisten töiden osastoa)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säätää seuraavaa:</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tieliikennelaki tämän asetuksen 2–29 §:n säännösten mukaisesti.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R. 110-2 §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Korvataan kolmannessa alamomentissa ilmaisu</w:t>
      </w:r>
      <w:r>
        <w:rPr>
          <w:sz w:val="24"/>
          <w:szCs w:val="24"/>
          <w:rFonts w:ascii="Arial" w:hAnsi="Arial"/>
        </w:rPr>
        <w:t xml:space="preserve"> </w:t>
      </w:r>
      <w:r>
        <w:rPr>
          <w:sz w:val="24"/>
          <w:szCs w:val="24"/>
          <w:rFonts w:ascii="Arial" w:hAnsi="Arial"/>
        </w:rPr>
        <w:t xml:space="preserve">”R. 431-9 §:n [säännöksistä muuta johdu],” ilmaisulla</w:t>
      </w:r>
      <w:r>
        <w:rPr>
          <w:sz w:val="24"/>
          <w:szCs w:val="24"/>
          <w:rFonts w:ascii="Arial" w:hAnsi="Arial"/>
        </w:rPr>
        <w:t xml:space="preserve"> </w:t>
      </w:r>
      <w:r>
        <w:rPr>
          <w:sz w:val="24"/>
          <w:szCs w:val="24"/>
          <w:rFonts w:ascii="Arial" w:hAnsi="Arial"/>
        </w:rPr>
        <w:t xml:space="preserve">”R. 412-43-1 ja R. 431-9 §:n [säännöksistä muuta johdu],”.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Lisätään viidennessä ja yhdennessätoista alamomentissa ilmaisun</w:t>
      </w:r>
      <w:r>
        <w:rPr>
          <w:sz w:val="24"/>
          <w:szCs w:val="24"/>
          <w:rFonts w:ascii="Arial" w:hAnsi="Arial"/>
        </w:rPr>
        <w:t xml:space="preserve"> </w:t>
      </w:r>
      <w:r>
        <w:rPr>
          <w:sz w:val="24"/>
          <w:szCs w:val="24"/>
          <w:rFonts w:ascii="Arial" w:hAnsi="Arial"/>
        </w:rPr>
        <w:t xml:space="preserve">”kaksi- tai kolmipyöräisille polkupyörille” jälkeen ilmaisu</w:t>
      </w:r>
      <w:r>
        <w:rPr>
          <w:sz w:val="24"/>
          <w:szCs w:val="24"/>
          <w:rFonts w:ascii="Arial" w:hAnsi="Arial"/>
        </w:rPr>
        <w:t xml:space="preserve"> </w:t>
      </w:r>
      <w:r>
        <w:rPr>
          <w:sz w:val="24"/>
          <w:szCs w:val="24"/>
          <w:rFonts w:ascii="Arial" w:hAnsi="Arial"/>
        </w:rPr>
        <w:t xml:space="preserve">”ja moottorikäyttöisille henkilökohtaisille liikkumisvälineille”.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Lisätään neljännessätoista alamomentissa ilmaisun</w:t>
      </w:r>
      <w:r>
        <w:rPr>
          <w:sz w:val="24"/>
          <w:szCs w:val="24"/>
          <w:rFonts w:ascii="Arial" w:hAnsi="Arial"/>
        </w:rPr>
        <w:t xml:space="preserve"> </w:t>
      </w:r>
      <w:r>
        <w:rPr>
          <w:sz w:val="24"/>
          <w:szCs w:val="24"/>
          <w:rFonts w:ascii="Arial" w:hAnsi="Arial"/>
        </w:rPr>
        <w:t xml:space="preserve">”muiden kuin moottorikäyttöisten ajoneuvojen” jälkeen ilmaisu</w:t>
      </w:r>
      <w:r>
        <w:rPr>
          <w:sz w:val="24"/>
          <w:szCs w:val="24"/>
          <w:rFonts w:ascii="Arial" w:hAnsi="Arial"/>
        </w:rPr>
        <w:t xml:space="preserve"> </w:t>
      </w:r>
      <w:r>
        <w:rPr>
          <w:sz w:val="24"/>
          <w:szCs w:val="24"/>
          <w:rFonts w:ascii="Arial" w:hAnsi="Arial"/>
        </w:rPr>
        <w:t xml:space="preserve">”, lukuun ottamatta moottorikäyttöisiä henkilökohtaisia liikkumisvälineitä”.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Lisätään viidennessätoista ja kuudennessatoista alamomentissa ilmaisun</w:t>
      </w:r>
      <w:r>
        <w:rPr>
          <w:sz w:val="24"/>
          <w:szCs w:val="24"/>
          <w:rFonts w:ascii="Arial" w:hAnsi="Arial"/>
        </w:rPr>
        <w:t xml:space="preserve"> </w:t>
      </w:r>
      <w:r>
        <w:rPr>
          <w:sz w:val="24"/>
          <w:szCs w:val="24"/>
          <w:rFonts w:ascii="Arial" w:hAnsi="Arial"/>
        </w:rPr>
        <w:t xml:space="preserve">”kaksisuuntaisia pyöräilijöille” jälkeen ilmaisu</w:t>
      </w:r>
      <w:r>
        <w:rPr>
          <w:sz w:val="24"/>
          <w:szCs w:val="24"/>
          <w:rFonts w:ascii="Arial" w:hAnsi="Arial"/>
        </w:rPr>
        <w:t xml:space="preserve"> </w:t>
      </w:r>
      <w:r>
        <w:rPr>
          <w:sz w:val="24"/>
          <w:szCs w:val="24"/>
          <w:rFonts w:ascii="Arial" w:hAnsi="Arial"/>
        </w:rPr>
        <w:t xml:space="preserve">”ja moottorikäyttöisten henkilökohtaisten liikkumisvälineiden kuljettajille,”.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311-1 §:n 6.13 alamomentin jälkeen kolme alamomenttia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Henkilökohtainen liikkumisväline: moottorikäyttöinen tai muu kuin moottorikäyttöinen henkilökohtainen liikkumisväline.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Moottorikäyttöinen henkilökohtainen liikkumisväline: istumapaikaton ajoneuvo, joka on suunniteltu ja rakennettu yhden henkilön liikkumista varten, jossa ei ole mitään tavaran kuljetukseen tarkoitettuja varusteita, joka on varustettu muulla kuin polttoainekäyttöisellä moottorilla tai muulla kuin polttoainekäyttöisellä apumoottorilla ja jonka suurin rakenteellinen nopeus on yli 6 kilometriä tunnissa ja korkeintaan 25 kilometriä tunnissa.</w:t>
      </w:r>
      <w:r>
        <w:rPr>
          <w:sz w:val="24"/>
          <w:szCs w:val="24"/>
          <w:rFonts w:ascii="Arial" w:hAnsi="Arial"/>
        </w:rPr>
        <w:t xml:space="preserve"> </w:t>
      </w:r>
      <w:r>
        <w:rPr>
          <w:sz w:val="24"/>
          <w:szCs w:val="24"/>
          <w:rFonts w:ascii="Arial" w:hAnsi="Arial"/>
        </w:rPr>
        <w:t xml:space="preserve">Siinä voi olla lisätarvikkeita, kuten pienikokoinen kori tai laukku.</w:t>
      </w:r>
      <w:r>
        <w:rPr>
          <w:sz w:val="24"/>
          <w:szCs w:val="24"/>
          <w:rFonts w:ascii="Arial" w:hAnsi="Arial"/>
        </w:rPr>
        <w:t xml:space="preserve"> </w:t>
      </w:r>
      <w:r>
        <w:rPr>
          <w:sz w:val="24"/>
          <w:szCs w:val="24"/>
          <w:rFonts w:ascii="Arial" w:hAnsi="Arial"/>
        </w:rPr>
        <w:t xml:space="preserve">Itsestään tasapainottuva ajoneuvo, sellaisena kuin se on määriteltynä kaksi- ja kolmipyöräisten ajoneuvojen ja nelipyörien hyväksynnästä ja markkinavalvonnasta 15 päivänä tammikuuta 2013 annetun Euroopan parlamentin ja neuvoston asetuksen (EU) N:o 168/2013 3 artiklan 71 kohdassa, voidaan varustaa satulalla.</w:t>
      </w:r>
      <w:r>
        <w:rPr>
          <w:sz w:val="24"/>
          <w:szCs w:val="24"/>
          <w:rFonts w:ascii="Arial" w:hAnsi="Arial"/>
        </w:rPr>
        <w:t xml:space="preserve"> </w:t>
      </w:r>
      <w:r>
        <w:rPr>
          <w:sz w:val="24"/>
          <w:szCs w:val="24"/>
          <w:rFonts w:ascii="Arial" w:hAnsi="Arial"/>
        </w:rPr>
        <w:t xml:space="preserve">Ainoastaan liikuntarajoitteisille henkilöille tarkoitetut välineet eivät kuulu tähän luokkaan.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Muu kuin moottorikäyttöinen henkilökohtainen liikkumisväline: pienikokoinen ajoneuvo, jossa ei ole moottoria.”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4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312-10 §:n I momentin 6 alamomentin jälkeen 7 alamomentti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metriä moottorikäyttöisten henkilökohtaisten liikkumisvälineiden osalta.”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5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312-11 §:n I momentin 11 alamomentin jälkeen 12 alamomentti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Moottorikäyttöiset henkilökohtaiset liikkumisvälineet:</w:t>
      </w:r>
      <w:r>
        <w:rPr>
          <w:sz w:val="24"/>
          <w:szCs w:val="24"/>
          <w:rFonts w:ascii="Arial" w:hAnsi="Arial"/>
        </w:rPr>
        <w:t xml:space="preserve"> </w:t>
      </w:r>
      <w:r>
        <w:rPr>
          <w:sz w:val="24"/>
          <w:szCs w:val="24"/>
          <w:rFonts w:ascii="Arial" w:hAnsi="Arial"/>
        </w:rPr>
        <w:t xml:space="preserve">1,35 metriä.”</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6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R. 313-1 §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Lisätään neljännessä alamomentissa ilmaisun</w:t>
      </w:r>
      <w:r>
        <w:rPr>
          <w:sz w:val="24"/>
          <w:szCs w:val="24"/>
          <w:rFonts w:ascii="Arial" w:hAnsi="Arial"/>
        </w:rPr>
        <w:t xml:space="preserve"> </w:t>
      </w:r>
      <w:r>
        <w:rPr>
          <w:sz w:val="24"/>
          <w:szCs w:val="24"/>
          <w:rFonts w:ascii="Arial" w:hAnsi="Arial"/>
        </w:rPr>
        <w:t xml:space="preserve">”kaikille” jälkeen</w:t>
      </w:r>
      <w:r>
        <w:rPr>
          <w:sz w:val="24"/>
          <w:szCs w:val="24"/>
          <w:rFonts w:ascii="Arial" w:hAnsi="Arial"/>
        </w:rPr>
        <w:t xml:space="preserve"> </w:t>
      </w:r>
      <w:r>
        <w:rPr>
          <w:sz w:val="24"/>
          <w:szCs w:val="24"/>
          <w:rFonts w:ascii="Arial" w:hAnsi="Arial"/>
        </w:rPr>
        <w:t xml:space="preserve">”moottorikäyttöisen henkilökohtaisen liikkumisvälineen tai [polkupyörän] kuljettajille”.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Lisätään pykälään momentti seuraavasti: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”Lain R. 313-2, R. 313-3, R. 313-3-1 – R. 313-3-4, R. 313-4-1, R. 313-6 – R. 313-17 ja R. 313-17-1 §:n säännöksiä ei sovelleta moottorikäyttöisiin henkilökohtaisiin liikkumisvälineisiin.”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7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313-4 §:n X momentissa, R. 313-5 ja R. 313-18 §:n V momentissa, R. 313-19 §:n III momentissa, R. 313-20 §:n IV momentissa ja R. 313-33 §:n kolmannessa momentissa ilmaisun</w:t>
      </w:r>
      <w:r>
        <w:rPr>
          <w:sz w:val="24"/>
          <w:szCs w:val="24"/>
          <w:rFonts w:ascii="Arial" w:hAnsi="Arial"/>
        </w:rPr>
        <w:t xml:space="preserve"> </w:t>
      </w:r>
      <w:r>
        <w:rPr>
          <w:sz w:val="24"/>
          <w:szCs w:val="24"/>
          <w:rFonts w:ascii="Arial" w:hAnsi="Arial"/>
        </w:rPr>
        <w:t xml:space="preserve">”kaikki” jälkeen ilmaisu</w:t>
      </w:r>
      <w:r>
        <w:rPr>
          <w:sz w:val="24"/>
          <w:szCs w:val="24"/>
          <w:rFonts w:ascii="Arial" w:hAnsi="Arial"/>
        </w:rPr>
        <w:t xml:space="preserve"> </w:t>
      </w:r>
      <w:r>
        <w:rPr>
          <w:sz w:val="24"/>
          <w:szCs w:val="24"/>
          <w:rFonts w:ascii="Arial" w:hAnsi="Arial"/>
        </w:rPr>
        <w:t xml:space="preserve">”moottorikäyttöiset henkilökohtaiset liikkumisvälineet tai”.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8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313-4 §:n XIII momentissa, R. 313-5 ja R. 313-18 §:n XI momentissa, R. 313-19 §:n V momentissa, R. 313-20 §:n VIII momentissa ja R. 313-33 §:n viimeisessä momentissa ilmaisun</w:t>
      </w:r>
      <w:r>
        <w:rPr>
          <w:sz w:val="24"/>
          <w:szCs w:val="24"/>
          <w:rFonts w:ascii="Arial" w:hAnsi="Arial"/>
        </w:rPr>
        <w:t xml:space="preserve"> </w:t>
      </w:r>
      <w:r>
        <w:rPr>
          <w:sz w:val="24"/>
          <w:szCs w:val="24"/>
          <w:rFonts w:ascii="Arial" w:hAnsi="Arial"/>
        </w:rPr>
        <w:t xml:space="preserve">”kaikille” jälkeen</w:t>
      </w:r>
      <w:r>
        <w:rPr>
          <w:sz w:val="24"/>
          <w:szCs w:val="24"/>
          <w:rFonts w:ascii="Arial" w:hAnsi="Arial"/>
        </w:rPr>
        <w:t xml:space="preserve"> </w:t>
      </w:r>
      <w:r>
        <w:rPr>
          <w:sz w:val="24"/>
          <w:szCs w:val="24"/>
          <w:rFonts w:ascii="Arial" w:hAnsi="Arial"/>
        </w:rPr>
        <w:t xml:space="preserve">”moottorikäyttöisen henkilökohtaisen liikkumisvälineen tai [polkupyörän] kuljettajille”.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9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R. 314-1 § seuraavasti: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Lisätään ensimmäisessä momentissa ilmaisun</w:t>
      </w:r>
      <w:r>
        <w:rPr>
          <w:sz w:val="24"/>
          <w:szCs w:val="24"/>
          <w:rFonts w:ascii="Arial" w:hAnsi="Arial"/>
        </w:rPr>
        <w:t xml:space="preserve"> </w:t>
      </w:r>
      <w:r>
        <w:rPr>
          <w:sz w:val="24"/>
          <w:szCs w:val="24"/>
          <w:rFonts w:ascii="Arial" w:hAnsi="Arial"/>
        </w:rPr>
        <w:t xml:space="preserve">”maatalouskoneet” jälkeen ilmaisu</w:t>
      </w:r>
      <w:r>
        <w:rPr>
          <w:sz w:val="24"/>
          <w:szCs w:val="24"/>
          <w:rFonts w:ascii="Arial" w:hAnsi="Arial"/>
        </w:rPr>
        <w:t xml:space="preserve"> </w:t>
      </w:r>
      <w:r>
        <w:rPr>
          <w:sz w:val="24"/>
          <w:szCs w:val="24"/>
          <w:rFonts w:ascii="Arial" w:hAnsi="Arial"/>
        </w:rPr>
        <w:t xml:space="preserve">”ja moottorikäyttöisiä henkilökohtaisia liikkumisvälineitä”;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Lisätään viidennessä momentissa ilmaisun</w:t>
      </w:r>
      <w:r>
        <w:rPr>
          <w:sz w:val="24"/>
          <w:szCs w:val="24"/>
          <w:rFonts w:ascii="Arial" w:hAnsi="Arial"/>
        </w:rPr>
        <w:t xml:space="preserve"> </w:t>
      </w:r>
      <w:r>
        <w:rPr>
          <w:sz w:val="24"/>
          <w:szCs w:val="24"/>
          <w:rFonts w:ascii="Arial" w:hAnsi="Arial"/>
        </w:rPr>
        <w:t xml:space="preserve">”maatalouskoneet” jälkeen ilmaisu</w:t>
      </w:r>
      <w:r>
        <w:rPr>
          <w:sz w:val="24"/>
          <w:szCs w:val="24"/>
          <w:rFonts w:ascii="Arial" w:hAnsi="Arial"/>
        </w:rPr>
        <w:t xml:space="preserve"> </w:t>
      </w:r>
      <w:r>
        <w:rPr>
          <w:sz w:val="24"/>
          <w:szCs w:val="24"/>
          <w:rFonts w:ascii="Arial" w:hAnsi="Arial"/>
        </w:rPr>
        <w:t xml:space="preserve">”ja moottorikäyttöiset henkilökohtaiset liikkumisvälineet”.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10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315-1 §:n I momentissa ilmaisun</w:t>
      </w:r>
      <w:r>
        <w:rPr>
          <w:sz w:val="24"/>
          <w:szCs w:val="24"/>
          <w:rFonts w:ascii="Arial" w:hAnsi="Arial"/>
        </w:rPr>
        <w:t xml:space="preserve"> </w:t>
      </w:r>
      <w:r>
        <w:rPr>
          <w:sz w:val="24"/>
          <w:szCs w:val="24"/>
          <w:rFonts w:ascii="Arial" w:hAnsi="Arial"/>
        </w:rPr>
        <w:t xml:space="preserve">”yleisissä töissä [käytettäviä ajoneuvoja ja välineitä]” jälkeen</w:t>
      </w:r>
      <w:r>
        <w:rPr>
          <w:sz w:val="24"/>
          <w:szCs w:val="24"/>
          <w:rFonts w:ascii="Arial" w:hAnsi="Arial"/>
        </w:rPr>
        <w:t xml:space="preserve"> </w:t>
      </w:r>
      <w:r>
        <w:rPr>
          <w:sz w:val="24"/>
          <w:szCs w:val="24"/>
          <w:rFonts w:ascii="Arial" w:hAnsi="Arial"/>
        </w:rPr>
        <w:t xml:space="preserve">”ja moottorikäyttöisiä henkilökohtaisia liikkumisvälineitä”.</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11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315-6 §:n jälkeen R. 315-7 § seuraavasti: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315-7 §.-.</w:t>
      </w:r>
      <w:r>
        <w:rPr>
          <w:sz w:val="24"/>
          <w:szCs w:val="24"/>
          <w:rFonts w:ascii="Arial" w:hAnsi="Arial"/>
        </w:rPr>
        <w:t xml:space="preserve"> </w:t>
      </w:r>
      <w:r>
        <w:rPr>
          <w:sz w:val="24"/>
          <w:szCs w:val="24"/>
          <w:rFonts w:ascii="Arial" w:hAnsi="Arial"/>
        </w:rPr>
        <w:t xml:space="preserve">- I. - Kaikki moottorikäyttöiset henkilökohtaiset liikkumisvälineet on varustettava tehokkaalla jarrulaitteella, jonka ominaisuudet vahvistetaan liikenneturvallisuudesta vastaavan ministerin ja liikenteestä vastaavan ministerin määräyksessä.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Tämän pykälän tai sen soveltamiseksi annettujen säännösten rikkomisesta määrätään ensimmäisen luokan rikkomuksista annettava sakko.”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12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316-4 §:n ensimmäisessä momentissa ilmaisun</w:t>
      </w:r>
      <w:r>
        <w:rPr>
          <w:sz w:val="24"/>
          <w:szCs w:val="24"/>
          <w:rFonts w:ascii="Arial" w:hAnsi="Arial"/>
        </w:rPr>
        <w:t xml:space="preserve"> </w:t>
      </w:r>
      <w:r>
        <w:rPr>
          <w:sz w:val="24"/>
          <w:szCs w:val="24"/>
          <w:rFonts w:ascii="Arial" w:hAnsi="Arial"/>
        </w:rPr>
        <w:t xml:space="preserve">”kevyitä moottorilla varustettuja nelipyöriä” jälkeen, R. 316-5 §:ssä ilmaisun</w:t>
      </w:r>
      <w:r>
        <w:rPr>
          <w:sz w:val="24"/>
          <w:szCs w:val="24"/>
          <w:rFonts w:ascii="Arial" w:hAnsi="Arial"/>
        </w:rPr>
        <w:t xml:space="preserve"> </w:t>
      </w:r>
      <w:r>
        <w:rPr>
          <w:sz w:val="24"/>
          <w:szCs w:val="24"/>
          <w:rFonts w:ascii="Arial" w:hAnsi="Arial"/>
        </w:rPr>
        <w:t xml:space="preserve">”kaksi- tai kolmipyöräisiä ajoneuvoja” jälkeen, R. 316-6 §:n ensimmäisessä momentissa ilmaisun ”maatalouskoneita” jälkeen ja R. 317-1 ja R. 317-5 §:n I momentissa ilmaisun</w:t>
      </w:r>
      <w:r>
        <w:rPr>
          <w:sz w:val="24"/>
          <w:szCs w:val="24"/>
          <w:rFonts w:ascii="Arial" w:hAnsi="Arial"/>
        </w:rPr>
        <w:t xml:space="preserve"> </w:t>
      </w:r>
      <w:r>
        <w:rPr>
          <w:sz w:val="24"/>
          <w:szCs w:val="24"/>
          <w:rFonts w:ascii="Arial" w:hAnsi="Arial"/>
        </w:rPr>
        <w:t xml:space="preserve">”nelipyöriä” jälkeen ilmaisu</w:t>
      </w:r>
      <w:r>
        <w:rPr>
          <w:sz w:val="24"/>
          <w:szCs w:val="24"/>
          <w:rFonts w:ascii="Arial" w:hAnsi="Arial"/>
        </w:rPr>
        <w:t xml:space="preserve"> </w:t>
      </w:r>
      <w:r>
        <w:rPr>
          <w:sz w:val="24"/>
          <w:szCs w:val="24"/>
          <w:rFonts w:ascii="Arial" w:hAnsi="Arial"/>
        </w:rPr>
        <w:t xml:space="preserve">”ja moottorikäyttöisiä henkilökohtaisia liikkumisvälineitä”.</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13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317-14 §:n jälkeen R. 317-14-1 § seuraavasti: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317-14-1 §.</w:t>
      </w:r>
      <w:r>
        <w:rPr>
          <w:sz w:val="24"/>
          <w:szCs w:val="24"/>
          <w:rFonts w:ascii="Arial" w:hAnsi="Arial"/>
        </w:rPr>
        <w:t xml:space="preserve"> </w:t>
      </w:r>
      <w:r>
        <w:rPr>
          <w:sz w:val="24"/>
          <w:szCs w:val="24"/>
          <w:rFonts w:ascii="Arial" w:hAnsi="Arial"/>
        </w:rPr>
        <w:t xml:space="preserve">- Lain R. 317-8 ja R. 317-9 §:n säännöksiä ei sovelleta moottorikäyttöisiin henkilökohtaisiin liikkumisvälineisiin.”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14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317-16 §:ään uusi momentti seuraavasti: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”Niitä ei sovelleta moottorikäyttöisiin henkilökohtaisiin liikkumisvälineisiin.”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15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317-23-1 §:n ensimmäisessä momentissa ilmaisun</w:t>
      </w:r>
      <w:r>
        <w:rPr>
          <w:sz w:val="24"/>
          <w:szCs w:val="24"/>
          <w:rFonts w:ascii="Arial" w:hAnsi="Arial"/>
        </w:rPr>
        <w:t xml:space="preserve"> </w:t>
      </w:r>
      <w:r>
        <w:rPr>
          <w:sz w:val="24"/>
          <w:szCs w:val="24"/>
          <w:rFonts w:ascii="Arial" w:hAnsi="Arial"/>
        </w:rPr>
        <w:t xml:space="preserve">”mopon” jälkeen ilmaisu</w:t>
      </w:r>
      <w:r>
        <w:rPr>
          <w:sz w:val="24"/>
          <w:szCs w:val="24"/>
          <w:rFonts w:ascii="Arial" w:hAnsi="Arial"/>
        </w:rPr>
        <w:t xml:space="preserve"> </w:t>
      </w:r>
      <w:r>
        <w:rPr>
          <w:sz w:val="24"/>
          <w:szCs w:val="24"/>
          <w:rFonts w:ascii="Arial" w:hAnsi="Arial"/>
        </w:rPr>
        <w:t xml:space="preserve">”tai moottorikäyttöisen henkilökohtaisen liikkumisvälineen”.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16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321-4-1 §:n jälkeen R. 321-4-2 § seuraavasti: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321-4-2 §.</w:t>
      </w:r>
      <w:r>
        <w:rPr>
          <w:sz w:val="24"/>
          <w:szCs w:val="24"/>
          <w:rFonts w:ascii="Arial" w:hAnsi="Arial"/>
        </w:rPr>
        <w:t xml:space="preserve"> </w:t>
      </w:r>
      <w:r>
        <w:rPr>
          <w:sz w:val="24"/>
          <w:szCs w:val="24"/>
          <w:rFonts w:ascii="Arial" w:hAnsi="Arial"/>
        </w:rPr>
        <w:t xml:space="preserve">- Moottorikäyttöisellä henkilökohtaisella liikkumisvälineellä, jonka suurin rakenteellinen nopeus ylittää R. 311-1 §:n 6.15 alamomentissa määritetyn nopeuden, ajamisesta yleisillä teillä määrätään viidennen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Menetetyksi tuomitsemisesta, liikkumisen estämisestä tai takavarikoinnista voidaan määrätä L. 325-1 – L. 325-9 §:ssä säädettyjen ehtojen mukaisesti.”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17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321-15 §:n viimeisessä momentissa ilmaisun</w:t>
      </w:r>
      <w:r>
        <w:rPr>
          <w:sz w:val="24"/>
          <w:szCs w:val="24"/>
          <w:rFonts w:ascii="Arial" w:hAnsi="Arial"/>
        </w:rPr>
        <w:t xml:space="preserve"> </w:t>
      </w:r>
      <w:r>
        <w:rPr>
          <w:sz w:val="24"/>
          <w:szCs w:val="24"/>
          <w:rFonts w:ascii="Arial" w:hAnsi="Arial"/>
        </w:rPr>
        <w:t xml:space="preserve">”vanhoihin ajoneuvoihin,” jälkeen ilmaisu</w:t>
      </w:r>
      <w:r>
        <w:rPr>
          <w:sz w:val="24"/>
          <w:szCs w:val="24"/>
          <w:rFonts w:ascii="Arial" w:hAnsi="Arial"/>
        </w:rPr>
        <w:t xml:space="preserve"> </w:t>
      </w:r>
      <w:r>
        <w:rPr>
          <w:sz w:val="24"/>
          <w:szCs w:val="24"/>
          <w:rFonts w:ascii="Arial" w:hAnsi="Arial"/>
        </w:rPr>
        <w:t xml:space="preserve">”moottorikäyttöisiin henkilökohtaisiin liikkumisvälineisiin”.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18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322-1 §:n V momentissa ilmaisun</w:t>
      </w:r>
      <w:r>
        <w:rPr>
          <w:sz w:val="24"/>
          <w:szCs w:val="24"/>
          <w:rFonts w:ascii="Arial" w:hAnsi="Arial"/>
        </w:rPr>
        <w:t xml:space="preserve"> </w:t>
      </w:r>
      <w:r>
        <w:rPr>
          <w:sz w:val="24"/>
          <w:szCs w:val="24"/>
          <w:rFonts w:ascii="Arial" w:hAnsi="Arial"/>
        </w:rPr>
        <w:t xml:space="preserve">”ei sovelleta” jälkeen ilmaisu</w:t>
      </w:r>
      <w:r>
        <w:rPr>
          <w:sz w:val="24"/>
          <w:szCs w:val="24"/>
          <w:rFonts w:ascii="Arial" w:hAnsi="Arial"/>
        </w:rPr>
        <w:t xml:space="preserve"> </w:t>
      </w:r>
      <w:r>
        <w:rPr>
          <w:sz w:val="24"/>
          <w:szCs w:val="24"/>
          <w:rFonts w:ascii="Arial" w:hAnsi="Arial"/>
        </w:rPr>
        <w:t xml:space="preserve">”moottorikäyttöisiin henkilökohtaisiin liikkumisvälineisiin eikä”.</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19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412-9 §:n neljännessä ja viidennessä momentissa ennen ilmaisua</w:t>
      </w:r>
      <w:r>
        <w:rPr>
          <w:sz w:val="24"/>
          <w:szCs w:val="24"/>
          <w:rFonts w:ascii="Arial" w:hAnsi="Arial"/>
        </w:rPr>
        <w:t xml:space="preserve"> </w:t>
      </w:r>
      <w:r>
        <w:rPr>
          <w:sz w:val="24"/>
          <w:szCs w:val="24"/>
          <w:rFonts w:ascii="Arial" w:hAnsi="Arial"/>
        </w:rPr>
        <w:t xml:space="preserve">”kuljettaja” ilmaisu</w:t>
      </w:r>
      <w:r>
        <w:rPr>
          <w:sz w:val="24"/>
          <w:szCs w:val="24"/>
          <w:rFonts w:ascii="Arial" w:hAnsi="Arial"/>
        </w:rPr>
        <w:t xml:space="preserve"> </w:t>
      </w:r>
      <w:r>
        <w:rPr>
          <w:sz w:val="24"/>
          <w:szCs w:val="24"/>
          <w:rFonts w:ascii="Arial" w:hAnsi="Arial"/>
        </w:rPr>
        <w:t xml:space="preserve">”moottorikäyttöisen henkilökohtaisen liikkumisvälineen tai [polkupyörän]”.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20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412-19 §:n toisessa momentissa ennen ilmaisua</w:t>
      </w:r>
      <w:r>
        <w:rPr>
          <w:sz w:val="24"/>
          <w:szCs w:val="24"/>
          <w:rFonts w:ascii="Arial" w:hAnsi="Arial"/>
        </w:rPr>
        <w:t xml:space="preserve"> </w:t>
      </w:r>
      <w:r>
        <w:rPr>
          <w:sz w:val="24"/>
          <w:szCs w:val="24"/>
          <w:rFonts w:ascii="Arial" w:hAnsi="Arial"/>
        </w:rPr>
        <w:t xml:space="preserve">”ohitusta varten” ilmaisu</w:t>
      </w:r>
      <w:r>
        <w:rPr>
          <w:sz w:val="24"/>
          <w:szCs w:val="24"/>
          <w:rFonts w:ascii="Arial" w:hAnsi="Arial"/>
        </w:rPr>
        <w:t xml:space="preserve"> </w:t>
      </w:r>
      <w:r>
        <w:rPr>
          <w:sz w:val="24"/>
          <w:szCs w:val="24"/>
          <w:rFonts w:ascii="Arial" w:hAnsi="Arial"/>
        </w:rPr>
        <w:t xml:space="preserve">”moottorikäyttöisen henkilökohtaisen liikkumisvälineen tai [polkupyörän] kuljettajille”.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21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412-28-1 §:ään ilmaisun</w:t>
      </w:r>
      <w:r>
        <w:rPr>
          <w:sz w:val="24"/>
          <w:szCs w:val="24"/>
          <w:rFonts w:ascii="Arial" w:hAnsi="Arial"/>
        </w:rPr>
        <w:t xml:space="preserve"> </w:t>
      </w:r>
      <w:r>
        <w:rPr>
          <w:sz w:val="24"/>
          <w:szCs w:val="24"/>
          <w:rFonts w:ascii="Arial" w:hAnsi="Arial"/>
        </w:rPr>
        <w:t xml:space="preserve">”kaksisuuntaisia” jälkeen ilmaisu</w:t>
      </w:r>
      <w:r>
        <w:rPr>
          <w:sz w:val="24"/>
          <w:szCs w:val="24"/>
          <w:rFonts w:ascii="Arial" w:hAnsi="Arial"/>
        </w:rPr>
        <w:t xml:space="preserve"> </w:t>
      </w:r>
      <w:r>
        <w:rPr>
          <w:sz w:val="24"/>
          <w:szCs w:val="24"/>
          <w:rFonts w:ascii="Arial" w:hAnsi="Arial"/>
        </w:rPr>
        <w:t xml:space="preserve">”moottorikäyttöisten henkilökohtaisten liikkumisvälineiden kuljettajille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22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412-34 §:n II momentin 2 alamomentissa ilmaisun</w:t>
      </w:r>
      <w:r>
        <w:rPr>
          <w:sz w:val="24"/>
          <w:szCs w:val="24"/>
          <w:rFonts w:ascii="Arial" w:hAnsi="Arial"/>
        </w:rPr>
        <w:t xml:space="preserve"> </w:t>
      </w:r>
      <w:r>
        <w:rPr>
          <w:sz w:val="24"/>
          <w:szCs w:val="24"/>
          <w:rFonts w:ascii="Arial" w:hAnsi="Arial"/>
        </w:rPr>
        <w:t xml:space="preserve">”taluttavat” jälkeen ilmaisu</w:t>
      </w:r>
      <w:r>
        <w:rPr>
          <w:sz w:val="24"/>
          <w:szCs w:val="24"/>
          <w:rFonts w:ascii="Arial" w:hAnsi="Arial"/>
        </w:rPr>
        <w:t xml:space="preserve"> </w:t>
      </w:r>
      <w:r>
        <w:rPr>
          <w:sz w:val="24"/>
          <w:szCs w:val="24"/>
          <w:rFonts w:ascii="Arial" w:hAnsi="Arial"/>
        </w:rPr>
        <w:t xml:space="preserve">”moottorikäyttöistä henkilökohtaista liikkumisvälinettä,”.</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23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IV kirjan I osaston II luvun 6 jakson jälkeen 6 bis jakso seuraavasti: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 bis jakso: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Moottorikäyttöisillä henkilökohtaisilla liikkumisvälineillä ajaminen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412-43-1 §.</w:t>
      </w:r>
      <w:r>
        <w:rPr>
          <w:sz w:val="24"/>
          <w:szCs w:val="24"/>
          <w:rFonts w:ascii="Arial" w:hAnsi="Arial"/>
        </w:rPr>
        <w:t xml:space="preserve"> </w:t>
      </w:r>
      <w:r>
        <w:rPr>
          <w:sz w:val="24"/>
          <w:szCs w:val="24"/>
          <w:rFonts w:ascii="Arial" w:hAnsi="Arial"/>
        </w:rPr>
        <w:t xml:space="preserve">- </w:t>
      </w:r>
      <w:r>
        <w:rPr>
          <w:sz w:val="24"/>
          <w:szCs w:val="24"/>
          <w:rFonts w:ascii="Arial" w:hAnsi="Arial"/>
        </w:rPr>
        <w:t xml:space="preserve">I.-Moottorikäyttöisten henkilökohtaisten liikkumisvälineiden kuljettajien on taajamassa ajettava pyöräkaistoilla tai -teillä.</w:t>
      </w:r>
      <w:r>
        <w:rPr>
          <w:sz w:val="24"/>
          <w:szCs w:val="24"/>
          <w:rFonts w:ascii="Arial" w:hAnsi="Arial"/>
        </w:rPr>
        <w:t xml:space="preserve"> </w:t>
      </w:r>
      <w:r>
        <w:rPr>
          <w:sz w:val="24"/>
          <w:szCs w:val="24"/>
          <w:rFonts w:ascii="Arial" w:hAnsi="Arial"/>
        </w:rPr>
        <w:t xml:space="preserve">Jos pyörätie reunustaa ajorataa molemmin puolin, kuljettajien on käytettävä pyörätietä, joka on ajotien oikealla puolella ajosuunnassa.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Mikäli pyöräkaistoja tai -teitä ei ole, he voivat ajaa myös</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ajoteillä, joilla suurin sallittu nopeus on enintään 50 kilometriä tunnissa.</w:t>
      </w:r>
      <w:r>
        <w:rPr>
          <w:sz w:val="24"/>
          <w:szCs w:val="24"/>
          <w:rFonts w:ascii="Arial" w:hAnsi="Arial"/>
        </w:rPr>
        <w:t xml:space="preserve"> </w:t>
      </w:r>
      <w:r>
        <w:rPr>
          <w:sz w:val="24"/>
          <w:szCs w:val="24"/>
          <w:rFonts w:ascii="Arial" w:hAnsi="Arial"/>
        </w:rPr>
        <w:t xml:space="preserve">Moottorikäyttöisten henkilökohtaisen liikkumisvälineiden kuljettajat eivät saa koskaan ajaa vierekkäin ajoradalla;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kävelykaduilla R. 431-9 §:n neljännessä momentissa määritettyjen ehtojen mukaisesti;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päällystetyillä pientareilla.</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Moottorikäyttöisillä henkilökohtaisilla liikkumisvälineillä ei saa ajaa taajaman ulkopuolella, lukuun ottamatta viherväyliä ja pyöräteitä.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Edellä olevien I ja II momentin säännöksistä poiketen liikennepoliisin toimivaltaa käyttävä viranomainen voi perustellulla päätöksellä</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kieltää välineillä ajamisen I ja II momentissa mainittujen väylien tietyillä osuuksilla tieturvallisuutta ja -liikennettä, sujuvuutta ja tien käyttömukavuutta koskevat tarpeet huomioon ottaen;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sallia välineillä ajamisen jalkakäytävällä sillä edellytyksellä, että välineillä ajetaan kävelyvauhdilla ja niistä ei aiheudu häiriötä jalankulkijoille;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3°sallia ajamisen ajoteillä, joilla suurin sallittu nopeus on enintään 80 kilometriä tunnissa, edellyttäen, että ajoradan kunto ja profiili sekä liikenneolosuhteet mahdollistavat sen.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Mikäli III momentin 3 alamomentin säännöksiä sovelletaan: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Moottorikäyttöisten henkilökohtaisten liikkumisvälineiden kuljettajien on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käytettävä henkilösuojaimia koskevan lainsäädännön mukaista kypärää, jonka on oltava kiinnitetty;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käytettävä lainsäädännön mukaista huomioliiviä tai heijastavia varusteita, joiden ominaisuudet vahvistetaan liikenneturvallisuudesta vastaavan ministerin määräyksessä;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kannettava mukanaan lisävalaisinta, joka ei häikäise eikä vilku ja jonka ominaisuudet vahvistetaan liikenneturvallisuudesta vastaavan ministerin määräyksessä;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ajettava yöllä ja päivällä välineensä valaisimet päällä;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Kun vähintään 18-vuotias henkilö, joka saattaa alle 18-vuotiasta moottorikäyttöisen henkilökohtaisen liikkumisvälineen kuljettajaa, käyttää oikeudellista tai tosiasiallista määräysvaltaa suhteessa kyseiseen kuljettajaan tai kyseisiin kuljettajiin, hänen on varmistettava, että jokainen käyttää kypärää edellä 1 alamomentissa säädettyjen ehtojen mukaisesti.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Kuljettajille, jotka rikkovat I ja II momentin säännöksiä tai III momentin 1 alamomentin nojalla annettuja ajorajoituksia, määrätään toisen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Mikäli III momentin 2 alamomentin säännöksiä sovelletaan, moottorikäyttöisten henkilökohtaisten liikkumisvälineiden kuljettajille, jotka ajavat jalkakäytävällä kävelyvauhtia nopeammin tai aiheuttavat häiriötä jalankulkijoille, määrätään toisen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Mikäli III momentin 3 alamomentin säännöksiä sovelletaan, välineiden kuljettajille, jotka rikkovat IV momentin 1 alamomentin b, c ja d alamomentin säännöksiä, määrätään toisen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Mikäli III momentin 3 alamomentin säännöksiä sovelletaan, IV momentin 1 ja 2 alamomentissa asetettujen kypärää koskevien sääntöjen noudattamatta jättämisestä määrätään neljännen luokan rikkomuksista annettava sakko.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412-43-2 §.</w:t>
      </w:r>
      <w:r>
        <w:rPr>
          <w:sz w:val="24"/>
          <w:szCs w:val="24"/>
          <w:rFonts w:ascii="Arial" w:hAnsi="Arial"/>
        </w:rPr>
        <w:t xml:space="preserve"> </w:t>
      </w:r>
      <w:r>
        <w:rPr>
          <w:sz w:val="24"/>
          <w:szCs w:val="24"/>
          <w:rFonts w:ascii="Arial" w:hAnsi="Arial"/>
        </w:rPr>
        <w:t xml:space="preserve">- Moottorikäyttöisten henkilökohtaisten liikkumisvälineiden kuljettajat eivät saa työntää tai vetää lastia tai ajoneuvoa.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Henkilökohtaisten liikkumisvälineiden kuljettajia ei saa hinata ajoneuvolla.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Tämän pykälän säännösten rikkomisesta määrätään toisen luokan rikkomuksista annettava sakko.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412-43-3 §.</w:t>
      </w:r>
      <w:r>
        <w:rPr>
          <w:sz w:val="24"/>
          <w:szCs w:val="24"/>
          <w:rFonts w:ascii="Arial" w:hAnsi="Arial"/>
        </w:rPr>
        <w:t xml:space="preserve"> </w:t>
      </w:r>
      <w:r>
        <w:rPr>
          <w:sz w:val="24"/>
          <w:szCs w:val="24"/>
          <w:rFonts w:ascii="Arial" w:hAnsi="Arial"/>
        </w:rPr>
        <w:t xml:space="preserve">- I.- Moottorikäyttöisten henkilökohtaisten liikkumisvälineiden kuljettajien on oltava vähintään 12-vuotiaita.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Sanotun rajoittamatta tarvittaessa R. 412-43-1 §:n IV momentin säännösten soveltamista moottorikäyttöisten henkilökohtaisten liikkumisvälineiden kuljettajien on yöllä tai päivällä, jos näkyvyys on riittämätön, ajaessaan käytettävä lainsäädännön mukaista huomioliiviä tai heijastavia varusteita, joiden ominaisuudet vahvistetaan liikenneturvallisuudesta vastaavan ministerin määräyksessä.</w:t>
      </w:r>
      <w:r>
        <w:rPr>
          <w:sz w:val="24"/>
          <w:szCs w:val="24"/>
          <w:rFonts w:ascii="Arial" w:hAnsi="Arial"/>
        </w:rPr>
        <w:t xml:space="preserve"> </w:t>
      </w:r>
      <w:r>
        <w:rPr>
          <w:sz w:val="24"/>
          <w:szCs w:val="24"/>
          <w:rFonts w:ascii="Arial" w:hAnsi="Arial"/>
        </w:rPr>
        <w:t xml:space="preserve">Kuljettaja voi käyttää lisävalaisinta, joka ei häikäise eikä vilku.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Moottorikäyttöisten henkilökohtaisten liikkumisvälineiden kyydissä voi olla vain kuljettaja.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Tämän pykälän II momentin säännösten rikkomisesta määrätään toisen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Ajamisesta moottorikäyttöisellä henkilökohtaisella liikkumisvälineellä noudattamatta III momentin säännöksiä määrätään toisen luokan rikkomuksista annettava sakko.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Alle 12-vuotiasta moottorikäyttöisen henkilökohtaisen liikkumisvälineen kuljettajaa saattavalle vähintään 18-vuotiaalle henkilölle, joka käyttää oikeudellista tai tosiasiallista määräysvaltaa suhteessa kyseiseen kuljettajaan, määrätään neljännen luokan rikkomuksista annettava sakko.”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24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415-2 §:n toisessa ja viidennessä momentissa ilmaisun</w:t>
      </w:r>
      <w:r>
        <w:rPr>
          <w:sz w:val="24"/>
          <w:szCs w:val="24"/>
          <w:rFonts w:ascii="Arial" w:hAnsi="Arial"/>
        </w:rPr>
        <w:t xml:space="preserve"> </w:t>
      </w:r>
      <w:r>
        <w:rPr>
          <w:sz w:val="24"/>
          <w:szCs w:val="24"/>
          <w:rFonts w:ascii="Arial" w:hAnsi="Arial"/>
        </w:rPr>
        <w:t xml:space="preserve">”muun [ajoneuvon] kuin” jälkeen ilmaisu</w:t>
      </w:r>
      <w:r>
        <w:rPr>
          <w:sz w:val="24"/>
          <w:szCs w:val="24"/>
          <w:rFonts w:ascii="Arial" w:hAnsi="Arial"/>
        </w:rPr>
        <w:t xml:space="preserve"> </w:t>
      </w:r>
      <w:r>
        <w:rPr>
          <w:sz w:val="24"/>
          <w:szCs w:val="24"/>
          <w:rFonts w:ascii="Arial" w:hAnsi="Arial"/>
        </w:rPr>
        <w:t xml:space="preserve">”moottorikäyttöisen henkilökohtaisen liikkumisvälineen tai”.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25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415-3 §:n III momentissa ilmaisun</w:t>
      </w:r>
      <w:r>
        <w:rPr>
          <w:sz w:val="24"/>
          <w:szCs w:val="24"/>
          <w:rFonts w:ascii="Arial" w:hAnsi="Arial"/>
        </w:rPr>
        <w:t xml:space="preserve"> </w:t>
      </w:r>
      <w:r>
        <w:rPr>
          <w:sz w:val="24"/>
          <w:szCs w:val="24"/>
          <w:rFonts w:ascii="Arial" w:hAnsi="Arial"/>
        </w:rPr>
        <w:t xml:space="preserve">”tietä” jälkeen ilmaisu</w:t>
      </w:r>
      <w:r>
        <w:rPr>
          <w:sz w:val="24"/>
          <w:szCs w:val="24"/>
          <w:rFonts w:ascii="Arial" w:hAnsi="Arial"/>
        </w:rPr>
        <w:t xml:space="preserve"> </w:t>
      </w:r>
      <w:r>
        <w:rPr>
          <w:sz w:val="24"/>
          <w:szCs w:val="24"/>
          <w:rFonts w:ascii="Arial" w:hAnsi="Arial"/>
        </w:rPr>
        <w:t xml:space="preserve">”moottorikäyttöisille henkilökohtaisille liikkumisvälineille,”.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26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R. 415-4 § seuraavasti: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Lisätään III momentissa ilmaisun</w:t>
      </w:r>
      <w:r>
        <w:rPr>
          <w:sz w:val="24"/>
          <w:szCs w:val="24"/>
          <w:rFonts w:ascii="Arial" w:hAnsi="Arial"/>
        </w:rPr>
        <w:t xml:space="preserve"> </w:t>
      </w:r>
      <w:r>
        <w:rPr>
          <w:sz w:val="24"/>
          <w:szCs w:val="24"/>
          <w:rFonts w:ascii="Arial" w:hAnsi="Arial"/>
        </w:rPr>
        <w:t xml:space="preserve">”, jolta hän aikoo poistua, sekä” jälkeen ilmaisu</w:t>
      </w:r>
      <w:r>
        <w:rPr>
          <w:sz w:val="24"/>
          <w:szCs w:val="24"/>
          <w:rFonts w:ascii="Arial" w:hAnsi="Arial"/>
        </w:rPr>
        <w:t xml:space="preserve"> </w:t>
      </w:r>
      <w:r>
        <w:rPr>
          <w:sz w:val="24"/>
          <w:szCs w:val="24"/>
          <w:rFonts w:ascii="Arial" w:hAnsi="Arial"/>
        </w:rPr>
        <w:t xml:space="preserve">”moottorikäyttöisille henkilökohtaisille liikkumisvälineille,”.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Lisätään IV momentissa ennen ilmaisua</w:t>
      </w:r>
      <w:r>
        <w:rPr>
          <w:sz w:val="24"/>
          <w:szCs w:val="24"/>
          <w:rFonts w:ascii="Arial" w:hAnsi="Arial"/>
        </w:rPr>
        <w:t xml:space="preserve"> </w:t>
      </w:r>
      <w:r>
        <w:rPr>
          <w:sz w:val="24"/>
          <w:szCs w:val="24"/>
          <w:rFonts w:ascii="Arial" w:hAnsi="Arial"/>
        </w:rPr>
        <w:t xml:space="preserve">”kuljettajat” ilmaisu</w:t>
      </w:r>
      <w:r>
        <w:rPr>
          <w:sz w:val="24"/>
          <w:szCs w:val="24"/>
          <w:rFonts w:ascii="Arial" w:hAnsi="Arial"/>
        </w:rPr>
        <w:t xml:space="preserve"> </w:t>
      </w:r>
      <w:r>
        <w:rPr>
          <w:sz w:val="24"/>
          <w:szCs w:val="24"/>
          <w:rFonts w:ascii="Arial" w:hAnsi="Arial"/>
        </w:rPr>
        <w:t xml:space="preserve">”moottorikäyttöisen henkilökohtaisen liikkumisvälineen tai [polkupyörän]”.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27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415-15 §:n 2 alamomentissa ilmaisun</w:t>
      </w:r>
      <w:r>
        <w:rPr>
          <w:sz w:val="24"/>
          <w:szCs w:val="24"/>
          <w:rFonts w:ascii="Arial" w:hAnsi="Arial"/>
        </w:rPr>
        <w:t xml:space="preserve"> </w:t>
      </w:r>
      <w:r>
        <w:rPr>
          <w:sz w:val="24"/>
          <w:szCs w:val="24"/>
          <w:rFonts w:ascii="Arial" w:hAnsi="Arial"/>
        </w:rPr>
        <w:t xml:space="preserve">”yksi” jälkeen ja ilmaisun</w:t>
      </w:r>
      <w:r>
        <w:rPr>
          <w:sz w:val="24"/>
          <w:szCs w:val="24"/>
          <w:rFonts w:ascii="Arial" w:hAnsi="Arial"/>
        </w:rPr>
        <w:t xml:space="preserve"> </w:t>
      </w:r>
      <w:r>
        <w:rPr>
          <w:sz w:val="24"/>
          <w:szCs w:val="24"/>
          <w:rFonts w:ascii="Arial" w:hAnsi="Arial"/>
        </w:rPr>
        <w:t xml:space="preserve">”pysäytysviiva” jälkeen ilmaisu</w:t>
      </w:r>
      <w:r>
        <w:rPr>
          <w:sz w:val="24"/>
          <w:szCs w:val="24"/>
          <w:rFonts w:ascii="Arial" w:hAnsi="Arial"/>
        </w:rPr>
        <w:t xml:space="preserve"> </w:t>
      </w:r>
      <w:r>
        <w:rPr>
          <w:sz w:val="24"/>
          <w:szCs w:val="24"/>
          <w:rFonts w:ascii="Arial" w:hAnsi="Arial"/>
        </w:rPr>
        <w:t xml:space="preserve">”moottorikäyttöisille henkilökohtaisille liikkumisvälineille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28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Muutetaan R. 417-10 §:n III momentti seuraavasti: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Lisätään 2 alamomentissa ilmaisun</w:t>
      </w:r>
      <w:r>
        <w:rPr>
          <w:sz w:val="24"/>
          <w:szCs w:val="24"/>
          <w:rFonts w:ascii="Arial" w:hAnsi="Arial"/>
        </w:rPr>
        <w:t xml:space="preserve"> </w:t>
      </w:r>
      <w:r>
        <w:rPr>
          <w:sz w:val="24"/>
          <w:szCs w:val="24"/>
          <w:rFonts w:ascii="Arial" w:hAnsi="Arial"/>
        </w:rPr>
        <w:t xml:space="preserve">”lukuun ottamatta” jälkeen ilmaisu</w:t>
      </w:r>
      <w:r>
        <w:rPr>
          <w:sz w:val="24"/>
          <w:szCs w:val="24"/>
          <w:rFonts w:ascii="Arial" w:hAnsi="Arial"/>
        </w:rPr>
        <w:t xml:space="preserve"> </w:t>
      </w:r>
      <w:r>
        <w:rPr>
          <w:sz w:val="24"/>
          <w:szCs w:val="24"/>
          <w:rFonts w:ascii="Arial" w:hAnsi="Arial"/>
        </w:rPr>
        <w:t xml:space="preserve">”henkilökohtaisia liikkumisvälineitä,”.</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Lisätään 6 alamomentissa ilmaisun</w:t>
      </w:r>
      <w:r>
        <w:rPr>
          <w:sz w:val="24"/>
          <w:szCs w:val="24"/>
          <w:rFonts w:ascii="Arial" w:hAnsi="Arial"/>
        </w:rPr>
        <w:t xml:space="preserve"> </w:t>
      </w:r>
      <w:r>
        <w:rPr>
          <w:sz w:val="24"/>
          <w:szCs w:val="24"/>
          <w:rFonts w:ascii="Arial" w:hAnsi="Arial"/>
        </w:rPr>
        <w:t xml:space="preserve">”lukuun ottamatta” jälkeen ilmaisu</w:t>
      </w:r>
      <w:r>
        <w:rPr>
          <w:sz w:val="24"/>
          <w:szCs w:val="24"/>
          <w:rFonts w:ascii="Arial" w:hAnsi="Arial"/>
        </w:rPr>
        <w:t xml:space="preserve"> </w:t>
      </w:r>
      <w:r>
        <w:rPr>
          <w:sz w:val="24"/>
          <w:szCs w:val="24"/>
          <w:rFonts w:ascii="Arial" w:hAnsi="Arial"/>
        </w:rPr>
        <w:t xml:space="preserve">”henkilökohtaisia liikkumisvälineitä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29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Lisätään R. 417-11 §:n I momentin 8 alamomentissa ilmaisun</w:t>
      </w:r>
      <w:r>
        <w:rPr>
          <w:sz w:val="24"/>
          <w:szCs w:val="24"/>
          <w:rFonts w:ascii="Arial" w:hAnsi="Arial"/>
        </w:rPr>
        <w:t xml:space="preserve"> </w:t>
      </w:r>
      <w:r>
        <w:rPr>
          <w:sz w:val="24"/>
          <w:szCs w:val="24"/>
          <w:rFonts w:ascii="Arial" w:hAnsi="Arial"/>
        </w:rPr>
        <w:t xml:space="preserve">”lukuun ottamatta” jälkeen ilmaisu</w:t>
      </w:r>
      <w:r>
        <w:rPr>
          <w:sz w:val="24"/>
          <w:szCs w:val="24"/>
          <w:rFonts w:ascii="Arial" w:hAnsi="Arial"/>
        </w:rPr>
        <w:t xml:space="preserve"> </w:t>
      </w:r>
      <w:r>
        <w:rPr>
          <w:sz w:val="24"/>
          <w:szCs w:val="24"/>
          <w:rFonts w:ascii="Arial" w:hAnsi="Arial"/>
        </w:rPr>
        <w:t xml:space="preserve">”moottorikäyttöisiä henkilökohtaisia liikkumisvälineitä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30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Tämän asetuksen 4, 5, 7, 8 ja 11 §:n säännökset tulevat voimaan 1 päivänä heinäkuuta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31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Sinetinhaltija, oikeusministeri, ekologisen ja solidaarisen siirtymän ministeri, sisäministeri sekä ekologisen ja solidaarisen siirtymän ministeriä avustava valtiosihteeri, joka vastaa liikenteestä, ovat kukin omalta osaltaan vastuussa tämän Ranskan tasavallan virallisessa lehdessä julkaistavan asetuksen toimeenpanosta.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Annettu 23 päivänä lokakuuta 2019.</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Pääministerin puolesta: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Sisäministeri,</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Sinetinhaltija, oikeusministeri,</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Ekologisen ja solidaarisen siirtymän ministeri,</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Ekologisen ja solidaarisen siirtymän ministeriä avustava valtiosihteeri, joka vastaa liikenteestä,</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