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838D" w14:textId="77777777" w:rsidR="00803DA4" w:rsidRDefault="00803DA4" w:rsidP="006D1C1E">
      <w:pPr>
        <w:pStyle w:val="Omslagundertitel-F"/>
        <w:rPr>
          <w:rFonts w:ascii="Calibri Light" w:hAnsi="Calibri Light"/>
          <w:sz w:val="64"/>
          <w:szCs w:val="64"/>
        </w:rPr>
      </w:pPr>
    </w:p>
    <w:p w14:paraId="65985033" w14:textId="2CF84054" w:rsidR="006D1C1E" w:rsidRDefault="00B061E3" w:rsidP="006D1C1E">
      <w:pPr>
        <w:pStyle w:val="Omslagundertitel-F"/>
        <w:rPr>
          <w:rFonts w:ascii="Calibri Light" w:hAnsi="Calibri Light"/>
          <w:sz w:val="64"/>
          <w:szCs w:val="64"/>
        </w:rPr>
      </w:pPr>
      <w:r>
        <w:rPr>
          <w:rFonts w:ascii="Calibri Light" w:hAnsi="Calibri Light"/>
          <w:sz w:val="64"/>
        </w:rPr>
        <w:t xml:space="preserve">Règlement de l’agence suédoise de l’alimentation relatif aux compléments alimentaires </w:t>
      </w:r>
    </w:p>
    <w:p w14:paraId="676BD8C3" w14:textId="4BD2118F" w:rsidR="006A0F79" w:rsidRDefault="00B67F0F" w:rsidP="00C77072">
      <w:pPr>
        <w:pStyle w:val="Omslagundertitel-F"/>
      </w:pPr>
      <w:r>
        <w:t>Analyse d’impact de mai 2022</w:t>
      </w:r>
    </w:p>
    <w:p w14:paraId="2F679E9C" w14:textId="354F25A4" w:rsidR="001736A0" w:rsidRPr="00872952" w:rsidRDefault="002242B1" w:rsidP="001736A0">
      <w:pPr>
        <w:pStyle w:val="Omslagfrfattare"/>
      </w:pPr>
      <w:sdt>
        <w:sdt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1470DF">
            <w:t>Livsmedelsverket</w:t>
          </w:r>
          <w:proofErr w:type="spellEnd"/>
        </w:sdtContent>
      </w:sdt>
    </w:p>
    <w:p w14:paraId="353CA47C" w14:textId="77777777" w:rsidR="00A24366" w:rsidRDefault="00A24366">
      <w:pPr>
        <w:rPr>
          <w:rFonts w:ascii="Calibri" w:eastAsiaTheme="majorEastAsia" w:hAnsi="Calibri" w:cstheme="majorHAnsi"/>
          <w:b/>
          <w:bCs/>
          <w:sz w:val="26"/>
        </w:rPr>
      </w:pPr>
      <w:r>
        <w:br w:type="page"/>
      </w:r>
    </w:p>
    <w:bookmarkStart w:id="0" w:name="_Toc33773665" w:displacedByCustomXml="next"/>
    <w:sdt>
      <w:sdtPr>
        <w:rPr>
          <w:rFonts w:asciiTheme="minorHAnsi" w:hAnsiTheme="minorHAnsi" w:cstheme="minorBidi"/>
          <w:sz w:val="22"/>
          <w:szCs w:val="22"/>
          <w:lang w:eastAsia="en-US"/>
        </w:rPr>
        <w:id w:val="-890189390"/>
        <w:docPartObj>
          <w:docPartGallery w:val="Table of Contents"/>
          <w:docPartUnique/>
        </w:docPartObj>
      </w:sdtPr>
      <w:sdtEndPr>
        <w:rPr>
          <w:b/>
          <w:bCs/>
        </w:rPr>
      </w:sdtEndPr>
      <w:sdtContent>
        <w:p w14:paraId="5E21273E" w14:textId="4A25C97B" w:rsidR="00096EEA" w:rsidRDefault="00096EEA">
          <w:pPr>
            <w:pStyle w:val="TOCHeading"/>
          </w:pPr>
          <w:r>
            <w:t>Table des matières</w:t>
          </w:r>
        </w:p>
        <w:p w14:paraId="43A60356" w14:textId="69289484" w:rsidR="002242B1" w:rsidRDefault="00096EEA">
          <w:pPr>
            <w:pStyle w:val="TOC1"/>
            <w:tabs>
              <w:tab w:val="left" w:pos="442"/>
            </w:tabs>
            <w:rPr>
              <w:rFonts w:asciiTheme="minorHAnsi" w:eastAsiaTheme="minorEastAsia" w:hAnsiTheme="minorHAnsi"/>
              <w:lang w:val="en-US"/>
            </w:rPr>
          </w:pPr>
          <w:r>
            <w:fldChar w:fldCharType="begin"/>
          </w:r>
          <w:r>
            <w:instrText xml:space="preserve"> TOC \o "1-3" \h \z \u </w:instrText>
          </w:r>
          <w:r>
            <w:fldChar w:fldCharType="separate"/>
          </w:r>
          <w:hyperlink w:anchor="_Toc106707434" w:history="1">
            <w:r w:rsidR="002242B1" w:rsidRPr="00E831BF">
              <w:rPr>
                <w:rStyle w:val="Hyperlink"/>
                <w14:scene3d>
                  <w14:camera w14:prst="orthographicFront"/>
                  <w14:lightRig w14:rig="threePt" w14:dir="t">
                    <w14:rot w14:lat="0" w14:lon="0" w14:rev="0"/>
                  </w14:lightRig>
                </w14:scene3d>
              </w:rPr>
              <w:t>1.</w:t>
            </w:r>
            <w:r w:rsidR="002242B1">
              <w:rPr>
                <w:rFonts w:asciiTheme="minorHAnsi" w:eastAsiaTheme="minorEastAsia" w:hAnsiTheme="minorHAnsi"/>
                <w:lang w:val="en-US"/>
              </w:rPr>
              <w:tab/>
            </w:r>
            <w:r w:rsidR="002242B1" w:rsidRPr="00E831BF">
              <w:rPr>
                <w:rStyle w:val="Hyperlink"/>
              </w:rPr>
              <w:t>Contexte</w:t>
            </w:r>
            <w:r w:rsidR="002242B1">
              <w:rPr>
                <w:webHidden/>
              </w:rPr>
              <w:tab/>
            </w:r>
            <w:r w:rsidR="002242B1">
              <w:rPr>
                <w:webHidden/>
              </w:rPr>
              <w:fldChar w:fldCharType="begin"/>
            </w:r>
            <w:r w:rsidR="002242B1">
              <w:rPr>
                <w:webHidden/>
              </w:rPr>
              <w:instrText xml:space="preserve"> PAGEREF _Toc106707434 \h </w:instrText>
            </w:r>
            <w:r w:rsidR="002242B1">
              <w:rPr>
                <w:webHidden/>
              </w:rPr>
            </w:r>
            <w:r w:rsidR="002242B1">
              <w:rPr>
                <w:webHidden/>
              </w:rPr>
              <w:fldChar w:fldCharType="separate"/>
            </w:r>
            <w:r w:rsidR="002242B1">
              <w:rPr>
                <w:webHidden/>
              </w:rPr>
              <w:t>3</w:t>
            </w:r>
            <w:r w:rsidR="002242B1">
              <w:rPr>
                <w:webHidden/>
              </w:rPr>
              <w:fldChar w:fldCharType="end"/>
            </w:r>
          </w:hyperlink>
        </w:p>
        <w:p w14:paraId="52DAD907" w14:textId="5AE49091" w:rsidR="002242B1" w:rsidRDefault="002242B1">
          <w:pPr>
            <w:pStyle w:val="TOC2"/>
            <w:tabs>
              <w:tab w:val="left" w:pos="879"/>
              <w:tab w:val="right" w:leader="dot" w:pos="9062"/>
            </w:tabs>
            <w:rPr>
              <w:rFonts w:asciiTheme="minorHAnsi" w:eastAsiaTheme="minorEastAsia" w:hAnsiTheme="minorHAnsi"/>
              <w:noProof/>
              <w:lang w:val="en-US"/>
            </w:rPr>
          </w:pPr>
          <w:hyperlink w:anchor="_Toc106707435" w:history="1">
            <w:r w:rsidRPr="00E831BF">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lang w:val="en-US"/>
              </w:rPr>
              <w:tab/>
            </w:r>
            <w:r w:rsidRPr="00E831BF">
              <w:rPr>
                <w:rStyle w:val="Hyperlink"/>
                <w:noProof/>
              </w:rPr>
              <w:t>Champ d’application</w:t>
            </w:r>
            <w:r>
              <w:rPr>
                <w:noProof/>
                <w:webHidden/>
              </w:rPr>
              <w:tab/>
            </w:r>
            <w:r>
              <w:rPr>
                <w:noProof/>
                <w:webHidden/>
              </w:rPr>
              <w:fldChar w:fldCharType="begin"/>
            </w:r>
            <w:r>
              <w:rPr>
                <w:noProof/>
                <w:webHidden/>
              </w:rPr>
              <w:instrText xml:space="preserve"> PAGEREF _Toc106707435 \h </w:instrText>
            </w:r>
            <w:r>
              <w:rPr>
                <w:noProof/>
                <w:webHidden/>
              </w:rPr>
            </w:r>
            <w:r>
              <w:rPr>
                <w:noProof/>
                <w:webHidden/>
              </w:rPr>
              <w:fldChar w:fldCharType="separate"/>
            </w:r>
            <w:r>
              <w:rPr>
                <w:noProof/>
                <w:webHidden/>
              </w:rPr>
              <w:t>3</w:t>
            </w:r>
            <w:r>
              <w:rPr>
                <w:noProof/>
                <w:webHidden/>
              </w:rPr>
              <w:fldChar w:fldCharType="end"/>
            </w:r>
          </w:hyperlink>
        </w:p>
        <w:p w14:paraId="30C4B2C4" w14:textId="39BB7D66" w:rsidR="002242B1" w:rsidRDefault="002242B1">
          <w:pPr>
            <w:pStyle w:val="TOC2"/>
            <w:tabs>
              <w:tab w:val="left" w:pos="879"/>
              <w:tab w:val="right" w:leader="dot" w:pos="9062"/>
            </w:tabs>
            <w:rPr>
              <w:rFonts w:asciiTheme="minorHAnsi" w:eastAsiaTheme="minorEastAsia" w:hAnsiTheme="minorHAnsi"/>
              <w:noProof/>
              <w:lang w:val="en-US"/>
            </w:rPr>
          </w:pPr>
          <w:hyperlink w:anchor="_Toc106707436" w:history="1">
            <w:r w:rsidRPr="00E831BF">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lang w:val="en-US"/>
              </w:rPr>
              <w:tab/>
            </w:r>
            <w:r w:rsidRPr="00E831BF">
              <w:rPr>
                <w:rStyle w:val="Hyperlink"/>
                <w:noProof/>
              </w:rPr>
              <w:t>Mise en œuvre</w:t>
            </w:r>
            <w:r>
              <w:rPr>
                <w:noProof/>
                <w:webHidden/>
              </w:rPr>
              <w:tab/>
            </w:r>
            <w:r>
              <w:rPr>
                <w:noProof/>
                <w:webHidden/>
              </w:rPr>
              <w:fldChar w:fldCharType="begin"/>
            </w:r>
            <w:r>
              <w:rPr>
                <w:noProof/>
                <w:webHidden/>
              </w:rPr>
              <w:instrText xml:space="preserve"> PAGEREF _Toc106707436 \h </w:instrText>
            </w:r>
            <w:r>
              <w:rPr>
                <w:noProof/>
                <w:webHidden/>
              </w:rPr>
            </w:r>
            <w:r>
              <w:rPr>
                <w:noProof/>
                <w:webHidden/>
              </w:rPr>
              <w:fldChar w:fldCharType="separate"/>
            </w:r>
            <w:r>
              <w:rPr>
                <w:noProof/>
                <w:webHidden/>
              </w:rPr>
              <w:t>3</w:t>
            </w:r>
            <w:r>
              <w:rPr>
                <w:noProof/>
                <w:webHidden/>
              </w:rPr>
              <w:fldChar w:fldCharType="end"/>
            </w:r>
          </w:hyperlink>
        </w:p>
        <w:p w14:paraId="050ADF26" w14:textId="31DA1459" w:rsidR="002242B1" w:rsidRDefault="002242B1">
          <w:pPr>
            <w:pStyle w:val="TOC2"/>
            <w:tabs>
              <w:tab w:val="left" w:pos="879"/>
              <w:tab w:val="right" w:leader="dot" w:pos="9062"/>
            </w:tabs>
            <w:rPr>
              <w:rFonts w:asciiTheme="minorHAnsi" w:eastAsiaTheme="minorEastAsia" w:hAnsiTheme="minorHAnsi"/>
              <w:noProof/>
              <w:lang w:val="en-US"/>
            </w:rPr>
          </w:pPr>
          <w:hyperlink w:anchor="_Toc106707437" w:history="1">
            <w:r w:rsidRPr="00E831BF">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lang w:val="en-US"/>
              </w:rPr>
              <w:tab/>
            </w:r>
            <w:r w:rsidRPr="00E831BF">
              <w:rPr>
                <w:rStyle w:val="Hyperlink"/>
                <w:noProof/>
              </w:rPr>
              <w:t>Vitamines et minéraux dans les compléments alimentaires</w:t>
            </w:r>
            <w:r>
              <w:rPr>
                <w:noProof/>
                <w:webHidden/>
              </w:rPr>
              <w:tab/>
            </w:r>
            <w:r>
              <w:rPr>
                <w:noProof/>
                <w:webHidden/>
              </w:rPr>
              <w:fldChar w:fldCharType="begin"/>
            </w:r>
            <w:r>
              <w:rPr>
                <w:noProof/>
                <w:webHidden/>
              </w:rPr>
              <w:instrText xml:space="preserve"> PAGEREF _Toc106707437 \h </w:instrText>
            </w:r>
            <w:r>
              <w:rPr>
                <w:noProof/>
                <w:webHidden/>
              </w:rPr>
            </w:r>
            <w:r>
              <w:rPr>
                <w:noProof/>
                <w:webHidden/>
              </w:rPr>
              <w:fldChar w:fldCharType="separate"/>
            </w:r>
            <w:r>
              <w:rPr>
                <w:noProof/>
                <w:webHidden/>
              </w:rPr>
              <w:t>4</w:t>
            </w:r>
            <w:r>
              <w:rPr>
                <w:noProof/>
                <w:webHidden/>
              </w:rPr>
              <w:fldChar w:fldCharType="end"/>
            </w:r>
          </w:hyperlink>
        </w:p>
        <w:p w14:paraId="0D1F7565" w14:textId="16A0236A" w:rsidR="002242B1" w:rsidRDefault="002242B1">
          <w:pPr>
            <w:pStyle w:val="TOC2"/>
            <w:tabs>
              <w:tab w:val="left" w:pos="879"/>
              <w:tab w:val="right" w:leader="dot" w:pos="9062"/>
            </w:tabs>
            <w:rPr>
              <w:rFonts w:asciiTheme="minorHAnsi" w:eastAsiaTheme="minorEastAsia" w:hAnsiTheme="minorHAnsi"/>
              <w:noProof/>
              <w:lang w:val="en-US"/>
            </w:rPr>
          </w:pPr>
          <w:hyperlink w:anchor="_Toc106707438" w:history="1">
            <w:r w:rsidRPr="00E831BF">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lang w:val="en-US"/>
              </w:rPr>
              <w:tab/>
            </w:r>
            <w:r w:rsidRPr="00E831BF">
              <w:rPr>
                <w:rStyle w:val="Hyperlink"/>
                <w:noProof/>
              </w:rPr>
              <w:t>Risques posés par les niveaux de concentration élevés</w:t>
            </w:r>
            <w:r>
              <w:rPr>
                <w:noProof/>
                <w:webHidden/>
              </w:rPr>
              <w:tab/>
            </w:r>
            <w:r>
              <w:rPr>
                <w:noProof/>
                <w:webHidden/>
              </w:rPr>
              <w:fldChar w:fldCharType="begin"/>
            </w:r>
            <w:r>
              <w:rPr>
                <w:noProof/>
                <w:webHidden/>
              </w:rPr>
              <w:instrText xml:space="preserve"> PAGEREF _Toc106707438 \h </w:instrText>
            </w:r>
            <w:r>
              <w:rPr>
                <w:noProof/>
                <w:webHidden/>
              </w:rPr>
            </w:r>
            <w:r>
              <w:rPr>
                <w:noProof/>
                <w:webHidden/>
              </w:rPr>
              <w:fldChar w:fldCharType="separate"/>
            </w:r>
            <w:r>
              <w:rPr>
                <w:noProof/>
                <w:webHidden/>
              </w:rPr>
              <w:t>6</w:t>
            </w:r>
            <w:r>
              <w:rPr>
                <w:noProof/>
                <w:webHidden/>
              </w:rPr>
              <w:fldChar w:fldCharType="end"/>
            </w:r>
          </w:hyperlink>
        </w:p>
        <w:p w14:paraId="0AE76D33" w14:textId="2D8E4B60" w:rsidR="002242B1" w:rsidRDefault="002242B1">
          <w:pPr>
            <w:pStyle w:val="TOC2"/>
            <w:tabs>
              <w:tab w:val="left" w:pos="879"/>
              <w:tab w:val="right" w:leader="dot" w:pos="9062"/>
            </w:tabs>
            <w:rPr>
              <w:rFonts w:asciiTheme="minorHAnsi" w:eastAsiaTheme="minorEastAsia" w:hAnsiTheme="minorHAnsi"/>
              <w:noProof/>
              <w:lang w:val="en-US"/>
            </w:rPr>
          </w:pPr>
          <w:hyperlink w:anchor="_Toc106707439" w:history="1">
            <w:r w:rsidRPr="00E831BF">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lang w:val="en-US"/>
              </w:rPr>
              <w:tab/>
            </w:r>
            <w:r w:rsidRPr="00E831BF">
              <w:rPr>
                <w:rStyle w:val="Hyperlink"/>
                <w:noProof/>
              </w:rPr>
              <w:t>Présence de compléments alimentaires à teneur élevée</w:t>
            </w:r>
            <w:r>
              <w:rPr>
                <w:noProof/>
                <w:webHidden/>
              </w:rPr>
              <w:tab/>
            </w:r>
            <w:r>
              <w:rPr>
                <w:noProof/>
                <w:webHidden/>
              </w:rPr>
              <w:fldChar w:fldCharType="begin"/>
            </w:r>
            <w:r>
              <w:rPr>
                <w:noProof/>
                <w:webHidden/>
              </w:rPr>
              <w:instrText xml:space="preserve"> PAGEREF _Toc106707439 \h </w:instrText>
            </w:r>
            <w:r>
              <w:rPr>
                <w:noProof/>
                <w:webHidden/>
              </w:rPr>
            </w:r>
            <w:r>
              <w:rPr>
                <w:noProof/>
                <w:webHidden/>
              </w:rPr>
              <w:fldChar w:fldCharType="separate"/>
            </w:r>
            <w:r>
              <w:rPr>
                <w:noProof/>
                <w:webHidden/>
              </w:rPr>
              <w:t>7</w:t>
            </w:r>
            <w:r>
              <w:rPr>
                <w:noProof/>
                <w:webHidden/>
              </w:rPr>
              <w:fldChar w:fldCharType="end"/>
            </w:r>
          </w:hyperlink>
        </w:p>
        <w:p w14:paraId="6B54F845" w14:textId="756AC27D" w:rsidR="002242B1" w:rsidRDefault="002242B1">
          <w:pPr>
            <w:pStyle w:val="TOC2"/>
            <w:tabs>
              <w:tab w:val="left" w:pos="879"/>
              <w:tab w:val="right" w:leader="dot" w:pos="9062"/>
            </w:tabs>
            <w:rPr>
              <w:rFonts w:asciiTheme="minorHAnsi" w:eastAsiaTheme="minorEastAsia" w:hAnsiTheme="minorHAnsi"/>
              <w:noProof/>
              <w:lang w:val="en-US"/>
            </w:rPr>
          </w:pPr>
          <w:hyperlink w:anchor="_Toc106707440" w:history="1">
            <w:r w:rsidRPr="00E831BF">
              <w:rPr>
                <w:rStyle w:val="Hyperlink"/>
                <w:noProof/>
                <w14:scene3d>
                  <w14:camera w14:prst="orthographicFront"/>
                  <w14:lightRig w14:rig="threePt" w14:dir="t">
                    <w14:rot w14:lat="0" w14:lon="0" w14:rev="0"/>
                  </w14:lightRig>
                </w14:scene3d>
              </w:rPr>
              <w:t>1.6</w:t>
            </w:r>
            <w:r>
              <w:rPr>
                <w:rFonts w:asciiTheme="minorHAnsi" w:eastAsiaTheme="minorEastAsia" w:hAnsiTheme="minorHAnsi"/>
                <w:noProof/>
                <w:lang w:val="en-US"/>
              </w:rPr>
              <w:tab/>
            </w:r>
            <w:r w:rsidRPr="00E831BF">
              <w:rPr>
                <w:rStyle w:val="Hyperlink"/>
                <w:noProof/>
              </w:rPr>
              <w:t>Règlement actuel</w:t>
            </w:r>
            <w:r>
              <w:rPr>
                <w:noProof/>
                <w:webHidden/>
              </w:rPr>
              <w:tab/>
            </w:r>
            <w:r>
              <w:rPr>
                <w:noProof/>
                <w:webHidden/>
              </w:rPr>
              <w:fldChar w:fldCharType="begin"/>
            </w:r>
            <w:r>
              <w:rPr>
                <w:noProof/>
                <w:webHidden/>
              </w:rPr>
              <w:instrText xml:space="preserve"> PAGEREF _Toc106707440 \h </w:instrText>
            </w:r>
            <w:r>
              <w:rPr>
                <w:noProof/>
                <w:webHidden/>
              </w:rPr>
            </w:r>
            <w:r>
              <w:rPr>
                <w:noProof/>
                <w:webHidden/>
              </w:rPr>
              <w:fldChar w:fldCharType="separate"/>
            </w:r>
            <w:r>
              <w:rPr>
                <w:noProof/>
                <w:webHidden/>
              </w:rPr>
              <w:t>9</w:t>
            </w:r>
            <w:r>
              <w:rPr>
                <w:noProof/>
                <w:webHidden/>
              </w:rPr>
              <w:fldChar w:fldCharType="end"/>
            </w:r>
          </w:hyperlink>
        </w:p>
        <w:p w14:paraId="35C5587E" w14:textId="4A8F76E2" w:rsidR="002242B1" w:rsidRDefault="002242B1">
          <w:pPr>
            <w:pStyle w:val="TOC1"/>
            <w:tabs>
              <w:tab w:val="left" w:pos="442"/>
            </w:tabs>
            <w:rPr>
              <w:rFonts w:asciiTheme="minorHAnsi" w:eastAsiaTheme="minorEastAsia" w:hAnsiTheme="minorHAnsi"/>
              <w:lang w:val="en-US"/>
            </w:rPr>
          </w:pPr>
          <w:hyperlink w:anchor="_Toc106707441" w:history="1">
            <w:r w:rsidRPr="00E831BF">
              <w:rPr>
                <w:rStyle w:val="Hyperlink"/>
                <w14:scene3d>
                  <w14:camera w14:prst="orthographicFront"/>
                  <w14:lightRig w14:rig="threePt" w14:dir="t">
                    <w14:rot w14:lat="0" w14:lon="0" w14:rev="0"/>
                  </w14:lightRig>
                </w14:scene3d>
              </w:rPr>
              <w:t>2.</w:t>
            </w:r>
            <w:r>
              <w:rPr>
                <w:rFonts w:asciiTheme="minorHAnsi" w:eastAsiaTheme="minorEastAsia" w:hAnsiTheme="minorHAnsi"/>
                <w:lang w:val="en-US"/>
              </w:rPr>
              <w:tab/>
            </w:r>
            <w:r w:rsidRPr="00E831BF">
              <w:rPr>
                <w:rStyle w:val="Hyperlink"/>
              </w:rPr>
              <w:t>Mesures proposées</w:t>
            </w:r>
            <w:r>
              <w:rPr>
                <w:webHidden/>
              </w:rPr>
              <w:tab/>
            </w:r>
            <w:r>
              <w:rPr>
                <w:webHidden/>
              </w:rPr>
              <w:fldChar w:fldCharType="begin"/>
            </w:r>
            <w:r>
              <w:rPr>
                <w:webHidden/>
              </w:rPr>
              <w:instrText xml:space="preserve"> PAGEREF _Toc106707441 \h </w:instrText>
            </w:r>
            <w:r>
              <w:rPr>
                <w:webHidden/>
              </w:rPr>
            </w:r>
            <w:r>
              <w:rPr>
                <w:webHidden/>
              </w:rPr>
              <w:fldChar w:fldCharType="separate"/>
            </w:r>
            <w:r>
              <w:rPr>
                <w:webHidden/>
              </w:rPr>
              <w:t>10</w:t>
            </w:r>
            <w:r>
              <w:rPr>
                <w:webHidden/>
              </w:rPr>
              <w:fldChar w:fldCharType="end"/>
            </w:r>
          </w:hyperlink>
        </w:p>
        <w:p w14:paraId="6EE0A320" w14:textId="1E5E76C5" w:rsidR="002242B1" w:rsidRDefault="002242B1">
          <w:pPr>
            <w:pStyle w:val="TOC2"/>
            <w:tabs>
              <w:tab w:val="left" w:pos="879"/>
              <w:tab w:val="right" w:leader="dot" w:pos="9062"/>
            </w:tabs>
            <w:rPr>
              <w:rFonts w:asciiTheme="minorHAnsi" w:eastAsiaTheme="minorEastAsia" w:hAnsiTheme="minorHAnsi"/>
              <w:noProof/>
              <w:lang w:val="en-US"/>
            </w:rPr>
          </w:pPr>
          <w:hyperlink w:anchor="_Toc106707442" w:history="1">
            <w:r w:rsidRPr="00E831BF">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lang w:val="en-US"/>
              </w:rPr>
              <w:tab/>
            </w:r>
            <w:r w:rsidRPr="00E831BF">
              <w:rPr>
                <w:rStyle w:val="Hyperlink"/>
                <w:noProof/>
              </w:rPr>
              <w:t>Valeurs maximales de la vitamine D et de l’iode</w:t>
            </w:r>
            <w:r>
              <w:rPr>
                <w:noProof/>
                <w:webHidden/>
              </w:rPr>
              <w:tab/>
            </w:r>
            <w:r>
              <w:rPr>
                <w:noProof/>
                <w:webHidden/>
              </w:rPr>
              <w:fldChar w:fldCharType="begin"/>
            </w:r>
            <w:r>
              <w:rPr>
                <w:noProof/>
                <w:webHidden/>
              </w:rPr>
              <w:instrText xml:space="preserve"> PAGEREF _Toc106707442 \h </w:instrText>
            </w:r>
            <w:r>
              <w:rPr>
                <w:noProof/>
                <w:webHidden/>
              </w:rPr>
            </w:r>
            <w:r>
              <w:rPr>
                <w:noProof/>
                <w:webHidden/>
              </w:rPr>
              <w:fldChar w:fldCharType="separate"/>
            </w:r>
            <w:r>
              <w:rPr>
                <w:noProof/>
                <w:webHidden/>
              </w:rPr>
              <w:t>10</w:t>
            </w:r>
            <w:r>
              <w:rPr>
                <w:noProof/>
                <w:webHidden/>
              </w:rPr>
              <w:fldChar w:fldCharType="end"/>
            </w:r>
          </w:hyperlink>
        </w:p>
        <w:p w14:paraId="3ADEFC29" w14:textId="0EEB57D3" w:rsidR="002242B1" w:rsidRDefault="002242B1">
          <w:pPr>
            <w:pStyle w:val="TOC2"/>
            <w:tabs>
              <w:tab w:val="left" w:pos="879"/>
              <w:tab w:val="right" w:leader="dot" w:pos="9062"/>
            </w:tabs>
            <w:rPr>
              <w:rFonts w:asciiTheme="minorHAnsi" w:eastAsiaTheme="minorEastAsia" w:hAnsiTheme="minorHAnsi"/>
              <w:noProof/>
              <w:lang w:val="en-US"/>
            </w:rPr>
          </w:pPr>
          <w:hyperlink w:anchor="_Toc106707443" w:history="1">
            <w:r w:rsidRPr="00E831BF">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lang w:val="en-US"/>
              </w:rPr>
              <w:tab/>
            </w:r>
            <w:r w:rsidRPr="00E831BF">
              <w:rPr>
                <w:rStyle w:val="Hyperlink"/>
                <w:noProof/>
              </w:rPr>
              <w:t>Période transitoire et exemptions</w:t>
            </w:r>
            <w:r>
              <w:rPr>
                <w:noProof/>
                <w:webHidden/>
              </w:rPr>
              <w:tab/>
            </w:r>
            <w:r>
              <w:rPr>
                <w:noProof/>
                <w:webHidden/>
              </w:rPr>
              <w:fldChar w:fldCharType="begin"/>
            </w:r>
            <w:r>
              <w:rPr>
                <w:noProof/>
                <w:webHidden/>
              </w:rPr>
              <w:instrText xml:space="preserve"> PAGEREF _Toc106707443 \h </w:instrText>
            </w:r>
            <w:r>
              <w:rPr>
                <w:noProof/>
                <w:webHidden/>
              </w:rPr>
            </w:r>
            <w:r>
              <w:rPr>
                <w:noProof/>
                <w:webHidden/>
              </w:rPr>
              <w:fldChar w:fldCharType="separate"/>
            </w:r>
            <w:r>
              <w:rPr>
                <w:noProof/>
                <w:webHidden/>
              </w:rPr>
              <w:t>12</w:t>
            </w:r>
            <w:r>
              <w:rPr>
                <w:noProof/>
                <w:webHidden/>
              </w:rPr>
              <w:fldChar w:fldCharType="end"/>
            </w:r>
          </w:hyperlink>
        </w:p>
        <w:p w14:paraId="177C7C5A" w14:textId="7A294657" w:rsidR="002242B1" w:rsidRDefault="002242B1">
          <w:pPr>
            <w:pStyle w:val="TOC2"/>
            <w:tabs>
              <w:tab w:val="left" w:pos="879"/>
              <w:tab w:val="right" w:leader="dot" w:pos="9062"/>
            </w:tabs>
            <w:rPr>
              <w:rFonts w:asciiTheme="minorHAnsi" w:eastAsiaTheme="minorEastAsia" w:hAnsiTheme="minorHAnsi"/>
              <w:noProof/>
              <w:lang w:val="en-US"/>
            </w:rPr>
          </w:pPr>
          <w:hyperlink w:anchor="_Toc106707444" w:history="1">
            <w:r w:rsidRPr="00E831BF">
              <w:rPr>
                <w:rStyle w:val="Hyperlink"/>
                <w:noProof/>
                <w14:scene3d>
                  <w14:camera w14:prst="orthographicFront"/>
                  <w14:lightRig w14:rig="threePt" w14:dir="t">
                    <w14:rot w14:lat="0" w14:lon="0" w14:rev="0"/>
                  </w14:lightRig>
                </w14:scene3d>
              </w:rPr>
              <w:t>2.3</w:t>
            </w:r>
            <w:r>
              <w:rPr>
                <w:rFonts w:asciiTheme="minorHAnsi" w:eastAsiaTheme="minorEastAsia" w:hAnsiTheme="minorHAnsi"/>
                <w:noProof/>
                <w:lang w:val="en-US"/>
              </w:rPr>
              <w:tab/>
            </w:r>
            <w:r w:rsidRPr="00E831BF">
              <w:rPr>
                <w:rStyle w:val="Hyperlink"/>
                <w:noProof/>
              </w:rPr>
              <w:t>Conditions juridiques et pouvoirs habilitants</w:t>
            </w:r>
            <w:r>
              <w:rPr>
                <w:noProof/>
                <w:webHidden/>
              </w:rPr>
              <w:tab/>
            </w:r>
            <w:r>
              <w:rPr>
                <w:noProof/>
                <w:webHidden/>
              </w:rPr>
              <w:fldChar w:fldCharType="begin"/>
            </w:r>
            <w:r>
              <w:rPr>
                <w:noProof/>
                <w:webHidden/>
              </w:rPr>
              <w:instrText xml:space="preserve"> PAGEREF _Toc106707444 \h </w:instrText>
            </w:r>
            <w:r>
              <w:rPr>
                <w:noProof/>
                <w:webHidden/>
              </w:rPr>
            </w:r>
            <w:r>
              <w:rPr>
                <w:noProof/>
                <w:webHidden/>
              </w:rPr>
              <w:fldChar w:fldCharType="separate"/>
            </w:r>
            <w:r>
              <w:rPr>
                <w:noProof/>
                <w:webHidden/>
              </w:rPr>
              <w:t>13</w:t>
            </w:r>
            <w:r>
              <w:rPr>
                <w:noProof/>
                <w:webHidden/>
              </w:rPr>
              <w:fldChar w:fldCharType="end"/>
            </w:r>
          </w:hyperlink>
        </w:p>
        <w:p w14:paraId="1DBB38CD" w14:textId="6F28977D" w:rsidR="002242B1" w:rsidRDefault="002242B1">
          <w:pPr>
            <w:pStyle w:val="TOC2"/>
            <w:tabs>
              <w:tab w:val="left" w:pos="879"/>
              <w:tab w:val="right" w:leader="dot" w:pos="9062"/>
            </w:tabs>
            <w:rPr>
              <w:rFonts w:asciiTheme="minorHAnsi" w:eastAsiaTheme="minorEastAsia" w:hAnsiTheme="minorHAnsi"/>
              <w:noProof/>
              <w:lang w:val="en-US"/>
            </w:rPr>
          </w:pPr>
          <w:hyperlink w:anchor="_Toc106707445" w:history="1">
            <w:r w:rsidRPr="00E831BF">
              <w:rPr>
                <w:rStyle w:val="Hyperlink"/>
                <w:noProof/>
                <w14:scene3d>
                  <w14:camera w14:prst="orthographicFront"/>
                  <w14:lightRig w14:rig="threePt" w14:dir="t">
                    <w14:rot w14:lat="0" w14:lon="0" w14:rev="0"/>
                  </w14:lightRig>
                </w14:scene3d>
              </w:rPr>
              <w:t>2.4</w:t>
            </w:r>
            <w:r>
              <w:rPr>
                <w:rFonts w:asciiTheme="minorHAnsi" w:eastAsiaTheme="minorEastAsia" w:hAnsiTheme="minorHAnsi"/>
                <w:noProof/>
                <w:lang w:val="en-US"/>
              </w:rPr>
              <w:tab/>
            </w:r>
            <w:r w:rsidRPr="00E831BF">
              <w:rPr>
                <w:rStyle w:val="Hyperlink"/>
                <w:noProof/>
              </w:rPr>
              <w:t>Mesures alternatives</w:t>
            </w:r>
            <w:r>
              <w:rPr>
                <w:noProof/>
                <w:webHidden/>
              </w:rPr>
              <w:tab/>
            </w:r>
            <w:r>
              <w:rPr>
                <w:noProof/>
                <w:webHidden/>
              </w:rPr>
              <w:fldChar w:fldCharType="begin"/>
            </w:r>
            <w:r>
              <w:rPr>
                <w:noProof/>
                <w:webHidden/>
              </w:rPr>
              <w:instrText xml:space="preserve"> PAGEREF _Toc106707445 \h </w:instrText>
            </w:r>
            <w:r>
              <w:rPr>
                <w:noProof/>
                <w:webHidden/>
              </w:rPr>
            </w:r>
            <w:r>
              <w:rPr>
                <w:noProof/>
                <w:webHidden/>
              </w:rPr>
              <w:fldChar w:fldCharType="separate"/>
            </w:r>
            <w:r>
              <w:rPr>
                <w:noProof/>
                <w:webHidden/>
              </w:rPr>
              <w:t>13</w:t>
            </w:r>
            <w:r>
              <w:rPr>
                <w:noProof/>
                <w:webHidden/>
              </w:rPr>
              <w:fldChar w:fldCharType="end"/>
            </w:r>
          </w:hyperlink>
        </w:p>
        <w:p w14:paraId="327EDB7A" w14:textId="599B2F68" w:rsidR="002242B1" w:rsidRDefault="002242B1">
          <w:pPr>
            <w:pStyle w:val="TOC1"/>
            <w:tabs>
              <w:tab w:val="left" w:pos="442"/>
            </w:tabs>
            <w:rPr>
              <w:rFonts w:asciiTheme="minorHAnsi" w:eastAsiaTheme="minorEastAsia" w:hAnsiTheme="minorHAnsi"/>
              <w:lang w:val="en-US"/>
            </w:rPr>
          </w:pPr>
          <w:hyperlink w:anchor="_Toc106707446" w:history="1">
            <w:r w:rsidRPr="00E831BF">
              <w:rPr>
                <w:rStyle w:val="Hyperlink"/>
                <w14:scene3d>
                  <w14:camera w14:prst="orthographicFront"/>
                  <w14:lightRig w14:rig="threePt" w14:dir="t">
                    <w14:rot w14:lat="0" w14:lon="0" w14:rev="0"/>
                  </w14:lightRig>
                </w14:scene3d>
              </w:rPr>
              <w:t>3.</w:t>
            </w:r>
            <w:r>
              <w:rPr>
                <w:rFonts w:asciiTheme="minorHAnsi" w:eastAsiaTheme="minorEastAsia" w:hAnsiTheme="minorHAnsi"/>
                <w:lang w:val="en-US"/>
              </w:rPr>
              <w:tab/>
            </w:r>
            <w:r w:rsidRPr="00E831BF">
              <w:rPr>
                <w:rStyle w:val="Hyperlink"/>
              </w:rPr>
              <w:t>Incidence</w:t>
            </w:r>
            <w:r>
              <w:rPr>
                <w:webHidden/>
              </w:rPr>
              <w:tab/>
            </w:r>
            <w:r>
              <w:rPr>
                <w:webHidden/>
              </w:rPr>
              <w:fldChar w:fldCharType="begin"/>
            </w:r>
            <w:r>
              <w:rPr>
                <w:webHidden/>
              </w:rPr>
              <w:instrText xml:space="preserve"> PAGEREF _Toc106707446 \h </w:instrText>
            </w:r>
            <w:r>
              <w:rPr>
                <w:webHidden/>
              </w:rPr>
            </w:r>
            <w:r>
              <w:rPr>
                <w:webHidden/>
              </w:rPr>
              <w:fldChar w:fldCharType="separate"/>
            </w:r>
            <w:r>
              <w:rPr>
                <w:webHidden/>
              </w:rPr>
              <w:t>15</w:t>
            </w:r>
            <w:r>
              <w:rPr>
                <w:webHidden/>
              </w:rPr>
              <w:fldChar w:fldCharType="end"/>
            </w:r>
          </w:hyperlink>
        </w:p>
        <w:p w14:paraId="47B6AA57" w14:textId="7DFE7ED0" w:rsidR="002242B1" w:rsidRDefault="002242B1">
          <w:pPr>
            <w:pStyle w:val="TOC2"/>
            <w:tabs>
              <w:tab w:val="left" w:pos="879"/>
              <w:tab w:val="right" w:leader="dot" w:pos="9062"/>
            </w:tabs>
            <w:rPr>
              <w:rFonts w:asciiTheme="minorHAnsi" w:eastAsiaTheme="minorEastAsia" w:hAnsiTheme="minorHAnsi"/>
              <w:noProof/>
              <w:lang w:val="en-US"/>
            </w:rPr>
          </w:pPr>
          <w:hyperlink w:anchor="_Toc106707447" w:history="1">
            <w:r w:rsidRPr="00E831BF">
              <w:rPr>
                <w:rStyle w:val="Hyperlink"/>
                <w:noProof/>
                <w14:scene3d>
                  <w14:camera w14:prst="orthographicFront"/>
                  <w14:lightRig w14:rig="threePt" w14:dir="t">
                    <w14:rot w14:lat="0" w14:lon="0" w14:rev="0"/>
                  </w14:lightRig>
                </w14:scene3d>
              </w:rPr>
              <w:t>3.1</w:t>
            </w:r>
            <w:r>
              <w:rPr>
                <w:rFonts w:asciiTheme="minorHAnsi" w:eastAsiaTheme="minorEastAsia" w:hAnsiTheme="minorHAnsi"/>
                <w:noProof/>
                <w:lang w:val="en-US"/>
              </w:rPr>
              <w:tab/>
            </w:r>
            <w:r w:rsidRPr="00E831BF">
              <w:rPr>
                <w:rStyle w:val="Hyperlink"/>
                <w:noProof/>
              </w:rPr>
              <w:t>Conséquences pour les consommateurs</w:t>
            </w:r>
            <w:r>
              <w:rPr>
                <w:noProof/>
                <w:webHidden/>
              </w:rPr>
              <w:tab/>
            </w:r>
            <w:r>
              <w:rPr>
                <w:noProof/>
                <w:webHidden/>
              </w:rPr>
              <w:fldChar w:fldCharType="begin"/>
            </w:r>
            <w:r>
              <w:rPr>
                <w:noProof/>
                <w:webHidden/>
              </w:rPr>
              <w:instrText xml:space="preserve"> PAGEREF _Toc106707447 \h </w:instrText>
            </w:r>
            <w:r>
              <w:rPr>
                <w:noProof/>
                <w:webHidden/>
              </w:rPr>
            </w:r>
            <w:r>
              <w:rPr>
                <w:noProof/>
                <w:webHidden/>
              </w:rPr>
              <w:fldChar w:fldCharType="separate"/>
            </w:r>
            <w:r>
              <w:rPr>
                <w:noProof/>
                <w:webHidden/>
              </w:rPr>
              <w:t>15</w:t>
            </w:r>
            <w:r>
              <w:rPr>
                <w:noProof/>
                <w:webHidden/>
              </w:rPr>
              <w:fldChar w:fldCharType="end"/>
            </w:r>
          </w:hyperlink>
        </w:p>
        <w:p w14:paraId="45B1AF56" w14:textId="40034C99" w:rsidR="002242B1" w:rsidRDefault="002242B1">
          <w:pPr>
            <w:pStyle w:val="TOC2"/>
            <w:tabs>
              <w:tab w:val="left" w:pos="879"/>
              <w:tab w:val="right" w:leader="dot" w:pos="9062"/>
            </w:tabs>
            <w:rPr>
              <w:rFonts w:asciiTheme="minorHAnsi" w:eastAsiaTheme="minorEastAsia" w:hAnsiTheme="minorHAnsi"/>
              <w:noProof/>
              <w:lang w:val="en-US"/>
            </w:rPr>
          </w:pPr>
          <w:hyperlink w:anchor="_Toc106707448" w:history="1">
            <w:r w:rsidRPr="00E831BF">
              <w:rPr>
                <w:rStyle w:val="Hyperlink"/>
                <w:noProof/>
                <w14:scene3d>
                  <w14:camera w14:prst="orthographicFront"/>
                  <w14:lightRig w14:rig="threePt" w14:dir="t">
                    <w14:rot w14:lat="0" w14:lon="0" w14:rev="0"/>
                  </w14:lightRig>
                </w14:scene3d>
              </w:rPr>
              <w:t>3.2</w:t>
            </w:r>
            <w:r>
              <w:rPr>
                <w:rFonts w:asciiTheme="minorHAnsi" w:eastAsiaTheme="minorEastAsia" w:hAnsiTheme="minorHAnsi"/>
                <w:noProof/>
                <w:lang w:val="en-US"/>
              </w:rPr>
              <w:tab/>
            </w:r>
            <w:r w:rsidRPr="00E831BF">
              <w:rPr>
                <w:rStyle w:val="Hyperlink"/>
                <w:noProof/>
              </w:rPr>
              <w:t>Conséquences pour les entreprises concernées</w:t>
            </w:r>
            <w:r>
              <w:rPr>
                <w:noProof/>
                <w:webHidden/>
              </w:rPr>
              <w:tab/>
            </w:r>
            <w:r>
              <w:rPr>
                <w:noProof/>
                <w:webHidden/>
              </w:rPr>
              <w:fldChar w:fldCharType="begin"/>
            </w:r>
            <w:r>
              <w:rPr>
                <w:noProof/>
                <w:webHidden/>
              </w:rPr>
              <w:instrText xml:space="preserve"> PAGEREF _Toc106707448 \h </w:instrText>
            </w:r>
            <w:r>
              <w:rPr>
                <w:noProof/>
                <w:webHidden/>
              </w:rPr>
            </w:r>
            <w:r>
              <w:rPr>
                <w:noProof/>
                <w:webHidden/>
              </w:rPr>
              <w:fldChar w:fldCharType="separate"/>
            </w:r>
            <w:r>
              <w:rPr>
                <w:noProof/>
                <w:webHidden/>
              </w:rPr>
              <w:t>15</w:t>
            </w:r>
            <w:r>
              <w:rPr>
                <w:noProof/>
                <w:webHidden/>
              </w:rPr>
              <w:fldChar w:fldCharType="end"/>
            </w:r>
          </w:hyperlink>
        </w:p>
        <w:p w14:paraId="4CA04704" w14:textId="7409020F" w:rsidR="002242B1" w:rsidRDefault="002242B1">
          <w:pPr>
            <w:pStyle w:val="TOC2"/>
            <w:tabs>
              <w:tab w:val="left" w:pos="879"/>
              <w:tab w:val="right" w:leader="dot" w:pos="9062"/>
            </w:tabs>
            <w:rPr>
              <w:rFonts w:asciiTheme="minorHAnsi" w:eastAsiaTheme="minorEastAsia" w:hAnsiTheme="minorHAnsi"/>
              <w:noProof/>
              <w:lang w:val="en-US"/>
            </w:rPr>
          </w:pPr>
          <w:hyperlink w:anchor="_Toc106707449" w:history="1">
            <w:r w:rsidRPr="00E831BF">
              <w:rPr>
                <w:rStyle w:val="Hyperlink"/>
                <w:noProof/>
                <w14:scene3d>
                  <w14:camera w14:prst="orthographicFront"/>
                  <w14:lightRig w14:rig="threePt" w14:dir="t">
                    <w14:rot w14:lat="0" w14:lon="0" w14:rev="0"/>
                  </w14:lightRig>
                </w14:scene3d>
              </w:rPr>
              <w:t>3.3</w:t>
            </w:r>
            <w:r>
              <w:rPr>
                <w:rFonts w:asciiTheme="minorHAnsi" w:eastAsiaTheme="minorEastAsia" w:hAnsiTheme="minorHAnsi"/>
                <w:noProof/>
                <w:lang w:val="en-US"/>
              </w:rPr>
              <w:tab/>
            </w:r>
            <w:r w:rsidRPr="00E831BF">
              <w:rPr>
                <w:rStyle w:val="Hyperlink"/>
                <w:noProof/>
              </w:rPr>
              <w:t>Conséquences pour le secteur public</w:t>
            </w:r>
            <w:r>
              <w:rPr>
                <w:noProof/>
                <w:webHidden/>
              </w:rPr>
              <w:tab/>
            </w:r>
            <w:r>
              <w:rPr>
                <w:noProof/>
                <w:webHidden/>
              </w:rPr>
              <w:fldChar w:fldCharType="begin"/>
            </w:r>
            <w:r>
              <w:rPr>
                <w:noProof/>
                <w:webHidden/>
              </w:rPr>
              <w:instrText xml:space="preserve"> PAGEREF _Toc106707449 \h </w:instrText>
            </w:r>
            <w:r>
              <w:rPr>
                <w:noProof/>
                <w:webHidden/>
              </w:rPr>
            </w:r>
            <w:r>
              <w:rPr>
                <w:noProof/>
                <w:webHidden/>
              </w:rPr>
              <w:fldChar w:fldCharType="separate"/>
            </w:r>
            <w:r>
              <w:rPr>
                <w:noProof/>
                <w:webHidden/>
              </w:rPr>
              <w:t>17</w:t>
            </w:r>
            <w:r>
              <w:rPr>
                <w:noProof/>
                <w:webHidden/>
              </w:rPr>
              <w:fldChar w:fldCharType="end"/>
            </w:r>
          </w:hyperlink>
        </w:p>
        <w:p w14:paraId="3BD136F3" w14:textId="6C9A5882" w:rsidR="002242B1" w:rsidRDefault="002242B1">
          <w:pPr>
            <w:pStyle w:val="TOC2"/>
            <w:tabs>
              <w:tab w:val="left" w:pos="879"/>
              <w:tab w:val="right" w:leader="dot" w:pos="9062"/>
            </w:tabs>
            <w:rPr>
              <w:rFonts w:asciiTheme="minorHAnsi" w:eastAsiaTheme="minorEastAsia" w:hAnsiTheme="minorHAnsi"/>
              <w:noProof/>
              <w:lang w:val="en-US"/>
            </w:rPr>
          </w:pPr>
          <w:hyperlink w:anchor="_Toc106707450" w:history="1">
            <w:r w:rsidRPr="00E831BF">
              <w:rPr>
                <w:rStyle w:val="Hyperlink"/>
                <w:noProof/>
                <w14:scene3d>
                  <w14:camera w14:prst="orthographicFront"/>
                  <w14:lightRig w14:rig="threePt" w14:dir="t">
                    <w14:rot w14:lat="0" w14:lon="0" w14:rev="0"/>
                  </w14:lightRig>
                </w14:scene3d>
              </w:rPr>
              <w:t>3.4</w:t>
            </w:r>
            <w:r>
              <w:rPr>
                <w:rFonts w:asciiTheme="minorHAnsi" w:eastAsiaTheme="minorEastAsia" w:hAnsiTheme="minorHAnsi"/>
                <w:noProof/>
                <w:lang w:val="en-US"/>
              </w:rPr>
              <w:tab/>
            </w:r>
            <w:r w:rsidRPr="00E831BF">
              <w:rPr>
                <w:rStyle w:val="Hyperlink"/>
                <w:noProof/>
              </w:rPr>
              <w:t>Évaluation globale</w:t>
            </w:r>
            <w:r>
              <w:rPr>
                <w:noProof/>
                <w:webHidden/>
              </w:rPr>
              <w:tab/>
            </w:r>
            <w:r>
              <w:rPr>
                <w:noProof/>
                <w:webHidden/>
              </w:rPr>
              <w:fldChar w:fldCharType="begin"/>
            </w:r>
            <w:r>
              <w:rPr>
                <w:noProof/>
                <w:webHidden/>
              </w:rPr>
              <w:instrText xml:space="preserve"> PAGEREF _Toc106707450 \h </w:instrText>
            </w:r>
            <w:r>
              <w:rPr>
                <w:noProof/>
                <w:webHidden/>
              </w:rPr>
            </w:r>
            <w:r>
              <w:rPr>
                <w:noProof/>
                <w:webHidden/>
              </w:rPr>
              <w:fldChar w:fldCharType="separate"/>
            </w:r>
            <w:r>
              <w:rPr>
                <w:noProof/>
                <w:webHidden/>
              </w:rPr>
              <w:t>17</w:t>
            </w:r>
            <w:r>
              <w:rPr>
                <w:noProof/>
                <w:webHidden/>
              </w:rPr>
              <w:fldChar w:fldCharType="end"/>
            </w:r>
          </w:hyperlink>
        </w:p>
        <w:p w14:paraId="38EB5FFF" w14:textId="6435E197" w:rsidR="00096EEA" w:rsidRDefault="00096EEA">
          <w:r>
            <w:rPr>
              <w:b/>
            </w:rPr>
            <w:fldChar w:fldCharType="end"/>
          </w:r>
        </w:p>
      </w:sdtContent>
    </w:sdt>
    <w:p w14:paraId="43A2BC77" w14:textId="33160CC4" w:rsidR="00B67F0F" w:rsidRDefault="00747673" w:rsidP="00B67F0F">
      <w:pPr>
        <w:pStyle w:val="Heading1"/>
      </w:pPr>
      <w:bookmarkStart w:id="1" w:name="_Toc106707434"/>
      <w:r>
        <w:lastRenderedPageBreak/>
        <w:t>Contexte</w:t>
      </w:r>
      <w:bookmarkEnd w:id="0"/>
      <w:bookmarkEnd w:id="1"/>
    </w:p>
    <w:p w14:paraId="6FF48C33" w14:textId="335D4283" w:rsidR="002B3C9C" w:rsidRPr="002B3C9C" w:rsidRDefault="002B3C9C" w:rsidP="002B3C9C">
      <w:pPr>
        <w:pStyle w:val="Rubrik2-F-direktunderrubrik1"/>
      </w:pPr>
      <w:bookmarkStart w:id="2" w:name="_Toc33773666"/>
      <w:bookmarkStart w:id="3" w:name="_Toc106707435"/>
      <w:r>
        <w:t>Champ d’application</w:t>
      </w:r>
      <w:bookmarkEnd w:id="2"/>
      <w:bookmarkEnd w:id="3"/>
    </w:p>
    <w:p w14:paraId="2A5981DB" w14:textId="774F6D6F" w:rsidR="009D39BF" w:rsidRDefault="000563A4" w:rsidP="00723BB4">
      <w:pPr>
        <w:pStyle w:val="BodyText"/>
      </w:pPr>
      <w:r>
        <w:t>En 2017, l’agence suédoise de l’alimentation a été chargée par le gouvernement de mener une enquête sur les apports journaliers maximaux en vitamines et minéraux contenus dans les compléments alimentaires et, si nécessaire, d’introduire une réglementation à ce sujet</w:t>
      </w:r>
      <w:r w:rsidRPr="00386750">
        <w:rPr>
          <w:rStyle w:val="FootnoteReference"/>
        </w:rPr>
        <w:footnoteReference w:id="2"/>
      </w:r>
      <w:r>
        <w:t xml:space="preserve">. En mars 2020, l’agence de l’alimentation a publié un document de consultation proposant l’introduction de plusieurs valeurs maximales. Cependant, la majorité des organes consultatifs, en particulier les représentants de l’industrie, ont critiqué la proposition, invoquant, entre autres, le manque de preuves scientifiques quant aux risques posés par les valeurs de l’AMT établies par l’Autorité européenne de sécurité des aliments (EFSA). </w:t>
      </w:r>
    </w:p>
    <w:p w14:paraId="270004DA" w14:textId="5853EC1A" w:rsidR="002D4ABC" w:rsidRDefault="008605C4" w:rsidP="00744D09">
      <w:pPr>
        <w:pStyle w:val="BodyText"/>
      </w:pPr>
      <w:r>
        <w:t>L’agence de l’alimentation a ensuite choisi de restreindre la proposition à des niveaux maximums applicables uniquement à la vitamine D et à l’iode. Cette initiative est motivée par les risques importants que la surconsommation de vitamine D et d’iode fait peser sur la santé de l’ensemble de la population. Ces risques ont été étayés par des études scientifiques, et les deux substances sont présentes à des niveaux de concentration élevés dans les compléments alimentaires présents sur le marché. La proposition prévoit la possibilité, pour les exploitants du secteur alimentaire, de demander une dérogation aux teneurs maximales proposées pour des produits spécifiques. Pour qu’une telle dérogation soit accordée, l’entreprise doit être en mesure de démontrer, en se fondant sur des preuves scientifiques, que le produit ne présente aucun risque pour la sécurité de la santé humaine.</w:t>
      </w:r>
    </w:p>
    <w:p w14:paraId="3FB1D6D9" w14:textId="1F1EBF12" w:rsidR="00DB4E52" w:rsidRDefault="00DB4E52" w:rsidP="00723BB4">
      <w:pPr>
        <w:pStyle w:val="BodyText"/>
      </w:pPr>
      <w:r>
        <w:t xml:space="preserve">Parallèlement à l’enquête de l’agence de l’alimentation sur la nécessité d’introduire des teneurs maximales en vitamines et minéraux dans les compléments alimentaires, le règlement de l’agence sur les compléments alimentaires (LIVSFS 2003:9) a également été révisé dans son intégralité. </w:t>
      </w:r>
    </w:p>
    <w:p w14:paraId="369B5720" w14:textId="364204B9" w:rsidR="00DB4E52" w:rsidRDefault="008A2C29" w:rsidP="007668AA">
      <w:pPr>
        <w:pStyle w:val="Heading2"/>
      </w:pPr>
      <w:bookmarkStart w:id="4" w:name="_Toc33773667"/>
      <w:bookmarkStart w:id="5" w:name="_Toc106707436"/>
      <w:r>
        <w:t>Mise en œuvre</w:t>
      </w:r>
      <w:bookmarkEnd w:id="5"/>
      <w:r>
        <w:t xml:space="preserve"> </w:t>
      </w:r>
      <w:bookmarkEnd w:id="4"/>
    </w:p>
    <w:p w14:paraId="68F58385" w14:textId="77777777" w:rsidR="00096EEA" w:rsidRDefault="002B3C9C" w:rsidP="008F44DF">
      <w:pPr>
        <w:pStyle w:val="BodyText"/>
      </w:pPr>
      <w:r>
        <w:t xml:space="preserve">La définition de teneurs maximales en vitamines et en minéraux suppose des évaluations des risques distinctes pour chaque substance afin de déterminer les quantités de vitamines et de minéraux qui peuvent présenter un risque pour la santé humaine. Conformément aux principes de l’analyse des risques, l’évaluation et la gestion des risques ont été effectuées séparément. Le risque pour la population générale, la qualité des preuves scientifiques relatives à la valeur maximale et l’incidence de la mesure ont été considérés. </w:t>
      </w:r>
    </w:p>
    <w:p w14:paraId="6459B1E1" w14:textId="0A60F713" w:rsidR="008F44DF" w:rsidRDefault="008F44DF" w:rsidP="008F44DF">
      <w:pPr>
        <w:pStyle w:val="BodyText"/>
      </w:pPr>
      <w:r>
        <w:t xml:space="preserve">L’évaluation des risques a tenu compte du risque pour la population générale et de la qualité des preuves scientifiques. Cette évaluation a permis de déterminer les quantités journalières des différents minéraux et vitamines considérées comme sûres pour la population adulte en bonne santé lors d’une consommation prolongée. Ces valeurs sont fondées sur le recueil des données les plus récentes et les plus fiables émanant de nombreuses autorités et instituts scientifiques compétents en matière de </w:t>
      </w:r>
      <w:proofErr w:type="gramStart"/>
      <w:r>
        <w:lastRenderedPageBreak/>
        <w:t>sécurité</w:t>
      </w:r>
      <w:proofErr w:type="gramEnd"/>
      <w:r>
        <w:t xml:space="preserve"> alimentaire, telles que les AMT</w:t>
      </w:r>
      <w:r w:rsidRPr="008F44DF">
        <w:rPr>
          <w:rStyle w:val="FootnoteReference"/>
        </w:rPr>
        <w:footnoteReference w:id="3"/>
      </w:r>
      <w:r>
        <w:t>. L’AMT désigne la dose qu’un individu peut ingérer quotidiennement pendant une longue période sans risque d’effets indésirables. Il fait généralement référence à la quantité totale de vitamines ou de minéraux ingérée, c’est-à-dire provenant à la fois de l’alimentation et des compléments alimentaires, mais il arrive également que l’AMT soit calculé uniquement pour les apports provenant des compléments alimentaires. Aux fins de l’évaluation des risques, l’apport alimentaire des consommateurs en Suède a été déduit de la valeur AMT lorsque la valeur AMT se rapportait à l’apport total (provenant de l’alimentation et des compléments alimentaires). L’apport alimentaire est calculé à partir d’enquêtes nationales sur les habitudes alimentaires, en se concentrant sur celles et ceux qui consomment le plus (95</w:t>
      </w:r>
      <w:r>
        <w:rPr>
          <w:vertAlign w:val="superscript"/>
        </w:rPr>
        <w:t>e</w:t>
      </w:r>
      <w:r>
        <w:t xml:space="preserve"> percentile de la population). </w:t>
      </w:r>
    </w:p>
    <w:p w14:paraId="07DB1443" w14:textId="4A7D7CEF" w:rsidR="008F44DF" w:rsidRDefault="008F44DF" w:rsidP="008F44DF">
      <w:pPr>
        <w:pStyle w:val="BodyText"/>
      </w:pPr>
      <w:r>
        <w:t xml:space="preserve">Aux fins de la gestion des risques, l’incidence des mesures a été examinée. Cette évaluation a essentiellement porté sur les effets que pourraient avoir ces mesures sur la sécurité des consommateurs. Les conséquences pour les entreprises ont également été prises en considération, pour autant que la sécurité des consommateurs soit toujours garantie. </w:t>
      </w:r>
    </w:p>
    <w:p w14:paraId="7AA4F440" w14:textId="77777777" w:rsidR="008F44DF" w:rsidRDefault="008F44DF" w:rsidP="008F44DF">
      <w:pPr>
        <w:pStyle w:val="BodyText"/>
      </w:pPr>
      <w:r>
        <w:t>Les facteurs pris en considération pour la gestion des risques sont les suivants:</w:t>
      </w:r>
    </w:p>
    <w:p w14:paraId="253B3802" w14:textId="77777777" w:rsidR="008F44DF" w:rsidRDefault="008F44DF" w:rsidP="00744D09">
      <w:pPr>
        <w:pStyle w:val="BodyText"/>
        <w:numPr>
          <w:ilvl w:val="0"/>
          <w:numId w:val="6"/>
        </w:numPr>
      </w:pPr>
      <w:proofErr w:type="gramStart"/>
      <w:r>
        <w:t>la</w:t>
      </w:r>
      <w:proofErr w:type="gramEnd"/>
      <w:r>
        <w:t xml:space="preserve"> gravité de l’impact sur la santé des consommateurs de niveaux de concentration élevés de substances et la part de la population qui peut être touchée; </w:t>
      </w:r>
    </w:p>
    <w:p w14:paraId="6BE068D6" w14:textId="44F35517" w:rsidR="008F44DF" w:rsidRDefault="008F44DF" w:rsidP="00744D09">
      <w:pPr>
        <w:pStyle w:val="BodyText"/>
        <w:numPr>
          <w:ilvl w:val="0"/>
          <w:numId w:val="6"/>
        </w:numPr>
      </w:pPr>
      <w:proofErr w:type="gramStart"/>
      <w:r>
        <w:t>la</w:t>
      </w:r>
      <w:proofErr w:type="gramEnd"/>
      <w:r>
        <w:t xml:space="preserve"> présence sur le marché de compléments alimentaires à teneur élevée en vitamine D et en iode; et</w:t>
      </w:r>
    </w:p>
    <w:p w14:paraId="1B22B7DB" w14:textId="6274E38B" w:rsidR="008F44DF" w:rsidRDefault="007D5485" w:rsidP="00744D09">
      <w:pPr>
        <w:pStyle w:val="BodyText"/>
        <w:numPr>
          <w:ilvl w:val="0"/>
          <w:numId w:val="6"/>
        </w:numPr>
      </w:pPr>
      <w:proofErr w:type="gramStart"/>
      <w:r>
        <w:t>l’incidence</w:t>
      </w:r>
      <w:proofErr w:type="gramEnd"/>
      <w:r>
        <w:t xml:space="preserve"> des mesures sur les consommateurs.</w:t>
      </w:r>
    </w:p>
    <w:p w14:paraId="4E1A818F" w14:textId="77777777" w:rsidR="002B3C9C" w:rsidRPr="003E66C5" w:rsidRDefault="002B3C9C" w:rsidP="00E762C3">
      <w:pPr>
        <w:pStyle w:val="Heading2"/>
      </w:pPr>
      <w:bookmarkStart w:id="6" w:name="_Toc33773669"/>
      <w:bookmarkStart w:id="7" w:name="_Toc106707437"/>
      <w:r>
        <w:t>Vitamines et minéraux dans les compléments alimentaires</w:t>
      </w:r>
      <w:bookmarkEnd w:id="6"/>
      <w:bookmarkEnd w:id="7"/>
    </w:p>
    <w:p w14:paraId="04FFC1C2" w14:textId="7B31BD99" w:rsidR="0077129D" w:rsidRDefault="002B3C9C" w:rsidP="002B3C9C">
      <w:pPr>
        <w:pStyle w:val="BodyText"/>
      </w:pPr>
      <w:r>
        <w:t>Les compléments alimentaires contiennent le plus souvent des vitamines et des minéraux, qui sont des groupes de nutriments nécessaires au fonctionnement de l’organisme. Ces substances n’étant pas produites par le corps (à l’exception de la vitamine D produite lors de l’exposition au soleil), notre organisme doit les obtenir par l’alimentation. La plupart des individus obtiennent l’ensemble des nutriments dont ils ont besoin en adoptant une alimentation variée.</w:t>
      </w:r>
    </w:p>
    <w:p w14:paraId="69E91CFE" w14:textId="6ED3ECB9" w:rsidR="002B3C9C" w:rsidRDefault="002B3C9C" w:rsidP="002B3C9C">
      <w:pPr>
        <w:pStyle w:val="BodyText"/>
      </w:pPr>
      <w:r>
        <w:t>Pour certains groupes de la population suédoise, tels que les femmes enceintes et les personnes âgées, les besoins en vitamines ou en minéraux ne sont pas toujours couverts par l’alimentation et il est donc nécessaire de recourir à des compléments alimentaires pour certaines substances.</w:t>
      </w:r>
    </w:p>
    <w:p w14:paraId="6FB868A4" w14:textId="5133C478" w:rsidR="0026355E" w:rsidRDefault="0026355E" w:rsidP="0026355E">
      <w:r>
        <w:t>Les besoins en vitamines et en minéraux des consommateurs nordiques ont été définis dans les recommandations nordiques en matière de nutrition</w:t>
      </w:r>
      <w:r>
        <w:rPr>
          <w:rStyle w:val="FootnoteReference"/>
        </w:rPr>
        <w:footnoteReference w:id="4"/>
      </w:r>
      <w:r>
        <w:t xml:space="preserve">, sous la forme d’apports recommandés. Les apports recommandés sont fixés en fonction des besoins moyens et en ajoutant une marge de façon à couvrir les besoins de la quasi-totalité de la population ou du groupe auquel la recommandation est destinée. L’apport recommandé correspond à la somme des apports alimentaires et de ceux provenant des compléments alimentaires. L’apport recommandé pour la population adulte en bonne santé est </w:t>
      </w:r>
      <w:r>
        <w:lastRenderedPageBreak/>
        <w:t>atteint grâce à une alimentation variée et, en principe, les compléments alimentaires ne sont pas nécessaires pour le couvrir.</w:t>
      </w:r>
    </w:p>
    <w:p w14:paraId="58FAB179" w14:textId="4DED9F0D" w:rsidR="00546E16" w:rsidRDefault="00E30D08" w:rsidP="00E762C3">
      <w:pPr>
        <w:pStyle w:val="BodyText"/>
      </w:pPr>
      <w:r>
        <w:t xml:space="preserve">L’apport recommandé en vitamines et minéraux peut varier selon l’âge et le sexe. L’apport recommandé de certaines vitamines et de certains minéraux est plus élevé pour les femmes enceintes et allaitantes afin de répondre aux besoins nutritionnels du fœtus ou de l’enfant. </w:t>
      </w:r>
    </w:p>
    <w:p w14:paraId="1CD58179" w14:textId="3C156FF5" w:rsidR="009B55E0" w:rsidRPr="00204DA9" w:rsidRDefault="009B55E0" w:rsidP="009B55E0">
      <w:pPr>
        <w:pStyle w:val="BodyText"/>
        <w:rPr>
          <w:i/>
        </w:rPr>
      </w:pPr>
      <w:r>
        <w:rPr>
          <w:i/>
        </w:rPr>
        <w:t>Vitamine D</w:t>
      </w:r>
    </w:p>
    <w:p w14:paraId="22039EF8" w14:textId="0D45803F" w:rsidR="009B55E0" w:rsidRDefault="009B55E0" w:rsidP="009B55E0">
      <w:pPr>
        <w:pStyle w:val="BodyText"/>
      </w:pPr>
      <w:r>
        <w:t xml:space="preserve">La vitamine D est nécessaire pour réguler l’équilibre calcique dans les dents et les os, et l’iode occupe une place centrale dans le métabolisme du corps. Le poisson, les œufs et les aliments enrichis en vitamine D sont d’importantes sources de vitamine D. La vitamine D est également produite dans la peau lors d’une exposition au soleil. </w:t>
      </w:r>
    </w:p>
    <w:p w14:paraId="2A33F40B" w14:textId="55DD603E" w:rsidR="009B55E0" w:rsidRDefault="00B370D3" w:rsidP="009B55E0">
      <w:r>
        <w:t>L’apport recommandé en vitamine D varie. Pour la population adulte en bonne santé, consommer 10 microgrammes de vitamine D par jour, provenant à la fois de l’alimentation et des compléments alimentaires, est suffisant. Il est souhaitable que les adultes de plus de 75 ans et les personnes peu exposées au soleil consomment 20 microgrammes par jour.</w:t>
      </w:r>
    </w:p>
    <w:p w14:paraId="6C781DFB" w14:textId="1B78A5EA" w:rsidR="009B55E0" w:rsidRDefault="002B2CF9" w:rsidP="00204DA9">
      <w:pPr>
        <w:pStyle w:val="BodyText"/>
      </w:pPr>
      <w:r>
        <w:t>Les personnes qui mangent du poisson et des aliments enrichis en vitamine D obtiennent le plus souvent suffisamment de vitamine D de leur nourriture. Les végétaliens intégraux, les personnes âgées et les personnes qui ne sont pas exposées à la lumière du soleil peuvent avoir besoin de compléments alimentaires.</w:t>
      </w:r>
    </w:p>
    <w:p w14:paraId="036E2DE9" w14:textId="77777777" w:rsidR="009B55E0" w:rsidRDefault="009B55E0" w:rsidP="009B55E0">
      <w:pPr>
        <w:pStyle w:val="BodyText"/>
        <w:rPr>
          <w:i/>
        </w:rPr>
      </w:pPr>
      <w:r>
        <w:rPr>
          <w:i/>
        </w:rPr>
        <w:t>Iode</w:t>
      </w:r>
    </w:p>
    <w:p w14:paraId="32440727" w14:textId="411ABB4D" w:rsidR="009B55E0" w:rsidRDefault="009B55E0" w:rsidP="009B55E0">
      <w:pPr>
        <w:pStyle w:val="BodyText"/>
      </w:pPr>
      <w:r>
        <w:t xml:space="preserve">La principale source d’iode est le sel iodé, mais l’iode se trouve également dans le lait, les œufs, le poisson et les fruits de mer. Chez l’adulte, trois grammes de sel iodé correspondent à l’apport journalier recommandé en iode. </w:t>
      </w:r>
    </w:p>
    <w:p w14:paraId="6BEBBA21" w14:textId="7600ED61" w:rsidR="009B55E0" w:rsidRDefault="00B370D3" w:rsidP="00204DA9">
      <w:pPr>
        <w:pStyle w:val="BodyText"/>
      </w:pPr>
      <w:r>
        <w:t xml:space="preserve">L’apport recommandé en iode varie. Pour la population adulte en bonne santé, consommer 150 microgrammes d’iode par jour, provenant à la fois de l’alimentation et des compléments alimentaires, est suffisant. Il convient que les femmes enceintes et allaitantes en consomment davantage; respectivement 175 et 200 microgrammes par jour. </w:t>
      </w:r>
    </w:p>
    <w:p w14:paraId="3CC0226C" w14:textId="671C30A6" w:rsidR="002B2CF9" w:rsidRDefault="002B2CF9" w:rsidP="002B2CF9">
      <w:pPr>
        <w:pStyle w:val="BodyText"/>
      </w:pPr>
      <w:r>
        <w:t>Les consommateurs de sel iodé obtiennent généralement suffisamment d’iode de leurs aliments. Ceux qui ne le font pas peuvent avoir besoin de compléments alimentaires. La marge est très étroite entre la quantité d’iode nécessaire pour prévenir les effets néfastes d’une carence et la quantité qui, si elle est trop élevée, peut être nocive, en particulier pour les groupes qui en ont le plus besoin. Il est donc important de bénéficier d’un apport équilibré en iode.</w:t>
      </w:r>
    </w:p>
    <w:p w14:paraId="286CA42B" w14:textId="77777777" w:rsidR="00C44D56" w:rsidRDefault="00C44D56" w:rsidP="00E762C3"/>
    <w:p w14:paraId="049DCEDB" w14:textId="313DBC46" w:rsidR="001E21E5" w:rsidRDefault="00895B8F" w:rsidP="00E762C3">
      <w:r>
        <w:t>Si un apport en vitamines et en minéraux est nécessaire, l’ingestion de quantités excessives peut être dangereuse.</w:t>
      </w:r>
      <w:bookmarkStart w:id="8" w:name="_Ref31617911"/>
      <w:bookmarkStart w:id="9" w:name="_Ref31618446"/>
      <w:bookmarkStart w:id="10" w:name="_Ref31618884"/>
      <w:bookmarkStart w:id="11" w:name="_Toc33773670"/>
      <w:r>
        <w:t xml:space="preserve"> Toute personne qui prend plusieurs compléments alimentaires différents contenant les mêmes nutriments court le risque d’en consommer en trop grande quantité.</w:t>
      </w:r>
    </w:p>
    <w:p w14:paraId="54C79054" w14:textId="799C7802" w:rsidR="00E762C3" w:rsidRDefault="00E762C3" w:rsidP="00E762C3">
      <w:r>
        <w:t xml:space="preserve">Il n’existe pas de données précises sur le nombre de personnes consommant des compléments alimentaires en Suède. L’agence de l’alimentation réalise régulièrement des enquêtes nationales sur les habitudes alimentaires de la population suédoise, lesquelles comportent des questions sur les compléments alimentaires. D’après l’enquête </w:t>
      </w:r>
      <w:proofErr w:type="spellStart"/>
      <w:r>
        <w:t>Riksmaten</w:t>
      </w:r>
      <w:proofErr w:type="spellEnd"/>
      <w:r>
        <w:t xml:space="preserve"> sur l’alimentation de la population adulte, </w:t>
      </w:r>
      <w:r>
        <w:lastRenderedPageBreak/>
        <w:t>21 % des participants prennent des compléments alimentaires, et les femmes sont plus nombreuses à le faire que les hommes (27 % et 15 % respectivement)</w:t>
      </w:r>
      <w:r>
        <w:rPr>
          <w:rStyle w:val="FootnoteReference"/>
        </w:rPr>
        <w:footnoteReference w:id="5"/>
      </w:r>
      <w:r>
        <w:t>. L’enquête montre que la majorité des compléments alimentaires sont consommés par des personnes en âge de travailler. Les statistiques de vente révèlent que les ventes de l’ensemble des préparations du secteur des compléments alimentaires ont progressé dans le temps</w:t>
      </w:r>
      <w:r>
        <w:rPr>
          <w:rStyle w:val="FootnoteReference"/>
        </w:rPr>
        <w:footnoteReference w:id="6"/>
      </w:r>
      <w:r>
        <w:t>.</w:t>
      </w:r>
    </w:p>
    <w:p w14:paraId="06F8C754" w14:textId="51E28B1F" w:rsidR="00E762C3" w:rsidRDefault="00E762C3" w:rsidP="00E762C3">
      <w:r>
        <w:t>Étant donné que le nombre total de personnes qui prennent des compléments alimentaires est relativement mal connu, il existe une grande incertitude quant au niveau de la demande des consommateurs pour des compléments alimentaires contenant des doses élevées de vitamine D et d’iode. Les femmes et les jeunes hommes sont les principaux groupes de consommateurs qui sont à la recherche de niveaux de concentration élevés en vitamines et en minéraux. Au regard de l’offre sur le marché, des circuits de vente les plus courants et d’une estimation de la proportion d’entreprises commercialisant des doses importantes, la part de consommateurs à la recherche de niveaux de concentration élevés ne représente probablement qu’un faible pourcentage du nombre total de consommateurs de compléments alimentaires. On estime qu’une vingtaine d’entreprises en Suède commercialisent des préparations contenant des vitamines ou des minéraux à des doses pouvant être nocives. Cela correspond à environ 5 % de l’ensemble des entreprises qui vendent des compléments alimentaires.</w:t>
      </w:r>
    </w:p>
    <w:p w14:paraId="17897671" w14:textId="20105975" w:rsidR="00B67F0F" w:rsidRDefault="002D4ABC" w:rsidP="007668AA">
      <w:pPr>
        <w:pStyle w:val="Heading2"/>
      </w:pPr>
      <w:bookmarkStart w:id="12" w:name="_Toc106707438"/>
      <w:r>
        <w:t>Risques posés par les niveaux de concentration élevés</w:t>
      </w:r>
      <w:bookmarkEnd w:id="12"/>
      <w:r>
        <w:t xml:space="preserve"> </w:t>
      </w:r>
      <w:bookmarkEnd w:id="8"/>
      <w:bookmarkEnd w:id="9"/>
      <w:bookmarkEnd w:id="10"/>
      <w:bookmarkEnd w:id="11"/>
    </w:p>
    <w:p w14:paraId="481E4B79" w14:textId="0FC73105" w:rsidR="00E44E68" w:rsidRDefault="00DC5A7F" w:rsidP="00365B7A">
      <w:r>
        <w:t xml:space="preserve">Certains groupes peuvent avoir besoin de compléter leur apport en une vitamine ou un minéral particulier et par conséquent avoir recours à des compléments alimentaires pour enrichir leur alimentation. Toutefois, une teneur trop élevée en vitamines ou en minéraux n’est pas bénéfique pour les consommateurs. Une consommation élevée de vitamines et de minéraux peut présenter des risques directs pour les consommateurs, le plus souvent après une utilisation de longue durée, mais des cas aigus surviennent également. Les risques varient d’une substance à l’autre. La quantité maximale d’une vitamine ou </w:t>
      </w:r>
      <w:proofErr w:type="gramStart"/>
      <w:r>
        <w:t>d’un minéral considérée</w:t>
      </w:r>
      <w:proofErr w:type="gramEnd"/>
      <w:r>
        <w:t xml:space="preserve"> comme sûre peut être déterminée par des calculs toxicologiques, ce qui aboutit à l’Apport Maximal Tolérable (AMT) de la substance étudiée. L’AMT désigne la dose qu’un individu peut ingérer quotidiennement pendant une longue période sans risque d’effets indésirables. L’EFSA a élaboré des AMT pour de nombreuses vitamines et minéraux. L’AMT indique le plus souvent la quantité de substance que l’on peut absorber en toute sécurité dans le cadre de l’alimentation et des compléments alimentaires combinés. Par conséquent, lors de la détermination de la quantité de substance pouvant être absorbée sans danger sous forme de compléments alimentaires, il convient de décompter l’absorption de cette dernière par l’alimentation. Dans d’autres cas, l’AMT indique la quantité de substance que l’on peut absorber en toute sécurité par la prise de compléments alimentaires seule.</w:t>
      </w:r>
    </w:p>
    <w:p w14:paraId="0967EDCB" w14:textId="655600D5" w:rsidR="00084C8D" w:rsidRDefault="00084C8D" w:rsidP="00365B7A">
      <w:r>
        <w:t xml:space="preserve">La dose journalière d’une vitamine ou d’un minéral qui ne doit pas être dépassée sur une longue période (AMT) est généralement nettement supérieure à l’apport recommandé, comme indiqué, par </w:t>
      </w:r>
      <w:r>
        <w:lastRenderedPageBreak/>
        <w:t>exemple, dans les recommandations nordiques en matière de nutrition. Il convient de considérer l’AMT uniquement comme une limite supérieure, au-delà de laquelle des effets indésirables peuvent survenir, et non comme une ligne directrice pour la consommation de compléments alimentaires.</w:t>
      </w:r>
    </w:p>
    <w:p w14:paraId="2CF1F527" w14:textId="77777777" w:rsidR="009B55E0" w:rsidRDefault="009B55E0" w:rsidP="009B55E0">
      <w:pPr>
        <w:pStyle w:val="BodyText"/>
        <w:rPr>
          <w:i/>
        </w:rPr>
      </w:pPr>
      <w:r>
        <w:rPr>
          <w:i/>
        </w:rPr>
        <w:t>Vitamine D</w:t>
      </w:r>
    </w:p>
    <w:p w14:paraId="595698DB" w14:textId="328D9707" w:rsidR="009B55E0" w:rsidRDefault="00E44E68" w:rsidP="009B55E0">
      <w:pPr>
        <w:pStyle w:val="BodyText"/>
      </w:pPr>
      <w:r>
        <w:t>Prendre de grandes quantités de vitamine D pendant une longue période peut entraîner un excès de calcium dans le sang, une accumulation de calcium dans les reins et, dans le pire des cas, une insuffisance rénale.</w:t>
      </w:r>
    </w:p>
    <w:p w14:paraId="12EAC183" w14:textId="729D5E08" w:rsidR="000B0BE2" w:rsidRDefault="00C766A2" w:rsidP="009B55E0">
      <w:pPr>
        <w:pStyle w:val="BodyText"/>
      </w:pPr>
      <w:r>
        <w:t>L’AMT de la vitamine D est de 100 microgrammes. Après avoir soustrait l’apport en vitamine D issu de l’alimentation en Suède, l’agence de l’alimentation considère que 80 microgrammes de vitamine D constituent une quantité journalière sûre en ce qui concerne les compléments alimentaires.</w:t>
      </w:r>
    </w:p>
    <w:p w14:paraId="345582D7" w14:textId="20AE6686" w:rsidR="000B0BE2" w:rsidRDefault="000B0BE2" w:rsidP="009B55E0">
      <w:pPr>
        <w:pStyle w:val="BodyText"/>
      </w:pPr>
      <w:r>
        <w:t>L’apport recommandé en vitamine D est de 10 à 20 microgrammes.</w:t>
      </w:r>
    </w:p>
    <w:p w14:paraId="177BA2E2" w14:textId="1A2D4A5A" w:rsidR="000B0BE2" w:rsidRDefault="000B0BE2" w:rsidP="009B55E0">
      <w:pPr>
        <w:pStyle w:val="BodyText"/>
      </w:pPr>
      <w:r>
        <w:t>Dès lors, les consommateurs n’ont pas besoin de plus de 10 à 20 microgrammes de vitamine D provenant à la fois de l’alimentation et des compléments alimentaires, et ils ne devraient pas prendre de compléments contenant plus de 80 microgrammes de vitamine D par jour.</w:t>
      </w:r>
    </w:p>
    <w:p w14:paraId="6A32F288" w14:textId="77777777" w:rsidR="009B55E0" w:rsidRDefault="009B55E0" w:rsidP="009B55E0">
      <w:pPr>
        <w:pStyle w:val="BodyText"/>
        <w:rPr>
          <w:i/>
        </w:rPr>
      </w:pPr>
      <w:r>
        <w:rPr>
          <w:i/>
        </w:rPr>
        <w:t>Iode</w:t>
      </w:r>
    </w:p>
    <w:p w14:paraId="258A9D4E" w14:textId="15FEA09B" w:rsidR="00E44E68" w:rsidRDefault="009B55E0" w:rsidP="00E44E68">
      <w:r>
        <w:t xml:space="preserve">Un excès d’iode peut affecter la glande thyroïde et perturber l’équilibre hormonal. La consommation excessive d’iode par une femme enceinte peut </w:t>
      </w:r>
      <w:proofErr w:type="gramStart"/>
      <w:r>
        <w:t>avoir</w:t>
      </w:r>
      <w:proofErr w:type="gramEnd"/>
      <w:r>
        <w:t xml:space="preserve"> des conséquences pour le développement mental et physique du fœtus. Les produits à base d’algues peuvent contenir des niveaux très élevés d’iode, ce qui peut constituer un réel problème pour les femmes enceintes ou allaitantes.</w:t>
      </w:r>
    </w:p>
    <w:p w14:paraId="1B81D55F" w14:textId="717F5B01" w:rsidR="00C766A2" w:rsidRDefault="00C766A2" w:rsidP="00C766A2">
      <w:pPr>
        <w:pStyle w:val="BodyText"/>
      </w:pPr>
      <w:r>
        <w:t>L’AMT de l’iode provenant de l’alimentation et des compléments alimentaires combinés est de 600 microgrammes. Après avoir retranché l’apport estimé en iode issu de l’alimentation en Suède, l’agence de l’alimentation considère que 200 microgrammes d’iode constituent une dose journalière sûre en ce qui concerne les compléments alimentaires.</w:t>
      </w:r>
    </w:p>
    <w:p w14:paraId="5AF01748" w14:textId="3114490A" w:rsidR="00E44E68" w:rsidRPr="00204DA9" w:rsidRDefault="00723A6C" w:rsidP="00204DA9">
      <w:pPr>
        <w:pStyle w:val="BodyText"/>
      </w:pPr>
      <w:r>
        <w:t>L’apport recommandé d’iode chez l’adulte est compris entre 150 et 200 microgrammes par jour. Le chiffre le plus bas, 150 microgrammes, est destiné à la population adulte en bonne santé et les niveaux les plus élevés sont réservés aux groupes ayant des besoins particuliers, tels que les femmes enceintes (175 microgrammes) ou celles qui allaitent (200 microgrammes).</w:t>
      </w:r>
    </w:p>
    <w:p w14:paraId="3936CFEF" w14:textId="51A83FE7" w:rsidR="00A575D1" w:rsidRDefault="00E44E68" w:rsidP="00365B7A">
      <w:r>
        <w:t>Ainsi, la marge est très étroite entre la quantité d’iode nécessaire pour prévenir les effets néfastes d’une carence et la quantité qui, si elle est trop élevée, peut être nocive, en particulier pour les groupes qui en ont le plus besoin. Il est donc important de bénéficier d’un apport équilibré en iode.</w:t>
      </w:r>
    </w:p>
    <w:p w14:paraId="10CBB957" w14:textId="3BE186CF" w:rsidR="00365B7A" w:rsidRDefault="00365B7A" w:rsidP="00365B7A"/>
    <w:p w14:paraId="6F076C6F" w14:textId="4B08AB6B" w:rsidR="00710689" w:rsidRDefault="00D924C9" w:rsidP="007668AA">
      <w:pPr>
        <w:pStyle w:val="Heading2"/>
      </w:pPr>
      <w:bookmarkStart w:id="13" w:name="_Ref31721354"/>
      <w:bookmarkStart w:id="14" w:name="_Toc33773671"/>
      <w:bookmarkStart w:id="15" w:name="_Toc106707439"/>
      <w:r>
        <w:t>Présence de</w:t>
      </w:r>
      <w:bookmarkEnd w:id="13"/>
      <w:bookmarkEnd w:id="14"/>
      <w:r>
        <w:t xml:space="preserve"> compléments alimentaires à teneur élevée</w:t>
      </w:r>
      <w:bookmarkEnd w:id="15"/>
    </w:p>
    <w:p w14:paraId="27018AB1" w14:textId="55FD767C" w:rsidR="00C53C64" w:rsidRPr="00FA2EF4" w:rsidRDefault="00661288" w:rsidP="0050310D">
      <w:pPr>
        <w:rPr>
          <w:color w:val="27251F" w:themeColor="text1"/>
        </w:rPr>
      </w:pPr>
      <w:r>
        <w:t xml:space="preserve">Pour avoir une idée de la mesure dans laquelle les compléments alimentaires à teneur élevée en vitamines et minéraux sont accessibles, nous avons eu recours aux données de l’enquête menée par </w:t>
      </w:r>
      <w:r>
        <w:lastRenderedPageBreak/>
        <w:t>l’agence pour l’alimentation sur les ventes en ligne de compléments alimentaires</w:t>
      </w:r>
      <w:r w:rsidRPr="00FA2EF4">
        <w:rPr>
          <w:rStyle w:val="FootnoteReference"/>
        </w:rPr>
        <w:footnoteReference w:id="7"/>
      </w:r>
      <w:r>
        <w:t xml:space="preserve"> ainsi que les données de Svensk </w:t>
      </w:r>
      <w:proofErr w:type="spellStart"/>
      <w:r>
        <w:t>Egenvård</w:t>
      </w:r>
      <w:proofErr w:type="spellEnd"/>
      <w:r w:rsidRPr="00FA2EF4">
        <w:rPr>
          <w:rStyle w:val="FootnoteReference"/>
        </w:rPr>
        <w:footnoteReference w:id="8"/>
      </w:r>
      <w:r>
        <w:t xml:space="preserve"> et des autorités de contrôle</w:t>
      </w:r>
      <w:r w:rsidRPr="00FA2EF4">
        <w:rPr>
          <w:rStyle w:val="FootnoteReference"/>
        </w:rPr>
        <w:footnoteReference w:id="9"/>
      </w:r>
      <w:r>
        <w:t xml:space="preserve">. </w:t>
      </w:r>
      <w:r>
        <w:rPr>
          <w:color w:val="27251F" w:themeColor="text1"/>
        </w:rPr>
        <w:t>Dans l’ensemble, les données montrent que les compléments alimentaires à forte teneur en vitamines ou minéraux sont effectivement commercialisés en Suède, bien que la majorité des compléments ne présentent pas de tels niveaux. Il n’existe pas de données spécifiques sur le pourcentage de compléments contenant des teneurs élevées en vitamine D et en iode.</w:t>
      </w:r>
    </w:p>
    <w:p w14:paraId="3E055550" w14:textId="61B29697" w:rsidR="00FA2EF4" w:rsidRPr="00C53C64" w:rsidRDefault="00FA2EF4" w:rsidP="00FA2EF4">
      <w:r>
        <w:rPr>
          <w:color w:val="27251F" w:themeColor="text1"/>
        </w:rPr>
        <w:t xml:space="preserve">L’enquête de l’agence de l’alimentation montre que les compléments alimentaires à teneur élevée sont vendus à la fois par des boutiques physiques et par l’intermédiaire de sites Internet suédois et étrangers. </w:t>
      </w:r>
      <w:r>
        <w:t>Selon Svensk </w:t>
      </w:r>
      <w:proofErr w:type="spellStart"/>
      <w:r>
        <w:t>Egenvård</w:t>
      </w:r>
      <w:proofErr w:type="spellEnd"/>
      <w:r>
        <w:t xml:space="preserve">, les </w:t>
      </w:r>
      <w:r>
        <w:rPr>
          <w:color w:val="27251F" w:themeColor="text1"/>
        </w:rPr>
        <w:t>compléments alimentaires</w:t>
      </w:r>
      <w:r>
        <w:t xml:space="preserve"> à teneur élevée sont principalement vendus par des distributeurs spécialisés dans le domaine de la santé, des points de vente en ligne et, dans une certaine mesure, des pharmacies. Svensk </w:t>
      </w:r>
      <w:proofErr w:type="spellStart"/>
      <w:r>
        <w:t>Egenvård</w:t>
      </w:r>
      <w:proofErr w:type="spellEnd"/>
      <w:r>
        <w:t xml:space="preserve"> indique également que certains compléments à teneur élevée sont fabriqués en Suède et que d’autres sont importés. D’après les autorités de contrôle consultées, les ventes se font principalement par l’intermédiaire des points de vente en ligne et des distributeurs spécialisés dans le domaine de la santé. Les pharmacies se sont révélées plus réticentes à stocker des produits dont les valeurs AMT sont excédées. C’est pourquoi de telles ventes ont été perçues comme moins fréquentes par ce canal. </w:t>
      </w:r>
    </w:p>
    <w:p w14:paraId="2CBED554" w14:textId="77B7513B" w:rsidR="004734CB" w:rsidRDefault="00710689" w:rsidP="00710689">
      <w:r>
        <w:t xml:space="preserve">L’enquête menée par l’agence de l’alimentation auprès des points de vente en ligne proposant des compléments alimentaires aux consommateurs en suédois montre qu’il existe une gamme de compléments alimentaires dont la quantité de vitamines et de minéraux est égale ou supérieure à l’AMT fixée par l’EFSA. Plus de 200 produits contenant des teneurs élevées en vitamines et en minéraux ont été trouvés lors d’une recherche d’une journée sur des sites Internet destinés aux consommateurs suédois. Parmi ceux-ci, certains produits atteignaient les AMT pour plusieurs substances ou les dépassaient. L’agence de l’alimentation tient toutefois à souligner que l’enquête ne donne pas une image complète du nombre de compléments à teneur élevée. </w:t>
      </w:r>
    </w:p>
    <w:p w14:paraId="6D88232D" w14:textId="77785E40" w:rsidR="00275450" w:rsidRDefault="006B0E8A" w:rsidP="00694667">
      <w:r>
        <w:t>Svensk </w:t>
      </w:r>
      <w:proofErr w:type="spellStart"/>
      <w:r>
        <w:t>Egenvård</w:t>
      </w:r>
      <w:proofErr w:type="spellEnd"/>
      <w:r>
        <w:t xml:space="preserve"> a recensé un certain nombre de tendances dans l’industrie des compléments alimentaires qui ont stimulé la demande de compléments contenant des doses importantes de vitamines et de minéraux. Par exemple, il est courant que des thérapeutes dans des domaines tels que la santé ou la cosmétique aient recours et/ou commercialisent des compléments alimentaires à base de vitamines et de minéraux à teneur élevée. L’enquête de l’agence de l’alimentation fait cependant apparaître que les compléments alimentaires contenant un dosage très élevé sont plus fréquemment commercialisés par des acteurs économiques autres que les thérapeutes, par exemple au sein d’enseignes résolument tournées vers l’exercice physique ou dans des commerces qui visent un groupe cible plus large, à la fois porté sur le sport et la cosmétique. </w:t>
      </w:r>
    </w:p>
    <w:p w14:paraId="4E7BEF02" w14:textId="351BB020" w:rsidR="00944485" w:rsidRDefault="00D924C9" w:rsidP="0082498B">
      <w:pPr>
        <w:pStyle w:val="Heading2"/>
      </w:pPr>
      <w:bookmarkStart w:id="16" w:name="_Ref31960474"/>
      <w:bookmarkStart w:id="17" w:name="_Ref31964542"/>
      <w:bookmarkStart w:id="18" w:name="_Toc33773672"/>
      <w:bookmarkStart w:id="19" w:name="_Toc106707440"/>
      <w:r>
        <w:lastRenderedPageBreak/>
        <w:t>Règlement actuel</w:t>
      </w:r>
      <w:bookmarkEnd w:id="16"/>
      <w:bookmarkEnd w:id="17"/>
      <w:bookmarkEnd w:id="18"/>
      <w:bookmarkEnd w:id="19"/>
    </w:p>
    <w:p w14:paraId="414F0EA1" w14:textId="5BA8CF10" w:rsidR="00434DDD" w:rsidRDefault="00434DDD" w:rsidP="002B3C9C">
      <w:pPr>
        <w:pStyle w:val="BodyText"/>
      </w:pPr>
      <w:r>
        <w:t>Les compléments alimentaires sont des denrées alimentaires et sont réglementés par la législation alimentaire. Les vitamines et minéraux autorisés dans les compléments alimentaires sont fixés au niveau de l’Union par la directive 2002/46/CE du Parlement européen et du Conseil du 10 juin 2002 relative au rapprochement des législations des États membres concernant les compléments alimentaires. Toutefois, la législation ne prévoit aucune valeur maximale. La réglementation nationale des valeurs maximales est autorisée tant que celles-ci ne sont pas réglementées au niveau de l’Union</w:t>
      </w:r>
      <w:r w:rsidR="002B3C9C">
        <w:rPr>
          <w:rStyle w:val="FootnoteReference"/>
        </w:rPr>
        <w:footnoteReference w:id="10"/>
      </w:r>
      <w:r>
        <w:t xml:space="preserve">. </w:t>
      </w:r>
    </w:p>
    <w:p w14:paraId="66924A35" w14:textId="6CC71C75" w:rsidR="002B3C9C" w:rsidRPr="00B83BA6" w:rsidRDefault="002B3C9C" w:rsidP="002B3C9C">
      <w:pPr>
        <w:pStyle w:val="BodyText"/>
        <w:rPr>
          <w:strike/>
        </w:rPr>
      </w:pPr>
      <w:r>
        <w:t>À ce jour, la Suède ne dispose d’aucune réglementation nationale concernant les teneurs maximales en vitamines et minéraux dans les compléments alimentaires. Il existe toutefois des exemples de réglementations nationales et de valeurs indicatives provenant d’autres États membres.</w:t>
      </w:r>
      <w:r>
        <w:rPr>
          <w:rStyle w:val="FootnoteReference"/>
        </w:rPr>
        <w:footnoteReference w:id="11"/>
      </w:r>
      <w:r>
        <w:t xml:space="preserve"> L’absence de règlement national sur les valeurs maximales signifie qu’il appartient aux fabricants de déterminer la teneur en vitamines et en minéraux de leurs compléments alimentaires. Les méthodes de contrôle et les évaluations de la nécessité éventuelle de prendre des mesures varient entre les États membres qui n’ont pas de valeurs maximales. </w:t>
      </w:r>
    </w:p>
    <w:p w14:paraId="16E9A63E" w14:textId="27B30D0E" w:rsidR="002B3C9C" w:rsidRPr="002B3C9C" w:rsidRDefault="002B3C9C" w:rsidP="002B3C9C">
      <w:pPr>
        <w:pStyle w:val="BodyText"/>
      </w:pPr>
      <w:r>
        <w:t>Dans son arrêt du 13 novembre 2018, affaire nº 3160-17, la Cour administrative suprême a jugé que les autorités de contrôle ne pouvaient intervenir en interdisant la vente de compléments alimentaires en raison de teneurs élevées en vitamines ou en minéraux. Selon la Cour, cette décision reposait sur le fait que la directive sur les compléments alimentaires fixe les exigences relatives à la sécurité des produits. La directive dispose que les teneurs maximales doivent être établies par la Commission européenne, mais que, dans l’attente de la fixation de valeurs maximales au niveau de l’Union, les États membres sont libres d’introduire une législation nationale. Comme indiqué ci-dessus, cela n’a pas été le cas en Suède. Si la Commission européenne n’a pas fixé de teneurs maximales harmonisées en vitamines et minéraux dans les compléments alimentaires, et si aucune législation nationale n’a été mise en place, les autorités de contrôle ne peuvent pas intervenir, quelles que soient les teneurs en vitamines ou minéraux contenues dans un complément alimentaire.</w:t>
      </w:r>
    </w:p>
    <w:p w14:paraId="34B34249" w14:textId="269E272B" w:rsidR="00B67F0F" w:rsidRDefault="00D924C9" w:rsidP="00B67F0F">
      <w:pPr>
        <w:pStyle w:val="Heading1"/>
      </w:pPr>
      <w:bookmarkStart w:id="20" w:name="_Ref30162969"/>
      <w:bookmarkStart w:id="21" w:name="_Toc33773673"/>
      <w:bookmarkStart w:id="22" w:name="_Toc106707441"/>
      <w:r>
        <w:lastRenderedPageBreak/>
        <w:t>Mesures proposées</w:t>
      </w:r>
      <w:bookmarkEnd w:id="20"/>
      <w:bookmarkEnd w:id="21"/>
      <w:bookmarkEnd w:id="22"/>
    </w:p>
    <w:p w14:paraId="35996B0B" w14:textId="1D90FFF6" w:rsidR="009A0978" w:rsidRDefault="009E3C00" w:rsidP="009A0978">
      <w:r>
        <w:t xml:space="preserve">L’agence suédoise de l’alimentation a transposé la directive 2002/46/CE du Parlement européen et du Conseil relative au rapprochement des législations des États membres concernant les compléments alimentaires dans son règlement sur les compléments alimentaires (LIVSFS 2003:9). Depuis son adoption, le règlement a été modifié à plusieurs reprises. Parallèlement à la proposition actuelle d’introduire des teneurs maximales en vitamines et minéraux dans les compléments alimentaires, la réglementation a été révisée dans son intégralité. </w:t>
      </w:r>
    </w:p>
    <w:p w14:paraId="0ACCDF61" w14:textId="23363FCC" w:rsidR="00982490" w:rsidRDefault="00036D43" w:rsidP="009A0978">
      <w:r>
        <w:t xml:space="preserve">Par conséquent, l’adoption d’une nouvelle réglementation sur les compléments alimentaires est proposée, en remplacement de la réglementation actuelle; LIVSFS 2003:9. Le nouveau règlement comprend de nouvelles rubriques, la structure est modifiée et les références aux actes juridiques sont mises à jour. Le contenu est essentiellement le même, avec quelques ajouts cependant. Les nouvelles dispositions consistent principalement en l’introduction de teneurs maximales en vitamine D et en iode, ainsi que d’une procédure permettant aux exploitants du secteur alimentaire de bénéficier d’une dérogation à ces teneurs maximales. </w:t>
      </w:r>
    </w:p>
    <w:p w14:paraId="2DE7F12B" w14:textId="082EE9D2" w:rsidR="00FC2657" w:rsidRPr="008F48DE" w:rsidRDefault="00EA6507" w:rsidP="00580B07">
      <w:pPr>
        <w:pStyle w:val="BodyText"/>
        <w:rPr>
          <w:color w:val="auto"/>
        </w:rPr>
      </w:pPr>
      <w:r>
        <w:rPr>
          <w:color w:val="auto"/>
        </w:rPr>
        <w:t xml:space="preserve">L’ajout d’une disposition sur les rétributions pour l’examen des demandes de telles dérogations est également proposé pour le règlement de l’agence de l’alimentation sur les rétributions pour les contrôles officiels et autres activités officielles (LIVSFS 2021:8). </w:t>
      </w:r>
    </w:p>
    <w:p w14:paraId="39CEE3AD" w14:textId="58EE7E46" w:rsidR="00036D43" w:rsidRPr="008F48DE" w:rsidRDefault="00036D43" w:rsidP="00FC2657">
      <w:pPr>
        <w:pStyle w:val="BodyText"/>
        <w:rPr>
          <w:color w:val="auto"/>
        </w:rPr>
      </w:pPr>
      <w:r>
        <w:rPr>
          <w:color w:val="auto"/>
        </w:rPr>
        <w:t>Outre l’introduction de valeurs maximales et les dispositions dérogatoires y afférentes, les modifications proposées dans le règlement ne devraient pas avoir d’incidence directe. L’analyse d’impact se concentre donc sur les projets de dispositions concernant l’introduction de valeurs maximales.</w:t>
      </w:r>
    </w:p>
    <w:p w14:paraId="35C974E9" w14:textId="733A3492" w:rsidR="00093C96" w:rsidRDefault="00FC0A25" w:rsidP="0082498B">
      <w:pPr>
        <w:pStyle w:val="Heading2"/>
      </w:pPr>
      <w:bookmarkStart w:id="23" w:name="_Ref33708616"/>
      <w:bookmarkStart w:id="24" w:name="_Ref33708619"/>
      <w:bookmarkStart w:id="25" w:name="_Toc33773674"/>
      <w:bookmarkStart w:id="26" w:name="_Toc106707442"/>
      <w:r>
        <w:t>Valeurs maximales</w:t>
      </w:r>
      <w:bookmarkEnd w:id="23"/>
      <w:bookmarkEnd w:id="24"/>
      <w:bookmarkEnd w:id="25"/>
      <w:r>
        <w:t xml:space="preserve"> de la vitamine D et de l’iode</w:t>
      </w:r>
      <w:bookmarkEnd w:id="26"/>
    </w:p>
    <w:p w14:paraId="5421DE06" w14:textId="5B94F4FB" w:rsidR="008F44DF" w:rsidRDefault="004102D5" w:rsidP="002D4ABC">
      <w:pPr>
        <w:pStyle w:val="BodyText"/>
      </w:pPr>
      <w:r>
        <w:t xml:space="preserve">La proposition vise à introduire dans le règlement une valeur maximale de 80 microgrammes pour la vitamine D et de 200 microgrammes pour l’iode en ce qui concerne la dose journalière recommandée d’un complément alimentaire. La dose journalière recommandée du complément alimentaire correspond à la quantité de produit que le fabricant recommande au consommateur d’ingérer; par exemple, un comprimé ou cinq gouttes par jour. Il s’agit d’une obligation d’étiquetage. Si l’entreprise indique que la dose journalière recommandée d’un complément alimentaire est d’un comprimé, la proposition signifie que le comprimé ne doit pas contenir plus de 80 microgrammes de vitamine D ou 200 microgrammes d’iode. </w:t>
      </w:r>
    </w:p>
    <w:p w14:paraId="1D1A37EA" w14:textId="1335FA18" w:rsidR="00471F4E" w:rsidRDefault="008F44DF" w:rsidP="002D4ABC">
      <w:pPr>
        <w:pStyle w:val="BodyText"/>
      </w:pPr>
      <w:r>
        <w:t xml:space="preserve">Dans le cadre de la gestion des risques, l’agence de l’alimentation a évalué cette mesure en tenant compte des éléments suivants: </w:t>
      </w:r>
    </w:p>
    <w:p w14:paraId="79AABFEE" w14:textId="4F8D69E1" w:rsidR="00471F4E" w:rsidRDefault="00471F4E" w:rsidP="00744D09">
      <w:pPr>
        <w:pStyle w:val="BodyText"/>
        <w:numPr>
          <w:ilvl w:val="0"/>
          <w:numId w:val="7"/>
        </w:numPr>
      </w:pPr>
      <w:proofErr w:type="gramStart"/>
      <w:r>
        <w:t>les</w:t>
      </w:r>
      <w:proofErr w:type="gramEnd"/>
      <w:r>
        <w:t xml:space="preserve"> risques pour le grand public découlant de la consommation de grandes quantités de vitamines et de minéraux lors d’une période prolongée;</w:t>
      </w:r>
    </w:p>
    <w:p w14:paraId="1C626E60" w14:textId="64B723E1" w:rsidR="00471F4E" w:rsidRDefault="00471F4E" w:rsidP="00744D09">
      <w:pPr>
        <w:pStyle w:val="BodyText"/>
        <w:numPr>
          <w:ilvl w:val="0"/>
          <w:numId w:val="7"/>
        </w:numPr>
      </w:pPr>
      <w:proofErr w:type="gramStart"/>
      <w:r>
        <w:t>la</w:t>
      </w:r>
      <w:proofErr w:type="gramEnd"/>
      <w:r>
        <w:t xml:space="preserve"> qualité des données scientifiques existantes;</w:t>
      </w:r>
    </w:p>
    <w:p w14:paraId="0D64774D" w14:textId="756B821C" w:rsidR="00471F4E" w:rsidRDefault="008F44DF" w:rsidP="00744D09">
      <w:pPr>
        <w:pStyle w:val="BodyText"/>
        <w:numPr>
          <w:ilvl w:val="0"/>
          <w:numId w:val="7"/>
        </w:numPr>
      </w:pPr>
      <w:proofErr w:type="gramStart"/>
      <w:r>
        <w:t>la</w:t>
      </w:r>
      <w:proofErr w:type="gramEnd"/>
      <w:r>
        <w:t xml:space="preserve"> présence sur le marché de compléments alimentaires à teneur élevée et, partant, l’effet d’une valeur maximale;</w:t>
      </w:r>
    </w:p>
    <w:p w14:paraId="4D49D47B" w14:textId="746C3F56" w:rsidR="00471F4E" w:rsidRDefault="008F44DF" w:rsidP="00744D09">
      <w:pPr>
        <w:pStyle w:val="BodyText"/>
        <w:numPr>
          <w:ilvl w:val="0"/>
          <w:numId w:val="7"/>
        </w:numPr>
      </w:pPr>
      <w:proofErr w:type="gramStart"/>
      <w:r>
        <w:lastRenderedPageBreak/>
        <w:t>la</w:t>
      </w:r>
      <w:proofErr w:type="gramEnd"/>
      <w:r>
        <w:t xml:space="preserve"> manière dont l’autorité transmet l’information et protège ainsi le consommateur;</w:t>
      </w:r>
    </w:p>
    <w:p w14:paraId="5972E393" w14:textId="77777777" w:rsidR="002D4ABC" w:rsidRDefault="008F44DF" w:rsidP="00744D09">
      <w:pPr>
        <w:pStyle w:val="BodyText"/>
        <w:numPr>
          <w:ilvl w:val="0"/>
          <w:numId w:val="7"/>
        </w:numPr>
      </w:pPr>
      <w:proofErr w:type="gramStart"/>
      <w:r>
        <w:t>les</w:t>
      </w:r>
      <w:proofErr w:type="gramEnd"/>
      <w:r>
        <w:t xml:space="preserve"> conséquences pour les entreprises, pour autant que la sécurité des consommateurs ne soit pas compromise.</w:t>
      </w:r>
    </w:p>
    <w:p w14:paraId="0B293D74" w14:textId="1EA00BE6" w:rsidR="008166A5" w:rsidRDefault="002D4ABC" w:rsidP="008166A5">
      <w:pPr>
        <w:pStyle w:val="BodyText"/>
      </w:pPr>
      <w:r>
        <w:t>L’objectif des valeurs maximales réglementées est de garantir aux consommateurs la certitude que les compléments alimentaires mis à disposition sur le marché suédois sont sûrs. La présence de valeurs maximales de vitamine D et d’iode fondées sur des données scientifiques dans la réglementation nationale apportera également une plus grande clarté aux fabricants, aux responsables de la commercialisation et aux autorités de contrôle en Suède. Les teneurs maximales proposées reposent sur le principe selon lequel la consommation régulière de compléments alimentaires contenant de la vitamine D et de l’iode n’a pas d’effets nocifs sur la santé de la population adulte en bonne santé ayant adopté une alimentation variée. En outre, la majeure partie des consommateurs ne risque pas de souffrir d’une carence en vitamine D et en iode en raison de la faible quantité que représente la dose journalière recommandée.</w:t>
      </w:r>
    </w:p>
    <w:p w14:paraId="6996D2A5" w14:textId="206176AE" w:rsidR="00FB7B3B" w:rsidRDefault="008166A5" w:rsidP="008166A5">
      <w:pPr>
        <w:pStyle w:val="BodyText"/>
      </w:pPr>
      <w:r>
        <w:t xml:space="preserve">Toutefois, lorsqu’il existe une faible différence entre les niveaux requis et les niveaux de risque, les valeurs maximales offrent la possibilité de consommer les niveaux requis. Les niveaux proposés permettent donc aux consommateurs des boutiques suédoises d’avoir accès à une gamme de compléments alimentaires contenant des niveaux sûrs de vitamine D et d’iode tout en répondant aux besoins des consommateurs. </w:t>
      </w:r>
    </w:p>
    <w:p w14:paraId="48273F5E" w14:textId="63A91BA7" w:rsidR="008166A5" w:rsidRDefault="00FB7B3B" w:rsidP="008166A5">
      <w:pPr>
        <w:pStyle w:val="BodyText"/>
      </w:pPr>
      <w:r>
        <w:t>Cependant, les consommateurs qui ont un plus grand besoin de ces substances sont en mesure de prendre une dose plus élevée que celle indiquée dans la dose journalière recommandée du complément alimentaire. Il est recommandé aux personnes qui, en raison d’une maladie, ont un besoin accru de vitamines ou de minéraux de consulter un professionnel de santé qualifié. Les produits classés comme médicaments ne sont pas concernés par la réglementation sur les compléments alimentaires.</w:t>
      </w:r>
    </w:p>
    <w:p w14:paraId="4B1F3912" w14:textId="24B4E091" w:rsidR="00470370" w:rsidRPr="00470370" w:rsidRDefault="00BA3D86" w:rsidP="00470370">
      <w:pPr>
        <w:pStyle w:val="BodyText"/>
        <w:rPr>
          <w:i/>
        </w:rPr>
      </w:pPr>
      <w:r>
        <w:rPr>
          <w:i/>
        </w:rPr>
        <w:t>Vitamine D</w:t>
      </w:r>
    </w:p>
    <w:p w14:paraId="5ACA2588" w14:textId="4A17ECCC" w:rsidR="00470370" w:rsidRDefault="00470370" w:rsidP="00470370">
      <w:pPr>
        <w:pStyle w:val="BodyText"/>
      </w:pPr>
      <w:r>
        <w:t>La consommation de grandes quantités de vitamine D peut avoir des effets néfastes sur la santé, tels que la faiblesse musculaire, les nausées ou l’arythmie. Une consommation à long terme peut entraîner plusieurs pathologies graves et irréversibles, telles qu’une altération de la fonction rénale, des maladies cardiovasculaires ou une calcification des tissus. De tels effets peuvent se produire au sein d’une population générale par ailleurs en bonne santé.</w:t>
      </w:r>
    </w:p>
    <w:p w14:paraId="09C9D255" w14:textId="7C873744" w:rsidR="00470370" w:rsidRDefault="00470370" w:rsidP="00470370">
      <w:pPr>
        <w:pStyle w:val="BodyText"/>
      </w:pPr>
      <w:r>
        <w:t xml:space="preserve">L’agence de l’alimentation a estimé que la vitamine D était l’une des vitamines et des minéraux qui ont les effets les plus graves sur la population générale en cas de surconsommation. En s’appuyant sur des données scientifiques, l’agence de l’alimentation considère qu’une dose journalière recommandée de 80 microgrammes de vitamine D contenue dans un complément alimentaire est une dose que la population générale adulte peut absorber en toute sécurité. </w:t>
      </w:r>
    </w:p>
    <w:p w14:paraId="7257BE87" w14:textId="6A603618" w:rsidR="00FB7B3B" w:rsidRDefault="00FB7B3B" w:rsidP="00FB7B3B">
      <w:pPr>
        <w:pStyle w:val="BodyText"/>
      </w:pPr>
      <w:r>
        <w:t>L’apport recommandé en vitamine D étant de 10 microgrammes pour la population générale adulte en Suède et de 20 microgrammes pour certains groupes spécifiques, la valeur maximale de 80 microgrammes ne présente aucun risque de carence pour les consommateurs.</w:t>
      </w:r>
    </w:p>
    <w:p w14:paraId="3BF7D6B5" w14:textId="7D1C0FD1" w:rsidR="00470370" w:rsidRDefault="002D4ABC" w:rsidP="00470370">
      <w:pPr>
        <w:pStyle w:val="NormalLST"/>
        <w:rPr>
          <w:i/>
        </w:rPr>
      </w:pPr>
      <w:r>
        <w:rPr>
          <w:i/>
        </w:rPr>
        <w:t>Iode</w:t>
      </w:r>
    </w:p>
    <w:p w14:paraId="19E2C75B" w14:textId="1140935F" w:rsidR="002D4ABC" w:rsidRDefault="002D4ABC" w:rsidP="002D4ABC">
      <w:pPr>
        <w:pStyle w:val="BodyText"/>
      </w:pPr>
      <w:r>
        <w:t xml:space="preserve">La consommation de grandes quantités d’iode peut perturber les niveaux d’hormones thyroïdiennes, ce qui peut conduire à la maladie thyroïdienne chez des individus en bonne santé. Si des femmes </w:t>
      </w:r>
      <w:r>
        <w:lastRenderedPageBreak/>
        <w:t>enceintes ou allaitantes consomment de grandes quantités d’iode, cela peut également affecter le développement du fœtus ou de l’enfant, ce qui est irréversible.</w:t>
      </w:r>
    </w:p>
    <w:p w14:paraId="0D147580" w14:textId="70CA70EC" w:rsidR="00B13505" w:rsidRDefault="002D4ABC" w:rsidP="002D4ABC">
      <w:pPr>
        <w:pStyle w:val="BodyText"/>
      </w:pPr>
      <w:r>
        <w:t xml:space="preserve">L’agence de l’alimentation a estimé que l’iode était l’un des minéraux et vitamines qui ont les effets les plus graves sur la population générale adulte en cas de surconsommation. En s’appuyant sur des données scientifiques, l’agence de l’alimentation considère qu’une dose journalière recommandée de 200 microgrammes d’iode contenue dans un complément alimentaire est une dose que la population générale en bonne santé peut absorber sans danger. </w:t>
      </w:r>
    </w:p>
    <w:p w14:paraId="70B6FD11" w14:textId="6BD27DF4" w:rsidR="00B13505" w:rsidRDefault="00B13505" w:rsidP="00B13505">
      <w:pPr>
        <w:pStyle w:val="BodyText"/>
      </w:pPr>
      <w:r>
        <w:t>L’apport recommandé en iode est de 150 microgrammes pour la population adulte générale en bonne santé en Suède; la valeur maximale de 200 microgrammes ne présente donc aucun risque de carence pour ces consommateurs.</w:t>
      </w:r>
    </w:p>
    <w:p w14:paraId="504CC513" w14:textId="4A058C01" w:rsidR="00B13505" w:rsidRDefault="00B13505" w:rsidP="00B370D3">
      <w:pPr>
        <w:pStyle w:val="BodyText"/>
      </w:pPr>
      <w:r>
        <w:t>Toutefois, les femmes enceintes et allaitantes ont des besoins plus importants; jusqu’à 200 microgrammes d’iode par jour. Ainsi, la marge est très étroite entre la quantité d’iode nécessaire pour prévenir les effets néfastes d’une carence et la quantité qui, si elle est trop élevée, peut être nocive, en particulier pour les groupes qui en ont le plus besoin.</w:t>
      </w:r>
    </w:p>
    <w:p w14:paraId="175C0504" w14:textId="20199118" w:rsidR="0091597E" w:rsidRDefault="0091597E" w:rsidP="00204DA9">
      <w:r>
        <w:t>Les personnes appartenant à des groupes dont les besoins en iode sont particulièrement importants peuvent couvrir ces besoins en consommant du poisson et du sel enrichi. S’ils n’en consomment pas, ils peuvent néanmoins ingérer suffisamment d’iode dans le cadre de ce règlement, car la valeur maximale n’est pas inférieure à l’apport recommandé pour le groupe.</w:t>
      </w:r>
    </w:p>
    <w:p w14:paraId="48D5E76E" w14:textId="20BF00E4" w:rsidR="002D4ABC" w:rsidRDefault="008166A5" w:rsidP="002D4ABC">
      <w:pPr>
        <w:pStyle w:val="Heading2"/>
      </w:pPr>
      <w:bookmarkStart w:id="27" w:name="_Toc106707443"/>
      <w:r>
        <w:t>Période transitoire et exemptions</w:t>
      </w:r>
      <w:bookmarkEnd w:id="27"/>
      <w:r>
        <w:t xml:space="preserve"> </w:t>
      </w:r>
    </w:p>
    <w:p w14:paraId="02D6E003" w14:textId="3C3194FF" w:rsidR="008166A5" w:rsidRDefault="008166A5" w:rsidP="008166A5">
      <w:r>
        <w:t xml:space="preserve">Les dispositions relatives aux valeurs maximales exigeront l’adaptation de la composition, de l’étiquetage et de la commercialisation de plusieurs produits. Un certain délai est donc nécessaire pour que les entreprises puissent s’adapter aux nouvelles exigences. Compte tenu des risques encourus par les consommateurs dans l’attente de la pleine application de ces règles, la période transitoire ne doit toutefois pas être trop longue. L’agence de l’alimentation considère qu’une période transitoire de 18 mois, à compter de l’adoption du présent règlement, est une période appropriée. Les entreprises ont également la possibilité d’épuiser leurs stocks, à condition que les compléments alimentaires soient mis sur le marché ou étiquetés avant la fin de cette période. </w:t>
      </w:r>
    </w:p>
    <w:p w14:paraId="21BFBB04" w14:textId="6A130EE7" w:rsidR="00122B06" w:rsidRDefault="00122B06" w:rsidP="00470370">
      <w:pPr>
        <w:pStyle w:val="BodyText"/>
      </w:pPr>
      <w:r>
        <w:t>Les exploitants du secteur alimentaire pourront également demander une dérogation aux teneurs maximales s’ils peuvent démontrer, à l’aide de données scientifiques, que le complément alimentaire concerné est sûr malgré le dépassement de la teneur maximale. Des rétributions seront facturées pour ces demandes. La rétribution couvrira les frais de traitement et d’évaluation de la demande et sera fixée à 20 000 SEK La rétribution est calculée sur la base d’une estimation du délai de traitement de la demande de dérogation. Le traitement comprend les travaux administratifs que la demande suppose, ainsi que l’évaluation scientifique des risques. La rétribution peut être réduite ou supprimée si des raisons particulières le justifient.</w:t>
      </w:r>
    </w:p>
    <w:p w14:paraId="74290436" w14:textId="5F36D229" w:rsidR="008166A5" w:rsidRDefault="008166A5" w:rsidP="008166A5">
      <w:r>
        <w:t xml:space="preserve">Avant l’entrée en vigueur des nouvelles dispositions relatives aux valeurs maximales, il est également essentiel que l’agence de l’alimentation prenne des mesures pour informer toutes les parties intéressées. L’agence de l’alimentation a l’intention de communiquer directement avec l’industrie et d’utiliser les canaux d’information établis, tels que le site web de l’agence, pour diffuser des informations sur les valeurs maximales adoptées, sur ce que le règlement signifie pour les entreprises, </w:t>
      </w:r>
      <w:r>
        <w:lastRenderedPageBreak/>
        <w:t xml:space="preserve">les autorités de contrôle et les consommateurs, et (en particulier) sur les raisons de l’introduction de telles règles. Il conviendra également de demander aux associations professionnelles et d’intérêt ainsi qu’à d’autres organisations d’informer leurs parties prenantes au sujet des règles. </w:t>
      </w:r>
    </w:p>
    <w:p w14:paraId="14BB2BC7" w14:textId="77777777" w:rsidR="00093C96" w:rsidRDefault="00093C96" w:rsidP="00093C96">
      <w:pPr>
        <w:pStyle w:val="Heading2"/>
      </w:pPr>
      <w:bookmarkStart w:id="28" w:name="_Toc33773675"/>
      <w:bookmarkStart w:id="29" w:name="_Toc106707444"/>
      <w:r>
        <w:t>Conditions juridiques et pouvoirs habilitants</w:t>
      </w:r>
      <w:bookmarkEnd w:id="28"/>
      <w:bookmarkEnd w:id="29"/>
    </w:p>
    <w:p w14:paraId="52D47040" w14:textId="77777777" w:rsidR="00F53763" w:rsidRDefault="00635B9A" w:rsidP="00093C96">
      <w:r>
        <w:t xml:space="preserve">Le pouvoir de l’agence de l’alimentation de prendre des décisions repose sur les articles 5 à 7 de l’ordonnance sur les denrées alimentaires. Le projet de règlement transpose essentiellement la directive 2002/46/CE et est donc compatible avec le droit de l’Union. </w:t>
      </w:r>
    </w:p>
    <w:p w14:paraId="6B8B3F24" w14:textId="56B758BF" w:rsidR="00093C96" w:rsidRDefault="00F96C8B" w:rsidP="00093C96">
      <w:r>
        <w:t>L’article 5, paragraphe 4, de la directive 2002/46/CE impose à la Commission européenne d’introduire des teneurs maximales en vitamines et minéraux pour les compléments alimentaires. Cependant, aucune de ces valeurs n’a été adoptée. La Cour de justice a jugé que les États membres demeurent compétents pour adopter des dispositions établissant des quantités maximales de vitamines et de minéraux pouvant être utilisées dans les compléments alimentaires, tant que la Commission européenne ne l’a pas encore fait. Cependant, les États membres sont tenus de satisfaire aux articles 34 et 36 du traité sur le fonctionnement de l’Union européenne (TFUE) et de s’inspirer des critères énoncés à l’article 5, paragraphes 1 et 2, de la directive, notamment l’exigence d’une évaluation des risques fondée sur des données scientifiques généralement admises</w:t>
      </w:r>
      <w:r w:rsidR="00172DA2">
        <w:rPr>
          <w:rStyle w:val="FootnoteReference"/>
        </w:rPr>
        <w:footnoteReference w:id="12"/>
      </w:r>
      <w:r>
        <w:t xml:space="preserve">. </w:t>
      </w:r>
    </w:p>
    <w:p w14:paraId="77EC9757" w14:textId="631D7F68" w:rsidR="00744D09" w:rsidRDefault="00744D09" w:rsidP="00DB06EC">
      <w:pPr>
        <w:pStyle w:val="Heading2"/>
      </w:pPr>
      <w:bookmarkStart w:id="30" w:name="_Toc33773682"/>
      <w:bookmarkStart w:id="31" w:name="_Toc106707445"/>
      <w:r>
        <w:t>Mesures alternatives</w:t>
      </w:r>
      <w:bookmarkEnd w:id="31"/>
    </w:p>
    <w:bookmarkEnd w:id="30"/>
    <w:p w14:paraId="4AD7C7D3" w14:textId="77777777" w:rsidR="00DA3AA7" w:rsidRDefault="00A66FFC" w:rsidP="00DB06EC">
      <w:pPr>
        <w:pStyle w:val="BodyText"/>
      </w:pPr>
      <w:r>
        <w:t xml:space="preserve">L’agence de l’alimentation estime qu’une législation harmonisée au niveau de l’Union fixant des valeurs maximales aurait été préférable à un règlement national. Des limites harmonisées assurent des conditions de concurrence équitables, une concurrence loyale dans les échanges entre les États membres et une clarté pour les consommateurs, les entreprises et les autorités de contrôle. C’est également la solution qui, selon les professionnels du secteur, offre la plus grande sécurité juridique et favorise le libre-échange au sein de l’Union. </w:t>
      </w:r>
    </w:p>
    <w:p w14:paraId="1025D182" w14:textId="3E945A1B" w:rsidR="008C747F" w:rsidRDefault="00DA3AA7" w:rsidP="00DB06EC">
      <w:pPr>
        <w:pStyle w:val="BodyText"/>
      </w:pPr>
      <w:r>
        <w:t>Les travaux sur la production de valeurs maximales harmonisées ont commencé au sein de la Commission européenne. Dans l’attente de leur mise en œuvre, la Suède estime qu’une réglementation nationale est nécessaire.</w:t>
      </w:r>
    </w:p>
    <w:p w14:paraId="4BBD85F3" w14:textId="2F885B09" w:rsidR="005C3C72" w:rsidRDefault="005C3C72" w:rsidP="00DB06EC">
      <w:pPr>
        <w:pStyle w:val="BodyText"/>
      </w:pPr>
      <w:r>
        <w:t xml:space="preserve">La mise en place d’instruments d’information destinés aux entreprises sous la forme de valeurs maximales indicatives aurait pu être une mesure alternative. L’un des avantages des valeurs maximales indicatives est qu’elles permettent d’éviter des règles contraignantes ou anti-compétitives pour les entreprises en Suède. Les valeurs maximales indicatives fournissent un point de départ bien défini, mais laissent aux entreprises le soin de décider elles-mêmes si les produits contenant des niveaux supérieurs aux valeurs maximales sont sûrs. C’est le cas, par exemple, du Danemark, qui a introduit des valeurs maximales indicatives. Les entreprises danoises qui choisissent de ne pas </w:t>
      </w:r>
      <w:r>
        <w:lastRenderedPageBreak/>
        <w:t>respecter les valeurs maximales ont la possibilité de démontrer, à l’aide de preuves scientifiques, que la teneur de leurs produits est sûre.</w:t>
      </w:r>
      <w:r w:rsidR="00EF2E02">
        <w:rPr>
          <w:rStyle w:val="FootnoteReference"/>
        </w:rPr>
        <w:footnoteReference w:id="13"/>
      </w:r>
      <w:r>
        <w:t xml:space="preserve"> </w:t>
      </w:r>
    </w:p>
    <w:p w14:paraId="35E9A9B9" w14:textId="3A255400" w:rsidR="007C5AAB" w:rsidRPr="00B342AE" w:rsidRDefault="00B5544A" w:rsidP="00DB06EC">
      <w:pPr>
        <w:pStyle w:val="BodyText"/>
      </w:pPr>
      <w:r>
        <w:t>Toutefois, l’agence de l’alimentation ne considère pas les valeurs maximales indicatives comme une alternative aux valeurs maximales réglementées, car il n’est pas possible pour les autorités de contrôle de prendre des mesures si les valeurs maximales sont simplement indicatives. Dans ce cas, il appartiendrait toujours aux entreprises elles-mêmes de déterminer la teneur en vitamine D et en iode de leurs compléments alimentaires, ce qui pourrait présenter des risques pour les consommateurs.</w:t>
      </w:r>
    </w:p>
    <w:p w14:paraId="1949CC54" w14:textId="3D7E8E94" w:rsidR="004552D6" w:rsidRDefault="008A7994" w:rsidP="005C3C72">
      <w:r>
        <w:t xml:space="preserve">L’étiquette d’avertissement sur l’emballage est un instrument d’information destiné aux consommateurs. Les dispositions relatives aux étiquettes d’avertissement peuvent compléter ou remplacer les valeurs maximales indicatives et réglementées. La Norvège utilise de telles étiquettes d’avertissement pour les groupes vulnérables, en complément des valeurs maximales. Toutefois, l’agence de l’alimentation est d’avis que ces étiquettes d’avertissement, qui remplacent les valeurs maximales réglementées, sont insuffisantes lorsqu’il s’agit de teneurs élevées en substances dans les compléments alimentaires. Cette alternative comporterait toujours l’absence problématique de soutien réglementaire permettant aux autorités de contrôle d’interdire les produits contenant des niveaux de concentration élevés. </w:t>
      </w:r>
    </w:p>
    <w:p w14:paraId="12F33C42" w14:textId="3B3088DA" w:rsidR="004552D6" w:rsidRDefault="004552D6" w:rsidP="004552D6">
      <w:pPr>
        <w:pStyle w:val="BodyText"/>
      </w:pPr>
      <w:r>
        <w:t>Des informations sont actuellement fournies aux consommateurs par l’intermédiaire des recommandations de l’agence de l’alimentation sur les habitudes alimentaires durables, de même que sur les compléments alimentaires, sur le site web ou par l’intermédiaire des prestataires de soins de santé. Comme pour les étiquettes d’avertissement, l’agence de l’alimentation considère que cet instrument d’information est avant tout complémentaire à d’autres instruments éventuels. La diffusion d’informations aux consommateurs peut éventuellement sensibiliser certains d’entre eux et leur faire prendre conscience des risques de la surconsommation. Néanmoins, si l’on s’en tient à l’information, la responsabilité incombe au consommateur individuel. Cette alternative comporterait toujours l’absence problématique de soutien réglementaire permettant aux autorités de contrôle d’interdire les produits contenant des niveaux de concentration élevés.</w:t>
      </w:r>
    </w:p>
    <w:p w14:paraId="6BFEE3A6" w14:textId="5EABB807" w:rsidR="00B67F0F" w:rsidRDefault="00B67F0F" w:rsidP="00A35804">
      <w:pPr>
        <w:pStyle w:val="Heading1"/>
      </w:pPr>
      <w:bookmarkStart w:id="32" w:name="_Ref31711281"/>
      <w:bookmarkStart w:id="33" w:name="_Ref31711293"/>
      <w:bookmarkStart w:id="34" w:name="_Toc33773688"/>
      <w:bookmarkStart w:id="35" w:name="_Toc106707446"/>
      <w:r>
        <w:lastRenderedPageBreak/>
        <w:t>Incidence</w:t>
      </w:r>
      <w:bookmarkEnd w:id="35"/>
      <w:r>
        <w:t xml:space="preserve"> </w:t>
      </w:r>
      <w:bookmarkEnd w:id="32"/>
      <w:bookmarkEnd w:id="33"/>
      <w:bookmarkEnd w:id="34"/>
    </w:p>
    <w:p w14:paraId="536B724D" w14:textId="68042558" w:rsidR="00B67F0F" w:rsidRDefault="004F1EBD" w:rsidP="004F1EBD">
      <w:pPr>
        <w:pStyle w:val="Heading2"/>
      </w:pPr>
      <w:bookmarkStart w:id="36" w:name="_Toc33773689"/>
      <w:bookmarkStart w:id="37" w:name="_Toc106707447"/>
      <w:r>
        <w:t>Conséquences pour les consommateurs</w:t>
      </w:r>
      <w:bookmarkEnd w:id="36"/>
      <w:bookmarkEnd w:id="37"/>
    </w:p>
    <w:p w14:paraId="3926D377" w14:textId="7ED026DB" w:rsidR="00553E8C" w:rsidRDefault="007051B6" w:rsidP="00553E8C">
      <w:pPr>
        <w:pStyle w:val="BodyText"/>
      </w:pPr>
      <w:r>
        <w:t>Imposer des teneurs maximales en vitamine D et en iode dans les compléments alimentaires ne signifie pas que la consommation réelle de compléments alimentaires à teneurs élevées est réglementée. Par exemple, une personne pourra prendre plusieurs comprimés de la dose maximale autorisée. Certaines personnes, qui consomment actuellement des teneurs élevées, sont susceptibles de continuer à le faire, et ce en dépit de la réglementation des valeurs maximales. Dans un tel cas, ces personnes pourraient se tourner vers des achats en ligne auprès d’entreprises non enregistrées en Suède. La réglementation des valeurs maximales peut, dans un premier temps, compliquer la tâche des consommateurs à la recherche de doses importantes, mais l’agence de l’alimentation est d’avis que les consommateurs qui prennent des risques en consommant des doses importantes courent les mêmes risques pour la santé, avec ou sans réglementation.</w:t>
      </w:r>
    </w:p>
    <w:p w14:paraId="030BF222" w14:textId="126F9F77" w:rsidR="00553E8C" w:rsidRDefault="002503BD" w:rsidP="00553E8C">
      <w:pPr>
        <w:pStyle w:val="BodyText"/>
      </w:pPr>
      <w:r>
        <w:t>Cependant, considérant le haut niveau de confiance dans l’agence de l’alimentation, tant au niveau de ses conseils relatifs aux bonnes habitudes alimentaires que de son expertise scientifique, il est estimé que la majorité des consommateurs respecteront la réglementation. La plupart des consommateurs prennent des compléments alimentaires pour se sentir bien, et une certaine méconnaissance des risques liés à une consommation élevée de vitamines et de minéraux existe. Les valeurs maximales réglementées sont donc susceptibles d’offrir une protection accrue à la majorité des consommateurs. De nombreux consommateurs seront probablement aussi plus sereins si les autorités de contrôle peuvent commencer à contrôler les niveaux de vitamine D et d’iode dans les compléments alimentaires et à agir contre les produits contenant des niveaux de concentration élevés.</w:t>
      </w:r>
    </w:p>
    <w:p w14:paraId="7587D078" w14:textId="1ADE40E9" w:rsidR="00B67F0F" w:rsidRDefault="004F1EBD" w:rsidP="004F1EBD">
      <w:pPr>
        <w:pStyle w:val="Heading2"/>
      </w:pPr>
      <w:bookmarkStart w:id="38" w:name="_Ref29976826"/>
      <w:bookmarkStart w:id="39" w:name="_Ref29976871"/>
      <w:bookmarkStart w:id="40" w:name="_Ref29976903"/>
      <w:bookmarkStart w:id="41" w:name="_Ref30159712"/>
      <w:bookmarkStart w:id="42" w:name="_Ref31711067"/>
      <w:bookmarkStart w:id="43" w:name="_Ref31722378"/>
      <w:bookmarkStart w:id="44" w:name="_Toc33773695"/>
      <w:bookmarkStart w:id="45" w:name="_Toc106707448"/>
      <w:r>
        <w:t>Conséquences pour les entreprises concernées</w:t>
      </w:r>
      <w:bookmarkEnd w:id="38"/>
      <w:bookmarkEnd w:id="39"/>
      <w:bookmarkEnd w:id="40"/>
      <w:bookmarkEnd w:id="41"/>
      <w:bookmarkEnd w:id="42"/>
      <w:bookmarkEnd w:id="43"/>
      <w:bookmarkEnd w:id="44"/>
      <w:bookmarkEnd w:id="45"/>
    </w:p>
    <w:p w14:paraId="0C823CCE" w14:textId="5F454E1A" w:rsidR="00854981" w:rsidRDefault="00732002" w:rsidP="00871BD7">
      <w:r>
        <w:t>L’industrie des compléments alimentaires n’est pas homogène, de sorte que les circuits de vente des compléments alimentaires varient. Les statistiques de vente de Svensk </w:t>
      </w:r>
      <w:proofErr w:type="spellStart"/>
      <w:r>
        <w:t>Egenvård</w:t>
      </w:r>
      <w:proofErr w:type="spellEnd"/>
      <w:r w:rsidR="0060064E" w:rsidRPr="008D6932">
        <w:rPr>
          <w:rStyle w:val="FootnoteReference"/>
        </w:rPr>
        <w:footnoteReference w:id="14"/>
      </w:r>
      <w:r>
        <w:t xml:space="preserve"> montrent que les circuits de vente les plus courants pour les compléments alimentaires en 2018 étaient les pharmacies (22 %), les épiceries (25 %) et les distributeurs spécialisés dans le domaine de la santé (20 %). Les boutiques en ligne représentaient 16 % des ventes. </w:t>
      </w:r>
    </w:p>
    <w:p w14:paraId="4AC9A1D8" w14:textId="45A2ABAA" w:rsidR="0060064E" w:rsidRDefault="003B4BF2" w:rsidP="00871BD7">
      <w:r>
        <w:t xml:space="preserve">Les opérateurs qui vendent des compléments alimentaires en pharmacie sont principalement issus de l’industrie des médicaments. Dans l’industrie des médicaments, de nombreuses entreprises complètent leur gamme de produits par des compléments alimentaires et des médicaments à base de plantes. Les épiceries vendent principalement des compléments alimentaires provenant d’opérateurs de l’industrie alimentaire suédoise. La possibilité de commercialiser ses produits en ligne favorise également la création d’une entreprise. Toutefois, d’après Svensk </w:t>
      </w:r>
      <w:proofErr w:type="spellStart"/>
      <w:r>
        <w:t>Egenvård</w:t>
      </w:r>
      <w:proofErr w:type="spellEnd"/>
      <w:r>
        <w:t xml:space="preserve">, les consommateurs valorisent la connaissance de l’entreprise et la possibilité de s’adresser au personnel. La majorité </w:t>
      </w:r>
      <w:proofErr w:type="gramStart"/>
      <w:r>
        <w:t>des micro</w:t>
      </w:r>
      <w:proofErr w:type="gramEnd"/>
      <w:r>
        <w:t xml:space="preserve"> ou </w:t>
      </w:r>
      <w:r>
        <w:lastRenderedPageBreak/>
        <w:t>petites entreprises commercialisent donc leurs produits par l’intermédiaire de distributeurs spécialisés dans le domaine de la santé.</w:t>
      </w:r>
    </w:p>
    <w:p w14:paraId="37A17316" w14:textId="19F9DB7E" w:rsidR="00EC7CB8" w:rsidRDefault="00EC7CB8" w:rsidP="00EC7CB8">
      <w:r>
        <w:t>Aucune donnée n’est disponible sur le nombre total d’entreprises qui commercialisent des compléments alimentaires contenant des vitamines et des minéraux en Suède. Selon les estimations de Svensk </w:t>
      </w:r>
      <w:proofErr w:type="spellStart"/>
      <w:r>
        <w:t>Egenvård</w:t>
      </w:r>
      <w:proofErr w:type="spellEnd"/>
      <w:r>
        <w:t>, cela concerne 350 entreprises enregistrées et à peine plus de 200 entreprises représenteraient 95 % des ventes aux consommateurs suédois</w:t>
      </w:r>
      <w:r>
        <w:rPr>
          <w:rStyle w:val="FootnoteReference"/>
        </w:rPr>
        <w:footnoteReference w:id="15"/>
      </w:r>
      <w:r>
        <w:t xml:space="preserve">. La plupart de ces entreprises (environ 280) sont considérées comme </w:t>
      </w:r>
      <w:proofErr w:type="gramStart"/>
      <w:r>
        <w:t>des micro</w:t>
      </w:r>
      <w:proofErr w:type="gramEnd"/>
      <w:r>
        <w:t xml:space="preserve"> ou petites entreprises comptant moins de 20 salariés. Une cinquantaine d’entreprises comptent plus de 20 salariés et 20 autres sont d’envergure mondiale. </w:t>
      </w:r>
    </w:p>
    <w:p w14:paraId="4FDB0F3E" w14:textId="216624A1" w:rsidR="001D749C" w:rsidRDefault="00871BD7" w:rsidP="00871BD7">
      <w:r>
        <w:t>Svensk </w:t>
      </w:r>
      <w:proofErr w:type="spellStart"/>
      <w:r>
        <w:t>Egenvård</w:t>
      </w:r>
      <w:proofErr w:type="spellEnd"/>
      <w:r>
        <w:t xml:space="preserve"> estime qu’une vingtaine d’entreprises suédoises commercialisent des préparations contenant des teneurs élevées en vitamines ou en minéraux; c’est-à-dire environ 5 % de l’ensemble des entreprises qui vendent des compléments alimentaires en Suède. En revanche, on ne dispose pas de données sur le nombre de ces entreprises qui vendent des compléments alimentaires contenant des teneurs élevées en vitamine D et en iode.</w:t>
      </w:r>
    </w:p>
    <w:p w14:paraId="7EF8C179" w14:textId="6CA390B9" w:rsidR="00D0627B" w:rsidRDefault="00D0627B" w:rsidP="00AB3BA0">
      <w:pPr>
        <w:pStyle w:val="BodyText"/>
      </w:pPr>
      <w:r>
        <w:t xml:space="preserve">Si les valeurs maximales de vitamine D et d’iode sont réglementées par la loi, cela est clairement indiqué aux entreprises et l’ensemble des entreprises suédoises peuvent se faire concurrence sur un pied d’égalité. Néanmoins, il existe un conflit d’objectifs; entre la réglementation nationale des valeurs maximales et les conditions nécessaires à la croissance et à la compétitivité des entreprises </w:t>
      </w:r>
      <w:r>
        <w:rPr>
          <w:rStyle w:val="Emphasis"/>
          <w:i w:val="0"/>
        </w:rPr>
        <w:t>suédoises</w:t>
      </w:r>
      <w:r>
        <w:t>. Si les consommateurs suédois recherchent des compléments alimentaires à teneur élevée, le marché de ces préparations risque, une fois le règlement adopté, de se déplacer vers les canaux en ligne établis à l’étranger. Les entreprises suédoises qui fabriquent ou vendent des compléments alimentaires à teneurs élevées en vitamine D et en iode risquent donc de perdre une partie de leur clientèle.</w:t>
      </w:r>
    </w:p>
    <w:p w14:paraId="5C7361D3" w14:textId="59F4000B" w:rsidR="00581498" w:rsidRDefault="003B4BA3" w:rsidP="003B4BA3">
      <w:pPr>
        <w:pStyle w:val="BodyText"/>
      </w:pPr>
      <w:r>
        <w:t>L’enquête a révélé que la majorité des entreprises susceptibles d’être pénalisées par les valeurs maximales réglementées sont des entreprises relativement petites. Cependant, la plupart des entreprises de l’industrie des compléments alimentaires ne seront pas touchées parce qu’elles ne commercialisent pas de produits à teneurs élevées en vitamine D et en iode. Au cours de la période transitoire, les entreprises disposeront également de temps pour apporter les ajustements nécessaires aux éléments concernés de leurs activités, trouver de nouveaux fournisseurs ou mettre sur le marché de nouveaux produits pour leurs différentes clientèles. Les règles transitoires permettent également aux entreprises concernées d’épuiser leurs stocks de produits déjà mis sur le marché ou étiquetés.</w:t>
      </w:r>
    </w:p>
    <w:p w14:paraId="2537C909" w14:textId="00B28323" w:rsidR="00527B66" w:rsidRDefault="0009601E" w:rsidP="00527B66">
      <w:pPr>
        <w:pStyle w:val="BodyText"/>
      </w:pPr>
      <w:r>
        <w:t xml:space="preserve">La réglementation des valeurs maximales peut engendrer des coûts de départ liés aux adaptations nécessaires à prévoir au sein des entreprises concernées. À titre d’exemple, des coûts peuvent être engagés en vue de modifier la composition des produits, de fabriquer de nouveaux emballages et de réviser les informations figurant sur les sites web. Les entreprises concernées pourront également demander une dérogation aux valeurs maximales de vitamine D et d’iode. Outre les coûts liés à la rédaction des pièces justificatives de la demande, des frais administratifs sont également à prévoir pour demander une dérogation. Le temps nécessaire à un exploitant pour remplir le formulaire de demande est estimé à environ 15 minutes. Le temps nécessaire à la constitution des preuves scientifiques requises sera très variable, mais il est réputé faire partie des activités normales de l’entreprise, puisque </w:t>
      </w:r>
      <w:r>
        <w:lastRenderedPageBreak/>
        <w:t xml:space="preserve">celle-ci doit déjà disposer de ces connaissances pour déterminer la dose journalière recommandée. La rétribution correspondant à une demande de dérogation sera d’un montant fixe de 20 000 SEK. Aucun coût d’adaptation ne sera encouru pour les produits qui bénéficient d’une dérogation. </w:t>
      </w:r>
      <w:bookmarkStart w:id="46" w:name="_Ref31803602"/>
      <w:bookmarkStart w:id="47" w:name="_Ref31964698"/>
    </w:p>
    <w:bookmarkEnd w:id="46"/>
    <w:bookmarkEnd w:id="47"/>
    <w:p w14:paraId="52729A4B" w14:textId="5B5D80B9" w:rsidR="00DC7C3C" w:rsidRDefault="000A53F2" w:rsidP="002F2B28">
      <w:pPr>
        <w:pStyle w:val="BodyText"/>
      </w:pPr>
      <w:r>
        <w:t xml:space="preserve">Une réglementation nationale qui renforce les exigences imposées aux entreprises en Suède peut entraver leur capacité à concurrencer les entreprises situées en dehors du pays et qui ne sont pas soumises aux mêmes exigences. En revanche, il est possible d’affirmer que les entreprises qui continuent de commercialiser des compléments alimentaires sur le marché suédois bénéficieront de conditions de concurrence plus équitables, puisque les valeurs maximales s’appliqueront à toutes les entreprises en Suède. À l’heure actuelle, il appartient aux fabricants eux-mêmes de décider des teneurs en vitamine D et en iode qui devraient être incluses dans un complément alimentaire. Étant donné que le règlement fournit un appui réglementaire pour contrôler les concentrations dans les compléments alimentaires commercialisés, les conditions pour des évaluations équitables sont créées. De même, il favorise également la concurrence sur un pied d’égalité. </w:t>
      </w:r>
    </w:p>
    <w:p w14:paraId="061033D0" w14:textId="77777777" w:rsidR="00B60BB9" w:rsidRDefault="00B60BB9" w:rsidP="0082498B">
      <w:pPr>
        <w:pStyle w:val="Heading2"/>
      </w:pPr>
      <w:bookmarkStart w:id="48" w:name="_Toc33773704"/>
      <w:bookmarkStart w:id="49" w:name="_Toc106707449"/>
      <w:r>
        <w:t>Conséquences pour le secteur public</w:t>
      </w:r>
      <w:bookmarkEnd w:id="48"/>
      <w:bookmarkEnd w:id="49"/>
    </w:p>
    <w:p w14:paraId="3A620099" w14:textId="4408BF2A" w:rsidR="00D0627B" w:rsidRDefault="00D0627B" w:rsidP="00D0627B">
      <w:r>
        <w:t xml:space="preserve">Disposer de valeurs maximales réglementées permet de contrôler les niveaux de vitamine D et d’iode dans les compléments alimentaires et de décider, par exemple, d’en interdire la vente s’il s’avère que les compléments alimentaires contiennent des niveaux dangereux de substance. Une réglementation simple et transparente permettra aux autorités de contrôle de procéder à des inspections efficaces. Les conditions seront également améliorées pour que des mesures d’évaluation et de contrôle équitables soient mises en œuvre. Dans la grande majorité des cas, les contrôles officiels des compléments alimentaires sont effectués dans le cadre des contrôles alimentaires municipaux. </w:t>
      </w:r>
    </w:p>
    <w:p w14:paraId="05A9678E" w14:textId="1E9A96DC" w:rsidR="00B60BB9" w:rsidRPr="00055235" w:rsidRDefault="00B60BB9" w:rsidP="00D0627B">
      <w:pPr>
        <w:rPr>
          <w:b/>
        </w:rPr>
      </w:pPr>
      <w:r>
        <w:t xml:space="preserve">Pour l’agence de l’alimentation, de nouvelles tâches seront d’abord nécessaires pour informer les entreprises, les autorités de contrôle et les consommateurs sur les nouvelles réglementations. Étant donné qu’il sera également possible pour les entreprises de demander une dérogation aux valeurs maximales de vitamine D et d’iode, l’agence de l’alimentation devra également disposer d’une expertise en toxicologie ou équivalente afin d’évaluer les demandes. L’ampleur des ressources qui seront nécessaires à cet égard est incertaine, car elle dépend du nombre et de la qualité des demandes. </w:t>
      </w:r>
    </w:p>
    <w:p w14:paraId="25761806" w14:textId="62A6CF77" w:rsidR="00B67F0F" w:rsidRDefault="00B67F0F" w:rsidP="0082498B">
      <w:pPr>
        <w:pStyle w:val="Heading2"/>
      </w:pPr>
      <w:bookmarkStart w:id="50" w:name="_Toc33773708"/>
      <w:bookmarkStart w:id="51" w:name="_Toc106707450"/>
      <w:r>
        <w:t>Évaluation globale</w:t>
      </w:r>
      <w:bookmarkEnd w:id="50"/>
      <w:bookmarkEnd w:id="51"/>
    </w:p>
    <w:p w14:paraId="1DFAB526" w14:textId="4FFCF65E" w:rsidR="00F07D25" w:rsidRDefault="00C06F3E" w:rsidP="00C06F3E">
      <w:r>
        <w:t xml:space="preserve">Les consommateurs à la recherche de compléments alimentaires contenant des teneurs élevées en vitamine D et en iode et les exploitants du secteur alimentaire qui fabriquent et commercialisent de tels compléments alimentaires sont directement touchés par les teneurs maximales réglementées. Les entreprises enregistrées en Suède, dont le chiffre d’affaires est principalement axé sur la fabrication ou la commercialisation de compléments alimentaires contenant des teneurs élevées en vitamine D et en iode, sont particulièrement concernées. </w:t>
      </w:r>
    </w:p>
    <w:p w14:paraId="1DF521C6" w14:textId="734743F6" w:rsidR="00C06F3E" w:rsidRDefault="00C06F3E" w:rsidP="00C06F3E">
      <w:r>
        <w:t>Sont indirectement concernés tous les consommateurs de compléments alimentaires, les personnes dont le travail consiste à fournir des conseils nutritionnels (thérapeutes en nutrition, thérapeutes spécialistes de la peau, nutritionnistes, diététiciens, conseillers en nutrition, physiothérapeutes et personnel infirmier), toutes les entreprises commercialisant des compléments alimentaires (y compris les entreprises enregistrées à l’étranger), ainsi que l’agence de l’alimentation et d’autres autorités de contrôle en Suède.</w:t>
      </w:r>
    </w:p>
    <w:p w14:paraId="192AD4A4" w14:textId="36846298" w:rsidR="00864D48" w:rsidRDefault="00A86366" w:rsidP="00390808">
      <w:pPr>
        <w:pStyle w:val="BodyText"/>
      </w:pPr>
      <w:r>
        <w:lastRenderedPageBreak/>
        <w:t xml:space="preserve">L’évaluation globale est que l’introduction de valeurs maximales de vitamine D et d’iode dans les compléments alimentaires aura principalement un impact social (principalement sur la santé) ainsi qu’une incidence économique (principalement des conséquences sur les coûts et la concurrence). Si davantage de consommateurs commencent à acheter des compléments alimentaires de fournisseurs en ligne étrangers, cela peut augmenter les distances impliquées dans l’expédition des colis. Dans un tel cas, un impact environnemental existe également. L’amélioration de la sécurité alimentaire des consommateurs est le résultat le plus important du projet de règlement. La capacité d’exercer un contrôle et, le cas échéant, de prendre des mesures à l’encontre des produits nocifs pour la santé est essentielle pour le contrôle des denrées alimentaires et, en définitive, pour les consommateurs. </w:t>
      </w:r>
    </w:p>
    <w:sectPr w:rsidR="00864D48" w:rsidSect="008E3C4F">
      <w:footerReference w:type="even" r:id="rId8"/>
      <w:pgSz w:w="11906" w:h="16838"/>
      <w:pgMar w:top="1701" w:right="1416" w:bottom="1418" w:left="1418"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B81B" w14:textId="77777777" w:rsidR="00E30D08" w:rsidRDefault="00E30D08" w:rsidP="000242FA">
      <w:pPr>
        <w:spacing w:after="0" w:line="240" w:lineRule="auto"/>
      </w:pPr>
      <w:r>
        <w:separator/>
      </w:r>
    </w:p>
    <w:p w14:paraId="444F8FF1" w14:textId="77777777" w:rsidR="00E30D08" w:rsidRDefault="00E30D08"/>
  </w:endnote>
  <w:endnote w:type="continuationSeparator" w:id="0">
    <w:p w14:paraId="5085B0E8" w14:textId="77777777" w:rsidR="00E30D08" w:rsidRDefault="00E30D08" w:rsidP="000242FA">
      <w:pPr>
        <w:spacing w:after="0" w:line="240" w:lineRule="auto"/>
      </w:pPr>
      <w:r>
        <w:continuationSeparator/>
      </w:r>
    </w:p>
    <w:p w14:paraId="33E08428" w14:textId="77777777" w:rsidR="00E30D08" w:rsidRDefault="00E30D08"/>
  </w:endnote>
  <w:endnote w:type="continuationNotice" w:id="1">
    <w:p w14:paraId="339D02C2" w14:textId="77777777" w:rsidR="00E30D08" w:rsidRDefault="00E30D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7DAB" w14:textId="5F2BEB6A" w:rsidR="00E30D08" w:rsidRDefault="00E30D08" w:rsidP="00DF03FF">
    <w:pPr>
      <w:autoSpaceDE w:val="0"/>
      <w:autoSpaceDN w:val="0"/>
      <w:adjustRightInd w:val="0"/>
      <w:spacing w:after="0" w:line="200" w:lineRule="atLeast"/>
      <w:ind w:right="-1701"/>
      <w:textAlignment w:val="center"/>
      <w:rPr>
        <w:rFonts w:ascii="Calibri" w:eastAsia="Times New Roman" w:hAnsi="Calibri" w:cs="Tahoma"/>
        <w:b/>
        <w:noProof/>
        <w:color w:val="000000"/>
        <w:sz w:val="14"/>
        <w:szCs w:val="14"/>
      </w:rPr>
    </w:pPr>
    <w:r>
      <w:rPr>
        <w:rFonts w:ascii="Calibri" w:hAnsi="Calibri"/>
        <w:color w:val="00000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BD17" w14:textId="77777777" w:rsidR="00E30D08" w:rsidRDefault="00E30D08" w:rsidP="000242FA">
      <w:pPr>
        <w:spacing w:after="0" w:line="240" w:lineRule="auto"/>
      </w:pPr>
      <w:r>
        <w:separator/>
      </w:r>
    </w:p>
    <w:p w14:paraId="0D2D065B" w14:textId="77777777" w:rsidR="00E30D08" w:rsidRDefault="00E30D08"/>
  </w:footnote>
  <w:footnote w:type="continuationSeparator" w:id="0">
    <w:p w14:paraId="6E71B417" w14:textId="77777777" w:rsidR="00E30D08" w:rsidRDefault="00E30D08" w:rsidP="000242FA">
      <w:pPr>
        <w:spacing w:after="0" w:line="240" w:lineRule="auto"/>
      </w:pPr>
      <w:r>
        <w:continuationSeparator/>
      </w:r>
    </w:p>
    <w:p w14:paraId="1B16D403" w14:textId="77777777" w:rsidR="00E30D08" w:rsidRDefault="00E30D08"/>
  </w:footnote>
  <w:footnote w:type="continuationNotice" w:id="1">
    <w:p w14:paraId="318465BE" w14:textId="77777777" w:rsidR="00E30D08" w:rsidRDefault="00E30D08">
      <w:pPr>
        <w:spacing w:before="0" w:after="0" w:line="240" w:lineRule="auto"/>
      </w:pPr>
    </w:p>
  </w:footnote>
  <w:footnote w:id="2">
    <w:p w14:paraId="757F1CA0" w14:textId="0E5CE873" w:rsidR="00E30D08" w:rsidRDefault="00E30D08" w:rsidP="000563A4">
      <w:pPr>
        <w:pStyle w:val="FootnoteText"/>
      </w:pPr>
      <w:r>
        <w:rPr>
          <w:rStyle w:val="FootnoteReference"/>
        </w:rPr>
        <w:footnoteRef/>
      </w:r>
      <w:r>
        <w:t xml:space="preserve"> Autorisation des dépenses de l’agence de l’alimentation pour l’exercice 2017, décision du 20 décembre 2016.</w:t>
      </w:r>
    </w:p>
  </w:footnote>
  <w:footnote w:id="3">
    <w:p w14:paraId="6009E0E6" w14:textId="77777777" w:rsidR="00E30D08" w:rsidRPr="00DD72DB" w:rsidRDefault="00E30D08" w:rsidP="008F44DF">
      <w:pPr>
        <w:pStyle w:val="FootnoteText"/>
      </w:pPr>
      <w:r>
        <w:rPr>
          <w:rStyle w:val="FootnoteReference"/>
        </w:rPr>
        <w:footnoteRef/>
      </w:r>
      <w:r>
        <w:t xml:space="preserve"> Apport maximal tolérable</w:t>
      </w:r>
    </w:p>
  </w:footnote>
  <w:footnote w:id="4">
    <w:p w14:paraId="1093454E" w14:textId="77777777" w:rsidR="00E30D08" w:rsidRPr="00DD72DB" w:rsidRDefault="00E30D08" w:rsidP="0026355E">
      <w:pPr>
        <w:pStyle w:val="FootnoteText"/>
      </w:pPr>
      <w:r>
        <w:rPr>
          <w:rStyle w:val="FootnoteReference"/>
        </w:rPr>
        <w:footnoteRef/>
      </w:r>
      <w:r>
        <w:t xml:space="preserve"> «Recommandations nordiques en matière de nutrition 2012: intégrer la nutrition et l’activité physique», 2014, 5</w:t>
      </w:r>
      <w:r>
        <w:rPr>
          <w:vertAlign w:val="superscript"/>
        </w:rPr>
        <w:t>e</w:t>
      </w:r>
      <w:r>
        <w:t xml:space="preserve"> édition, Copenhague, disponible sur: https://doi.org/10.6027/Nord2014-002 </w:t>
      </w:r>
      <w:r>
        <w:rPr>
          <w:i/>
          <w:iCs/>
        </w:rPr>
        <w:t>[en anglais uniquement]</w:t>
      </w:r>
      <w:r>
        <w:t>.</w:t>
      </w:r>
    </w:p>
  </w:footnote>
  <w:footnote w:id="5">
    <w:p w14:paraId="2AD8ABBC" w14:textId="77777777" w:rsidR="00E30D08" w:rsidRDefault="00E30D08" w:rsidP="00E762C3">
      <w:pPr>
        <w:pStyle w:val="FootnoteText"/>
      </w:pPr>
      <w:r>
        <w:rPr>
          <w:rStyle w:val="FootnoteReference"/>
        </w:rPr>
        <w:footnoteRef/>
      </w:r>
      <w:r>
        <w:t xml:space="preserve"> Agence suédoise de l’alimentation, 2012. </w:t>
      </w:r>
      <w:proofErr w:type="spellStart"/>
      <w:r>
        <w:t>Riksmaten</w:t>
      </w:r>
      <w:proofErr w:type="spellEnd"/>
      <w:r>
        <w:t> – Adultes 2010-11, Alimentation et apport nutritionnel chez les adultes en Suède. Agence suédoise de l’alimentation, Uppsala, septembre 2012.</w:t>
      </w:r>
    </w:p>
  </w:footnote>
  <w:footnote w:id="6">
    <w:p w14:paraId="510A383C" w14:textId="77777777" w:rsidR="00E30D08" w:rsidRPr="0050310D" w:rsidRDefault="00E30D08" w:rsidP="00E762C3">
      <w:pPr>
        <w:pStyle w:val="FootnoteText"/>
      </w:pPr>
      <w:r>
        <w:rPr>
          <w:rStyle w:val="FootnoteReference"/>
        </w:rPr>
        <w:footnoteRef/>
      </w:r>
      <w:r>
        <w:t>Svensk </w:t>
      </w:r>
      <w:proofErr w:type="spellStart"/>
      <w:r>
        <w:t>Egenvård</w:t>
      </w:r>
      <w:proofErr w:type="spellEnd"/>
      <w:r>
        <w:t xml:space="preserve"> </w:t>
      </w:r>
      <w:r>
        <w:rPr>
          <w:i/>
          <w:iCs/>
        </w:rPr>
        <w:t>[association professionnelle qui réunit les fabricants suédois de compléments alimentaires]</w:t>
      </w:r>
      <w:r>
        <w:t>, 2019. Le marché de l’autogestion de la santé en 2018. Statistiques portant sur les ventes de compléments alimentaires, de vitamines, de produits de nutrition sportive, de suppléments minceur et de médicaments à base de plantes en Suède.</w:t>
      </w:r>
    </w:p>
  </w:footnote>
  <w:footnote w:id="7">
    <w:p w14:paraId="1935DACE" w14:textId="3262C712" w:rsidR="00E30D08" w:rsidRPr="007B59EF" w:rsidRDefault="00E30D08" w:rsidP="00661288">
      <w:pPr>
        <w:pStyle w:val="FootnoteText"/>
      </w:pPr>
      <w:r>
        <w:rPr>
          <w:rStyle w:val="FootnoteReference"/>
        </w:rPr>
        <w:footnoteRef/>
      </w:r>
      <w:r>
        <w:t xml:space="preserve"> L’enquête de l’agence de l’alimentation sur les ventes en ligne a été réalisée en septembre 2019. </w:t>
      </w:r>
    </w:p>
  </w:footnote>
  <w:footnote w:id="8">
    <w:p w14:paraId="4217D40C" w14:textId="509168CC" w:rsidR="00E30D08" w:rsidRPr="007B59EF" w:rsidRDefault="00E30D08" w:rsidP="00661288">
      <w:pPr>
        <w:pStyle w:val="FootnoteText"/>
      </w:pPr>
      <w:r>
        <w:rPr>
          <w:rStyle w:val="FootnoteReference"/>
        </w:rPr>
        <w:footnoteRef/>
      </w:r>
      <w:r>
        <w:t xml:space="preserve"> Réponse de Svensk </w:t>
      </w:r>
      <w:proofErr w:type="spellStart"/>
      <w:r>
        <w:t>Egenvård</w:t>
      </w:r>
      <w:proofErr w:type="spellEnd"/>
      <w:r>
        <w:t xml:space="preserve"> aux questions préalables à l’analyse d’impact pour l’introduction d’une réglementation nationale sur des limites maximales pour les vitamines et les minéraux contenus dans les compléments alimentaires, document réf. 2018/02027-7.</w:t>
      </w:r>
    </w:p>
  </w:footnote>
  <w:footnote w:id="9">
    <w:p w14:paraId="272EA794" w14:textId="45130F46" w:rsidR="00E30D08" w:rsidRDefault="00E30D08" w:rsidP="00661288">
      <w:pPr>
        <w:pStyle w:val="FootnoteText"/>
      </w:pPr>
      <w:r>
        <w:rPr>
          <w:rStyle w:val="FootnoteReference"/>
        </w:rPr>
        <w:footnoteRef/>
      </w:r>
      <w:r>
        <w:t xml:space="preserve"> Dans le cadre des travaux préparatoires à la réglementation, sept autorités de contrôle ont été interrogées, entre autres, sur les contrôles actuels des compléments alimentaires, sur les conséquences de la mise en place de valeurs maximales et sur l’état du marché (document réf. 2018/02027-8).</w:t>
      </w:r>
    </w:p>
  </w:footnote>
  <w:footnote w:id="10">
    <w:p w14:paraId="604F84DF" w14:textId="77777777" w:rsidR="00E30D08" w:rsidRDefault="00E30D08" w:rsidP="002B3C9C">
      <w:pPr>
        <w:pStyle w:val="FootnoteText"/>
      </w:pPr>
      <w:r>
        <w:rPr>
          <w:rStyle w:val="FootnoteReference"/>
        </w:rPr>
        <w:footnoteRef/>
      </w:r>
      <w:r>
        <w:t xml:space="preserve"> La Cour de justice a jugé que les États membres demeurent compétents pour adopter des réglementations nationales relatives aux quantités maximales de substances pouvant être utilisées pour la fabrication de compléments alimentaires, tant que la Commission européenne ne l’a pas encore fait; voir arrêt du 29 avril 2010, </w:t>
      </w:r>
      <w:proofErr w:type="spellStart"/>
      <w:r>
        <w:t>Solgar</w:t>
      </w:r>
      <w:proofErr w:type="spellEnd"/>
      <w:r>
        <w:t> </w:t>
      </w:r>
      <w:proofErr w:type="spellStart"/>
      <w:r>
        <w:t>Vitamin’s</w:t>
      </w:r>
      <w:proofErr w:type="spellEnd"/>
      <w:r>
        <w:t xml:space="preserve"> France, C-446/08, EU:C:2010:233, paragraphe 24. </w:t>
      </w:r>
    </w:p>
  </w:footnote>
  <w:footnote w:id="11">
    <w:p w14:paraId="65A94091" w14:textId="5E2A5785" w:rsidR="00E30D08" w:rsidRDefault="00E30D08" w:rsidP="002B3C9C">
      <w:pPr>
        <w:pStyle w:val="FootnoteText"/>
      </w:pPr>
      <w:r>
        <w:rPr>
          <w:rStyle w:val="FootnoteReference"/>
        </w:rPr>
        <w:footnoteRef/>
      </w:r>
      <w:r>
        <w:t xml:space="preserve"> Pour plus d’informations sur les autres États membres, voir le document réf. 2018/00401.</w:t>
      </w:r>
    </w:p>
  </w:footnote>
  <w:footnote w:id="12">
    <w:p w14:paraId="33492B0A" w14:textId="2AF42C2C" w:rsidR="00E30D08" w:rsidRDefault="00E30D08">
      <w:pPr>
        <w:pStyle w:val="FootnoteText"/>
      </w:pPr>
      <w:r>
        <w:rPr>
          <w:rStyle w:val="FootnoteReference"/>
        </w:rPr>
        <w:footnoteRef/>
      </w:r>
      <w:r>
        <w:t xml:space="preserve"> Voir arrêts du 29 avril 2010, </w:t>
      </w:r>
      <w:proofErr w:type="spellStart"/>
      <w:r>
        <w:t>Solgar</w:t>
      </w:r>
      <w:proofErr w:type="spellEnd"/>
      <w:r>
        <w:t> </w:t>
      </w:r>
      <w:proofErr w:type="spellStart"/>
      <w:r>
        <w:t>Vitamin’s</w:t>
      </w:r>
      <w:proofErr w:type="spellEnd"/>
      <w:r>
        <w:t> France, C-446/08, EU:C:2010:233, paragraphes 24 et 32, et du 27 avril 2017, Noria Distribution SARL, C-672/15, EU:C:2017:310, paragraphe 16.</w:t>
      </w:r>
    </w:p>
  </w:footnote>
  <w:footnote w:id="13">
    <w:p w14:paraId="5311163D" w14:textId="56DDE568" w:rsidR="00E30D08" w:rsidRPr="00DD72DB" w:rsidRDefault="00E30D08">
      <w:pPr>
        <w:pStyle w:val="FootnoteText"/>
      </w:pPr>
      <w:r>
        <w:rPr>
          <w:rStyle w:val="FootnoteReference"/>
        </w:rPr>
        <w:footnoteRef/>
      </w:r>
      <w:r>
        <w:t xml:space="preserve"> Voir page 12 du </w:t>
      </w:r>
      <w:proofErr w:type="spellStart"/>
      <w:r>
        <w:rPr>
          <w:i/>
        </w:rPr>
        <w:t>Fødevarestyrelsens</w:t>
      </w:r>
      <w:proofErr w:type="spellEnd"/>
      <w:r>
        <w:rPr>
          <w:i/>
        </w:rPr>
        <w:t xml:space="preserve"> </w:t>
      </w:r>
      <w:proofErr w:type="spellStart"/>
      <w:r>
        <w:rPr>
          <w:i/>
        </w:rPr>
        <w:t>Vejledning</w:t>
      </w:r>
      <w:proofErr w:type="spellEnd"/>
      <w:r>
        <w:rPr>
          <w:i/>
        </w:rPr>
        <w:t xml:space="preserve"> om </w:t>
      </w:r>
      <w:proofErr w:type="spellStart"/>
      <w:r>
        <w:rPr>
          <w:i/>
        </w:rPr>
        <w:t>kosttillskud</w:t>
      </w:r>
      <w:proofErr w:type="spellEnd"/>
      <w:r>
        <w:t xml:space="preserve"> (Guide de l’administration vétérinaire et alimentaire danoise sur les compléments alimentaires), </w:t>
      </w:r>
      <w:r>
        <w:rPr>
          <w:i/>
        </w:rPr>
        <w:t xml:space="preserve">VEJ nº 9965 </w:t>
      </w:r>
      <w:proofErr w:type="spellStart"/>
      <w:r>
        <w:rPr>
          <w:i/>
        </w:rPr>
        <w:t>af</w:t>
      </w:r>
      <w:proofErr w:type="spellEnd"/>
      <w:r>
        <w:rPr>
          <w:i/>
        </w:rPr>
        <w:t> 08/11/2019.</w:t>
      </w:r>
    </w:p>
  </w:footnote>
  <w:footnote w:id="14">
    <w:p w14:paraId="10AB40A1" w14:textId="77777777" w:rsidR="00E30D08" w:rsidRDefault="00E30D08" w:rsidP="0060064E">
      <w:pPr>
        <w:pStyle w:val="FootnoteText"/>
      </w:pPr>
      <w:r>
        <w:rPr>
          <w:rStyle w:val="FootnoteReference"/>
        </w:rPr>
        <w:footnoteRef/>
      </w:r>
      <w:r>
        <w:t>Svensk </w:t>
      </w:r>
      <w:proofErr w:type="spellStart"/>
      <w:r>
        <w:t>Egenvård</w:t>
      </w:r>
      <w:proofErr w:type="spellEnd"/>
      <w:r>
        <w:t>, 2019. Le marché de l’autogestion de la santé en 2018. Statistiques portant sur les ventes de compléments alimentaires, de vitamines, de produits de nutrition sportive, de suppléments minceur et de médicaments à base de plantes en Suède.</w:t>
      </w:r>
    </w:p>
  </w:footnote>
  <w:footnote w:id="15">
    <w:p w14:paraId="47C8EA5C" w14:textId="185FF808" w:rsidR="00E30D08" w:rsidRDefault="00E30D08" w:rsidP="00EC7CB8">
      <w:pPr>
        <w:pStyle w:val="FootnoteText"/>
      </w:pPr>
      <w:r>
        <w:rPr>
          <w:rStyle w:val="FootnoteReference"/>
        </w:rPr>
        <w:footnoteRef/>
      </w:r>
      <w:r>
        <w:t xml:space="preserve"> Réponse de Svensk </w:t>
      </w:r>
      <w:proofErr w:type="spellStart"/>
      <w:r>
        <w:t>Egenvård</w:t>
      </w:r>
      <w:proofErr w:type="spellEnd"/>
      <w:r>
        <w:t xml:space="preserve"> aux questions préalables à l’analyse d’impact pour l’introduction d’une réglementation nationale sur des limites maximales pour les vitamines et les minéraux contenus dans les compléments alimentaires, document réf. 2018/02027-7.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7E6"/>
    <w:multiLevelType w:val="multilevel"/>
    <w:tmpl w:val="4586A49A"/>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150C3E"/>
    <w:multiLevelType w:val="hybridMultilevel"/>
    <w:tmpl w:val="2F0C5C7C"/>
    <w:lvl w:ilvl="0" w:tplc="8BA4B70C">
      <w:numFmt w:val="bullet"/>
      <w:pStyle w:val="streckpunkter"/>
      <w:lvlText w:val="-"/>
      <w:lvlJc w:val="left"/>
      <w:pPr>
        <w:ind w:left="720" w:hanging="360"/>
      </w:pPr>
      <w:rPr>
        <w:rFonts w:ascii="Times New Roman" w:eastAsiaTheme="minorHAnsi" w:hAnsi="Times New Roman" w:cs="Times New Roman" w:hint="default"/>
      </w:rPr>
    </w:lvl>
    <w:lvl w:ilvl="1" w:tplc="34AAD07C">
      <w:numFmt w:val="bullet"/>
      <w:lvlText w:val="•"/>
      <w:lvlJc w:val="left"/>
      <w:pPr>
        <w:ind w:left="2388" w:hanging="1308"/>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545776"/>
    <w:multiLevelType w:val="hybridMultilevel"/>
    <w:tmpl w:val="2E108C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86637E9"/>
    <w:multiLevelType w:val="hybridMultilevel"/>
    <w:tmpl w:val="391EAF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E15FB1"/>
    <w:multiLevelType w:val="hybridMultilevel"/>
    <w:tmpl w:val="8F180C00"/>
    <w:lvl w:ilvl="0" w:tplc="0FD0030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B266315"/>
    <w:multiLevelType w:val="hybridMultilevel"/>
    <w:tmpl w:val="B3821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9905AE"/>
    <w:multiLevelType w:val="multilevel"/>
    <w:tmpl w:val="844A8A02"/>
    <w:lvl w:ilvl="0">
      <w:start w:val="1"/>
      <w:numFmt w:val="bullet"/>
      <w:pStyle w:val="List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7" w15:restartNumberingAfterBreak="0">
    <w:nsid w:val="5824266E"/>
    <w:multiLevelType w:val="multilevel"/>
    <w:tmpl w:val="3C723158"/>
    <w:lvl w:ilvl="0">
      <w:start w:val="1"/>
      <w:numFmt w:val="decimal"/>
      <w:pStyle w:val="Nummerlista"/>
      <w:lvlText w:val="%1."/>
      <w:lvlJc w:val="right"/>
      <w:pPr>
        <w:ind w:left="357" w:hanging="68"/>
      </w:pPr>
      <w:rPr>
        <w:rFonts w:hint="default"/>
      </w:rPr>
    </w:lvl>
    <w:lvl w:ilvl="1">
      <w:start w:val="1"/>
      <w:numFmt w:val="decimal"/>
      <w:lvlText w:val="%2."/>
      <w:lvlJc w:val="left"/>
      <w:pPr>
        <w:ind w:left="788" w:hanging="68"/>
      </w:pPr>
      <w:rPr>
        <w:rFonts w:hint="default"/>
      </w:rPr>
    </w:lvl>
    <w:lvl w:ilvl="2">
      <w:start w:val="1"/>
      <w:numFmt w:val="decimal"/>
      <w:lvlText w:val="%3."/>
      <w:lvlJc w:val="right"/>
      <w:pPr>
        <w:ind w:left="1219" w:hanging="68"/>
      </w:pPr>
      <w:rPr>
        <w:rFonts w:hint="default"/>
      </w:rPr>
    </w:lvl>
    <w:lvl w:ilvl="3">
      <w:start w:val="1"/>
      <w:numFmt w:val="decimal"/>
      <w:lvlText w:val="%4."/>
      <w:lvlJc w:val="left"/>
      <w:pPr>
        <w:ind w:left="1650" w:hanging="68"/>
      </w:pPr>
      <w:rPr>
        <w:rFonts w:hint="default"/>
      </w:rPr>
    </w:lvl>
    <w:lvl w:ilvl="4">
      <w:start w:val="1"/>
      <w:numFmt w:val="decimal"/>
      <w:lvlText w:val="%5."/>
      <w:lvlJc w:val="left"/>
      <w:pPr>
        <w:ind w:left="2081" w:hanging="68"/>
      </w:pPr>
      <w:rPr>
        <w:rFonts w:hint="default"/>
      </w:rPr>
    </w:lvl>
    <w:lvl w:ilvl="5">
      <w:start w:val="1"/>
      <w:numFmt w:val="decimal"/>
      <w:lvlText w:val="%6."/>
      <w:lvlJc w:val="right"/>
      <w:pPr>
        <w:ind w:left="2512" w:hanging="68"/>
      </w:pPr>
      <w:rPr>
        <w:rFonts w:hint="default"/>
      </w:rPr>
    </w:lvl>
    <w:lvl w:ilvl="6">
      <w:start w:val="1"/>
      <w:numFmt w:val="decimal"/>
      <w:lvlText w:val="%7."/>
      <w:lvlJc w:val="left"/>
      <w:pPr>
        <w:ind w:left="2943" w:hanging="68"/>
      </w:pPr>
      <w:rPr>
        <w:rFonts w:hint="default"/>
      </w:rPr>
    </w:lvl>
    <w:lvl w:ilvl="7">
      <w:start w:val="1"/>
      <w:numFmt w:val="decimal"/>
      <w:lvlText w:val="%8."/>
      <w:lvlJc w:val="left"/>
      <w:pPr>
        <w:ind w:left="3374" w:hanging="68"/>
      </w:pPr>
      <w:rPr>
        <w:rFonts w:hint="default"/>
      </w:rPr>
    </w:lvl>
    <w:lvl w:ilvl="8">
      <w:start w:val="1"/>
      <w:numFmt w:val="decimal"/>
      <w:lvlText w:val="%9."/>
      <w:lvlJc w:val="right"/>
      <w:pPr>
        <w:ind w:left="3805" w:hanging="68"/>
      </w:pPr>
      <w:rPr>
        <w:rFonts w:hint="default"/>
      </w:rPr>
    </w:lvl>
  </w:abstractNum>
  <w:abstractNum w:abstractNumId="8" w15:restartNumberingAfterBreak="0">
    <w:nsid w:val="610B27F1"/>
    <w:multiLevelType w:val="hybridMultilevel"/>
    <w:tmpl w:val="E40C4C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095341"/>
    <w:multiLevelType w:val="multilevel"/>
    <w:tmpl w:val="01182EC6"/>
    <w:lvl w:ilvl="0">
      <w:start w:val="1"/>
      <w:numFmt w:val="decimal"/>
      <w:pStyle w:val="Rubrikbilagor-F"/>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5619672">
    <w:abstractNumId w:val="6"/>
  </w:num>
  <w:num w:numId="2" w16cid:durableId="710689882">
    <w:abstractNumId w:val="7"/>
  </w:num>
  <w:num w:numId="3" w16cid:durableId="201284705">
    <w:abstractNumId w:val="1"/>
  </w:num>
  <w:num w:numId="4" w16cid:durableId="21171191">
    <w:abstractNumId w:val="9"/>
  </w:num>
  <w:num w:numId="5" w16cid:durableId="1070426357">
    <w:abstractNumId w:val="0"/>
  </w:num>
  <w:num w:numId="6" w16cid:durableId="1456364546">
    <w:abstractNumId w:val="5"/>
  </w:num>
  <w:num w:numId="7" w16cid:durableId="1729844986">
    <w:abstractNumId w:val="2"/>
  </w:num>
  <w:num w:numId="8" w16cid:durableId="1237394946">
    <w:abstractNumId w:val="3"/>
  </w:num>
  <w:num w:numId="9" w16cid:durableId="1509632708">
    <w:abstractNumId w:val="8"/>
  </w:num>
  <w:num w:numId="10" w16cid:durableId="20139460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mailMerge>
    <w:mainDocumentType w:val="formLetters"/>
    <w:dataType w:val="textFile"/>
    <w:activeRecord w:val="-1"/>
    <w:odso/>
  </w:mailMerge>
  <w:defaultTabStop w:val="1304"/>
  <w:hyphenationZone w:val="425"/>
  <w:evenAndOddHeaders/>
  <w:drawingGridHorizontalSpacing w:val="110"/>
  <w:displayHorizontalDrawingGridEvery w:val="2"/>
  <w:characterSpacingControl w:val="doNotCompress"/>
  <w:hdrShapeDefaults>
    <o:shapedefaults v:ext="edit" spidmax="176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Patrik Kroon"/>
  </w:docVars>
  <w:rsids>
    <w:rsidRoot w:val="00692FB8"/>
    <w:rsid w:val="00001179"/>
    <w:rsid w:val="000011AD"/>
    <w:rsid w:val="00001256"/>
    <w:rsid w:val="0000291C"/>
    <w:rsid w:val="0000383D"/>
    <w:rsid w:val="00004874"/>
    <w:rsid w:val="000053AC"/>
    <w:rsid w:val="00005452"/>
    <w:rsid w:val="00006FB2"/>
    <w:rsid w:val="0000798A"/>
    <w:rsid w:val="00010858"/>
    <w:rsid w:val="00012538"/>
    <w:rsid w:val="00013874"/>
    <w:rsid w:val="00014B1A"/>
    <w:rsid w:val="0001551B"/>
    <w:rsid w:val="00015818"/>
    <w:rsid w:val="00015F65"/>
    <w:rsid w:val="00017174"/>
    <w:rsid w:val="00017375"/>
    <w:rsid w:val="000173A9"/>
    <w:rsid w:val="000200E3"/>
    <w:rsid w:val="0002024A"/>
    <w:rsid w:val="00020955"/>
    <w:rsid w:val="000223B1"/>
    <w:rsid w:val="000242FA"/>
    <w:rsid w:val="0002438D"/>
    <w:rsid w:val="00025757"/>
    <w:rsid w:val="00025E35"/>
    <w:rsid w:val="00026C7C"/>
    <w:rsid w:val="00026F46"/>
    <w:rsid w:val="00027F6D"/>
    <w:rsid w:val="000312D0"/>
    <w:rsid w:val="00031B88"/>
    <w:rsid w:val="000332BF"/>
    <w:rsid w:val="00036D43"/>
    <w:rsid w:val="00036E36"/>
    <w:rsid w:val="000403DF"/>
    <w:rsid w:val="00041B01"/>
    <w:rsid w:val="00042E66"/>
    <w:rsid w:val="00043E4E"/>
    <w:rsid w:val="00045FC7"/>
    <w:rsid w:val="000471D9"/>
    <w:rsid w:val="000473D9"/>
    <w:rsid w:val="000515F2"/>
    <w:rsid w:val="0005384E"/>
    <w:rsid w:val="000547FF"/>
    <w:rsid w:val="00055235"/>
    <w:rsid w:val="0005544C"/>
    <w:rsid w:val="00055956"/>
    <w:rsid w:val="000563A4"/>
    <w:rsid w:val="00056527"/>
    <w:rsid w:val="00060280"/>
    <w:rsid w:val="00060CB0"/>
    <w:rsid w:val="0006148D"/>
    <w:rsid w:val="000614B8"/>
    <w:rsid w:val="000622F6"/>
    <w:rsid w:val="00062339"/>
    <w:rsid w:val="000643B5"/>
    <w:rsid w:val="00064722"/>
    <w:rsid w:val="00064AE0"/>
    <w:rsid w:val="000661F8"/>
    <w:rsid w:val="00066FC0"/>
    <w:rsid w:val="00070CFA"/>
    <w:rsid w:val="000712EC"/>
    <w:rsid w:val="00072CF9"/>
    <w:rsid w:val="00072EF9"/>
    <w:rsid w:val="00073D66"/>
    <w:rsid w:val="00075110"/>
    <w:rsid w:val="00077B1A"/>
    <w:rsid w:val="000805F4"/>
    <w:rsid w:val="00080E53"/>
    <w:rsid w:val="00081616"/>
    <w:rsid w:val="00081E99"/>
    <w:rsid w:val="0008258C"/>
    <w:rsid w:val="000839C9"/>
    <w:rsid w:val="00084C8D"/>
    <w:rsid w:val="00084DC1"/>
    <w:rsid w:val="00084E36"/>
    <w:rsid w:val="00085287"/>
    <w:rsid w:val="00090652"/>
    <w:rsid w:val="00090813"/>
    <w:rsid w:val="00091093"/>
    <w:rsid w:val="00093C95"/>
    <w:rsid w:val="00093C96"/>
    <w:rsid w:val="00095D25"/>
    <w:rsid w:val="0009601E"/>
    <w:rsid w:val="00096EEA"/>
    <w:rsid w:val="000973C9"/>
    <w:rsid w:val="0009782C"/>
    <w:rsid w:val="000A0804"/>
    <w:rsid w:val="000A0C2E"/>
    <w:rsid w:val="000A1105"/>
    <w:rsid w:val="000A194C"/>
    <w:rsid w:val="000A19D6"/>
    <w:rsid w:val="000A1FF3"/>
    <w:rsid w:val="000A2374"/>
    <w:rsid w:val="000A43E4"/>
    <w:rsid w:val="000A53F2"/>
    <w:rsid w:val="000A5B58"/>
    <w:rsid w:val="000A6045"/>
    <w:rsid w:val="000A6CF6"/>
    <w:rsid w:val="000A6FCF"/>
    <w:rsid w:val="000A7D91"/>
    <w:rsid w:val="000B0BE2"/>
    <w:rsid w:val="000B17DC"/>
    <w:rsid w:val="000B2C1F"/>
    <w:rsid w:val="000B309B"/>
    <w:rsid w:val="000B5DC4"/>
    <w:rsid w:val="000B6AF5"/>
    <w:rsid w:val="000B76F0"/>
    <w:rsid w:val="000C7C3C"/>
    <w:rsid w:val="000D0D62"/>
    <w:rsid w:val="000D1044"/>
    <w:rsid w:val="000D1590"/>
    <w:rsid w:val="000D1BFD"/>
    <w:rsid w:val="000D3A09"/>
    <w:rsid w:val="000D5C9C"/>
    <w:rsid w:val="000D6497"/>
    <w:rsid w:val="000D7C71"/>
    <w:rsid w:val="000E08A5"/>
    <w:rsid w:val="000E2284"/>
    <w:rsid w:val="000E2397"/>
    <w:rsid w:val="000E2DBC"/>
    <w:rsid w:val="000E3A4F"/>
    <w:rsid w:val="000E55DB"/>
    <w:rsid w:val="000E6537"/>
    <w:rsid w:val="000E7815"/>
    <w:rsid w:val="000F1500"/>
    <w:rsid w:val="000F44BA"/>
    <w:rsid w:val="000F4832"/>
    <w:rsid w:val="000F68F1"/>
    <w:rsid w:val="000F70AF"/>
    <w:rsid w:val="000F719F"/>
    <w:rsid w:val="000F7307"/>
    <w:rsid w:val="0010143D"/>
    <w:rsid w:val="0010170F"/>
    <w:rsid w:val="00103C71"/>
    <w:rsid w:val="00104311"/>
    <w:rsid w:val="00104D8D"/>
    <w:rsid w:val="00105535"/>
    <w:rsid w:val="00105670"/>
    <w:rsid w:val="00105AC7"/>
    <w:rsid w:val="00106255"/>
    <w:rsid w:val="001062D0"/>
    <w:rsid w:val="00107811"/>
    <w:rsid w:val="00107A4F"/>
    <w:rsid w:val="00107ABF"/>
    <w:rsid w:val="00110839"/>
    <w:rsid w:val="00111285"/>
    <w:rsid w:val="001112D4"/>
    <w:rsid w:val="0011215B"/>
    <w:rsid w:val="00116786"/>
    <w:rsid w:val="00116789"/>
    <w:rsid w:val="00117060"/>
    <w:rsid w:val="001174A4"/>
    <w:rsid w:val="00117D20"/>
    <w:rsid w:val="001202D2"/>
    <w:rsid w:val="001219EE"/>
    <w:rsid w:val="001219F1"/>
    <w:rsid w:val="0012248C"/>
    <w:rsid w:val="00122B06"/>
    <w:rsid w:val="00123835"/>
    <w:rsid w:val="00123A2E"/>
    <w:rsid w:val="00125264"/>
    <w:rsid w:val="001253B4"/>
    <w:rsid w:val="00126717"/>
    <w:rsid w:val="00126EF4"/>
    <w:rsid w:val="00127AE3"/>
    <w:rsid w:val="00131823"/>
    <w:rsid w:val="00131CE3"/>
    <w:rsid w:val="001327AB"/>
    <w:rsid w:val="001350FE"/>
    <w:rsid w:val="00135656"/>
    <w:rsid w:val="00135D8A"/>
    <w:rsid w:val="00137496"/>
    <w:rsid w:val="001400AF"/>
    <w:rsid w:val="00140FBD"/>
    <w:rsid w:val="001415D6"/>
    <w:rsid w:val="00141D59"/>
    <w:rsid w:val="00142960"/>
    <w:rsid w:val="001438E6"/>
    <w:rsid w:val="001439B6"/>
    <w:rsid w:val="001466E1"/>
    <w:rsid w:val="00146BEF"/>
    <w:rsid w:val="001470DF"/>
    <w:rsid w:val="00147A22"/>
    <w:rsid w:val="00151816"/>
    <w:rsid w:val="00151C5A"/>
    <w:rsid w:val="00151F66"/>
    <w:rsid w:val="00152802"/>
    <w:rsid w:val="00153668"/>
    <w:rsid w:val="00154BE1"/>
    <w:rsid w:val="001564F4"/>
    <w:rsid w:val="0015651B"/>
    <w:rsid w:val="001573C3"/>
    <w:rsid w:val="0015760F"/>
    <w:rsid w:val="001610A3"/>
    <w:rsid w:val="00164648"/>
    <w:rsid w:val="00166A6C"/>
    <w:rsid w:val="00166A83"/>
    <w:rsid w:val="0016716D"/>
    <w:rsid w:val="0016765E"/>
    <w:rsid w:val="001701DE"/>
    <w:rsid w:val="00170444"/>
    <w:rsid w:val="001708A9"/>
    <w:rsid w:val="00172651"/>
    <w:rsid w:val="00172DA2"/>
    <w:rsid w:val="0017324C"/>
    <w:rsid w:val="001736A0"/>
    <w:rsid w:val="00173A63"/>
    <w:rsid w:val="00173F9A"/>
    <w:rsid w:val="0017590C"/>
    <w:rsid w:val="00176061"/>
    <w:rsid w:val="00176C40"/>
    <w:rsid w:val="00176F3F"/>
    <w:rsid w:val="001772D9"/>
    <w:rsid w:val="00181990"/>
    <w:rsid w:val="001821EC"/>
    <w:rsid w:val="00182B52"/>
    <w:rsid w:val="00182D9E"/>
    <w:rsid w:val="00183611"/>
    <w:rsid w:val="001845D8"/>
    <w:rsid w:val="0018537B"/>
    <w:rsid w:val="0018558F"/>
    <w:rsid w:val="001859ED"/>
    <w:rsid w:val="00185C29"/>
    <w:rsid w:val="0018600E"/>
    <w:rsid w:val="00186690"/>
    <w:rsid w:val="001868F7"/>
    <w:rsid w:val="00186A3B"/>
    <w:rsid w:val="0018704F"/>
    <w:rsid w:val="0019047C"/>
    <w:rsid w:val="00190AFA"/>
    <w:rsid w:val="0019110B"/>
    <w:rsid w:val="001926A2"/>
    <w:rsid w:val="00193003"/>
    <w:rsid w:val="00194D16"/>
    <w:rsid w:val="0019519E"/>
    <w:rsid w:val="00197B55"/>
    <w:rsid w:val="001A0200"/>
    <w:rsid w:val="001A0245"/>
    <w:rsid w:val="001A0551"/>
    <w:rsid w:val="001A1125"/>
    <w:rsid w:val="001A1819"/>
    <w:rsid w:val="001A1933"/>
    <w:rsid w:val="001A285A"/>
    <w:rsid w:val="001A2CA7"/>
    <w:rsid w:val="001A38EC"/>
    <w:rsid w:val="001A43AB"/>
    <w:rsid w:val="001A6787"/>
    <w:rsid w:val="001A75E3"/>
    <w:rsid w:val="001B148D"/>
    <w:rsid w:val="001B2EA4"/>
    <w:rsid w:val="001B2FB8"/>
    <w:rsid w:val="001B3088"/>
    <w:rsid w:val="001B32F8"/>
    <w:rsid w:val="001B437E"/>
    <w:rsid w:val="001B4486"/>
    <w:rsid w:val="001B4866"/>
    <w:rsid w:val="001B4A24"/>
    <w:rsid w:val="001B6D96"/>
    <w:rsid w:val="001B6E99"/>
    <w:rsid w:val="001B7792"/>
    <w:rsid w:val="001B7FB4"/>
    <w:rsid w:val="001C144A"/>
    <w:rsid w:val="001C1FF2"/>
    <w:rsid w:val="001C2528"/>
    <w:rsid w:val="001C3AB2"/>
    <w:rsid w:val="001C78C6"/>
    <w:rsid w:val="001D1AB8"/>
    <w:rsid w:val="001D20B6"/>
    <w:rsid w:val="001D258A"/>
    <w:rsid w:val="001D39F7"/>
    <w:rsid w:val="001D3F47"/>
    <w:rsid w:val="001D48B8"/>
    <w:rsid w:val="001D5CB7"/>
    <w:rsid w:val="001D749C"/>
    <w:rsid w:val="001D769D"/>
    <w:rsid w:val="001E09E7"/>
    <w:rsid w:val="001E1276"/>
    <w:rsid w:val="001E1C04"/>
    <w:rsid w:val="001E1EBF"/>
    <w:rsid w:val="001E21E5"/>
    <w:rsid w:val="001E4928"/>
    <w:rsid w:val="001E4D19"/>
    <w:rsid w:val="001E5876"/>
    <w:rsid w:val="001E7EDE"/>
    <w:rsid w:val="001F03F5"/>
    <w:rsid w:val="001F17B8"/>
    <w:rsid w:val="001F1D97"/>
    <w:rsid w:val="001F2439"/>
    <w:rsid w:val="001F2D52"/>
    <w:rsid w:val="001F793D"/>
    <w:rsid w:val="00200FE2"/>
    <w:rsid w:val="002026CB"/>
    <w:rsid w:val="00202B8F"/>
    <w:rsid w:val="00202C69"/>
    <w:rsid w:val="00204DA9"/>
    <w:rsid w:val="002052FC"/>
    <w:rsid w:val="00205C48"/>
    <w:rsid w:val="00207C65"/>
    <w:rsid w:val="00211A25"/>
    <w:rsid w:val="002128A7"/>
    <w:rsid w:val="00214E1C"/>
    <w:rsid w:val="00215CE8"/>
    <w:rsid w:val="00216308"/>
    <w:rsid w:val="00216701"/>
    <w:rsid w:val="0021795D"/>
    <w:rsid w:val="00217EA5"/>
    <w:rsid w:val="00220A4D"/>
    <w:rsid w:val="00220CA1"/>
    <w:rsid w:val="00221B2E"/>
    <w:rsid w:val="0022240B"/>
    <w:rsid w:val="0022251B"/>
    <w:rsid w:val="00223214"/>
    <w:rsid w:val="00223E44"/>
    <w:rsid w:val="002242B1"/>
    <w:rsid w:val="00224E8C"/>
    <w:rsid w:val="00224F23"/>
    <w:rsid w:val="00225248"/>
    <w:rsid w:val="002253C7"/>
    <w:rsid w:val="00225710"/>
    <w:rsid w:val="00225FF5"/>
    <w:rsid w:val="002263F3"/>
    <w:rsid w:val="00226EE5"/>
    <w:rsid w:val="002270FF"/>
    <w:rsid w:val="00227F09"/>
    <w:rsid w:val="00230604"/>
    <w:rsid w:val="0023077F"/>
    <w:rsid w:val="002310DD"/>
    <w:rsid w:val="002310E6"/>
    <w:rsid w:val="0023124D"/>
    <w:rsid w:val="0023462A"/>
    <w:rsid w:val="00234989"/>
    <w:rsid w:val="00235907"/>
    <w:rsid w:val="002369BB"/>
    <w:rsid w:val="00237DCA"/>
    <w:rsid w:val="00241A57"/>
    <w:rsid w:val="00241F30"/>
    <w:rsid w:val="00242838"/>
    <w:rsid w:val="00243A45"/>
    <w:rsid w:val="002448FB"/>
    <w:rsid w:val="00244A4D"/>
    <w:rsid w:val="00247BE1"/>
    <w:rsid w:val="0025027E"/>
    <w:rsid w:val="002503BD"/>
    <w:rsid w:val="002505A1"/>
    <w:rsid w:val="00251C1F"/>
    <w:rsid w:val="00253AB5"/>
    <w:rsid w:val="00253E7A"/>
    <w:rsid w:val="002560F5"/>
    <w:rsid w:val="00256655"/>
    <w:rsid w:val="0025679C"/>
    <w:rsid w:val="002606A2"/>
    <w:rsid w:val="00260E37"/>
    <w:rsid w:val="00261400"/>
    <w:rsid w:val="0026180B"/>
    <w:rsid w:val="00262ACC"/>
    <w:rsid w:val="0026355E"/>
    <w:rsid w:val="00263561"/>
    <w:rsid w:val="002648DF"/>
    <w:rsid w:val="002658FB"/>
    <w:rsid w:val="00265F3A"/>
    <w:rsid w:val="00266592"/>
    <w:rsid w:val="00267208"/>
    <w:rsid w:val="002674E0"/>
    <w:rsid w:val="002745F1"/>
    <w:rsid w:val="0027531A"/>
    <w:rsid w:val="00275450"/>
    <w:rsid w:val="00276CCC"/>
    <w:rsid w:val="00277207"/>
    <w:rsid w:val="002803EC"/>
    <w:rsid w:val="002815A7"/>
    <w:rsid w:val="00281D9C"/>
    <w:rsid w:val="002829CA"/>
    <w:rsid w:val="00283C0F"/>
    <w:rsid w:val="00283DD1"/>
    <w:rsid w:val="00283F94"/>
    <w:rsid w:val="00284273"/>
    <w:rsid w:val="002850D2"/>
    <w:rsid w:val="00285118"/>
    <w:rsid w:val="00285DE1"/>
    <w:rsid w:val="00286185"/>
    <w:rsid w:val="002871BD"/>
    <w:rsid w:val="0029174B"/>
    <w:rsid w:val="00292166"/>
    <w:rsid w:val="00293635"/>
    <w:rsid w:val="002939E8"/>
    <w:rsid w:val="00295C3F"/>
    <w:rsid w:val="00296AFC"/>
    <w:rsid w:val="00297ABA"/>
    <w:rsid w:val="00297EF5"/>
    <w:rsid w:val="002A0C7F"/>
    <w:rsid w:val="002A1467"/>
    <w:rsid w:val="002A2BAF"/>
    <w:rsid w:val="002A4DE5"/>
    <w:rsid w:val="002A6522"/>
    <w:rsid w:val="002A6D18"/>
    <w:rsid w:val="002B13CC"/>
    <w:rsid w:val="002B15BB"/>
    <w:rsid w:val="002B167F"/>
    <w:rsid w:val="002B29D5"/>
    <w:rsid w:val="002B2CF9"/>
    <w:rsid w:val="002B2F87"/>
    <w:rsid w:val="002B3371"/>
    <w:rsid w:val="002B38D8"/>
    <w:rsid w:val="002B3C9C"/>
    <w:rsid w:val="002B482B"/>
    <w:rsid w:val="002B7C0A"/>
    <w:rsid w:val="002C2C20"/>
    <w:rsid w:val="002C40AA"/>
    <w:rsid w:val="002C47F9"/>
    <w:rsid w:val="002C4F12"/>
    <w:rsid w:val="002C6134"/>
    <w:rsid w:val="002C63B4"/>
    <w:rsid w:val="002D09B6"/>
    <w:rsid w:val="002D3064"/>
    <w:rsid w:val="002D3216"/>
    <w:rsid w:val="002D387B"/>
    <w:rsid w:val="002D4508"/>
    <w:rsid w:val="002D4ABC"/>
    <w:rsid w:val="002D50B7"/>
    <w:rsid w:val="002D5EA6"/>
    <w:rsid w:val="002D64A4"/>
    <w:rsid w:val="002E0CA4"/>
    <w:rsid w:val="002E15B2"/>
    <w:rsid w:val="002E3C1B"/>
    <w:rsid w:val="002E49BC"/>
    <w:rsid w:val="002E5695"/>
    <w:rsid w:val="002E5953"/>
    <w:rsid w:val="002E6BCD"/>
    <w:rsid w:val="002F03AA"/>
    <w:rsid w:val="002F12F6"/>
    <w:rsid w:val="002F2B28"/>
    <w:rsid w:val="002F334E"/>
    <w:rsid w:val="002F3D37"/>
    <w:rsid w:val="002F4083"/>
    <w:rsid w:val="002F5A54"/>
    <w:rsid w:val="00300073"/>
    <w:rsid w:val="00300B1C"/>
    <w:rsid w:val="00300B86"/>
    <w:rsid w:val="00300F64"/>
    <w:rsid w:val="003014FD"/>
    <w:rsid w:val="00302956"/>
    <w:rsid w:val="0030631C"/>
    <w:rsid w:val="00306AC4"/>
    <w:rsid w:val="00310410"/>
    <w:rsid w:val="00311A24"/>
    <w:rsid w:val="00311E70"/>
    <w:rsid w:val="003134DD"/>
    <w:rsid w:val="00313746"/>
    <w:rsid w:val="00317B87"/>
    <w:rsid w:val="0032048C"/>
    <w:rsid w:val="00321877"/>
    <w:rsid w:val="003219B9"/>
    <w:rsid w:val="00321FB6"/>
    <w:rsid w:val="003254AF"/>
    <w:rsid w:val="003264C1"/>
    <w:rsid w:val="003267EA"/>
    <w:rsid w:val="003274E8"/>
    <w:rsid w:val="00327888"/>
    <w:rsid w:val="003279BD"/>
    <w:rsid w:val="00327CD0"/>
    <w:rsid w:val="003302A5"/>
    <w:rsid w:val="003302D8"/>
    <w:rsid w:val="00330C64"/>
    <w:rsid w:val="00330EE0"/>
    <w:rsid w:val="00331AA4"/>
    <w:rsid w:val="003320BF"/>
    <w:rsid w:val="00332362"/>
    <w:rsid w:val="00333247"/>
    <w:rsid w:val="00334CD3"/>
    <w:rsid w:val="003365DD"/>
    <w:rsid w:val="003366BC"/>
    <w:rsid w:val="00337CFB"/>
    <w:rsid w:val="003408FE"/>
    <w:rsid w:val="003415C6"/>
    <w:rsid w:val="00341879"/>
    <w:rsid w:val="00343835"/>
    <w:rsid w:val="003444EC"/>
    <w:rsid w:val="003459D9"/>
    <w:rsid w:val="00345D69"/>
    <w:rsid w:val="0034621D"/>
    <w:rsid w:val="00346557"/>
    <w:rsid w:val="0034724E"/>
    <w:rsid w:val="00350D80"/>
    <w:rsid w:val="00351748"/>
    <w:rsid w:val="00354CB0"/>
    <w:rsid w:val="00355C7E"/>
    <w:rsid w:val="00356B39"/>
    <w:rsid w:val="00356D29"/>
    <w:rsid w:val="00357438"/>
    <w:rsid w:val="00357E87"/>
    <w:rsid w:val="00360BD9"/>
    <w:rsid w:val="00363409"/>
    <w:rsid w:val="0036349B"/>
    <w:rsid w:val="00363D47"/>
    <w:rsid w:val="00365B7A"/>
    <w:rsid w:val="00370E46"/>
    <w:rsid w:val="00372252"/>
    <w:rsid w:val="00372EC2"/>
    <w:rsid w:val="003749A3"/>
    <w:rsid w:val="003752B1"/>
    <w:rsid w:val="00375E39"/>
    <w:rsid w:val="00380597"/>
    <w:rsid w:val="00380B15"/>
    <w:rsid w:val="00381360"/>
    <w:rsid w:val="00381F91"/>
    <w:rsid w:val="00383DBE"/>
    <w:rsid w:val="00383E8C"/>
    <w:rsid w:val="003844A3"/>
    <w:rsid w:val="00384B99"/>
    <w:rsid w:val="00385447"/>
    <w:rsid w:val="00385712"/>
    <w:rsid w:val="00385E2F"/>
    <w:rsid w:val="00386750"/>
    <w:rsid w:val="00387253"/>
    <w:rsid w:val="003875B2"/>
    <w:rsid w:val="00390808"/>
    <w:rsid w:val="00390D96"/>
    <w:rsid w:val="00396BF1"/>
    <w:rsid w:val="003A04EF"/>
    <w:rsid w:val="003A1939"/>
    <w:rsid w:val="003A24FC"/>
    <w:rsid w:val="003A3005"/>
    <w:rsid w:val="003A3960"/>
    <w:rsid w:val="003A3F1C"/>
    <w:rsid w:val="003A6151"/>
    <w:rsid w:val="003A7A0F"/>
    <w:rsid w:val="003B0DFF"/>
    <w:rsid w:val="003B11FC"/>
    <w:rsid w:val="003B1A4F"/>
    <w:rsid w:val="003B2E84"/>
    <w:rsid w:val="003B3A44"/>
    <w:rsid w:val="003B4641"/>
    <w:rsid w:val="003B4BA3"/>
    <w:rsid w:val="003B4BF2"/>
    <w:rsid w:val="003B77FD"/>
    <w:rsid w:val="003B79B9"/>
    <w:rsid w:val="003C241A"/>
    <w:rsid w:val="003C24B8"/>
    <w:rsid w:val="003C2E59"/>
    <w:rsid w:val="003C3C1A"/>
    <w:rsid w:val="003C3C52"/>
    <w:rsid w:val="003C4AF5"/>
    <w:rsid w:val="003C5336"/>
    <w:rsid w:val="003C5550"/>
    <w:rsid w:val="003C7514"/>
    <w:rsid w:val="003C765C"/>
    <w:rsid w:val="003D0284"/>
    <w:rsid w:val="003D3CD0"/>
    <w:rsid w:val="003D3FE1"/>
    <w:rsid w:val="003D50A5"/>
    <w:rsid w:val="003D67B6"/>
    <w:rsid w:val="003D6A12"/>
    <w:rsid w:val="003E1103"/>
    <w:rsid w:val="003E3FD9"/>
    <w:rsid w:val="003E5A0A"/>
    <w:rsid w:val="003E7C5C"/>
    <w:rsid w:val="003F0611"/>
    <w:rsid w:val="003F104E"/>
    <w:rsid w:val="003F2B5D"/>
    <w:rsid w:val="003F3879"/>
    <w:rsid w:val="003F4077"/>
    <w:rsid w:val="003F4CE5"/>
    <w:rsid w:val="003F6155"/>
    <w:rsid w:val="003F7956"/>
    <w:rsid w:val="004017BA"/>
    <w:rsid w:val="00401D7C"/>
    <w:rsid w:val="00402743"/>
    <w:rsid w:val="00402B78"/>
    <w:rsid w:val="0040476A"/>
    <w:rsid w:val="004059FC"/>
    <w:rsid w:val="00405F13"/>
    <w:rsid w:val="004062B5"/>
    <w:rsid w:val="00406E02"/>
    <w:rsid w:val="0040766A"/>
    <w:rsid w:val="004102D5"/>
    <w:rsid w:val="0041049B"/>
    <w:rsid w:val="00410712"/>
    <w:rsid w:val="00411D09"/>
    <w:rsid w:val="00411D4A"/>
    <w:rsid w:val="0041235F"/>
    <w:rsid w:val="00414043"/>
    <w:rsid w:val="004143EA"/>
    <w:rsid w:val="00414904"/>
    <w:rsid w:val="004155B1"/>
    <w:rsid w:val="00417436"/>
    <w:rsid w:val="0042047F"/>
    <w:rsid w:val="0042056B"/>
    <w:rsid w:val="00426870"/>
    <w:rsid w:val="00430EC4"/>
    <w:rsid w:val="00431F1E"/>
    <w:rsid w:val="00432EBF"/>
    <w:rsid w:val="00433A29"/>
    <w:rsid w:val="00434DDD"/>
    <w:rsid w:val="00435A01"/>
    <w:rsid w:val="004360D8"/>
    <w:rsid w:val="00436BD6"/>
    <w:rsid w:val="00436CFE"/>
    <w:rsid w:val="00436DBE"/>
    <w:rsid w:val="00436DE3"/>
    <w:rsid w:val="00437A8E"/>
    <w:rsid w:val="00437C7D"/>
    <w:rsid w:val="00440C48"/>
    <w:rsid w:val="004421E7"/>
    <w:rsid w:val="004428C3"/>
    <w:rsid w:val="00442FB6"/>
    <w:rsid w:val="00443701"/>
    <w:rsid w:val="00443EE7"/>
    <w:rsid w:val="00444ED7"/>
    <w:rsid w:val="00445FFE"/>
    <w:rsid w:val="00446339"/>
    <w:rsid w:val="0044712A"/>
    <w:rsid w:val="00447FF8"/>
    <w:rsid w:val="004505A0"/>
    <w:rsid w:val="00450E75"/>
    <w:rsid w:val="004510BC"/>
    <w:rsid w:val="00451603"/>
    <w:rsid w:val="00452607"/>
    <w:rsid w:val="00452AF9"/>
    <w:rsid w:val="004546A4"/>
    <w:rsid w:val="00454F8C"/>
    <w:rsid w:val="00454FCD"/>
    <w:rsid w:val="004552D6"/>
    <w:rsid w:val="00456384"/>
    <w:rsid w:val="0045734B"/>
    <w:rsid w:val="00457CE9"/>
    <w:rsid w:val="00463060"/>
    <w:rsid w:val="00463533"/>
    <w:rsid w:val="004649EA"/>
    <w:rsid w:val="0046544A"/>
    <w:rsid w:val="00465EA3"/>
    <w:rsid w:val="004676C6"/>
    <w:rsid w:val="00470370"/>
    <w:rsid w:val="00471F4E"/>
    <w:rsid w:val="00472E21"/>
    <w:rsid w:val="004734CB"/>
    <w:rsid w:val="0047440E"/>
    <w:rsid w:val="00474828"/>
    <w:rsid w:val="00475041"/>
    <w:rsid w:val="0047560A"/>
    <w:rsid w:val="00477651"/>
    <w:rsid w:val="00480F9F"/>
    <w:rsid w:val="0048244D"/>
    <w:rsid w:val="0048504C"/>
    <w:rsid w:val="00485856"/>
    <w:rsid w:val="00486E83"/>
    <w:rsid w:val="00486F9F"/>
    <w:rsid w:val="00487A9C"/>
    <w:rsid w:val="00490862"/>
    <w:rsid w:val="00490DCC"/>
    <w:rsid w:val="0049247B"/>
    <w:rsid w:val="0049357F"/>
    <w:rsid w:val="004A0F47"/>
    <w:rsid w:val="004A1277"/>
    <w:rsid w:val="004A1429"/>
    <w:rsid w:val="004A292F"/>
    <w:rsid w:val="004A35A8"/>
    <w:rsid w:val="004A43A8"/>
    <w:rsid w:val="004A594D"/>
    <w:rsid w:val="004A7967"/>
    <w:rsid w:val="004B02E2"/>
    <w:rsid w:val="004B03E5"/>
    <w:rsid w:val="004B17F2"/>
    <w:rsid w:val="004B2267"/>
    <w:rsid w:val="004B2D75"/>
    <w:rsid w:val="004B34B8"/>
    <w:rsid w:val="004B34D0"/>
    <w:rsid w:val="004B4030"/>
    <w:rsid w:val="004B4BB7"/>
    <w:rsid w:val="004B54C1"/>
    <w:rsid w:val="004B624B"/>
    <w:rsid w:val="004B6EC0"/>
    <w:rsid w:val="004B7388"/>
    <w:rsid w:val="004C1270"/>
    <w:rsid w:val="004C19F5"/>
    <w:rsid w:val="004C1C0D"/>
    <w:rsid w:val="004C264F"/>
    <w:rsid w:val="004C4444"/>
    <w:rsid w:val="004C4E00"/>
    <w:rsid w:val="004C5CA3"/>
    <w:rsid w:val="004C6304"/>
    <w:rsid w:val="004C654F"/>
    <w:rsid w:val="004C69ED"/>
    <w:rsid w:val="004D0E74"/>
    <w:rsid w:val="004D273E"/>
    <w:rsid w:val="004D3495"/>
    <w:rsid w:val="004D363E"/>
    <w:rsid w:val="004D5C02"/>
    <w:rsid w:val="004D6D97"/>
    <w:rsid w:val="004D7344"/>
    <w:rsid w:val="004D78A0"/>
    <w:rsid w:val="004D7AA5"/>
    <w:rsid w:val="004E2444"/>
    <w:rsid w:val="004E264A"/>
    <w:rsid w:val="004E4332"/>
    <w:rsid w:val="004E4401"/>
    <w:rsid w:val="004E44CD"/>
    <w:rsid w:val="004E4B7C"/>
    <w:rsid w:val="004E523A"/>
    <w:rsid w:val="004E712D"/>
    <w:rsid w:val="004F0580"/>
    <w:rsid w:val="004F058D"/>
    <w:rsid w:val="004F097F"/>
    <w:rsid w:val="004F0BEA"/>
    <w:rsid w:val="004F1EAF"/>
    <w:rsid w:val="004F1EBD"/>
    <w:rsid w:val="004F2C6A"/>
    <w:rsid w:val="004F47E3"/>
    <w:rsid w:val="004F4AE3"/>
    <w:rsid w:val="004F5B0F"/>
    <w:rsid w:val="004F6354"/>
    <w:rsid w:val="004F778E"/>
    <w:rsid w:val="004F79D4"/>
    <w:rsid w:val="0050095F"/>
    <w:rsid w:val="0050310D"/>
    <w:rsid w:val="0050482D"/>
    <w:rsid w:val="00504F65"/>
    <w:rsid w:val="00505053"/>
    <w:rsid w:val="00505E93"/>
    <w:rsid w:val="00506C19"/>
    <w:rsid w:val="00506C52"/>
    <w:rsid w:val="00507BF5"/>
    <w:rsid w:val="0051415D"/>
    <w:rsid w:val="0051472E"/>
    <w:rsid w:val="005165AF"/>
    <w:rsid w:val="00516C2F"/>
    <w:rsid w:val="00517A00"/>
    <w:rsid w:val="00520A08"/>
    <w:rsid w:val="00521AD6"/>
    <w:rsid w:val="0052234A"/>
    <w:rsid w:val="00524B9B"/>
    <w:rsid w:val="00524CA1"/>
    <w:rsid w:val="00524F05"/>
    <w:rsid w:val="00525D23"/>
    <w:rsid w:val="00527620"/>
    <w:rsid w:val="00527B66"/>
    <w:rsid w:val="0053164B"/>
    <w:rsid w:val="005316C5"/>
    <w:rsid w:val="00534BE4"/>
    <w:rsid w:val="00535517"/>
    <w:rsid w:val="00540186"/>
    <w:rsid w:val="00540454"/>
    <w:rsid w:val="00540C39"/>
    <w:rsid w:val="00540CF5"/>
    <w:rsid w:val="00546402"/>
    <w:rsid w:val="00546E16"/>
    <w:rsid w:val="00551D95"/>
    <w:rsid w:val="00552AF1"/>
    <w:rsid w:val="00553388"/>
    <w:rsid w:val="00553E8C"/>
    <w:rsid w:val="00554628"/>
    <w:rsid w:val="00555674"/>
    <w:rsid w:val="00562C76"/>
    <w:rsid w:val="005637F8"/>
    <w:rsid w:val="0056395B"/>
    <w:rsid w:val="005640BE"/>
    <w:rsid w:val="005643F7"/>
    <w:rsid w:val="005651B6"/>
    <w:rsid w:val="0056536B"/>
    <w:rsid w:val="00565F02"/>
    <w:rsid w:val="00566602"/>
    <w:rsid w:val="005701E8"/>
    <w:rsid w:val="00570747"/>
    <w:rsid w:val="00570AC6"/>
    <w:rsid w:val="005710BD"/>
    <w:rsid w:val="00571880"/>
    <w:rsid w:val="00571C92"/>
    <w:rsid w:val="00572D10"/>
    <w:rsid w:val="00575157"/>
    <w:rsid w:val="005772BD"/>
    <w:rsid w:val="00577E29"/>
    <w:rsid w:val="00580181"/>
    <w:rsid w:val="00580B07"/>
    <w:rsid w:val="00581498"/>
    <w:rsid w:val="005819F3"/>
    <w:rsid w:val="00581DF4"/>
    <w:rsid w:val="00584EA6"/>
    <w:rsid w:val="00586D67"/>
    <w:rsid w:val="00590AD7"/>
    <w:rsid w:val="00590EA9"/>
    <w:rsid w:val="005913B1"/>
    <w:rsid w:val="0059162C"/>
    <w:rsid w:val="00592666"/>
    <w:rsid w:val="0059330A"/>
    <w:rsid w:val="00595695"/>
    <w:rsid w:val="00596A5B"/>
    <w:rsid w:val="005971D0"/>
    <w:rsid w:val="005A0231"/>
    <w:rsid w:val="005A195C"/>
    <w:rsid w:val="005A1CB1"/>
    <w:rsid w:val="005A3F5F"/>
    <w:rsid w:val="005A468C"/>
    <w:rsid w:val="005A5EFD"/>
    <w:rsid w:val="005A6157"/>
    <w:rsid w:val="005A627E"/>
    <w:rsid w:val="005A6A69"/>
    <w:rsid w:val="005A796E"/>
    <w:rsid w:val="005B0358"/>
    <w:rsid w:val="005B09B6"/>
    <w:rsid w:val="005B0CD9"/>
    <w:rsid w:val="005B121A"/>
    <w:rsid w:val="005B2B8E"/>
    <w:rsid w:val="005B2EBF"/>
    <w:rsid w:val="005B6624"/>
    <w:rsid w:val="005B6B71"/>
    <w:rsid w:val="005B7381"/>
    <w:rsid w:val="005B7EC8"/>
    <w:rsid w:val="005C0CA1"/>
    <w:rsid w:val="005C2C6B"/>
    <w:rsid w:val="005C3657"/>
    <w:rsid w:val="005C3C72"/>
    <w:rsid w:val="005D03D4"/>
    <w:rsid w:val="005D111D"/>
    <w:rsid w:val="005D306B"/>
    <w:rsid w:val="005D3753"/>
    <w:rsid w:val="005D3C0A"/>
    <w:rsid w:val="005D5654"/>
    <w:rsid w:val="005D61F4"/>
    <w:rsid w:val="005D686C"/>
    <w:rsid w:val="005D6E0A"/>
    <w:rsid w:val="005D730E"/>
    <w:rsid w:val="005E0CCB"/>
    <w:rsid w:val="005E16EB"/>
    <w:rsid w:val="005E1C31"/>
    <w:rsid w:val="005F080F"/>
    <w:rsid w:val="005F1A9F"/>
    <w:rsid w:val="005F1C01"/>
    <w:rsid w:val="005F1C10"/>
    <w:rsid w:val="005F3631"/>
    <w:rsid w:val="005F4794"/>
    <w:rsid w:val="005F5F6C"/>
    <w:rsid w:val="005F682E"/>
    <w:rsid w:val="005F6F8B"/>
    <w:rsid w:val="005F71A3"/>
    <w:rsid w:val="0060064E"/>
    <w:rsid w:val="00600DAA"/>
    <w:rsid w:val="00601FB3"/>
    <w:rsid w:val="0060220F"/>
    <w:rsid w:val="006030CD"/>
    <w:rsid w:val="0060583D"/>
    <w:rsid w:val="006067F8"/>
    <w:rsid w:val="00606A8D"/>
    <w:rsid w:val="0060716D"/>
    <w:rsid w:val="0061072E"/>
    <w:rsid w:val="00610E71"/>
    <w:rsid w:val="006114EF"/>
    <w:rsid w:val="00611D0A"/>
    <w:rsid w:val="00612B4F"/>
    <w:rsid w:val="0061559C"/>
    <w:rsid w:val="00615EB9"/>
    <w:rsid w:val="006170F9"/>
    <w:rsid w:val="00617F90"/>
    <w:rsid w:val="00620AF3"/>
    <w:rsid w:val="00622047"/>
    <w:rsid w:val="00622FBE"/>
    <w:rsid w:val="00624B80"/>
    <w:rsid w:val="0062554F"/>
    <w:rsid w:val="006257B8"/>
    <w:rsid w:val="00626107"/>
    <w:rsid w:val="006269FB"/>
    <w:rsid w:val="0063103C"/>
    <w:rsid w:val="00632F18"/>
    <w:rsid w:val="006345F3"/>
    <w:rsid w:val="00634D8F"/>
    <w:rsid w:val="00635B9A"/>
    <w:rsid w:val="006374ED"/>
    <w:rsid w:val="00640B7F"/>
    <w:rsid w:val="006416BA"/>
    <w:rsid w:val="00641AFD"/>
    <w:rsid w:val="00641D03"/>
    <w:rsid w:val="006421AF"/>
    <w:rsid w:val="006426B6"/>
    <w:rsid w:val="00642941"/>
    <w:rsid w:val="00642C21"/>
    <w:rsid w:val="00643725"/>
    <w:rsid w:val="00643A7E"/>
    <w:rsid w:val="00645C9E"/>
    <w:rsid w:val="006508D5"/>
    <w:rsid w:val="00650D44"/>
    <w:rsid w:val="00651DD2"/>
    <w:rsid w:val="00651F01"/>
    <w:rsid w:val="00652139"/>
    <w:rsid w:val="0065325B"/>
    <w:rsid w:val="0065364C"/>
    <w:rsid w:val="00656B60"/>
    <w:rsid w:val="00656CD5"/>
    <w:rsid w:val="00656D1F"/>
    <w:rsid w:val="00657ED3"/>
    <w:rsid w:val="00660838"/>
    <w:rsid w:val="00661288"/>
    <w:rsid w:val="00661E03"/>
    <w:rsid w:val="0066421A"/>
    <w:rsid w:val="00664F76"/>
    <w:rsid w:val="00665FAC"/>
    <w:rsid w:val="00666800"/>
    <w:rsid w:val="006679B3"/>
    <w:rsid w:val="00667C61"/>
    <w:rsid w:val="00670ED2"/>
    <w:rsid w:val="0067127F"/>
    <w:rsid w:val="00672849"/>
    <w:rsid w:val="00673779"/>
    <w:rsid w:val="006737CF"/>
    <w:rsid w:val="0067396A"/>
    <w:rsid w:val="00675D31"/>
    <w:rsid w:val="006841E6"/>
    <w:rsid w:val="0068465B"/>
    <w:rsid w:val="0068611D"/>
    <w:rsid w:val="006867A2"/>
    <w:rsid w:val="00687608"/>
    <w:rsid w:val="006879F4"/>
    <w:rsid w:val="00687CE8"/>
    <w:rsid w:val="006927BA"/>
    <w:rsid w:val="00692AB8"/>
    <w:rsid w:val="00692FB8"/>
    <w:rsid w:val="00693793"/>
    <w:rsid w:val="00693A4E"/>
    <w:rsid w:val="00694116"/>
    <w:rsid w:val="00694667"/>
    <w:rsid w:val="00694BF6"/>
    <w:rsid w:val="00695BE8"/>
    <w:rsid w:val="006977AF"/>
    <w:rsid w:val="006A0F79"/>
    <w:rsid w:val="006A1E59"/>
    <w:rsid w:val="006A1EBE"/>
    <w:rsid w:val="006A2235"/>
    <w:rsid w:val="006A4300"/>
    <w:rsid w:val="006A486C"/>
    <w:rsid w:val="006A59BB"/>
    <w:rsid w:val="006B0E8A"/>
    <w:rsid w:val="006B1ADD"/>
    <w:rsid w:val="006B1BB0"/>
    <w:rsid w:val="006B2AA3"/>
    <w:rsid w:val="006B2AF6"/>
    <w:rsid w:val="006B2DDE"/>
    <w:rsid w:val="006B3CD2"/>
    <w:rsid w:val="006B462F"/>
    <w:rsid w:val="006B4D72"/>
    <w:rsid w:val="006B64FE"/>
    <w:rsid w:val="006B7B3C"/>
    <w:rsid w:val="006C06EF"/>
    <w:rsid w:val="006C2581"/>
    <w:rsid w:val="006C30AA"/>
    <w:rsid w:val="006C3575"/>
    <w:rsid w:val="006C6BD8"/>
    <w:rsid w:val="006C6D46"/>
    <w:rsid w:val="006D1053"/>
    <w:rsid w:val="006D111D"/>
    <w:rsid w:val="006D1BFE"/>
    <w:rsid w:val="006D1C1E"/>
    <w:rsid w:val="006D1D9C"/>
    <w:rsid w:val="006D2740"/>
    <w:rsid w:val="006D2D38"/>
    <w:rsid w:val="006D3342"/>
    <w:rsid w:val="006D3E55"/>
    <w:rsid w:val="006D4789"/>
    <w:rsid w:val="006D48A9"/>
    <w:rsid w:val="006D599D"/>
    <w:rsid w:val="006D6D79"/>
    <w:rsid w:val="006D7C76"/>
    <w:rsid w:val="006E10B4"/>
    <w:rsid w:val="006E16C2"/>
    <w:rsid w:val="006E4B10"/>
    <w:rsid w:val="006E4DD7"/>
    <w:rsid w:val="006E56E0"/>
    <w:rsid w:val="006E5FE7"/>
    <w:rsid w:val="006E630E"/>
    <w:rsid w:val="006E664D"/>
    <w:rsid w:val="006E6D69"/>
    <w:rsid w:val="006E7343"/>
    <w:rsid w:val="006F1D0C"/>
    <w:rsid w:val="006F1EE6"/>
    <w:rsid w:val="006F2942"/>
    <w:rsid w:val="006F7362"/>
    <w:rsid w:val="006F739E"/>
    <w:rsid w:val="006F75AD"/>
    <w:rsid w:val="007002DB"/>
    <w:rsid w:val="00702CAD"/>
    <w:rsid w:val="00704B3D"/>
    <w:rsid w:val="00704BD9"/>
    <w:rsid w:val="007051B6"/>
    <w:rsid w:val="0070584D"/>
    <w:rsid w:val="00705C82"/>
    <w:rsid w:val="007064D5"/>
    <w:rsid w:val="00706578"/>
    <w:rsid w:val="00707ED0"/>
    <w:rsid w:val="00710689"/>
    <w:rsid w:val="00711470"/>
    <w:rsid w:val="007137ED"/>
    <w:rsid w:val="0071436B"/>
    <w:rsid w:val="00714B0B"/>
    <w:rsid w:val="00714C81"/>
    <w:rsid w:val="00716935"/>
    <w:rsid w:val="0072193F"/>
    <w:rsid w:val="00722F17"/>
    <w:rsid w:val="007230ED"/>
    <w:rsid w:val="00723A6C"/>
    <w:rsid w:val="00723BB4"/>
    <w:rsid w:val="00723E07"/>
    <w:rsid w:val="00724A11"/>
    <w:rsid w:val="007271FF"/>
    <w:rsid w:val="00730521"/>
    <w:rsid w:val="007306E3"/>
    <w:rsid w:val="00732002"/>
    <w:rsid w:val="00732581"/>
    <w:rsid w:val="0073436E"/>
    <w:rsid w:val="0073467F"/>
    <w:rsid w:val="00734683"/>
    <w:rsid w:val="007371DF"/>
    <w:rsid w:val="007375C5"/>
    <w:rsid w:val="00737F4E"/>
    <w:rsid w:val="0074150B"/>
    <w:rsid w:val="00741769"/>
    <w:rsid w:val="00742373"/>
    <w:rsid w:val="0074248B"/>
    <w:rsid w:val="00744C99"/>
    <w:rsid w:val="00744D09"/>
    <w:rsid w:val="0074618E"/>
    <w:rsid w:val="0074625F"/>
    <w:rsid w:val="007463BF"/>
    <w:rsid w:val="00746695"/>
    <w:rsid w:val="00746BF0"/>
    <w:rsid w:val="00747673"/>
    <w:rsid w:val="0074791C"/>
    <w:rsid w:val="00750101"/>
    <w:rsid w:val="00750846"/>
    <w:rsid w:val="00751C54"/>
    <w:rsid w:val="00752A0C"/>
    <w:rsid w:val="00752D78"/>
    <w:rsid w:val="00753BF1"/>
    <w:rsid w:val="0075452F"/>
    <w:rsid w:val="00756DBD"/>
    <w:rsid w:val="0075767A"/>
    <w:rsid w:val="007576BA"/>
    <w:rsid w:val="00757D57"/>
    <w:rsid w:val="00761471"/>
    <w:rsid w:val="00761AB1"/>
    <w:rsid w:val="00763C28"/>
    <w:rsid w:val="00764BEC"/>
    <w:rsid w:val="007653BF"/>
    <w:rsid w:val="00765AA0"/>
    <w:rsid w:val="007668AA"/>
    <w:rsid w:val="00767EA5"/>
    <w:rsid w:val="00770299"/>
    <w:rsid w:val="00770DDC"/>
    <w:rsid w:val="0077129D"/>
    <w:rsid w:val="0077413C"/>
    <w:rsid w:val="00776655"/>
    <w:rsid w:val="00777A50"/>
    <w:rsid w:val="007817FE"/>
    <w:rsid w:val="00782126"/>
    <w:rsid w:val="00784044"/>
    <w:rsid w:val="00784227"/>
    <w:rsid w:val="0078500E"/>
    <w:rsid w:val="00785711"/>
    <w:rsid w:val="007901B9"/>
    <w:rsid w:val="007902BC"/>
    <w:rsid w:val="007902F2"/>
    <w:rsid w:val="00790D69"/>
    <w:rsid w:val="0079156A"/>
    <w:rsid w:val="00792C88"/>
    <w:rsid w:val="0079390B"/>
    <w:rsid w:val="00793C94"/>
    <w:rsid w:val="00796EDF"/>
    <w:rsid w:val="0079728A"/>
    <w:rsid w:val="00797500"/>
    <w:rsid w:val="007A1A91"/>
    <w:rsid w:val="007A23E1"/>
    <w:rsid w:val="007A2E8E"/>
    <w:rsid w:val="007A458B"/>
    <w:rsid w:val="007A54A8"/>
    <w:rsid w:val="007A5DF6"/>
    <w:rsid w:val="007A68E7"/>
    <w:rsid w:val="007B09CF"/>
    <w:rsid w:val="007B0A1C"/>
    <w:rsid w:val="007B4061"/>
    <w:rsid w:val="007B47F1"/>
    <w:rsid w:val="007B483C"/>
    <w:rsid w:val="007B48A7"/>
    <w:rsid w:val="007B4E5E"/>
    <w:rsid w:val="007B5C08"/>
    <w:rsid w:val="007B6E58"/>
    <w:rsid w:val="007B733B"/>
    <w:rsid w:val="007B79F5"/>
    <w:rsid w:val="007C27E4"/>
    <w:rsid w:val="007C2F8F"/>
    <w:rsid w:val="007C3F3E"/>
    <w:rsid w:val="007C4741"/>
    <w:rsid w:val="007C5AAB"/>
    <w:rsid w:val="007C5B2B"/>
    <w:rsid w:val="007C6254"/>
    <w:rsid w:val="007C6860"/>
    <w:rsid w:val="007C6BDF"/>
    <w:rsid w:val="007D03CE"/>
    <w:rsid w:val="007D0D5A"/>
    <w:rsid w:val="007D1BCB"/>
    <w:rsid w:val="007D3AC0"/>
    <w:rsid w:val="007D5485"/>
    <w:rsid w:val="007D63BA"/>
    <w:rsid w:val="007D6835"/>
    <w:rsid w:val="007D784B"/>
    <w:rsid w:val="007D7B7C"/>
    <w:rsid w:val="007E017A"/>
    <w:rsid w:val="007E1CBB"/>
    <w:rsid w:val="007E2366"/>
    <w:rsid w:val="007E3300"/>
    <w:rsid w:val="007E47CA"/>
    <w:rsid w:val="007E4EA1"/>
    <w:rsid w:val="007E4EAE"/>
    <w:rsid w:val="007E5165"/>
    <w:rsid w:val="007E5758"/>
    <w:rsid w:val="007E70AD"/>
    <w:rsid w:val="007E73F1"/>
    <w:rsid w:val="007E7C8A"/>
    <w:rsid w:val="007F092B"/>
    <w:rsid w:val="007F2420"/>
    <w:rsid w:val="007F301C"/>
    <w:rsid w:val="007F30B4"/>
    <w:rsid w:val="007F32CB"/>
    <w:rsid w:val="007F4967"/>
    <w:rsid w:val="007F4D8C"/>
    <w:rsid w:val="007F505C"/>
    <w:rsid w:val="008006DD"/>
    <w:rsid w:val="00800A6F"/>
    <w:rsid w:val="00800AC8"/>
    <w:rsid w:val="00803DA4"/>
    <w:rsid w:val="00803E1D"/>
    <w:rsid w:val="00804762"/>
    <w:rsid w:val="00804EE4"/>
    <w:rsid w:val="00806C1B"/>
    <w:rsid w:val="008071DD"/>
    <w:rsid w:val="00812EBD"/>
    <w:rsid w:val="00813222"/>
    <w:rsid w:val="008136B7"/>
    <w:rsid w:val="00813864"/>
    <w:rsid w:val="00814D98"/>
    <w:rsid w:val="00815529"/>
    <w:rsid w:val="008166A5"/>
    <w:rsid w:val="00820D53"/>
    <w:rsid w:val="00820F75"/>
    <w:rsid w:val="00823310"/>
    <w:rsid w:val="0082395B"/>
    <w:rsid w:val="00824539"/>
    <w:rsid w:val="0082498B"/>
    <w:rsid w:val="0082500E"/>
    <w:rsid w:val="008251CF"/>
    <w:rsid w:val="00825577"/>
    <w:rsid w:val="008262A4"/>
    <w:rsid w:val="00826A2D"/>
    <w:rsid w:val="00826A79"/>
    <w:rsid w:val="008325AB"/>
    <w:rsid w:val="008325C0"/>
    <w:rsid w:val="008325CB"/>
    <w:rsid w:val="0083291D"/>
    <w:rsid w:val="00832FD7"/>
    <w:rsid w:val="008345F8"/>
    <w:rsid w:val="00835873"/>
    <w:rsid w:val="00836C6B"/>
    <w:rsid w:val="0083752A"/>
    <w:rsid w:val="00840E67"/>
    <w:rsid w:val="008417E9"/>
    <w:rsid w:val="00841EA4"/>
    <w:rsid w:val="00842A24"/>
    <w:rsid w:val="00843CB3"/>
    <w:rsid w:val="00845598"/>
    <w:rsid w:val="008465DC"/>
    <w:rsid w:val="00846920"/>
    <w:rsid w:val="00847460"/>
    <w:rsid w:val="008505F3"/>
    <w:rsid w:val="00851986"/>
    <w:rsid w:val="0085244D"/>
    <w:rsid w:val="00853063"/>
    <w:rsid w:val="00854808"/>
    <w:rsid w:val="00854981"/>
    <w:rsid w:val="0085513A"/>
    <w:rsid w:val="00856961"/>
    <w:rsid w:val="00860324"/>
    <w:rsid w:val="008605C4"/>
    <w:rsid w:val="008609D1"/>
    <w:rsid w:val="00863361"/>
    <w:rsid w:val="00863E21"/>
    <w:rsid w:val="00864D48"/>
    <w:rsid w:val="00866115"/>
    <w:rsid w:val="00866180"/>
    <w:rsid w:val="008702FB"/>
    <w:rsid w:val="00871BD7"/>
    <w:rsid w:val="00872952"/>
    <w:rsid w:val="00873403"/>
    <w:rsid w:val="0087517B"/>
    <w:rsid w:val="00875B5D"/>
    <w:rsid w:val="008760BC"/>
    <w:rsid w:val="00877EBD"/>
    <w:rsid w:val="008809C0"/>
    <w:rsid w:val="00881BE5"/>
    <w:rsid w:val="00882252"/>
    <w:rsid w:val="008822A9"/>
    <w:rsid w:val="00882566"/>
    <w:rsid w:val="008825AB"/>
    <w:rsid w:val="00886B80"/>
    <w:rsid w:val="008871D6"/>
    <w:rsid w:val="00890A6C"/>
    <w:rsid w:val="00891355"/>
    <w:rsid w:val="00891EE6"/>
    <w:rsid w:val="00893D49"/>
    <w:rsid w:val="00895279"/>
    <w:rsid w:val="008956F9"/>
    <w:rsid w:val="00895B8F"/>
    <w:rsid w:val="00896B1F"/>
    <w:rsid w:val="008A07B4"/>
    <w:rsid w:val="008A18E8"/>
    <w:rsid w:val="008A2C29"/>
    <w:rsid w:val="008A302D"/>
    <w:rsid w:val="008A30BF"/>
    <w:rsid w:val="008A31EE"/>
    <w:rsid w:val="008A3540"/>
    <w:rsid w:val="008A3B39"/>
    <w:rsid w:val="008A49B8"/>
    <w:rsid w:val="008A6871"/>
    <w:rsid w:val="008A6885"/>
    <w:rsid w:val="008A7994"/>
    <w:rsid w:val="008B04F5"/>
    <w:rsid w:val="008B0D7D"/>
    <w:rsid w:val="008B206A"/>
    <w:rsid w:val="008B2D76"/>
    <w:rsid w:val="008B2EE7"/>
    <w:rsid w:val="008B45DC"/>
    <w:rsid w:val="008B586D"/>
    <w:rsid w:val="008B59E2"/>
    <w:rsid w:val="008C0004"/>
    <w:rsid w:val="008C0333"/>
    <w:rsid w:val="008C067A"/>
    <w:rsid w:val="008C08C5"/>
    <w:rsid w:val="008C0EAA"/>
    <w:rsid w:val="008C1F59"/>
    <w:rsid w:val="008C3C46"/>
    <w:rsid w:val="008C40E4"/>
    <w:rsid w:val="008C46AC"/>
    <w:rsid w:val="008C6FCC"/>
    <w:rsid w:val="008C747F"/>
    <w:rsid w:val="008D08B8"/>
    <w:rsid w:val="008D10DE"/>
    <w:rsid w:val="008D4324"/>
    <w:rsid w:val="008D4F15"/>
    <w:rsid w:val="008D6799"/>
    <w:rsid w:val="008D6932"/>
    <w:rsid w:val="008D6C21"/>
    <w:rsid w:val="008D782D"/>
    <w:rsid w:val="008E1EED"/>
    <w:rsid w:val="008E30D1"/>
    <w:rsid w:val="008E3A97"/>
    <w:rsid w:val="008E3C4F"/>
    <w:rsid w:val="008E4F47"/>
    <w:rsid w:val="008E60F6"/>
    <w:rsid w:val="008E6D97"/>
    <w:rsid w:val="008E7A92"/>
    <w:rsid w:val="008F00F9"/>
    <w:rsid w:val="008F44DF"/>
    <w:rsid w:val="008F48DE"/>
    <w:rsid w:val="008F4D91"/>
    <w:rsid w:val="008F5DA3"/>
    <w:rsid w:val="008F7396"/>
    <w:rsid w:val="008F7536"/>
    <w:rsid w:val="00902464"/>
    <w:rsid w:val="00902BDD"/>
    <w:rsid w:val="00904158"/>
    <w:rsid w:val="00904D69"/>
    <w:rsid w:val="009100DA"/>
    <w:rsid w:val="00910617"/>
    <w:rsid w:val="00911C16"/>
    <w:rsid w:val="00912674"/>
    <w:rsid w:val="009127CA"/>
    <w:rsid w:val="0091330F"/>
    <w:rsid w:val="009135E5"/>
    <w:rsid w:val="0091430A"/>
    <w:rsid w:val="009148FB"/>
    <w:rsid w:val="00914A43"/>
    <w:rsid w:val="0091597E"/>
    <w:rsid w:val="00915E8B"/>
    <w:rsid w:val="0091676D"/>
    <w:rsid w:val="00917563"/>
    <w:rsid w:val="009210E6"/>
    <w:rsid w:val="009238AF"/>
    <w:rsid w:val="009239C9"/>
    <w:rsid w:val="00930682"/>
    <w:rsid w:val="00930EA8"/>
    <w:rsid w:val="009323FD"/>
    <w:rsid w:val="00934FEC"/>
    <w:rsid w:val="0093567A"/>
    <w:rsid w:val="009365F0"/>
    <w:rsid w:val="00940587"/>
    <w:rsid w:val="00940DB0"/>
    <w:rsid w:val="00941BA2"/>
    <w:rsid w:val="00944485"/>
    <w:rsid w:val="009450C9"/>
    <w:rsid w:val="009471CF"/>
    <w:rsid w:val="00950FED"/>
    <w:rsid w:val="00950FF7"/>
    <w:rsid w:val="00951411"/>
    <w:rsid w:val="009524B9"/>
    <w:rsid w:val="00956168"/>
    <w:rsid w:val="0096143C"/>
    <w:rsid w:val="00961564"/>
    <w:rsid w:val="00961811"/>
    <w:rsid w:val="00962CFE"/>
    <w:rsid w:val="00964A20"/>
    <w:rsid w:val="00965234"/>
    <w:rsid w:val="009659A0"/>
    <w:rsid w:val="00970D99"/>
    <w:rsid w:val="00971003"/>
    <w:rsid w:val="00971CE5"/>
    <w:rsid w:val="009725BE"/>
    <w:rsid w:val="00973FDE"/>
    <w:rsid w:val="009763AD"/>
    <w:rsid w:val="0097692A"/>
    <w:rsid w:val="009800EB"/>
    <w:rsid w:val="00980197"/>
    <w:rsid w:val="0098141F"/>
    <w:rsid w:val="00982490"/>
    <w:rsid w:val="00982710"/>
    <w:rsid w:val="0098278E"/>
    <w:rsid w:val="00984431"/>
    <w:rsid w:val="00992D52"/>
    <w:rsid w:val="00994909"/>
    <w:rsid w:val="00994A96"/>
    <w:rsid w:val="009954AE"/>
    <w:rsid w:val="00995F0D"/>
    <w:rsid w:val="00995FFE"/>
    <w:rsid w:val="009960F8"/>
    <w:rsid w:val="009A01D7"/>
    <w:rsid w:val="009A0978"/>
    <w:rsid w:val="009A4574"/>
    <w:rsid w:val="009A4BBC"/>
    <w:rsid w:val="009A64C9"/>
    <w:rsid w:val="009A7CD5"/>
    <w:rsid w:val="009B034A"/>
    <w:rsid w:val="009B225F"/>
    <w:rsid w:val="009B265E"/>
    <w:rsid w:val="009B55E0"/>
    <w:rsid w:val="009B729B"/>
    <w:rsid w:val="009B7385"/>
    <w:rsid w:val="009B7A02"/>
    <w:rsid w:val="009C1A2A"/>
    <w:rsid w:val="009C1DB3"/>
    <w:rsid w:val="009C1FD4"/>
    <w:rsid w:val="009C22E3"/>
    <w:rsid w:val="009C4E2C"/>
    <w:rsid w:val="009C5535"/>
    <w:rsid w:val="009C5F6D"/>
    <w:rsid w:val="009C75D3"/>
    <w:rsid w:val="009C7AD8"/>
    <w:rsid w:val="009D04A2"/>
    <w:rsid w:val="009D2B69"/>
    <w:rsid w:val="009D351E"/>
    <w:rsid w:val="009D39BF"/>
    <w:rsid w:val="009D420D"/>
    <w:rsid w:val="009D6BEA"/>
    <w:rsid w:val="009D7985"/>
    <w:rsid w:val="009E2CD7"/>
    <w:rsid w:val="009E3C00"/>
    <w:rsid w:val="009F329B"/>
    <w:rsid w:val="009F3B76"/>
    <w:rsid w:val="009F419E"/>
    <w:rsid w:val="009F4B1E"/>
    <w:rsid w:val="009F5A13"/>
    <w:rsid w:val="009F6186"/>
    <w:rsid w:val="00A00553"/>
    <w:rsid w:val="00A03BE4"/>
    <w:rsid w:val="00A06FB9"/>
    <w:rsid w:val="00A07BD4"/>
    <w:rsid w:val="00A07E42"/>
    <w:rsid w:val="00A11FD0"/>
    <w:rsid w:val="00A12515"/>
    <w:rsid w:val="00A12537"/>
    <w:rsid w:val="00A1315E"/>
    <w:rsid w:val="00A1387D"/>
    <w:rsid w:val="00A14051"/>
    <w:rsid w:val="00A14283"/>
    <w:rsid w:val="00A1458F"/>
    <w:rsid w:val="00A14FA8"/>
    <w:rsid w:val="00A160CC"/>
    <w:rsid w:val="00A1703F"/>
    <w:rsid w:val="00A211C4"/>
    <w:rsid w:val="00A22B96"/>
    <w:rsid w:val="00A22E83"/>
    <w:rsid w:val="00A24366"/>
    <w:rsid w:val="00A24780"/>
    <w:rsid w:val="00A24E10"/>
    <w:rsid w:val="00A273C6"/>
    <w:rsid w:val="00A27DC8"/>
    <w:rsid w:val="00A3011C"/>
    <w:rsid w:val="00A30469"/>
    <w:rsid w:val="00A30D00"/>
    <w:rsid w:val="00A3170B"/>
    <w:rsid w:val="00A3245B"/>
    <w:rsid w:val="00A3280B"/>
    <w:rsid w:val="00A337FD"/>
    <w:rsid w:val="00A33998"/>
    <w:rsid w:val="00A34812"/>
    <w:rsid w:val="00A34BDC"/>
    <w:rsid w:val="00A35804"/>
    <w:rsid w:val="00A36B8A"/>
    <w:rsid w:val="00A36BA5"/>
    <w:rsid w:val="00A36DA6"/>
    <w:rsid w:val="00A404A6"/>
    <w:rsid w:val="00A433A3"/>
    <w:rsid w:val="00A443B3"/>
    <w:rsid w:val="00A461FB"/>
    <w:rsid w:val="00A46E65"/>
    <w:rsid w:val="00A51665"/>
    <w:rsid w:val="00A51ED5"/>
    <w:rsid w:val="00A539DC"/>
    <w:rsid w:val="00A550BF"/>
    <w:rsid w:val="00A55EA8"/>
    <w:rsid w:val="00A5611D"/>
    <w:rsid w:val="00A564FB"/>
    <w:rsid w:val="00A575D1"/>
    <w:rsid w:val="00A57934"/>
    <w:rsid w:val="00A61DAC"/>
    <w:rsid w:val="00A6349B"/>
    <w:rsid w:val="00A645AC"/>
    <w:rsid w:val="00A64B7A"/>
    <w:rsid w:val="00A66E30"/>
    <w:rsid w:val="00A66FFC"/>
    <w:rsid w:val="00A6764A"/>
    <w:rsid w:val="00A679E0"/>
    <w:rsid w:val="00A703C6"/>
    <w:rsid w:val="00A71FD7"/>
    <w:rsid w:val="00A72D33"/>
    <w:rsid w:val="00A73D04"/>
    <w:rsid w:val="00A73FF6"/>
    <w:rsid w:val="00A7402A"/>
    <w:rsid w:val="00A74636"/>
    <w:rsid w:val="00A76C8E"/>
    <w:rsid w:val="00A7743D"/>
    <w:rsid w:val="00A80CEF"/>
    <w:rsid w:val="00A841E9"/>
    <w:rsid w:val="00A86366"/>
    <w:rsid w:val="00A8742E"/>
    <w:rsid w:val="00A876FB"/>
    <w:rsid w:val="00A9136D"/>
    <w:rsid w:val="00A93D1A"/>
    <w:rsid w:val="00A94D0C"/>
    <w:rsid w:val="00A94FB6"/>
    <w:rsid w:val="00A96081"/>
    <w:rsid w:val="00A96E03"/>
    <w:rsid w:val="00A97D27"/>
    <w:rsid w:val="00AA21F0"/>
    <w:rsid w:val="00AA36BF"/>
    <w:rsid w:val="00AA69B2"/>
    <w:rsid w:val="00AA7DE9"/>
    <w:rsid w:val="00AB0109"/>
    <w:rsid w:val="00AB0841"/>
    <w:rsid w:val="00AB18FB"/>
    <w:rsid w:val="00AB2F5A"/>
    <w:rsid w:val="00AB3BA0"/>
    <w:rsid w:val="00AB466F"/>
    <w:rsid w:val="00AC0A11"/>
    <w:rsid w:val="00AC407B"/>
    <w:rsid w:val="00AC62BE"/>
    <w:rsid w:val="00AC683C"/>
    <w:rsid w:val="00AD05D3"/>
    <w:rsid w:val="00AD11C4"/>
    <w:rsid w:val="00AD1B8C"/>
    <w:rsid w:val="00AD1FE5"/>
    <w:rsid w:val="00AD38B1"/>
    <w:rsid w:val="00AD5939"/>
    <w:rsid w:val="00AD6786"/>
    <w:rsid w:val="00AD74A7"/>
    <w:rsid w:val="00AD75B0"/>
    <w:rsid w:val="00AE0543"/>
    <w:rsid w:val="00AE1843"/>
    <w:rsid w:val="00AE1FD6"/>
    <w:rsid w:val="00AE242C"/>
    <w:rsid w:val="00AE4B03"/>
    <w:rsid w:val="00AE638B"/>
    <w:rsid w:val="00AE6A8E"/>
    <w:rsid w:val="00AE6BCA"/>
    <w:rsid w:val="00AF0964"/>
    <w:rsid w:val="00AF1015"/>
    <w:rsid w:val="00AF54A8"/>
    <w:rsid w:val="00AF610E"/>
    <w:rsid w:val="00AF67CC"/>
    <w:rsid w:val="00AF6C07"/>
    <w:rsid w:val="00B0083B"/>
    <w:rsid w:val="00B0084F"/>
    <w:rsid w:val="00B012ED"/>
    <w:rsid w:val="00B01E44"/>
    <w:rsid w:val="00B02066"/>
    <w:rsid w:val="00B0302C"/>
    <w:rsid w:val="00B061E3"/>
    <w:rsid w:val="00B06D5E"/>
    <w:rsid w:val="00B07ECF"/>
    <w:rsid w:val="00B103DC"/>
    <w:rsid w:val="00B108DB"/>
    <w:rsid w:val="00B1247D"/>
    <w:rsid w:val="00B132EA"/>
    <w:rsid w:val="00B13505"/>
    <w:rsid w:val="00B13E51"/>
    <w:rsid w:val="00B16C48"/>
    <w:rsid w:val="00B175A2"/>
    <w:rsid w:val="00B17737"/>
    <w:rsid w:val="00B177FF"/>
    <w:rsid w:val="00B17E37"/>
    <w:rsid w:val="00B20E8A"/>
    <w:rsid w:val="00B21E8B"/>
    <w:rsid w:val="00B2216C"/>
    <w:rsid w:val="00B2295F"/>
    <w:rsid w:val="00B22AAA"/>
    <w:rsid w:val="00B22DD3"/>
    <w:rsid w:val="00B23B1A"/>
    <w:rsid w:val="00B24EB3"/>
    <w:rsid w:val="00B2506C"/>
    <w:rsid w:val="00B25535"/>
    <w:rsid w:val="00B25A27"/>
    <w:rsid w:val="00B25CB2"/>
    <w:rsid w:val="00B27703"/>
    <w:rsid w:val="00B27DD1"/>
    <w:rsid w:val="00B323AA"/>
    <w:rsid w:val="00B3298D"/>
    <w:rsid w:val="00B32C79"/>
    <w:rsid w:val="00B330CC"/>
    <w:rsid w:val="00B33A9D"/>
    <w:rsid w:val="00B33EC3"/>
    <w:rsid w:val="00B342AE"/>
    <w:rsid w:val="00B34F32"/>
    <w:rsid w:val="00B362EE"/>
    <w:rsid w:val="00B36FE7"/>
    <w:rsid w:val="00B370D3"/>
    <w:rsid w:val="00B37E12"/>
    <w:rsid w:val="00B423E8"/>
    <w:rsid w:val="00B428F0"/>
    <w:rsid w:val="00B43C0D"/>
    <w:rsid w:val="00B469B1"/>
    <w:rsid w:val="00B46A4A"/>
    <w:rsid w:val="00B52D9A"/>
    <w:rsid w:val="00B53DDF"/>
    <w:rsid w:val="00B54921"/>
    <w:rsid w:val="00B5544A"/>
    <w:rsid w:val="00B55703"/>
    <w:rsid w:val="00B60BB9"/>
    <w:rsid w:val="00B610A2"/>
    <w:rsid w:val="00B61767"/>
    <w:rsid w:val="00B61775"/>
    <w:rsid w:val="00B62143"/>
    <w:rsid w:val="00B62A30"/>
    <w:rsid w:val="00B63C2A"/>
    <w:rsid w:val="00B63C6C"/>
    <w:rsid w:val="00B64463"/>
    <w:rsid w:val="00B64EB1"/>
    <w:rsid w:val="00B664B2"/>
    <w:rsid w:val="00B67AD1"/>
    <w:rsid w:val="00B67F0F"/>
    <w:rsid w:val="00B727A6"/>
    <w:rsid w:val="00B733AB"/>
    <w:rsid w:val="00B7359B"/>
    <w:rsid w:val="00B81959"/>
    <w:rsid w:val="00B819A4"/>
    <w:rsid w:val="00B83712"/>
    <w:rsid w:val="00B83BA6"/>
    <w:rsid w:val="00B8467A"/>
    <w:rsid w:val="00B84AFD"/>
    <w:rsid w:val="00B85B36"/>
    <w:rsid w:val="00B8635B"/>
    <w:rsid w:val="00B867FD"/>
    <w:rsid w:val="00B87D2D"/>
    <w:rsid w:val="00B87FD3"/>
    <w:rsid w:val="00B91BCC"/>
    <w:rsid w:val="00B92ED4"/>
    <w:rsid w:val="00B956C0"/>
    <w:rsid w:val="00B96ECE"/>
    <w:rsid w:val="00BA03BE"/>
    <w:rsid w:val="00BA0EFF"/>
    <w:rsid w:val="00BA1ADB"/>
    <w:rsid w:val="00BA1E21"/>
    <w:rsid w:val="00BA3D30"/>
    <w:rsid w:val="00BA3D86"/>
    <w:rsid w:val="00BA41C4"/>
    <w:rsid w:val="00BA4AC2"/>
    <w:rsid w:val="00BA5813"/>
    <w:rsid w:val="00BA6B25"/>
    <w:rsid w:val="00BA7093"/>
    <w:rsid w:val="00BB0469"/>
    <w:rsid w:val="00BB44FE"/>
    <w:rsid w:val="00BB56B6"/>
    <w:rsid w:val="00BB56E5"/>
    <w:rsid w:val="00BB5B47"/>
    <w:rsid w:val="00BB71BF"/>
    <w:rsid w:val="00BB7C1C"/>
    <w:rsid w:val="00BC0DFA"/>
    <w:rsid w:val="00BC2A01"/>
    <w:rsid w:val="00BC4CFE"/>
    <w:rsid w:val="00BC540C"/>
    <w:rsid w:val="00BC659C"/>
    <w:rsid w:val="00BC6BFE"/>
    <w:rsid w:val="00BD361E"/>
    <w:rsid w:val="00BD423D"/>
    <w:rsid w:val="00BD4DB0"/>
    <w:rsid w:val="00BD5AA1"/>
    <w:rsid w:val="00BD655D"/>
    <w:rsid w:val="00BD7421"/>
    <w:rsid w:val="00BD7B6B"/>
    <w:rsid w:val="00BE2C71"/>
    <w:rsid w:val="00BE3B0E"/>
    <w:rsid w:val="00BE3B7A"/>
    <w:rsid w:val="00BE3CEF"/>
    <w:rsid w:val="00BE4D52"/>
    <w:rsid w:val="00BE5C78"/>
    <w:rsid w:val="00BE6A20"/>
    <w:rsid w:val="00BF091D"/>
    <w:rsid w:val="00BF0F10"/>
    <w:rsid w:val="00BF216F"/>
    <w:rsid w:val="00BF28CA"/>
    <w:rsid w:val="00BF3270"/>
    <w:rsid w:val="00BF3450"/>
    <w:rsid w:val="00BF3EE9"/>
    <w:rsid w:val="00BF48C7"/>
    <w:rsid w:val="00BF6C54"/>
    <w:rsid w:val="00BF72E7"/>
    <w:rsid w:val="00C01B15"/>
    <w:rsid w:val="00C02926"/>
    <w:rsid w:val="00C029F2"/>
    <w:rsid w:val="00C031AE"/>
    <w:rsid w:val="00C03956"/>
    <w:rsid w:val="00C03A4B"/>
    <w:rsid w:val="00C0565F"/>
    <w:rsid w:val="00C0591D"/>
    <w:rsid w:val="00C064B7"/>
    <w:rsid w:val="00C06F3E"/>
    <w:rsid w:val="00C07790"/>
    <w:rsid w:val="00C07B9D"/>
    <w:rsid w:val="00C10475"/>
    <w:rsid w:val="00C11192"/>
    <w:rsid w:val="00C12742"/>
    <w:rsid w:val="00C12A98"/>
    <w:rsid w:val="00C12D73"/>
    <w:rsid w:val="00C1353A"/>
    <w:rsid w:val="00C14746"/>
    <w:rsid w:val="00C15188"/>
    <w:rsid w:val="00C1679C"/>
    <w:rsid w:val="00C218C2"/>
    <w:rsid w:val="00C21A49"/>
    <w:rsid w:val="00C21C10"/>
    <w:rsid w:val="00C24B77"/>
    <w:rsid w:val="00C2653A"/>
    <w:rsid w:val="00C26A4C"/>
    <w:rsid w:val="00C309F2"/>
    <w:rsid w:val="00C30FF2"/>
    <w:rsid w:val="00C317D5"/>
    <w:rsid w:val="00C363EF"/>
    <w:rsid w:val="00C37DB7"/>
    <w:rsid w:val="00C37E47"/>
    <w:rsid w:val="00C406AD"/>
    <w:rsid w:val="00C40A2B"/>
    <w:rsid w:val="00C40DDC"/>
    <w:rsid w:val="00C419B9"/>
    <w:rsid w:val="00C44649"/>
    <w:rsid w:val="00C44661"/>
    <w:rsid w:val="00C448F5"/>
    <w:rsid w:val="00C44D56"/>
    <w:rsid w:val="00C479D4"/>
    <w:rsid w:val="00C503D5"/>
    <w:rsid w:val="00C50E3A"/>
    <w:rsid w:val="00C51F82"/>
    <w:rsid w:val="00C523A2"/>
    <w:rsid w:val="00C52916"/>
    <w:rsid w:val="00C52AD2"/>
    <w:rsid w:val="00C52D82"/>
    <w:rsid w:val="00C53942"/>
    <w:rsid w:val="00C53C64"/>
    <w:rsid w:val="00C542C6"/>
    <w:rsid w:val="00C557FC"/>
    <w:rsid w:val="00C570CF"/>
    <w:rsid w:val="00C60019"/>
    <w:rsid w:val="00C615E0"/>
    <w:rsid w:val="00C631B5"/>
    <w:rsid w:val="00C634FB"/>
    <w:rsid w:val="00C63D8B"/>
    <w:rsid w:val="00C64329"/>
    <w:rsid w:val="00C64A1B"/>
    <w:rsid w:val="00C64BD5"/>
    <w:rsid w:val="00C707A2"/>
    <w:rsid w:val="00C70DF2"/>
    <w:rsid w:val="00C70E47"/>
    <w:rsid w:val="00C71917"/>
    <w:rsid w:val="00C7249E"/>
    <w:rsid w:val="00C7280F"/>
    <w:rsid w:val="00C737FD"/>
    <w:rsid w:val="00C73E3D"/>
    <w:rsid w:val="00C7477E"/>
    <w:rsid w:val="00C761EE"/>
    <w:rsid w:val="00C766A2"/>
    <w:rsid w:val="00C768E0"/>
    <w:rsid w:val="00C77072"/>
    <w:rsid w:val="00C77955"/>
    <w:rsid w:val="00C77B6B"/>
    <w:rsid w:val="00C77ECB"/>
    <w:rsid w:val="00C807DE"/>
    <w:rsid w:val="00C809C9"/>
    <w:rsid w:val="00C8287B"/>
    <w:rsid w:val="00C84250"/>
    <w:rsid w:val="00C866E4"/>
    <w:rsid w:val="00C86E1B"/>
    <w:rsid w:val="00C87CBB"/>
    <w:rsid w:val="00C912BA"/>
    <w:rsid w:val="00C924D6"/>
    <w:rsid w:val="00C9394F"/>
    <w:rsid w:val="00C945DC"/>
    <w:rsid w:val="00C96A84"/>
    <w:rsid w:val="00C96C4C"/>
    <w:rsid w:val="00C978B4"/>
    <w:rsid w:val="00CA004A"/>
    <w:rsid w:val="00CA02FF"/>
    <w:rsid w:val="00CA04CF"/>
    <w:rsid w:val="00CA17D4"/>
    <w:rsid w:val="00CA4A40"/>
    <w:rsid w:val="00CA4C43"/>
    <w:rsid w:val="00CA7758"/>
    <w:rsid w:val="00CB00CF"/>
    <w:rsid w:val="00CB15A9"/>
    <w:rsid w:val="00CB2498"/>
    <w:rsid w:val="00CB2CC0"/>
    <w:rsid w:val="00CB3CD1"/>
    <w:rsid w:val="00CB4371"/>
    <w:rsid w:val="00CB4BD8"/>
    <w:rsid w:val="00CB5DF4"/>
    <w:rsid w:val="00CB5E3F"/>
    <w:rsid w:val="00CB7D11"/>
    <w:rsid w:val="00CC06AC"/>
    <w:rsid w:val="00CC325B"/>
    <w:rsid w:val="00CC7D88"/>
    <w:rsid w:val="00CD0558"/>
    <w:rsid w:val="00CD0609"/>
    <w:rsid w:val="00CD1AF5"/>
    <w:rsid w:val="00CD22B0"/>
    <w:rsid w:val="00CD22E7"/>
    <w:rsid w:val="00CD347F"/>
    <w:rsid w:val="00CD4ED9"/>
    <w:rsid w:val="00CD5227"/>
    <w:rsid w:val="00CD5E22"/>
    <w:rsid w:val="00CD78DE"/>
    <w:rsid w:val="00CD7969"/>
    <w:rsid w:val="00CD7C27"/>
    <w:rsid w:val="00CE0218"/>
    <w:rsid w:val="00CE0790"/>
    <w:rsid w:val="00CE136A"/>
    <w:rsid w:val="00CE302B"/>
    <w:rsid w:val="00CE3210"/>
    <w:rsid w:val="00CE336D"/>
    <w:rsid w:val="00CE35F3"/>
    <w:rsid w:val="00CE68FA"/>
    <w:rsid w:val="00CF0193"/>
    <w:rsid w:val="00CF17A5"/>
    <w:rsid w:val="00CF2224"/>
    <w:rsid w:val="00CF24AE"/>
    <w:rsid w:val="00CF35EF"/>
    <w:rsid w:val="00CF4EFA"/>
    <w:rsid w:val="00CF512F"/>
    <w:rsid w:val="00CF680A"/>
    <w:rsid w:val="00D005D1"/>
    <w:rsid w:val="00D00851"/>
    <w:rsid w:val="00D022C4"/>
    <w:rsid w:val="00D022FB"/>
    <w:rsid w:val="00D03C9A"/>
    <w:rsid w:val="00D04301"/>
    <w:rsid w:val="00D0627B"/>
    <w:rsid w:val="00D06CF8"/>
    <w:rsid w:val="00D072B7"/>
    <w:rsid w:val="00D10499"/>
    <w:rsid w:val="00D11D18"/>
    <w:rsid w:val="00D12133"/>
    <w:rsid w:val="00D13C39"/>
    <w:rsid w:val="00D15131"/>
    <w:rsid w:val="00D15594"/>
    <w:rsid w:val="00D166C1"/>
    <w:rsid w:val="00D1710D"/>
    <w:rsid w:val="00D21995"/>
    <w:rsid w:val="00D22C75"/>
    <w:rsid w:val="00D23AE9"/>
    <w:rsid w:val="00D246B9"/>
    <w:rsid w:val="00D252F6"/>
    <w:rsid w:val="00D26AE4"/>
    <w:rsid w:val="00D272B3"/>
    <w:rsid w:val="00D27C3B"/>
    <w:rsid w:val="00D27C79"/>
    <w:rsid w:val="00D30708"/>
    <w:rsid w:val="00D315F7"/>
    <w:rsid w:val="00D32D8A"/>
    <w:rsid w:val="00D33481"/>
    <w:rsid w:val="00D33DA5"/>
    <w:rsid w:val="00D34A14"/>
    <w:rsid w:val="00D3536E"/>
    <w:rsid w:val="00D3550F"/>
    <w:rsid w:val="00D36CFB"/>
    <w:rsid w:val="00D372F5"/>
    <w:rsid w:val="00D37B79"/>
    <w:rsid w:val="00D403DF"/>
    <w:rsid w:val="00D42715"/>
    <w:rsid w:val="00D43AE8"/>
    <w:rsid w:val="00D44A09"/>
    <w:rsid w:val="00D451E8"/>
    <w:rsid w:val="00D46ACD"/>
    <w:rsid w:val="00D5013E"/>
    <w:rsid w:val="00D50FDA"/>
    <w:rsid w:val="00D51906"/>
    <w:rsid w:val="00D53744"/>
    <w:rsid w:val="00D53990"/>
    <w:rsid w:val="00D56B0F"/>
    <w:rsid w:val="00D56D62"/>
    <w:rsid w:val="00D57CA2"/>
    <w:rsid w:val="00D60A93"/>
    <w:rsid w:val="00D620C5"/>
    <w:rsid w:val="00D62A5D"/>
    <w:rsid w:val="00D63FC6"/>
    <w:rsid w:val="00D6682D"/>
    <w:rsid w:val="00D67029"/>
    <w:rsid w:val="00D70E87"/>
    <w:rsid w:val="00D72152"/>
    <w:rsid w:val="00D72B26"/>
    <w:rsid w:val="00D73A47"/>
    <w:rsid w:val="00D74CE7"/>
    <w:rsid w:val="00D75EC5"/>
    <w:rsid w:val="00D80A15"/>
    <w:rsid w:val="00D80CD7"/>
    <w:rsid w:val="00D80ECB"/>
    <w:rsid w:val="00D81B19"/>
    <w:rsid w:val="00D86655"/>
    <w:rsid w:val="00D86C02"/>
    <w:rsid w:val="00D87E68"/>
    <w:rsid w:val="00D90158"/>
    <w:rsid w:val="00D9030D"/>
    <w:rsid w:val="00D924C9"/>
    <w:rsid w:val="00D928F4"/>
    <w:rsid w:val="00D93193"/>
    <w:rsid w:val="00D933C6"/>
    <w:rsid w:val="00D93961"/>
    <w:rsid w:val="00D9790C"/>
    <w:rsid w:val="00D97E60"/>
    <w:rsid w:val="00DA11EB"/>
    <w:rsid w:val="00DA1472"/>
    <w:rsid w:val="00DA3AA7"/>
    <w:rsid w:val="00DA69E8"/>
    <w:rsid w:val="00DA6FCC"/>
    <w:rsid w:val="00DA7046"/>
    <w:rsid w:val="00DA770D"/>
    <w:rsid w:val="00DA7A84"/>
    <w:rsid w:val="00DA7F07"/>
    <w:rsid w:val="00DB06EC"/>
    <w:rsid w:val="00DB306F"/>
    <w:rsid w:val="00DB4BA7"/>
    <w:rsid w:val="00DB4E52"/>
    <w:rsid w:val="00DB55EE"/>
    <w:rsid w:val="00DB651E"/>
    <w:rsid w:val="00DB6BF2"/>
    <w:rsid w:val="00DB701F"/>
    <w:rsid w:val="00DC0F34"/>
    <w:rsid w:val="00DC1F37"/>
    <w:rsid w:val="00DC22FF"/>
    <w:rsid w:val="00DC2908"/>
    <w:rsid w:val="00DC2A3A"/>
    <w:rsid w:val="00DC2BCA"/>
    <w:rsid w:val="00DC32DF"/>
    <w:rsid w:val="00DC5A3D"/>
    <w:rsid w:val="00DC5A7F"/>
    <w:rsid w:val="00DC5CB7"/>
    <w:rsid w:val="00DC6232"/>
    <w:rsid w:val="00DC6E4D"/>
    <w:rsid w:val="00DC6FC1"/>
    <w:rsid w:val="00DC75E1"/>
    <w:rsid w:val="00DC7C3C"/>
    <w:rsid w:val="00DD12FA"/>
    <w:rsid w:val="00DD1A24"/>
    <w:rsid w:val="00DD3247"/>
    <w:rsid w:val="00DD4050"/>
    <w:rsid w:val="00DD63AF"/>
    <w:rsid w:val="00DD72DB"/>
    <w:rsid w:val="00DE132C"/>
    <w:rsid w:val="00DE1654"/>
    <w:rsid w:val="00DE2896"/>
    <w:rsid w:val="00DE5306"/>
    <w:rsid w:val="00DE75D7"/>
    <w:rsid w:val="00DF03FF"/>
    <w:rsid w:val="00DF0BB5"/>
    <w:rsid w:val="00DF0DBB"/>
    <w:rsid w:val="00DF0FF3"/>
    <w:rsid w:val="00DF171F"/>
    <w:rsid w:val="00DF1D08"/>
    <w:rsid w:val="00DF22F8"/>
    <w:rsid w:val="00DF5E34"/>
    <w:rsid w:val="00DF6054"/>
    <w:rsid w:val="00DF67EB"/>
    <w:rsid w:val="00E01B90"/>
    <w:rsid w:val="00E025AD"/>
    <w:rsid w:val="00E03F5A"/>
    <w:rsid w:val="00E04941"/>
    <w:rsid w:val="00E050A9"/>
    <w:rsid w:val="00E05156"/>
    <w:rsid w:val="00E0588F"/>
    <w:rsid w:val="00E05D02"/>
    <w:rsid w:val="00E05F45"/>
    <w:rsid w:val="00E0684F"/>
    <w:rsid w:val="00E0783F"/>
    <w:rsid w:val="00E104A7"/>
    <w:rsid w:val="00E10D3C"/>
    <w:rsid w:val="00E13A99"/>
    <w:rsid w:val="00E14B3B"/>
    <w:rsid w:val="00E15B9F"/>
    <w:rsid w:val="00E15FAB"/>
    <w:rsid w:val="00E1659E"/>
    <w:rsid w:val="00E17B1E"/>
    <w:rsid w:val="00E20AF1"/>
    <w:rsid w:val="00E20F70"/>
    <w:rsid w:val="00E21324"/>
    <w:rsid w:val="00E21EEA"/>
    <w:rsid w:val="00E21F92"/>
    <w:rsid w:val="00E234F3"/>
    <w:rsid w:val="00E30D08"/>
    <w:rsid w:val="00E30F7A"/>
    <w:rsid w:val="00E316AD"/>
    <w:rsid w:val="00E31E21"/>
    <w:rsid w:val="00E3449E"/>
    <w:rsid w:val="00E359AA"/>
    <w:rsid w:val="00E35B4D"/>
    <w:rsid w:val="00E35EE2"/>
    <w:rsid w:val="00E35EE4"/>
    <w:rsid w:val="00E37BCB"/>
    <w:rsid w:val="00E408BE"/>
    <w:rsid w:val="00E421B2"/>
    <w:rsid w:val="00E42268"/>
    <w:rsid w:val="00E424E4"/>
    <w:rsid w:val="00E4266C"/>
    <w:rsid w:val="00E43E16"/>
    <w:rsid w:val="00E44445"/>
    <w:rsid w:val="00E44E68"/>
    <w:rsid w:val="00E46754"/>
    <w:rsid w:val="00E47913"/>
    <w:rsid w:val="00E50FA0"/>
    <w:rsid w:val="00E50FD0"/>
    <w:rsid w:val="00E511ED"/>
    <w:rsid w:val="00E51E74"/>
    <w:rsid w:val="00E52A2D"/>
    <w:rsid w:val="00E52ADA"/>
    <w:rsid w:val="00E543C0"/>
    <w:rsid w:val="00E54A9D"/>
    <w:rsid w:val="00E557A9"/>
    <w:rsid w:val="00E55A41"/>
    <w:rsid w:val="00E564E3"/>
    <w:rsid w:val="00E5666E"/>
    <w:rsid w:val="00E57855"/>
    <w:rsid w:val="00E57C8B"/>
    <w:rsid w:val="00E604E7"/>
    <w:rsid w:val="00E60BB0"/>
    <w:rsid w:val="00E6221A"/>
    <w:rsid w:val="00E65900"/>
    <w:rsid w:val="00E7188D"/>
    <w:rsid w:val="00E71CE5"/>
    <w:rsid w:val="00E722F9"/>
    <w:rsid w:val="00E7379F"/>
    <w:rsid w:val="00E737B4"/>
    <w:rsid w:val="00E73AB3"/>
    <w:rsid w:val="00E7452C"/>
    <w:rsid w:val="00E75147"/>
    <w:rsid w:val="00E762C3"/>
    <w:rsid w:val="00E7691B"/>
    <w:rsid w:val="00E801CD"/>
    <w:rsid w:val="00E80A4D"/>
    <w:rsid w:val="00E8444D"/>
    <w:rsid w:val="00E84513"/>
    <w:rsid w:val="00E86D02"/>
    <w:rsid w:val="00E925A7"/>
    <w:rsid w:val="00E92BB1"/>
    <w:rsid w:val="00E94758"/>
    <w:rsid w:val="00E94DFF"/>
    <w:rsid w:val="00E979CC"/>
    <w:rsid w:val="00EA07AE"/>
    <w:rsid w:val="00EA07C5"/>
    <w:rsid w:val="00EA09D6"/>
    <w:rsid w:val="00EA1086"/>
    <w:rsid w:val="00EA12C7"/>
    <w:rsid w:val="00EA15FC"/>
    <w:rsid w:val="00EA1A53"/>
    <w:rsid w:val="00EA3A45"/>
    <w:rsid w:val="00EA3DD3"/>
    <w:rsid w:val="00EA43AA"/>
    <w:rsid w:val="00EA4CB9"/>
    <w:rsid w:val="00EA6507"/>
    <w:rsid w:val="00EA7A06"/>
    <w:rsid w:val="00EA7E81"/>
    <w:rsid w:val="00EB17AC"/>
    <w:rsid w:val="00EB25FB"/>
    <w:rsid w:val="00EB2F43"/>
    <w:rsid w:val="00EB34CF"/>
    <w:rsid w:val="00EB382E"/>
    <w:rsid w:val="00EB5BC7"/>
    <w:rsid w:val="00EB6AFF"/>
    <w:rsid w:val="00EB6DF6"/>
    <w:rsid w:val="00EB6EC0"/>
    <w:rsid w:val="00EB742C"/>
    <w:rsid w:val="00EC0C00"/>
    <w:rsid w:val="00EC1F40"/>
    <w:rsid w:val="00EC3C80"/>
    <w:rsid w:val="00EC4119"/>
    <w:rsid w:val="00EC4D23"/>
    <w:rsid w:val="00EC5CDC"/>
    <w:rsid w:val="00EC61DC"/>
    <w:rsid w:val="00EC6E11"/>
    <w:rsid w:val="00EC7CB8"/>
    <w:rsid w:val="00ED08EB"/>
    <w:rsid w:val="00ED102F"/>
    <w:rsid w:val="00ED451A"/>
    <w:rsid w:val="00ED54AD"/>
    <w:rsid w:val="00ED7700"/>
    <w:rsid w:val="00ED78D5"/>
    <w:rsid w:val="00ED7BDF"/>
    <w:rsid w:val="00EE1732"/>
    <w:rsid w:val="00EE1909"/>
    <w:rsid w:val="00EE369C"/>
    <w:rsid w:val="00EE5806"/>
    <w:rsid w:val="00EE5D95"/>
    <w:rsid w:val="00EE6055"/>
    <w:rsid w:val="00EE6D42"/>
    <w:rsid w:val="00EE797C"/>
    <w:rsid w:val="00EF0431"/>
    <w:rsid w:val="00EF11DF"/>
    <w:rsid w:val="00EF2E02"/>
    <w:rsid w:val="00EF38C6"/>
    <w:rsid w:val="00EF3946"/>
    <w:rsid w:val="00EF4D50"/>
    <w:rsid w:val="00EF4EED"/>
    <w:rsid w:val="00EF5857"/>
    <w:rsid w:val="00EF5E20"/>
    <w:rsid w:val="00EF62D7"/>
    <w:rsid w:val="00F00505"/>
    <w:rsid w:val="00F00B00"/>
    <w:rsid w:val="00F02935"/>
    <w:rsid w:val="00F030D4"/>
    <w:rsid w:val="00F03785"/>
    <w:rsid w:val="00F03978"/>
    <w:rsid w:val="00F07279"/>
    <w:rsid w:val="00F07D25"/>
    <w:rsid w:val="00F10847"/>
    <w:rsid w:val="00F12BF1"/>
    <w:rsid w:val="00F1488A"/>
    <w:rsid w:val="00F14B89"/>
    <w:rsid w:val="00F15557"/>
    <w:rsid w:val="00F17E84"/>
    <w:rsid w:val="00F20639"/>
    <w:rsid w:val="00F2238A"/>
    <w:rsid w:val="00F22A09"/>
    <w:rsid w:val="00F232B1"/>
    <w:rsid w:val="00F233DD"/>
    <w:rsid w:val="00F236A3"/>
    <w:rsid w:val="00F256B5"/>
    <w:rsid w:val="00F26BBA"/>
    <w:rsid w:val="00F30248"/>
    <w:rsid w:val="00F3093B"/>
    <w:rsid w:val="00F3393C"/>
    <w:rsid w:val="00F33950"/>
    <w:rsid w:val="00F33AA1"/>
    <w:rsid w:val="00F341F4"/>
    <w:rsid w:val="00F34451"/>
    <w:rsid w:val="00F36405"/>
    <w:rsid w:val="00F3781E"/>
    <w:rsid w:val="00F37E0F"/>
    <w:rsid w:val="00F45E29"/>
    <w:rsid w:val="00F4672D"/>
    <w:rsid w:val="00F51CA8"/>
    <w:rsid w:val="00F526B4"/>
    <w:rsid w:val="00F52C3D"/>
    <w:rsid w:val="00F53763"/>
    <w:rsid w:val="00F57B21"/>
    <w:rsid w:val="00F608DA"/>
    <w:rsid w:val="00F61B11"/>
    <w:rsid w:val="00F61C91"/>
    <w:rsid w:val="00F62A0D"/>
    <w:rsid w:val="00F62F99"/>
    <w:rsid w:val="00F63AF8"/>
    <w:rsid w:val="00F63DC6"/>
    <w:rsid w:val="00F63FE1"/>
    <w:rsid w:val="00F65AA6"/>
    <w:rsid w:val="00F66995"/>
    <w:rsid w:val="00F66C5E"/>
    <w:rsid w:val="00F71BA5"/>
    <w:rsid w:val="00F72896"/>
    <w:rsid w:val="00F731FC"/>
    <w:rsid w:val="00F7568B"/>
    <w:rsid w:val="00F760C6"/>
    <w:rsid w:val="00F77CC1"/>
    <w:rsid w:val="00F80B7F"/>
    <w:rsid w:val="00F83712"/>
    <w:rsid w:val="00F844CA"/>
    <w:rsid w:val="00F853A7"/>
    <w:rsid w:val="00F85EE3"/>
    <w:rsid w:val="00F85F71"/>
    <w:rsid w:val="00F900BA"/>
    <w:rsid w:val="00F90D08"/>
    <w:rsid w:val="00F93B93"/>
    <w:rsid w:val="00F94A94"/>
    <w:rsid w:val="00F96C8B"/>
    <w:rsid w:val="00FA18BA"/>
    <w:rsid w:val="00FA1A4E"/>
    <w:rsid w:val="00FA269F"/>
    <w:rsid w:val="00FA2EF4"/>
    <w:rsid w:val="00FA349D"/>
    <w:rsid w:val="00FA57B1"/>
    <w:rsid w:val="00FA6A07"/>
    <w:rsid w:val="00FB2562"/>
    <w:rsid w:val="00FB3856"/>
    <w:rsid w:val="00FB3A44"/>
    <w:rsid w:val="00FB4A12"/>
    <w:rsid w:val="00FB5F12"/>
    <w:rsid w:val="00FB7713"/>
    <w:rsid w:val="00FB7755"/>
    <w:rsid w:val="00FB7B3B"/>
    <w:rsid w:val="00FC0A25"/>
    <w:rsid w:val="00FC10B7"/>
    <w:rsid w:val="00FC2657"/>
    <w:rsid w:val="00FC358B"/>
    <w:rsid w:val="00FC3D47"/>
    <w:rsid w:val="00FC44F4"/>
    <w:rsid w:val="00FC4EBB"/>
    <w:rsid w:val="00FC50AD"/>
    <w:rsid w:val="00FC711F"/>
    <w:rsid w:val="00FD0E08"/>
    <w:rsid w:val="00FD2B5D"/>
    <w:rsid w:val="00FD4979"/>
    <w:rsid w:val="00FD5681"/>
    <w:rsid w:val="00FD5B2F"/>
    <w:rsid w:val="00FD5CC7"/>
    <w:rsid w:val="00FD6E7B"/>
    <w:rsid w:val="00FD7E6F"/>
    <w:rsid w:val="00FE107C"/>
    <w:rsid w:val="00FE10AB"/>
    <w:rsid w:val="00FE3BCF"/>
    <w:rsid w:val="00FE4BED"/>
    <w:rsid w:val="00FF0BFF"/>
    <w:rsid w:val="00FF0C8D"/>
    <w:rsid w:val="00FF1159"/>
    <w:rsid w:val="00FF16FE"/>
    <w:rsid w:val="00FF2A32"/>
    <w:rsid w:val="00FF3C19"/>
    <w:rsid w:val="00FF5678"/>
    <w:rsid w:val="00FF6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6129"/>
    <o:shapelayout v:ext="edit">
      <o:idmap v:ext="edit" data="1"/>
    </o:shapelayout>
  </w:shapeDefaults>
  <w:decimalSymbol w:val="."/>
  <w:listSeparator w:val=","/>
  <w14:docId w14:val="47AEEEEC"/>
  <w15:docId w15:val="{0C3A630D-6E4B-48C1-9B1B-22898979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60" w:after="160" w:line="30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4" w:unhideWhenUsed="1" w:qFormat="1"/>
    <w:lsdException w:name="heading 4" w:semiHidden="1" w:uiPriority="6"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7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0A93"/>
  </w:style>
  <w:style w:type="paragraph" w:styleId="Heading1">
    <w:name w:val="heading 1"/>
    <w:aliases w:val="Rubrik 1 - F"/>
    <w:basedOn w:val="Titel"/>
    <w:next w:val="BodyText"/>
    <w:link w:val="Heading1Char"/>
    <w:uiPriority w:val="1"/>
    <w:qFormat/>
    <w:rsid w:val="00DF03FF"/>
    <w:pPr>
      <w:pageBreakBefore/>
      <w:numPr>
        <w:numId w:val="5"/>
      </w:numPr>
      <w:spacing w:before="0" w:after="360" w:line="540" w:lineRule="atLeast"/>
      <w:outlineLvl w:val="0"/>
    </w:pPr>
    <w:rPr>
      <w:sz w:val="60"/>
    </w:rPr>
  </w:style>
  <w:style w:type="paragraph" w:styleId="Heading2">
    <w:name w:val="heading 2"/>
    <w:aliases w:val="Rubrik 2 - F"/>
    <w:basedOn w:val="Normal"/>
    <w:next w:val="BodyText"/>
    <w:link w:val="Heading2Char"/>
    <w:uiPriority w:val="2"/>
    <w:qFormat/>
    <w:rsid w:val="00DF03FF"/>
    <w:pPr>
      <w:keepNext/>
      <w:keepLines/>
      <w:numPr>
        <w:ilvl w:val="1"/>
        <w:numId w:val="5"/>
      </w:numPr>
      <w:spacing w:before="360" w:after="120" w:line="360" w:lineRule="atLeast"/>
      <w:outlineLvl w:val="1"/>
    </w:pPr>
    <w:rPr>
      <w:rFonts w:ascii="Calibri" w:eastAsiaTheme="majorEastAsia" w:hAnsi="Calibri" w:cstheme="majorBidi"/>
      <w:bCs/>
      <w:color w:val="27251F" w:themeColor="text1"/>
      <w:sz w:val="34"/>
      <w:szCs w:val="26"/>
    </w:rPr>
  </w:style>
  <w:style w:type="paragraph" w:styleId="Heading3">
    <w:name w:val="heading 3"/>
    <w:aliases w:val="Rubrik 3 - F"/>
    <w:basedOn w:val="Normal"/>
    <w:next w:val="BodyText"/>
    <w:link w:val="Heading3Char"/>
    <w:uiPriority w:val="4"/>
    <w:qFormat/>
    <w:rsid w:val="00596A5B"/>
    <w:pPr>
      <w:keepNext/>
      <w:keepLines/>
      <w:numPr>
        <w:ilvl w:val="2"/>
        <w:numId w:val="5"/>
      </w:numPr>
      <w:spacing w:before="360" w:after="0" w:line="320" w:lineRule="atLeast"/>
      <w:outlineLvl w:val="2"/>
    </w:pPr>
    <w:rPr>
      <w:rFonts w:ascii="Calibri" w:eastAsiaTheme="majorEastAsia" w:hAnsi="Calibri" w:cstheme="majorHAnsi"/>
      <w:b/>
      <w:bCs/>
      <w:sz w:val="26"/>
      <w:lang w:eastAsia="sv-SE"/>
    </w:rPr>
  </w:style>
  <w:style w:type="paragraph" w:styleId="Heading4">
    <w:name w:val="heading 4"/>
    <w:aliases w:val="Rubrik 4 - F"/>
    <w:basedOn w:val="Normal"/>
    <w:next w:val="BodyText"/>
    <w:link w:val="Heading4Char"/>
    <w:uiPriority w:val="6"/>
    <w:qFormat/>
    <w:rsid w:val="00E01B90"/>
    <w:pPr>
      <w:keepNext/>
      <w:keepLines/>
      <w:numPr>
        <w:ilvl w:val="3"/>
        <w:numId w:val="5"/>
      </w:numPr>
      <w:spacing w:before="360" w:after="0" w:line="320" w:lineRule="atLeast"/>
      <w:outlineLvl w:val="3"/>
    </w:pPr>
    <w:rPr>
      <w:rFonts w:ascii="Calibri" w:eastAsiaTheme="majorEastAsia" w:hAnsi="Calibri" w:cstheme="majorBidi"/>
      <w:b/>
      <w:bCs/>
      <w:iCs/>
      <w:color w:val="27251F" w:themeColor="text1"/>
    </w:rPr>
  </w:style>
  <w:style w:type="paragraph" w:styleId="Heading5">
    <w:name w:val="heading 5"/>
    <w:basedOn w:val="Normal"/>
    <w:next w:val="Normal"/>
    <w:link w:val="Heading5Char"/>
    <w:uiPriority w:val="9"/>
    <w:semiHidden/>
    <w:qFormat/>
    <w:rsid w:val="00E50FD0"/>
    <w:pPr>
      <w:keepNext/>
      <w:keepLines/>
      <w:numPr>
        <w:ilvl w:val="4"/>
        <w:numId w:val="5"/>
      </w:numPr>
      <w:spacing w:before="200" w:after="0"/>
      <w:outlineLvl w:val="4"/>
    </w:pPr>
    <w:rPr>
      <w:rFonts w:ascii="Calibri" w:eastAsiaTheme="majorEastAsia" w:hAnsi="Calibri" w:cstheme="majorBidi"/>
      <w:color w:val="27251F" w:themeColor="text1"/>
      <w:sz w:val="20"/>
    </w:rPr>
  </w:style>
  <w:style w:type="paragraph" w:styleId="Heading6">
    <w:name w:val="heading 6"/>
    <w:basedOn w:val="Normal"/>
    <w:next w:val="Normal"/>
    <w:link w:val="Heading6Char"/>
    <w:uiPriority w:val="9"/>
    <w:semiHidden/>
    <w:qFormat/>
    <w:rsid w:val="00E50FD0"/>
    <w:pPr>
      <w:keepNext/>
      <w:keepLines/>
      <w:numPr>
        <w:ilvl w:val="5"/>
        <w:numId w:val="5"/>
      </w:numPr>
      <w:spacing w:before="200" w:after="0"/>
      <w:outlineLvl w:val="5"/>
    </w:pPr>
    <w:rPr>
      <w:rFonts w:ascii="Calibri" w:eastAsiaTheme="majorEastAsia" w:hAnsi="Calibri" w:cstheme="majorBidi"/>
      <w:b/>
      <w:i/>
      <w:iCs/>
      <w:color w:val="27251F" w:themeColor="text1"/>
      <w:sz w:val="18"/>
    </w:rPr>
  </w:style>
  <w:style w:type="paragraph" w:styleId="Heading7">
    <w:name w:val="heading 7"/>
    <w:basedOn w:val="Normal"/>
    <w:next w:val="Normal"/>
    <w:link w:val="Heading7Char"/>
    <w:uiPriority w:val="9"/>
    <w:semiHidden/>
    <w:qFormat/>
    <w:rsid w:val="00E50FD0"/>
    <w:pPr>
      <w:keepNext/>
      <w:keepLines/>
      <w:numPr>
        <w:ilvl w:val="6"/>
        <w:numId w:val="5"/>
      </w:numPr>
      <w:spacing w:before="200" w:after="0"/>
      <w:outlineLvl w:val="6"/>
    </w:pPr>
    <w:rPr>
      <w:rFonts w:ascii="Calibri" w:eastAsiaTheme="majorEastAsia" w:hAnsi="Calibri" w:cstheme="majorBidi"/>
      <w:i/>
      <w:iCs/>
      <w:color w:val="27251F" w:themeColor="text1"/>
      <w:sz w:val="18"/>
    </w:rPr>
  </w:style>
  <w:style w:type="paragraph" w:styleId="Heading8">
    <w:name w:val="heading 8"/>
    <w:basedOn w:val="Normal"/>
    <w:next w:val="Normal"/>
    <w:link w:val="Heading8Char"/>
    <w:uiPriority w:val="9"/>
    <w:semiHidden/>
    <w:qFormat/>
    <w:rsid w:val="00E50FD0"/>
    <w:pPr>
      <w:keepNext/>
      <w:keepLines/>
      <w:numPr>
        <w:ilvl w:val="7"/>
        <w:numId w:val="5"/>
      </w:numPr>
      <w:spacing w:before="200" w:after="0"/>
      <w:outlineLvl w:val="7"/>
    </w:pPr>
    <w:rPr>
      <w:rFonts w:ascii="Calibri" w:eastAsiaTheme="majorEastAsia" w:hAnsi="Calibri" w:cstheme="majorBidi"/>
      <w:color w:val="27251F" w:themeColor="text1"/>
      <w:sz w:val="18"/>
      <w:szCs w:val="20"/>
      <w:u w:val="single"/>
    </w:rPr>
  </w:style>
  <w:style w:type="paragraph" w:styleId="Heading9">
    <w:name w:val="heading 9"/>
    <w:basedOn w:val="Normal"/>
    <w:next w:val="Normal"/>
    <w:link w:val="Heading9Char"/>
    <w:uiPriority w:val="9"/>
    <w:semiHidden/>
    <w:qFormat/>
    <w:rsid w:val="00DF03FF"/>
    <w:pPr>
      <w:keepNext/>
      <w:keepLines/>
      <w:numPr>
        <w:ilvl w:val="8"/>
        <w:numId w:val="5"/>
      </w:numPr>
      <w:spacing w:before="40" w:after="0"/>
      <w:outlineLvl w:val="8"/>
    </w:pPr>
    <w:rPr>
      <w:rFonts w:asciiTheme="majorHAnsi" w:eastAsiaTheme="majorEastAsia" w:hAnsiTheme="majorHAnsi" w:cstheme="majorBidi"/>
      <w:i/>
      <w:iCs/>
      <w:color w:val="4C48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idhuvud - F"/>
    <w:basedOn w:val="Normal"/>
    <w:link w:val="HeaderChar"/>
    <w:uiPriority w:val="99"/>
    <w:unhideWhenUsed/>
    <w:rsid w:val="00803E1D"/>
    <w:pPr>
      <w:tabs>
        <w:tab w:val="center" w:pos="4536"/>
        <w:tab w:val="right" w:pos="9072"/>
      </w:tabs>
      <w:spacing w:after="0" w:line="240" w:lineRule="auto"/>
    </w:pPr>
    <w:rPr>
      <w:rFonts w:asciiTheme="majorHAnsi" w:hAnsiTheme="majorHAnsi"/>
      <w:sz w:val="16"/>
    </w:rPr>
  </w:style>
  <w:style w:type="character" w:customStyle="1" w:styleId="HeaderChar">
    <w:name w:val="Header Char"/>
    <w:aliases w:val="Sidhuvud - F Char"/>
    <w:basedOn w:val="DefaultParagraphFont"/>
    <w:link w:val="Header"/>
    <w:uiPriority w:val="99"/>
    <w:rsid w:val="00803E1D"/>
    <w:rPr>
      <w:rFonts w:asciiTheme="majorHAnsi" w:hAnsiTheme="majorHAnsi"/>
      <w:sz w:val="16"/>
    </w:rPr>
  </w:style>
  <w:style w:type="paragraph" w:styleId="Footer">
    <w:name w:val="footer"/>
    <w:aliases w:val="Sidfot - F"/>
    <w:basedOn w:val="Normal"/>
    <w:link w:val="FooterChar"/>
    <w:uiPriority w:val="99"/>
    <w:unhideWhenUsed/>
    <w:rsid w:val="00A94FB6"/>
    <w:pPr>
      <w:tabs>
        <w:tab w:val="center" w:pos="4536"/>
        <w:tab w:val="right" w:pos="9072"/>
      </w:tabs>
      <w:spacing w:before="0" w:after="0" w:line="180" w:lineRule="atLeast"/>
    </w:pPr>
    <w:rPr>
      <w:rFonts w:ascii="Calibri" w:hAnsi="Calibri"/>
      <w:smallCaps/>
      <w:sz w:val="16"/>
    </w:rPr>
  </w:style>
  <w:style w:type="character" w:customStyle="1" w:styleId="FooterChar">
    <w:name w:val="Footer Char"/>
    <w:aliases w:val="Sidfot - F Char"/>
    <w:basedOn w:val="DefaultParagraphFont"/>
    <w:link w:val="Footer"/>
    <w:uiPriority w:val="99"/>
    <w:rsid w:val="00A94FB6"/>
    <w:rPr>
      <w:rFonts w:ascii="Calibri" w:hAnsi="Calibri"/>
      <w:smallCaps/>
      <w:sz w:val="16"/>
    </w:rPr>
  </w:style>
  <w:style w:type="paragraph" w:styleId="BalloonText">
    <w:name w:val="Balloon Text"/>
    <w:basedOn w:val="Normal"/>
    <w:link w:val="BalloonTextChar"/>
    <w:uiPriority w:val="99"/>
    <w:semiHidden/>
    <w:unhideWhenUsed/>
    <w:rsid w:val="0002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FA"/>
    <w:rPr>
      <w:rFonts w:ascii="Tahoma" w:hAnsi="Tahoma" w:cs="Tahoma"/>
      <w:sz w:val="16"/>
      <w:szCs w:val="16"/>
      <w:lang w:val="fr-FR"/>
    </w:rPr>
  </w:style>
  <w:style w:type="character" w:customStyle="1" w:styleId="Heading3Char">
    <w:name w:val="Heading 3 Char"/>
    <w:aliases w:val="Rubrik 3 - F Char"/>
    <w:basedOn w:val="DefaultParagraphFont"/>
    <w:link w:val="Heading3"/>
    <w:uiPriority w:val="4"/>
    <w:rsid w:val="00DF03FF"/>
    <w:rPr>
      <w:rFonts w:ascii="Calibri" w:eastAsiaTheme="majorEastAsia" w:hAnsi="Calibri" w:cstheme="majorHAnsi"/>
      <w:b/>
      <w:bCs/>
      <w:sz w:val="26"/>
      <w:lang w:eastAsia="sv-SE"/>
    </w:rPr>
  </w:style>
  <w:style w:type="paragraph" w:styleId="BodyText">
    <w:name w:val="Body Text"/>
    <w:aliases w:val="Brödtext - F"/>
    <w:basedOn w:val="Normal"/>
    <w:link w:val="BodyTextChar"/>
    <w:qFormat/>
    <w:rsid w:val="00B43C0D"/>
    <w:rPr>
      <w:color w:val="27251F" w:themeColor="text1"/>
    </w:rPr>
  </w:style>
  <w:style w:type="character" w:customStyle="1" w:styleId="BodyTextChar">
    <w:name w:val="Body Text Char"/>
    <w:aliases w:val="Brödtext - F Char"/>
    <w:basedOn w:val="DefaultParagraphFont"/>
    <w:link w:val="BodyText"/>
    <w:rsid w:val="00B43C0D"/>
    <w:rPr>
      <w:color w:val="27251F" w:themeColor="text1"/>
    </w:rPr>
  </w:style>
  <w:style w:type="paragraph" w:customStyle="1" w:styleId="Rubrik3-F-direktunderrubrik2">
    <w:name w:val="Rubrik 3 - F - direkt under rubrik 2"/>
    <w:basedOn w:val="Heading3"/>
    <w:next w:val="BodyText"/>
    <w:uiPriority w:val="5"/>
    <w:qFormat/>
    <w:rsid w:val="00C807DE"/>
    <w:pPr>
      <w:spacing w:before="200"/>
    </w:pPr>
  </w:style>
  <w:style w:type="character" w:customStyle="1" w:styleId="Heading1Char">
    <w:name w:val="Heading 1 Char"/>
    <w:aliases w:val="Rubrik 1 - F Char"/>
    <w:basedOn w:val="DefaultParagraphFont"/>
    <w:link w:val="Heading1"/>
    <w:uiPriority w:val="1"/>
    <w:rsid w:val="00DF03FF"/>
    <w:rPr>
      <w:rFonts w:ascii="Calibri Light" w:hAnsi="Calibri Light" w:cstheme="majorHAnsi"/>
      <w:sz w:val="60"/>
      <w:szCs w:val="32"/>
    </w:rPr>
  </w:style>
  <w:style w:type="paragraph" w:styleId="TOCHeading">
    <w:name w:val="TOC Heading"/>
    <w:aliases w:val="Innehållsförteckningsrubrik - F"/>
    <w:basedOn w:val="Heading1"/>
    <w:next w:val="BodyText"/>
    <w:uiPriority w:val="39"/>
    <w:qFormat/>
    <w:rsid w:val="00E05D02"/>
    <w:pPr>
      <w:numPr>
        <w:numId w:val="0"/>
      </w:numPr>
      <w:spacing w:line="276" w:lineRule="auto"/>
      <w:outlineLvl w:val="9"/>
    </w:pPr>
    <w:rPr>
      <w:lang w:eastAsia="sv-SE"/>
    </w:rPr>
  </w:style>
  <w:style w:type="paragraph" w:customStyle="1" w:styleId="Titel">
    <w:name w:val="Titel"/>
    <w:aliases w:val="Titelsidan Titel - F"/>
    <w:basedOn w:val="Normal"/>
    <w:link w:val="TitelChar"/>
    <w:uiPriority w:val="33"/>
    <w:qFormat/>
    <w:rsid w:val="009D351E"/>
    <w:pPr>
      <w:spacing w:before="1720" w:line="600" w:lineRule="atLeast"/>
      <w:contextualSpacing/>
    </w:pPr>
    <w:rPr>
      <w:rFonts w:ascii="Calibri Light" w:hAnsi="Calibri Light" w:cstheme="majorHAnsi"/>
      <w:sz w:val="72"/>
      <w:szCs w:val="32"/>
    </w:rPr>
  </w:style>
  <w:style w:type="paragraph" w:customStyle="1" w:styleId="Undertitel">
    <w:name w:val="Undertitel"/>
    <w:aliases w:val="Titelsidan Undertitel - F"/>
    <w:basedOn w:val="Normal"/>
    <w:link w:val="UndertitelChar"/>
    <w:uiPriority w:val="34"/>
    <w:qFormat/>
    <w:rsid w:val="00C031AE"/>
    <w:pPr>
      <w:spacing w:before="120" w:after="120"/>
    </w:pPr>
    <w:rPr>
      <w:rFonts w:ascii="Calibri" w:hAnsi="Calibri" w:cstheme="majorHAnsi"/>
      <w:sz w:val="24"/>
      <w:szCs w:val="26"/>
    </w:rPr>
  </w:style>
  <w:style w:type="character" w:customStyle="1" w:styleId="TitelChar">
    <w:name w:val="Titel Char"/>
    <w:aliases w:val="Titelsidan Titel - F Char"/>
    <w:basedOn w:val="DefaultParagraphFont"/>
    <w:link w:val="Titel"/>
    <w:uiPriority w:val="33"/>
    <w:rsid w:val="009D351E"/>
    <w:rPr>
      <w:rFonts w:ascii="Calibri Light" w:hAnsi="Calibri Light" w:cstheme="majorHAnsi"/>
      <w:sz w:val="72"/>
      <w:szCs w:val="32"/>
    </w:rPr>
  </w:style>
  <w:style w:type="paragraph" w:customStyle="1" w:styleId="Omslagstitel-F">
    <w:name w:val="Omslagstitel - F"/>
    <w:basedOn w:val="Titel"/>
    <w:link w:val="Omslagstitel-FChar"/>
    <w:uiPriority w:val="31"/>
    <w:qFormat/>
    <w:rsid w:val="00E05D02"/>
    <w:pPr>
      <w:spacing w:before="1600" w:after="240" w:line="640" w:lineRule="atLeast"/>
    </w:pPr>
    <w:rPr>
      <w:szCs w:val="44"/>
    </w:rPr>
  </w:style>
  <w:style w:type="character" w:customStyle="1" w:styleId="UndertitelChar">
    <w:name w:val="Undertitel Char"/>
    <w:aliases w:val="Titelsidan Undertitel - F Char"/>
    <w:basedOn w:val="DefaultParagraphFont"/>
    <w:link w:val="Undertitel"/>
    <w:uiPriority w:val="34"/>
    <w:rsid w:val="00C031AE"/>
    <w:rPr>
      <w:rFonts w:ascii="Calibri" w:hAnsi="Calibri" w:cstheme="majorHAnsi"/>
      <w:sz w:val="24"/>
      <w:szCs w:val="26"/>
    </w:rPr>
  </w:style>
  <w:style w:type="paragraph" w:customStyle="1" w:styleId="Omslagundertitel-F">
    <w:name w:val="Omslag undertitel - F"/>
    <w:basedOn w:val="Undertitel"/>
    <w:link w:val="Omslagundertitel-FChar"/>
    <w:uiPriority w:val="32"/>
    <w:qFormat/>
    <w:rsid w:val="00757D57"/>
    <w:pPr>
      <w:spacing w:before="840" w:after="480"/>
    </w:pPr>
    <w:rPr>
      <w:sz w:val="40"/>
    </w:rPr>
  </w:style>
  <w:style w:type="character" w:customStyle="1" w:styleId="Omslagstitel-FChar">
    <w:name w:val="Omslagstitel - F Char"/>
    <w:basedOn w:val="TitelChar"/>
    <w:link w:val="Omslagstitel-F"/>
    <w:uiPriority w:val="31"/>
    <w:rsid w:val="00E05D02"/>
    <w:rPr>
      <w:rFonts w:ascii="Calibri Light" w:hAnsi="Calibri Light" w:cstheme="majorHAnsi"/>
      <w:sz w:val="72"/>
      <w:szCs w:val="44"/>
    </w:rPr>
  </w:style>
  <w:style w:type="paragraph" w:styleId="TOC1">
    <w:name w:val="toc 1"/>
    <w:aliases w:val="Innehåll 1 - F"/>
    <w:basedOn w:val="Normal"/>
    <w:next w:val="BodyText"/>
    <w:autoRedefine/>
    <w:uiPriority w:val="39"/>
    <w:rsid w:val="005D306B"/>
    <w:pPr>
      <w:tabs>
        <w:tab w:val="right" w:leader="dot" w:pos="9072"/>
      </w:tabs>
      <w:spacing w:before="0" w:after="40" w:line="320" w:lineRule="atLeast"/>
    </w:pPr>
    <w:rPr>
      <w:rFonts w:ascii="Calibri" w:hAnsi="Calibri"/>
      <w:noProof/>
    </w:rPr>
  </w:style>
  <w:style w:type="character" w:customStyle="1" w:styleId="Omslagundertitel-FChar">
    <w:name w:val="Omslag undertitel - F Char"/>
    <w:basedOn w:val="UndertitelChar"/>
    <w:link w:val="Omslagundertitel-F"/>
    <w:uiPriority w:val="32"/>
    <w:rsid w:val="00757D57"/>
    <w:rPr>
      <w:rFonts w:ascii="Calibri" w:hAnsi="Calibri" w:cstheme="majorHAnsi"/>
      <w:sz w:val="40"/>
      <w:szCs w:val="26"/>
    </w:rPr>
  </w:style>
  <w:style w:type="paragraph" w:styleId="TOC2">
    <w:name w:val="toc 2"/>
    <w:aliases w:val="Innehåll 2 - F"/>
    <w:basedOn w:val="Normal"/>
    <w:next w:val="BodyText"/>
    <w:autoRedefine/>
    <w:uiPriority w:val="39"/>
    <w:rsid w:val="00B43C0D"/>
    <w:pPr>
      <w:spacing w:before="0" w:after="40" w:line="320" w:lineRule="atLeast"/>
      <w:ind w:left="221"/>
    </w:pPr>
    <w:rPr>
      <w:rFonts w:ascii="Calibri" w:hAnsi="Calibri"/>
    </w:rPr>
  </w:style>
  <w:style w:type="character" w:styleId="Hyperlink">
    <w:name w:val="Hyperlink"/>
    <w:aliases w:val="Hyperlänk - F"/>
    <w:basedOn w:val="DefaultParagraphFont"/>
    <w:uiPriority w:val="99"/>
    <w:unhideWhenUsed/>
    <w:rsid w:val="006A0F79"/>
    <w:rPr>
      <w:color w:val="FF782A" w:themeColor="hyperlink"/>
      <w:u w:val="single"/>
    </w:rPr>
  </w:style>
  <w:style w:type="character" w:customStyle="1" w:styleId="Heading2Char">
    <w:name w:val="Heading 2 Char"/>
    <w:aliases w:val="Rubrik 2 - F Char"/>
    <w:basedOn w:val="DefaultParagraphFont"/>
    <w:link w:val="Heading2"/>
    <w:uiPriority w:val="2"/>
    <w:rsid w:val="00DF03FF"/>
    <w:rPr>
      <w:rFonts w:ascii="Calibri" w:eastAsiaTheme="majorEastAsia" w:hAnsi="Calibri" w:cstheme="majorBidi"/>
      <w:bCs/>
      <w:color w:val="27251F" w:themeColor="text1"/>
      <w:sz w:val="34"/>
      <w:szCs w:val="26"/>
    </w:rPr>
  </w:style>
  <w:style w:type="paragraph" w:customStyle="1" w:styleId="Tryckortssida-F">
    <w:name w:val="Tryckortssida - F"/>
    <w:basedOn w:val="Normal"/>
    <w:link w:val="Tryckortssida-FChar"/>
    <w:uiPriority w:val="35"/>
    <w:qFormat/>
    <w:rsid w:val="006E7343"/>
    <w:pPr>
      <w:spacing w:after="120" w:line="260" w:lineRule="atLeast"/>
    </w:pPr>
    <w:rPr>
      <w:rFonts w:ascii="Calibri" w:hAnsi="Calibri" w:cstheme="majorHAnsi"/>
      <w:sz w:val="18"/>
      <w:szCs w:val="18"/>
    </w:rPr>
  </w:style>
  <w:style w:type="paragraph" w:customStyle="1" w:styleId="Rubrik2-F-direktunderrubrik1">
    <w:name w:val="Rubrik 2 - F - direkt under rubrik 1"/>
    <w:basedOn w:val="Heading2"/>
    <w:next w:val="BodyText"/>
    <w:link w:val="Rubrik2-F-direktunderrubrik1Char"/>
    <w:uiPriority w:val="3"/>
    <w:qFormat/>
    <w:rsid w:val="00E01B90"/>
    <w:pPr>
      <w:spacing w:before="0"/>
    </w:pPr>
  </w:style>
  <w:style w:type="character" w:customStyle="1" w:styleId="Tryckortssida-FChar">
    <w:name w:val="Tryckortssida - F Char"/>
    <w:basedOn w:val="DefaultParagraphFont"/>
    <w:link w:val="Tryckortssida-F"/>
    <w:uiPriority w:val="35"/>
    <w:rsid w:val="006E7343"/>
    <w:rPr>
      <w:rFonts w:ascii="Calibri" w:hAnsi="Calibri" w:cstheme="majorHAnsi"/>
      <w:sz w:val="18"/>
      <w:szCs w:val="18"/>
    </w:rPr>
  </w:style>
  <w:style w:type="paragraph" w:styleId="ListBullet">
    <w:name w:val="List Bullet"/>
    <w:aliases w:val="Punktlista - F"/>
    <w:basedOn w:val="BodyText"/>
    <w:uiPriority w:val="9"/>
    <w:qFormat/>
    <w:rsid w:val="00982710"/>
    <w:pPr>
      <w:numPr>
        <w:numId w:val="1"/>
      </w:numPr>
      <w:spacing w:after="100"/>
    </w:pPr>
  </w:style>
  <w:style w:type="character" w:customStyle="1" w:styleId="Rubrik2-F-direktunderrubrik1Char">
    <w:name w:val="Rubrik 2 - F - direkt under rubrik 1 Char"/>
    <w:basedOn w:val="Heading2Char"/>
    <w:link w:val="Rubrik2-F-direktunderrubrik1"/>
    <w:uiPriority w:val="3"/>
    <w:rsid w:val="00E01B90"/>
    <w:rPr>
      <w:rFonts w:ascii="Calibri" w:eastAsiaTheme="majorEastAsia" w:hAnsi="Calibri" w:cstheme="majorBidi"/>
      <w:bCs/>
      <w:color w:val="27251F" w:themeColor="text1"/>
      <w:sz w:val="34"/>
      <w:szCs w:val="26"/>
    </w:rPr>
  </w:style>
  <w:style w:type="character" w:customStyle="1" w:styleId="Heading4Char">
    <w:name w:val="Heading 4 Char"/>
    <w:aliases w:val="Rubrik 4 - F Char"/>
    <w:basedOn w:val="DefaultParagraphFont"/>
    <w:link w:val="Heading4"/>
    <w:uiPriority w:val="6"/>
    <w:rsid w:val="00E01B90"/>
    <w:rPr>
      <w:rFonts w:ascii="Calibri" w:eastAsiaTheme="majorEastAsia" w:hAnsi="Calibri" w:cstheme="majorBidi"/>
      <w:b/>
      <w:bCs/>
      <w:iCs/>
      <w:color w:val="27251F" w:themeColor="text1"/>
    </w:rPr>
  </w:style>
  <w:style w:type="paragraph" w:customStyle="1" w:styleId="Rubrik4-F-direktunderRubrik3">
    <w:name w:val="Rubrik 4 - F - direkt under Rubrik 3"/>
    <w:basedOn w:val="Heading4"/>
    <w:next w:val="BodyText"/>
    <w:link w:val="Rubrik4-F-direktunderRubrik3Char"/>
    <w:uiPriority w:val="7"/>
    <w:qFormat/>
    <w:rsid w:val="00C807DE"/>
    <w:pPr>
      <w:spacing w:before="200"/>
      <w:ind w:left="862" w:hanging="862"/>
    </w:pPr>
  </w:style>
  <w:style w:type="character" w:customStyle="1" w:styleId="Rubrik4-F-direktunderRubrik3Char">
    <w:name w:val="Rubrik 4 - F - direkt under Rubrik 3 Char"/>
    <w:basedOn w:val="Heading4Char"/>
    <w:link w:val="Rubrik4-F-direktunderRubrik3"/>
    <w:uiPriority w:val="7"/>
    <w:rsid w:val="00C807DE"/>
    <w:rPr>
      <w:rFonts w:ascii="Calibri" w:eastAsiaTheme="majorEastAsia" w:hAnsi="Calibri" w:cstheme="majorBidi"/>
      <w:b/>
      <w:bCs/>
      <w:iCs/>
      <w:color w:val="27251F" w:themeColor="text1"/>
    </w:rPr>
  </w:style>
  <w:style w:type="paragraph" w:styleId="Quote">
    <w:name w:val="Quote"/>
    <w:aliases w:val="Citat - F"/>
    <w:basedOn w:val="Normal"/>
    <w:next w:val="BodyText"/>
    <w:link w:val="QuoteChar"/>
    <w:uiPriority w:val="25"/>
    <w:qFormat/>
    <w:rsid w:val="00C031AE"/>
    <w:pPr>
      <w:spacing w:after="200" w:line="240" w:lineRule="atLeast"/>
      <w:ind w:left="851" w:right="851"/>
    </w:pPr>
    <w:rPr>
      <w:rFonts w:ascii="Calibri" w:hAnsi="Calibri"/>
      <w:iCs/>
      <w:color w:val="27251F" w:themeColor="text1"/>
      <w:sz w:val="16"/>
    </w:rPr>
  </w:style>
  <w:style w:type="character" w:customStyle="1" w:styleId="QuoteChar">
    <w:name w:val="Quote Char"/>
    <w:aliases w:val="Citat - F Char"/>
    <w:basedOn w:val="DefaultParagraphFont"/>
    <w:link w:val="Quote"/>
    <w:uiPriority w:val="25"/>
    <w:rsid w:val="00C031AE"/>
    <w:rPr>
      <w:rFonts w:ascii="Calibri" w:hAnsi="Calibri"/>
      <w:iCs/>
      <w:color w:val="27251F" w:themeColor="text1"/>
      <w:sz w:val="16"/>
    </w:rPr>
  </w:style>
  <w:style w:type="paragraph" w:customStyle="1" w:styleId="Rubrikbilagor-F">
    <w:name w:val="Rubrik bilagor - F"/>
    <w:basedOn w:val="Heading1"/>
    <w:next w:val="BodyText"/>
    <w:link w:val="Rubrikbilagor-FChar"/>
    <w:uiPriority w:val="27"/>
    <w:qFormat/>
    <w:rsid w:val="005D306B"/>
    <w:pPr>
      <w:numPr>
        <w:numId w:val="4"/>
      </w:numPr>
      <w:tabs>
        <w:tab w:val="num" w:pos="851"/>
      </w:tabs>
      <w:ind w:left="0" w:firstLine="0"/>
      <w:outlineLvl w:val="9"/>
    </w:pPr>
  </w:style>
  <w:style w:type="paragraph" w:styleId="ListParagraph">
    <w:name w:val="List Paragraph"/>
    <w:basedOn w:val="Normal"/>
    <w:uiPriority w:val="34"/>
    <w:qFormat/>
    <w:rsid w:val="0056395B"/>
    <w:pPr>
      <w:ind w:left="720"/>
      <w:contextualSpacing/>
    </w:pPr>
  </w:style>
  <w:style w:type="character" w:customStyle="1" w:styleId="Rubrikbilagor-FChar">
    <w:name w:val="Rubrik bilagor - F Char"/>
    <w:basedOn w:val="Heading1Char"/>
    <w:link w:val="Rubrikbilagor-F"/>
    <w:uiPriority w:val="27"/>
    <w:rsid w:val="005D306B"/>
    <w:rPr>
      <w:rFonts w:ascii="Calibri Light" w:hAnsi="Calibri Light" w:cstheme="majorHAnsi"/>
      <w:sz w:val="60"/>
      <w:szCs w:val="32"/>
    </w:rPr>
  </w:style>
  <w:style w:type="paragraph" w:customStyle="1" w:styleId="Nummerlista">
    <w:name w:val="Nummerlista"/>
    <w:aliases w:val="Nummerlista - F"/>
    <w:uiPriority w:val="10"/>
    <w:qFormat/>
    <w:rsid w:val="00982710"/>
    <w:pPr>
      <w:numPr>
        <w:numId w:val="2"/>
      </w:numPr>
      <w:spacing w:after="100" w:line="300" w:lineRule="exact"/>
    </w:pPr>
    <w:rPr>
      <w:rFonts w:ascii="Times New Roman" w:eastAsiaTheme="minorEastAsia" w:hAnsi="Times New Roman"/>
      <w:lang w:eastAsia="sv-SE"/>
    </w:rPr>
  </w:style>
  <w:style w:type="paragraph" w:styleId="Subtitle">
    <w:name w:val="Subtitle"/>
    <w:basedOn w:val="Normal"/>
    <w:next w:val="Normal"/>
    <w:link w:val="SubtitleChar"/>
    <w:uiPriority w:val="99"/>
    <w:semiHidden/>
    <w:unhideWhenUsed/>
    <w:rsid w:val="0056395B"/>
    <w:pPr>
      <w:numPr>
        <w:ilvl w:val="1"/>
      </w:numPr>
    </w:pPr>
    <w:rPr>
      <w:rFonts w:asciiTheme="majorHAnsi" w:eastAsiaTheme="majorEastAsia" w:hAnsiTheme="majorHAnsi" w:cstheme="majorBidi"/>
      <w:i/>
      <w:iCs/>
      <w:color w:val="FF782A" w:themeColor="accent1"/>
      <w:spacing w:val="15"/>
      <w:sz w:val="24"/>
      <w:szCs w:val="24"/>
    </w:rPr>
  </w:style>
  <w:style w:type="character" w:customStyle="1" w:styleId="SubtitleChar">
    <w:name w:val="Subtitle Char"/>
    <w:basedOn w:val="DefaultParagraphFont"/>
    <w:link w:val="Subtitle"/>
    <w:uiPriority w:val="99"/>
    <w:semiHidden/>
    <w:rsid w:val="00555674"/>
    <w:rPr>
      <w:rFonts w:asciiTheme="majorHAnsi" w:eastAsiaTheme="majorEastAsia" w:hAnsiTheme="majorHAnsi" w:cstheme="majorBidi"/>
      <w:i/>
      <w:iCs/>
      <w:color w:val="FF782A" w:themeColor="accent1"/>
      <w:spacing w:val="15"/>
      <w:sz w:val="24"/>
      <w:szCs w:val="24"/>
    </w:rPr>
  </w:style>
  <w:style w:type="table" w:styleId="TableGrid">
    <w:name w:val="Table Grid"/>
    <w:basedOn w:val="TableNormal"/>
    <w:uiPriority w:val="39"/>
    <w:rsid w:val="00B3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5734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5734B"/>
    <w:rPr>
      <w:sz w:val="20"/>
      <w:szCs w:val="20"/>
    </w:rPr>
  </w:style>
  <w:style w:type="table" w:customStyle="1" w:styleId="FoHMEndasttext">
    <w:name w:val="FoHM Endast text"/>
    <w:basedOn w:val="TableNormal"/>
    <w:uiPriority w:val="99"/>
    <w:rsid w:val="00D53744"/>
    <w:pPr>
      <w:spacing w:after="60" w:line="200" w:lineRule="atLeast"/>
    </w:pPr>
    <w:rPr>
      <w:rFonts w:asciiTheme="majorHAnsi" w:hAnsiTheme="majorHAnsi"/>
      <w:sz w:val="16"/>
    </w:rPr>
    <w:tblPr>
      <w:tblBorders>
        <w:top w:val="single" w:sz="4" w:space="0" w:color="BFBFBF" w:themeColor="background1" w:themeShade="BF"/>
        <w:bottom w:val="single" w:sz="4" w:space="0" w:color="BFBFBF" w:themeColor="background1" w:themeShade="BF"/>
      </w:tblBorders>
    </w:tblPr>
    <w:tcPr>
      <w:shd w:val="clear" w:color="auto" w:fill="FFFFFF" w:themeFill="background1"/>
    </w:tcPr>
    <w:tblStylePr w:type="firstRow">
      <w:rPr>
        <w:rFonts w:asciiTheme="majorHAnsi" w:hAnsiTheme="majorHAnsi"/>
        <w:b/>
      </w:rPr>
      <w:tblPr/>
      <w:tcPr>
        <w:tcBorders>
          <w:top w:val="single" w:sz="4" w:space="0" w:color="BFBFBF" w:themeColor="background1" w:themeShade="BF"/>
          <w:bottom w:val="single" w:sz="4" w:space="0" w:color="BFBFBF" w:themeColor="background1" w:themeShade="BF"/>
        </w:tcBorders>
        <w:shd w:val="clear" w:color="auto" w:fill="FFFFFF" w:themeFill="background1"/>
      </w:tcPr>
    </w:tblStylePr>
    <w:tblStylePr w:type="lastRow">
      <w:rPr>
        <w:b w:val="0"/>
      </w:rPr>
      <w:tblPr/>
      <w:tcPr>
        <w:tcBorders>
          <w:top w:val="nil"/>
          <w:bottom w:val="single" w:sz="4" w:space="0" w:color="BFBFBF" w:themeColor="background1" w:themeShade="BF"/>
        </w:tcBorders>
        <w:shd w:val="clear" w:color="auto" w:fill="FFFFFF" w:themeFill="background1"/>
      </w:tcPr>
    </w:tblStylePr>
  </w:style>
  <w:style w:type="paragraph" w:customStyle="1" w:styleId="Tabell-ochdiagramrubrik-F">
    <w:name w:val="Tabell- och diagramrubrik - F"/>
    <w:basedOn w:val="BodyText"/>
    <w:next w:val="BodyText"/>
    <w:uiPriority w:val="19"/>
    <w:qFormat/>
    <w:rsid w:val="00C031AE"/>
    <w:pPr>
      <w:spacing w:before="200" w:after="120" w:line="260" w:lineRule="atLeast"/>
    </w:pPr>
    <w:rPr>
      <w:rFonts w:ascii="Calibri" w:hAnsi="Calibri"/>
      <w:sz w:val="18"/>
    </w:rPr>
  </w:style>
  <w:style w:type="paragraph" w:customStyle="1" w:styleId="Tabelltext-F">
    <w:name w:val="Tabelltext - F"/>
    <w:basedOn w:val="BodyText"/>
    <w:uiPriority w:val="20"/>
    <w:qFormat/>
    <w:rsid w:val="00CD0558"/>
    <w:pPr>
      <w:spacing w:after="60" w:line="200" w:lineRule="atLeast"/>
    </w:pPr>
    <w:rPr>
      <w:rFonts w:ascii="Calibri" w:hAnsi="Calibri"/>
      <w:sz w:val="18"/>
    </w:rPr>
  </w:style>
  <w:style w:type="paragraph" w:customStyle="1" w:styleId="FTabellsiffrorHger">
    <w:name w:val="F Tabellsiffror Höger"/>
    <w:basedOn w:val="BodyText"/>
    <w:uiPriority w:val="21"/>
    <w:semiHidden/>
    <w:qFormat/>
    <w:rsid w:val="00396BF1"/>
    <w:pPr>
      <w:spacing w:after="60" w:line="200" w:lineRule="atLeast"/>
      <w:jc w:val="right"/>
    </w:pPr>
    <w:rPr>
      <w:rFonts w:asciiTheme="majorHAnsi" w:hAnsiTheme="majorHAnsi"/>
      <w:sz w:val="15"/>
    </w:rPr>
  </w:style>
  <w:style w:type="paragraph" w:customStyle="1" w:styleId="Tabellklla-F">
    <w:name w:val="Tabellkälla - F"/>
    <w:basedOn w:val="BodyText"/>
    <w:uiPriority w:val="22"/>
    <w:qFormat/>
    <w:rsid w:val="00C031AE"/>
    <w:pPr>
      <w:spacing w:after="200" w:line="200" w:lineRule="atLeast"/>
    </w:pPr>
    <w:rPr>
      <w:rFonts w:ascii="Calibri" w:hAnsi="Calibri"/>
      <w:sz w:val="14"/>
    </w:rPr>
  </w:style>
  <w:style w:type="character" w:styleId="FootnoteReference">
    <w:name w:val="footnote reference"/>
    <w:aliases w:val="Fotnotsreferens - F"/>
    <w:basedOn w:val="DefaultParagraphFont"/>
    <w:uiPriority w:val="99"/>
    <w:rsid w:val="00A841E9"/>
    <w:rPr>
      <w:vertAlign w:val="superscript"/>
    </w:rPr>
  </w:style>
  <w:style w:type="paragraph" w:styleId="FootnoteText">
    <w:name w:val="footnote text"/>
    <w:aliases w:val="Fotnotstext - F"/>
    <w:basedOn w:val="Normal"/>
    <w:link w:val="FootnoteTextChar"/>
    <w:uiPriority w:val="99"/>
    <w:rsid w:val="008A49B8"/>
    <w:pPr>
      <w:spacing w:before="0" w:after="60" w:line="240" w:lineRule="auto"/>
    </w:pPr>
    <w:rPr>
      <w:rFonts w:asciiTheme="majorHAnsi" w:hAnsiTheme="majorHAnsi"/>
      <w:sz w:val="14"/>
      <w:szCs w:val="20"/>
    </w:rPr>
  </w:style>
  <w:style w:type="character" w:customStyle="1" w:styleId="FootnoteTextChar">
    <w:name w:val="Footnote Text Char"/>
    <w:aliases w:val="Fotnotstext - F Char"/>
    <w:basedOn w:val="DefaultParagraphFont"/>
    <w:link w:val="FootnoteText"/>
    <w:uiPriority w:val="99"/>
    <w:rsid w:val="007A1A91"/>
    <w:rPr>
      <w:rFonts w:asciiTheme="majorHAnsi" w:hAnsiTheme="majorHAnsi"/>
      <w:sz w:val="14"/>
      <w:szCs w:val="20"/>
    </w:rPr>
  </w:style>
  <w:style w:type="paragraph" w:styleId="Caption">
    <w:name w:val="caption"/>
    <w:aliases w:val="F Beskrivning"/>
    <w:basedOn w:val="Normal"/>
    <w:next w:val="BodyText"/>
    <w:uiPriority w:val="35"/>
    <w:qFormat/>
    <w:rsid w:val="004A292F"/>
    <w:pPr>
      <w:spacing w:after="200" w:line="200" w:lineRule="atLeast"/>
    </w:pPr>
    <w:rPr>
      <w:rFonts w:asciiTheme="majorHAnsi" w:hAnsiTheme="majorHAnsi"/>
      <w:iCs/>
      <w:sz w:val="14"/>
      <w:szCs w:val="18"/>
    </w:rPr>
  </w:style>
  <w:style w:type="paragraph" w:customStyle="1" w:styleId="Referenslista-F">
    <w:name w:val="Referenslista - F"/>
    <w:basedOn w:val="BodyText"/>
    <w:uiPriority w:val="28"/>
    <w:qFormat/>
    <w:rsid w:val="00E05D02"/>
    <w:pPr>
      <w:spacing w:after="120" w:line="240" w:lineRule="atLeast"/>
    </w:pPr>
    <w:rPr>
      <w:rFonts w:ascii="Calibri" w:hAnsi="Calibri"/>
      <w:sz w:val="20"/>
    </w:rPr>
  </w:style>
  <w:style w:type="paragraph" w:customStyle="1" w:styleId="Faktarutarubrik-F">
    <w:name w:val="Faktarutarubrik - F"/>
    <w:basedOn w:val="BodyText"/>
    <w:next w:val="Faktarutetext-F"/>
    <w:uiPriority w:val="30"/>
    <w:qFormat/>
    <w:rsid w:val="00C031AE"/>
    <w:pPr>
      <w:spacing w:after="60" w:line="240" w:lineRule="atLeast"/>
    </w:pPr>
    <w:rPr>
      <w:rFonts w:ascii="Calibri" w:hAnsi="Calibri"/>
      <w:sz w:val="16"/>
    </w:rPr>
  </w:style>
  <w:style w:type="paragraph" w:customStyle="1" w:styleId="Faktarutetext-F">
    <w:name w:val="Faktarutetext - F"/>
    <w:basedOn w:val="BodyText"/>
    <w:uiPriority w:val="30"/>
    <w:qFormat/>
    <w:rsid w:val="00C031AE"/>
    <w:pPr>
      <w:spacing w:after="120" w:line="240" w:lineRule="atLeast"/>
    </w:pPr>
    <w:rPr>
      <w:rFonts w:ascii="Calibri" w:hAnsi="Calibri"/>
      <w:sz w:val="15"/>
    </w:rPr>
  </w:style>
  <w:style w:type="paragraph" w:styleId="TOC3">
    <w:name w:val="toc 3"/>
    <w:aliases w:val="Innehåll 3 - F"/>
    <w:basedOn w:val="Normal"/>
    <w:next w:val="BodyText"/>
    <w:autoRedefine/>
    <w:uiPriority w:val="39"/>
    <w:rsid w:val="00B43C0D"/>
    <w:pPr>
      <w:spacing w:before="0" w:after="40" w:line="320" w:lineRule="atLeast"/>
      <w:ind w:left="442"/>
    </w:pPr>
    <w:rPr>
      <w:rFonts w:ascii="Calibri" w:hAnsi="Calibri"/>
    </w:rPr>
  </w:style>
  <w:style w:type="table" w:customStyle="1" w:styleId="FoHMMestsiffror">
    <w:name w:val="FoHM Mest siffror"/>
    <w:basedOn w:val="TableNormal"/>
    <w:uiPriority w:val="99"/>
    <w:rsid w:val="00E359AA"/>
    <w:pPr>
      <w:spacing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 w:type="character" w:styleId="EndnoteReference">
    <w:name w:val="endnote reference"/>
    <w:basedOn w:val="DefaultParagraphFont"/>
    <w:uiPriority w:val="99"/>
    <w:semiHidden/>
    <w:unhideWhenUsed/>
    <w:rsid w:val="0045734B"/>
    <w:rPr>
      <w:vertAlign w:val="superscript"/>
    </w:rPr>
  </w:style>
  <w:style w:type="paragraph" w:styleId="TOC4">
    <w:name w:val="toc 4"/>
    <w:basedOn w:val="Normal"/>
    <w:next w:val="Normal"/>
    <w:autoRedefine/>
    <w:uiPriority w:val="39"/>
    <w:rsid w:val="00C52916"/>
    <w:pPr>
      <w:spacing w:before="0" w:after="120" w:line="320" w:lineRule="atLeast"/>
      <w:ind w:left="658"/>
    </w:pPr>
    <w:rPr>
      <w:rFonts w:asciiTheme="majorHAnsi" w:hAnsiTheme="majorHAnsi"/>
      <w:sz w:val="18"/>
    </w:rPr>
  </w:style>
  <w:style w:type="paragraph" w:styleId="TOC5">
    <w:name w:val="toc 5"/>
    <w:basedOn w:val="Normal"/>
    <w:next w:val="Normal"/>
    <w:autoRedefine/>
    <w:uiPriority w:val="39"/>
    <w:rsid w:val="00C52916"/>
    <w:pPr>
      <w:spacing w:before="0" w:after="120" w:line="320" w:lineRule="atLeast"/>
      <w:ind w:left="879"/>
    </w:pPr>
    <w:rPr>
      <w:rFonts w:asciiTheme="majorHAnsi" w:hAnsiTheme="majorHAnsi"/>
      <w:sz w:val="18"/>
    </w:rPr>
  </w:style>
  <w:style w:type="paragraph" w:styleId="TOC6">
    <w:name w:val="toc 6"/>
    <w:basedOn w:val="Normal"/>
    <w:next w:val="Normal"/>
    <w:autoRedefine/>
    <w:uiPriority w:val="39"/>
    <w:rsid w:val="00C52916"/>
    <w:pPr>
      <w:spacing w:before="0" w:after="120" w:line="320" w:lineRule="atLeast"/>
      <w:ind w:left="1100"/>
    </w:pPr>
    <w:rPr>
      <w:rFonts w:asciiTheme="majorHAnsi" w:hAnsiTheme="majorHAnsi"/>
      <w:sz w:val="18"/>
    </w:rPr>
  </w:style>
  <w:style w:type="paragraph" w:styleId="TOC7">
    <w:name w:val="toc 7"/>
    <w:basedOn w:val="Normal"/>
    <w:next w:val="Normal"/>
    <w:autoRedefine/>
    <w:uiPriority w:val="39"/>
    <w:rsid w:val="00C52916"/>
    <w:pPr>
      <w:spacing w:before="0" w:after="120" w:line="320" w:lineRule="atLeast"/>
      <w:ind w:left="1321"/>
    </w:pPr>
    <w:rPr>
      <w:rFonts w:asciiTheme="majorHAnsi" w:hAnsiTheme="majorHAnsi"/>
      <w:sz w:val="18"/>
    </w:rPr>
  </w:style>
  <w:style w:type="paragraph" w:styleId="TOC8">
    <w:name w:val="toc 8"/>
    <w:basedOn w:val="Normal"/>
    <w:next w:val="Normal"/>
    <w:autoRedefine/>
    <w:uiPriority w:val="39"/>
    <w:rsid w:val="00C52916"/>
    <w:pPr>
      <w:spacing w:before="0" w:after="120" w:line="320" w:lineRule="atLeast"/>
      <w:ind w:left="1542"/>
    </w:pPr>
    <w:rPr>
      <w:rFonts w:asciiTheme="majorHAnsi" w:hAnsiTheme="majorHAnsi"/>
      <w:sz w:val="18"/>
    </w:rPr>
  </w:style>
  <w:style w:type="paragraph" w:styleId="TOC9">
    <w:name w:val="toc 9"/>
    <w:basedOn w:val="Normal"/>
    <w:next w:val="Normal"/>
    <w:autoRedefine/>
    <w:uiPriority w:val="39"/>
    <w:rsid w:val="00C52916"/>
    <w:pPr>
      <w:spacing w:before="0" w:after="120" w:line="320" w:lineRule="atLeast"/>
      <w:ind w:left="1758"/>
    </w:pPr>
    <w:rPr>
      <w:rFonts w:asciiTheme="majorHAnsi" w:hAnsiTheme="majorHAnsi"/>
      <w:sz w:val="18"/>
    </w:rPr>
  </w:style>
  <w:style w:type="paragraph" w:customStyle="1" w:styleId="Baksidestext-F">
    <w:name w:val="Baksidestext - F"/>
    <w:basedOn w:val="BodyText"/>
    <w:uiPriority w:val="36"/>
    <w:qFormat/>
    <w:rsid w:val="00AB0841"/>
    <w:pPr>
      <w:spacing w:after="120" w:line="240" w:lineRule="atLeast"/>
    </w:pPr>
    <w:rPr>
      <w:rFonts w:asciiTheme="majorHAnsi" w:hAnsiTheme="majorHAnsi"/>
      <w:sz w:val="17"/>
    </w:rPr>
  </w:style>
  <w:style w:type="character" w:styleId="CommentReference">
    <w:name w:val="annotation reference"/>
    <w:basedOn w:val="DefaultParagraphFont"/>
    <w:uiPriority w:val="99"/>
    <w:semiHidden/>
    <w:unhideWhenUsed/>
    <w:rsid w:val="00D6682D"/>
    <w:rPr>
      <w:sz w:val="16"/>
      <w:szCs w:val="16"/>
    </w:rPr>
  </w:style>
  <w:style w:type="paragraph" w:styleId="CommentText">
    <w:name w:val="annotation text"/>
    <w:basedOn w:val="Normal"/>
    <w:link w:val="CommentTextChar"/>
    <w:uiPriority w:val="99"/>
    <w:unhideWhenUsed/>
    <w:rsid w:val="00D6682D"/>
    <w:pPr>
      <w:spacing w:line="240" w:lineRule="auto"/>
    </w:pPr>
    <w:rPr>
      <w:sz w:val="20"/>
      <w:szCs w:val="20"/>
    </w:rPr>
  </w:style>
  <w:style w:type="character" w:customStyle="1" w:styleId="CommentTextChar">
    <w:name w:val="Comment Text Char"/>
    <w:basedOn w:val="DefaultParagraphFont"/>
    <w:link w:val="CommentText"/>
    <w:uiPriority w:val="99"/>
    <w:rsid w:val="00D6682D"/>
    <w:rPr>
      <w:sz w:val="20"/>
      <w:szCs w:val="20"/>
    </w:rPr>
  </w:style>
  <w:style w:type="paragraph" w:customStyle="1" w:styleId="Omslagfrfattare">
    <w:name w:val="Omslag författare"/>
    <w:basedOn w:val="Omslagundertitel-F"/>
    <w:link w:val="OmslagfrfattareChar"/>
    <w:qFormat/>
    <w:rsid w:val="008A31EE"/>
    <w:rPr>
      <w:sz w:val="24"/>
    </w:rPr>
  </w:style>
  <w:style w:type="character" w:customStyle="1" w:styleId="OmslagfrfattareChar">
    <w:name w:val="Omslag författare Char"/>
    <w:basedOn w:val="DefaultParagraphFont"/>
    <w:link w:val="Omslagfrfattare"/>
    <w:rsid w:val="008A31EE"/>
    <w:rPr>
      <w:rFonts w:ascii="Calibri" w:hAnsi="Calibri" w:cstheme="majorHAnsi"/>
      <w:sz w:val="24"/>
      <w:szCs w:val="26"/>
    </w:rPr>
  </w:style>
  <w:style w:type="character" w:customStyle="1" w:styleId="Heading5Char">
    <w:name w:val="Heading 5 Char"/>
    <w:basedOn w:val="DefaultParagraphFont"/>
    <w:link w:val="Heading5"/>
    <w:uiPriority w:val="9"/>
    <w:semiHidden/>
    <w:rsid w:val="00E50FD0"/>
    <w:rPr>
      <w:rFonts w:ascii="Calibri" w:eastAsiaTheme="majorEastAsia" w:hAnsi="Calibri" w:cstheme="majorBidi"/>
      <w:color w:val="27251F" w:themeColor="text1"/>
      <w:sz w:val="20"/>
    </w:rPr>
  </w:style>
  <w:style w:type="character" w:customStyle="1" w:styleId="Heading6Char">
    <w:name w:val="Heading 6 Char"/>
    <w:basedOn w:val="DefaultParagraphFont"/>
    <w:link w:val="Heading6"/>
    <w:uiPriority w:val="9"/>
    <w:semiHidden/>
    <w:rsid w:val="00E50FD0"/>
    <w:rPr>
      <w:rFonts w:ascii="Calibri" w:eastAsiaTheme="majorEastAsia" w:hAnsi="Calibri" w:cstheme="majorBidi"/>
      <w:b/>
      <w:i/>
      <w:iCs/>
      <w:color w:val="27251F" w:themeColor="text1"/>
      <w:sz w:val="18"/>
    </w:rPr>
  </w:style>
  <w:style w:type="character" w:customStyle="1" w:styleId="Heading7Char">
    <w:name w:val="Heading 7 Char"/>
    <w:basedOn w:val="DefaultParagraphFont"/>
    <w:link w:val="Heading7"/>
    <w:uiPriority w:val="9"/>
    <w:semiHidden/>
    <w:rsid w:val="00E50FD0"/>
    <w:rPr>
      <w:rFonts w:ascii="Calibri" w:eastAsiaTheme="majorEastAsia" w:hAnsi="Calibri" w:cstheme="majorBidi"/>
      <w:i/>
      <w:iCs/>
      <w:color w:val="27251F" w:themeColor="text1"/>
      <w:sz w:val="18"/>
    </w:rPr>
  </w:style>
  <w:style w:type="character" w:customStyle="1" w:styleId="Heading8Char">
    <w:name w:val="Heading 8 Char"/>
    <w:basedOn w:val="DefaultParagraphFont"/>
    <w:link w:val="Heading8"/>
    <w:uiPriority w:val="9"/>
    <w:semiHidden/>
    <w:rsid w:val="00E50FD0"/>
    <w:rPr>
      <w:rFonts w:ascii="Calibri" w:eastAsiaTheme="majorEastAsia" w:hAnsi="Calibri" w:cstheme="majorBidi"/>
      <w:color w:val="27251F" w:themeColor="text1"/>
      <w:sz w:val="18"/>
      <w:szCs w:val="20"/>
      <w:u w:val="single"/>
    </w:rPr>
  </w:style>
  <w:style w:type="character" w:styleId="PlaceholderText">
    <w:name w:val="Placeholder Text"/>
    <w:basedOn w:val="DefaultParagraphFont"/>
    <w:uiPriority w:val="99"/>
    <w:semiHidden/>
    <w:rsid w:val="00E21324"/>
    <w:rPr>
      <w:color w:val="808080"/>
    </w:rPr>
  </w:style>
  <w:style w:type="paragraph" w:styleId="CommentSubject">
    <w:name w:val="annotation subject"/>
    <w:basedOn w:val="CommentText"/>
    <w:next w:val="CommentText"/>
    <w:link w:val="CommentSubjectChar"/>
    <w:uiPriority w:val="99"/>
    <w:semiHidden/>
    <w:unhideWhenUsed/>
    <w:rsid w:val="00001256"/>
    <w:rPr>
      <w:b/>
      <w:bCs/>
    </w:rPr>
  </w:style>
  <w:style w:type="character" w:customStyle="1" w:styleId="CommentSubjectChar">
    <w:name w:val="Comment Subject Char"/>
    <w:basedOn w:val="CommentTextChar"/>
    <w:link w:val="CommentSubject"/>
    <w:uiPriority w:val="99"/>
    <w:semiHidden/>
    <w:rsid w:val="00001256"/>
    <w:rPr>
      <w:b/>
      <w:bCs/>
      <w:sz w:val="20"/>
      <w:szCs w:val="20"/>
    </w:rPr>
  </w:style>
  <w:style w:type="table" w:styleId="TableGridLight">
    <w:name w:val="Grid Table Light"/>
    <w:basedOn w:val="TableNormal"/>
    <w:uiPriority w:val="40"/>
    <w:rsid w:val="003C24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rutnt91">
    <w:name w:val="Tabellrutnät91"/>
    <w:basedOn w:val="TableNormal"/>
    <w:next w:val="TableGrid"/>
    <w:rsid w:val="00D74CE7"/>
    <w:pPr>
      <w:spacing w:before="0"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1">
    <w:name w:val="Tabellrutnät101"/>
    <w:basedOn w:val="TableNormal"/>
    <w:next w:val="TableGrid"/>
    <w:rsid w:val="002939E8"/>
    <w:pPr>
      <w:spacing w:before="0"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ST">
    <w:name w:val="Normal LST"/>
    <w:qFormat/>
    <w:rsid w:val="002939E8"/>
    <w:pPr>
      <w:spacing w:before="120" w:after="0" w:line="240" w:lineRule="auto"/>
    </w:pPr>
    <w:rPr>
      <w:rFonts w:ascii="Times New Roman" w:eastAsia="Times New Roman" w:hAnsi="Times New Roman" w:cs="Times New Roman"/>
      <w:szCs w:val="20"/>
      <w:lang w:eastAsia="sv-SE"/>
    </w:rPr>
  </w:style>
  <w:style w:type="paragraph" w:customStyle="1" w:styleId="TIPS">
    <w:name w:val="TIPS"/>
    <w:basedOn w:val="Normal"/>
    <w:autoRedefine/>
    <w:rsid w:val="00C570CF"/>
    <w:pPr>
      <w:pBdr>
        <w:top w:val="single" w:sz="4" w:space="1" w:color="auto"/>
        <w:left w:val="single" w:sz="4" w:space="4" w:color="auto"/>
        <w:bottom w:val="single" w:sz="4" w:space="1" w:color="auto"/>
        <w:right w:val="single" w:sz="4" w:space="4" w:color="auto"/>
      </w:pBdr>
      <w:shd w:val="clear" w:color="auto" w:fill="C1E4FF" w:themeFill="accent5" w:themeFillTint="33"/>
      <w:autoSpaceDE w:val="0"/>
      <w:autoSpaceDN w:val="0"/>
      <w:adjustRightInd w:val="0"/>
      <w:spacing w:before="0" w:after="240" w:line="276" w:lineRule="auto"/>
      <w:ind w:right="140"/>
      <w:contextualSpacing/>
    </w:pPr>
    <w:rPr>
      <w:rFonts w:ascii="Calibri" w:hAnsi="Calibri" w:cs="Calibri"/>
      <w:i/>
      <w:sz w:val="20"/>
      <w:szCs w:val="20"/>
    </w:rPr>
  </w:style>
  <w:style w:type="paragraph" w:customStyle="1" w:styleId="KRAV">
    <w:name w:val="KRAV"/>
    <w:basedOn w:val="Heading4"/>
    <w:autoRedefine/>
    <w:qFormat/>
    <w:rsid w:val="00840E67"/>
    <w:pPr>
      <w:numPr>
        <w:ilvl w:val="0"/>
        <w:numId w:val="0"/>
      </w:numPr>
      <w:tabs>
        <w:tab w:val="left" w:pos="1134"/>
      </w:tabs>
      <w:spacing w:before="0" w:line="276" w:lineRule="auto"/>
    </w:pPr>
    <w:rPr>
      <w:rFonts w:cs="Calibri"/>
      <w:bCs w:val="0"/>
      <w:caps/>
      <w:color w:val="auto"/>
      <w:sz w:val="20"/>
      <w:szCs w:val="20"/>
    </w:rPr>
  </w:style>
  <w:style w:type="paragraph" w:styleId="NormalWeb">
    <w:name w:val="Normal (Web)"/>
    <w:basedOn w:val="Normal"/>
    <w:uiPriority w:val="99"/>
    <w:unhideWhenUsed/>
    <w:rsid w:val="0037225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streckpunkter">
    <w:name w:val="streckpunkter"/>
    <w:basedOn w:val="BodyText"/>
    <w:link w:val="streckpunkterChar"/>
    <w:qFormat/>
    <w:rsid w:val="000C7C3C"/>
    <w:pPr>
      <w:numPr>
        <w:numId w:val="3"/>
      </w:numPr>
      <w:spacing w:before="120" w:after="120"/>
      <w:ind w:left="426" w:hanging="284"/>
    </w:pPr>
  </w:style>
  <w:style w:type="character" w:customStyle="1" w:styleId="streckpunkterChar">
    <w:name w:val="streckpunkter Char"/>
    <w:basedOn w:val="BodyTextChar"/>
    <w:link w:val="streckpunkter"/>
    <w:rsid w:val="000C7C3C"/>
    <w:rPr>
      <w:color w:val="27251F" w:themeColor="text1"/>
    </w:rPr>
  </w:style>
  <w:style w:type="table" w:customStyle="1" w:styleId="Tabellrutnt82">
    <w:name w:val="Tabellrutnät82"/>
    <w:basedOn w:val="TableNormal"/>
    <w:next w:val="TableGrid"/>
    <w:rsid w:val="00017174"/>
    <w:pPr>
      <w:spacing w:before="0" w:after="0" w:line="240" w:lineRule="auto"/>
    </w:pPr>
    <w:rPr>
      <w:rFonts w:ascii="Calibri" w:eastAsia="MS Mincho" w:hAnsi="Calibri" w:cs="Times New Roman"/>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F719F"/>
    <w:pPr>
      <w:spacing w:after="0"/>
    </w:pPr>
  </w:style>
  <w:style w:type="character" w:customStyle="1" w:styleId="Heading9Char">
    <w:name w:val="Heading 9 Char"/>
    <w:basedOn w:val="DefaultParagraphFont"/>
    <w:link w:val="Heading9"/>
    <w:uiPriority w:val="9"/>
    <w:semiHidden/>
    <w:rsid w:val="00DF03FF"/>
    <w:rPr>
      <w:rFonts w:asciiTheme="majorHAnsi" w:eastAsiaTheme="majorEastAsia" w:hAnsiTheme="majorHAnsi" w:cstheme="majorBidi"/>
      <w:i/>
      <w:iCs/>
      <w:color w:val="4C483C" w:themeColor="text1" w:themeTint="D8"/>
      <w:sz w:val="21"/>
      <w:szCs w:val="21"/>
    </w:rPr>
  </w:style>
  <w:style w:type="character" w:styleId="Emphasis">
    <w:name w:val="Emphasis"/>
    <w:basedOn w:val="DefaultParagraphFont"/>
    <w:uiPriority w:val="20"/>
    <w:qFormat/>
    <w:rsid w:val="00984431"/>
    <w:rPr>
      <w:i/>
      <w:iCs/>
    </w:rPr>
  </w:style>
  <w:style w:type="paragraph" w:customStyle="1" w:styleId="Default">
    <w:name w:val="Default"/>
    <w:rsid w:val="00095D25"/>
    <w:pPr>
      <w:autoSpaceDE w:val="0"/>
      <w:autoSpaceDN w:val="0"/>
      <w:adjustRightInd w:val="0"/>
      <w:spacing w:before="0" w:after="0" w:line="240" w:lineRule="auto"/>
    </w:pPr>
    <w:rPr>
      <w:rFonts w:ascii="Calibri" w:hAnsi="Calibri" w:cs="Calibri"/>
      <w:color w:val="000000"/>
      <w:sz w:val="24"/>
      <w:szCs w:val="24"/>
    </w:rPr>
  </w:style>
  <w:style w:type="paragraph" w:styleId="Revision">
    <w:name w:val="Revision"/>
    <w:hidden/>
    <w:uiPriority w:val="99"/>
    <w:semiHidden/>
    <w:rsid w:val="00DD72D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907">
      <w:bodyDiv w:val="1"/>
      <w:marLeft w:val="0"/>
      <w:marRight w:val="0"/>
      <w:marTop w:val="0"/>
      <w:marBottom w:val="0"/>
      <w:divBdr>
        <w:top w:val="none" w:sz="0" w:space="0" w:color="auto"/>
        <w:left w:val="none" w:sz="0" w:space="0" w:color="auto"/>
        <w:bottom w:val="none" w:sz="0" w:space="0" w:color="auto"/>
        <w:right w:val="none" w:sz="0" w:space="0" w:color="auto"/>
      </w:divBdr>
    </w:div>
    <w:div w:id="110326946">
      <w:bodyDiv w:val="1"/>
      <w:marLeft w:val="0"/>
      <w:marRight w:val="0"/>
      <w:marTop w:val="0"/>
      <w:marBottom w:val="0"/>
      <w:divBdr>
        <w:top w:val="none" w:sz="0" w:space="0" w:color="auto"/>
        <w:left w:val="none" w:sz="0" w:space="0" w:color="auto"/>
        <w:bottom w:val="none" w:sz="0" w:space="0" w:color="auto"/>
        <w:right w:val="none" w:sz="0" w:space="0" w:color="auto"/>
      </w:divBdr>
    </w:div>
    <w:div w:id="308481151">
      <w:bodyDiv w:val="1"/>
      <w:marLeft w:val="0"/>
      <w:marRight w:val="0"/>
      <w:marTop w:val="0"/>
      <w:marBottom w:val="0"/>
      <w:divBdr>
        <w:top w:val="none" w:sz="0" w:space="0" w:color="auto"/>
        <w:left w:val="none" w:sz="0" w:space="0" w:color="auto"/>
        <w:bottom w:val="none" w:sz="0" w:space="0" w:color="auto"/>
        <w:right w:val="none" w:sz="0" w:space="0" w:color="auto"/>
      </w:divBdr>
    </w:div>
    <w:div w:id="334501356">
      <w:bodyDiv w:val="1"/>
      <w:marLeft w:val="0"/>
      <w:marRight w:val="0"/>
      <w:marTop w:val="0"/>
      <w:marBottom w:val="0"/>
      <w:divBdr>
        <w:top w:val="none" w:sz="0" w:space="0" w:color="auto"/>
        <w:left w:val="none" w:sz="0" w:space="0" w:color="auto"/>
        <w:bottom w:val="none" w:sz="0" w:space="0" w:color="auto"/>
        <w:right w:val="none" w:sz="0" w:space="0" w:color="auto"/>
      </w:divBdr>
      <w:divsChild>
        <w:div w:id="1148129532">
          <w:marLeft w:val="0"/>
          <w:marRight w:val="0"/>
          <w:marTop w:val="0"/>
          <w:marBottom w:val="225"/>
          <w:divBdr>
            <w:top w:val="none" w:sz="0" w:space="0" w:color="auto"/>
            <w:left w:val="none" w:sz="0" w:space="0" w:color="auto"/>
            <w:bottom w:val="none" w:sz="0" w:space="0" w:color="auto"/>
            <w:right w:val="none" w:sz="0" w:space="0" w:color="auto"/>
          </w:divBdr>
        </w:div>
        <w:div w:id="1767655766">
          <w:marLeft w:val="0"/>
          <w:marRight w:val="0"/>
          <w:marTop w:val="0"/>
          <w:marBottom w:val="135"/>
          <w:divBdr>
            <w:top w:val="none" w:sz="0" w:space="0" w:color="auto"/>
            <w:left w:val="none" w:sz="0" w:space="0" w:color="auto"/>
            <w:bottom w:val="none" w:sz="0" w:space="0" w:color="auto"/>
            <w:right w:val="none" w:sz="0" w:space="0" w:color="auto"/>
          </w:divBdr>
        </w:div>
      </w:divsChild>
    </w:div>
    <w:div w:id="342435161">
      <w:bodyDiv w:val="1"/>
      <w:marLeft w:val="0"/>
      <w:marRight w:val="0"/>
      <w:marTop w:val="0"/>
      <w:marBottom w:val="0"/>
      <w:divBdr>
        <w:top w:val="none" w:sz="0" w:space="0" w:color="auto"/>
        <w:left w:val="none" w:sz="0" w:space="0" w:color="auto"/>
        <w:bottom w:val="none" w:sz="0" w:space="0" w:color="auto"/>
        <w:right w:val="none" w:sz="0" w:space="0" w:color="auto"/>
      </w:divBdr>
    </w:div>
    <w:div w:id="410078084">
      <w:bodyDiv w:val="1"/>
      <w:marLeft w:val="0"/>
      <w:marRight w:val="0"/>
      <w:marTop w:val="0"/>
      <w:marBottom w:val="0"/>
      <w:divBdr>
        <w:top w:val="none" w:sz="0" w:space="0" w:color="auto"/>
        <w:left w:val="none" w:sz="0" w:space="0" w:color="auto"/>
        <w:bottom w:val="none" w:sz="0" w:space="0" w:color="auto"/>
        <w:right w:val="none" w:sz="0" w:space="0" w:color="auto"/>
      </w:divBdr>
    </w:div>
    <w:div w:id="498666376">
      <w:bodyDiv w:val="1"/>
      <w:marLeft w:val="0"/>
      <w:marRight w:val="0"/>
      <w:marTop w:val="0"/>
      <w:marBottom w:val="0"/>
      <w:divBdr>
        <w:top w:val="none" w:sz="0" w:space="0" w:color="auto"/>
        <w:left w:val="none" w:sz="0" w:space="0" w:color="auto"/>
        <w:bottom w:val="none" w:sz="0" w:space="0" w:color="auto"/>
        <w:right w:val="none" w:sz="0" w:space="0" w:color="auto"/>
      </w:divBdr>
    </w:div>
    <w:div w:id="661930491">
      <w:bodyDiv w:val="1"/>
      <w:marLeft w:val="0"/>
      <w:marRight w:val="0"/>
      <w:marTop w:val="0"/>
      <w:marBottom w:val="0"/>
      <w:divBdr>
        <w:top w:val="none" w:sz="0" w:space="0" w:color="auto"/>
        <w:left w:val="none" w:sz="0" w:space="0" w:color="auto"/>
        <w:bottom w:val="none" w:sz="0" w:space="0" w:color="auto"/>
        <w:right w:val="none" w:sz="0" w:space="0" w:color="auto"/>
      </w:divBdr>
    </w:div>
    <w:div w:id="766776284">
      <w:bodyDiv w:val="1"/>
      <w:marLeft w:val="0"/>
      <w:marRight w:val="0"/>
      <w:marTop w:val="0"/>
      <w:marBottom w:val="0"/>
      <w:divBdr>
        <w:top w:val="none" w:sz="0" w:space="0" w:color="auto"/>
        <w:left w:val="none" w:sz="0" w:space="0" w:color="auto"/>
        <w:bottom w:val="none" w:sz="0" w:space="0" w:color="auto"/>
        <w:right w:val="none" w:sz="0" w:space="0" w:color="auto"/>
      </w:divBdr>
    </w:div>
    <w:div w:id="857543069">
      <w:bodyDiv w:val="1"/>
      <w:marLeft w:val="0"/>
      <w:marRight w:val="0"/>
      <w:marTop w:val="0"/>
      <w:marBottom w:val="0"/>
      <w:divBdr>
        <w:top w:val="none" w:sz="0" w:space="0" w:color="auto"/>
        <w:left w:val="none" w:sz="0" w:space="0" w:color="auto"/>
        <w:bottom w:val="none" w:sz="0" w:space="0" w:color="auto"/>
        <w:right w:val="none" w:sz="0" w:space="0" w:color="auto"/>
      </w:divBdr>
    </w:div>
    <w:div w:id="1036731269">
      <w:bodyDiv w:val="1"/>
      <w:marLeft w:val="0"/>
      <w:marRight w:val="0"/>
      <w:marTop w:val="0"/>
      <w:marBottom w:val="0"/>
      <w:divBdr>
        <w:top w:val="none" w:sz="0" w:space="0" w:color="auto"/>
        <w:left w:val="none" w:sz="0" w:space="0" w:color="auto"/>
        <w:bottom w:val="none" w:sz="0" w:space="0" w:color="auto"/>
        <w:right w:val="none" w:sz="0" w:space="0" w:color="auto"/>
      </w:divBdr>
    </w:div>
    <w:div w:id="1180893472">
      <w:bodyDiv w:val="1"/>
      <w:marLeft w:val="0"/>
      <w:marRight w:val="0"/>
      <w:marTop w:val="0"/>
      <w:marBottom w:val="0"/>
      <w:divBdr>
        <w:top w:val="none" w:sz="0" w:space="0" w:color="auto"/>
        <w:left w:val="none" w:sz="0" w:space="0" w:color="auto"/>
        <w:bottom w:val="none" w:sz="0" w:space="0" w:color="auto"/>
        <w:right w:val="none" w:sz="0" w:space="0" w:color="auto"/>
      </w:divBdr>
    </w:div>
    <w:div w:id="1236432232">
      <w:bodyDiv w:val="1"/>
      <w:marLeft w:val="0"/>
      <w:marRight w:val="0"/>
      <w:marTop w:val="0"/>
      <w:marBottom w:val="0"/>
      <w:divBdr>
        <w:top w:val="none" w:sz="0" w:space="0" w:color="auto"/>
        <w:left w:val="none" w:sz="0" w:space="0" w:color="auto"/>
        <w:bottom w:val="none" w:sz="0" w:space="0" w:color="auto"/>
        <w:right w:val="none" w:sz="0" w:space="0" w:color="auto"/>
      </w:divBdr>
    </w:div>
    <w:div w:id="1269510587">
      <w:bodyDiv w:val="1"/>
      <w:marLeft w:val="0"/>
      <w:marRight w:val="0"/>
      <w:marTop w:val="0"/>
      <w:marBottom w:val="0"/>
      <w:divBdr>
        <w:top w:val="none" w:sz="0" w:space="0" w:color="auto"/>
        <w:left w:val="none" w:sz="0" w:space="0" w:color="auto"/>
        <w:bottom w:val="none" w:sz="0" w:space="0" w:color="auto"/>
        <w:right w:val="none" w:sz="0" w:space="0" w:color="auto"/>
      </w:divBdr>
    </w:div>
    <w:div w:id="1288194345">
      <w:bodyDiv w:val="1"/>
      <w:marLeft w:val="0"/>
      <w:marRight w:val="0"/>
      <w:marTop w:val="0"/>
      <w:marBottom w:val="0"/>
      <w:divBdr>
        <w:top w:val="none" w:sz="0" w:space="0" w:color="auto"/>
        <w:left w:val="none" w:sz="0" w:space="0" w:color="auto"/>
        <w:bottom w:val="none" w:sz="0" w:space="0" w:color="auto"/>
        <w:right w:val="none" w:sz="0" w:space="0" w:color="auto"/>
      </w:divBdr>
    </w:div>
    <w:div w:id="1324435015">
      <w:bodyDiv w:val="1"/>
      <w:marLeft w:val="0"/>
      <w:marRight w:val="0"/>
      <w:marTop w:val="0"/>
      <w:marBottom w:val="0"/>
      <w:divBdr>
        <w:top w:val="none" w:sz="0" w:space="0" w:color="auto"/>
        <w:left w:val="none" w:sz="0" w:space="0" w:color="auto"/>
        <w:bottom w:val="none" w:sz="0" w:space="0" w:color="auto"/>
        <w:right w:val="none" w:sz="0" w:space="0" w:color="auto"/>
      </w:divBdr>
    </w:div>
    <w:div w:id="1327979291">
      <w:bodyDiv w:val="1"/>
      <w:marLeft w:val="0"/>
      <w:marRight w:val="0"/>
      <w:marTop w:val="0"/>
      <w:marBottom w:val="0"/>
      <w:divBdr>
        <w:top w:val="none" w:sz="0" w:space="0" w:color="auto"/>
        <w:left w:val="none" w:sz="0" w:space="0" w:color="auto"/>
        <w:bottom w:val="none" w:sz="0" w:space="0" w:color="auto"/>
        <w:right w:val="none" w:sz="0" w:space="0" w:color="auto"/>
      </w:divBdr>
    </w:div>
    <w:div w:id="1506165311">
      <w:bodyDiv w:val="1"/>
      <w:marLeft w:val="0"/>
      <w:marRight w:val="0"/>
      <w:marTop w:val="0"/>
      <w:marBottom w:val="0"/>
      <w:divBdr>
        <w:top w:val="none" w:sz="0" w:space="0" w:color="auto"/>
        <w:left w:val="none" w:sz="0" w:space="0" w:color="auto"/>
        <w:bottom w:val="none" w:sz="0" w:space="0" w:color="auto"/>
        <w:right w:val="none" w:sz="0" w:space="0" w:color="auto"/>
      </w:divBdr>
    </w:div>
    <w:div w:id="1669553831">
      <w:bodyDiv w:val="1"/>
      <w:marLeft w:val="0"/>
      <w:marRight w:val="0"/>
      <w:marTop w:val="0"/>
      <w:marBottom w:val="0"/>
      <w:divBdr>
        <w:top w:val="none" w:sz="0" w:space="0" w:color="auto"/>
        <w:left w:val="none" w:sz="0" w:space="0" w:color="auto"/>
        <w:bottom w:val="none" w:sz="0" w:space="0" w:color="auto"/>
        <w:right w:val="none" w:sz="0" w:space="0" w:color="auto"/>
      </w:divBdr>
    </w:div>
    <w:div w:id="1736080544">
      <w:bodyDiv w:val="1"/>
      <w:marLeft w:val="0"/>
      <w:marRight w:val="0"/>
      <w:marTop w:val="0"/>
      <w:marBottom w:val="0"/>
      <w:divBdr>
        <w:top w:val="none" w:sz="0" w:space="0" w:color="auto"/>
        <w:left w:val="none" w:sz="0" w:space="0" w:color="auto"/>
        <w:bottom w:val="none" w:sz="0" w:space="0" w:color="auto"/>
        <w:right w:val="none" w:sz="0" w:space="0" w:color="auto"/>
      </w:divBdr>
    </w:div>
    <w:div w:id="1782142608">
      <w:bodyDiv w:val="1"/>
      <w:marLeft w:val="0"/>
      <w:marRight w:val="0"/>
      <w:marTop w:val="0"/>
      <w:marBottom w:val="0"/>
      <w:divBdr>
        <w:top w:val="none" w:sz="0" w:space="0" w:color="auto"/>
        <w:left w:val="none" w:sz="0" w:space="0" w:color="auto"/>
        <w:bottom w:val="none" w:sz="0" w:space="0" w:color="auto"/>
        <w:right w:val="none" w:sz="0" w:space="0" w:color="auto"/>
      </w:divBdr>
    </w:div>
    <w:div w:id="1871331508">
      <w:bodyDiv w:val="1"/>
      <w:marLeft w:val="0"/>
      <w:marRight w:val="0"/>
      <w:marTop w:val="0"/>
      <w:marBottom w:val="0"/>
      <w:divBdr>
        <w:top w:val="none" w:sz="0" w:space="0" w:color="auto"/>
        <w:left w:val="none" w:sz="0" w:space="0" w:color="auto"/>
        <w:bottom w:val="none" w:sz="0" w:space="0" w:color="auto"/>
        <w:right w:val="none" w:sz="0" w:space="0" w:color="auto"/>
      </w:divBdr>
    </w:div>
    <w:div w:id="1929582898">
      <w:bodyDiv w:val="1"/>
      <w:marLeft w:val="0"/>
      <w:marRight w:val="0"/>
      <w:marTop w:val="0"/>
      <w:marBottom w:val="0"/>
      <w:divBdr>
        <w:top w:val="none" w:sz="0" w:space="0" w:color="auto"/>
        <w:left w:val="none" w:sz="0" w:space="0" w:color="auto"/>
        <w:bottom w:val="none" w:sz="0" w:space="0" w:color="auto"/>
        <w:right w:val="none" w:sz="0" w:space="0" w:color="auto"/>
      </w:divBdr>
    </w:div>
    <w:div w:id="1930651922">
      <w:bodyDiv w:val="1"/>
      <w:marLeft w:val="0"/>
      <w:marRight w:val="0"/>
      <w:marTop w:val="0"/>
      <w:marBottom w:val="0"/>
      <w:divBdr>
        <w:top w:val="none" w:sz="0" w:space="0" w:color="auto"/>
        <w:left w:val="none" w:sz="0" w:space="0" w:color="auto"/>
        <w:bottom w:val="none" w:sz="0" w:space="0" w:color="auto"/>
        <w:right w:val="none" w:sz="0" w:space="0" w:color="auto"/>
      </w:divBdr>
    </w:div>
    <w:div w:id="1988128597">
      <w:bodyDiv w:val="1"/>
      <w:marLeft w:val="0"/>
      <w:marRight w:val="0"/>
      <w:marTop w:val="0"/>
      <w:marBottom w:val="0"/>
      <w:divBdr>
        <w:top w:val="none" w:sz="0" w:space="0" w:color="auto"/>
        <w:left w:val="none" w:sz="0" w:space="0" w:color="auto"/>
        <w:bottom w:val="none" w:sz="0" w:space="0" w:color="auto"/>
        <w:right w:val="none" w:sz="0" w:space="0" w:color="auto"/>
      </w:divBdr>
    </w:div>
    <w:div w:id="2017148456">
      <w:bodyDiv w:val="1"/>
      <w:marLeft w:val="0"/>
      <w:marRight w:val="0"/>
      <w:marTop w:val="0"/>
      <w:marBottom w:val="0"/>
      <w:divBdr>
        <w:top w:val="none" w:sz="0" w:space="0" w:color="auto"/>
        <w:left w:val="none" w:sz="0" w:space="0" w:color="auto"/>
        <w:bottom w:val="none" w:sz="0" w:space="0" w:color="auto"/>
        <w:right w:val="none" w:sz="0" w:space="0" w:color="auto"/>
      </w:divBdr>
    </w:div>
    <w:div w:id="2051489826">
      <w:bodyDiv w:val="1"/>
      <w:marLeft w:val="0"/>
      <w:marRight w:val="0"/>
      <w:marTop w:val="0"/>
      <w:marBottom w:val="0"/>
      <w:divBdr>
        <w:top w:val="none" w:sz="0" w:space="0" w:color="auto"/>
        <w:left w:val="none" w:sz="0" w:space="0" w:color="auto"/>
        <w:bottom w:val="none" w:sz="0" w:space="0" w:color="auto"/>
        <w:right w:val="none" w:sz="0" w:space="0" w:color="auto"/>
      </w:divBdr>
    </w:div>
    <w:div w:id="20553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Folkhälsomyndigheten">
  <a:themeElements>
    <a:clrScheme name="Livsmedelsverket">
      <a:dk1>
        <a:srgbClr val="27251F"/>
      </a:dk1>
      <a:lt1>
        <a:sysClr val="window" lastClr="FFFFFF"/>
      </a:lt1>
      <a:dk2>
        <a:srgbClr val="27251F"/>
      </a:dk2>
      <a:lt2>
        <a:srgbClr val="FFFFFF"/>
      </a:lt2>
      <a:accent1>
        <a:srgbClr val="FF782A"/>
      </a:accent1>
      <a:accent2>
        <a:srgbClr val="2CA1A4"/>
      </a:accent2>
      <a:accent3>
        <a:srgbClr val="757070"/>
      </a:accent3>
      <a:accent4>
        <a:srgbClr val="A05EB5"/>
      </a:accent4>
      <a:accent5>
        <a:srgbClr val="0073CA"/>
      </a:accent5>
      <a:accent6>
        <a:srgbClr val="4EA93F"/>
      </a:accent6>
      <a:hlink>
        <a:srgbClr val="FF782A"/>
      </a:hlink>
      <a:folHlink>
        <a:srgbClr val="2CA1A4"/>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CDB6-D991-419E-AA93-A722D7E3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7268</Words>
  <Characters>41433</Characters>
  <Application>Microsoft Office Word</Application>
  <DocSecurity>0</DocSecurity>
  <Lines>345</Lines>
  <Paragraphs>97</Paragraphs>
  <ScaleCrop>false</ScaleCrop>
  <HeadingPairs>
    <vt:vector size="2" baseType="variant">
      <vt:variant>
        <vt:lpstr>Rubrik</vt:lpstr>
      </vt:variant>
      <vt:variant>
        <vt:i4>1</vt:i4>
      </vt:variant>
    </vt:vector>
  </HeadingPairs>
  <TitlesOfParts>
    <vt:vector size="1" baseType="lpstr">
      <vt:lpstr>Livsmedelsverkets rapportserie</vt:lpstr>
    </vt:vector>
  </TitlesOfParts>
  <Company>Microsoft</Company>
  <LinksUpToDate>false</LinksUpToDate>
  <CharactersWithSpaces>48604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Livsmedelsverkets rapportserie</dc:title>
  <dc:subject/>
  <dc:creator>Livsmedelsverket</dc:creator>
  <cp:keywords>Livsmedelsverkets rapportserie</cp:keywords>
  <dc:description/>
  <cp:lastModifiedBy>Dimitris Dimitriadis</cp:lastModifiedBy>
  <cp:revision>5</cp:revision>
  <cp:lastPrinted>2022-02-02T12:18:00Z</cp:lastPrinted>
  <dcterms:created xsi:type="dcterms:W3CDTF">2022-05-24T08:06:00Z</dcterms:created>
  <dcterms:modified xsi:type="dcterms:W3CDTF">2022-06-21T09:41:00Z</dcterms:modified>
</cp:coreProperties>
</file>