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 xml:space="preserve">REPUBLICA FRANCEZĂ</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 xml:space="preserve">Ministerul Tranziției Ecologice</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 xml:space="preserve">Decretul nr.                           din</w:t>
      </w:r>
    </w:p>
    <w:p w14:paraId="273D2CCE" w14:textId="77777777" w:rsidR="00BF56AE" w:rsidRDefault="00BF56AE" w:rsidP="00187BA0">
      <w:pPr>
        <w:pStyle w:val="SNtitre"/>
        <w:spacing w:after="0"/>
      </w:pPr>
      <w:r>
        <w:t xml:space="preserve">privind proporția minimă de ambalaje reutilizate care urmează a fi introduse pe piață anual</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 xml:space="preserve">NR.:</w:t>
      </w:r>
      <w:r>
        <w:t xml:space="preserve"> </w:t>
      </w:r>
      <w:r>
        <w:t xml:space="preserve">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 xml:space="preserve">Grupuri vizate:</w:t>
      </w:r>
      <w:r>
        <w:t xml:space="preserve"> </w:t>
      </w:r>
      <w:r>
        <w:rPr>
          <w:b w:val="0"/>
          <w:i/>
        </w:rPr>
        <w:t xml:space="preserve">producătorii de ambalaje, producătorii, importatorii, distribuitorii sau alți comercianți de produse care utilizează ambalaje, organizațiile ecologice menționate la articolul L. 541-10, cei implicați în activități de reutilizare și recuperare.</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 xml:space="preserve">Scop:</w:t>
      </w:r>
      <w:r>
        <w:t xml:space="preserve"> </w:t>
      </w:r>
      <w:r>
        <w:rPr>
          <w:b w:val="0"/>
          <w:i/>
        </w:rPr>
        <w:t xml:space="preserve">procentul minim de ambalaje reutilizate care urmează a fi introduse pe piață anual în Franța în temeiul articolului 67 din Legea nr. 2020-105 din 10 februarie 2020 privind combaterea deșeurilor și economia circulară.</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Intrare în vigoare: </w:t>
      </w:r>
      <w:r>
        <w:rPr>
          <w:i/>
          <w:b w:val="0"/>
        </w:rPr>
        <w:t xml:space="preserve">Decretul intră în vigoare la 1 ianuarie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Notă: </w:t>
      </w:r>
      <w:r>
        <w:rPr>
          <w:i/>
          <w:b w:val="0"/>
        </w:rPr>
        <w:t xml:space="preserve">Decretul definește pentru anii 2022-2027 procentul minim de ambalaje reutilizate care urmează a fi introduse pe piață anual în Franța pentru a atinge obiectivele de reutilizare stabilite la articolul L. 541-1 din Codul de mediu, și anume 5 % în 2023 și 10 % în 2027.</w:t>
      </w:r>
      <w:r>
        <w:rPr>
          <w:i/>
          <w:b w:val="0"/>
        </w:rPr>
        <w:t xml:space="preserve"> </w:t>
      </w:r>
      <w:r>
        <w:rPr>
          <w:i/>
          <w:b w:val="0"/>
        </w:rPr>
        <w:t xml:space="preserve">Acesta precizează producătorii în cauză și prevede posibilitatea ca acești producători să formeze o structură colectivă sau să se bazeze pe organizația lor ecologică pentru a-și îndeplini obligația de ambalare cu ambalaje reutilizate.</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t xml:space="preserve">Referințe: </w:t>
      </w:r>
      <w:r>
        <w:rPr>
          <w:i/>
          <w:iCs/>
          <w:b/>
          <w:bCs/>
          <w:b/>
          <w:bCs/>
          <w:b/>
          <w:bCs/>
          <w:b w:val="0"/>
        </w:rPr>
        <w:t xml:space="preserve">Codul d</w:t>
      </w:r>
      <w:r>
        <w:rPr>
          <w:i/>
          <w:iCs/>
          <w:b w:val="0"/>
          <w:i/>
          <w:iCs/>
        </w:rPr>
        <w:t xml:space="preserve">e mediu, astfel cum a fost modificat prin prezentul decret, poate fi consultat pe site-ul web</w:t>
      </w:r>
      <w:r>
        <w:rPr>
          <w:i/>
          <w:iCs/>
          <w:b w:val="0"/>
        </w:rPr>
        <w:t xml:space="preserve"> </w:t>
      </w:r>
      <w:r>
        <w:rPr>
          <w:i/>
          <w:iCs/>
          <w:b w:val="0"/>
          <w:i/>
          <w:iCs/>
        </w:rPr>
        <w:t xml:space="preserve">Légifrance</w:t>
      </w:r>
      <w:r>
        <w:t xml:space="preserve"> </w:t>
      </w:r>
      <w:hyperlink r:id="rId8" w:history="1">
        <w:r>
          <w:rPr>
            <w:rStyle w:val="Hyperlink"/>
            <w:b w:val="0"/>
            <w:i/>
          </w:rPr>
          <w:t xml:space="preserve">https://www.legifrance.gouv.fr</w:t>
        </w:r>
      </w:hyperlink>
      <w:r>
        <w:rPr>
          <w:b w:val="0"/>
          <w:i/>
        </w:rPr>
        <w:t xml:space="preserve">).</w:t>
      </w:r>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 xml:space="preserve">Prim-ministrul Franței,</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 xml:space="preserve">În urma raportului ministrului francez al tranziției ecologice,</w:t>
      </w:r>
    </w:p>
    <w:p w14:paraId="0072186B" w14:textId="77777777" w:rsidR="009666CF" w:rsidRDefault="009666CF" w:rsidP="00A57CCE">
      <w:pPr>
        <w:pStyle w:val="SNVisa"/>
      </w:pPr>
    </w:p>
    <w:p w14:paraId="341F7B8A" w14:textId="77777777" w:rsidR="009666CF" w:rsidRDefault="009666CF" w:rsidP="00A57CCE">
      <w:pPr>
        <w:pStyle w:val="SNVisa"/>
      </w:pPr>
      <w:r>
        <w:t xml:space="preserve">având în vedere Directiva 2008/98/CE a Parlamentului European și a Consiliului din 19 noiembrie 2008 privind deșeurile și de abrogare a anumitor directive, în special articolul 9,</w:t>
      </w:r>
      <w:r>
        <w:t xml:space="preserve"> </w:t>
      </w:r>
    </w:p>
    <w:p w14:paraId="36D33F97" w14:textId="77777777" w:rsidR="009666CF" w:rsidRDefault="009666CF" w:rsidP="00A57CCE">
      <w:pPr>
        <w:pStyle w:val="SNVisa"/>
      </w:pPr>
    </w:p>
    <w:p w14:paraId="613B5CC2" w14:textId="77777777" w:rsidR="00BF56AE" w:rsidRDefault="00BF56AE" w:rsidP="00A57CCE">
      <w:pPr>
        <w:pStyle w:val="SNVisa"/>
      </w:pPr>
      <w:r>
        <w:t xml:space="preserve">având în vedere Legea nr. 2020-105 din 10 februarie 2020 privind lupta pentru combaterea deșeurilor și economia circulară, în special articolele 9, 67 și 130;</w:t>
      </w:r>
    </w:p>
    <w:p w14:paraId="3D6258FE" w14:textId="77777777" w:rsidR="00AB34D5" w:rsidRDefault="00AB34D5" w:rsidP="00A57CCE">
      <w:pPr>
        <w:pStyle w:val="SNVisa"/>
      </w:pPr>
    </w:p>
    <w:p w14:paraId="00FCCBF0" w14:textId="7EAE0D3C" w:rsidR="00BF56AE" w:rsidRDefault="00BF56AE" w:rsidP="00A57CCE">
      <w:pPr>
        <w:pStyle w:val="SNVisa"/>
      </w:pPr>
      <w:r>
        <w:t xml:space="preserve">având în vedere Codul de mediu, în special articolele L. 541-1, L. 541-9-6, L. 541-10, L. 541-10-1, L. 541-10-3, L. 541-10-8, L. 541-10-18, L. 541-50, R. 541-128 și R. 543-43,</w:t>
      </w:r>
    </w:p>
    <w:p w14:paraId="35E1F319" w14:textId="77777777" w:rsidR="00A57CCE" w:rsidRDefault="00A57CCE" w:rsidP="00A57CCE">
      <w:pPr>
        <w:pStyle w:val="SNVisa"/>
      </w:pPr>
    </w:p>
    <w:p w14:paraId="6B44A064" w14:textId="3C6DBDC6" w:rsidR="00A57CCE" w:rsidRDefault="00A57CCE" w:rsidP="00A57CCE">
      <w:pPr>
        <w:pStyle w:val="SNVisa"/>
      </w:pPr>
      <w:r>
        <w:t xml:space="preserve">având în vedere Codul francez rural și al pescuitului maritim, în special articolele de la L. 641-1 la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având în vedere notificarea nr. </w:t>
      </w:r>
      <w:r>
        <w:rPr>
          <w:highlight w:val="yellow"/>
        </w:rPr>
        <w:t xml:space="preserve">xxx </w:t>
      </w:r>
      <w:r>
        <w:t xml:space="preserve"> adresată Comisiei Europene la data de </w:t>
      </w:r>
      <w:r>
        <w:rPr>
          <w:highlight w:val="yellow"/>
        </w:rPr>
        <w:t xml:space="preserve">xxx</w:t>
      </w:r>
      <w:r>
        <w:t xml:space="preserve">,</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având în vedere observațiile formulate în cadrul consultării publice desfășurate între </w:t>
      </w:r>
      <w:r>
        <w:rPr>
          <w:highlight w:val="yellow"/>
        </w:rPr>
        <w:t xml:space="preserve">xxx</w:t>
      </w:r>
      <w:r>
        <w:t xml:space="preserve"> și </w:t>
      </w:r>
      <w:r>
        <w:rPr>
          <w:highlight w:val="yellow"/>
        </w:rPr>
        <w:t xml:space="preserve">xxx</w:t>
      </w:r>
      <w:r>
        <w:t xml:space="preserve">, în conformitate cu articolul L. 123-19-1 din Codul de mediu;</w:t>
      </w:r>
    </w:p>
    <w:p w14:paraId="5967BEBE" w14:textId="2BFA0F09" w:rsidR="00A57CCE" w:rsidRDefault="00A57CCE" w:rsidP="00921C73">
      <w:pPr>
        <w:pStyle w:val="SNConsultation"/>
      </w:pPr>
    </w:p>
    <w:p w14:paraId="331F9F37" w14:textId="0314E57F" w:rsidR="00A57CCE" w:rsidRDefault="00A57CCE" w:rsidP="00921C73">
      <w:pPr>
        <w:pStyle w:val="SNConsultation"/>
      </w:pPr>
      <w:r>
        <w:t xml:space="preserve">în urma consultării Consiliului de Stat (Departamentul pentru lucrări publice),</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sz w:val="24"/>
          <w:szCs w:val="24"/>
          <w:rFonts w:ascii="Times New Roman" w:eastAsia="Lucida Sans Unicode" w:hAnsi="Times New Roman" w:cs="Times New Roman"/>
        </w:rPr>
      </w:pPr>
      <w:r>
        <w:rPr>
          <w:sz w:val="24"/>
          <w:rFonts w:ascii="Times New Roman" w:hAnsi="Times New Roman"/>
        </w:rPr>
        <w:t xml:space="preserve">prin prezentul, hotărăște:</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b/>
          <w:sz w:val="24"/>
          <w:szCs w:val="24"/>
          <w:u w:val="single"/>
          <w:rFonts w:ascii="Times New Roman" w:eastAsia="Times New Roman" w:hAnsi="Times New Roman" w:cs="Times New Roman"/>
        </w:rPr>
      </w:pPr>
      <w:r>
        <w:rPr>
          <w:b/>
          <w:sz w:val="24"/>
          <w:u w:val="single"/>
          <w:rFonts w:ascii="Times New Roman" w:hAnsi="Times New Roman"/>
        </w:rPr>
        <w:t xml:space="preserve">Articolul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Cartea V titlul IV capitolul I secțiunea 10 din Codul de mediu este completată de o subsecțiune 7, cu următorul cuprins:</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sz w:val="24"/>
          <w:szCs w:val="24"/>
          <w:rFonts w:ascii="Times New Roman" w:hAnsi="Times New Roman" w:cs="Times New Roman"/>
        </w:rPr>
      </w:pPr>
      <w:r>
        <w:rPr>
          <w:sz w:val="24"/>
          <w:rFonts w:ascii="Times New Roman" w:hAnsi="Times New Roman"/>
        </w:rPr>
        <w:t xml:space="preserve">„Subsecțiunea 7 – Reutilizarea ambalajelor</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„Articolul R. 541-370.</w:t>
      </w:r>
      <w:r>
        <w:rPr>
          <w:sz w:val="24"/>
          <w:rFonts w:ascii="Times New Roman" w:hAnsi="Times New Roman"/>
        </w:rPr>
        <w:t xml:space="preserve"> </w:t>
      </w:r>
      <w:r>
        <w:rPr>
          <w:sz w:val="24"/>
          <w:rFonts w:ascii="Times New Roman" w:hAnsi="Times New Roman"/>
        </w:rPr>
        <w:t xml:space="preserve">— În sensul articolului L. 541-1 punctul III și în sensul prezentei subsecțiuni, se aplică următoarele definiții:</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„ambalaj”, care îndeplinește condițiile specificate la articolul R. 543-43 din Codul de mediu și care este menționat la articolul L. 541-10-1 alineatele (1) și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„producător”</w:t>
      </w:r>
      <w:r>
        <w:t xml:space="preserve"> </w:t>
      </w:r>
      <w:r>
        <w:rPr>
          <w:sz w:val="24"/>
          <w:rFonts w:ascii="Times New Roman" w:hAnsi="Times New Roman"/>
        </w:rPr>
        <w:t xml:space="preserve"> înseamnă orice persoană care, în scop profesional, își ambalează sau și-a ambalat produsele în scopul introducerii lor pe piață, orice importator ale cărui produse sunt comercializate în ambalaje sau, în cazul în care producătorul sau importatorul nu poate fi identificat, persoana responsabilă de prima introducere pe piață a acestor produse;</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„ambalaj reutilizat” înseamnă ambalaje care fac obiectul a cel puțin unei a doua utilizări pentru o utilizare identică cu cea pentru care au fost concepute și a căror reutilizare sau recuperare este organizată de producător sau în numele acestuia.</w:t>
      </w:r>
      <w:r>
        <w:rPr>
          <w:sz w:val="24"/>
          <w:rFonts w:ascii="Times New Roman" w:hAnsi="Times New Roman"/>
        </w:rPr>
        <w:t xml:space="preserve"> </w:t>
      </w:r>
      <w:r>
        <w:rPr>
          <w:sz w:val="24"/>
          <w:rFonts w:ascii="Times New Roman" w:hAnsi="Times New Roman"/>
        </w:rPr>
        <w:t xml:space="preserve">Un pachet care face obiectul a cel puțin unei a doua utilizări prin umplerea la punctul de vânzare ca parte a vânzării în vrac sau la domiciliu, în cazul unui dispozitiv de reumplere</w:t>
      </w:r>
      <w:r>
        <w:t xml:space="preserve">, </w:t>
      </w:r>
      <w:r>
        <w:rPr>
          <w:sz w:val="24"/>
          <w:rFonts w:ascii="Times New Roman" w:hAnsi="Times New Roman"/>
        </w:rPr>
        <w:t xml:space="preserve">organizată de producător, este considerat a fi reutilizat.</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sz w:val="24"/>
          <w:szCs w:val="24"/>
          <w:rFonts w:ascii="Times New Roman" w:hAnsi="Times New Roman" w:cs="Times New Roman"/>
        </w:rPr>
      </w:pPr>
      <w:r>
        <w:rPr>
          <w:sz w:val="24"/>
          <w:rFonts w:ascii="Times New Roman" w:hAnsi="Times New Roman"/>
        </w:rPr>
        <w:t xml:space="preserve">Articolul R. 541-371.</w:t>
      </w:r>
      <w:r>
        <w:rPr>
          <w:sz w:val="24"/>
          <w:rFonts w:ascii="Times New Roman" w:hAnsi="Times New Roman"/>
        </w:rPr>
        <w:t xml:space="preserve"> </w:t>
      </w:r>
      <w:r>
        <w:rPr>
          <w:sz w:val="24"/>
          <w:rFonts w:ascii="Times New Roman" w:hAnsi="Times New Roman"/>
        </w:rPr>
        <w:t xml:space="preserve">I. – Procentul minim de ambalaje reutilizate care urmează a fi introduse pe piață anual în temeiul articolului L. 541-1 punctul III este următoarea:</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sz w:val="24"/>
          <w:szCs w:val="24"/>
          <w:rFonts w:ascii="Times New Roman" w:hAnsi="Times New Roman" w:cs="Times New Roman"/>
        </w:rPr>
      </w:pPr>
      <w:r>
        <w:rPr>
          <w:sz w:val="24"/>
          <w:rFonts w:ascii="Times New Roman" w:hAnsi="Times New Roman"/>
        </w:rPr>
        <w:t xml:space="preserve">– 1,5 % în 2022;</w:t>
      </w:r>
    </w:p>
    <w:p w14:paraId="485B39D8" w14:textId="639C2DB6"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5 % în 2023;</w:t>
      </w:r>
    </w:p>
    <w:p w14:paraId="6EC6FF23" w14:textId="078D8D59"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6 % în 2024;</w:t>
      </w:r>
    </w:p>
    <w:p w14:paraId="6336E297" w14:textId="5C7439B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7 % în 2025;</w:t>
      </w:r>
    </w:p>
    <w:p w14:paraId="4B9FA4E1" w14:textId="71D80084"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8 % în 2026;</w:t>
      </w:r>
    </w:p>
    <w:p w14:paraId="46852667" w14:textId="720F2AD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10 % în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Nu sunt afectate de acest obiectiv și de dispozițiile prezentei subsecțiuni:</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Ambalarea produselor pentru care o dispoziție legislativă sau de reglementare națională ori comunitară interzice reutilizarea sau reutilizarea unor astfel de ambalaje din cauza cerințelor de sănătate sau siguranță</w:t>
      </w:r>
      <w:r>
        <w:t xml:space="preserve"> </w:t>
      </w:r>
      <w:r>
        <w:rPr>
          <w:sz w:val="24"/>
          <w:rFonts w:ascii="Times New Roman" w:hAnsi="Times New Roman"/>
        </w:rPr>
        <w:t xml:space="preserve"> pentru consumator;</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Până la 1 ianuarie 2024, ambalarea produselor pentru care specificațiile privind semnele de calitate și de identificare a originii prevăzute la articolele L. 641-1-L. 641-13 din Codul rural și al pescuitului maritim interzic reutilizarea sau recuperarea ambalajelor lor.</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sz w:val="24"/>
          <w:szCs w:val="24"/>
          <w:rFonts w:ascii="Times New Roman" w:hAnsi="Times New Roman" w:cs="Times New Roman"/>
        </w:rPr>
      </w:pPr>
      <w:r>
        <w:rPr>
          <w:sz w:val="24"/>
          <w:rFonts w:ascii="Times New Roman" w:hAnsi="Times New Roman"/>
        </w:rPr>
        <w:t xml:space="preserve">III. – Unitatea de măsură a ambalajului reutilizat trebuie să corespundă oricărui ambalaj primar, secundar sau terțiar.</w:t>
      </w:r>
      <w:r>
        <w:rPr>
          <w:sz w:val="24"/>
          <w:rFonts w:ascii="Times New Roman" w:hAnsi="Times New Roman"/>
        </w:rPr>
        <w:t xml:space="preserve"> </w:t>
      </w:r>
    </w:p>
    <w:p w14:paraId="3F04B8D7" w14:textId="77777777" w:rsidR="003F3509" w:rsidRPr="00AA30CE" w:rsidRDefault="00205EE6" w:rsidP="00413B02">
      <w:pPr>
        <w:spacing w:after="0" w:line="240" w:lineRule="auto"/>
        <w:jc w:val="both"/>
        <w:rPr>
          <w:sz w:val="24"/>
          <w:szCs w:val="24"/>
          <w:rFonts w:ascii="Times New Roman" w:hAnsi="Times New Roman" w:cs="Times New Roman"/>
        </w:rPr>
      </w:pPr>
      <w:r>
        <w:rPr>
          <w:sz w:val="24"/>
          <w:rFonts w:ascii="Times New Roman" w:hAnsi="Times New Roman"/>
        </w:rPr>
        <w:t xml:space="preserve"> </w:t>
      </w:r>
    </w:p>
    <w:p w14:paraId="3333D50A" w14:textId="2FFAEC64" w:rsidR="00F43519" w:rsidRPr="00AA30CE" w:rsidRDefault="002253EB" w:rsidP="003F3509">
      <w:pPr>
        <w:spacing w:after="0" w:line="240" w:lineRule="auto"/>
        <w:jc w:val="both"/>
        <w:rPr>
          <w:sz w:val="24"/>
          <w:szCs w:val="24"/>
          <w:rFonts w:ascii="Times New Roman" w:hAnsi="Times New Roman" w:cs="Times New Roman"/>
        </w:rPr>
      </w:pPr>
      <w:r>
        <w:rPr>
          <w:sz w:val="24"/>
          <w:rFonts w:ascii="Times New Roman" w:hAnsi="Times New Roman"/>
        </w:rPr>
        <w:t xml:space="preserve">Cu toate acestea, producătorul poate adopta o altă unitate de măsură pentru ambalajele reutilizate corespunzătoare unei capacități echivalente, în cazul în care poate justifica faptul că o astfel de unitate de măsură echivalentă este mai adecvată pentru produsele ambalate.</w:t>
      </w:r>
      <w:r>
        <w:rPr>
          <w:sz w:val="24"/>
          <w:rFonts w:ascii="Times New Roman" w:hAnsi="Times New Roman"/>
        </w:rPr>
        <w:t xml:space="preserve"> </w:t>
      </w:r>
      <w:r>
        <w:rPr>
          <w:sz w:val="24"/>
          <w:rFonts w:ascii="Times New Roman" w:hAnsi="Times New Roman"/>
        </w:rPr>
        <w:t xml:space="preserve">În acest caz, unitatea de măsură trebuie să corespundă unei capacități echivalente cu 0,5 litri pentru lichide și 0,5 kilograme în caz contrar.</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sz w:val="24"/>
          <w:szCs w:val="24"/>
          <w:rFonts w:ascii="Times New Roman" w:hAnsi="Times New Roman" w:cs="Times New Roman"/>
        </w:rPr>
      </w:pPr>
      <w:r>
        <w:rPr>
          <w:sz w:val="24"/>
          <w:rFonts w:ascii="Times New Roman" w:hAnsi="Times New Roman"/>
        </w:rPr>
        <w:t xml:space="preserve">IV. – Observatorul reutilizării și recuperării efectuează un studiu până la 1 decembrie 2022 pentru a caracteriza marjele existente de progresie a diferitelor fluxuri de ambalaje și categorii de produse.</w:t>
      </w:r>
      <w:r>
        <w:rPr>
          <w:sz w:val="24"/>
          <w:rFonts w:ascii="Times New Roman" w:hAnsi="Times New Roman"/>
        </w:rPr>
        <w:t xml:space="preserve"> </w:t>
      </w:r>
      <w:r>
        <w:rPr>
          <w:sz w:val="24"/>
          <w:rFonts w:ascii="Times New Roman" w:hAnsi="Times New Roman"/>
        </w:rPr>
        <w:t xml:space="preserve">Obiectivele stabilite în secțiunea I pot fi revizuite în consecință.</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Articolul R. 541-372.</w:t>
      </w:r>
      <w:r>
        <w:rPr>
          <w:sz w:val="24"/>
          <w:rFonts w:ascii="Times New Roman" w:hAnsi="Times New Roman"/>
        </w:rPr>
        <w:t xml:space="preserve"> </w:t>
      </w:r>
      <w:r>
        <w:rPr>
          <w:sz w:val="24"/>
          <w:rFonts w:ascii="Times New Roman" w:hAnsi="Times New Roman"/>
        </w:rPr>
        <w:t xml:space="preserve">I. – În sensul articolului L. 541-1 punctul III, persoanele obligate să respecte proporțiile minime de ambalaje reutilizate prevăzute la articolul R. 541-371 sunt producătorii responsabili pentru introducerea pe piață a cel puțin 10 000 de unități de produse ambalate pe an și care declară o cifră de afaceri anuală care depășește următoarele valori:</w:t>
      </w:r>
    </w:p>
    <w:p w14:paraId="2E28EEE8" w14:textId="781B951D"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50 de milioane EUR până la 31 decembrie 2024;</w:t>
      </w:r>
    </w:p>
    <w:p w14:paraId="0FEDC01B" w14:textId="0BEE314A" w:rsidR="00496410"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20 de milioane EUR de la 1 ianuarie 2025 până la 31 decembrie 2025;</w:t>
      </w:r>
    </w:p>
    <w:p w14:paraId="0FD6637E" w14:textId="4BE59A0E" w:rsidR="00D05C46" w:rsidRPr="00AA30CE" w:rsidRDefault="00496410" w:rsidP="00187BA0">
      <w:pPr>
        <w:spacing w:after="0" w:line="240" w:lineRule="auto"/>
        <w:jc w:val="both"/>
        <w:rPr>
          <w:sz w:val="24"/>
          <w:szCs w:val="24"/>
          <w:rFonts w:ascii="Times New Roman" w:hAnsi="Times New Roman" w:cs="Times New Roman"/>
        </w:rPr>
      </w:pPr>
      <w:r>
        <w:rPr>
          <w:sz w:val="24"/>
          <w:rFonts w:ascii="Times New Roman" w:hAnsi="Times New Roman"/>
        </w:rPr>
        <w:t xml:space="preserve">De la 1 ianuarie 2026, criteriul cifrei de afaceri anuale se aplică fără un prag.</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Orice producător menționat la punctul I din prezentul articol poate alege să participe împreună cu alți producători interesați la crearea unei structuri colective care să regrupeze și să pună în aplicare acțiunile necesare pentru introducerea pe piață a ambalajelor reutilizate.</w:t>
      </w:r>
      <w:r>
        <w:rPr>
          <w:sz w:val="24"/>
          <w:rFonts w:ascii="Times New Roman" w:hAnsi="Times New Roman"/>
        </w:rPr>
        <w:t xml:space="preserve">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În speță, producătorii care sunt membri ai structurii colective sunt responsabili în solidar pentru respectarea obiectivului anual corespunzător sumei proporțiilor minime de ambalaje reutilizate care urmează a fi introduse pe piață de către toți producătorii asociați.</w:t>
      </w:r>
      <w:r>
        <w:rPr>
          <w:sz w:val="24"/>
          <w:rFonts w:ascii="Times New Roman" w:hAnsi="Times New Roman"/>
        </w:rPr>
        <w:t xml:space="preserve">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III. – Organizațiile ecologice autorizate pentru ambalajele menționate la articolul L. 541-10-1 alineatele (1) și (2) din Codul de mediu pot propune producătorilor vizați obligația de a introduce pe piață o proporție minimă din ambalajele reutilizate, inclusiv ambalajele care nu fac obiectul autorizării, pentru a îndeplini rolul structurii colective menționate la punctul II. Organizațiile ecologice intervin în condițiile prevăzute la al doilea paragraf.</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Articolul R. 541-373.</w:t>
      </w:r>
      <w:r>
        <w:rPr>
          <w:sz w:val="24"/>
          <w:rFonts w:ascii="Times New Roman" w:hAnsi="Times New Roman"/>
        </w:rPr>
        <w:t xml:space="preserve"> </w:t>
      </w:r>
      <w:r>
        <w:rPr>
          <w:sz w:val="24"/>
          <w:rFonts w:ascii="Times New Roman" w:hAnsi="Times New Roman"/>
        </w:rPr>
        <w:t xml:space="preserve">Specificațiile pentru organizațiile ecologice stabilite de producătorii produselor menționate la articolul L. 541-10-1 alineatele (1) și (2) și prevăzute la articolul L. 541-10 partea II stabilesc un obiectiv de reutilizare care corespunde cel puțin celor menționate la articolul R. 541-371 partea 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sz w:val="24"/>
          <w:szCs w:val="24"/>
          <w:rFonts w:ascii="Times New Roman" w:hAnsi="Times New Roman" w:cs="Times New Roman"/>
        </w:rPr>
      </w:pPr>
      <w:r>
        <w:rPr>
          <w:sz w:val="24"/>
          <w:rFonts w:ascii="Times New Roman" w:hAnsi="Times New Roman"/>
        </w:rPr>
        <w:t xml:space="preserve">Pentru a atinge aceste obiective de reutilizare menționate mai sus, organizațiile ecologice aprobate pun în aplicare modulările prevăzute la articolul L. 541-10-3 și contribuie la dezvoltarea de soluții pentru reutilizarea și recuperarea ambalajelor, bazându-se în special pe fondurile prevăzute la articolul L. 541-10-18 partea V.</w:t>
      </w:r>
      <w:r>
        <w:rPr>
          <w:sz w:val="24"/>
          <w:rFonts w:ascii="Times New Roman" w:hAnsi="Times New Roman"/>
        </w:rPr>
        <w:t xml:space="preserve"> </w:t>
      </w:r>
      <w:r>
        <w:rPr>
          <w:sz w:val="24"/>
          <w:rFonts w:ascii="Times New Roman" w:hAnsi="Times New Roman"/>
        </w:rPr>
        <w:t xml:space="preserve">Aceste contribuții iau forma unui sprijin financiar acordat pe baza unor proceduri deschise oricărei persoane eligibile care solicită acest lucru sau pe baza unor proceduri de selecție competitive.</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sz w:val="24"/>
          <w:szCs w:val="24"/>
          <w:rFonts w:ascii="Times New Roman" w:hAnsi="Times New Roman" w:cs="Times New Roman"/>
        </w:rPr>
      </w:pPr>
      <w:r>
        <w:rPr>
          <w:sz w:val="24"/>
          <w:rFonts w:ascii="Times New Roman" w:hAnsi="Times New Roman"/>
        </w:rPr>
        <w:t xml:space="preserve">Organizațiile ecologice pot contribui, de asemenea, în aceleași condiții, la dezvoltarea de soluții de reutilizare și recuperare pentru alte ambalaje care nu fac obiectul aprobării lor.</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sz w:val="24"/>
          <w:szCs w:val="24"/>
          <w:rFonts w:ascii="Times New Roman" w:hAnsi="Times New Roman" w:cs="Times New Roman"/>
        </w:rPr>
      </w:pPr>
      <w:r>
        <w:rPr>
          <w:sz w:val="24"/>
          <w:rFonts w:ascii="Times New Roman" w:hAnsi="Times New Roman"/>
        </w:rPr>
        <w:t xml:space="preserve">Articolul R. 541-374.</w:t>
      </w:r>
      <w:r>
        <w:rPr>
          <w:sz w:val="24"/>
          <w:rFonts w:ascii="Times New Roman" w:hAnsi="Times New Roman"/>
        </w:rPr>
        <w:t xml:space="preserve"> </w:t>
      </w:r>
      <w:r>
        <w:rPr>
          <w:sz w:val="24"/>
          <w:rFonts w:ascii="Times New Roman" w:hAnsi="Times New Roman"/>
        </w:rPr>
        <w:t xml:space="preserve">Orice producător menționat la articolul R. 541-372 partea I sau, după caz, structura colectivă a acestuia menționată la articolul R. 541-372 partea II comunică anual observatorului de reutilizare și recuperare proporția de ambalaje reutilizate introduse pe piață.</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sz w:val="24"/>
          <w:szCs w:val="24"/>
          <w:rFonts w:ascii="Times New Roman" w:hAnsi="Times New Roman" w:cs="Times New Roman"/>
        </w:rPr>
      </w:pPr>
      <w:r>
        <w:rPr>
          <w:sz w:val="24"/>
          <w:rFonts w:ascii="Times New Roman" w:hAnsi="Times New Roman"/>
        </w:rPr>
        <w:t xml:space="preserve">Orice producător menționat la articolul R. 541-372 partea I comunică aceste informații și organizației ecologice din care face parte pentru această ambalare, în cadrul responsabilității extinse prevăzute la articolul L. 541-10 din Codul de mediu.</w:t>
      </w:r>
      <w:r>
        <w:rPr>
          <w:sz w:val="24"/>
          <w:rFonts w:ascii="Times New Roman" w:hAnsi="Times New Roman"/>
        </w:rPr>
        <w:t xml:space="preserve"> </w:t>
      </w:r>
      <w:r>
        <w:rPr>
          <w:sz w:val="24"/>
          <w:rFonts w:ascii="Times New Roman" w:hAnsi="Times New Roman"/>
        </w:rPr>
        <w:t xml:space="preserve">Organizația ecologică evaluează conformitatea acestor informații în cadrul programului de control propriu prevăzut la articolul R. 541-128 din Codul de mediu.</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II. – Fiecare organism ecologic autorizat pentru ambalare comunică anual autorității administrative menționate la articolul L. 541-10-13 cantitatea de ambalaje reutilizată de producătorii săi membri și cantitatea de ambalaje reutilizate care a făcut obiectul măsurilor prevăzute la articolul R. 341-373, făcând distincție între cele vizate de aprobarea sa și cele care nu sunt vizate de aceasta.</w:t>
      </w:r>
      <w:r>
        <w:rPr>
          <w:sz w:val="24"/>
          <w:rFonts w:ascii="Times New Roman" w:hAnsi="Times New Roman"/>
        </w:rPr>
        <w:t xml:space="preserv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Această autoritate comunică toate aceste informații observatorului reutilizării și recuperării.</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Articolul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 xml:space="preserve">I. – Dispozițiile prezentului decret intră în vigoare la 1 ianuarie 2022, sub rezerva dispozițiilor punctului II de mai jos.</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 xml:space="preserve">II. – Organizațiile ecologice autorizate pentru ambalare și menționate la articolul 130, al patrulea paragraf, prima teză din Legea din 10 februarie 2020, menționată mai sus, sunt obligate să aplice dispozițiile articolelor de la R. 341-372 la R. 341-374 care le privesc odată cu reînnoirea aprobării și cel târziu de la 1 ianuarie 2023.</w:t>
      </w:r>
      <w:r>
        <w:t xml:space="preserve"> </w:t>
      </w:r>
      <w:r>
        <w:t xml:space="preserve">Cu toate acestea, la cererea producătorilor menționați la articolul R. 341-372 partea I, aceste organizații ecologice pot decide să aplice aceste dispoziții înainte de expirarea aprobării lor.</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Articolul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Ministrul francez al tranziției ecologice este responsabil de punerea în aplicare a prezentului decret, care va fi publicat în </w:t>
      </w:r>
      <w:r>
        <w:rPr>
          <w:i/>
        </w:rPr>
        <w:t xml:space="preserve">Jurnalul Oficial</w:t>
      </w:r>
      <w:r>
        <w:t xml:space="preserve"> al Republicii Franceze.</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Cu data de</w:t>
      </w:r>
      <w:r>
        <w:t xml:space="preserve">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7C6371">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7C6371">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7C6371">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3</cp:revision>
  <cp:lastPrinted>2021-07-27T08:40:00Z</cp:lastPrinted>
  <dcterms:created xsi:type="dcterms:W3CDTF">2021-07-27T11:56:00Z</dcterms:created>
  <dcterms:modified xsi:type="dcterms:W3CDTF">2021-07-30T08:29:00Z</dcterms:modified>
</cp:coreProperties>
</file>