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9A48D" w14:textId="77777777" w:rsidR="00FA78BD" w:rsidRPr="00CF7578" w:rsidRDefault="00FA78BD">
      <w:pPr>
        <w:tabs>
          <w:tab w:val="center" w:pos="4819"/>
          <w:tab w:val="right" w:pos="9638"/>
        </w:tabs>
        <w:rPr>
          <w:rFonts w:ascii="Calibri" w:eastAsia="Calibri" w:hAnsi="Calibri"/>
          <w:sz w:val="22"/>
          <w:szCs w:val="22"/>
        </w:rPr>
      </w:pPr>
    </w:p>
    <w:p w14:paraId="7709A48E" w14:textId="77777777" w:rsidR="00FA78BD" w:rsidRPr="00CF7578" w:rsidRDefault="00CF7578">
      <w:pPr>
        <w:tabs>
          <w:tab w:val="center" w:pos="4819"/>
          <w:tab w:val="right" w:pos="9638"/>
        </w:tabs>
        <w:jc w:val="center"/>
        <w:rPr>
          <w:rFonts w:eastAsia="Calibri"/>
          <w:b/>
          <w:szCs w:val="24"/>
        </w:rPr>
      </w:pPr>
      <w:r w:rsidRPr="00CF7578">
        <w:rPr>
          <w:rFonts w:ascii="TimesNewRomanPSMT" w:eastAsia="Calibri" w:hAnsi="TimesNewRomanPSMT"/>
          <w:noProof/>
          <w:szCs w:val="24"/>
          <w:lang w:val="en-US"/>
        </w:rPr>
        <w:drawing>
          <wp:inline distT="0" distB="0" distL="0" distR="0" wp14:anchorId="7709A527" wp14:editId="7709A528">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7709A48F" w14:textId="77777777" w:rsidR="00FA78BD" w:rsidRPr="00CF7578" w:rsidRDefault="00CF7578">
      <w:pPr>
        <w:jc w:val="center"/>
        <w:rPr>
          <w:b/>
          <w:szCs w:val="24"/>
        </w:rPr>
      </w:pPr>
      <w:r w:rsidRPr="00CF7578">
        <w:rPr>
          <w:b/>
          <w:szCs w:val="24"/>
        </w:rPr>
        <w:t>LIETUVOS RESPUBLIKOS APLINKOS MINISTRAS</w:t>
      </w:r>
    </w:p>
    <w:p w14:paraId="7709A490" w14:textId="77777777" w:rsidR="00FA78BD" w:rsidRPr="00CF7578" w:rsidRDefault="00FA78BD">
      <w:pPr>
        <w:jc w:val="center"/>
        <w:rPr>
          <w:b/>
          <w:szCs w:val="24"/>
        </w:rPr>
      </w:pPr>
    </w:p>
    <w:p w14:paraId="7709A491" w14:textId="77777777" w:rsidR="00FA78BD" w:rsidRPr="00CF7578" w:rsidRDefault="00CF757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CF7578">
        <w:rPr>
          <w:b/>
          <w:szCs w:val="24"/>
          <w:lang w:eastAsia="lt-LT"/>
        </w:rPr>
        <w:t>ĮSAKYMAS</w:t>
      </w:r>
    </w:p>
    <w:p w14:paraId="7709A492" w14:textId="77777777" w:rsidR="00FA78BD" w:rsidRPr="00CF7578" w:rsidRDefault="00CF7578">
      <w:pPr>
        <w:suppressAutoHyphens/>
        <w:jc w:val="center"/>
        <w:textAlignment w:val="center"/>
        <w:rPr>
          <w:b/>
          <w:bCs/>
          <w:caps/>
          <w:color w:val="000000"/>
          <w:szCs w:val="24"/>
          <w:lang w:eastAsia="lt-LT"/>
        </w:rPr>
      </w:pPr>
      <w:r w:rsidRPr="00CF7578">
        <w:rPr>
          <w:b/>
          <w:bCs/>
          <w:color w:val="000000"/>
          <w:szCs w:val="24"/>
          <w:lang w:eastAsia="lt-LT"/>
        </w:rPr>
        <w:t xml:space="preserve">DĖL </w:t>
      </w:r>
      <w:r w:rsidRPr="00CF7578">
        <w:rPr>
          <w:b/>
          <w:bCs/>
          <w:caps/>
          <w:color w:val="000000"/>
          <w:szCs w:val="24"/>
          <w:lang w:eastAsia="lt-LT"/>
        </w:rPr>
        <w:t xml:space="preserve">LIETUVOS RESPUBLIKOS </w:t>
      </w:r>
      <w:r w:rsidRPr="00CF7578">
        <w:rPr>
          <w:b/>
          <w:bCs/>
          <w:color w:val="000000"/>
          <w:szCs w:val="24"/>
          <w:lang w:eastAsia="lt-LT"/>
        </w:rPr>
        <w:t xml:space="preserve">APLINKOS MINISTRO </w:t>
      </w:r>
      <w:r w:rsidRPr="00CF7578">
        <w:rPr>
          <w:b/>
          <w:bCs/>
          <w:caps/>
          <w:color w:val="000000"/>
          <w:szCs w:val="24"/>
          <w:lang w:eastAsia="lt-LT"/>
        </w:rPr>
        <w:t xml:space="preserve">2006 m. gegužės 17 d. įsakymo Nr. D1-236 „Dėl NUOTEKŲ tvarkymo reglamento patvirtinimo“ pakeitimo </w:t>
      </w:r>
    </w:p>
    <w:p w14:paraId="7709A493" w14:textId="77777777" w:rsidR="00FA78BD" w:rsidRPr="00CF7578" w:rsidRDefault="00FA78BD">
      <w:pPr>
        <w:suppressAutoHyphens/>
        <w:jc w:val="both"/>
        <w:textAlignment w:val="center"/>
        <w:rPr>
          <w:color w:val="000000"/>
          <w:szCs w:val="24"/>
          <w:lang w:eastAsia="lt-LT"/>
        </w:rPr>
      </w:pPr>
      <w:bookmarkStart w:id="0" w:name="_GoBack"/>
      <w:bookmarkEnd w:id="0"/>
    </w:p>
    <w:p w14:paraId="7709A494" w14:textId="77777777" w:rsidR="00FA78BD" w:rsidRPr="00CF7578" w:rsidRDefault="00CF7578">
      <w:pPr>
        <w:jc w:val="center"/>
        <w:rPr>
          <w:szCs w:val="24"/>
        </w:rPr>
      </w:pPr>
      <w:r w:rsidRPr="00CF7578">
        <w:rPr>
          <w:szCs w:val="24"/>
        </w:rPr>
        <w:t>2018 m.  rugsėjo 25 d. Nr. D1-847</w:t>
      </w:r>
    </w:p>
    <w:p w14:paraId="7709A495" w14:textId="77777777" w:rsidR="00FA78BD" w:rsidRPr="00CF7578" w:rsidRDefault="00CF7578">
      <w:pPr>
        <w:jc w:val="center"/>
        <w:rPr>
          <w:szCs w:val="24"/>
        </w:rPr>
      </w:pPr>
      <w:r w:rsidRPr="00CF7578">
        <w:rPr>
          <w:szCs w:val="24"/>
        </w:rPr>
        <w:t>Vilnius</w:t>
      </w:r>
    </w:p>
    <w:p w14:paraId="7709A496" w14:textId="77777777" w:rsidR="00FA78BD" w:rsidRPr="00CF7578" w:rsidRDefault="00FA78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Cs w:val="24"/>
          <w:lang w:eastAsia="lt-LT"/>
        </w:rPr>
      </w:pPr>
    </w:p>
    <w:p w14:paraId="7709A497" w14:textId="77777777" w:rsidR="00FA78BD" w:rsidRPr="00CF7578" w:rsidRDefault="00FA78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Cs w:val="24"/>
          <w:lang w:eastAsia="lt-LT"/>
        </w:rPr>
      </w:pPr>
    </w:p>
    <w:p w14:paraId="7709A498" w14:textId="77777777" w:rsidR="00FA78BD" w:rsidRPr="00CF7578" w:rsidRDefault="00CF7578" w:rsidP="00CF757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Cs w:val="24"/>
        </w:rPr>
      </w:pPr>
      <w:r w:rsidRPr="00CF7578">
        <w:rPr>
          <w:rFonts w:eastAsia="Calibri"/>
          <w:spacing w:val="40"/>
          <w:szCs w:val="24"/>
          <w:lang w:eastAsia="lt-LT"/>
        </w:rPr>
        <w:t xml:space="preserve">1. Pakeičiu </w:t>
      </w:r>
      <w:r w:rsidRPr="00CF7578">
        <w:t>Nuotekų tvarkymo reglamentą, patvirtintą Lietuvos Respublikos aplinkos ministro 2006 m. gegužės 17 d. įsakymu Nr. D1-236 „Dėl Nuotekų tvarkymo reglamento patvirtinimo“, ir 29 punktą išdėstau taip</w:t>
      </w:r>
      <w:r w:rsidRPr="00CF7578">
        <w:rPr>
          <w:szCs w:val="24"/>
        </w:rPr>
        <w:t>:</w:t>
      </w:r>
    </w:p>
    <w:p w14:paraId="7709A499" w14:textId="6507DFEA" w:rsidR="00FA78BD" w:rsidRPr="00CF7578" w:rsidRDefault="00CF7578" w:rsidP="00CF7578">
      <w:pPr>
        <w:shd w:val="clear" w:color="auto" w:fill="FFFFFF"/>
        <w:ind w:firstLine="709"/>
        <w:jc w:val="both"/>
      </w:pPr>
      <w:r w:rsidRPr="00CF7578">
        <w:rPr>
          <w:szCs w:val="24"/>
        </w:rPr>
        <w:t xml:space="preserve">„29. </w:t>
      </w:r>
      <w:r w:rsidRPr="00CF7578">
        <w:t>Į gamtinę aplinką išleidžiamų buitinių ir komunalinių nuotekų užterštumas negali viršyti 2 lentelėje nurodytų DLK. Taip pat išleidžiamos komunalinės ir buitinės nuotekos turi atitikti kitus III skyriuje nurodytus bendruosius reikalavimus.</w:t>
      </w:r>
    </w:p>
    <w:p w14:paraId="7709A49A" w14:textId="4CEB2993" w:rsidR="00FA78BD" w:rsidRPr="00CF7578" w:rsidRDefault="00CF7578" w:rsidP="00CF7578">
      <w:pPr>
        <w:shd w:val="clear" w:color="auto" w:fill="FFFFFF"/>
        <w:ind w:firstLine="709"/>
        <w:jc w:val="both"/>
      </w:pPr>
      <w:r w:rsidRPr="00CF7578">
        <w:t>2 lentelė. Į gamtinę aplinką išleidžiamų nuotekų užterštumo normos</w:t>
      </w:r>
    </w:p>
    <w:p w14:paraId="7709A49B" w14:textId="77777777" w:rsidR="00FA78BD" w:rsidRPr="00CF7578" w:rsidRDefault="00FA78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4"/>
        </w:rPr>
      </w:pPr>
    </w:p>
    <w:tbl>
      <w:tblPr>
        <w:tblW w:w="10065" w:type="dxa"/>
        <w:tblInd w:w="40" w:type="dxa"/>
        <w:tblLayout w:type="fixed"/>
        <w:tblCellMar>
          <w:left w:w="40" w:type="dxa"/>
          <w:right w:w="40" w:type="dxa"/>
        </w:tblCellMar>
        <w:tblLook w:val="0000" w:firstRow="0" w:lastRow="0" w:firstColumn="0" w:lastColumn="0" w:noHBand="0" w:noVBand="0"/>
      </w:tblPr>
      <w:tblGrid>
        <w:gridCol w:w="1344"/>
        <w:gridCol w:w="783"/>
        <w:gridCol w:w="1134"/>
        <w:gridCol w:w="992"/>
        <w:gridCol w:w="1417"/>
        <w:gridCol w:w="1560"/>
        <w:gridCol w:w="1417"/>
        <w:gridCol w:w="1418"/>
      </w:tblGrid>
      <w:tr w:rsidR="00FA78BD" w:rsidRPr="00CF7578" w14:paraId="7709A4A3" w14:textId="77777777">
        <w:trPr>
          <w:cantSplit/>
          <w:trHeight w:val="23"/>
        </w:trPr>
        <w:tc>
          <w:tcPr>
            <w:tcW w:w="1344" w:type="dxa"/>
            <w:tcBorders>
              <w:top w:val="single" w:sz="6" w:space="0" w:color="auto"/>
              <w:left w:val="single" w:sz="6" w:space="0" w:color="auto"/>
              <w:bottom w:val="single" w:sz="6" w:space="0" w:color="auto"/>
              <w:right w:val="single" w:sz="6" w:space="0" w:color="auto"/>
            </w:tcBorders>
            <w:shd w:val="clear" w:color="auto" w:fill="FFFFFF"/>
          </w:tcPr>
          <w:p w14:paraId="7709A49C" w14:textId="77777777" w:rsidR="00FA78BD" w:rsidRPr="00CF7578" w:rsidRDefault="00CF7578">
            <w:pPr>
              <w:shd w:val="clear" w:color="auto" w:fill="FFFFFF"/>
              <w:rPr>
                <w:sz w:val="20"/>
              </w:rPr>
            </w:pPr>
            <w:r w:rsidRPr="00CF7578">
              <w:rPr>
                <w:bCs/>
                <w:sz w:val="20"/>
              </w:rPr>
              <w:t>Parametrai</w:t>
            </w:r>
          </w:p>
        </w:tc>
        <w:tc>
          <w:tcPr>
            <w:tcW w:w="1917" w:type="dxa"/>
            <w:gridSpan w:val="2"/>
            <w:tcBorders>
              <w:top w:val="single" w:sz="6" w:space="0" w:color="auto"/>
              <w:left w:val="single" w:sz="6" w:space="0" w:color="auto"/>
              <w:bottom w:val="single" w:sz="6" w:space="0" w:color="auto"/>
              <w:right w:val="single" w:sz="6" w:space="0" w:color="auto"/>
            </w:tcBorders>
            <w:shd w:val="clear" w:color="auto" w:fill="FFFFFF"/>
          </w:tcPr>
          <w:p w14:paraId="7709A49D" w14:textId="77777777" w:rsidR="00FA78BD" w:rsidRPr="00CF7578" w:rsidRDefault="00CF7578">
            <w:pPr>
              <w:shd w:val="clear" w:color="auto" w:fill="FFFFFF"/>
              <w:rPr>
                <w:sz w:val="20"/>
              </w:rPr>
            </w:pPr>
            <w:r w:rsidRPr="00CF7578">
              <w:rPr>
                <w:bCs/>
                <w:sz w:val="20"/>
              </w:rPr>
              <w:t>Aglomeracijos (išleidžiamų nuotekų kiekis/taršos šaltinio) dydis</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709A49E" w14:textId="77777777" w:rsidR="00FA78BD" w:rsidRPr="00CF7578" w:rsidRDefault="00CF7578">
            <w:pPr>
              <w:shd w:val="clear" w:color="auto" w:fill="FFFFFF"/>
              <w:rPr>
                <w:sz w:val="20"/>
              </w:rPr>
            </w:pPr>
            <w:r w:rsidRPr="00CF7578">
              <w:rPr>
                <w:bCs/>
                <w:sz w:val="20"/>
              </w:rPr>
              <w:t>Matavimo vienetas</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709A49F" w14:textId="77777777" w:rsidR="00FA78BD" w:rsidRPr="00CF7578" w:rsidRDefault="00CF7578">
            <w:pPr>
              <w:shd w:val="clear" w:color="auto" w:fill="FFFFFF"/>
              <w:rPr>
                <w:sz w:val="20"/>
                <w:vertAlign w:val="superscript"/>
              </w:rPr>
            </w:pPr>
            <w:r w:rsidRPr="00CF7578">
              <w:rPr>
                <w:bCs/>
                <w:sz w:val="20"/>
              </w:rPr>
              <w:t>Vidutinio paros mėginio</w:t>
            </w:r>
            <w:r w:rsidRPr="00CF7578">
              <w:rPr>
                <w:bCs/>
                <w:sz w:val="20"/>
                <w:vertAlign w:val="superscript"/>
              </w:rPr>
              <w:t>1</w:t>
            </w:r>
            <w:r w:rsidRPr="00CF7578">
              <w:rPr>
                <w:bCs/>
                <w:sz w:val="20"/>
              </w:rPr>
              <w:t xml:space="preserve"> DLK (didžiausias išvalymo laipsnis)</w:t>
            </w:r>
            <w:r w:rsidRPr="00CF7578">
              <w:rPr>
                <w:bCs/>
                <w:sz w:val="20"/>
                <w:vertAlign w:val="superscript"/>
              </w:rPr>
              <w:t>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709A4A0" w14:textId="77777777" w:rsidR="00FA78BD" w:rsidRPr="00CF7578" w:rsidRDefault="00CF7578">
            <w:pPr>
              <w:shd w:val="clear" w:color="auto" w:fill="FFFFFF"/>
              <w:rPr>
                <w:sz w:val="20"/>
                <w:vertAlign w:val="superscript"/>
              </w:rPr>
            </w:pPr>
            <w:r w:rsidRPr="00CF7578">
              <w:rPr>
                <w:bCs/>
                <w:sz w:val="20"/>
              </w:rPr>
              <w:t>Momentinė DLK (didžiausias išvalymo laipsnis)</w:t>
            </w:r>
            <w:r w:rsidRPr="00CF7578">
              <w:rPr>
                <w:bCs/>
                <w:sz w:val="20"/>
                <w:vertAlign w:val="superscript"/>
              </w:rPr>
              <w:t>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709A4A1" w14:textId="77777777" w:rsidR="00FA78BD" w:rsidRPr="00CF7578" w:rsidRDefault="00CF7578">
            <w:pPr>
              <w:shd w:val="clear" w:color="auto" w:fill="FFFFFF"/>
              <w:rPr>
                <w:sz w:val="20"/>
              </w:rPr>
            </w:pPr>
            <w:r w:rsidRPr="00CF7578">
              <w:rPr>
                <w:bCs/>
                <w:sz w:val="20"/>
              </w:rPr>
              <w:t>Vidutinė metinė DLK (didžiausias išvalymo laipsnis)</w:t>
            </w:r>
            <w:r w:rsidRPr="00CF7578">
              <w:rPr>
                <w:bCs/>
                <w:sz w:val="20"/>
                <w:vertAlign w:val="superscript"/>
              </w:rPr>
              <w:t>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709A4A2" w14:textId="77777777" w:rsidR="00FA78BD" w:rsidRPr="00CF7578" w:rsidRDefault="00CF7578">
            <w:pPr>
              <w:shd w:val="clear" w:color="auto" w:fill="FFFFFF"/>
              <w:rPr>
                <w:sz w:val="20"/>
              </w:rPr>
            </w:pPr>
            <w:r w:rsidRPr="00CF7578">
              <w:rPr>
                <w:bCs/>
                <w:sz w:val="20"/>
              </w:rPr>
              <w:t xml:space="preserve">Minimalus išvalymo efektyvumas, procentais </w:t>
            </w:r>
            <w:r w:rsidRPr="00CF7578">
              <w:rPr>
                <w:sz w:val="20"/>
                <w:vertAlign w:val="superscript"/>
              </w:rPr>
              <w:t>2</w:t>
            </w:r>
          </w:p>
        </w:tc>
      </w:tr>
      <w:tr w:rsidR="00FA78BD" w:rsidRPr="00CF7578" w14:paraId="7709A4AB" w14:textId="77777777">
        <w:trPr>
          <w:cantSplit/>
          <w:trHeight w:val="23"/>
        </w:trPr>
        <w:tc>
          <w:tcPr>
            <w:tcW w:w="1344" w:type="dxa"/>
            <w:vMerge w:val="restart"/>
            <w:tcBorders>
              <w:top w:val="single" w:sz="6" w:space="0" w:color="auto"/>
              <w:left w:val="single" w:sz="6" w:space="0" w:color="auto"/>
              <w:right w:val="single" w:sz="6" w:space="0" w:color="auto"/>
            </w:tcBorders>
            <w:shd w:val="clear" w:color="auto" w:fill="FFFFFF"/>
          </w:tcPr>
          <w:p w14:paraId="7709A4A4" w14:textId="77777777" w:rsidR="00FA78BD" w:rsidRPr="00CF7578" w:rsidRDefault="00CF7578">
            <w:pPr>
              <w:shd w:val="clear" w:color="auto" w:fill="FFFFFF"/>
              <w:rPr>
                <w:sz w:val="20"/>
              </w:rPr>
            </w:pPr>
            <w:r w:rsidRPr="00CF7578">
              <w:rPr>
                <w:sz w:val="20"/>
              </w:rPr>
              <w:t>Biocheminis deguonies suvartojimas BDS</w:t>
            </w:r>
            <w:r w:rsidRPr="00CF7578">
              <w:rPr>
                <w:sz w:val="20"/>
                <w:vertAlign w:val="subscript"/>
              </w:rPr>
              <w:t>5</w:t>
            </w:r>
            <w:r w:rsidRPr="00CF7578">
              <w:rPr>
                <w:sz w:val="20"/>
              </w:rPr>
              <w:t>/BDS</w:t>
            </w:r>
            <w:r w:rsidRPr="00CF7578">
              <w:rPr>
                <w:sz w:val="20"/>
                <w:vertAlign w:val="subscript"/>
              </w:rPr>
              <w:t>7</w:t>
            </w:r>
            <w:r w:rsidRPr="00CF7578">
              <w:rPr>
                <w:sz w:val="20"/>
                <w:vertAlign w:val="superscript"/>
              </w:rPr>
              <w:t xml:space="preserve">3 </w:t>
            </w:r>
          </w:p>
        </w:tc>
        <w:tc>
          <w:tcPr>
            <w:tcW w:w="1917" w:type="dxa"/>
            <w:gridSpan w:val="2"/>
            <w:tcBorders>
              <w:top w:val="single" w:sz="6" w:space="0" w:color="auto"/>
              <w:left w:val="single" w:sz="6" w:space="0" w:color="auto"/>
              <w:bottom w:val="single" w:sz="6" w:space="0" w:color="auto"/>
              <w:right w:val="single" w:sz="6" w:space="0" w:color="auto"/>
            </w:tcBorders>
            <w:shd w:val="clear" w:color="auto" w:fill="FFFFFF"/>
          </w:tcPr>
          <w:p w14:paraId="7709A4A5" w14:textId="77777777" w:rsidR="00FA78BD" w:rsidRPr="00CF7578" w:rsidRDefault="00CF7578">
            <w:pPr>
              <w:shd w:val="clear" w:color="auto" w:fill="FFFFFF"/>
              <w:rPr>
                <w:sz w:val="20"/>
              </w:rPr>
            </w:pPr>
            <w:r w:rsidRPr="00CF7578">
              <w:rPr>
                <w:sz w:val="20"/>
              </w:rPr>
              <w:t>&lt; 5 m</w:t>
            </w:r>
            <w:r w:rsidRPr="00CF7578">
              <w:rPr>
                <w:sz w:val="20"/>
                <w:vertAlign w:val="superscript"/>
              </w:rPr>
              <w:t>3</w:t>
            </w:r>
            <w:r w:rsidRPr="00CF7578">
              <w:rPr>
                <w:sz w:val="20"/>
              </w:rPr>
              <w:t>/d</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709A4A6" w14:textId="77777777" w:rsidR="00FA78BD" w:rsidRPr="00CF7578" w:rsidRDefault="00CF7578">
            <w:pPr>
              <w:shd w:val="clear" w:color="auto" w:fill="FFFFFF"/>
              <w:jc w:val="center"/>
              <w:rPr>
                <w:sz w:val="20"/>
              </w:rPr>
            </w:pPr>
            <w:r w:rsidRPr="00CF7578">
              <w:rPr>
                <w:sz w:val="20"/>
              </w:rPr>
              <w:t>mg/l O</w:t>
            </w:r>
            <w:r w:rsidRPr="00CF7578">
              <w:rPr>
                <w:sz w:val="20"/>
                <w:vertAlign w:val="subscript"/>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709A4A7" w14:textId="77777777" w:rsidR="00FA78BD" w:rsidRPr="00CF7578" w:rsidRDefault="00CF7578">
            <w:pPr>
              <w:shd w:val="clear" w:color="auto" w:fill="FFFFFF"/>
              <w:jc w:val="center"/>
              <w:rPr>
                <w:sz w:val="20"/>
              </w:rPr>
            </w:pPr>
            <w:r w:rsidRPr="00CF7578">
              <w:rPr>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709A4A8" w14:textId="77777777" w:rsidR="00FA78BD" w:rsidRPr="00CF7578" w:rsidRDefault="00CF7578">
            <w:pPr>
              <w:shd w:val="clear" w:color="auto" w:fill="FFFFFF"/>
              <w:jc w:val="center"/>
              <w:rPr>
                <w:sz w:val="20"/>
              </w:rPr>
            </w:pPr>
            <w:r w:rsidRPr="00CF7578">
              <w:rPr>
                <w:sz w:val="20"/>
              </w:rPr>
              <w:t>35/40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709A4A9" w14:textId="77777777" w:rsidR="00FA78BD" w:rsidRPr="00CF7578" w:rsidRDefault="00CF7578">
            <w:pPr>
              <w:shd w:val="clear" w:color="auto" w:fill="FFFFFF"/>
              <w:jc w:val="center"/>
              <w:rPr>
                <w:sz w:val="20"/>
              </w:rPr>
            </w:pPr>
            <w:r w:rsidRPr="00CF7578">
              <w:rPr>
                <w:sz w:val="20"/>
              </w:rPr>
              <w:t>25/29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709A4AA" w14:textId="77777777" w:rsidR="00FA78BD" w:rsidRPr="00CF7578" w:rsidRDefault="00CF7578">
            <w:pPr>
              <w:shd w:val="clear" w:color="auto" w:fill="FFFFFF"/>
              <w:jc w:val="center"/>
              <w:rPr>
                <w:sz w:val="20"/>
              </w:rPr>
            </w:pPr>
            <w:r w:rsidRPr="00CF7578">
              <w:rPr>
                <w:sz w:val="20"/>
              </w:rPr>
              <w:t>-</w:t>
            </w:r>
          </w:p>
        </w:tc>
      </w:tr>
      <w:tr w:rsidR="00FA78BD" w:rsidRPr="00CF7578" w14:paraId="7709A4B4" w14:textId="77777777">
        <w:trPr>
          <w:cantSplit/>
          <w:trHeight w:val="23"/>
        </w:trPr>
        <w:tc>
          <w:tcPr>
            <w:tcW w:w="1344" w:type="dxa"/>
            <w:vMerge/>
            <w:tcBorders>
              <w:left w:val="single" w:sz="6" w:space="0" w:color="auto"/>
              <w:right w:val="single" w:sz="6" w:space="0" w:color="auto"/>
            </w:tcBorders>
            <w:shd w:val="clear" w:color="auto" w:fill="FFFFFF"/>
          </w:tcPr>
          <w:p w14:paraId="7709A4AC" w14:textId="77777777" w:rsidR="00FA78BD" w:rsidRPr="00CF7578" w:rsidRDefault="00FA78BD">
            <w:pPr>
              <w:rPr>
                <w:sz w:val="20"/>
              </w:rPr>
            </w:pPr>
          </w:p>
        </w:tc>
        <w:tc>
          <w:tcPr>
            <w:tcW w:w="783" w:type="dxa"/>
            <w:vMerge w:val="restart"/>
            <w:tcBorders>
              <w:top w:val="single" w:sz="6" w:space="0" w:color="auto"/>
              <w:left w:val="single" w:sz="6" w:space="0" w:color="auto"/>
              <w:right w:val="single" w:sz="6" w:space="0" w:color="auto"/>
            </w:tcBorders>
            <w:shd w:val="clear" w:color="auto" w:fill="FFFFFF"/>
            <w:vAlign w:val="center"/>
          </w:tcPr>
          <w:p w14:paraId="7709A4AD" w14:textId="77777777" w:rsidR="00FA78BD" w:rsidRPr="00CF7578" w:rsidRDefault="00CF7578">
            <w:pPr>
              <w:shd w:val="clear" w:color="auto" w:fill="FFFFFF"/>
              <w:jc w:val="center"/>
              <w:rPr>
                <w:sz w:val="20"/>
              </w:rPr>
            </w:pPr>
            <w:r w:rsidRPr="00CF7578">
              <w:rPr>
                <w:sz w:val="20"/>
              </w:rPr>
              <w:t>&gt; 5  m</w:t>
            </w:r>
            <w:r w:rsidRPr="00CF7578">
              <w:rPr>
                <w:sz w:val="20"/>
                <w:vertAlign w:val="superscript"/>
              </w:rPr>
              <w:t>3</w:t>
            </w:r>
            <w:r w:rsidRPr="00CF7578">
              <w:rPr>
                <w:sz w:val="20"/>
              </w:rPr>
              <w:t>/d</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4AE" w14:textId="77777777" w:rsidR="00FA78BD" w:rsidRPr="00CF7578" w:rsidRDefault="00CF7578">
            <w:pPr>
              <w:shd w:val="clear" w:color="auto" w:fill="FFFFFF"/>
              <w:rPr>
                <w:sz w:val="20"/>
              </w:rPr>
            </w:pPr>
            <w:r w:rsidRPr="00CF7578">
              <w:rPr>
                <w:sz w:val="20"/>
              </w:rPr>
              <w:t>&lt;2000 GE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709A4AF" w14:textId="77777777" w:rsidR="00FA78BD" w:rsidRPr="00CF7578" w:rsidRDefault="00CF7578">
            <w:pPr>
              <w:shd w:val="clear" w:color="auto" w:fill="FFFFFF"/>
              <w:jc w:val="center"/>
              <w:rPr>
                <w:sz w:val="20"/>
              </w:rPr>
            </w:pPr>
            <w:r w:rsidRPr="00CF7578">
              <w:rPr>
                <w:sz w:val="20"/>
              </w:rPr>
              <w:t>mg/l O</w:t>
            </w:r>
            <w:r w:rsidRPr="00CF7578">
              <w:rPr>
                <w:sz w:val="20"/>
                <w:vertAlign w:val="subscript"/>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709A4B0" w14:textId="77777777" w:rsidR="00FA78BD" w:rsidRPr="00CF7578" w:rsidRDefault="00CF7578">
            <w:pPr>
              <w:shd w:val="clear" w:color="auto" w:fill="FFFFFF"/>
              <w:jc w:val="center"/>
              <w:rPr>
                <w:sz w:val="20"/>
              </w:rPr>
            </w:pPr>
            <w:r w:rsidRPr="00CF7578">
              <w:rPr>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709A4B1" w14:textId="77777777" w:rsidR="00FA78BD" w:rsidRPr="00CF7578" w:rsidRDefault="00CF7578">
            <w:pPr>
              <w:shd w:val="clear" w:color="auto" w:fill="FFFFFF"/>
              <w:jc w:val="center"/>
              <w:rPr>
                <w:sz w:val="20"/>
              </w:rPr>
            </w:pPr>
            <w:r w:rsidRPr="00CF7578">
              <w:rPr>
                <w:sz w:val="20"/>
              </w:rPr>
              <w:t>30/34(15/17)</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709A4B2" w14:textId="77777777" w:rsidR="00FA78BD" w:rsidRPr="00CF7578" w:rsidRDefault="00CF7578">
            <w:pPr>
              <w:shd w:val="clear" w:color="auto" w:fill="FFFFFF"/>
              <w:jc w:val="center"/>
              <w:rPr>
                <w:sz w:val="20"/>
              </w:rPr>
            </w:pPr>
            <w:r w:rsidRPr="00CF7578">
              <w:rPr>
                <w:sz w:val="20"/>
              </w:rPr>
              <w:t>20/23(10/12)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709A4B3" w14:textId="77777777" w:rsidR="00FA78BD" w:rsidRPr="00CF7578" w:rsidRDefault="00CF7578">
            <w:pPr>
              <w:shd w:val="clear" w:color="auto" w:fill="FFFFFF"/>
              <w:jc w:val="center"/>
              <w:rPr>
                <w:sz w:val="20"/>
              </w:rPr>
            </w:pPr>
            <w:r w:rsidRPr="00CF7578">
              <w:rPr>
                <w:sz w:val="20"/>
              </w:rPr>
              <w:t>-</w:t>
            </w:r>
          </w:p>
        </w:tc>
      </w:tr>
      <w:tr w:rsidR="00FA78BD" w:rsidRPr="00CF7578" w14:paraId="7709A4BD" w14:textId="77777777">
        <w:trPr>
          <w:cantSplit/>
          <w:trHeight w:val="23"/>
        </w:trPr>
        <w:tc>
          <w:tcPr>
            <w:tcW w:w="1344" w:type="dxa"/>
            <w:vMerge/>
            <w:tcBorders>
              <w:left w:val="single" w:sz="6" w:space="0" w:color="auto"/>
              <w:right w:val="single" w:sz="6" w:space="0" w:color="auto"/>
            </w:tcBorders>
            <w:shd w:val="clear" w:color="auto" w:fill="FFFFFF"/>
          </w:tcPr>
          <w:p w14:paraId="7709A4B5" w14:textId="77777777" w:rsidR="00FA78BD" w:rsidRPr="00CF7578" w:rsidRDefault="00FA78BD">
            <w:pPr>
              <w:rPr>
                <w:sz w:val="20"/>
              </w:rPr>
            </w:pPr>
          </w:p>
        </w:tc>
        <w:tc>
          <w:tcPr>
            <w:tcW w:w="783" w:type="dxa"/>
            <w:vMerge/>
            <w:tcBorders>
              <w:left w:val="single" w:sz="6" w:space="0" w:color="auto"/>
              <w:right w:val="single" w:sz="6" w:space="0" w:color="auto"/>
            </w:tcBorders>
            <w:shd w:val="clear" w:color="auto" w:fill="FFFFFF"/>
          </w:tcPr>
          <w:p w14:paraId="7709A4B6" w14:textId="77777777" w:rsidR="00FA78BD" w:rsidRPr="00CF7578" w:rsidRDefault="00FA78BD">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4B7" w14:textId="77777777" w:rsidR="00FA78BD" w:rsidRPr="00CF7578" w:rsidRDefault="00CF7578">
            <w:pPr>
              <w:shd w:val="clear" w:color="auto" w:fill="FFFFFF"/>
              <w:rPr>
                <w:sz w:val="20"/>
              </w:rPr>
            </w:pPr>
            <w:r w:rsidRPr="00CF7578">
              <w:rPr>
                <w:sz w:val="20"/>
              </w:rPr>
              <w:t>2000–10000 GE</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B8" w14:textId="77777777" w:rsidR="00FA78BD" w:rsidRPr="00CF7578" w:rsidRDefault="00CF7578">
            <w:pPr>
              <w:shd w:val="clear" w:color="auto" w:fill="FFFFFF"/>
              <w:jc w:val="center"/>
              <w:rPr>
                <w:sz w:val="20"/>
              </w:rPr>
            </w:pPr>
            <w:r w:rsidRPr="00CF7578">
              <w:rPr>
                <w:sz w:val="20"/>
              </w:rPr>
              <w:t>mg/l O</w:t>
            </w:r>
            <w:r w:rsidRPr="00CF7578">
              <w:rPr>
                <w:sz w:val="20"/>
                <w:vertAlign w:val="subscript"/>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B9" w14:textId="77777777" w:rsidR="00FA78BD" w:rsidRPr="00CF7578" w:rsidRDefault="00CF7578">
            <w:pPr>
              <w:shd w:val="clear" w:color="auto" w:fill="FFFFFF"/>
              <w:jc w:val="center"/>
              <w:rPr>
                <w:sz w:val="20"/>
              </w:rPr>
            </w:pPr>
            <w:r w:rsidRPr="00CF7578">
              <w:rPr>
                <w:sz w:val="20"/>
              </w:rPr>
              <w:t>25/29(10/12)</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BA" w14:textId="77777777" w:rsidR="00FA78BD" w:rsidRPr="00CF7578" w:rsidRDefault="00CF7578">
            <w:pPr>
              <w:shd w:val="clear" w:color="auto" w:fill="FFFFFF"/>
              <w:jc w:val="center"/>
              <w:rPr>
                <w:sz w:val="20"/>
              </w:rPr>
            </w:pPr>
            <w:r w:rsidRPr="00CF7578">
              <w:rPr>
                <w:sz w:val="20"/>
              </w:rPr>
              <w:t>-</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BB" w14:textId="77777777" w:rsidR="00FA78BD" w:rsidRPr="00CF7578" w:rsidRDefault="00CF7578">
            <w:pPr>
              <w:shd w:val="clear" w:color="auto" w:fill="FFFFFF"/>
              <w:jc w:val="center"/>
              <w:rPr>
                <w:sz w:val="20"/>
              </w:rPr>
            </w:pPr>
            <w:r w:rsidRPr="00CF7578">
              <w:rPr>
                <w:sz w:val="20"/>
              </w:rPr>
              <w:t>nustatoma individualiai</w:t>
            </w:r>
            <w:r w:rsidRPr="00CF7578">
              <w:rPr>
                <w:sz w:val="20"/>
                <w:vertAlign w:val="superscript"/>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709A4BC" w14:textId="77777777" w:rsidR="00FA78BD" w:rsidRPr="00CF7578" w:rsidRDefault="00CF7578">
            <w:pPr>
              <w:shd w:val="clear" w:color="auto" w:fill="FFFFFF"/>
              <w:jc w:val="center"/>
              <w:rPr>
                <w:sz w:val="20"/>
              </w:rPr>
            </w:pPr>
            <w:r w:rsidRPr="00CF7578">
              <w:rPr>
                <w:sz w:val="20"/>
              </w:rPr>
              <w:t>70–90</w:t>
            </w:r>
          </w:p>
        </w:tc>
      </w:tr>
      <w:tr w:rsidR="00FA78BD" w:rsidRPr="00CF7578" w14:paraId="7709A4C6" w14:textId="77777777">
        <w:trPr>
          <w:cantSplit/>
          <w:trHeight w:val="23"/>
        </w:trPr>
        <w:tc>
          <w:tcPr>
            <w:tcW w:w="1344" w:type="dxa"/>
            <w:vMerge/>
            <w:tcBorders>
              <w:left w:val="single" w:sz="6" w:space="0" w:color="auto"/>
              <w:bottom w:val="single" w:sz="6" w:space="0" w:color="auto"/>
              <w:right w:val="single" w:sz="6" w:space="0" w:color="auto"/>
            </w:tcBorders>
            <w:shd w:val="clear" w:color="auto" w:fill="FFFFFF"/>
          </w:tcPr>
          <w:p w14:paraId="7709A4BE" w14:textId="77777777" w:rsidR="00FA78BD" w:rsidRPr="00CF7578" w:rsidRDefault="00FA78BD">
            <w:pPr>
              <w:rPr>
                <w:sz w:val="20"/>
              </w:rPr>
            </w:pPr>
          </w:p>
        </w:tc>
        <w:tc>
          <w:tcPr>
            <w:tcW w:w="783" w:type="dxa"/>
            <w:vMerge/>
            <w:tcBorders>
              <w:left w:val="single" w:sz="6" w:space="0" w:color="auto"/>
              <w:bottom w:val="single" w:sz="6" w:space="0" w:color="auto"/>
              <w:right w:val="single" w:sz="6" w:space="0" w:color="auto"/>
            </w:tcBorders>
            <w:shd w:val="clear" w:color="auto" w:fill="FFFFFF"/>
          </w:tcPr>
          <w:p w14:paraId="7709A4BF" w14:textId="77777777" w:rsidR="00FA78BD" w:rsidRPr="00CF7578" w:rsidRDefault="00FA78BD">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4C0" w14:textId="77777777" w:rsidR="00FA78BD" w:rsidRPr="00CF7578" w:rsidRDefault="00CF7578">
            <w:pPr>
              <w:shd w:val="clear" w:color="auto" w:fill="FFFFFF"/>
              <w:rPr>
                <w:sz w:val="20"/>
              </w:rPr>
            </w:pPr>
            <w:r w:rsidRPr="00CF7578">
              <w:rPr>
                <w:sz w:val="20"/>
              </w:rPr>
              <w:t>&gt; 10 000 GE</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1" w14:textId="77777777" w:rsidR="00FA78BD" w:rsidRPr="00CF7578" w:rsidRDefault="00CF7578">
            <w:pPr>
              <w:shd w:val="clear" w:color="auto" w:fill="FFFFFF"/>
              <w:jc w:val="center"/>
              <w:rPr>
                <w:sz w:val="20"/>
              </w:rPr>
            </w:pPr>
            <w:r w:rsidRPr="00CF7578">
              <w:rPr>
                <w:sz w:val="20"/>
              </w:rPr>
              <w:t>mg/l O</w:t>
            </w:r>
            <w:r w:rsidRPr="00CF7578">
              <w:rPr>
                <w:sz w:val="20"/>
                <w:vertAlign w:val="subscript"/>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2" w14:textId="77777777" w:rsidR="00FA78BD" w:rsidRPr="00CF7578" w:rsidRDefault="00CF7578">
            <w:pPr>
              <w:shd w:val="clear" w:color="auto" w:fill="FFFFFF"/>
              <w:jc w:val="center"/>
              <w:rPr>
                <w:sz w:val="20"/>
              </w:rPr>
            </w:pPr>
            <w:r w:rsidRPr="00CF7578">
              <w:rPr>
                <w:sz w:val="20"/>
              </w:rPr>
              <w:t>15/17 (8/10)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3" w14:textId="77777777" w:rsidR="00FA78BD" w:rsidRPr="00CF7578" w:rsidRDefault="00CF7578">
            <w:pPr>
              <w:shd w:val="clear" w:color="auto" w:fill="FFFFFF"/>
              <w:jc w:val="center"/>
              <w:rPr>
                <w:sz w:val="20"/>
              </w:rPr>
            </w:pPr>
            <w:r w:rsidRPr="00CF7578">
              <w:rPr>
                <w:sz w:val="20"/>
              </w:rPr>
              <w:t>-</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4" w14:textId="77777777" w:rsidR="00FA78BD" w:rsidRPr="00CF7578" w:rsidRDefault="00CF7578">
            <w:pPr>
              <w:shd w:val="clear" w:color="auto" w:fill="FFFFFF"/>
              <w:jc w:val="center"/>
              <w:rPr>
                <w:sz w:val="20"/>
              </w:rPr>
            </w:pPr>
            <w:r w:rsidRPr="00CF7578">
              <w:rPr>
                <w:sz w:val="20"/>
              </w:rPr>
              <w:t>nustatoma individualiai</w:t>
            </w:r>
            <w:r w:rsidRPr="00CF7578">
              <w:rPr>
                <w:sz w:val="20"/>
                <w:vertAlign w:val="superscript"/>
              </w:rPr>
              <w:t>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5" w14:textId="77777777" w:rsidR="00FA78BD" w:rsidRPr="00CF7578" w:rsidRDefault="00CF7578">
            <w:pPr>
              <w:shd w:val="clear" w:color="auto" w:fill="FFFFFF"/>
              <w:jc w:val="center"/>
              <w:rPr>
                <w:sz w:val="20"/>
              </w:rPr>
            </w:pPr>
            <w:r w:rsidRPr="00CF7578">
              <w:rPr>
                <w:sz w:val="20"/>
              </w:rPr>
              <w:t>70–90</w:t>
            </w:r>
          </w:p>
        </w:tc>
      </w:tr>
      <w:tr w:rsidR="00FA78BD" w:rsidRPr="00CF7578" w14:paraId="7709A4CE" w14:textId="77777777">
        <w:trPr>
          <w:cantSplit/>
          <w:trHeight w:val="23"/>
        </w:trPr>
        <w:tc>
          <w:tcPr>
            <w:tcW w:w="1344" w:type="dxa"/>
            <w:tcBorders>
              <w:top w:val="single" w:sz="6" w:space="0" w:color="auto"/>
              <w:left w:val="single" w:sz="6" w:space="0" w:color="auto"/>
              <w:bottom w:val="single" w:sz="6" w:space="0" w:color="auto"/>
              <w:right w:val="single" w:sz="6" w:space="0" w:color="auto"/>
            </w:tcBorders>
            <w:shd w:val="clear" w:color="auto" w:fill="FFFFFF"/>
          </w:tcPr>
          <w:p w14:paraId="7709A4C7" w14:textId="77777777" w:rsidR="00FA78BD" w:rsidRPr="00CF7578" w:rsidRDefault="00CF7578">
            <w:pPr>
              <w:shd w:val="clear" w:color="auto" w:fill="FFFFFF"/>
              <w:rPr>
                <w:sz w:val="20"/>
              </w:rPr>
            </w:pPr>
            <w:r w:rsidRPr="00CF7578">
              <w:rPr>
                <w:sz w:val="20"/>
              </w:rPr>
              <w:t>ChDS</w:t>
            </w:r>
          </w:p>
        </w:tc>
        <w:tc>
          <w:tcPr>
            <w:tcW w:w="1917" w:type="dxa"/>
            <w:gridSpan w:val="2"/>
            <w:tcBorders>
              <w:top w:val="single" w:sz="6" w:space="0" w:color="auto"/>
              <w:left w:val="single" w:sz="6" w:space="0" w:color="auto"/>
              <w:bottom w:val="single" w:sz="6" w:space="0" w:color="auto"/>
              <w:right w:val="single" w:sz="6" w:space="0" w:color="auto"/>
            </w:tcBorders>
            <w:shd w:val="clear" w:color="auto" w:fill="FFFFFF"/>
          </w:tcPr>
          <w:p w14:paraId="7709A4C8" w14:textId="77777777" w:rsidR="00FA78BD" w:rsidRPr="00CF7578" w:rsidRDefault="00CF7578">
            <w:pPr>
              <w:shd w:val="clear" w:color="auto" w:fill="FFFFFF"/>
              <w:rPr>
                <w:sz w:val="20"/>
              </w:rPr>
            </w:pPr>
            <w:r w:rsidRPr="00CF7578">
              <w:rPr>
                <w:sz w:val="20"/>
              </w:rPr>
              <w:t>daugiau kaip 2000 GE</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9" w14:textId="77777777" w:rsidR="00FA78BD" w:rsidRPr="00CF7578" w:rsidRDefault="00CF7578">
            <w:pPr>
              <w:shd w:val="clear" w:color="auto" w:fill="FFFFFF"/>
              <w:jc w:val="center"/>
              <w:rPr>
                <w:sz w:val="20"/>
              </w:rPr>
            </w:pPr>
            <w:r w:rsidRPr="00CF7578">
              <w:rPr>
                <w:sz w:val="20"/>
              </w:rPr>
              <w:t>mg/l O</w:t>
            </w:r>
            <w:r w:rsidRPr="00CF7578">
              <w:rPr>
                <w:sz w:val="20"/>
                <w:vertAlign w:val="subscript"/>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A" w14:textId="77777777" w:rsidR="00FA78BD" w:rsidRPr="00CF7578" w:rsidRDefault="00CF7578">
            <w:pPr>
              <w:shd w:val="clear" w:color="auto" w:fill="FFFFFF"/>
              <w:jc w:val="center"/>
              <w:rPr>
                <w:sz w:val="20"/>
              </w:rPr>
            </w:pPr>
            <w:r w:rsidRPr="00CF7578">
              <w:rPr>
                <w:sz w:val="20"/>
              </w:rPr>
              <w:t>125</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B" w14:textId="77777777" w:rsidR="00FA78BD" w:rsidRPr="00CF7578" w:rsidRDefault="00CF7578">
            <w:pPr>
              <w:shd w:val="clear" w:color="auto" w:fill="FFFFFF"/>
              <w:jc w:val="center"/>
              <w:rPr>
                <w:sz w:val="20"/>
              </w:rPr>
            </w:pPr>
            <w:r w:rsidRPr="00CF7578">
              <w:rPr>
                <w:sz w:val="20"/>
              </w:rPr>
              <w:t>-</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CC" w14:textId="77777777" w:rsidR="00FA78BD" w:rsidRPr="00CF7578" w:rsidRDefault="00CF7578">
            <w:pPr>
              <w:shd w:val="clear" w:color="auto" w:fill="FFFFFF"/>
              <w:jc w:val="center"/>
              <w:rPr>
                <w:sz w:val="20"/>
              </w:rPr>
            </w:pPr>
            <w:r w:rsidRPr="00CF7578">
              <w:rPr>
                <w:sz w:val="20"/>
              </w:rPr>
              <w:t>-</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center"/>
          </w:tcPr>
          <w:p w14:paraId="7709A4CD" w14:textId="77777777" w:rsidR="00FA78BD" w:rsidRPr="00CF7578" w:rsidRDefault="00CF7578">
            <w:pPr>
              <w:shd w:val="clear" w:color="auto" w:fill="FFFFFF"/>
              <w:jc w:val="center"/>
              <w:rPr>
                <w:sz w:val="20"/>
              </w:rPr>
            </w:pPr>
            <w:r w:rsidRPr="00CF7578">
              <w:rPr>
                <w:sz w:val="20"/>
              </w:rPr>
              <w:t>75</w:t>
            </w:r>
          </w:p>
        </w:tc>
      </w:tr>
      <w:tr w:rsidR="00FA78BD" w:rsidRPr="00CF7578" w14:paraId="7709A4D6" w14:textId="77777777">
        <w:trPr>
          <w:cantSplit/>
          <w:trHeight w:val="23"/>
        </w:trPr>
        <w:tc>
          <w:tcPr>
            <w:tcW w:w="1344" w:type="dxa"/>
            <w:tcBorders>
              <w:left w:val="single" w:sz="6" w:space="0" w:color="auto"/>
              <w:right w:val="single" w:sz="6" w:space="0" w:color="auto"/>
            </w:tcBorders>
            <w:shd w:val="clear" w:color="auto" w:fill="FFFFFF"/>
          </w:tcPr>
          <w:p w14:paraId="7709A4CF" w14:textId="77777777" w:rsidR="00FA78BD" w:rsidRPr="00CF7578" w:rsidRDefault="00FA78BD">
            <w:pPr>
              <w:shd w:val="clear" w:color="auto" w:fill="FFFFFF"/>
              <w:rPr>
                <w:sz w:val="20"/>
              </w:rPr>
            </w:pPr>
          </w:p>
        </w:tc>
        <w:tc>
          <w:tcPr>
            <w:tcW w:w="1917" w:type="dxa"/>
            <w:gridSpan w:val="2"/>
            <w:tcBorders>
              <w:top w:val="single" w:sz="6" w:space="0" w:color="auto"/>
              <w:left w:val="single" w:sz="6" w:space="0" w:color="auto"/>
              <w:right w:val="single" w:sz="6" w:space="0" w:color="auto"/>
            </w:tcBorders>
            <w:shd w:val="clear" w:color="auto" w:fill="FFFFFF"/>
          </w:tcPr>
          <w:p w14:paraId="7709A4D0" w14:textId="77777777" w:rsidR="00FA78BD" w:rsidRPr="00CF7578" w:rsidRDefault="00CF7578">
            <w:pPr>
              <w:shd w:val="clear" w:color="auto" w:fill="FFFFFF"/>
              <w:rPr>
                <w:sz w:val="20"/>
              </w:rPr>
            </w:pPr>
            <w:r w:rsidRPr="00CF7578">
              <w:rPr>
                <w:sz w:val="20"/>
              </w:rPr>
              <w:t>&lt; 5 m</w:t>
            </w:r>
            <w:r w:rsidRPr="00CF7578">
              <w:rPr>
                <w:sz w:val="20"/>
                <w:vertAlign w:val="superscript"/>
              </w:rPr>
              <w:t>3</w:t>
            </w:r>
            <w:r w:rsidRPr="00CF7578">
              <w:rPr>
                <w:sz w:val="20"/>
              </w:rPr>
              <w:t>/d</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709A4D1" w14:textId="77777777" w:rsidR="00FA78BD" w:rsidRPr="00CF7578" w:rsidRDefault="00CF7578">
            <w:pPr>
              <w:shd w:val="clear" w:color="auto" w:fill="FFFFFF"/>
              <w:jc w:val="center"/>
              <w:rPr>
                <w:sz w:val="20"/>
              </w:rPr>
            </w:pPr>
            <w:r w:rsidRPr="00CF7578">
              <w:rPr>
                <w:sz w:val="20"/>
              </w:rPr>
              <w:t>mgP/l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709A4D2" w14:textId="77777777" w:rsidR="00FA78BD" w:rsidRPr="00CF7578" w:rsidRDefault="00CF7578">
            <w:pPr>
              <w:shd w:val="clear" w:color="auto" w:fill="FFFFFF"/>
              <w:jc w:val="center"/>
              <w:rPr>
                <w:sz w:val="20"/>
              </w:rPr>
            </w:pPr>
            <w:r w:rsidRPr="00CF7578">
              <w:rPr>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709A4D3" w14:textId="77777777" w:rsidR="00FA78BD" w:rsidRPr="00CF7578" w:rsidRDefault="00CF7578">
            <w:pPr>
              <w:shd w:val="clear" w:color="auto" w:fill="FFFFFF"/>
              <w:jc w:val="center"/>
              <w:rPr>
                <w:sz w:val="20"/>
              </w:rPr>
            </w:pPr>
            <w:r w:rsidRPr="00CF7578">
              <w:rPr>
                <w:sz w:val="20"/>
              </w:rPr>
              <w:t xml:space="preserve">5 </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14:paraId="7709A4D4" w14:textId="77777777" w:rsidR="00FA78BD" w:rsidRPr="00CF7578" w:rsidRDefault="00CF7578">
            <w:pPr>
              <w:shd w:val="clear" w:color="auto" w:fill="FFFFFF"/>
              <w:jc w:val="center"/>
              <w:rPr>
                <w:b/>
                <w:strike/>
                <w:sz w:val="20"/>
              </w:rPr>
            </w:pPr>
            <w:r w:rsidRPr="00CF7578">
              <w:rPr>
                <w:b/>
                <w:strike/>
                <w:sz w:val="20"/>
              </w:rPr>
              <w:t>-</w:t>
            </w:r>
          </w:p>
        </w:tc>
        <w:tc>
          <w:tcPr>
            <w:tcW w:w="1418" w:type="dxa"/>
            <w:tcBorders>
              <w:top w:val="single" w:sz="4" w:space="0" w:color="auto"/>
              <w:left w:val="single" w:sz="4" w:space="0" w:color="auto"/>
              <w:right w:val="single" w:sz="4" w:space="0" w:color="auto"/>
            </w:tcBorders>
            <w:shd w:val="clear" w:color="auto" w:fill="FFFFFF"/>
          </w:tcPr>
          <w:p w14:paraId="7709A4D5" w14:textId="77777777" w:rsidR="00FA78BD" w:rsidRPr="00CF7578" w:rsidRDefault="00CF7578">
            <w:pPr>
              <w:shd w:val="clear" w:color="auto" w:fill="FFFFFF"/>
              <w:jc w:val="center"/>
              <w:rPr>
                <w:b/>
                <w:sz w:val="20"/>
              </w:rPr>
            </w:pPr>
            <w:r w:rsidRPr="00CF7578">
              <w:rPr>
                <w:b/>
                <w:sz w:val="20"/>
              </w:rPr>
              <w:t>-</w:t>
            </w:r>
          </w:p>
        </w:tc>
      </w:tr>
      <w:tr w:rsidR="00FA78BD" w:rsidRPr="00CF7578" w14:paraId="7709A4DF" w14:textId="77777777">
        <w:trPr>
          <w:cantSplit/>
          <w:trHeight w:val="23"/>
        </w:trPr>
        <w:tc>
          <w:tcPr>
            <w:tcW w:w="1344" w:type="dxa"/>
            <w:vMerge w:val="restart"/>
            <w:tcBorders>
              <w:left w:val="single" w:sz="6" w:space="0" w:color="auto"/>
              <w:right w:val="single" w:sz="6" w:space="0" w:color="auto"/>
            </w:tcBorders>
            <w:shd w:val="clear" w:color="auto" w:fill="FFFFFF"/>
          </w:tcPr>
          <w:p w14:paraId="7709A4D7" w14:textId="77777777" w:rsidR="00FA78BD" w:rsidRPr="00CF7578" w:rsidRDefault="00CF7578">
            <w:pPr>
              <w:shd w:val="clear" w:color="auto" w:fill="FFFFFF"/>
              <w:rPr>
                <w:sz w:val="20"/>
              </w:rPr>
            </w:pPr>
            <w:r w:rsidRPr="00CF7578">
              <w:rPr>
                <w:sz w:val="20"/>
              </w:rPr>
              <w:t>Bendras fosforas</w:t>
            </w:r>
          </w:p>
        </w:tc>
        <w:tc>
          <w:tcPr>
            <w:tcW w:w="783" w:type="dxa"/>
            <w:vMerge w:val="restart"/>
            <w:tcBorders>
              <w:top w:val="single" w:sz="6" w:space="0" w:color="auto"/>
              <w:left w:val="single" w:sz="6" w:space="0" w:color="auto"/>
              <w:right w:val="single" w:sz="6" w:space="0" w:color="auto"/>
            </w:tcBorders>
            <w:shd w:val="clear" w:color="auto" w:fill="FFFFFF"/>
            <w:vAlign w:val="center"/>
          </w:tcPr>
          <w:p w14:paraId="7709A4D8" w14:textId="77777777" w:rsidR="00FA78BD" w:rsidRPr="00CF7578" w:rsidRDefault="00CF7578">
            <w:pPr>
              <w:shd w:val="clear" w:color="auto" w:fill="FFFFFF"/>
              <w:jc w:val="center"/>
              <w:rPr>
                <w:sz w:val="20"/>
              </w:rPr>
            </w:pPr>
            <w:r w:rsidRPr="00CF7578">
              <w:rPr>
                <w:sz w:val="20"/>
              </w:rPr>
              <w:t>&gt; 5 m</w:t>
            </w:r>
            <w:r w:rsidRPr="00CF7578">
              <w:rPr>
                <w:sz w:val="20"/>
                <w:vertAlign w:val="superscript"/>
              </w:rPr>
              <w:t>3</w:t>
            </w:r>
            <w:r w:rsidRPr="00CF7578">
              <w:rPr>
                <w:sz w:val="20"/>
              </w:rPr>
              <w:t>/d</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4D9" w14:textId="77777777" w:rsidR="00FA78BD" w:rsidRPr="00CF7578" w:rsidRDefault="00CF7578">
            <w:pPr>
              <w:shd w:val="clear" w:color="auto" w:fill="FFFFFF"/>
              <w:rPr>
                <w:sz w:val="20"/>
              </w:rPr>
            </w:pPr>
            <w:r w:rsidRPr="00CF7578">
              <w:rPr>
                <w:sz w:val="20"/>
              </w:rPr>
              <w:t>&lt; 10 000 GE</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DA" w14:textId="77777777" w:rsidR="00FA78BD" w:rsidRPr="00CF7578" w:rsidRDefault="00CF7578">
            <w:pPr>
              <w:shd w:val="clear" w:color="auto" w:fill="FFFFFF"/>
              <w:jc w:val="center"/>
              <w:rPr>
                <w:sz w:val="20"/>
              </w:rPr>
            </w:pPr>
            <w:r w:rsidRPr="00CF7578">
              <w:rPr>
                <w:sz w:val="20"/>
              </w:rPr>
              <w:t>mgP/l</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DB" w14:textId="77777777" w:rsidR="00FA78BD" w:rsidRPr="00CF7578" w:rsidRDefault="00CF7578">
            <w:pPr>
              <w:shd w:val="clear" w:color="auto" w:fill="FFFFFF"/>
              <w:jc w:val="center"/>
              <w:rPr>
                <w:sz w:val="20"/>
              </w:rPr>
            </w:pPr>
            <w:r w:rsidRPr="00CF7578">
              <w:rPr>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DC" w14:textId="77777777" w:rsidR="00FA78BD" w:rsidRPr="00CF7578" w:rsidRDefault="00CF7578">
            <w:pPr>
              <w:shd w:val="clear" w:color="auto" w:fill="FFFFFF"/>
              <w:jc w:val="center"/>
              <w:rPr>
                <w:sz w:val="20"/>
              </w:rPr>
            </w:pPr>
            <w:r w:rsidRPr="00CF7578">
              <w:rPr>
                <w:sz w:val="20"/>
              </w:rPr>
              <w:t>-</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709A4DD" w14:textId="77777777" w:rsidR="00FA78BD" w:rsidRPr="00CF7578" w:rsidRDefault="00CF7578">
            <w:pPr>
              <w:shd w:val="clear" w:color="auto" w:fill="FFFFFF"/>
              <w:jc w:val="center"/>
              <w:rPr>
                <w:sz w:val="20"/>
              </w:rPr>
            </w:pPr>
            <w:r w:rsidRPr="00CF7578">
              <w:rPr>
                <w:sz w:val="20"/>
              </w:rPr>
              <w:t xml:space="preserve">2 </w:t>
            </w:r>
            <w:r w:rsidRPr="00CF7578">
              <w:rPr>
                <w:sz w:val="20"/>
                <w:vertAlign w:val="superscript"/>
              </w:rPr>
              <w:t>7</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7709A4DE" w14:textId="77777777" w:rsidR="00FA78BD" w:rsidRPr="00CF7578" w:rsidRDefault="00CF7578">
            <w:pPr>
              <w:shd w:val="clear" w:color="auto" w:fill="FFFFFF"/>
              <w:jc w:val="center"/>
              <w:rPr>
                <w:sz w:val="20"/>
              </w:rPr>
            </w:pPr>
            <w:r w:rsidRPr="00CF7578">
              <w:rPr>
                <w:sz w:val="20"/>
              </w:rPr>
              <w:t>80</w:t>
            </w:r>
          </w:p>
        </w:tc>
      </w:tr>
      <w:tr w:rsidR="00FA78BD" w:rsidRPr="00CF7578" w14:paraId="7709A4E8" w14:textId="77777777">
        <w:trPr>
          <w:cantSplit/>
          <w:trHeight w:val="23"/>
        </w:trPr>
        <w:tc>
          <w:tcPr>
            <w:tcW w:w="1344" w:type="dxa"/>
            <w:vMerge/>
            <w:tcBorders>
              <w:left w:val="single" w:sz="6" w:space="0" w:color="auto"/>
              <w:right w:val="single" w:sz="6" w:space="0" w:color="auto"/>
            </w:tcBorders>
            <w:shd w:val="clear" w:color="auto" w:fill="FFFFFF"/>
          </w:tcPr>
          <w:p w14:paraId="7709A4E0" w14:textId="77777777" w:rsidR="00FA78BD" w:rsidRPr="00CF7578" w:rsidRDefault="00FA78BD">
            <w:pPr>
              <w:rPr>
                <w:sz w:val="20"/>
              </w:rPr>
            </w:pPr>
          </w:p>
        </w:tc>
        <w:tc>
          <w:tcPr>
            <w:tcW w:w="783" w:type="dxa"/>
            <w:vMerge/>
            <w:tcBorders>
              <w:left w:val="single" w:sz="6" w:space="0" w:color="auto"/>
              <w:right w:val="single" w:sz="6" w:space="0" w:color="auto"/>
            </w:tcBorders>
            <w:shd w:val="clear" w:color="auto" w:fill="FFFFFF"/>
          </w:tcPr>
          <w:p w14:paraId="7709A4E1" w14:textId="77777777" w:rsidR="00FA78BD" w:rsidRPr="00CF7578" w:rsidRDefault="00FA78BD">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4E2" w14:textId="77777777" w:rsidR="00FA78BD" w:rsidRPr="00CF7578" w:rsidRDefault="00CF7578">
            <w:pPr>
              <w:shd w:val="clear" w:color="auto" w:fill="FFFFFF"/>
              <w:rPr>
                <w:sz w:val="20"/>
              </w:rPr>
            </w:pPr>
            <w:r w:rsidRPr="00CF7578">
              <w:rPr>
                <w:sz w:val="20"/>
              </w:rPr>
              <w:t>10 000–100 000 GE</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E3" w14:textId="77777777" w:rsidR="00FA78BD" w:rsidRPr="00CF7578" w:rsidRDefault="00CF7578">
            <w:pPr>
              <w:shd w:val="clear" w:color="auto" w:fill="FFFFFF"/>
              <w:jc w:val="center"/>
              <w:rPr>
                <w:sz w:val="20"/>
              </w:rPr>
            </w:pPr>
            <w:r w:rsidRPr="00CF7578">
              <w:rPr>
                <w:sz w:val="20"/>
              </w:rPr>
              <w:t>mgP/l</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E4" w14:textId="77777777" w:rsidR="00FA78BD" w:rsidRPr="00CF7578" w:rsidRDefault="00CF7578">
            <w:pPr>
              <w:shd w:val="clear" w:color="auto" w:fill="FFFFFF"/>
              <w:jc w:val="center"/>
              <w:rPr>
                <w:sz w:val="20"/>
              </w:rPr>
            </w:pPr>
            <w:r w:rsidRPr="00CF7578">
              <w:rPr>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E5" w14:textId="77777777" w:rsidR="00FA78BD" w:rsidRPr="00CF7578" w:rsidRDefault="00CF7578">
            <w:pPr>
              <w:shd w:val="clear" w:color="auto" w:fill="FFFFFF"/>
              <w:jc w:val="center"/>
              <w:rPr>
                <w:sz w:val="20"/>
              </w:rPr>
            </w:pPr>
            <w:r w:rsidRPr="00CF7578">
              <w:rPr>
                <w:sz w:val="20"/>
              </w:rPr>
              <w:t>-</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709A4E6" w14:textId="77777777" w:rsidR="00FA78BD" w:rsidRPr="00CF7578" w:rsidRDefault="00CF7578">
            <w:pPr>
              <w:shd w:val="clear" w:color="auto" w:fill="FFFFFF"/>
              <w:jc w:val="center"/>
              <w:rPr>
                <w:sz w:val="20"/>
              </w:rPr>
            </w:pPr>
            <w:r w:rsidRPr="00CF7578">
              <w:rPr>
                <w:sz w:val="20"/>
              </w:rPr>
              <w:t>2 (1)</w:t>
            </w:r>
          </w:p>
        </w:tc>
        <w:tc>
          <w:tcPr>
            <w:tcW w:w="1418" w:type="dxa"/>
            <w:vMerge/>
            <w:tcBorders>
              <w:left w:val="single" w:sz="4" w:space="0" w:color="auto"/>
              <w:right w:val="single" w:sz="4" w:space="0" w:color="auto"/>
            </w:tcBorders>
            <w:shd w:val="clear" w:color="auto" w:fill="FFFFFF"/>
          </w:tcPr>
          <w:p w14:paraId="7709A4E7" w14:textId="77777777" w:rsidR="00FA78BD" w:rsidRPr="00CF7578" w:rsidRDefault="00FA78BD">
            <w:pPr>
              <w:shd w:val="clear" w:color="auto" w:fill="FFFFFF"/>
              <w:jc w:val="center"/>
              <w:rPr>
                <w:sz w:val="20"/>
              </w:rPr>
            </w:pPr>
          </w:p>
        </w:tc>
      </w:tr>
      <w:tr w:rsidR="00FA78BD" w:rsidRPr="00CF7578" w14:paraId="7709A4F1" w14:textId="77777777">
        <w:trPr>
          <w:cantSplit/>
          <w:trHeight w:val="23"/>
        </w:trPr>
        <w:tc>
          <w:tcPr>
            <w:tcW w:w="1344" w:type="dxa"/>
            <w:vMerge/>
            <w:tcBorders>
              <w:left w:val="single" w:sz="6" w:space="0" w:color="auto"/>
              <w:bottom w:val="single" w:sz="6" w:space="0" w:color="auto"/>
              <w:right w:val="single" w:sz="6" w:space="0" w:color="auto"/>
            </w:tcBorders>
            <w:shd w:val="clear" w:color="auto" w:fill="FFFFFF"/>
          </w:tcPr>
          <w:p w14:paraId="7709A4E9" w14:textId="77777777" w:rsidR="00FA78BD" w:rsidRPr="00CF7578" w:rsidRDefault="00FA78BD">
            <w:pPr>
              <w:rPr>
                <w:sz w:val="20"/>
              </w:rPr>
            </w:pPr>
          </w:p>
        </w:tc>
        <w:tc>
          <w:tcPr>
            <w:tcW w:w="783" w:type="dxa"/>
            <w:vMerge/>
            <w:tcBorders>
              <w:left w:val="single" w:sz="6" w:space="0" w:color="auto"/>
              <w:bottom w:val="single" w:sz="6" w:space="0" w:color="auto"/>
              <w:right w:val="single" w:sz="6" w:space="0" w:color="auto"/>
            </w:tcBorders>
            <w:shd w:val="clear" w:color="auto" w:fill="FFFFFF"/>
          </w:tcPr>
          <w:p w14:paraId="7709A4EA" w14:textId="77777777" w:rsidR="00FA78BD" w:rsidRPr="00CF7578" w:rsidRDefault="00FA78BD">
            <w:pPr>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4EB" w14:textId="77777777" w:rsidR="00FA78BD" w:rsidRPr="00CF7578" w:rsidRDefault="00CF7578">
            <w:pPr>
              <w:shd w:val="clear" w:color="auto" w:fill="FFFFFF"/>
              <w:rPr>
                <w:sz w:val="20"/>
              </w:rPr>
            </w:pPr>
            <w:r w:rsidRPr="00CF7578">
              <w:rPr>
                <w:sz w:val="20"/>
              </w:rPr>
              <w:t>&gt;100 000 GE</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EC" w14:textId="77777777" w:rsidR="00FA78BD" w:rsidRPr="00CF7578" w:rsidRDefault="00CF7578">
            <w:pPr>
              <w:shd w:val="clear" w:color="auto" w:fill="FFFFFF"/>
              <w:jc w:val="center"/>
              <w:rPr>
                <w:sz w:val="20"/>
              </w:rPr>
            </w:pPr>
            <w:r w:rsidRPr="00CF7578">
              <w:rPr>
                <w:sz w:val="20"/>
              </w:rPr>
              <w:t>mgP/l</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ED" w14:textId="77777777" w:rsidR="00FA78BD" w:rsidRPr="00CF7578" w:rsidRDefault="00CF7578">
            <w:pPr>
              <w:shd w:val="clear" w:color="auto" w:fill="FFFFFF"/>
              <w:jc w:val="center"/>
              <w:rPr>
                <w:sz w:val="20"/>
              </w:rPr>
            </w:pPr>
            <w:r w:rsidRPr="00CF7578">
              <w:rPr>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EE" w14:textId="77777777" w:rsidR="00FA78BD" w:rsidRPr="00CF7578" w:rsidRDefault="00CF7578">
            <w:pPr>
              <w:shd w:val="clear" w:color="auto" w:fill="FFFFFF"/>
              <w:jc w:val="center"/>
              <w:rPr>
                <w:sz w:val="20"/>
              </w:rPr>
            </w:pPr>
            <w:r w:rsidRPr="00CF7578">
              <w:rPr>
                <w:sz w:val="20"/>
              </w:rPr>
              <w:t>-</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709A4EF" w14:textId="77777777" w:rsidR="00FA78BD" w:rsidRPr="00CF7578" w:rsidRDefault="00CF7578">
            <w:pPr>
              <w:shd w:val="clear" w:color="auto" w:fill="FFFFFF"/>
              <w:jc w:val="center"/>
              <w:rPr>
                <w:sz w:val="20"/>
              </w:rPr>
            </w:pPr>
            <w:r w:rsidRPr="00CF7578">
              <w:rPr>
                <w:sz w:val="20"/>
              </w:rPr>
              <w:t>1 (0,5)</w:t>
            </w:r>
          </w:p>
        </w:tc>
        <w:tc>
          <w:tcPr>
            <w:tcW w:w="1418" w:type="dxa"/>
            <w:vMerge/>
            <w:tcBorders>
              <w:left w:val="single" w:sz="4" w:space="0" w:color="auto"/>
              <w:bottom w:val="single" w:sz="4" w:space="0" w:color="auto"/>
              <w:right w:val="single" w:sz="4" w:space="0" w:color="auto"/>
            </w:tcBorders>
            <w:shd w:val="clear" w:color="auto" w:fill="FFFFFF"/>
          </w:tcPr>
          <w:p w14:paraId="7709A4F0" w14:textId="77777777" w:rsidR="00FA78BD" w:rsidRPr="00CF7578" w:rsidRDefault="00FA78BD">
            <w:pPr>
              <w:shd w:val="clear" w:color="auto" w:fill="FFFFFF"/>
              <w:jc w:val="center"/>
              <w:rPr>
                <w:sz w:val="20"/>
              </w:rPr>
            </w:pPr>
          </w:p>
        </w:tc>
      </w:tr>
      <w:tr w:rsidR="00FA78BD" w:rsidRPr="00CF7578" w14:paraId="7709A4F9" w14:textId="77777777">
        <w:trPr>
          <w:cantSplit/>
          <w:trHeight w:val="23"/>
        </w:trPr>
        <w:tc>
          <w:tcPr>
            <w:tcW w:w="1344" w:type="dxa"/>
            <w:tcBorders>
              <w:left w:val="single" w:sz="6" w:space="0" w:color="auto"/>
              <w:right w:val="single" w:sz="6" w:space="0" w:color="auto"/>
            </w:tcBorders>
            <w:shd w:val="clear" w:color="auto" w:fill="FFFFFF"/>
          </w:tcPr>
          <w:p w14:paraId="7709A4F2" w14:textId="77777777" w:rsidR="00FA78BD" w:rsidRPr="00CF7578" w:rsidRDefault="00FA78BD">
            <w:pPr>
              <w:shd w:val="clear" w:color="auto" w:fill="FFFFFF"/>
              <w:rPr>
                <w:sz w:val="20"/>
              </w:rPr>
            </w:pPr>
          </w:p>
        </w:tc>
        <w:tc>
          <w:tcPr>
            <w:tcW w:w="1917" w:type="dxa"/>
            <w:gridSpan w:val="2"/>
            <w:tcBorders>
              <w:top w:val="single" w:sz="6" w:space="0" w:color="auto"/>
              <w:left w:val="single" w:sz="6" w:space="0" w:color="auto"/>
              <w:right w:val="single" w:sz="6" w:space="0" w:color="auto"/>
            </w:tcBorders>
            <w:shd w:val="clear" w:color="auto" w:fill="FFFFFF"/>
            <w:vAlign w:val="center"/>
          </w:tcPr>
          <w:p w14:paraId="7709A4F3" w14:textId="77777777" w:rsidR="00FA78BD" w:rsidRPr="00CF7578" w:rsidRDefault="00CF7578">
            <w:pPr>
              <w:shd w:val="clear" w:color="auto" w:fill="FFFFFF"/>
              <w:rPr>
                <w:sz w:val="20"/>
              </w:rPr>
            </w:pPr>
            <w:r w:rsidRPr="00CF7578">
              <w:rPr>
                <w:sz w:val="20"/>
              </w:rPr>
              <w:t>&lt; 5 m</w:t>
            </w:r>
            <w:r w:rsidRPr="00CF7578">
              <w:rPr>
                <w:sz w:val="20"/>
                <w:vertAlign w:val="superscript"/>
              </w:rPr>
              <w:t>3</w:t>
            </w:r>
            <w:r w:rsidRPr="00CF7578">
              <w:rPr>
                <w:sz w:val="20"/>
              </w:rPr>
              <w:t>/d</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09A4F4" w14:textId="77777777" w:rsidR="00FA78BD" w:rsidRPr="00CF7578" w:rsidRDefault="00CF7578">
            <w:pPr>
              <w:shd w:val="clear" w:color="auto" w:fill="FFFFFF"/>
              <w:jc w:val="center"/>
              <w:rPr>
                <w:sz w:val="20"/>
              </w:rPr>
            </w:pPr>
            <w:r w:rsidRPr="00CF7578">
              <w:rPr>
                <w:sz w:val="20"/>
              </w:rPr>
              <w:t>mgN/l</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09A4F5" w14:textId="77777777" w:rsidR="00FA78BD" w:rsidRPr="00CF7578" w:rsidRDefault="00CF7578">
            <w:pPr>
              <w:shd w:val="clear" w:color="auto" w:fill="FFFFFF"/>
              <w:jc w:val="center"/>
              <w:rPr>
                <w:sz w:val="20"/>
              </w:rPr>
            </w:pPr>
            <w:r w:rsidRPr="00CF7578">
              <w:rPr>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709A4F6" w14:textId="77777777" w:rsidR="00FA78BD" w:rsidRPr="00CF7578" w:rsidRDefault="00CF7578">
            <w:pPr>
              <w:shd w:val="clear" w:color="auto" w:fill="FFFFFF"/>
              <w:jc w:val="center"/>
              <w:rPr>
                <w:sz w:val="20"/>
              </w:rPr>
            </w:pPr>
            <w:r w:rsidRPr="00CF7578">
              <w:rPr>
                <w:sz w:val="20"/>
              </w:rPr>
              <w:t xml:space="preserve">25 </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tcPr>
          <w:p w14:paraId="7709A4F7" w14:textId="77777777" w:rsidR="00FA78BD" w:rsidRPr="00CF7578" w:rsidRDefault="00CF7578">
            <w:pPr>
              <w:shd w:val="clear" w:color="auto" w:fill="FFFFFF"/>
              <w:jc w:val="center"/>
              <w:rPr>
                <w:b/>
                <w:strike/>
                <w:sz w:val="20"/>
                <w:vertAlign w:val="superscript"/>
              </w:rPr>
            </w:pPr>
            <w:r w:rsidRPr="00CF7578">
              <w:rPr>
                <w:b/>
                <w:strike/>
                <w:sz w:val="20"/>
              </w:rPr>
              <w:t>-</w:t>
            </w:r>
          </w:p>
        </w:tc>
        <w:tc>
          <w:tcPr>
            <w:tcW w:w="1418" w:type="dxa"/>
            <w:tcBorders>
              <w:top w:val="single" w:sz="4" w:space="0" w:color="auto"/>
              <w:left w:val="single" w:sz="4" w:space="0" w:color="auto"/>
              <w:right w:val="single" w:sz="4" w:space="0" w:color="auto"/>
            </w:tcBorders>
            <w:shd w:val="clear" w:color="auto" w:fill="FFFFFF"/>
            <w:vAlign w:val="center"/>
          </w:tcPr>
          <w:p w14:paraId="7709A4F8" w14:textId="77777777" w:rsidR="00FA78BD" w:rsidRPr="00CF7578" w:rsidRDefault="00CF7578">
            <w:pPr>
              <w:shd w:val="clear" w:color="auto" w:fill="FFFFFF"/>
              <w:jc w:val="center"/>
              <w:rPr>
                <w:b/>
                <w:sz w:val="20"/>
              </w:rPr>
            </w:pPr>
            <w:r w:rsidRPr="00CF7578">
              <w:rPr>
                <w:b/>
                <w:sz w:val="20"/>
              </w:rPr>
              <w:t>-</w:t>
            </w:r>
          </w:p>
        </w:tc>
      </w:tr>
      <w:tr w:rsidR="00FA78BD" w:rsidRPr="00CF7578" w14:paraId="7709A502" w14:textId="77777777">
        <w:trPr>
          <w:cantSplit/>
          <w:trHeight w:val="23"/>
        </w:trPr>
        <w:tc>
          <w:tcPr>
            <w:tcW w:w="1344" w:type="dxa"/>
            <w:vMerge w:val="restart"/>
            <w:tcBorders>
              <w:left w:val="single" w:sz="6" w:space="0" w:color="auto"/>
              <w:right w:val="single" w:sz="6" w:space="0" w:color="auto"/>
            </w:tcBorders>
            <w:shd w:val="clear" w:color="auto" w:fill="FFFFFF"/>
          </w:tcPr>
          <w:p w14:paraId="7709A4FA" w14:textId="77777777" w:rsidR="00FA78BD" w:rsidRPr="00CF7578" w:rsidRDefault="00CF7578">
            <w:pPr>
              <w:shd w:val="clear" w:color="auto" w:fill="FFFFFF"/>
              <w:rPr>
                <w:sz w:val="20"/>
              </w:rPr>
            </w:pPr>
            <w:r w:rsidRPr="00CF7578">
              <w:rPr>
                <w:sz w:val="20"/>
              </w:rPr>
              <w:t xml:space="preserve">Bendras azotas </w:t>
            </w:r>
            <w:r w:rsidRPr="00CF7578">
              <w:rPr>
                <w:sz w:val="20"/>
                <w:vertAlign w:val="superscript"/>
              </w:rPr>
              <w:t>4,5</w:t>
            </w:r>
          </w:p>
        </w:tc>
        <w:tc>
          <w:tcPr>
            <w:tcW w:w="783" w:type="dxa"/>
            <w:vMerge w:val="restart"/>
            <w:tcBorders>
              <w:top w:val="single" w:sz="6" w:space="0" w:color="auto"/>
              <w:left w:val="single" w:sz="6" w:space="0" w:color="auto"/>
              <w:right w:val="single" w:sz="6" w:space="0" w:color="auto"/>
            </w:tcBorders>
            <w:shd w:val="clear" w:color="auto" w:fill="FFFFFF"/>
            <w:vAlign w:val="center"/>
          </w:tcPr>
          <w:p w14:paraId="7709A4FB" w14:textId="77777777" w:rsidR="00FA78BD" w:rsidRPr="00CF7578" w:rsidRDefault="00CF7578">
            <w:pPr>
              <w:shd w:val="clear" w:color="auto" w:fill="FFFFFF"/>
              <w:jc w:val="center"/>
              <w:rPr>
                <w:sz w:val="20"/>
              </w:rPr>
            </w:pPr>
            <w:r w:rsidRPr="00CF7578">
              <w:rPr>
                <w:sz w:val="20"/>
              </w:rPr>
              <w:t>&gt; 5 m</w:t>
            </w:r>
            <w:r w:rsidRPr="00CF7578">
              <w:rPr>
                <w:sz w:val="20"/>
                <w:vertAlign w:val="superscript"/>
              </w:rPr>
              <w:t>3</w:t>
            </w:r>
            <w:r w:rsidRPr="00CF7578">
              <w:rPr>
                <w:sz w:val="20"/>
              </w:rPr>
              <w:t>/d</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4FC" w14:textId="77777777" w:rsidR="00FA78BD" w:rsidRPr="00CF7578" w:rsidRDefault="00CF7578">
            <w:pPr>
              <w:shd w:val="clear" w:color="auto" w:fill="FFFFFF"/>
              <w:rPr>
                <w:sz w:val="20"/>
              </w:rPr>
            </w:pPr>
            <w:r w:rsidRPr="00CF7578">
              <w:rPr>
                <w:sz w:val="20"/>
              </w:rPr>
              <w:t>&lt; 10 000 GE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709A4FD" w14:textId="77777777" w:rsidR="00FA78BD" w:rsidRPr="00CF7578" w:rsidRDefault="00CF7578">
            <w:pPr>
              <w:shd w:val="clear" w:color="auto" w:fill="FFFFFF"/>
              <w:jc w:val="center"/>
              <w:rPr>
                <w:sz w:val="20"/>
              </w:rPr>
            </w:pPr>
            <w:r w:rsidRPr="00CF7578">
              <w:rPr>
                <w:sz w:val="20"/>
              </w:rPr>
              <w:t>mgN/l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709A4FE" w14:textId="77777777" w:rsidR="00FA78BD" w:rsidRPr="00CF7578" w:rsidRDefault="00CF7578">
            <w:pPr>
              <w:shd w:val="clear" w:color="auto" w:fill="FFFFFF"/>
              <w:jc w:val="center"/>
              <w:rPr>
                <w:sz w:val="20"/>
              </w:rPr>
            </w:pPr>
            <w:r w:rsidRPr="00CF7578">
              <w:rPr>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709A4FF" w14:textId="77777777" w:rsidR="00FA78BD" w:rsidRPr="00CF7578" w:rsidRDefault="00CF7578">
            <w:pPr>
              <w:shd w:val="clear" w:color="auto" w:fill="FFFFFF"/>
              <w:jc w:val="center"/>
              <w:rPr>
                <w:sz w:val="20"/>
              </w:rPr>
            </w:pPr>
            <w:r w:rsidRPr="00CF7578">
              <w:rPr>
                <w:sz w:val="20"/>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14:paraId="7709A500" w14:textId="77777777" w:rsidR="00FA78BD" w:rsidRPr="00CF7578" w:rsidRDefault="00CF7578">
            <w:pPr>
              <w:shd w:val="clear" w:color="auto" w:fill="FFFFFF"/>
              <w:jc w:val="center"/>
              <w:rPr>
                <w:sz w:val="20"/>
              </w:rPr>
            </w:pPr>
            <w:r w:rsidRPr="00CF7578">
              <w:rPr>
                <w:sz w:val="20"/>
              </w:rPr>
              <w:t xml:space="preserve">20 </w:t>
            </w:r>
            <w:r w:rsidRPr="00CF7578">
              <w:rPr>
                <w:sz w:val="20"/>
                <w:vertAlign w:val="superscript"/>
              </w:rPr>
              <w:t>8</w:t>
            </w:r>
          </w:p>
        </w:tc>
        <w:tc>
          <w:tcPr>
            <w:tcW w:w="1418" w:type="dxa"/>
            <w:vMerge w:val="restart"/>
            <w:tcBorders>
              <w:top w:val="single" w:sz="4" w:space="0" w:color="auto"/>
              <w:left w:val="single" w:sz="4" w:space="0" w:color="auto"/>
              <w:right w:val="single" w:sz="4" w:space="0" w:color="auto"/>
            </w:tcBorders>
            <w:shd w:val="clear" w:color="auto" w:fill="FFFFFF"/>
            <w:vAlign w:val="center"/>
          </w:tcPr>
          <w:p w14:paraId="7709A501" w14:textId="77777777" w:rsidR="00FA78BD" w:rsidRPr="00CF7578" w:rsidRDefault="00CF7578">
            <w:pPr>
              <w:shd w:val="clear" w:color="auto" w:fill="FFFFFF"/>
              <w:jc w:val="center"/>
              <w:rPr>
                <w:sz w:val="20"/>
              </w:rPr>
            </w:pPr>
            <w:r w:rsidRPr="00CF7578">
              <w:rPr>
                <w:sz w:val="20"/>
              </w:rPr>
              <w:t>70–80</w:t>
            </w:r>
          </w:p>
        </w:tc>
      </w:tr>
      <w:tr w:rsidR="00FA78BD" w:rsidRPr="00CF7578" w14:paraId="7709A50B" w14:textId="77777777">
        <w:trPr>
          <w:cantSplit/>
          <w:trHeight w:val="23"/>
        </w:trPr>
        <w:tc>
          <w:tcPr>
            <w:tcW w:w="1344" w:type="dxa"/>
            <w:vMerge/>
            <w:tcBorders>
              <w:left w:val="single" w:sz="6" w:space="0" w:color="auto"/>
              <w:right w:val="single" w:sz="6" w:space="0" w:color="auto"/>
            </w:tcBorders>
            <w:shd w:val="clear" w:color="auto" w:fill="FFFFFF"/>
          </w:tcPr>
          <w:p w14:paraId="7709A503" w14:textId="77777777" w:rsidR="00FA78BD" w:rsidRPr="00CF7578" w:rsidRDefault="00FA78BD">
            <w:pPr>
              <w:rPr>
                <w:strike/>
                <w:sz w:val="20"/>
              </w:rPr>
            </w:pPr>
          </w:p>
        </w:tc>
        <w:tc>
          <w:tcPr>
            <w:tcW w:w="783" w:type="dxa"/>
            <w:vMerge/>
            <w:tcBorders>
              <w:left w:val="single" w:sz="6" w:space="0" w:color="auto"/>
              <w:right w:val="single" w:sz="6" w:space="0" w:color="auto"/>
            </w:tcBorders>
            <w:shd w:val="clear" w:color="auto" w:fill="FFFFFF"/>
          </w:tcPr>
          <w:p w14:paraId="7709A504" w14:textId="77777777" w:rsidR="00FA78BD" w:rsidRPr="00CF7578" w:rsidRDefault="00FA78BD">
            <w:pPr>
              <w:rPr>
                <w:strike/>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505" w14:textId="77777777" w:rsidR="00FA78BD" w:rsidRPr="00CF7578" w:rsidRDefault="00CF7578">
            <w:pPr>
              <w:shd w:val="clear" w:color="auto" w:fill="FFFFFF"/>
              <w:rPr>
                <w:sz w:val="20"/>
              </w:rPr>
            </w:pPr>
            <w:r w:rsidRPr="00CF7578">
              <w:rPr>
                <w:sz w:val="20"/>
              </w:rPr>
              <w:t>10 000–100 000 GE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709A506" w14:textId="77777777" w:rsidR="00FA78BD" w:rsidRPr="00CF7578" w:rsidRDefault="00CF7578">
            <w:pPr>
              <w:shd w:val="clear" w:color="auto" w:fill="FFFFFF"/>
              <w:jc w:val="center"/>
              <w:rPr>
                <w:sz w:val="20"/>
              </w:rPr>
            </w:pPr>
            <w:r w:rsidRPr="00CF7578">
              <w:rPr>
                <w:sz w:val="20"/>
              </w:rPr>
              <w:t>mgN/l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709A507" w14:textId="77777777" w:rsidR="00FA78BD" w:rsidRPr="00CF7578" w:rsidRDefault="00CF7578">
            <w:pPr>
              <w:shd w:val="clear" w:color="auto" w:fill="FFFFFF"/>
              <w:jc w:val="center"/>
              <w:rPr>
                <w:sz w:val="20"/>
              </w:rPr>
            </w:pPr>
            <w:r w:rsidRPr="00CF7578">
              <w:rPr>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709A508" w14:textId="77777777" w:rsidR="00FA78BD" w:rsidRPr="00CF7578" w:rsidRDefault="00CF7578">
            <w:pPr>
              <w:shd w:val="clear" w:color="auto" w:fill="FFFFFF"/>
              <w:jc w:val="center"/>
              <w:rPr>
                <w:sz w:val="20"/>
              </w:rPr>
            </w:pPr>
            <w:r w:rsidRPr="00CF7578">
              <w:rPr>
                <w:sz w:val="20"/>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14:paraId="7709A509" w14:textId="77777777" w:rsidR="00FA78BD" w:rsidRPr="00CF7578" w:rsidRDefault="00CF7578">
            <w:pPr>
              <w:shd w:val="clear" w:color="auto" w:fill="FFFFFF"/>
              <w:jc w:val="center"/>
              <w:rPr>
                <w:sz w:val="20"/>
              </w:rPr>
            </w:pPr>
            <w:r w:rsidRPr="00CF7578">
              <w:rPr>
                <w:sz w:val="20"/>
              </w:rPr>
              <w:t>15 (10)</w:t>
            </w:r>
          </w:p>
        </w:tc>
        <w:tc>
          <w:tcPr>
            <w:tcW w:w="1418" w:type="dxa"/>
            <w:vMerge/>
            <w:tcBorders>
              <w:left w:val="single" w:sz="4" w:space="0" w:color="auto"/>
              <w:right w:val="single" w:sz="4" w:space="0" w:color="auto"/>
            </w:tcBorders>
            <w:shd w:val="clear" w:color="auto" w:fill="FFFFFF"/>
          </w:tcPr>
          <w:p w14:paraId="7709A50A" w14:textId="77777777" w:rsidR="00FA78BD" w:rsidRPr="00CF7578" w:rsidRDefault="00FA78BD">
            <w:pPr>
              <w:shd w:val="clear" w:color="auto" w:fill="FFFFFF"/>
              <w:jc w:val="center"/>
              <w:rPr>
                <w:strike/>
                <w:sz w:val="20"/>
              </w:rPr>
            </w:pPr>
          </w:p>
        </w:tc>
      </w:tr>
      <w:tr w:rsidR="00FA78BD" w:rsidRPr="00CF7578" w14:paraId="7709A514" w14:textId="77777777">
        <w:trPr>
          <w:cantSplit/>
          <w:trHeight w:val="23"/>
        </w:trPr>
        <w:tc>
          <w:tcPr>
            <w:tcW w:w="1344" w:type="dxa"/>
            <w:vMerge/>
            <w:tcBorders>
              <w:left w:val="single" w:sz="6" w:space="0" w:color="auto"/>
              <w:bottom w:val="single" w:sz="6" w:space="0" w:color="auto"/>
              <w:right w:val="single" w:sz="6" w:space="0" w:color="auto"/>
            </w:tcBorders>
            <w:shd w:val="clear" w:color="auto" w:fill="FFFFFF"/>
          </w:tcPr>
          <w:p w14:paraId="7709A50C" w14:textId="77777777" w:rsidR="00FA78BD" w:rsidRPr="00CF7578" w:rsidRDefault="00FA78BD">
            <w:pPr>
              <w:rPr>
                <w:strike/>
                <w:sz w:val="20"/>
              </w:rPr>
            </w:pPr>
          </w:p>
        </w:tc>
        <w:tc>
          <w:tcPr>
            <w:tcW w:w="783" w:type="dxa"/>
            <w:vMerge/>
            <w:tcBorders>
              <w:left w:val="single" w:sz="6" w:space="0" w:color="auto"/>
              <w:bottom w:val="single" w:sz="6" w:space="0" w:color="auto"/>
              <w:right w:val="single" w:sz="6" w:space="0" w:color="auto"/>
            </w:tcBorders>
            <w:shd w:val="clear" w:color="auto" w:fill="FFFFFF"/>
          </w:tcPr>
          <w:p w14:paraId="7709A50D" w14:textId="77777777" w:rsidR="00FA78BD" w:rsidRPr="00CF7578" w:rsidRDefault="00FA78BD">
            <w:pPr>
              <w:rPr>
                <w:strike/>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709A50E" w14:textId="77777777" w:rsidR="00FA78BD" w:rsidRPr="00CF7578" w:rsidRDefault="00CF7578">
            <w:pPr>
              <w:shd w:val="clear" w:color="auto" w:fill="FFFFFF"/>
              <w:rPr>
                <w:sz w:val="20"/>
              </w:rPr>
            </w:pPr>
            <w:r w:rsidRPr="00CF7578">
              <w:rPr>
                <w:sz w:val="20"/>
              </w:rPr>
              <w:t>&gt; 100 000 GE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709A50F" w14:textId="77777777" w:rsidR="00FA78BD" w:rsidRPr="00CF7578" w:rsidRDefault="00CF7578">
            <w:pPr>
              <w:shd w:val="clear" w:color="auto" w:fill="FFFFFF"/>
              <w:jc w:val="center"/>
              <w:rPr>
                <w:sz w:val="20"/>
              </w:rPr>
            </w:pPr>
            <w:r w:rsidRPr="00CF7578">
              <w:rPr>
                <w:sz w:val="20"/>
              </w:rPr>
              <w:t>mgN/1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709A510" w14:textId="77777777" w:rsidR="00FA78BD" w:rsidRPr="00CF7578" w:rsidRDefault="00CF7578">
            <w:pPr>
              <w:shd w:val="clear" w:color="auto" w:fill="FFFFFF"/>
              <w:jc w:val="center"/>
              <w:rPr>
                <w:sz w:val="20"/>
              </w:rPr>
            </w:pPr>
            <w:r w:rsidRPr="00CF7578">
              <w:rPr>
                <w:sz w:val="20"/>
              </w:rPr>
              <w:t>-</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709A511" w14:textId="77777777" w:rsidR="00FA78BD" w:rsidRPr="00CF7578" w:rsidRDefault="00CF7578">
            <w:pPr>
              <w:shd w:val="clear" w:color="auto" w:fill="FFFFFF"/>
              <w:jc w:val="center"/>
              <w:rPr>
                <w:sz w:val="20"/>
              </w:rPr>
            </w:pPr>
            <w:r w:rsidRPr="00CF7578">
              <w:rPr>
                <w:sz w:val="20"/>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14:paraId="7709A512" w14:textId="5FE7AEC3" w:rsidR="00FA78BD" w:rsidRPr="00CF7578" w:rsidRDefault="00CF7578">
            <w:pPr>
              <w:shd w:val="clear" w:color="auto" w:fill="FFFFFF"/>
              <w:jc w:val="center"/>
              <w:rPr>
                <w:sz w:val="20"/>
              </w:rPr>
            </w:pPr>
            <w:r w:rsidRPr="00CF7578">
              <w:rPr>
                <w:sz w:val="20"/>
              </w:rPr>
              <w:t>10 (10)</w:t>
            </w:r>
          </w:p>
        </w:tc>
        <w:tc>
          <w:tcPr>
            <w:tcW w:w="1418" w:type="dxa"/>
            <w:vMerge/>
            <w:tcBorders>
              <w:left w:val="single" w:sz="4" w:space="0" w:color="auto"/>
              <w:bottom w:val="single" w:sz="4" w:space="0" w:color="auto"/>
              <w:right w:val="single" w:sz="4" w:space="0" w:color="auto"/>
            </w:tcBorders>
            <w:shd w:val="clear" w:color="auto" w:fill="FFFFFF"/>
          </w:tcPr>
          <w:p w14:paraId="7709A513" w14:textId="77777777" w:rsidR="00FA78BD" w:rsidRPr="00CF7578" w:rsidRDefault="00FA78BD">
            <w:pPr>
              <w:shd w:val="clear" w:color="auto" w:fill="FFFFFF"/>
              <w:jc w:val="center"/>
              <w:rPr>
                <w:strike/>
                <w:sz w:val="20"/>
              </w:rPr>
            </w:pPr>
          </w:p>
        </w:tc>
      </w:tr>
    </w:tbl>
    <w:p w14:paraId="7709A515" w14:textId="230B5213" w:rsidR="00FA78BD" w:rsidRPr="00CF7578" w:rsidRDefault="00CF7578">
      <w:pPr>
        <w:shd w:val="clear" w:color="auto" w:fill="FFFFFF"/>
        <w:ind w:firstLine="709"/>
        <w:jc w:val="both"/>
      </w:pPr>
      <w:r w:rsidRPr="00CF7578">
        <w:t>Pastabos:</w:t>
      </w:r>
    </w:p>
    <w:p w14:paraId="7709A516" w14:textId="77777777" w:rsidR="00FA78BD" w:rsidRPr="00CF7578" w:rsidRDefault="00CF7578">
      <w:pPr>
        <w:shd w:val="clear" w:color="auto" w:fill="FFFFFF"/>
        <w:ind w:firstLine="709"/>
        <w:jc w:val="both"/>
      </w:pPr>
      <w:r w:rsidRPr="00CF7578">
        <w:rPr>
          <w:vertAlign w:val="superscript"/>
        </w:rPr>
        <w:t xml:space="preserve">1 </w:t>
      </w:r>
      <w:r w:rsidRPr="00CF7578">
        <w:t>Teršalo koncentracija vidutiniame paros (proporcingame srautui arba laikui) mėginyje.</w:t>
      </w:r>
    </w:p>
    <w:p w14:paraId="7709A517" w14:textId="77777777" w:rsidR="00FA78BD" w:rsidRPr="00CF7578" w:rsidRDefault="00CF7578">
      <w:pPr>
        <w:shd w:val="clear" w:color="auto" w:fill="FFFFFF"/>
        <w:ind w:firstLine="709"/>
        <w:jc w:val="both"/>
      </w:pPr>
      <w:r w:rsidRPr="00CF7578">
        <w:rPr>
          <w:vertAlign w:val="superscript"/>
        </w:rPr>
        <w:t xml:space="preserve">2 </w:t>
      </w:r>
      <w:r w:rsidRPr="00CF7578">
        <w:t>Nuotekų valymo efektyvumas = ((atitekančių teršalų kiekis – išleidžiamų teršalų kiekis) / atitekančių teršalų kiekis) * 100.</w:t>
      </w:r>
    </w:p>
    <w:p w14:paraId="7709A518" w14:textId="77777777" w:rsidR="00FA78BD" w:rsidRPr="00CF7578" w:rsidRDefault="00CF7578">
      <w:pPr>
        <w:shd w:val="clear" w:color="auto" w:fill="FFFFFF"/>
        <w:ind w:firstLine="709"/>
        <w:jc w:val="both"/>
      </w:pPr>
      <w:r w:rsidRPr="00CF7578">
        <w:t xml:space="preserve">Minimalaus išvalymo efektyvumo reikalavimai netaikomi skaičiuojant mokesčius už taršą t.y. LT per ataskaitinį laikotarpį ir vidutinė metinė LK negali būti viršijama nepriklausomai nuo to, ar buvo </w:t>
      </w:r>
      <w:r w:rsidRPr="00CF7578">
        <w:lastRenderedPageBreak/>
        <w:t>pasiektas minimalus išvalymo efektyvumas, tačiau vidutinio paros mėginio arba momentinės LK viršijimas nelaikomas pažeidimu, jeigu viršijimo metu išlaikomas minimalus išvalymo efektyvumas.</w:t>
      </w:r>
    </w:p>
    <w:p w14:paraId="7709A519" w14:textId="77777777" w:rsidR="00FA78BD" w:rsidRPr="00CF7578" w:rsidRDefault="00CF7578">
      <w:pPr>
        <w:shd w:val="clear" w:color="auto" w:fill="FFFFFF"/>
        <w:tabs>
          <w:tab w:val="left" w:pos="298"/>
        </w:tabs>
        <w:ind w:firstLine="709"/>
        <w:jc w:val="both"/>
      </w:pPr>
      <w:r w:rsidRPr="00CF7578">
        <w:rPr>
          <w:vertAlign w:val="superscript"/>
        </w:rPr>
        <w:t xml:space="preserve">3 </w:t>
      </w:r>
      <w:r w:rsidRPr="00CF7578">
        <w:t>Į leidimą, projektavimo sąlygas ar pan. turi būti įrašomas normatyvas pagal BDS</w:t>
      </w:r>
      <w:r w:rsidRPr="00CF7578">
        <w:rPr>
          <w:vertAlign w:val="subscript"/>
        </w:rPr>
        <w:t>7</w:t>
      </w:r>
      <w:r w:rsidRPr="00CF7578">
        <w:t>. Perskaičiuojant BDS</w:t>
      </w:r>
      <w:r w:rsidRPr="00CF7578">
        <w:rPr>
          <w:vertAlign w:val="subscript"/>
        </w:rPr>
        <w:t>5</w:t>
      </w:r>
      <w:r w:rsidRPr="00CF7578">
        <w:t xml:space="preserve"> į BDS</w:t>
      </w:r>
      <w:r w:rsidRPr="00CF7578">
        <w:rPr>
          <w:vertAlign w:val="subscript"/>
        </w:rPr>
        <w:t>7</w:t>
      </w:r>
      <w:r w:rsidRPr="00CF7578">
        <w:t>, taikoma formulė: BDS</w:t>
      </w:r>
      <w:r w:rsidRPr="00CF7578">
        <w:rPr>
          <w:vertAlign w:val="subscript"/>
        </w:rPr>
        <w:t>7</w:t>
      </w:r>
      <w:r w:rsidRPr="00CF7578">
        <w:t xml:space="preserve"> = 1,15 x BDS</w:t>
      </w:r>
      <w:r w:rsidRPr="00CF7578">
        <w:rPr>
          <w:vertAlign w:val="subscript"/>
        </w:rPr>
        <w:t>5</w:t>
      </w:r>
      <w:r w:rsidRPr="00CF7578">
        <w:t>.</w:t>
      </w:r>
    </w:p>
    <w:p w14:paraId="7709A51A" w14:textId="77777777" w:rsidR="00FA78BD" w:rsidRPr="00CF7578" w:rsidRDefault="00CF7578">
      <w:pPr>
        <w:shd w:val="clear" w:color="auto" w:fill="FFFFFF"/>
        <w:tabs>
          <w:tab w:val="left" w:pos="235"/>
        </w:tabs>
        <w:ind w:firstLine="709"/>
        <w:jc w:val="both"/>
      </w:pPr>
      <w:r w:rsidRPr="00CF7578">
        <w:rPr>
          <w:vertAlign w:val="superscript"/>
        </w:rPr>
        <w:t xml:space="preserve">4 </w:t>
      </w:r>
      <w:r w:rsidRPr="00CF7578">
        <w:t>Bendras azotas – tai Kjeldalio azotas (organinis ir amoniakinis azotas), prie kurio pridedamas nitritų ir nitratų azotas.</w:t>
      </w:r>
    </w:p>
    <w:p w14:paraId="7709A51B" w14:textId="77777777" w:rsidR="00FA78BD" w:rsidRPr="00CF7578" w:rsidRDefault="00CF7578">
      <w:pPr>
        <w:shd w:val="clear" w:color="auto" w:fill="FFFFFF"/>
        <w:ind w:firstLine="709"/>
        <w:jc w:val="both"/>
      </w:pPr>
      <w:r w:rsidRPr="00CF7578">
        <w:rPr>
          <w:vertAlign w:val="superscript"/>
        </w:rPr>
        <w:t xml:space="preserve">5 </w:t>
      </w:r>
      <w:r w:rsidRPr="00CF7578">
        <w:t>Bendrąjį azotą taip pat galima kontroliuoti pagal dienos vidurkį. Šiuo atveju dienos vidurkis negali būti didesnis kaip 20 mg/l, kai nuotekų temperatūra yra 12 °C arba aukštesnė (taikoma tik vertinant valymo įrenginių atitiktį ES reikalavimams (teikiant ataskaitas ES).</w:t>
      </w:r>
    </w:p>
    <w:p w14:paraId="7709A51C" w14:textId="77777777" w:rsidR="00FA78BD" w:rsidRPr="00CF7578" w:rsidRDefault="00CF7578">
      <w:pPr>
        <w:shd w:val="clear" w:color="auto" w:fill="FFFFFF"/>
        <w:tabs>
          <w:tab w:val="left" w:pos="197"/>
        </w:tabs>
        <w:ind w:firstLine="709"/>
        <w:jc w:val="both"/>
      </w:pPr>
      <w:r w:rsidRPr="00CF7578">
        <w:rPr>
          <w:vertAlign w:val="superscript"/>
        </w:rPr>
        <w:t xml:space="preserve">6 </w:t>
      </w:r>
      <w:r w:rsidRPr="00CF7578">
        <w:t>Vidutinė metinė koncentracija nustatoma pagal objekto faktines galimybes, bet negali būti didesnė už vidutinio paros mėginio DLK.</w:t>
      </w:r>
    </w:p>
    <w:p w14:paraId="7709A51D" w14:textId="77777777" w:rsidR="00FA78BD" w:rsidRPr="00CF7578" w:rsidRDefault="00CF7578">
      <w:pPr>
        <w:shd w:val="clear" w:color="auto" w:fill="FFFFFF"/>
        <w:tabs>
          <w:tab w:val="left" w:pos="197"/>
        </w:tabs>
        <w:ind w:firstLine="709"/>
        <w:jc w:val="both"/>
      </w:pPr>
      <w:r w:rsidRPr="00CF7578">
        <w:rPr>
          <w:vertAlign w:val="superscript"/>
        </w:rPr>
        <w:t xml:space="preserve">7 </w:t>
      </w:r>
      <w:r w:rsidRPr="00CF7578">
        <w:t>Taikoma komunalinėms, buitinėms ir gamybinėms nuotekoms ir tik tuo atveju, kai pagal 11 punkto nuostatas turi būti atliekamas poveikio priimtuvui vertinimas. Kai apskaičiuota leistina nuotekų užterštumo bendruoju fosforu vidutinė metinė koncentracija, kuriai esant nebūtų viršijamas leistinas poveikis paviršiniam vandens telkiniui, yra mažesnė kaip 2 mg/l (jeigu apskaičiuota koncentracija nuo 2 iki 10 mg/l, – LK nustatoma pagal skaičiavimo rezultatus, jeigu apskaičiuota koncentracija didesnė už 10 mg/l, – LK nenustatoma (bendras P nenormuojamas), o jeigu mažesnė arba lygi 2 mg/l, – LK nustatoma lygi 2 mg/l).</w:t>
      </w:r>
    </w:p>
    <w:p w14:paraId="7709A51E" w14:textId="77777777" w:rsidR="00FA78BD" w:rsidRPr="00CF7578" w:rsidRDefault="00CF7578">
      <w:pPr>
        <w:shd w:val="clear" w:color="auto" w:fill="FFFFFF"/>
        <w:ind w:firstLine="709"/>
        <w:jc w:val="both"/>
      </w:pPr>
      <w:r w:rsidRPr="00CF7578">
        <w:rPr>
          <w:vertAlign w:val="superscript"/>
        </w:rPr>
        <w:t xml:space="preserve">8 </w:t>
      </w:r>
      <w:r w:rsidRPr="00CF7578">
        <w:t>Taikoma komunalinėms, buitinėms</w:t>
      </w:r>
      <w:r w:rsidRPr="00CF7578">
        <w:rPr>
          <w:b/>
          <w:bCs/>
        </w:rPr>
        <w:t xml:space="preserve"> </w:t>
      </w:r>
      <w:r w:rsidRPr="00CF7578">
        <w:t>ir gamybinėms nuotekoms ir tik tuo atveju, kai pagal 11 punkto nuostatas turi būti atliekamas poveikio priimtuvui vertinimas. Kai apskaičiuota leistina nuotekų užterštumo bendruoju azotu vidutinė metinė koncentracija, kuriai esant nebūtų viršijamas leistinas poveikis paviršiniam vandens telkiniui, yra mažesnė kaip 20 mg/l (jeigu apskaičiuota koncentracija nuo 20 iki 40 mg/l, – LK nustatoma pagal skaičiavimo rezultatus, jeigu apskaičiuota koncentracija didesnė už 40 mg/l, – LK nenustatoma (bendras N nenormuojamas), o jeigu mažesnė arba lygi 20 mg/l, – LK nustatoma lygi 20 mg/l).</w:t>
      </w:r>
    </w:p>
    <w:p w14:paraId="7709A51F" w14:textId="1DD582E5" w:rsidR="00FA78BD" w:rsidRPr="00CF7578" w:rsidRDefault="00CF7578">
      <w:pPr>
        <w:shd w:val="clear" w:color="auto" w:fill="FFFFFF"/>
        <w:ind w:firstLine="709"/>
        <w:jc w:val="both"/>
      </w:pPr>
      <w:r w:rsidRPr="00CF7578">
        <w:rPr>
          <w:vertAlign w:val="superscript"/>
        </w:rPr>
        <w:t>9</w:t>
      </w:r>
      <w:r w:rsidRPr="00CF7578">
        <w:t xml:space="preserve"> Mažiausia galima LK vertė, t. y. LK buitinių ir komunalinių ir gamybinių nuotekų išleidimui negali būti griežtesnė už skliausteliuose nurodytą vertę.“</w:t>
      </w:r>
    </w:p>
    <w:p w14:paraId="7709A520" w14:textId="77777777" w:rsidR="00FA78BD" w:rsidRPr="00CF7578" w:rsidRDefault="00CF7578">
      <w:pPr>
        <w:suppressAutoHyphens/>
        <w:spacing w:line="276" w:lineRule="auto"/>
        <w:ind w:firstLine="709"/>
        <w:jc w:val="both"/>
        <w:textAlignment w:val="center"/>
        <w:rPr>
          <w:color w:val="000000"/>
          <w:szCs w:val="24"/>
          <w:lang w:eastAsia="lt-LT"/>
        </w:rPr>
      </w:pPr>
      <w:r w:rsidRPr="00CF7578">
        <w:rPr>
          <w:color w:val="000000"/>
          <w:szCs w:val="24"/>
          <w:lang w:eastAsia="lt-LT"/>
        </w:rPr>
        <w:t>2. N u s t a t a u, kad:</w:t>
      </w:r>
    </w:p>
    <w:p w14:paraId="7709A521" w14:textId="77777777" w:rsidR="00FA78BD" w:rsidRPr="00CF7578" w:rsidRDefault="00CF7578">
      <w:pPr>
        <w:suppressAutoHyphens/>
        <w:spacing w:line="276" w:lineRule="auto"/>
        <w:ind w:firstLine="709"/>
        <w:jc w:val="both"/>
        <w:textAlignment w:val="center"/>
        <w:rPr>
          <w:color w:val="000000"/>
          <w:szCs w:val="24"/>
          <w:lang w:eastAsia="zh-CN"/>
        </w:rPr>
      </w:pPr>
      <w:r w:rsidRPr="00CF7578">
        <w:rPr>
          <w:color w:val="000000"/>
          <w:szCs w:val="24"/>
          <w:lang w:eastAsia="lt-LT"/>
        </w:rPr>
        <w:t>2.1. iki šio įsakymo įsigaliojimo dienos įrengtiems valymo įrenginiams, valantiems iki 5 m</w:t>
      </w:r>
      <w:r w:rsidRPr="00CF7578">
        <w:rPr>
          <w:color w:val="000000"/>
          <w:szCs w:val="24"/>
          <w:vertAlign w:val="superscript"/>
          <w:lang w:eastAsia="lt-LT"/>
        </w:rPr>
        <w:t>3</w:t>
      </w:r>
      <w:r w:rsidRPr="00CF7578">
        <w:rPr>
          <w:color w:val="000000"/>
          <w:szCs w:val="24"/>
          <w:lang w:eastAsia="lt-LT"/>
        </w:rPr>
        <w:t xml:space="preserve">/d nuotekų, </w:t>
      </w:r>
      <w:r w:rsidRPr="00CF7578">
        <w:rPr>
          <w:color w:val="000000"/>
          <w:szCs w:val="24"/>
          <w:lang w:eastAsia="zh-CN"/>
        </w:rPr>
        <w:t>šio įsakymo nuostatos taikomos nuo 2030 m. sausio 1 d.;</w:t>
      </w:r>
    </w:p>
    <w:p w14:paraId="7709A525" w14:textId="77F69C9F" w:rsidR="00FA78BD" w:rsidRPr="00CF7578" w:rsidRDefault="00CF7578" w:rsidP="00CF7578">
      <w:pPr>
        <w:suppressAutoHyphens/>
        <w:spacing w:line="276" w:lineRule="auto"/>
        <w:ind w:firstLine="709"/>
        <w:jc w:val="both"/>
        <w:textAlignment w:val="center"/>
        <w:rPr>
          <w:rFonts w:eastAsia="Calibri"/>
          <w:szCs w:val="24"/>
          <w:lang w:eastAsia="lt-LT"/>
        </w:rPr>
      </w:pPr>
      <w:r w:rsidRPr="00CF7578">
        <w:rPr>
          <w:color w:val="000000"/>
          <w:szCs w:val="24"/>
          <w:lang w:eastAsia="lt-LT"/>
        </w:rPr>
        <w:t>2.2. šis įsakymas įsigalioja 2019 m. lapkričio 1 d.</w:t>
      </w:r>
    </w:p>
    <w:p w14:paraId="60773218" w14:textId="77777777" w:rsidR="00CF7578" w:rsidRPr="00CF7578" w:rsidRDefault="00CF7578">
      <w:pPr>
        <w:spacing w:line="276" w:lineRule="auto"/>
      </w:pPr>
    </w:p>
    <w:p w14:paraId="6CBBA94A" w14:textId="77777777" w:rsidR="00CF7578" w:rsidRPr="00CF7578" w:rsidRDefault="00CF7578">
      <w:pPr>
        <w:spacing w:line="276" w:lineRule="auto"/>
      </w:pPr>
    </w:p>
    <w:p w14:paraId="765A7E2E" w14:textId="77777777" w:rsidR="00CF7578" w:rsidRPr="00CF7578" w:rsidRDefault="00CF7578">
      <w:pPr>
        <w:spacing w:line="276" w:lineRule="auto"/>
      </w:pPr>
    </w:p>
    <w:p w14:paraId="7709A526" w14:textId="57C99DE8" w:rsidR="00FA78BD" w:rsidRPr="00CF7578" w:rsidRDefault="00CF7578">
      <w:pPr>
        <w:spacing w:line="276" w:lineRule="auto"/>
        <w:rPr>
          <w:rFonts w:eastAsia="Calibri"/>
          <w:szCs w:val="24"/>
          <w:lang w:eastAsia="lt-LT"/>
        </w:rPr>
      </w:pPr>
      <w:r w:rsidRPr="00CF7578">
        <w:rPr>
          <w:rFonts w:eastAsia="Calibri"/>
          <w:szCs w:val="24"/>
          <w:lang w:eastAsia="lt-LT"/>
        </w:rPr>
        <w:t xml:space="preserve">Aplinkos ministras       </w:t>
      </w:r>
      <w:r w:rsidRPr="00CF7578">
        <w:rPr>
          <w:rFonts w:eastAsia="Calibri"/>
          <w:szCs w:val="24"/>
          <w:lang w:eastAsia="lt-LT"/>
        </w:rPr>
        <w:tab/>
      </w:r>
      <w:r w:rsidRPr="00CF7578">
        <w:rPr>
          <w:rFonts w:eastAsia="Calibri"/>
          <w:szCs w:val="24"/>
          <w:lang w:eastAsia="lt-LT"/>
        </w:rPr>
        <w:tab/>
      </w:r>
      <w:r w:rsidRPr="00CF7578">
        <w:rPr>
          <w:rFonts w:eastAsia="Calibri"/>
          <w:szCs w:val="24"/>
          <w:lang w:eastAsia="lt-LT"/>
        </w:rPr>
        <w:tab/>
      </w:r>
      <w:r w:rsidRPr="00CF7578">
        <w:rPr>
          <w:rFonts w:eastAsia="Calibri"/>
          <w:szCs w:val="24"/>
          <w:lang w:eastAsia="lt-LT"/>
        </w:rPr>
        <w:tab/>
      </w:r>
      <w:r w:rsidRPr="00CF7578">
        <w:rPr>
          <w:rFonts w:eastAsia="Calibri"/>
          <w:szCs w:val="24"/>
          <w:lang w:eastAsia="lt-LT"/>
        </w:rPr>
        <w:tab/>
        <w:t xml:space="preserve">         Kęstutis Navickas</w:t>
      </w:r>
    </w:p>
    <w:sectPr w:rsidR="00FA78BD" w:rsidRPr="00CF7578">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1134" w:right="540" w:bottom="1418" w:left="125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587E9" w14:textId="77777777" w:rsidR="00E65D6F" w:rsidRDefault="00E65D6F">
      <w:pPr>
        <w:rPr>
          <w:rFonts w:ascii="Calibri" w:eastAsia="Calibri" w:hAnsi="Calibri"/>
          <w:sz w:val="22"/>
          <w:szCs w:val="22"/>
        </w:rPr>
      </w:pPr>
      <w:r>
        <w:rPr>
          <w:rFonts w:ascii="Calibri" w:eastAsia="Calibri" w:hAnsi="Calibri"/>
          <w:sz w:val="22"/>
          <w:szCs w:val="22"/>
        </w:rPr>
        <w:separator/>
      </w:r>
    </w:p>
  </w:endnote>
  <w:endnote w:type="continuationSeparator" w:id="0">
    <w:p w14:paraId="79AD8F42" w14:textId="77777777" w:rsidR="00E65D6F" w:rsidRDefault="00E65D6F">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A530" w14:textId="77777777" w:rsidR="00FA78BD" w:rsidRDefault="00FA78BD">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A531" w14:textId="77777777" w:rsidR="00FA78BD" w:rsidRDefault="00FA78BD">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A533" w14:textId="77777777" w:rsidR="00FA78BD" w:rsidRDefault="00FA78BD">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CF299" w14:textId="77777777" w:rsidR="00E65D6F" w:rsidRDefault="00E65D6F">
      <w:pPr>
        <w:rPr>
          <w:rFonts w:ascii="Calibri" w:eastAsia="Calibri" w:hAnsi="Calibri"/>
          <w:sz w:val="22"/>
          <w:szCs w:val="22"/>
        </w:rPr>
      </w:pPr>
      <w:r>
        <w:rPr>
          <w:rFonts w:ascii="Calibri" w:eastAsia="Calibri" w:hAnsi="Calibri"/>
          <w:sz w:val="22"/>
          <w:szCs w:val="22"/>
        </w:rPr>
        <w:separator/>
      </w:r>
    </w:p>
  </w:footnote>
  <w:footnote w:type="continuationSeparator" w:id="0">
    <w:p w14:paraId="1784D4A2" w14:textId="77777777" w:rsidR="00E65D6F" w:rsidRDefault="00E65D6F">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A52D" w14:textId="77777777" w:rsidR="00FA78BD" w:rsidRDefault="00FA78BD">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A52E" w14:textId="002A7908" w:rsidR="00FA78BD" w:rsidRDefault="00CF7578">
    <w:pPr>
      <w:tabs>
        <w:tab w:val="center" w:pos="4819"/>
        <w:tab w:val="right" w:pos="9638"/>
      </w:tabs>
      <w:jc w:val="center"/>
      <w:rPr>
        <w:rFonts w:ascii="Calibri" w:eastAsia="Calibri" w:hAnsi="Calibri"/>
        <w:sz w:val="22"/>
        <w:szCs w:val="22"/>
      </w:rPr>
    </w:pPr>
    <w:r>
      <w:rPr>
        <w:rFonts w:eastAsia="Calibri"/>
        <w:sz w:val="22"/>
        <w:szCs w:val="22"/>
      </w:rPr>
      <w:fldChar w:fldCharType="begin"/>
    </w:r>
    <w:r>
      <w:rPr>
        <w:rFonts w:eastAsia="Calibri"/>
        <w:sz w:val="22"/>
        <w:szCs w:val="22"/>
      </w:rPr>
      <w:instrText xml:space="preserve"> PAGE   \* MERGEFORMAT </w:instrText>
    </w:r>
    <w:r>
      <w:rPr>
        <w:rFonts w:eastAsia="Calibri"/>
        <w:sz w:val="22"/>
        <w:szCs w:val="22"/>
      </w:rPr>
      <w:fldChar w:fldCharType="separate"/>
    </w:r>
    <w:r w:rsidR="00987453">
      <w:rPr>
        <w:rFonts w:eastAsia="Calibri"/>
        <w:noProof/>
        <w:sz w:val="22"/>
        <w:szCs w:val="22"/>
      </w:rPr>
      <w:t>2</w:t>
    </w:r>
    <w:r>
      <w:rPr>
        <w:rFonts w:eastAsia="Calibri"/>
        <w:sz w:val="22"/>
        <w:szCs w:val="22"/>
      </w:rPr>
      <w:fldChar w:fldCharType="end"/>
    </w:r>
  </w:p>
  <w:p w14:paraId="7709A52F" w14:textId="77777777" w:rsidR="00FA78BD" w:rsidRDefault="00FA78B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A532" w14:textId="77777777" w:rsidR="00FA78BD" w:rsidRDefault="00FA78BD">
    <w:pPr>
      <w:tabs>
        <w:tab w:val="center" w:pos="4819"/>
        <w:tab w:val="right" w:pos="9638"/>
      </w:tabs>
      <w:rPr>
        <w:rFonts w:ascii="TimesNewRomanPSMT" w:eastAsia="Calibri" w:hAnsi="TimesNewRomanPSMT"/>
        <w:szCs w:val="22"/>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73"/>
    <w:rsid w:val="00987453"/>
    <w:rsid w:val="00CF7578"/>
    <w:rsid w:val="00E65D6F"/>
    <w:rsid w:val="00E92473"/>
    <w:rsid w:val="00FA7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9A48D"/>
  <w15:docId w15:val="{33A9F289-2493-4D22-89BB-A8BC7F7A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F75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8454">
      <w:bodyDiv w:val="1"/>
      <w:marLeft w:val="0"/>
      <w:marRight w:val="0"/>
      <w:marTop w:val="0"/>
      <w:marBottom w:val="0"/>
      <w:divBdr>
        <w:top w:val="none" w:sz="0" w:space="0" w:color="auto"/>
        <w:left w:val="none" w:sz="0" w:space="0" w:color="auto"/>
        <w:bottom w:val="none" w:sz="0" w:space="0" w:color="auto"/>
        <w:right w:val="none" w:sz="0" w:space="0" w:color="auto"/>
      </w:divBdr>
    </w:div>
    <w:div w:id="59061116">
      <w:bodyDiv w:val="1"/>
      <w:marLeft w:val="0"/>
      <w:marRight w:val="0"/>
      <w:marTop w:val="0"/>
      <w:marBottom w:val="0"/>
      <w:divBdr>
        <w:top w:val="none" w:sz="0" w:space="0" w:color="auto"/>
        <w:left w:val="none" w:sz="0" w:space="0" w:color="auto"/>
        <w:bottom w:val="none" w:sz="0" w:space="0" w:color="auto"/>
        <w:right w:val="none" w:sz="0" w:space="0" w:color="auto"/>
      </w:divBdr>
    </w:div>
    <w:div w:id="115174801">
      <w:bodyDiv w:val="1"/>
      <w:marLeft w:val="0"/>
      <w:marRight w:val="0"/>
      <w:marTop w:val="0"/>
      <w:marBottom w:val="0"/>
      <w:divBdr>
        <w:top w:val="none" w:sz="0" w:space="0" w:color="auto"/>
        <w:left w:val="none" w:sz="0" w:space="0" w:color="auto"/>
        <w:bottom w:val="none" w:sz="0" w:space="0" w:color="auto"/>
        <w:right w:val="none" w:sz="0" w:space="0" w:color="auto"/>
      </w:divBdr>
    </w:div>
    <w:div w:id="245311855">
      <w:bodyDiv w:val="1"/>
      <w:marLeft w:val="0"/>
      <w:marRight w:val="0"/>
      <w:marTop w:val="0"/>
      <w:marBottom w:val="0"/>
      <w:divBdr>
        <w:top w:val="none" w:sz="0" w:space="0" w:color="auto"/>
        <w:left w:val="none" w:sz="0" w:space="0" w:color="auto"/>
        <w:bottom w:val="none" w:sz="0" w:space="0" w:color="auto"/>
        <w:right w:val="none" w:sz="0" w:space="0" w:color="auto"/>
      </w:divBdr>
    </w:div>
    <w:div w:id="248007985">
      <w:bodyDiv w:val="1"/>
      <w:marLeft w:val="0"/>
      <w:marRight w:val="0"/>
      <w:marTop w:val="0"/>
      <w:marBottom w:val="0"/>
      <w:divBdr>
        <w:top w:val="none" w:sz="0" w:space="0" w:color="auto"/>
        <w:left w:val="none" w:sz="0" w:space="0" w:color="auto"/>
        <w:bottom w:val="none" w:sz="0" w:space="0" w:color="auto"/>
        <w:right w:val="none" w:sz="0" w:space="0" w:color="auto"/>
      </w:divBdr>
    </w:div>
    <w:div w:id="384529030">
      <w:bodyDiv w:val="1"/>
      <w:marLeft w:val="0"/>
      <w:marRight w:val="0"/>
      <w:marTop w:val="0"/>
      <w:marBottom w:val="0"/>
      <w:divBdr>
        <w:top w:val="none" w:sz="0" w:space="0" w:color="auto"/>
        <w:left w:val="none" w:sz="0" w:space="0" w:color="auto"/>
        <w:bottom w:val="none" w:sz="0" w:space="0" w:color="auto"/>
        <w:right w:val="none" w:sz="0" w:space="0" w:color="auto"/>
      </w:divBdr>
    </w:div>
    <w:div w:id="474569887">
      <w:bodyDiv w:val="1"/>
      <w:marLeft w:val="0"/>
      <w:marRight w:val="0"/>
      <w:marTop w:val="0"/>
      <w:marBottom w:val="0"/>
      <w:divBdr>
        <w:top w:val="none" w:sz="0" w:space="0" w:color="auto"/>
        <w:left w:val="none" w:sz="0" w:space="0" w:color="auto"/>
        <w:bottom w:val="none" w:sz="0" w:space="0" w:color="auto"/>
        <w:right w:val="none" w:sz="0" w:space="0" w:color="auto"/>
      </w:divBdr>
    </w:div>
    <w:div w:id="534512019">
      <w:bodyDiv w:val="1"/>
      <w:marLeft w:val="0"/>
      <w:marRight w:val="0"/>
      <w:marTop w:val="0"/>
      <w:marBottom w:val="0"/>
      <w:divBdr>
        <w:top w:val="none" w:sz="0" w:space="0" w:color="auto"/>
        <w:left w:val="none" w:sz="0" w:space="0" w:color="auto"/>
        <w:bottom w:val="none" w:sz="0" w:space="0" w:color="auto"/>
        <w:right w:val="none" w:sz="0" w:space="0" w:color="auto"/>
      </w:divBdr>
    </w:div>
    <w:div w:id="887423262">
      <w:bodyDiv w:val="1"/>
      <w:marLeft w:val="0"/>
      <w:marRight w:val="0"/>
      <w:marTop w:val="0"/>
      <w:marBottom w:val="0"/>
      <w:divBdr>
        <w:top w:val="none" w:sz="0" w:space="0" w:color="auto"/>
        <w:left w:val="none" w:sz="0" w:space="0" w:color="auto"/>
        <w:bottom w:val="none" w:sz="0" w:space="0" w:color="auto"/>
        <w:right w:val="none" w:sz="0" w:space="0" w:color="auto"/>
      </w:divBdr>
      <w:divsChild>
        <w:div w:id="1386296342">
          <w:marLeft w:val="0"/>
          <w:marRight w:val="0"/>
          <w:marTop w:val="0"/>
          <w:marBottom w:val="0"/>
          <w:divBdr>
            <w:top w:val="none" w:sz="0" w:space="0" w:color="auto"/>
            <w:left w:val="none" w:sz="0" w:space="0" w:color="auto"/>
            <w:bottom w:val="none" w:sz="0" w:space="0" w:color="auto"/>
            <w:right w:val="none" w:sz="0" w:space="0" w:color="auto"/>
          </w:divBdr>
          <w:divsChild>
            <w:div w:id="287246412">
              <w:marLeft w:val="0"/>
              <w:marRight w:val="0"/>
              <w:marTop w:val="0"/>
              <w:marBottom w:val="0"/>
              <w:divBdr>
                <w:top w:val="none" w:sz="0" w:space="0" w:color="auto"/>
                <w:left w:val="none" w:sz="0" w:space="0" w:color="auto"/>
                <w:bottom w:val="none" w:sz="0" w:space="0" w:color="auto"/>
                <w:right w:val="none" w:sz="0" w:space="0" w:color="auto"/>
              </w:divBdr>
              <w:divsChild>
                <w:div w:id="1602639645">
                  <w:marLeft w:val="0"/>
                  <w:marRight w:val="0"/>
                  <w:marTop w:val="0"/>
                  <w:marBottom w:val="0"/>
                  <w:divBdr>
                    <w:top w:val="none" w:sz="0" w:space="0" w:color="auto"/>
                    <w:left w:val="none" w:sz="0" w:space="0" w:color="auto"/>
                    <w:bottom w:val="none" w:sz="0" w:space="0" w:color="auto"/>
                    <w:right w:val="none" w:sz="0" w:space="0" w:color="auto"/>
                  </w:divBdr>
                  <w:divsChild>
                    <w:div w:id="15999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85541">
      <w:bodyDiv w:val="1"/>
      <w:marLeft w:val="0"/>
      <w:marRight w:val="0"/>
      <w:marTop w:val="0"/>
      <w:marBottom w:val="0"/>
      <w:divBdr>
        <w:top w:val="none" w:sz="0" w:space="0" w:color="auto"/>
        <w:left w:val="none" w:sz="0" w:space="0" w:color="auto"/>
        <w:bottom w:val="none" w:sz="0" w:space="0" w:color="auto"/>
        <w:right w:val="none" w:sz="0" w:space="0" w:color="auto"/>
      </w:divBdr>
    </w:div>
    <w:div w:id="984745909">
      <w:bodyDiv w:val="1"/>
      <w:marLeft w:val="0"/>
      <w:marRight w:val="0"/>
      <w:marTop w:val="0"/>
      <w:marBottom w:val="0"/>
      <w:divBdr>
        <w:top w:val="none" w:sz="0" w:space="0" w:color="auto"/>
        <w:left w:val="none" w:sz="0" w:space="0" w:color="auto"/>
        <w:bottom w:val="none" w:sz="0" w:space="0" w:color="auto"/>
        <w:right w:val="none" w:sz="0" w:space="0" w:color="auto"/>
      </w:divBdr>
    </w:div>
    <w:div w:id="998969993">
      <w:bodyDiv w:val="1"/>
      <w:marLeft w:val="0"/>
      <w:marRight w:val="0"/>
      <w:marTop w:val="0"/>
      <w:marBottom w:val="0"/>
      <w:divBdr>
        <w:top w:val="none" w:sz="0" w:space="0" w:color="auto"/>
        <w:left w:val="none" w:sz="0" w:space="0" w:color="auto"/>
        <w:bottom w:val="none" w:sz="0" w:space="0" w:color="auto"/>
        <w:right w:val="none" w:sz="0" w:space="0" w:color="auto"/>
      </w:divBdr>
      <w:divsChild>
        <w:div w:id="198710688">
          <w:marLeft w:val="0"/>
          <w:marRight w:val="0"/>
          <w:marTop w:val="0"/>
          <w:marBottom w:val="0"/>
          <w:divBdr>
            <w:top w:val="none" w:sz="0" w:space="0" w:color="auto"/>
            <w:left w:val="none" w:sz="0" w:space="0" w:color="auto"/>
            <w:bottom w:val="none" w:sz="0" w:space="0" w:color="auto"/>
            <w:right w:val="none" w:sz="0" w:space="0" w:color="auto"/>
          </w:divBdr>
          <w:divsChild>
            <w:div w:id="1731266124">
              <w:marLeft w:val="0"/>
              <w:marRight w:val="0"/>
              <w:marTop w:val="0"/>
              <w:marBottom w:val="0"/>
              <w:divBdr>
                <w:top w:val="none" w:sz="0" w:space="0" w:color="auto"/>
                <w:left w:val="none" w:sz="0" w:space="0" w:color="auto"/>
                <w:bottom w:val="none" w:sz="0" w:space="0" w:color="auto"/>
                <w:right w:val="none" w:sz="0" w:space="0" w:color="auto"/>
              </w:divBdr>
              <w:divsChild>
                <w:div w:id="660545561">
                  <w:marLeft w:val="0"/>
                  <w:marRight w:val="0"/>
                  <w:marTop w:val="0"/>
                  <w:marBottom w:val="0"/>
                  <w:divBdr>
                    <w:top w:val="none" w:sz="0" w:space="0" w:color="auto"/>
                    <w:left w:val="none" w:sz="0" w:space="0" w:color="auto"/>
                    <w:bottom w:val="none" w:sz="0" w:space="0" w:color="auto"/>
                    <w:right w:val="none" w:sz="0" w:space="0" w:color="auto"/>
                  </w:divBdr>
                  <w:divsChild>
                    <w:div w:id="8435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63512">
      <w:bodyDiv w:val="1"/>
      <w:marLeft w:val="0"/>
      <w:marRight w:val="0"/>
      <w:marTop w:val="0"/>
      <w:marBottom w:val="0"/>
      <w:divBdr>
        <w:top w:val="none" w:sz="0" w:space="0" w:color="auto"/>
        <w:left w:val="none" w:sz="0" w:space="0" w:color="auto"/>
        <w:bottom w:val="none" w:sz="0" w:space="0" w:color="auto"/>
        <w:right w:val="none" w:sz="0" w:space="0" w:color="auto"/>
      </w:divBdr>
    </w:div>
    <w:div w:id="1147358094">
      <w:bodyDiv w:val="1"/>
      <w:marLeft w:val="0"/>
      <w:marRight w:val="0"/>
      <w:marTop w:val="0"/>
      <w:marBottom w:val="0"/>
      <w:divBdr>
        <w:top w:val="none" w:sz="0" w:space="0" w:color="auto"/>
        <w:left w:val="none" w:sz="0" w:space="0" w:color="auto"/>
        <w:bottom w:val="none" w:sz="0" w:space="0" w:color="auto"/>
        <w:right w:val="none" w:sz="0" w:space="0" w:color="auto"/>
      </w:divBdr>
      <w:divsChild>
        <w:div w:id="1408184655">
          <w:marLeft w:val="0"/>
          <w:marRight w:val="0"/>
          <w:marTop w:val="0"/>
          <w:marBottom w:val="0"/>
          <w:divBdr>
            <w:top w:val="none" w:sz="0" w:space="0" w:color="auto"/>
            <w:left w:val="none" w:sz="0" w:space="0" w:color="auto"/>
            <w:bottom w:val="none" w:sz="0" w:space="0" w:color="auto"/>
            <w:right w:val="none" w:sz="0" w:space="0" w:color="auto"/>
          </w:divBdr>
        </w:div>
      </w:divsChild>
    </w:div>
    <w:div w:id="1246063660">
      <w:bodyDiv w:val="1"/>
      <w:marLeft w:val="0"/>
      <w:marRight w:val="0"/>
      <w:marTop w:val="0"/>
      <w:marBottom w:val="0"/>
      <w:divBdr>
        <w:top w:val="none" w:sz="0" w:space="0" w:color="auto"/>
        <w:left w:val="none" w:sz="0" w:space="0" w:color="auto"/>
        <w:bottom w:val="none" w:sz="0" w:space="0" w:color="auto"/>
        <w:right w:val="none" w:sz="0" w:space="0" w:color="auto"/>
      </w:divBdr>
    </w:div>
    <w:div w:id="1403797455">
      <w:bodyDiv w:val="1"/>
      <w:marLeft w:val="0"/>
      <w:marRight w:val="0"/>
      <w:marTop w:val="0"/>
      <w:marBottom w:val="0"/>
      <w:divBdr>
        <w:top w:val="none" w:sz="0" w:space="0" w:color="auto"/>
        <w:left w:val="none" w:sz="0" w:space="0" w:color="auto"/>
        <w:bottom w:val="none" w:sz="0" w:space="0" w:color="auto"/>
        <w:right w:val="none" w:sz="0" w:space="0" w:color="auto"/>
      </w:divBdr>
    </w:div>
    <w:div w:id="1533958001">
      <w:bodyDiv w:val="1"/>
      <w:marLeft w:val="0"/>
      <w:marRight w:val="0"/>
      <w:marTop w:val="0"/>
      <w:marBottom w:val="0"/>
      <w:divBdr>
        <w:top w:val="none" w:sz="0" w:space="0" w:color="auto"/>
        <w:left w:val="none" w:sz="0" w:space="0" w:color="auto"/>
        <w:bottom w:val="none" w:sz="0" w:space="0" w:color="auto"/>
        <w:right w:val="none" w:sz="0" w:space="0" w:color="auto"/>
      </w:divBdr>
    </w:div>
    <w:div w:id="1656884070">
      <w:bodyDiv w:val="1"/>
      <w:marLeft w:val="0"/>
      <w:marRight w:val="0"/>
      <w:marTop w:val="0"/>
      <w:marBottom w:val="0"/>
      <w:divBdr>
        <w:top w:val="none" w:sz="0" w:space="0" w:color="auto"/>
        <w:left w:val="none" w:sz="0" w:space="0" w:color="auto"/>
        <w:bottom w:val="none" w:sz="0" w:space="0" w:color="auto"/>
        <w:right w:val="none" w:sz="0" w:space="0" w:color="auto"/>
      </w:divBdr>
    </w:div>
    <w:div w:id="1670907839">
      <w:bodyDiv w:val="1"/>
      <w:marLeft w:val="0"/>
      <w:marRight w:val="0"/>
      <w:marTop w:val="0"/>
      <w:marBottom w:val="0"/>
      <w:divBdr>
        <w:top w:val="none" w:sz="0" w:space="0" w:color="auto"/>
        <w:left w:val="none" w:sz="0" w:space="0" w:color="auto"/>
        <w:bottom w:val="none" w:sz="0" w:space="0" w:color="auto"/>
        <w:right w:val="none" w:sz="0" w:space="0" w:color="auto"/>
      </w:divBdr>
    </w:div>
    <w:div w:id="1802264861">
      <w:bodyDiv w:val="1"/>
      <w:marLeft w:val="0"/>
      <w:marRight w:val="0"/>
      <w:marTop w:val="0"/>
      <w:marBottom w:val="0"/>
      <w:divBdr>
        <w:top w:val="none" w:sz="0" w:space="0" w:color="auto"/>
        <w:left w:val="none" w:sz="0" w:space="0" w:color="auto"/>
        <w:bottom w:val="none" w:sz="0" w:space="0" w:color="auto"/>
        <w:right w:val="none" w:sz="0" w:space="0" w:color="auto"/>
      </w:divBdr>
    </w:div>
    <w:div w:id="1807774966">
      <w:bodyDiv w:val="1"/>
      <w:marLeft w:val="0"/>
      <w:marRight w:val="0"/>
      <w:marTop w:val="0"/>
      <w:marBottom w:val="0"/>
      <w:divBdr>
        <w:top w:val="none" w:sz="0" w:space="0" w:color="auto"/>
        <w:left w:val="none" w:sz="0" w:space="0" w:color="auto"/>
        <w:bottom w:val="none" w:sz="0" w:space="0" w:color="auto"/>
        <w:right w:val="none" w:sz="0" w:space="0" w:color="auto"/>
      </w:divBdr>
    </w:div>
    <w:div w:id="1839496547">
      <w:marLeft w:val="225"/>
      <w:marRight w:val="225"/>
      <w:marTop w:val="0"/>
      <w:marBottom w:val="0"/>
      <w:divBdr>
        <w:top w:val="none" w:sz="0" w:space="0" w:color="auto"/>
        <w:left w:val="none" w:sz="0" w:space="0" w:color="auto"/>
        <w:bottom w:val="none" w:sz="0" w:space="0" w:color="auto"/>
        <w:right w:val="none" w:sz="0" w:space="0" w:color="auto"/>
      </w:divBdr>
      <w:divsChild>
        <w:div w:id="1839496557">
          <w:marLeft w:val="0"/>
          <w:marRight w:val="0"/>
          <w:marTop w:val="0"/>
          <w:marBottom w:val="0"/>
          <w:divBdr>
            <w:top w:val="none" w:sz="0" w:space="0" w:color="auto"/>
            <w:left w:val="none" w:sz="0" w:space="0" w:color="auto"/>
            <w:bottom w:val="none" w:sz="0" w:space="0" w:color="auto"/>
            <w:right w:val="none" w:sz="0" w:space="0" w:color="auto"/>
          </w:divBdr>
        </w:div>
      </w:divsChild>
    </w:div>
    <w:div w:id="1839496548">
      <w:marLeft w:val="0"/>
      <w:marRight w:val="0"/>
      <w:marTop w:val="0"/>
      <w:marBottom w:val="0"/>
      <w:divBdr>
        <w:top w:val="none" w:sz="0" w:space="0" w:color="auto"/>
        <w:left w:val="none" w:sz="0" w:space="0" w:color="auto"/>
        <w:bottom w:val="none" w:sz="0" w:space="0" w:color="auto"/>
        <w:right w:val="none" w:sz="0" w:space="0" w:color="auto"/>
      </w:divBdr>
    </w:div>
    <w:div w:id="1839496550">
      <w:marLeft w:val="0"/>
      <w:marRight w:val="0"/>
      <w:marTop w:val="0"/>
      <w:marBottom w:val="0"/>
      <w:divBdr>
        <w:top w:val="none" w:sz="0" w:space="0" w:color="auto"/>
        <w:left w:val="none" w:sz="0" w:space="0" w:color="auto"/>
        <w:bottom w:val="none" w:sz="0" w:space="0" w:color="auto"/>
        <w:right w:val="none" w:sz="0" w:space="0" w:color="auto"/>
      </w:divBdr>
    </w:div>
    <w:div w:id="1839496553">
      <w:marLeft w:val="225"/>
      <w:marRight w:val="225"/>
      <w:marTop w:val="0"/>
      <w:marBottom w:val="0"/>
      <w:divBdr>
        <w:top w:val="none" w:sz="0" w:space="0" w:color="auto"/>
        <w:left w:val="none" w:sz="0" w:space="0" w:color="auto"/>
        <w:bottom w:val="none" w:sz="0" w:space="0" w:color="auto"/>
        <w:right w:val="none" w:sz="0" w:space="0" w:color="auto"/>
      </w:divBdr>
      <w:divsChild>
        <w:div w:id="1839496566">
          <w:marLeft w:val="0"/>
          <w:marRight w:val="0"/>
          <w:marTop w:val="0"/>
          <w:marBottom w:val="0"/>
          <w:divBdr>
            <w:top w:val="none" w:sz="0" w:space="0" w:color="auto"/>
            <w:left w:val="none" w:sz="0" w:space="0" w:color="auto"/>
            <w:bottom w:val="none" w:sz="0" w:space="0" w:color="auto"/>
            <w:right w:val="none" w:sz="0" w:space="0" w:color="auto"/>
          </w:divBdr>
        </w:div>
      </w:divsChild>
    </w:div>
    <w:div w:id="1839496554">
      <w:marLeft w:val="225"/>
      <w:marRight w:val="225"/>
      <w:marTop w:val="0"/>
      <w:marBottom w:val="0"/>
      <w:divBdr>
        <w:top w:val="none" w:sz="0" w:space="0" w:color="auto"/>
        <w:left w:val="none" w:sz="0" w:space="0" w:color="auto"/>
        <w:bottom w:val="none" w:sz="0" w:space="0" w:color="auto"/>
        <w:right w:val="none" w:sz="0" w:space="0" w:color="auto"/>
      </w:divBdr>
      <w:divsChild>
        <w:div w:id="1839496565">
          <w:marLeft w:val="0"/>
          <w:marRight w:val="0"/>
          <w:marTop w:val="0"/>
          <w:marBottom w:val="0"/>
          <w:divBdr>
            <w:top w:val="none" w:sz="0" w:space="0" w:color="auto"/>
            <w:left w:val="none" w:sz="0" w:space="0" w:color="auto"/>
            <w:bottom w:val="none" w:sz="0" w:space="0" w:color="auto"/>
            <w:right w:val="none" w:sz="0" w:space="0" w:color="auto"/>
          </w:divBdr>
        </w:div>
      </w:divsChild>
    </w:div>
    <w:div w:id="1839496555">
      <w:marLeft w:val="0"/>
      <w:marRight w:val="0"/>
      <w:marTop w:val="0"/>
      <w:marBottom w:val="0"/>
      <w:divBdr>
        <w:top w:val="none" w:sz="0" w:space="0" w:color="auto"/>
        <w:left w:val="none" w:sz="0" w:space="0" w:color="auto"/>
        <w:bottom w:val="none" w:sz="0" w:space="0" w:color="auto"/>
        <w:right w:val="none" w:sz="0" w:space="0" w:color="auto"/>
      </w:divBdr>
    </w:div>
    <w:div w:id="1839496556">
      <w:marLeft w:val="225"/>
      <w:marRight w:val="225"/>
      <w:marTop w:val="0"/>
      <w:marBottom w:val="0"/>
      <w:divBdr>
        <w:top w:val="none" w:sz="0" w:space="0" w:color="auto"/>
        <w:left w:val="none" w:sz="0" w:space="0" w:color="auto"/>
        <w:bottom w:val="none" w:sz="0" w:space="0" w:color="auto"/>
        <w:right w:val="none" w:sz="0" w:space="0" w:color="auto"/>
      </w:divBdr>
      <w:divsChild>
        <w:div w:id="1839496552">
          <w:marLeft w:val="0"/>
          <w:marRight w:val="0"/>
          <w:marTop w:val="0"/>
          <w:marBottom w:val="0"/>
          <w:divBdr>
            <w:top w:val="none" w:sz="0" w:space="0" w:color="auto"/>
            <w:left w:val="none" w:sz="0" w:space="0" w:color="auto"/>
            <w:bottom w:val="none" w:sz="0" w:space="0" w:color="auto"/>
            <w:right w:val="none" w:sz="0" w:space="0" w:color="auto"/>
          </w:divBdr>
        </w:div>
      </w:divsChild>
    </w:div>
    <w:div w:id="1839496558">
      <w:marLeft w:val="225"/>
      <w:marRight w:val="225"/>
      <w:marTop w:val="0"/>
      <w:marBottom w:val="0"/>
      <w:divBdr>
        <w:top w:val="none" w:sz="0" w:space="0" w:color="auto"/>
        <w:left w:val="none" w:sz="0" w:space="0" w:color="auto"/>
        <w:bottom w:val="none" w:sz="0" w:space="0" w:color="auto"/>
        <w:right w:val="none" w:sz="0" w:space="0" w:color="auto"/>
      </w:divBdr>
      <w:divsChild>
        <w:div w:id="1839496563">
          <w:marLeft w:val="0"/>
          <w:marRight w:val="0"/>
          <w:marTop w:val="0"/>
          <w:marBottom w:val="0"/>
          <w:divBdr>
            <w:top w:val="none" w:sz="0" w:space="0" w:color="auto"/>
            <w:left w:val="none" w:sz="0" w:space="0" w:color="auto"/>
            <w:bottom w:val="none" w:sz="0" w:space="0" w:color="auto"/>
            <w:right w:val="none" w:sz="0" w:space="0" w:color="auto"/>
          </w:divBdr>
        </w:div>
      </w:divsChild>
    </w:div>
    <w:div w:id="1839496559">
      <w:marLeft w:val="225"/>
      <w:marRight w:val="225"/>
      <w:marTop w:val="0"/>
      <w:marBottom w:val="0"/>
      <w:divBdr>
        <w:top w:val="none" w:sz="0" w:space="0" w:color="auto"/>
        <w:left w:val="none" w:sz="0" w:space="0" w:color="auto"/>
        <w:bottom w:val="none" w:sz="0" w:space="0" w:color="auto"/>
        <w:right w:val="none" w:sz="0" w:space="0" w:color="auto"/>
      </w:divBdr>
      <w:divsChild>
        <w:div w:id="1839496549">
          <w:marLeft w:val="0"/>
          <w:marRight w:val="0"/>
          <w:marTop w:val="0"/>
          <w:marBottom w:val="0"/>
          <w:divBdr>
            <w:top w:val="none" w:sz="0" w:space="0" w:color="auto"/>
            <w:left w:val="none" w:sz="0" w:space="0" w:color="auto"/>
            <w:bottom w:val="none" w:sz="0" w:space="0" w:color="auto"/>
            <w:right w:val="none" w:sz="0" w:space="0" w:color="auto"/>
          </w:divBdr>
        </w:div>
      </w:divsChild>
    </w:div>
    <w:div w:id="1839496560">
      <w:marLeft w:val="0"/>
      <w:marRight w:val="0"/>
      <w:marTop w:val="0"/>
      <w:marBottom w:val="0"/>
      <w:divBdr>
        <w:top w:val="none" w:sz="0" w:space="0" w:color="auto"/>
        <w:left w:val="none" w:sz="0" w:space="0" w:color="auto"/>
        <w:bottom w:val="none" w:sz="0" w:space="0" w:color="auto"/>
        <w:right w:val="none" w:sz="0" w:space="0" w:color="auto"/>
      </w:divBdr>
    </w:div>
    <w:div w:id="1839496561">
      <w:marLeft w:val="0"/>
      <w:marRight w:val="0"/>
      <w:marTop w:val="0"/>
      <w:marBottom w:val="0"/>
      <w:divBdr>
        <w:top w:val="none" w:sz="0" w:space="0" w:color="auto"/>
        <w:left w:val="none" w:sz="0" w:space="0" w:color="auto"/>
        <w:bottom w:val="none" w:sz="0" w:space="0" w:color="auto"/>
        <w:right w:val="none" w:sz="0" w:space="0" w:color="auto"/>
      </w:divBdr>
    </w:div>
    <w:div w:id="1839496562">
      <w:marLeft w:val="0"/>
      <w:marRight w:val="0"/>
      <w:marTop w:val="0"/>
      <w:marBottom w:val="0"/>
      <w:divBdr>
        <w:top w:val="none" w:sz="0" w:space="0" w:color="auto"/>
        <w:left w:val="none" w:sz="0" w:space="0" w:color="auto"/>
        <w:bottom w:val="none" w:sz="0" w:space="0" w:color="auto"/>
        <w:right w:val="none" w:sz="0" w:space="0" w:color="auto"/>
      </w:divBdr>
    </w:div>
    <w:div w:id="1839496564">
      <w:marLeft w:val="225"/>
      <w:marRight w:val="225"/>
      <w:marTop w:val="0"/>
      <w:marBottom w:val="0"/>
      <w:divBdr>
        <w:top w:val="none" w:sz="0" w:space="0" w:color="auto"/>
        <w:left w:val="none" w:sz="0" w:space="0" w:color="auto"/>
        <w:bottom w:val="none" w:sz="0" w:space="0" w:color="auto"/>
        <w:right w:val="none" w:sz="0" w:space="0" w:color="auto"/>
      </w:divBdr>
      <w:divsChild>
        <w:div w:id="1839496551">
          <w:marLeft w:val="0"/>
          <w:marRight w:val="0"/>
          <w:marTop w:val="0"/>
          <w:marBottom w:val="0"/>
          <w:divBdr>
            <w:top w:val="none" w:sz="0" w:space="0" w:color="auto"/>
            <w:left w:val="none" w:sz="0" w:space="0" w:color="auto"/>
            <w:bottom w:val="none" w:sz="0" w:space="0" w:color="auto"/>
            <w:right w:val="none" w:sz="0" w:space="0" w:color="auto"/>
          </w:divBdr>
        </w:div>
      </w:divsChild>
    </w:div>
    <w:div w:id="1839496567">
      <w:marLeft w:val="225"/>
      <w:marRight w:val="225"/>
      <w:marTop w:val="0"/>
      <w:marBottom w:val="0"/>
      <w:divBdr>
        <w:top w:val="none" w:sz="0" w:space="0" w:color="auto"/>
        <w:left w:val="none" w:sz="0" w:space="0" w:color="auto"/>
        <w:bottom w:val="none" w:sz="0" w:space="0" w:color="auto"/>
        <w:right w:val="none" w:sz="0" w:space="0" w:color="auto"/>
      </w:divBdr>
      <w:divsChild>
        <w:div w:id="1839496570">
          <w:marLeft w:val="0"/>
          <w:marRight w:val="0"/>
          <w:marTop w:val="0"/>
          <w:marBottom w:val="0"/>
          <w:divBdr>
            <w:top w:val="none" w:sz="0" w:space="0" w:color="auto"/>
            <w:left w:val="none" w:sz="0" w:space="0" w:color="auto"/>
            <w:bottom w:val="none" w:sz="0" w:space="0" w:color="auto"/>
            <w:right w:val="none" w:sz="0" w:space="0" w:color="auto"/>
          </w:divBdr>
        </w:div>
      </w:divsChild>
    </w:div>
    <w:div w:id="1839496568">
      <w:marLeft w:val="225"/>
      <w:marRight w:val="225"/>
      <w:marTop w:val="0"/>
      <w:marBottom w:val="0"/>
      <w:divBdr>
        <w:top w:val="none" w:sz="0" w:space="0" w:color="auto"/>
        <w:left w:val="none" w:sz="0" w:space="0" w:color="auto"/>
        <w:bottom w:val="none" w:sz="0" w:space="0" w:color="auto"/>
        <w:right w:val="none" w:sz="0" w:space="0" w:color="auto"/>
      </w:divBdr>
      <w:divsChild>
        <w:div w:id="1839496546">
          <w:marLeft w:val="0"/>
          <w:marRight w:val="0"/>
          <w:marTop w:val="0"/>
          <w:marBottom w:val="0"/>
          <w:divBdr>
            <w:top w:val="none" w:sz="0" w:space="0" w:color="auto"/>
            <w:left w:val="none" w:sz="0" w:space="0" w:color="auto"/>
            <w:bottom w:val="none" w:sz="0" w:space="0" w:color="auto"/>
            <w:right w:val="none" w:sz="0" w:space="0" w:color="auto"/>
          </w:divBdr>
        </w:div>
      </w:divsChild>
    </w:div>
    <w:div w:id="1839496569">
      <w:marLeft w:val="225"/>
      <w:marRight w:val="225"/>
      <w:marTop w:val="0"/>
      <w:marBottom w:val="0"/>
      <w:divBdr>
        <w:top w:val="none" w:sz="0" w:space="0" w:color="auto"/>
        <w:left w:val="none" w:sz="0" w:space="0" w:color="auto"/>
        <w:bottom w:val="none" w:sz="0" w:space="0" w:color="auto"/>
        <w:right w:val="none" w:sz="0" w:space="0" w:color="auto"/>
      </w:divBdr>
      <w:divsChild>
        <w:div w:id="1839496571">
          <w:marLeft w:val="0"/>
          <w:marRight w:val="0"/>
          <w:marTop w:val="0"/>
          <w:marBottom w:val="0"/>
          <w:divBdr>
            <w:top w:val="none" w:sz="0" w:space="0" w:color="auto"/>
            <w:left w:val="none" w:sz="0" w:space="0" w:color="auto"/>
            <w:bottom w:val="none" w:sz="0" w:space="0" w:color="auto"/>
            <w:right w:val="none" w:sz="0" w:space="0" w:color="auto"/>
          </w:divBdr>
        </w:div>
      </w:divsChild>
    </w:div>
    <w:div w:id="1914851353">
      <w:bodyDiv w:val="1"/>
      <w:marLeft w:val="0"/>
      <w:marRight w:val="0"/>
      <w:marTop w:val="0"/>
      <w:marBottom w:val="0"/>
      <w:divBdr>
        <w:top w:val="none" w:sz="0" w:space="0" w:color="auto"/>
        <w:left w:val="none" w:sz="0" w:space="0" w:color="auto"/>
        <w:bottom w:val="none" w:sz="0" w:space="0" w:color="auto"/>
        <w:right w:val="none" w:sz="0" w:space="0" w:color="auto"/>
      </w:divBdr>
    </w:div>
    <w:div w:id="1915973271">
      <w:bodyDiv w:val="1"/>
      <w:marLeft w:val="0"/>
      <w:marRight w:val="0"/>
      <w:marTop w:val="0"/>
      <w:marBottom w:val="0"/>
      <w:divBdr>
        <w:top w:val="none" w:sz="0" w:space="0" w:color="auto"/>
        <w:left w:val="none" w:sz="0" w:space="0" w:color="auto"/>
        <w:bottom w:val="none" w:sz="0" w:space="0" w:color="auto"/>
        <w:right w:val="none" w:sz="0" w:space="0" w:color="auto"/>
      </w:divBdr>
    </w:div>
    <w:div w:id="206729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59EBC-BF4C-433E-93FD-10B5B11C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5</vt:lpstr>
    </vt:vector>
  </TitlesOfParts>
  <Company>HP</Company>
  <LinksUpToDate>false</LinksUpToDate>
  <CharactersWithSpaces>4671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Danguolė Sužiedėlytė</dc:creator>
  <cp:lastModifiedBy>Irena Juskiene</cp:lastModifiedBy>
  <cp:revision>2</cp:revision>
  <cp:lastPrinted>2018-09-25T05:25:00Z</cp:lastPrinted>
  <dcterms:created xsi:type="dcterms:W3CDTF">2018-12-05T11:30:00Z</dcterms:created>
  <dcterms:modified xsi:type="dcterms:W3CDTF">2018-12-05T11:30:00Z</dcterms:modified>
</cp:coreProperties>
</file>