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55C886" w14:textId="77777777" w:rsidR="00591C74" w:rsidRPr="00817DDD" w:rsidRDefault="00591C74" w:rsidP="00591C74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0469 F-- PL- ------ 20200729 --- --- PROJET</w:t>
      </w:r>
    </w:p>
    <w:p w14:paraId="1EFA885C" w14:textId="77777777" w:rsidR="00A920F2" w:rsidRDefault="00515C32" w:rsidP="00591C74">
      <w:pPr>
        <w:autoSpaceDE w:val="0"/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t>XXXX 2020 r.</w:t>
      </w:r>
    </w:p>
    <w:p w14:paraId="0C4DF66F" w14:textId="77777777" w:rsidR="00A920F2" w:rsidRDefault="00A920F2" w:rsidP="00591C74">
      <w:pPr>
        <w:autoSpaceDE w:val="0"/>
        <w:spacing w:after="0" w:line="240" w:lineRule="auto"/>
        <w:jc w:val="center"/>
      </w:pPr>
    </w:p>
    <w:p w14:paraId="25F3BEF7" w14:textId="77777777" w:rsidR="00A920F2" w:rsidRDefault="00A920F2" w:rsidP="00591C74">
      <w:pPr>
        <w:autoSpaceDE w:val="0"/>
        <w:spacing w:after="0" w:line="240" w:lineRule="auto"/>
        <w:jc w:val="center"/>
      </w:pPr>
    </w:p>
    <w:p w14:paraId="12F1DDE1" w14:textId="77777777" w:rsidR="00A920F2" w:rsidRDefault="00515C32" w:rsidP="00591C74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Rozporządzenie z dnia XXXX w sprawie zasad umieszczania, oznaczania i ogólnych parametrów obliczania wskaźnika możliwości naprawy</w:t>
      </w:r>
    </w:p>
    <w:p w14:paraId="63D9B38A" w14:textId="77777777" w:rsidR="00A920F2" w:rsidRDefault="00A920F2" w:rsidP="00591C74">
      <w:pPr>
        <w:autoSpaceDE w:val="0"/>
        <w:spacing w:after="0" w:line="240" w:lineRule="auto"/>
        <w:jc w:val="center"/>
      </w:pPr>
    </w:p>
    <w:p w14:paraId="31C994D1" w14:textId="77777777" w:rsidR="00A920F2" w:rsidRDefault="00515C32" w:rsidP="00591C74">
      <w:pPr>
        <w:autoSpaceDE w:val="0"/>
        <w:spacing w:after="0" w:line="24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t>NR REF.: XXXXX</w:t>
      </w:r>
    </w:p>
    <w:p w14:paraId="1D5EEE0B" w14:textId="77777777" w:rsidR="00A920F2" w:rsidRDefault="00A920F2" w:rsidP="00591C74">
      <w:pPr>
        <w:autoSpaceDE w:val="0"/>
        <w:spacing w:after="0" w:line="240" w:lineRule="auto"/>
      </w:pPr>
    </w:p>
    <w:p w14:paraId="5DDEE6D9" w14:textId="77777777" w:rsidR="00A920F2" w:rsidRDefault="00A920F2" w:rsidP="00591C74">
      <w:pPr>
        <w:autoSpaceDE w:val="0"/>
        <w:spacing w:after="0" w:line="240" w:lineRule="auto"/>
      </w:pPr>
    </w:p>
    <w:p w14:paraId="4B4AFE47" w14:textId="77777777" w:rsidR="00A920F2" w:rsidRDefault="00A920F2" w:rsidP="00591C74">
      <w:pPr>
        <w:autoSpaceDE w:val="0"/>
        <w:spacing w:after="0" w:line="240" w:lineRule="auto"/>
      </w:pPr>
    </w:p>
    <w:p w14:paraId="1709D5C4" w14:textId="77777777" w:rsidR="00A920F2" w:rsidRDefault="00515C32" w:rsidP="002A489A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Minister Transformacji Ekologicznej i Minister Gospodarki i Finansów,</w:t>
      </w:r>
    </w:p>
    <w:p w14:paraId="6F5A9039" w14:textId="77777777" w:rsidR="00A920F2" w:rsidRDefault="00A920F2" w:rsidP="002A489A">
      <w:pPr>
        <w:autoSpaceDE w:val="0"/>
        <w:spacing w:after="0" w:line="240" w:lineRule="auto"/>
        <w:jc w:val="both"/>
      </w:pPr>
    </w:p>
    <w:p w14:paraId="005BDA9D" w14:textId="77777777" w:rsidR="00A920F2" w:rsidRPr="00BD3BED" w:rsidRDefault="00515C32" w:rsidP="002A489A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uwzględniając rozporządzenie Komisji (UE) 2019/2021 z dnia 1 października 2019 r. ustanawiające wymogi dotyczące ekoprojektu dla wyświetlaczy elektronicznych zgodnie z dyrektywą Parlamentu Europejskiego i Rady 2009/125/WE, zmieniające rozporządzenie Komisji (WE) nr 1275/2008 i uchylające rozporządzenie Komisji (WE) nr 642/2009,</w:t>
      </w:r>
    </w:p>
    <w:p w14:paraId="5EDE6EE8" w14:textId="77777777" w:rsidR="00A920F2" w:rsidRDefault="00A920F2" w:rsidP="002A489A">
      <w:pPr>
        <w:autoSpaceDE w:val="0"/>
        <w:spacing w:after="0" w:line="240" w:lineRule="auto"/>
        <w:jc w:val="both"/>
      </w:pPr>
    </w:p>
    <w:p w14:paraId="1651AB21" w14:textId="77777777" w:rsidR="00A920F2" w:rsidRDefault="00515C32" w:rsidP="002A489A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uwzględniając kodeks środowiska, w szczególności jego art. L. 541-9-2,</w:t>
      </w:r>
    </w:p>
    <w:p w14:paraId="561EC19E" w14:textId="77777777" w:rsidR="00A920F2" w:rsidRDefault="00A920F2" w:rsidP="002A489A">
      <w:pPr>
        <w:autoSpaceDE w:val="0"/>
        <w:spacing w:after="0" w:line="240" w:lineRule="auto"/>
        <w:jc w:val="both"/>
      </w:pPr>
    </w:p>
    <w:p w14:paraId="74F69FD0" w14:textId="77777777" w:rsidR="00A920F2" w:rsidRDefault="00515C32" w:rsidP="002A489A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uwzględniając dekret nr XXX z dnia XXXX w sprawie zasad stosowania wskaźnika możliwości naprawy w odniesieniu do urządzeń elektrycznych i elektronicznych, jego kryteriów i sposobu obliczania,</w:t>
      </w:r>
    </w:p>
    <w:p w14:paraId="345DF177" w14:textId="77777777" w:rsidR="00A920F2" w:rsidRDefault="00A920F2" w:rsidP="00591C74">
      <w:pPr>
        <w:autoSpaceDE w:val="0"/>
        <w:spacing w:after="0" w:line="240" w:lineRule="auto"/>
      </w:pPr>
    </w:p>
    <w:p w14:paraId="1305224C" w14:textId="77777777" w:rsidR="00A920F2" w:rsidRDefault="00A920F2" w:rsidP="00591C74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017CB3" w14:textId="77777777" w:rsidR="00A920F2" w:rsidRPr="00591C74" w:rsidRDefault="00515C3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Artykuł 1. Urządzenia elektryczne i elektroniczne, których dotyczy wymóg umieszczania wskaźnika</w:t>
      </w:r>
    </w:p>
    <w:p w14:paraId="1F19B69F" w14:textId="77777777" w:rsidR="00A920F2" w:rsidRDefault="00A920F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FB233" w14:textId="77777777" w:rsidR="00A920F2" w:rsidRDefault="00515C32" w:rsidP="00591C74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Niniejsze rozporządzenie ma zastosowanie do wszystkich urządzeń elektrycznych i elektronicznych, których dotyczy wymóg obliczania i umieszczania wskaźnika możliwości naprawy zgodnie z przepisami dekretu nr XXX z dnia XXXX w sprawie zasad stosowania wskaźnika możliwości naprawy w odniesieniu do urządzeń elektrycznych i elektronicznych, jego kryteriów i sposobu obliczania.</w:t>
      </w:r>
    </w:p>
    <w:p w14:paraId="15E43076" w14:textId="77777777" w:rsidR="00A920F2" w:rsidRDefault="00A920F2" w:rsidP="00591C74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3E1DA" w14:textId="77777777" w:rsidR="00A920F2" w:rsidRPr="00591C74" w:rsidRDefault="00515C3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Artykuł 2. Ocena stanowiąca wskaźnik możliwości naprawy</w:t>
      </w:r>
    </w:p>
    <w:p w14:paraId="719C50DE" w14:textId="77777777" w:rsidR="00A920F2" w:rsidRDefault="00A920F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74B6A" w14:textId="77777777" w:rsidR="00A920F2" w:rsidRDefault="00515C32" w:rsidP="00591C74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W przypadku wszystkich produktów elektrycznych i elektronicznych, o których mowa w art. 1, wskaźnik możliwości naprawy prezentuje się w postaci oceny w dziesięciopunktowej skali, z możliwością dokładności do dwóch miejsc po przecinku.</w:t>
      </w:r>
    </w:p>
    <w:p w14:paraId="2274D13D" w14:textId="77777777" w:rsidR="00A920F2" w:rsidRDefault="00515C32" w:rsidP="00591C74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Jeżeli druga cyfra po przecinku jest mniejsza niż 5, ocenę zaokrągla się do części dziesiętnej w dół.</w:t>
      </w:r>
    </w:p>
    <w:p w14:paraId="768BDFAF" w14:textId="77777777" w:rsidR="00A920F2" w:rsidRDefault="00515C32" w:rsidP="00591C74">
      <w:pPr>
        <w:pStyle w:val="Paragraphedeliste"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4"/>
          <w:szCs w:val="24"/>
        </w:rPr>
        <w:t>Jeżeli druga cyfra po przecinku jest większa lub równa 5, ocenę zaokrągla się do części dziesiętnej w górę.</w:t>
      </w:r>
    </w:p>
    <w:p w14:paraId="6F112433" w14:textId="77777777" w:rsidR="00A920F2" w:rsidRDefault="00A920F2" w:rsidP="00591C74">
      <w:pPr>
        <w:pStyle w:val="Paragraphedeliste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69A74" w14:textId="77777777" w:rsidR="00A920F2" w:rsidRPr="00591C74" w:rsidRDefault="00515C3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Artykuł 3. Kolory i oznaczenia wskaźnika</w:t>
      </w:r>
    </w:p>
    <w:p w14:paraId="358063EE" w14:textId="77777777" w:rsidR="00A920F2" w:rsidRDefault="00A920F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866AD2" w14:textId="77777777" w:rsidR="00A920F2" w:rsidRDefault="00515C32" w:rsidP="00591C74">
      <w:pPr>
        <w:pStyle w:val="Paragraphedeliste"/>
        <w:keepNext/>
        <w:keepLines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4"/>
          <w:szCs w:val="24"/>
        </w:rPr>
        <w:t>W zależności od otrzymanej w ten sposób oceny do umieszczania wskaźnika stosuje się następujące kody kolorystyczne:</w:t>
      </w:r>
    </w:p>
    <w:p w14:paraId="54BCA718" w14:textId="77777777" w:rsidR="00A920F2" w:rsidRDefault="00515C32" w:rsidP="00591C74">
      <w:pPr>
        <w:pStyle w:val="Paragraphedeliste"/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ocena równa lub wyższa od 0 i nieprzekraczająca 1,9: czerwony, nr referencyjny Pantone 186 C; </w:t>
      </w:r>
    </w:p>
    <w:p w14:paraId="64633562" w14:textId="77777777" w:rsidR="00A920F2" w:rsidRDefault="00515C32" w:rsidP="00591C74">
      <w:pPr>
        <w:pStyle w:val="Paragraphedeliste"/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ocena równa lub wyższa od 2 i nieprzekraczająca 3,9: pomarańczowy, nr referencyjny Pantone 1585 C;</w:t>
      </w:r>
    </w:p>
    <w:p w14:paraId="4D03DF7F" w14:textId="77777777" w:rsidR="00A920F2" w:rsidRPr="00E66874" w:rsidRDefault="00515C32" w:rsidP="00591C74">
      <w:pPr>
        <w:pStyle w:val="Paragraphedeliste"/>
        <w:numPr>
          <w:ilvl w:val="0"/>
          <w:numId w:val="1"/>
        </w:numPr>
        <w:suppressAutoHyphens w:val="0"/>
        <w:spacing w:after="0" w:line="240" w:lineRule="auto"/>
        <w:jc w:val="both"/>
        <w:rPr>
          <w:spacing w:val="-2"/>
        </w:rPr>
      </w:pPr>
      <w:r w:rsidRPr="00E66874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ocena równa lub wyższa od 4 i nieprzekraczająca 5,9: żółty, nr referencyjny Pantone 7548 C;</w:t>
      </w:r>
    </w:p>
    <w:p w14:paraId="28A1DE62" w14:textId="77777777" w:rsidR="00A920F2" w:rsidRDefault="00515C32" w:rsidP="00591C74">
      <w:pPr>
        <w:pStyle w:val="Paragraphedeliste"/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ocena równa lub wyższa od 6 i nieprzekraczająca 7,9: jasnozielony, nr referencyjny Pantone 2291 C;</w:t>
      </w:r>
    </w:p>
    <w:p w14:paraId="64DD27DF" w14:textId="77777777" w:rsidR="00A920F2" w:rsidRDefault="00515C32" w:rsidP="00591C74">
      <w:pPr>
        <w:pStyle w:val="Paragraphedeliste"/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ocena równa lub wyższa od 8 i nieprzekraczająca 10: ciemnozielony, nr referencyjny Pantone 347 C.</w:t>
      </w:r>
    </w:p>
    <w:p w14:paraId="134F80CA" w14:textId="77777777" w:rsidR="00A920F2" w:rsidRDefault="00A920F2" w:rsidP="00591C74">
      <w:pPr>
        <w:pStyle w:val="Paragraphedeliste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0C72A3" w14:textId="77777777" w:rsidR="00A920F2" w:rsidRDefault="00515C32" w:rsidP="00591C74">
      <w:pPr>
        <w:pStyle w:val="Paragraphedeliste"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Obowiązkowym oznaczeniem dla informacji o wskaźniku możliwości naprawy jest przedstawienie graficzne składające się z wyrażenia „wskaźnik możliwości naprawy” i poniższego piktogramu wskazującego wartość wskaźnika (odpowiadającego znakowi towarowemu „wskaźnik możliwości naprawy”). </w:t>
      </w:r>
    </w:p>
    <w:p w14:paraId="3496CC54" w14:textId="77777777" w:rsidR="00A920F2" w:rsidRDefault="00E66874" w:rsidP="00591C74">
      <w:pPr>
        <w:pStyle w:val="Paragraphedeliste"/>
        <w:suppressAutoHyphens w:val="0"/>
        <w:spacing w:after="0" w:line="240" w:lineRule="auto"/>
        <w:ind w:left="0"/>
        <w:jc w:val="center"/>
      </w:pPr>
      <w:r>
        <w:pict w14:anchorId="47AAF1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151.5pt;mso-wrap-distance-left:0;mso-wrap-distance-top:0;mso-wrap-distance-right:0;mso-wrap-distance-bottom:0;mso-position-horizontal:center;mso-position-horizontal-relative:text;mso-position-vertical:top;mso-position-vertical-relative:text" filled="t">
            <v:fill color2="black"/>
            <v:imagedata r:id="rId7" o:title=""/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863"/>
        <w:gridCol w:w="4863"/>
      </w:tblGrid>
      <w:tr w:rsidR="00882C27" w:rsidRPr="00E66874" w14:paraId="4CC41492" w14:textId="77777777" w:rsidTr="00882C27">
        <w:tc>
          <w:tcPr>
            <w:tcW w:w="2500" w:type="pct"/>
            <w:shd w:val="clear" w:color="auto" w:fill="auto"/>
          </w:tcPr>
          <w:p w14:paraId="182988C3" w14:textId="77777777" w:rsidR="00591C74" w:rsidRPr="00E66874" w:rsidRDefault="00591C74" w:rsidP="00882C27">
            <w:pPr>
              <w:pStyle w:val="Paragraphedeliste"/>
              <w:suppressAutoHyphens w:val="0"/>
              <w:spacing w:after="0" w:line="240" w:lineRule="auto"/>
              <w:ind w:left="0"/>
            </w:pPr>
            <w:r w:rsidRPr="00E66874">
              <w:t>INDICE DE REPETABILITE</w:t>
            </w:r>
          </w:p>
        </w:tc>
        <w:tc>
          <w:tcPr>
            <w:tcW w:w="2500" w:type="pct"/>
            <w:shd w:val="clear" w:color="auto" w:fill="auto"/>
          </w:tcPr>
          <w:p w14:paraId="0C7056F1" w14:textId="77777777" w:rsidR="00591C74" w:rsidRPr="00882C27" w:rsidRDefault="00591C74" w:rsidP="00882C27">
            <w:pPr>
              <w:pStyle w:val="Paragraphedeliste"/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WSKAŹNIK MOŻLIWOŚCI NAPRAWY</w:t>
            </w:r>
          </w:p>
        </w:tc>
      </w:tr>
    </w:tbl>
    <w:p w14:paraId="195607A6" w14:textId="77777777" w:rsidR="00A920F2" w:rsidRDefault="00515C32" w:rsidP="00591C74">
      <w:pPr>
        <w:pStyle w:val="Paragraphedeliste"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4"/>
          <w:szCs w:val="24"/>
        </w:rPr>
        <w:t>Wielkość czcionki cyfr oceny w dziesięciopunktowej skali powinna być co najmniej równoważna wielkości czcionki cyfr ceny na półce.</w:t>
      </w:r>
    </w:p>
    <w:p w14:paraId="14702048" w14:textId="77777777" w:rsidR="00A920F2" w:rsidRDefault="00515C32" w:rsidP="00591C74">
      <w:pPr>
        <w:pStyle w:val="Paragraphedeliste"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4"/>
          <w:szCs w:val="24"/>
        </w:rPr>
        <w:t>Wszelkie dostosowania wielkości tego oznaczenia należy przeprowadzać w sposób jednolity.</w:t>
      </w:r>
    </w:p>
    <w:p w14:paraId="2C932DBE" w14:textId="77777777" w:rsidR="00A920F2" w:rsidRDefault="00A920F2" w:rsidP="00591C74">
      <w:pPr>
        <w:pStyle w:val="Paragraphedeliste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4EA5B8" w14:textId="77777777" w:rsidR="00A920F2" w:rsidRDefault="00515C32" w:rsidP="00591C74">
      <w:pPr>
        <w:pStyle w:val="Paragraphedeliste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przypadku gdy wskaźnik umieszcza się również na każdej sztuce modelu lub na opakowaniu poprzez etykietowanie lub oznakowanie, rozmiary przedstawienia graficznego dobiera się dowolnie, pod warunkiem że jest ono widoczne i czytelne.</w:t>
      </w:r>
    </w:p>
    <w:p w14:paraId="55385990" w14:textId="77777777" w:rsidR="00591C74" w:rsidRDefault="00591C74" w:rsidP="00591C74">
      <w:pPr>
        <w:pStyle w:val="Paragraphedeliste"/>
        <w:suppressAutoHyphens w:val="0"/>
        <w:spacing w:after="0" w:line="240" w:lineRule="auto"/>
        <w:ind w:left="0"/>
        <w:jc w:val="both"/>
      </w:pPr>
    </w:p>
    <w:p w14:paraId="6DD0BB5B" w14:textId="77777777" w:rsidR="00A920F2" w:rsidRPr="00591C74" w:rsidRDefault="00515C3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Artykuł 4. Obliczenie wskaźnika i prezentacja parametrów umożliwiających ustalenie oceny</w:t>
      </w:r>
    </w:p>
    <w:p w14:paraId="7BB08E49" w14:textId="77777777" w:rsidR="00A920F2" w:rsidRDefault="00A920F2" w:rsidP="00591C74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4F8D04" w14:textId="77777777" w:rsidR="00A920F2" w:rsidRDefault="00515C32" w:rsidP="00591C74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Każde kryterium cząstkowe wskaźnika ocenia się w skali od jednego do dziesięciu, z zastosowaniem współczynnika umożliwiającego uzyskanie oceny dla danego kryterium w skali od jednego do dwudziestu, jak podano w tabeli poniżej. Suma ważonych jednakowo ocen dla poszczególnych kryteriów daje łączną ocenę na sto punktów, którą przelicza się na ocenę w dziesięciopunktowej skali wskaźnika.</w:t>
      </w:r>
    </w:p>
    <w:p w14:paraId="69E1AE17" w14:textId="77777777" w:rsidR="00A920F2" w:rsidRDefault="00A920F2" w:rsidP="00591C7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087D1" w14:textId="77777777" w:rsidR="00A920F2" w:rsidRDefault="00515C32" w:rsidP="00591C74">
      <w:pPr>
        <w:pStyle w:val="SNSignatureGauche"/>
        <w:spacing w:before="0" w:after="0" w:line="240" w:lineRule="auto"/>
        <w:ind w:left="0" w:right="0" w:firstLine="0"/>
        <w:jc w:val="both"/>
      </w:pPr>
      <w:r>
        <w:rPr>
          <w:rFonts w:ascii="Times New Roman" w:hAnsi="Times New Roman"/>
          <w:color w:val="000000"/>
        </w:rPr>
        <w:t>Przekazywanie informacji i udostępnianie parametrów umożliwiających ustalenie wskaźnika możliwości naprawy każdego urządzenia odbywa się zgodnie z poniższą tabelą, w formacie cyfrowym niemożliwym do modyfikacji, o wymiarach 21 x 29,7 cm.</w:t>
      </w:r>
    </w:p>
    <w:p w14:paraId="6DC72022" w14:textId="77777777" w:rsidR="00A920F2" w:rsidRDefault="00A920F2" w:rsidP="00591C7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62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98"/>
        <w:gridCol w:w="3208"/>
        <w:gridCol w:w="1302"/>
        <w:gridCol w:w="1319"/>
        <w:gridCol w:w="1111"/>
        <w:gridCol w:w="1097"/>
        <w:gridCol w:w="12"/>
      </w:tblGrid>
      <w:tr w:rsidR="00A920F2" w:rsidRPr="00E66874" w14:paraId="0EB028B6" w14:textId="77777777" w:rsidTr="00E66874">
        <w:trPr>
          <w:gridAfter w:val="1"/>
          <w:wAfter w:w="7" w:type="pct"/>
        </w:trPr>
        <w:tc>
          <w:tcPr>
            <w:tcW w:w="9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28B5EF" w14:textId="77777777" w:rsidR="00A920F2" w:rsidRPr="00E66874" w:rsidRDefault="00515C32" w:rsidP="00591C74">
            <w:pPr>
              <w:keepNext/>
              <w:keepLines/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Kryterium</w:t>
            </w: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D855C9" w14:textId="77777777" w:rsidR="00A920F2" w:rsidRPr="00E66874" w:rsidRDefault="00515C32" w:rsidP="00591C74">
            <w:pPr>
              <w:keepNext/>
              <w:keepLines/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Kryterium cząstkowe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D5FD032" w14:textId="77777777" w:rsidR="00A920F2" w:rsidRPr="00E66874" w:rsidRDefault="00515C32" w:rsidP="00591C74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Ocena kryterium cząstkowego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FC2CF47" w14:textId="77777777" w:rsidR="00A920F2" w:rsidRPr="00E66874" w:rsidRDefault="00515C32" w:rsidP="00591C74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Współczynnik kryterium cząstkowego</w:t>
            </w:r>
          </w:p>
        </w:tc>
        <w:tc>
          <w:tcPr>
            <w:tcW w:w="5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F96AAB6" w14:textId="77777777" w:rsidR="00A920F2" w:rsidRPr="00E66874" w:rsidRDefault="00515C32" w:rsidP="00591C74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Ocena kryterium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21FF2BE" w14:textId="77777777" w:rsidR="00A920F2" w:rsidRPr="00E66874" w:rsidRDefault="00515C32" w:rsidP="00591C74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Suma ocen kryteriów</w:t>
            </w:r>
          </w:p>
        </w:tc>
      </w:tr>
      <w:tr w:rsidR="00A920F2" w:rsidRPr="00E66874" w14:paraId="6534AA38" w14:textId="77777777" w:rsidTr="00E66874">
        <w:trPr>
          <w:gridAfter w:val="1"/>
          <w:wAfter w:w="7" w:type="pct"/>
        </w:trPr>
        <w:tc>
          <w:tcPr>
            <w:tcW w:w="9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167EC0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1. Dokumentacja</w:t>
            </w: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093ACE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1.1. Okres dostępności dokumentacji technicznej i dokumentów dotyczących użytkowania i konserwacji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5E21CD5F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51D09BDD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AF84BC5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▀▀/20</w:t>
            </w:r>
          </w:p>
        </w:tc>
        <w:tc>
          <w:tcPr>
            <w:tcW w:w="557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27FA048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▀▀/100</w:t>
            </w:r>
          </w:p>
        </w:tc>
      </w:tr>
      <w:tr w:rsidR="00A920F2" w:rsidRPr="00E66874" w14:paraId="69355497" w14:textId="77777777" w:rsidTr="00E66874">
        <w:trPr>
          <w:gridAfter w:val="1"/>
          <w:wAfter w:w="7" w:type="pct"/>
        </w:trPr>
        <w:tc>
          <w:tcPr>
            <w:tcW w:w="91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730BCC" w14:textId="77777777" w:rsidR="00A920F2" w:rsidRPr="00E66874" w:rsidRDefault="00515C32" w:rsidP="00E66874">
            <w:pPr>
              <w:keepNext/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2. Możliwości demontażu i dostępu, narzędzia, mocowania</w:t>
            </w: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9868B3" w14:textId="77777777" w:rsidR="00A920F2" w:rsidRPr="00E66874" w:rsidRDefault="00515C32" w:rsidP="00E66874">
            <w:pPr>
              <w:keepNext/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2.1. Łatwość demontażu części z wykazu 2*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9F581D5" w14:textId="77777777" w:rsidR="00A920F2" w:rsidRPr="00E66874" w:rsidRDefault="00515C32" w:rsidP="00E66874">
            <w:pPr>
              <w:keepNext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7A8283F2" w14:textId="77777777" w:rsidR="00A920F2" w:rsidRPr="00E66874" w:rsidRDefault="00515C32" w:rsidP="00E66874">
            <w:pPr>
              <w:keepNext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C0CC443" w14:textId="77777777" w:rsidR="00A920F2" w:rsidRPr="00E66874" w:rsidRDefault="00515C32" w:rsidP="00E66874">
            <w:pPr>
              <w:keepNext/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▀▀/20</w:t>
            </w: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D2272B" w14:textId="77777777" w:rsidR="00A920F2" w:rsidRPr="00E66874" w:rsidRDefault="00A920F2" w:rsidP="00E66874">
            <w:pPr>
              <w:keepNext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15EEA9EE" w14:textId="77777777" w:rsidTr="00E66874">
        <w:trPr>
          <w:gridAfter w:val="1"/>
          <w:wAfter w:w="7" w:type="pct"/>
        </w:trPr>
        <w:tc>
          <w:tcPr>
            <w:tcW w:w="91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FB18FF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FAB6F1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2.2. Konieczne narzędzia (wykaz 2)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1492042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6D673C3F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0,5</w:t>
            </w:r>
          </w:p>
        </w:tc>
        <w:tc>
          <w:tcPr>
            <w:tcW w:w="564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C7F268A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F63F7F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0334A2AD" w14:textId="77777777" w:rsidTr="00E66874">
        <w:trPr>
          <w:gridAfter w:val="1"/>
          <w:wAfter w:w="7" w:type="pct"/>
        </w:trPr>
        <w:tc>
          <w:tcPr>
            <w:tcW w:w="91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F9CB2D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F474A3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2.3. Cechy mocowania między częściami z wykazu 1** i wykazu 2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92B4B49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4CF40097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0,5</w:t>
            </w:r>
          </w:p>
        </w:tc>
        <w:tc>
          <w:tcPr>
            <w:tcW w:w="564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7C78F3A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DCE6CE6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6FF45E56" w14:textId="77777777" w:rsidTr="00E66874">
        <w:trPr>
          <w:gridAfter w:val="1"/>
          <w:wAfter w:w="7" w:type="pct"/>
        </w:trPr>
        <w:tc>
          <w:tcPr>
            <w:tcW w:w="91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5188A3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3. Dostępność części zamiennych</w:t>
            </w: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F39B1F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3.1. Okres dostępności części z wykazu 2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392F729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820C653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C651D3E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▀▀/20</w:t>
            </w: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E1FAB1E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001598E3" w14:textId="77777777" w:rsidTr="00E66874">
        <w:trPr>
          <w:gridAfter w:val="1"/>
          <w:wAfter w:w="7" w:type="pct"/>
        </w:trPr>
        <w:tc>
          <w:tcPr>
            <w:tcW w:w="91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D3EB2D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F1E069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3.2. Okres dostępności części z wykazu 1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23AE56D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88052CD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0,5</w:t>
            </w:r>
          </w:p>
        </w:tc>
        <w:tc>
          <w:tcPr>
            <w:tcW w:w="564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DF551E6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753ACB7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6F2CFED0" w14:textId="77777777" w:rsidTr="00E66874">
        <w:trPr>
          <w:gridAfter w:val="1"/>
          <w:wAfter w:w="7" w:type="pct"/>
        </w:trPr>
        <w:tc>
          <w:tcPr>
            <w:tcW w:w="91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96FCFA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73EBB8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3.3. Czas dostawy części z wykazu 2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826E4B6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4720DF0D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0,3</w:t>
            </w:r>
          </w:p>
        </w:tc>
        <w:tc>
          <w:tcPr>
            <w:tcW w:w="564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319D3C2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0DD91BF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143AE89D" w14:textId="77777777" w:rsidTr="00E66874">
        <w:trPr>
          <w:gridAfter w:val="1"/>
          <w:wAfter w:w="7" w:type="pct"/>
        </w:trPr>
        <w:tc>
          <w:tcPr>
            <w:tcW w:w="91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854C5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18CFEE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3.4. Czas dostawy części z wykazu 1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AED8014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445755F5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0,2</w:t>
            </w:r>
          </w:p>
        </w:tc>
        <w:tc>
          <w:tcPr>
            <w:tcW w:w="564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58977E9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5CA12AA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7136914D" w14:textId="77777777" w:rsidTr="00E66874">
        <w:trPr>
          <w:gridAfter w:val="1"/>
          <w:wAfter w:w="7" w:type="pct"/>
        </w:trPr>
        <w:tc>
          <w:tcPr>
            <w:tcW w:w="9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FA953E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4. Cena części zamiennych</w:t>
            </w: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C4CEE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4.1. Stosunek ceny części z wykazu 2 do ceny nowego urządzenia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E602564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798772D9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C4DE30B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▀▀/20</w:t>
            </w: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30C12B6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2DB0E32C" w14:textId="77777777" w:rsidTr="00E66874">
        <w:trPr>
          <w:gridAfter w:val="1"/>
          <w:wAfter w:w="7" w:type="pct"/>
        </w:trPr>
        <w:tc>
          <w:tcPr>
            <w:tcW w:w="91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713839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5. Kryterium szczegółowe</w:t>
            </w:r>
          </w:p>
          <w:p w14:paraId="7386C948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(przykład z 3 kryteriami cząstkowymi)</w:t>
            </w: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E4C28C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5.1. 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7084436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032D8CCF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57F95BA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▀▀/20</w:t>
            </w: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A9FC0B7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37FCDD51" w14:textId="77777777" w:rsidTr="00E66874">
        <w:trPr>
          <w:gridAfter w:val="1"/>
          <w:wAfter w:w="7" w:type="pct"/>
        </w:trPr>
        <w:tc>
          <w:tcPr>
            <w:tcW w:w="91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07CA21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E24150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5.2.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9F04E23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52F277C5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0,5</w:t>
            </w:r>
          </w:p>
        </w:tc>
        <w:tc>
          <w:tcPr>
            <w:tcW w:w="564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AE99F5A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F9310EB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03A00835" w14:textId="77777777" w:rsidTr="00E66874">
        <w:trPr>
          <w:gridAfter w:val="1"/>
          <w:wAfter w:w="7" w:type="pct"/>
        </w:trPr>
        <w:tc>
          <w:tcPr>
            <w:tcW w:w="91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C32D03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A2BBF6" w14:textId="77777777" w:rsidR="00A920F2" w:rsidRPr="00E66874" w:rsidRDefault="00515C32" w:rsidP="00591C74">
            <w:pPr>
              <w:suppressAutoHyphens w:val="0"/>
              <w:spacing w:after="0" w:line="240" w:lineRule="auto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5.3.</w:t>
            </w:r>
          </w:p>
        </w:tc>
        <w:tc>
          <w:tcPr>
            <w:tcW w:w="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A11872F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  <w:tc>
          <w:tcPr>
            <w:tcW w:w="670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0D7C0678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0,5</w:t>
            </w:r>
          </w:p>
        </w:tc>
        <w:tc>
          <w:tcPr>
            <w:tcW w:w="564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A10EEC0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6A42EB1" w14:textId="77777777" w:rsidR="00A920F2" w:rsidRPr="00E66874" w:rsidRDefault="00A920F2" w:rsidP="00591C7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A920F2" w:rsidRPr="00E66874" w14:paraId="03D38498" w14:textId="77777777" w:rsidTr="00E66874">
        <w:trPr>
          <w:gridAfter w:val="1"/>
          <w:wAfter w:w="7" w:type="pct"/>
        </w:trPr>
        <w:tc>
          <w:tcPr>
            <w:tcW w:w="4436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D678CCE" w14:textId="77777777" w:rsidR="00A920F2" w:rsidRPr="00E66874" w:rsidRDefault="00515C32" w:rsidP="00591C74">
            <w:pPr>
              <w:suppressAutoHyphens w:val="0"/>
              <w:spacing w:after="0" w:line="240" w:lineRule="auto"/>
              <w:jc w:val="right"/>
              <w:rPr>
                <w:spacing w:val="-6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 xml:space="preserve">Ocena stanowiąca wskaźnik 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8919379" w14:textId="77777777" w:rsidR="00A920F2" w:rsidRPr="00E66874" w:rsidRDefault="00515C32" w:rsidP="00591C74">
            <w:pPr>
              <w:suppressAutoHyphens w:val="0"/>
              <w:spacing w:after="0" w:line="240" w:lineRule="auto"/>
              <w:jc w:val="center"/>
              <w:rPr>
                <w:spacing w:val="-6"/>
              </w:rPr>
            </w:pPr>
            <w:r w:rsidRPr="00E6687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▀▀/10</w:t>
            </w:r>
          </w:p>
        </w:tc>
      </w:tr>
      <w:tr w:rsidR="00A920F2" w:rsidRPr="00E66874" w14:paraId="389FA8D0" w14:textId="77777777" w:rsidTr="00E66874">
        <w:tc>
          <w:tcPr>
            <w:tcW w:w="5000" w:type="pct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492639A" w14:textId="77777777" w:rsidR="00A920F2" w:rsidRPr="00E66874" w:rsidRDefault="00515C32" w:rsidP="00591C74">
            <w:pPr>
              <w:pStyle w:val="SNSignatureGauche"/>
              <w:suppressAutoHyphens w:val="0"/>
              <w:spacing w:before="0" w:after="0" w:line="240" w:lineRule="auto"/>
              <w:ind w:left="0" w:right="0" w:firstLine="0"/>
              <w:jc w:val="both"/>
              <w:rPr>
                <w:spacing w:val="-6"/>
              </w:rPr>
            </w:pPr>
            <w:r w:rsidRPr="00E66874">
              <w:rPr>
                <w:rFonts w:ascii="Times New Roman" w:hAnsi="Times New Roman"/>
                <w:i/>
                <w:color w:val="000000"/>
                <w:spacing w:val="-6"/>
              </w:rPr>
              <w:t>*wykaz 2: wykaz maksymalnie 3 do 5 części zamiennych (w zależności od danej kategorii urządzeń), które najczęściej ulegają uszkodzeniu lub awarii;</w:t>
            </w:r>
          </w:p>
          <w:p w14:paraId="5F040779" w14:textId="77777777" w:rsidR="00A920F2" w:rsidRPr="00E66874" w:rsidRDefault="00515C32" w:rsidP="00BD3BED">
            <w:pPr>
              <w:pStyle w:val="SNSignatureGauche"/>
              <w:suppressAutoHyphens w:val="0"/>
              <w:spacing w:before="0" w:after="0" w:line="240" w:lineRule="auto"/>
              <w:ind w:left="0" w:right="0" w:firstLine="0"/>
              <w:jc w:val="both"/>
              <w:rPr>
                <w:spacing w:val="-6"/>
              </w:rPr>
            </w:pPr>
            <w:r w:rsidRPr="00E66874">
              <w:rPr>
                <w:rFonts w:ascii="Times New Roman" w:hAnsi="Times New Roman"/>
                <w:i/>
                <w:color w:val="000000"/>
                <w:spacing w:val="-6"/>
              </w:rPr>
              <w:t>** wykaz 1: wykaz maksymalnie 10 innych części zamiennych (w zależności od danej kategorii urządzeń), których dobry stan jest konieczny do działania urządzenia.</w:t>
            </w:r>
          </w:p>
        </w:tc>
      </w:tr>
    </w:tbl>
    <w:p w14:paraId="601C1711" w14:textId="77777777" w:rsidR="00A920F2" w:rsidRDefault="00A920F2" w:rsidP="00591C74">
      <w:pPr>
        <w:pStyle w:val="SNSignatureGauche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000000"/>
        </w:rPr>
      </w:pPr>
    </w:p>
    <w:p w14:paraId="30ADC968" w14:textId="77777777" w:rsidR="00A920F2" w:rsidRDefault="00515C32" w:rsidP="00591C74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Dla jednego kryterium suma współczynników kryteriów cząstkowych wynosi 2.</w:t>
      </w:r>
    </w:p>
    <w:p w14:paraId="161479A5" w14:textId="77777777" w:rsidR="009451F9" w:rsidRDefault="00515C32" w:rsidP="00591C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Szczegółowe tabele oceny dla poszczególnych kategorii urządzeń, z podaniem wykazów części i szczegółowych informacji na temat każdego kryterium określa się w drodze rozporządzenia.</w:t>
      </w:r>
    </w:p>
    <w:p w14:paraId="2A8B60C5" w14:textId="77777777" w:rsidR="00A920F2" w:rsidRDefault="00A920F2" w:rsidP="00591C74">
      <w:pPr>
        <w:spacing w:after="0" w:line="240" w:lineRule="auto"/>
      </w:pPr>
    </w:p>
    <w:p w14:paraId="400C3763" w14:textId="77777777" w:rsidR="00591C74" w:rsidRDefault="00515C3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Artykuł 5. Definicja kryteriów cząstkowych</w:t>
      </w:r>
    </w:p>
    <w:p w14:paraId="2FB5B84B" w14:textId="77777777" w:rsidR="00591C74" w:rsidRDefault="00591C74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b/>
          <w:color w:val="000000"/>
        </w:rPr>
      </w:pPr>
    </w:p>
    <w:p w14:paraId="696BDB3A" w14:textId="77777777" w:rsidR="00591C74" w:rsidRDefault="00515C3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Kryterium nr 1 – Dokumentacja:</w:t>
      </w:r>
    </w:p>
    <w:p w14:paraId="69C632EF" w14:textId="77777777" w:rsidR="00591C74" w:rsidRDefault="00591C74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b/>
          <w:color w:val="000000"/>
        </w:rPr>
      </w:pPr>
    </w:p>
    <w:p w14:paraId="739CE61E" w14:textId="77777777" w:rsidR="009451F9" w:rsidRDefault="00515C3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Kryterium cząstkowe 1.1: Okres dostępności dokumentacji technicznej i dokumentów dotyczących użytkowania i konserwacji</w:t>
      </w:r>
    </w:p>
    <w:p w14:paraId="6535114B" w14:textId="77777777" w:rsidR="00A920F2" w:rsidRPr="009451F9" w:rsidRDefault="00515C32" w:rsidP="009451F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Określane na podstawie zobowiązania producenta do nieodpłatnego udostępniania przez określoną liczbę lat dokumentów technicznych dla zatwierdzonych i niezależnych serwisantów oraz dla konsumentów, a także dokumentów dotyczących zaleceń użytkowania i konserwacji dla konsumentów, od momentu wprowadzenia do obrotu ostatniej sztuki.</w:t>
      </w:r>
    </w:p>
    <w:p w14:paraId="3FE568F3" w14:textId="77777777" w:rsidR="00A920F2" w:rsidRDefault="00A920F2" w:rsidP="00591C74">
      <w:pPr>
        <w:pStyle w:val="SNSignatureGauche"/>
        <w:spacing w:before="0" w:after="0" w:line="240" w:lineRule="auto"/>
        <w:ind w:left="0" w:right="0" w:firstLine="0"/>
        <w:jc w:val="left"/>
        <w:rPr>
          <w:rFonts w:ascii="Times New Roman" w:hAnsi="Times New Roman"/>
          <w:b/>
          <w:color w:val="000000"/>
        </w:rPr>
      </w:pPr>
    </w:p>
    <w:p w14:paraId="5EF81209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Kryterium nr 2 – Możliwości demontażu i dostępu, narzędzia, mocowania:</w:t>
      </w:r>
    </w:p>
    <w:p w14:paraId="6DD8C25A" w14:textId="77777777" w:rsidR="00A920F2" w:rsidRDefault="00A920F2" w:rsidP="00591C74">
      <w:pPr>
        <w:keepNext/>
        <w:keepLines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2FA4E3CB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Kryterium cząstkowe 2.1. Łatwość demontażu części z wykazu 2:</w:t>
      </w:r>
    </w:p>
    <w:p w14:paraId="63C3A834" w14:textId="77777777" w:rsidR="00A920F2" w:rsidRDefault="00515C32" w:rsidP="00E66874">
      <w:pPr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Określane na podstawie liczby etapów demontażu umożliwiających, w przypadku każdej części z wykazu 2, uzyskanie jednostkowego dostępu do danej części i oddzielenie jej od urządzenia w celu jej wymiany. Ustala się połączenie między oceną tego kryterium cząstkowego a oceną kryterium cząstkowego 3.1, w przypadku gdy danej części nie można zdemontować: ocena zerowa przenosi się w takim wypadku z jednego kryterium cząstkowego na drugie.</w:t>
      </w:r>
    </w:p>
    <w:p w14:paraId="6418BB57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23D7DA64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Kryterium cząstkowe 2.2. Konieczne narzędzia:</w:t>
      </w:r>
    </w:p>
    <w:p w14:paraId="2AE1E361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Określane na podstawie rodzaju narzędzi koniecznych do zdemontowania każdej części z wykazu 2, według klasyfikacji wprowadzającej rozróżnienie między „zwykłymi”, „specjalnymi” lub „zastrzeżonymi” narzędziami.</w:t>
      </w:r>
    </w:p>
    <w:p w14:paraId="36DCCACB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4F5C9D52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Kryterium cząstkowe 2.3. Cechy mocowań:</w:t>
      </w:r>
    </w:p>
    <w:p w14:paraId="2F0C28E2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Określane, dla każdej części z wykazów 1 i 2, na podstawie typu mocowań łączących je z innymi częściami urządzenia, według klasyfikacji wprowadzającej rozróżnienie między mocowaniami „usuwalnymi i możliwymi do ponownego wykorzystania”, „usuwalnymi i niemożliwymi do ponownego wykorzystania” oraz „nieusuwalnymi i niemożliwymi do ponownego wykorzystania”.</w:t>
      </w:r>
    </w:p>
    <w:p w14:paraId="008934A1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2AB4C5C1" w14:textId="77777777" w:rsidR="00A920F2" w:rsidRDefault="00515C32" w:rsidP="00591C74">
      <w:pPr>
        <w:keepNext/>
        <w:keepLines/>
        <w:suppressAutoHyphens w:val="0"/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Kryterium nr 3 – Dostępność części zamiennych</w:t>
      </w:r>
    </w:p>
    <w:p w14:paraId="7413389B" w14:textId="77777777" w:rsidR="00A920F2" w:rsidRDefault="00A920F2" w:rsidP="00591C74">
      <w:pPr>
        <w:keepNext/>
        <w:keepLines/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206F8031" w14:textId="77777777" w:rsidR="00A920F2" w:rsidRDefault="00515C32" w:rsidP="00591C74">
      <w:pPr>
        <w:keepNext/>
        <w:keepLines/>
        <w:suppressAutoHyphens w:val="0"/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Kryterium cząstkowe 3.1. Okres dostępności części z wykazu 2</w:t>
      </w:r>
    </w:p>
    <w:p w14:paraId="7095ACFE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Określane na podstawie zobowiązania producenta do udostępniania przez określoną liczbę lat części z wykazu 2 dla dystrybutorów części zamiennych, zatwierdzonych i niezależnych serwisantów oraz dla konsumentów, od momentu wprowadzenia do obrotu ostatniej sztuki.</w:t>
      </w:r>
    </w:p>
    <w:p w14:paraId="391A7A45" w14:textId="77777777" w:rsidR="00A920F2" w:rsidRDefault="00A920F2" w:rsidP="00591C74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47D1756B" w14:textId="77777777" w:rsidR="00A920F2" w:rsidRDefault="00515C32" w:rsidP="00591C74">
      <w:pPr>
        <w:keepNext/>
        <w:keepLines/>
        <w:suppressAutoHyphens w:val="0"/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Kryterium cząstkowe 3.2. Okres dostępności części z wykazu 1.</w:t>
      </w:r>
    </w:p>
    <w:p w14:paraId="4992673B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Określane na podstawie zobowiązania producenta do udostępniania przez określoną liczbę lat części z wykazu 1 dla dystrybutorów części zamiennych, zatwierdzonych i niezależnych serwisantów oraz dla konsumentów, od momentu wprowadzenia do obrotu ostatniej sztuki.</w:t>
      </w:r>
    </w:p>
    <w:p w14:paraId="108F28B7" w14:textId="77777777" w:rsidR="00A920F2" w:rsidRDefault="00A920F2" w:rsidP="00591C7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5F19A5A2" w14:textId="77777777" w:rsidR="00A920F2" w:rsidRDefault="00515C32" w:rsidP="00591C74">
      <w:pPr>
        <w:keepNext/>
        <w:keepLines/>
        <w:suppressAutoHyphens w:val="0"/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Kryterium cząstkowe 3.3. Czas dostawy części z wykazu 2</w:t>
      </w:r>
    </w:p>
    <w:p w14:paraId="75F417AF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Określane na podstawie zobowiązania producenta do przestrzegania terminu dostawy w liczbie dni roboczych od dnia zamówienia części z wykazu 2 do dystrybutorów części zamiennych, zatwierdzonych i niezależnych serwisantów oraz konsumentów.</w:t>
      </w:r>
    </w:p>
    <w:p w14:paraId="303D7AA1" w14:textId="77777777" w:rsidR="00A920F2" w:rsidRDefault="00A920F2" w:rsidP="00591C7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41963540" w14:textId="77777777" w:rsidR="00A920F2" w:rsidRDefault="00515C32" w:rsidP="00591C74">
      <w:pPr>
        <w:keepNext/>
        <w:keepLines/>
        <w:suppressAutoHyphens w:val="0"/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Kryterium cząstkowe 3.4. Czas dostawy części z wykazu 1</w:t>
      </w:r>
    </w:p>
    <w:p w14:paraId="3A85AC05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Określane na podstawie zobowiązania producenta do przestrzegania terminu dostawy w liczbie dni roboczych od dnia zamówienia części z wykazu 1 do dystrybutorów części zamiennych, zatwierdzonych i niezależnych serwisantów oraz konsumentów.</w:t>
      </w:r>
    </w:p>
    <w:p w14:paraId="35251881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6B29DAC9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Kryterium nr 4 – Cena części zamiennych</w:t>
      </w:r>
    </w:p>
    <w:p w14:paraId="3FBB4DA0" w14:textId="77777777" w:rsidR="00A920F2" w:rsidRDefault="00A920F2" w:rsidP="00591C74">
      <w:pPr>
        <w:keepNext/>
        <w:keepLines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0F9DCFAA" w14:textId="77777777" w:rsidR="00591C74" w:rsidRPr="00591C74" w:rsidRDefault="00515C32" w:rsidP="00591C74">
      <w:pPr>
        <w:keepNext/>
        <w:keepLines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Kryterium cząstkowe 4.1. Stosunek między ceną sprzedaży części przez producenta lub importera a ceną sprzedaży urządzeń przez producenta lub importera.</w:t>
      </w:r>
    </w:p>
    <w:p w14:paraId="34346CBF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Kryterium ocenia się poprzez porównanie:</w:t>
      </w:r>
    </w:p>
    <w:p w14:paraId="5A3CB9DF" w14:textId="77777777" w:rsidR="00591C74" w:rsidRPr="00E66874" w:rsidRDefault="00515C3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66874">
        <w:rPr>
          <w:rFonts w:ascii="Times New Roman" w:hAnsi="Times New Roman"/>
          <w:color w:val="000000"/>
          <w:spacing w:val="-4"/>
          <w:sz w:val="24"/>
          <w:szCs w:val="24"/>
        </w:rPr>
        <w:t>ceny netto najdroższej części z wykazu 2 + (średnia cen netto pozostałych części z wykazu 2)/2 oraz</w:t>
      </w:r>
    </w:p>
    <w:p w14:paraId="66B37BB9" w14:textId="77777777" w:rsidR="00A920F2" w:rsidRDefault="00515C32" w:rsidP="00E66874">
      <w:pPr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ceny netto modelu danego urządzenia, gdzie każdą cenę rozumie się jako cenę netto z cennika obowiązującego w momencie obliczania wskaźnika, podanego w ogólnych warunkach sprzedaży producenta lub importera, lub w przypadku jego braku, w innym obowiązującym dokumencie umownym. </w:t>
      </w:r>
    </w:p>
    <w:p w14:paraId="0E9E4EA3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3B824D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W przypadku gdy producent lub importer dysponuje w odniesieniu do rozpatrywanych części lub urządzeń kilkoma cennikami w zależności od różnych kategorii klientów będących dystrybutorami lub sprzedawcami, do obliczania wskaźnika wybiera się ceny z cennika, który dotyczy największej części obrotów producenta lub importera w odniesieniu do danego typu części lub urządzenia w ciągu ostatniego roku obrotowego, za który zamknięto księgi rachunkowe. </w:t>
      </w:r>
    </w:p>
    <w:p w14:paraId="0802C1EE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D687E6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W przypadku gdy niektóre z tych części są nierozdzielne lub gdy dana część jest wbudowana w moduł i tylko on jest dostępny, uwzględnia się łączną cenę części lub cenę modułu.</w:t>
      </w:r>
    </w:p>
    <w:p w14:paraId="7D28647C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11A3D279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Kryterium nr 5 – Kryterium szczegółowe dla danej kategorii urządzeń</w:t>
      </w:r>
    </w:p>
    <w:p w14:paraId="54CE3550" w14:textId="77777777" w:rsidR="00A920F2" w:rsidRDefault="00A920F2" w:rsidP="00591C74">
      <w:pPr>
        <w:keepNext/>
        <w:keepLines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05E0113D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Kryterium to składa się z jednego lub kilku kryteriów cząstkowych, specyficznych dla danej kategorii urządzeń. Jeśli jest to istotne dla danej kategorii urządzeń, kryterium 5 szczegółowe dla kategorii obejmuje kryterium cząstkowe dotyczące wyposażenia w licznik zużycia widoczny dla konsumenta, dla którego współczynnik wynosi co najmniej 1.</w:t>
      </w:r>
    </w:p>
    <w:p w14:paraId="0001F61B" w14:textId="77777777" w:rsidR="00A920F2" w:rsidRDefault="00A920F2" w:rsidP="00591C74">
      <w:pPr>
        <w:pStyle w:val="SNSignatureGauche"/>
        <w:spacing w:before="0" w:after="0" w:line="240" w:lineRule="auto"/>
        <w:ind w:left="0" w:right="0" w:firstLine="0"/>
        <w:jc w:val="left"/>
        <w:rPr>
          <w:rFonts w:ascii="Times New Roman" w:hAnsi="Times New Roman"/>
          <w:b/>
          <w:color w:val="000000"/>
        </w:rPr>
      </w:pPr>
    </w:p>
    <w:p w14:paraId="664B0BF9" w14:textId="77777777" w:rsidR="00A920F2" w:rsidRDefault="00515C3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left"/>
      </w:pPr>
      <w:r>
        <w:rPr>
          <w:rFonts w:ascii="Times New Roman" w:hAnsi="Times New Roman"/>
          <w:b/>
          <w:color w:val="000000"/>
        </w:rPr>
        <w:t>Artykuł 6 – Zastosowane definicje</w:t>
      </w:r>
    </w:p>
    <w:p w14:paraId="68174911" w14:textId="77777777" w:rsidR="00A920F2" w:rsidRDefault="00A920F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left"/>
        <w:rPr>
          <w:rFonts w:ascii="Times New Roman" w:hAnsi="Times New Roman"/>
          <w:b/>
          <w:color w:val="000000"/>
        </w:rPr>
      </w:pPr>
    </w:p>
    <w:p w14:paraId="605AF14F" w14:textId="77777777" w:rsidR="00591C74" w:rsidRDefault="00515C32" w:rsidP="00591C74">
      <w:pPr>
        <w:pStyle w:val="SNSignatureGauche"/>
        <w:keepNext/>
        <w:keepLines/>
        <w:spacing w:before="0" w:after="0" w:line="240" w:lineRule="auto"/>
        <w:ind w:left="0" w:right="0" w:firstLine="0"/>
        <w:jc w:val="lef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Wykaz części</w:t>
      </w:r>
    </w:p>
    <w:p w14:paraId="1BE83F44" w14:textId="77777777" w:rsidR="00591C74" w:rsidRDefault="00515C32" w:rsidP="002A489A">
      <w:pPr>
        <w:pStyle w:val="SNSignatureGauche"/>
        <w:keepNext/>
        <w:keepLines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Definiuje się dwa wykazy części dla każdej kategorii urządzeń:</w:t>
      </w:r>
    </w:p>
    <w:p w14:paraId="37CFC5D5" w14:textId="77777777" w:rsidR="00591C74" w:rsidRDefault="00515C32" w:rsidP="002A489A">
      <w:pPr>
        <w:pStyle w:val="SNSignatureGauche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 wykaz 2: wykaz maksymalnie trzech do pięciu części zamiennych (w zależności od danej kategorii urządzeń), które najczęściej ulegają uszkodzeniu lub awarii;</w:t>
      </w:r>
    </w:p>
    <w:p w14:paraId="38E543B6" w14:textId="77777777" w:rsidR="00A920F2" w:rsidRDefault="00BD3BED" w:rsidP="002A489A">
      <w:pPr>
        <w:pStyle w:val="SNSignatureGauche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 wykaz 1: wykaz maksymalnie dziesięciu innych części zamiennych (w zależności od danej kategorii urządzeń), których dobry stan jest konieczny do działania urządzenia.</w:t>
      </w:r>
    </w:p>
    <w:p w14:paraId="4E6373F5" w14:textId="77777777" w:rsidR="00591C74" w:rsidRDefault="00591C74" w:rsidP="00591C74">
      <w:pPr>
        <w:pStyle w:val="SNSignatureGauche"/>
        <w:spacing w:before="0" w:after="0" w:line="240" w:lineRule="auto"/>
        <w:ind w:left="0" w:right="0" w:firstLine="0"/>
        <w:jc w:val="left"/>
      </w:pPr>
    </w:p>
    <w:p w14:paraId="58646BD9" w14:textId="77777777" w:rsidR="00A920F2" w:rsidRDefault="00515C32" w:rsidP="00591C74">
      <w:pPr>
        <w:pStyle w:val="SNSignatureGauche"/>
        <w:spacing w:before="0" w:after="0" w:line="240" w:lineRule="auto"/>
        <w:ind w:left="0" w:right="0" w:firstLine="0"/>
        <w:jc w:val="left"/>
      </w:pPr>
      <w:r>
        <w:rPr>
          <w:rFonts w:ascii="Times New Roman" w:hAnsi="Times New Roman"/>
          <w:color w:val="000000"/>
        </w:rPr>
        <w:t xml:space="preserve">Wykazy te nie muszą obejmować wszystkich części składowych urządzenia. </w:t>
      </w:r>
    </w:p>
    <w:p w14:paraId="1F8A489D" w14:textId="77777777" w:rsidR="00591C74" w:rsidRDefault="00591C74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17106E47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Pojęcie etapu</w:t>
      </w:r>
    </w:p>
    <w:p w14:paraId="6C6358F5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Etap to operacja, która kończy się demontażem elementu lub części lub zmianą narzędzia. Element może obejmować jedną lub kilka części.</w:t>
      </w:r>
    </w:p>
    <w:p w14:paraId="3A588D90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723BB024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bCs/>
          <w:color w:val="000000"/>
          <w:sz w:val="24"/>
          <w:szCs w:val="24"/>
        </w:rPr>
        <w:t>Od tej ogólnej definicji dopuszcza się wyjątki uzasadnione względami praktycznymi lub bezpieczeństwem. Wyjątki określa się w drodze rozporządzenia ministra właściwego do spraw środowiska i ministra właściwego do spraw gospodarki i finansów dla każdej kategorii urządzeń.</w:t>
      </w:r>
    </w:p>
    <w:p w14:paraId="76E14551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B2D3886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bCs/>
          <w:color w:val="000000"/>
          <w:sz w:val="24"/>
          <w:szCs w:val="24"/>
        </w:rPr>
        <w:t>Mocowania lub łączenia definiuje się jako techniki montażu, mocowania lub uszczelniania. Elementów mocowania lub łączenia nie uważa się za części.</w:t>
      </w:r>
    </w:p>
    <w:p w14:paraId="50DE4F82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B9D1E77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Typy mocowań</w:t>
      </w:r>
    </w:p>
    <w:p w14:paraId="55A6BF2E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Usuwalne i możliwe do ponownego wykorzystania: oryginalny system mocowań, który można w pełni usunąć, nie powodując uszkodzeń urządzenia i nie pozostawiając śladów, i można go ponownie wykorzystać.</w:t>
      </w:r>
    </w:p>
    <w:p w14:paraId="79011C9A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3AB3386E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Usuwalne i niemożliwe do ponownego wykorzystania: oryginalny system mocowań, który można w pełni usunąć, nie powodując uszkodzeń urządzenia i nie pozostawiając śladów, lecz nie można go ponownie wykorzystać.</w:t>
      </w:r>
    </w:p>
    <w:p w14:paraId="0888B0CD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</w:p>
    <w:p w14:paraId="7EF35DF8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Nieusuwalne i niemożliwe do ponownego wykorzystania: oryginalny system mocowań, którego nie można w pełni usunąć, nie powodując uszkodzeń urządzenia i nie pozostawiając śladów, i nie można go ponownie wykorzystać.</w:t>
      </w:r>
    </w:p>
    <w:p w14:paraId="5968E775" w14:textId="77777777" w:rsidR="00A920F2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288450CB" w14:textId="77777777" w:rsidR="00A920F2" w:rsidRDefault="00515C32" w:rsidP="00591C74">
      <w:pPr>
        <w:keepNext/>
        <w:keepLines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Typy narzędzi</w:t>
      </w:r>
    </w:p>
    <w:p w14:paraId="771C34B0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Wykaz zwykłych narzędzi przedstawiono poniżej z podaniem norm referencyjnych:</w:t>
      </w:r>
    </w:p>
    <w:p w14:paraId="101E45F1" w14:textId="77777777" w:rsidR="00A920F2" w:rsidRDefault="00A920F2" w:rsidP="00591C74">
      <w:pPr>
        <w:pStyle w:val="Tabletitle"/>
        <w:keepNext w:val="0"/>
        <w:spacing w:before="0" w:after="0" w:line="240" w:lineRule="auto"/>
        <w:jc w:val="left"/>
        <w:rPr>
          <w:rFonts w:ascii="Times New Roman" w:hAnsi="Times New Roman"/>
          <w:color w:val="000000"/>
          <w:sz w:val="24"/>
          <w:lang w:val="fr-FR" w:eastAsia="fr-FR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8"/>
        <w:gridCol w:w="4898"/>
      </w:tblGrid>
      <w:tr w:rsidR="00A920F2" w:rsidRPr="00E66874" w14:paraId="631A9F35" w14:textId="77777777" w:rsidTr="00591C74">
        <w:trPr>
          <w:tblHeader/>
        </w:trPr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6DE7B8" w14:textId="77777777" w:rsidR="00A920F2" w:rsidRPr="00E66874" w:rsidRDefault="00515C32" w:rsidP="00E66874">
            <w:pPr>
              <w:pStyle w:val="Tableheader"/>
              <w:keepNext/>
              <w:keepLines/>
              <w:spacing w:before="0" w:after="0" w:line="235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Zwykłe narzędzia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F6E63" w14:textId="77777777" w:rsidR="00A920F2" w:rsidRPr="00E66874" w:rsidRDefault="00515C32" w:rsidP="00E66874">
            <w:pPr>
              <w:pStyle w:val="Tableheader"/>
              <w:keepNext/>
              <w:keepLines/>
              <w:spacing w:before="0" w:after="0" w:line="235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Oznaczenie</w:t>
            </w:r>
          </w:p>
        </w:tc>
      </w:tr>
      <w:tr w:rsidR="00A920F2" w:rsidRPr="00E66874" w14:paraId="45C9D6C8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5AACE4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Wkrętak do śrub rowkowych, wkrętak krzyżakowy i wkrętak do śrub z gniazdem sześciokarbowym.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A76B3D" w14:textId="77777777" w:rsidR="00A920F2" w:rsidRPr="00E66874" w:rsidRDefault="00515C32" w:rsidP="00E66874">
            <w:pPr>
              <w:pStyle w:val="Tablebody"/>
              <w:spacing w:before="0" w:after="0"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 2380, ISO 8764, ISO 10664</w:t>
            </w:r>
          </w:p>
        </w:tc>
      </w:tr>
      <w:tr w:rsidR="00A920F2" w:rsidRPr="00E66874" w14:paraId="7D088BEB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418567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Klucz do śrub z gniazdem sześciokarbowym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A7BCF3" w14:textId="77777777" w:rsidR="00A920F2" w:rsidRPr="00E66874" w:rsidRDefault="00515C32" w:rsidP="00E66874">
            <w:pPr>
              <w:pStyle w:val="Tablebody"/>
              <w:spacing w:before="0" w:after="0"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 2936</w:t>
            </w:r>
          </w:p>
        </w:tc>
      </w:tr>
      <w:tr w:rsidR="00A920F2" w:rsidRPr="00E66874" w14:paraId="6FFDB092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ECA7D0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Klucz kombinowany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EEB0B3" w14:textId="77777777" w:rsidR="00A920F2" w:rsidRPr="00E66874" w:rsidRDefault="00515C32" w:rsidP="00E66874">
            <w:pPr>
              <w:pStyle w:val="Tablebody"/>
              <w:spacing w:before="0" w:after="0"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 7738</w:t>
            </w:r>
          </w:p>
        </w:tc>
      </w:tr>
      <w:tr w:rsidR="00A920F2" w:rsidRPr="00E66874" w14:paraId="3F120136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6BC04E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Szczypce uniwersalne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D6680" w14:textId="77777777" w:rsidR="00A920F2" w:rsidRPr="00E66874" w:rsidRDefault="00515C32" w:rsidP="00E66874">
            <w:pPr>
              <w:pStyle w:val="Tablebody"/>
              <w:spacing w:before="0" w:after="0"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 5746</w:t>
            </w:r>
          </w:p>
        </w:tc>
      </w:tr>
      <w:tr w:rsidR="00A920F2" w:rsidRPr="00E66874" w14:paraId="0EA04A1F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C53DC0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Szczypce półokrągłe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DEAD05" w14:textId="77777777" w:rsidR="00A920F2" w:rsidRPr="00E66874" w:rsidRDefault="00515C32" w:rsidP="00E66874">
            <w:pPr>
              <w:pStyle w:val="Tablebody"/>
              <w:spacing w:before="0" w:after="0"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 5745</w:t>
            </w:r>
          </w:p>
        </w:tc>
      </w:tr>
      <w:tr w:rsidR="00A920F2" w:rsidRPr="00E66874" w14:paraId="61153B2F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484EAB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Szczypce do cięcia boczne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FED3EF" w14:textId="77777777" w:rsidR="00A920F2" w:rsidRPr="00E66874" w:rsidRDefault="00515C32" w:rsidP="00E66874">
            <w:pPr>
              <w:pStyle w:val="Tablebody"/>
              <w:spacing w:before="0" w:after="0"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 5749</w:t>
            </w:r>
          </w:p>
        </w:tc>
      </w:tr>
      <w:tr w:rsidR="00A920F2" w:rsidRPr="00E66874" w14:paraId="4D14A717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8C5F3B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Szczypce nastawne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2E1627" w14:textId="77777777" w:rsidR="00A920F2" w:rsidRPr="00E66874" w:rsidRDefault="00515C32" w:rsidP="00E66874">
            <w:pPr>
              <w:pStyle w:val="Tablebody"/>
              <w:spacing w:before="0" w:after="0"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 8976</w:t>
            </w:r>
          </w:p>
        </w:tc>
      </w:tr>
      <w:tr w:rsidR="00A920F2" w:rsidRPr="00E66874" w14:paraId="2242F383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5AFDCA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Szczypce zaciskowe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6FF75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E66874" w14:paraId="543E8622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84B16B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Szczypce uniwersalne do usuwania izolacji i zaciskania końcówek kablowych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9744FD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E66874" w14:paraId="756FB95A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ACB996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Dźwignia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58BDA1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E66874" w14:paraId="30D527DB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26B92A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Pęseta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9A69AF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E66874" w14:paraId="7CE6E8DB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66C8C2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Młotek (z główką metalową)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0B044" w14:textId="77777777" w:rsidR="00A920F2" w:rsidRPr="00E66874" w:rsidRDefault="00515C32" w:rsidP="00E66874">
            <w:pPr>
              <w:pStyle w:val="Tablebody"/>
              <w:spacing w:before="0" w:after="0"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ISO 15601</w:t>
            </w:r>
          </w:p>
        </w:tc>
      </w:tr>
      <w:tr w:rsidR="00A920F2" w:rsidRPr="00E66874" w14:paraId="34A98834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8016B0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Nóż uniwersalny (obcinak) ze składanym ostrzem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F344F6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E66874" w14:paraId="0E49FA1C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DB0FE0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Miernik uniwersalny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FCEE2C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E66874" w14:paraId="64A77616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0CBBD8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Woltomierz (miernik napięcia)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8F25BC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E66874" w14:paraId="4A328472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6A0D33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Lutownica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8923E3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E66874" w14:paraId="1F069881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0FE01C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Pistolet do klejenia na gorąco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154BB7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  <w:tr w:rsidR="00A920F2" w:rsidRPr="00E66874" w14:paraId="7EA283FF" w14:textId="77777777" w:rsidTr="00591C74">
        <w:tc>
          <w:tcPr>
            <w:tcW w:w="24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54B6D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Szkło powiększające</w:t>
            </w:r>
          </w:p>
        </w:tc>
        <w:tc>
          <w:tcPr>
            <w:tcW w:w="25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FB8823" w14:textId="77777777" w:rsidR="00A920F2" w:rsidRPr="00E66874" w:rsidRDefault="00515C32" w:rsidP="00E66874">
            <w:pPr>
              <w:pStyle w:val="Tablebody"/>
              <w:spacing w:before="0" w:after="0" w:line="235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668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/</w:t>
            </w:r>
          </w:p>
        </w:tc>
      </w:tr>
    </w:tbl>
    <w:p w14:paraId="3BAED34F" w14:textId="77777777" w:rsidR="00A920F2" w:rsidRPr="00E66874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3CED5956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Narzędzia specjalne to narzędzia, które nie figurują w wykazie zwykłych narzędzi i nie są narzędziami zastrzeżonymi.</w:t>
      </w:r>
    </w:p>
    <w:p w14:paraId="788917B3" w14:textId="77777777" w:rsidR="00A920F2" w:rsidRPr="00E66874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3E5F179A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Narzędzia zastrzeżone to narzędzia, których własność intelektualna należy do producenta lub określonego podmiotu.</w:t>
      </w:r>
    </w:p>
    <w:p w14:paraId="6119463C" w14:textId="77777777" w:rsidR="00A920F2" w:rsidRPr="00E66874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21A85D17" w14:textId="77777777" w:rsidR="00A920F2" w:rsidRDefault="00515C32" w:rsidP="00E66874">
      <w:pPr>
        <w:keepNext/>
        <w:keepLines/>
        <w:pageBreakBefore/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Licznik zużycia</w:t>
      </w:r>
    </w:p>
    <w:p w14:paraId="53080768" w14:textId="77777777" w:rsidR="00A920F2" w:rsidRDefault="00515C32" w:rsidP="00591C74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Urządzenie, które rejestruje w sposób łączny zużycie urządzenia, podając liczbę jednostek. Licznik zużycia może być bezpośrednio widoczny dla konsumenta przy każdym uruchomieniu urządzenia lub wymagać dobrowolnego działania użytkownika w celu sprawdzenia wartości wyświetlanej przez licznik zużycia.</w:t>
      </w:r>
    </w:p>
    <w:p w14:paraId="761108A1" w14:textId="77777777" w:rsidR="00A920F2" w:rsidRPr="00E66874" w:rsidRDefault="00A920F2" w:rsidP="00591C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0684FF41" w14:textId="77777777" w:rsidR="00A920F2" w:rsidRPr="00E66874" w:rsidRDefault="00A920F2" w:rsidP="00E668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37411058" w14:textId="77777777" w:rsidR="00591C74" w:rsidRPr="00E66874" w:rsidRDefault="00591C74" w:rsidP="00E668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561CCE7E" w14:textId="77777777" w:rsidR="00A920F2" w:rsidRPr="00247F97" w:rsidRDefault="00515C32" w:rsidP="0084523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Minister Transformacji Ekologicznej:</w:t>
      </w:r>
    </w:p>
    <w:p w14:paraId="2A2A9F67" w14:textId="77777777" w:rsidR="00A920F2" w:rsidRPr="00E66874" w:rsidRDefault="00A920F2" w:rsidP="00E668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4031EDE9" w14:textId="77777777" w:rsidR="00A920F2" w:rsidRPr="00247F97" w:rsidRDefault="00515C32" w:rsidP="000C5560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imieniu Minister i z jej upoważnienia, Komisarz Generalny ds. Zrównoważonego Rozwoju</w:t>
      </w:r>
    </w:p>
    <w:p w14:paraId="5680E606" w14:textId="77777777" w:rsidR="00BD3BED" w:rsidRPr="00E66874" w:rsidRDefault="00BD3BED" w:rsidP="00E668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2A0560FA" w14:textId="77777777" w:rsidR="00A920F2" w:rsidRPr="00247F97" w:rsidRDefault="00515C32" w:rsidP="0084523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T. Lesueur</w:t>
      </w:r>
    </w:p>
    <w:p w14:paraId="2B6626C5" w14:textId="77777777" w:rsidR="00BD3BED" w:rsidRPr="00E66874" w:rsidRDefault="00BD3BED" w:rsidP="00E668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08EA2624" w14:textId="77777777" w:rsidR="00BD3BED" w:rsidRPr="00E66874" w:rsidRDefault="00BD3BED" w:rsidP="00E668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19C5ED00" w14:textId="77777777" w:rsidR="00BD3BED" w:rsidRPr="00E66874" w:rsidRDefault="00BD3BED" w:rsidP="00E668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fr-FR"/>
        </w:rPr>
      </w:pPr>
    </w:p>
    <w:p w14:paraId="5921DC22" w14:textId="77777777" w:rsidR="00A920F2" w:rsidRPr="00247F97" w:rsidRDefault="00515C32" w:rsidP="0084523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Minister Gospodarki i Finansów:</w:t>
      </w:r>
    </w:p>
    <w:p w14:paraId="0306FAF8" w14:textId="77777777" w:rsidR="00A920F2" w:rsidRPr="00247F97" w:rsidRDefault="00A920F2" w:rsidP="0084523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69DD0" w14:textId="77777777" w:rsidR="00A920F2" w:rsidRPr="00247F97" w:rsidRDefault="00515C32" w:rsidP="000C5560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imieniu i z upoważnienia Ministra, Dyrektor Generalna ds. Konkurencji, Konsumentów i Zwalczania Oszustw</w:t>
      </w:r>
    </w:p>
    <w:p w14:paraId="6D71045C" w14:textId="77777777" w:rsidR="00BD3BED" w:rsidRDefault="00BD3BED" w:rsidP="000C5560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13F6D" w14:textId="77777777" w:rsidR="00A920F2" w:rsidRPr="00247F97" w:rsidRDefault="00515C32" w:rsidP="0084523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V. Beaumeunier</w:t>
      </w:r>
    </w:p>
    <w:sectPr w:rsidR="00A920F2" w:rsidRPr="00247F97">
      <w:pgSz w:w="11906" w:h="16838"/>
      <w:pgMar w:top="1416" w:right="1133" w:bottom="1133" w:left="113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C537D" w14:textId="77777777" w:rsidR="00C93306" w:rsidRDefault="00C93306">
      <w:pPr>
        <w:spacing w:after="0" w:line="240" w:lineRule="auto"/>
      </w:pPr>
      <w:r>
        <w:separator/>
      </w:r>
    </w:p>
  </w:endnote>
  <w:endnote w:type="continuationSeparator" w:id="0">
    <w:p w14:paraId="56F6BE1F" w14:textId="77777777" w:rsidR="00C93306" w:rsidRDefault="00C9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9DCC0" w14:textId="77777777" w:rsidR="00C93306" w:rsidRDefault="00C93306">
      <w:pPr>
        <w:spacing w:after="0" w:line="240" w:lineRule="auto"/>
      </w:pPr>
      <w:r>
        <w:separator/>
      </w:r>
    </w:p>
  </w:footnote>
  <w:footnote w:type="continuationSeparator" w:id="0">
    <w:p w14:paraId="37437F62" w14:textId="77777777" w:rsidR="00C93306" w:rsidRDefault="00C9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5C32"/>
    <w:rsid w:val="000C5560"/>
    <w:rsid w:val="00247F97"/>
    <w:rsid w:val="002A489A"/>
    <w:rsid w:val="00515C32"/>
    <w:rsid w:val="00591C74"/>
    <w:rsid w:val="00596751"/>
    <w:rsid w:val="006039E8"/>
    <w:rsid w:val="00801F0A"/>
    <w:rsid w:val="00845239"/>
    <w:rsid w:val="00882C27"/>
    <w:rsid w:val="00924F06"/>
    <w:rsid w:val="009451F9"/>
    <w:rsid w:val="009A7F5C"/>
    <w:rsid w:val="00A920F2"/>
    <w:rsid w:val="00BD3BED"/>
    <w:rsid w:val="00C93306"/>
    <w:rsid w:val="00E6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9747D76"/>
  <w15:chartTrackingRefBased/>
  <w15:docId w15:val="{6E3F2D20-FD34-434E-B052-5EB6BBDA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  <w:lang w:eastAsia="fr-FR"/>
    </w:rPr>
  </w:style>
  <w:style w:type="character" w:customStyle="1" w:styleId="WW8Num4z0">
    <w:name w:val="WW8Num4z0"/>
    <w:rPr>
      <w:rFonts w:ascii="Times New Roman" w:hAnsi="Times New Roman" w:cs="Times New Roman" w:hint="default"/>
      <w:sz w:val="20"/>
      <w:szCs w:val="2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Policepardfaut">
    <w:name w:val="Police par défaut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3">
    <w:name w:val="Police par défaut3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</w:rPr>
  </w:style>
  <w:style w:type="character" w:customStyle="1" w:styleId="CarCar">
    <w:name w:val="Car Car"/>
    <w:rPr>
      <w:sz w:val="24"/>
      <w:szCs w:val="24"/>
    </w:rPr>
  </w:style>
  <w:style w:type="character" w:customStyle="1" w:styleId="TabletitleChar">
    <w:name w:val="Table title Char"/>
    <w:rPr>
      <w:rFonts w:ascii="Arial" w:eastAsia="Calibri" w:hAnsi="Arial" w:cs="Arial"/>
      <w:b/>
      <w:szCs w:val="24"/>
      <w:lang w:val="pl-PL"/>
    </w:rPr>
  </w:style>
  <w:style w:type="character" w:customStyle="1" w:styleId="TablebodyChar">
    <w:name w:val="Table body Char"/>
    <w:rPr>
      <w:rFonts w:ascii="Arial" w:eastAsia="Calibri" w:hAnsi="Arial" w:cs="Arial"/>
      <w:szCs w:val="22"/>
      <w:lang w:val="pl-PL"/>
    </w:rPr>
  </w:style>
  <w:style w:type="character" w:customStyle="1" w:styleId="TableheaderChar">
    <w:name w:val="Table header Char"/>
    <w:rPr>
      <w:rFonts w:ascii="Arial" w:eastAsia="Calibri" w:hAnsi="Arial" w:cs="Arial"/>
      <w:szCs w:val="22"/>
      <w:lang w:val="pl-PL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3">
    <w:name w:val="Titre3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NSignatureprnomnomDroite">
    <w:name w:val="SNSignature prénom+nom Droite"/>
    <w:basedOn w:val="Normal"/>
    <w:pPr>
      <w:spacing w:before="120" w:after="120" w:line="240" w:lineRule="auto"/>
      <w:ind w:left="5041"/>
      <w:jc w:val="righ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abletitle">
    <w:name w:val="Table title"/>
    <w:basedOn w:val="Normal"/>
    <w:pPr>
      <w:keepNext/>
      <w:spacing w:before="120" w:after="120" w:line="240" w:lineRule="atLeast"/>
      <w:jc w:val="center"/>
    </w:pPr>
    <w:rPr>
      <w:rFonts w:ascii="Arial" w:eastAsia="Calibri" w:hAnsi="Arial" w:cs="Times New Roman"/>
      <w:b/>
      <w:kern w:val="0"/>
      <w:sz w:val="20"/>
      <w:szCs w:val="24"/>
    </w:rPr>
  </w:style>
  <w:style w:type="paragraph" w:customStyle="1" w:styleId="Tablebody">
    <w:name w:val="Table body"/>
    <w:basedOn w:val="Normal"/>
    <w:pPr>
      <w:suppressAutoHyphens w:val="0"/>
      <w:spacing w:before="60" w:after="60" w:line="210" w:lineRule="atLeast"/>
    </w:pPr>
    <w:rPr>
      <w:rFonts w:ascii="Arial" w:eastAsia="Calibri" w:hAnsi="Arial" w:cs="Times New Roman"/>
      <w:kern w:val="0"/>
      <w:sz w:val="20"/>
    </w:rPr>
  </w:style>
  <w:style w:type="paragraph" w:customStyle="1" w:styleId="Tableheader">
    <w:name w:val="Table header"/>
    <w:basedOn w:val="Tablebody"/>
  </w:style>
  <w:style w:type="table" w:styleId="TableGrid">
    <w:name w:val="Table Grid"/>
    <w:basedOn w:val="TableNormal"/>
    <w:uiPriority w:val="39"/>
    <w:rsid w:val="0059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2034</Words>
  <Characters>11598</Characters>
  <Application>Microsoft Office Word</Application>
  <DocSecurity>0</DocSecurity>
  <Lines>96</Lines>
  <Paragraphs>27</Paragraphs>
  <ScaleCrop>false</ScaleCrop>
  <Company>Microsoft</Company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Diana STOICA</cp:lastModifiedBy>
  <cp:revision>3</cp:revision>
  <cp:lastPrinted>1899-12-31T22:00:00Z</cp:lastPrinted>
  <dcterms:created xsi:type="dcterms:W3CDTF">2020-07-22T01:03:00Z</dcterms:created>
  <dcterms:modified xsi:type="dcterms:W3CDTF">2020-07-29T14:25:00Z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