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C6227" w14:textId="77777777" w:rsidR="00000018" w:rsidRDefault="00000018" w:rsidP="00000018">
      <w:pPr>
        <w:jc w:val="center"/>
        <w:rPr>
          <w:rFonts w:ascii="Courier New" w:hAnsi="Courier New"/>
          <w:sz w:val="20"/>
        </w:rPr>
      </w:pPr>
      <w:r>
        <w:rPr>
          <w:rFonts w:ascii="Courier New" w:hAnsi="Courier New"/>
          <w:sz w:val="20"/>
        </w:rPr>
        <w:t>1. ------IND- 2020 0469 F-- CS- ------ 20210228 --- --- FINAL</w:t>
      </w:r>
    </w:p>
    <w:p w14:paraId="4CBE32FB" w14:textId="77777777" w:rsidR="00E53DB4" w:rsidRPr="00970505" w:rsidRDefault="00E53DB4" w:rsidP="00ED3F8B">
      <w:pPr>
        <w:spacing w:after="0" w:line="240" w:lineRule="auto"/>
      </w:pPr>
    </w:p>
    <w:p w14:paraId="37B6A598" w14:textId="77777777" w:rsidR="004C4E44" w:rsidRDefault="004C4E44" w:rsidP="00ED3F8B">
      <w:pPr>
        <w:spacing w:after="0" w:line="240" w:lineRule="auto"/>
        <w:outlineLvl w:val="1"/>
        <w:rPr>
          <w:rFonts w:ascii="Times New Roman" w:eastAsia="Times New Roman" w:hAnsi="Times New Roman" w:cs="Times New Roman"/>
          <w:b/>
          <w:bCs/>
          <w:sz w:val="36"/>
          <w:szCs w:val="36"/>
        </w:rPr>
      </w:pPr>
      <w:r>
        <w:rPr>
          <w:rFonts w:ascii="Times New Roman" w:hAnsi="Times New Roman"/>
          <w:b/>
          <w:sz w:val="36"/>
        </w:rPr>
        <w:t>Vyhláška ze dne 29. prosince 2020 o způsobech uvádění a označování indexu opravitelnosti a o obecných parametrech pro jeho výpočet</w:t>
      </w:r>
    </w:p>
    <w:p w14:paraId="74FB8CF6" w14:textId="77777777" w:rsidR="00ED3F8B" w:rsidRPr="00970505" w:rsidRDefault="00ED3F8B" w:rsidP="00ED3F8B">
      <w:pPr>
        <w:spacing w:after="0" w:line="240" w:lineRule="auto"/>
        <w:outlineLvl w:val="1"/>
        <w:rPr>
          <w:rFonts w:ascii="Times New Roman" w:eastAsia="Times New Roman" w:hAnsi="Times New Roman" w:cs="Times New Roman"/>
          <w:b/>
          <w:bCs/>
          <w:sz w:val="36"/>
          <w:szCs w:val="36"/>
          <w:lang w:eastAsia="fr-FR"/>
        </w:rPr>
      </w:pPr>
    </w:p>
    <w:p w14:paraId="715BA3EA" w14:textId="77777777" w:rsidR="004C4E44" w:rsidRPr="00970505" w:rsidRDefault="004C4E44" w:rsidP="00ED3F8B">
      <w:pPr>
        <w:spacing w:after="0"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Původní znění </w:t>
      </w:r>
    </w:p>
    <w:p w14:paraId="63AC2D3C" w14:textId="77777777" w:rsidR="00FB0990" w:rsidRDefault="00FB0990" w:rsidP="00ED3F8B">
      <w:pPr>
        <w:spacing w:after="0" w:line="240" w:lineRule="auto"/>
        <w:rPr>
          <w:rFonts w:ascii="Times New Roman" w:eastAsia="Times New Roman" w:hAnsi="Times New Roman" w:cs="Times New Roman"/>
          <w:sz w:val="24"/>
          <w:szCs w:val="24"/>
          <w:lang w:eastAsia="fr-FR"/>
        </w:rPr>
      </w:pPr>
    </w:p>
    <w:p w14:paraId="5F503FEB" w14:textId="77777777" w:rsidR="00ED3F8B" w:rsidRPr="00970505" w:rsidRDefault="00ED3F8B" w:rsidP="00ED3F8B">
      <w:pPr>
        <w:spacing w:after="0" w:line="240" w:lineRule="auto"/>
        <w:rPr>
          <w:rFonts w:ascii="Times New Roman" w:eastAsia="Times New Roman" w:hAnsi="Times New Roman" w:cs="Times New Roman"/>
          <w:sz w:val="24"/>
          <w:szCs w:val="24"/>
          <w:lang w:eastAsia="fr-FR"/>
        </w:rPr>
      </w:pPr>
    </w:p>
    <w:p w14:paraId="24B11482"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Dotčené skupiny obyvatelstva: výrobci, dovozci, distributoři či jiné osoby, které uvádějí na trh elektrická a elektronická zařízení, a prodejci těchto zařízení i osoby, které využívají internetové stránky, platformu nebo jiný způsob on-line distribuce v rámci své obchodní činnosti provozované na území Francie. </w:t>
      </w:r>
    </w:p>
    <w:p w14:paraId="386C758D"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Předmět: způsoby uvádění a označování indexu opravitelnosti a obecné parametry pro jeho výpočet. </w:t>
      </w:r>
    </w:p>
    <w:p w14:paraId="33E67026"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Nabytí účinnosti: tento text nabývá účinnosti dnem 1. ledna 2021. </w:t>
      </w:r>
    </w:p>
    <w:p w14:paraId="2A69380C"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Poznámka: tato vyhláška stanoví způsoby uvádění a označování indexu opravitelnosti a obecné parametry pro jeho výpočet. </w:t>
      </w:r>
    </w:p>
    <w:p w14:paraId="219800D3"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Odkazy: tato vyhláška je k dispozici k nahlédnutí na internetových stránkách Légifrance (https://www.legifrance.gouv.fr). </w:t>
      </w:r>
    </w:p>
    <w:p w14:paraId="5F6457AC" w14:textId="77777777" w:rsidR="00FB0990" w:rsidRDefault="00FB0990" w:rsidP="00ED3F8B">
      <w:pPr>
        <w:spacing w:after="0" w:line="240" w:lineRule="auto"/>
        <w:rPr>
          <w:rFonts w:ascii="Times New Roman" w:eastAsia="Times New Roman" w:hAnsi="Times New Roman" w:cs="Times New Roman"/>
          <w:sz w:val="24"/>
          <w:szCs w:val="24"/>
          <w:lang w:eastAsia="fr-FR"/>
        </w:rPr>
      </w:pPr>
    </w:p>
    <w:p w14:paraId="27844418" w14:textId="77777777" w:rsidR="00ED3F8B" w:rsidRPr="00970505" w:rsidRDefault="00ED3F8B" w:rsidP="00ED3F8B">
      <w:pPr>
        <w:spacing w:after="0" w:line="240" w:lineRule="auto"/>
        <w:rPr>
          <w:rFonts w:ascii="Times New Roman" w:eastAsia="Times New Roman" w:hAnsi="Times New Roman" w:cs="Times New Roman"/>
          <w:sz w:val="24"/>
          <w:szCs w:val="24"/>
          <w:lang w:eastAsia="fr-FR"/>
        </w:rPr>
      </w:pPr>
    </w:p>
    <w:p w14:paraId="183501B2"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Ministryně pro ekologický přechod a ministr hospodářství, financí a oživení,</w:t>
      </w:r>
    </w:p>
    <w:p w14:paraId="448ECD40"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 ohledem na nařízení Komise (EU) 2019/2021 ze dne 1. října 2019, kterým se stanoví požadavky na ekodesign elektronických displejů podle směrnice Evropského parlamentu a Rady 2009/125/ES, mění nařízení Komise (ES) č. 1275/2008 a zrušuje nařízení Komise (ES) č. 642/2009;</w:t>
      </w:r>
    </w:p>
    <w:p w14:paraId="3564E3F2"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 ohledem na zákoník životního prostředí, a zejména na jeho článek L. 541-9-2;</w:t>
      </w:r>
    </w:p>
    <w:p w14:paraId="7A8990A1"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 ohledem na nařízení č. 2020-1757 ze dne 29. prosince 2020 o indexu opravitelnosti elektrických a elektronických zařízení,</w:t>
      </w:r>
    </w:p>
    <w:p w14:paraId="0A7E68E7" w14:textId="77777777" w:rsidR="004C4E44" w:rsidRDefault="004C4E44" w:rsidP="00ED3F8B">
      <w:pPr>
        <w:keepNext/>
        <w:spacing w:after="0" w:line="240" w:lineRule="auto"/>
        <w:rPr>
          <w:rFonts w:ascii="Times New Roman" w:eastAsia="Times New Roman" w:hAnsi="Times New Roman" w:cs="Times New Roman"/>
          <w:sz w:val="24"/>
          <w:szCs w:val="24"/>
        </w:rPr>
      </w:pPr>
      <w:r>
        <w:rPr>
          <w:rFonts w:ascii="Times New Roman" w:hAnsi="Times New Roman"/>
          <w:sz w:val="24"/>
        </w:rPr>
        <w:t>nařizují:</w:t>
      </w:r>
    </w:p>
    <w:p w14:paraId="2E8B1580" w14:textId="77777777" w:rsidR="00ED3F8B" w:rsidRPr="00970505" w:rsidRDefault="00ED3F8B" w:rsidP="00ED3F8B">
      <w:pPr>
        <w:keepNext/>
        <w:spacing w:after="0" w:line="240" w:lineRule="auto"/>
        <w:rPr>
          <w:rFonts w:ascii="Times New Roman" w:eastAsia="Times New Roman" w:hAnsi="Times New Roman" w:cs="Times New Roman"/>
          <w:sz w:val="24"/>
          <w:szCs w:val="24"/>
          <w:lang w:eastAsia="fr-FR"/>
        </w:rPr>
      </w:pPr>
    </w:p>
    <w:p w14:paraId="28C49017" w14:textId="77777777" w:rsidR="004C4E44"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1</w:t>
      </w:r>
    </w:p>
    <w:p w14:paraId="17D88BDD" w14:textId="77777777" w:rsidR="00ED3F8B" w:rsidRPr="00970505" w:rsidRDefault="00ED3F8B" w:rsidP="00ED3F8B">
      <w:pPr>
        <w:keepNext/>
        <w:spacing w:after="0" w:line="240" w:lineRule="auto"/>
        <w:ind w:left="446"/>
        <w:outlineLvl w:val="3"/>
        <w:rPr>
          <w:rFonts w:ascii="Times New Roman" w:eastAsia="Times New Roman" w:hAnsi="Times New Roman" w:cs="Times New Roman"/>
          <w:b/>
          <w:bCs/>
          <w:sz w:val="24"/>
          <w:szCs w:val="24"/>
          <w:lang w:eastAsia="fr-FR"/>
        </w:rPr>
      </w:pPr>
    </w:p>
    <w:p w14:paraId="697A5807" w14:textId="77777777" w:rsidR="00FB0990" w:rsidRPr="00970505" w:rsidRDefault="00FB0990" w:rsidP="00ED3F8B">
      <w:pPr>
        <w:keepNext/>
        <w:spacing w:after="0" w:line="240" w:lineRule="auto"/>
        <w:ind w:left="450"/>
        <w:rPr>
          <w:rFonts w:ascii="Times New Roman" w:eastAsia="Times New Roman" w:hAnsi="Times New Roman" w:cs="Times New Roman"/>
          <w:sz w:val="24"/>
          <w:szCs w:val="24"/>
          <w:lang w:eastAsia="fr-FR"/>
        </w:rPr>
      </w:pPr>
    </w:p>
    <w:p w14:paraId="158FEDF8" w14:textId="77777777"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Tato vyhláška se vztahuje na všechna elektrická a elektronická zařízení, u kterých se vypočítává a uvádí index opravitelnosti v souladu s ustanoveními článků R. 541-210 až R. 541-214 zákoníku životního prostředí.</w:t>
      </w:r>
    </w:p>
    <w:p w14:paraId="4DA90C60" w14:textId="77777777"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14:paraId="694C8B13" w14:textId="77777777" w:rsidR="004C4E44" w:rsidRPr="00970505"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2</w:t>
      </w:r>
    </w:p>
    <w:p w14:paraId="38804DB1" w14:textId="77777777"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14:paraId="2D314775" w14:textId="77777777"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14:paraId="568F2A45"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U všech elektrických a elektronických zařízení uvedených v článku 1 představuje index opravitelnosti známka od nuly do 10 s možností jednoho desetinného místa.</w:t>
      </w:r>
    </w:p>
    <w:p w14:paraId="4D557FF1"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Pokud je číslice na prvním desetinném místě nižší než 5, známka se zaokrouhlí na nejbližší nižší celé číslo.</w:t>
      </w:r>
    </w:p>
    <w:p w14:paraId="641A2973" w14:textId="77777777"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Pokud je číslice na místě desetiny nejméně 5, známka se zaokrouhlí na vyšší celé číslo.</w:t>
      </w:r>
    </w:p>
    <w:p w14:paraId="5AB50601" w14:textId="77777777"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14:paraId="6DB43D69" w14:textId="77777777" w:rsidR="004C4E44" w:rsidRPr="00970505"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lastRenderedPageBreak/>
        <w:t>Článek 3</w:t>
      </w:r>
    </w:p>
    <w:p w14:paraId="36A4D84F" w14:textId="77777777"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14:paraId="6D0B2F94" w14:textId="77777777"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14:paraId="612D3BA5" w14:textId="77777777" w:rsidR="00FB0990" w:rsidRPr="00970505" w:rsidRDefault="004C4E44" w:rsidP="00ED3F8B">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Podle takto získané známky se použijí následující barevné kódy pro uvádění indexu:</w:t>
      </w:r>
    </w:p>
    <w:p w14:paraId="1F5624F3"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1. známka nejméně 0 a nejvýše 1,9: červená, referenční barva Pantone 186 C;</w:t>
      </w:r>
    </w:p>
    <w:p w14:paraId="46D4495B"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2. známka nejméně 2 a nejvýše 3,9: oranžová, referenční barva Pantone 1585 C;</w:t>
      </w:r>
    </w:p>
    <w:p w14:paraId="590F020C"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3. známka nejméně 4 a nejvýše 5,9: žlutá, referenční barva Pantone 7548 C;</w:t>
      </w:r>
    </w:p>
    <w:p w14:paraId="2FCE65F8"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4. známka nejméně 6 a nejvýše 7,9: světle zelená, referenční barva Pantone 2291 C;</w:t>
      </w:r>
    </w:p>
    <w:p w14:paraId="1C2AAC3E"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5. Známka nejméně 8 a nejvýše 10: tmavě zelená, referenční barva Pantone 347 C.</w:t>
      </w:r>
    </w:p>
    <w:p w14:paraId="2C1E9580" w14:textId="77777777"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Povinné označování pro uvádění indexu opravitelnosti má grafickou podobu, která obsahuje údaj „index opravitelnosti“ a piktogram s vyznačením známky indexu níže.</w:t>
      </w:r>
    </w:p>
    <w:p w14:paraId="2C5A1436"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6C624C0"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4A7C9804"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Do celého textu i s obrázky je možné nahlížet na ověřeném výpisu z elektronického věstníku, který je k dispozici v dolní části stránky</w:t>
      </w:r>
    </w:p>
    <w:p w14:paraId="28E0A91F" w14:textId="77777777" w:rsidR="00FB0990" w:rsidRDefault="00FB0990" w:rsidP="00ED3F8B">
      <w:pPr>
        <w:spacing w:after="0" w:line="240" w:lineRule="auto"/>
        <w:ind w:left="450"/>
        <w:rPr>
          <w:rFonts w:ascii="Times New Roman" w:eastAsia="Times New Roman" w:hAnsi="Times New Roman" w:cs="Times New Roman"/>
          <w:sz w:val="24"/>
          <w:szCs w:val="24"/>
          <w:lang w:eastAsia="fr-FR"/>
        </w:rPr>
      </w:pPr>
    </w:p>
    <w:p w14:paraId="4DC4D1AB" w14:textId="77777777" w:rsidR="003D645A" w:rsidRPr="00970505" w:rsidRDefault="003D645A" w:rsidP="00ED3F8B">
      <w:pPr>
        <w:spacing w:after="0" w:line="240" w:lineRule="auto"/>
        <w:ind w:left="450"/>
        <w:rPr>
          <w:rFonts w:ascii="Times New Roman" w:eastAsia="Times New Roman" w:hAnsi="Times New Roman" w:cs="Times New Roman"/>
          <w:sz w:val="24"/>
          <w:szCs w:val="24"/>
          <w:lang w:eastAsia="fr-FR"/>
        </w:rPr>
      </w:pPr>
    </w:p>
    <w:p w14:paraId="12AC6AEF"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Velikost písma známky od jedné do 10 musí být přinejmenším shodná s velikostí písma u číslic ceny v daném oddělení. Jakékoli úpravy velikosti tohoto označení je nutno provádět stejnoměrně.</w:t>
      </w:r>
    </w:p>
    <w:p w14:paraId="7B8F162E" w14:textId="77777777"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V případě, kdy se index také umisťuje přímo na každou jednotku modelu nebo na obal pomocí štítku nebo značky, musí mít grafické ztvárnění takovou velikost, aby bylo viditelné a čitelné.</w:t>
      </w:r>
    </w:p>
    <w:p w14:paraId="3B52EE3A" w14:textId="77777777"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14:paraId="778A094C" w14:textId="77777777"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4</w:t>
      </w:r>
    </w:p>
    <w:p w14:paraId="0593ADD6" w14:textId="77777777"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14:paraId="0D809CB9" w14:textId="77777777"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14:paraId="1A091E9B"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Každé dílčí kritérium indexu představuje známku od nuly do deseti a obsahuje koeficient, podle něhož lze stanovit známku od nuly do 20 za každé kritérium, jak je uvedeno v následující tabulce. Součet známek za jednotlivá kritéria, která mají stejnou váhu, znamená součet na stupnici do sta, z něhož se pak vypočítá index od nuly do deseti.</w:t>
      </w:r>
    </w:p>
    <w:p w14:paraId="6AE7D907" w14:textId="77777777"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Oznámení a zpřístupnění parametrů, podle nichž se stanoví index opravitelnosti u každého zařízení, se provádí v souladu s následující tabulkou v neměnném číselném formátu o rozměrech 21 × 29,7 cm.</w:t>
      </w:r>
    </w:p>
    <w:p w14:paraId="5B7DCEA3"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5"/>
        <w:gridCol w:w="2102"/>
        <w:gridCol w:w="1256"/>
        <w:gridCol w:w="1298"/>
        <w:gridCol w:w="1208"/>
        <w:gridCol w:w="1087"/>
      </w:tblGrid>
      <w:tr w:rsidR="004C4E44" w:rsidRPr="00970505" w14:paraId="6F2AC6BD"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6D2F0A"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6BB254B8"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Kritérium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8F8A0"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5D16ED9C"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Dílčí kritérium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6718E"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335F4667"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Známka za dílčí kritérium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691CB3E2"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0D2DD679"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Koeficient dílčího kritéria</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98C9E"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61E446C3"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Známka za kritérium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0D7B9DFB"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5A685251"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Součet známek za kritéria</w:t>
            </w:r>
          </w:p>
        </w:tc>
      </w:tr>
      <w:tr w:rsidR="004C4E44" w:rsidRPr="00970505" w14:paraId="308E5338"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172E47"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F57501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1. Dokumentace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8EE61"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42CDDF85"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1.1. Délka dostupnosti technické dokumentace a dokumentace pokynů k používání a údržbě</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4DAD0"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284B542D"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90A80"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344CDA1"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1918084"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5FC186E"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341EA96"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2D13FEF"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r>
      <w:tr w:rsidR="004C4E44" w:rsidRPr="00970505" w14:paraId="6020F267" w14:textId="77777777"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F1B694E"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9A3BDA3"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2. Demontovatelnost a přístup, nářadí, spoje</w:t>
            </w:r>
          </w:p>
        </w:tc>
        <w:tc>
          <w:tcPr>
            <w:tcW w:w="0" w:type="auto"/>
            <w:tcBorders>
              <w:top w:val="outset" w:sz="6" w:space="0" w:color="auto"/>
              <w:left w:val="outset" w:sz="6" w:space="0" w:color="auto"/>
              <w:bottom w:val="outset" w:sz="6" w:space="0" w:color="auto"/>
              <w:right w:val="outset" w:sz="6" w:space="0" w:color="auto"/>
            </w:tcBorders>
            <w:vAlign w:val="center"/>
            <w:hideMark/>
          </w:tcPr>
          <w:p w14:paraId="59AEEA0F"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656251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2.1 Snadnost demontáže dílů ze seznamu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A469D"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3DD3CBA7"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89E9D"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74299173"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9BDCD41"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1783253"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2F496E"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59AD5748"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003EF2"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7BA87A"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9FB0CCA"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2.2. Nezbytné nářadí (seznam 2)</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66B42"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2FEDC6ED"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546FE"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FB15066"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660F88"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6E89E9"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0B8E7096"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9FA425D"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D0E87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973E32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2.3. Vlastnosti spojovacích materiálů mezi díly ze seznamu 1(**) a ze seznamu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DDEC7B4"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6A0317C"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74DDF"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69932619"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296EDD"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8EEFB3"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453C0E34" w14:textId="77777777"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281D3B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9A3767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 Dostupnost náhradních dílů</w:t>
            </w:r>
          </w:p>
        </w:tc>
        <w:tc>
          <w:tcPr>
            <w:tcW w:w="0" w:type="auto"/>
            <w:tcBorders>
              <w:top w:val="outset" w:sz="6" w:space="0" w:color="auto"/>
              <w:left w:val="outset" w:sz="6" w:space="0" w:color="auto"/>
              <w:bottom w:val="outset" w:sz="6" w:space="0" w:color="auto"/>
              <w:right w:val="outset" w:sz="6" w:space="0" w:color="auto"/>
            </w:tcBorders>
            <w:vAlign w:val="center"/>
            <w:hideMark/>
          </w:tcPr>
          <w:p w14:paraId="0F0541A6"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7B4459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3.1 Doba dostupnosti dílů ze seznamu 2</w:t>
            </w:r>
          </w:p>
        </w:tc>
        <w:tc>
          <w:tcPr>
            <w:tcW w:w="0" w:type="auto"/>
            <w:tcBorders>
              <w:top w:val="outset" w:sz="6" w:space="0" w:color="auto"/>
              <w:left w:val="outset" w:sz="6" w:space="0" w:color="auto"/>
              <w:bottom w:val="outset" w:sz="6" w:space="0" w:color="auto"/>
              <w:right w:val="outset" w:sz="6" w:space="0" w:color="auto"/>
            </w:tcBorders>
            <w:vAlign w:val="center"/>
            <w:hideMark/>
          </w:tcPr>
          <w:p w14:paraId="39DF5660"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8017F82"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587DF"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29BA7A90"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FCA639"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481D697"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121854"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5CEC4BE8"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F9C9DE"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C20F7C"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7D8C69D"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3.2. Doba dostupnosti dílů ze seznamu 1</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84237"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7920EEE6"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9F339"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474D3B6"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EAA64A"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FA2F11"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2FD792F4"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28EDFA"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D3E82D5"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22E1EB1"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3.3. Dodací lhůta dílů ze seznamu 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C22C7"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7FAEE1CA"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8F6BE"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1FBEDAAD"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D7D7DD"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14241"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3A267C14"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2D5E39"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84AAC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4397F6FF"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3.4. Dodací lhůta dílů ze seznamu 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B6DBA"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5DDD5149"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439C2"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01A891F6"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F42C9C"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6036E3"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4C05FC57"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72EE65"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61307E71"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4. Cena náhradních dílů</w:t>
            </w:r>
          </w:p>
        </w:tc>
        <w:tc>
          <w:tcPr>
            <w:tcW w:w="0" w:type="auto"/>
            <w:tcBorders>
              <w:top w:val="outset" w:sz="6" w:space="0" w:color="auto"/>
              <w:left w:val="outset" w:sz="6" w:space="0" w:color="auto"/>
              <w:bottom w:val="outset" w:sz="6" w:space="0" w:color="auto"/>
              <w:right w:val="outset" w:sz="6" w:space="0" w:color="auto"/>
            </w:tcBorders>
            <w:vAlign w:val="center"/>
            <w:hideMark/>
          </w:tcPr>
          <w:p w14:paraId="1C6FA8AB"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2A66604"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4.1. Poměr ceny dílů ze seznamu 2 a ceny nového zařízení</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45C47"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7074EBCE"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730C6"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6D670E58"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E2DD2"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050A1D6"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5D72B2"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3809FCD0" w14:textId="77777777"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CAE822E"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6DC4D9C1"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 Zvláštní kritérium</w:t>
            </w:r>
          </w:p>
          <w:p w14:paraId="33E2A00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(Příklad se 3 dílčími kritérii)</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2CB9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9E95AE4"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09A0B"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27328132"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9335E7"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587B77C"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296DE5A"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70DCCF0D"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0013F1"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34A74345"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347F7E"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0BECFF"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B8FE5F3"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14:paraId="3A758A06"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A3CCD7D"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40EED"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5DD5DC2"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62B623"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F254AC"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476331D2" w14:textId="77777777"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CC806A"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672DE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8582CF7"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5.3.</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1CEDC"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6B297A34"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20425"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4CA5BE9B"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8E1EDF"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430D55"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14:paraId="72859AAE" w14:textId="77777777" w:rsidTr="004C4E44">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37B2B1E" w14:textId="77777777" w:rsidR="00FB0990" w:rsidRPr="00970505" w:rsidRDefault="00FB0990" w:rsidP="00ED3F8B">
            <w:pPr>
              <w:spacing w:after="0" w:line="240" w:lineRule="auto"/>
              <w:jc w:val="right"/>
              <w:rPr>
                <w:rFonts w:ascii="Times New Roman" w:eastAsia="Times New Roman" w:hAnsi="Times New Roman" w:cs="Times New Roman"/>
                <w:sz w:val="24"/>
                <w:szCs w:val="24"/>
                <w:lang w:eastAsia="fr-FR"/>
              </w:rPr>
            </w:pPr>
          </w:p>
          <w:p w14:paraId="6731F1F7" w14:textId="77777777" w:rsidR="004C4E44" w:rsidRPr="00970505" w:rsidRDefault="004C4E44" w:rsidP="00ED3F8B">
            <w:pPr>
              <w:spacing w:after="0" w:line="240" w:lineRule="auto"/>
              <w:jc w:val="right"/>
              <w:rPr>
                <w:rFonts w:ascii="Times New Roman" w:eastAsia="Times New Roman" w:hAnsi="Times New Roman" w:cs="Times New Roman"/>
                <w:sz w:val="24"/>
                <w:szCs w:val="24"/>
              </w:rPr>
            </w:pPr>
            <w:r>
              <w:rPr>
                <w:rFonts w:ascii="Times New Roman" w:hAnsi="Times New Roman"/>
                <w:sz w:val="24"/>
              </w:rPr>
              <w:t>Známka indexu</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C894B" w14:textId="77777777"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14:paraId="1BCBBFB1" w14:textId="77777777"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r>
      <w:tr w:rsidR="004C4E44" w:rsidRPr="00970505" w14:paraId="2F1067F9" w14:textId="77777777" w:rsidTr="004C4E44">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0A8BEA98"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4B3738E"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Seznam 2: seznam 3 až 5 náhradních dílů (podle dotčené kategorie zařízení), jejichž rozbití nebo poruchy jsou nejčastější.</w:t>
            </w:r>
          </w:p>
          <w:p w14:paraId="6364DA1D"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seznam 1: seznam nejvýše 10 dalších náhradních dílů (podle dotčené kategorie zařízení), jejichž dobrý stav je nezbytný pro fungování zařízení.</w:t>
            </w:r>
          </w:p>
        </w:tc>
      </w:tr>
    </w:tbl>
    <w:p w14:paraId="23718257"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4A21700"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p w14:paraId="69593B35"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U jednoho kritéria součet koeficientů pro dílčí kritéria je roven 2.</w:t>
      </w:r>
    </w:p>
    <w:p w14:paraId="1F4142C9" w14:textId="77777777"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Podrobné rozpisy známkování pro každou konkrétní kategorii zařízení s uvedením seznamů náhradních dílů a podrobností každého dílčího kritéria jsou stanoveny vyhláškou.</w:t>
      </w:r>
    </w:p>
    <w:p w14:paraId="25ABED64" w14:textId="77777777"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14:paraId="4FBEDD09" w14:textId="77777777"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5</w:t>
      </w:r>
    </w:p>
    <w:p w14:paraId="68327596" w14:textId="77777777" w:rsidR="00FB0990" w:rsidRDefault="00FB0990" w:rsidP="00A74E8F">
      <w:pPr>
        <w:keepNext/>
        <w:spacing w:after="0" w:line="240" w:lineRule="auto"/>
        <w:ind w:left="446"/>
        <w:rPr>
          <w:rFonts w:ascii="Times New Roman" w:eastAsia="Times New Roman" w:hAnsi="Times New Roman" w:cs="Times New Roman"/>
          <w:sz w:val="24"/>
          <w:szCs w:val="24"/>
          <w:lang w:eastAsia="fr-FR"/>
        </w:rPr>
      </w:pPr>
    </w:p>
    <w:p w14:paraId="72D5FB18" w14:textId="77777777" w:rsidR="00ED3F8B" w:rsidRPr="00970505" w:rsidRDefault="00ED3F8B" w:rsidP="00A74E8F">
      <w:pPr>
        <w:keepNext/>
        <w:spacing w:after="0" w:line="240" w:lineRule="auto"/>
        <w:ind w:left="446"/>
        <w:rPr>
          <w:rFonts w:ascii="Times New Roman" w:eastAsia="Times New Roman" w:hAnsi="Times New Roman" w:cs="Times New Roman"/>
          <w:sz w:val="24"/>
          <w:szCs w:val="24"/>
          <w:lang w:eastAsia="fr-FR"/>
        </w:rPr>
      </w:pPr>
    </w:p>
    <w:p w14:paraId="160EAE60"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Kritérium č. 1 - Dokumentace:</w:t>
      </w:r>
    </w:p>
    <w:p w14:paraId="4C4446A8"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1.1 Délka dostupnosti technické dokumentace a dokumentace pokynů k používání a údržbě:</w:t>
      </w:r>
    </w:p>
    <w:p w14:paraId="72577431"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závazkem výrobce bezplatně poskytovat autorizovaným a nezávislým opravnám a spotřebitelům technické dokumenty a dokumenty týkající se pokynů k používání a údržbě pro spotřebitele, vyjadřuje se číselně jako počet let od uvedení poslední jednotky na trh.</w:t>
      </w:r>
    </w:p>
    <w:p w14:paraId="201181DA"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Kritérium č. 2 – Demontovatelnost a přístup, nářadí, spojovací materiály:</w:t>
      </w:r>
    </w:p>
    <w:p w14:paraId="5AAF3A05"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2.1. - Snadnost demontáže dílů ze seznamu 2:</w:t>
      </w:r>
    </w:p>
    <w:p w14:paraId="0F51CA01"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počtem kroků demontáže, které umožní samostatný přístup ke každému dílu ze seznamu 2, jeho odpojení od zařízení pro účely jeho výměny. Mezi známkou tohoto dílčího kritéria a známkou dílčího kritéria 3.1 je vazba v případě, kdy nějaký díl nelze demontovat: známka nula se tedy přenáší z jednoho dílčího kritéria na druhé.</w:t>
      </w:r>
    </w:p>
    <w:p w14:paraId="4FBF4953"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2.2. - Nezbytné nářadí:</w:t>
      </w:r>
    </w:p>
    <w:p w14:paraId="786CE17F"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typem nezbytného nářadí pro demontáž každého dílu ze seznamu 2, podle typologie, která odlišuje „běžné“, „zvláštní“ nebo „chráněné“ nářadí.</w:t>
      </w:r>
    </w:p>
    <w:p w14:paraId="0413B801"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2.3. Vlastnosti spojovacích materiálů:</w:t>
      </w:r>
    </w:p>
    <w:p w14:paraId="0386C360"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u každého dílu na seznamech 1 a 2 podle typu spojovacích materiálů, které zaručují jejich montáž k jiným dílům zařízení podle typologie, která rozlišuje „odnímatelné a opakovaně použitelné“ spojovací materiály, „odnímatelné a jednorázové“ spojovací materiály nebo „neodnímatelné a jednorázové“ spojovací materiály.</w:t>
      </w:r>
    </w:p>
    <w:p w14:paraId="6401F883"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Kritérium č. 3 – Dostupnost náhradních dílů:</w:t>
      </w:r>
    </w:p>
    <w:p w14:paraId="3AA7B419"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3.1 - Doba dostupnosti dílů ze seznamu 2:</w:t>
      </w:r>
    </w:p>
    <w:p w14:paraId="4EB4FC3F"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závazkem výrobce poskytovat díly ze seznamu 2 pro autorizované a nezávislé opravny a spotřebitele, vyjadřuje se číselně jako počet let od uvedení poslední jednotky na trh.</w:t>
      </w:r>
    </w:p>
    <w:p w14:paraId="103DDC93"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3.2. - Doba dostupnosti dílů ze seznamu 1:</w:t>
      </w:r>
    </w:p>
    <w:p w14:paraId="3043A528"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závazkem výrobce poskytovat díly ze seznamu 1 pro distributory náhradních dílů, autorizované a nezávislé opravny a spotřebitele, vyjadřuje se číselně jako počet let od uvedení poslední jednotky na trh.</w:t>
      </w:r>
    </w:p>
    <w:p w14:paraId="2E23BA63"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3.3. - Dodací lhůta dílů ze seznamu 2:</w:t>
      </w:r>
    </w:p>
    <w:p w14:paraId="2BB22D0D"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závazkem výrobce dodržet dodací lhůtu v počtu pracovních dní od data objednávky a týká se dílů ze seznamu 2 objednaných distributory náhradních dílů, autorizovanými a nezávislými opravnami a spotřebiteli.</w:t>
      </w:r>
    </w:p>
    <w:p w14:paraId="6D771154"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Dílčí kritérium 3.4. - Dodací lhůta dílů ze seznamu 1:</w:t>
      </w:r>
    </w:p>
    <w:p w14:paraId="0BE0B9E8"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Stanoví se závazkem výrobce dodržet dodací lhůtu v počtu pracovních dní od data objednávky a týká se dílů ze seznamu 1 objednaných distributory náhradních dílů, autorizovanými a nezávislými opravnami a spotřebiteli.</w:t>
      </w:r>
    </w:p>
    <w:p w14:paraId="4748AC75"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Kritérium č. 4 – Cena náhradních dílů:</w:t>
      </w:r>
    </w:p>
    <w:p w14:paraId="4A0CE0AA"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 xml:space="preserve">Dílčí kritérium 4.1. - Poměr mezi prodejní cenou náhradních dílů od výrobce nebo dovozce a cenou zařízení od výrobce nebo dovozce: </w:t>
      </w:r>
    </w:p>
    <w:p w14:paraId="6B13C3A1"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Toto kritérium je stanoveno pomocí poměru:</w:t>
      </w:r>
    </w:p>
    <w:p w14:paraId="7044EA93"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mezi</w:t>
      </w:r>
    </w:p>
    <w:p w14:paraId="1EE8099B"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lastRenderedPageBreak/>
        <w:t>cenou bez daně nejdražšího dílu ze seznamu 2 + (průměr cen bez daně jiných dílů ze seznamu 2)/2</w:t>
      </w:r>
    </w:p>
    <w:p w14:paraId="46C5510E"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a</w:t>
      </w:r>
    </w:p>
    <w:p w14:paraId="1AC36672"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cenou bez daně dotčeného modelu zařízení</w:t>
      </w:r>
    </w:p>
    <w:p w14:paraId="553DED84"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přičemž, v případě každé ceny jde o cenu bez daně podle ceníku platného v době výpočtu indexu, která je uvedena ve všeobecných obchodních podmínkách výrobce nebo dovozce nebo případně v jakémkoli příslušném smluvním dokumentu.</w:t>
      </w:r>
    </w:p>
    <w:p w14:paraId="43CDD372"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Pokud má výrobce nebo dovozce v případě dílů nebo příslušných zařízení různé ceníky podle různých kategorií zákazníků z řad distributorů nebo prodejců, jsou cenami, které se použijí při výpočtu indexu ceny z toho ceníku, který představuje nejvyšší část obratu výrobce nebo dovozce pro daný typ dílu nebo zařízení za poslední uzavřené účetní období. U zařízení a dílů nově uvedených na trh se v případě existence několika ceníků použijí ceny z toho ceníku, který obsahuje nejnižší ceny.</w:t>
      </w:r>
    </w:p>
    <w:p w14:paraId="4A3584DF"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V případě, že některé z těchto dílů nelze rozdělit nebo pokud je daný díl součástí modulu, který je jediný dostupný, je posuzovanou cenou souhrnná cena dílů nebo cena modulu.</w:t>
      </w:r>
    </w:p>
    <w:p w14:paraId="02372B4B"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Kritérium č. 5 – Zvláštní kritérium pro dotčenou kategorii zařízení:</w:t>
      </w:r>
    </w:p>
    <w:p w14:paraId="19848C47" w14:textId="77777777" w:rsidR="004C4E44"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Toto kritérium se skládá z jednoho nebo více dílčích kritérií, která jsou specifická pro dotčenou kategorii zařízení. Pokud je to vhodné pro dotčenou kategorii zařízení, zahrnuje kritérium 5, které je specifické pro danou kategorii, ještě jedno dílčí kritérium vztahující se k přítomnosti počítadla opotřebení, k němuž má spotřebitel přístup, jehož koeficient pak má hodnotu alespoň 1.</w:t>
      </w:r>
    </w:p>
    <w:p w14:paraId="0D0643D5" w14:textId="77777777"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14:paraId="44650A29" w14:textId="77777777" w:rsidR="004C4E44"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6</w:t>
      </w:r>
    </w:p>
    <w:p w14:paraId="7343A12E" w14:textId="77777777" w:rsidR="00234310" w:rsidRDefault="00234310" w:rsidP="00A74E8F">
      <w:pPr>
        <w:keepNext/>
        <w:spacing w:after="0" w:line="240" w:lineRule="auto"/>
        <w:ind w:left="446"/>
        <w:outlineLvl w:val="3"/>
        <w:rPr>
          <w:rFonts w:ascii="Times New Roman" w:eastAsia="Times New Roman" w:hAnsi="Times New Roman" w:cs="Times New Roman"/>
          <w:b/>
          <w:bCs/>
          <w:sz w:val="24"/>
          <w:szCs w:val="24"/>
          <w:lang w:eastAsia="fr-FR"/>
        </w:rPr>
      </w:pPr>
    </w:p>
    <w:p w14:paraId="048B5D32" w14:textId="77777777"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14:paraId="718307D3" w14:textId="77777777"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I. - Seznam dílů</w:t>
      </w:r>
    </w:p>
    <w:p w14:paraId="4AD0207D" w14:textId="77777777" w:rsidR="004C4E44"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Pro každou kategorii zařízení jsou stanoveny dva seznamy dílů:</w:t>
      </w:r>
    </w:p>
    <w:p w14:paraId="2D7B388C" w14:textId="77777777"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14:paraId="6B35243B" w14:textId="77777777"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14:paraId="70BBCF4F"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 seznam 2: seznam tří až pěti náhradních dílů (podle dotčené kategorie zařízení), jejichž rozbití nebo poruchy jsou nejčastější;</w:t>
      </w:r>
    </w:p>
    <w:p w14:paraId="700D0ED8" w14:textId="77777777"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 seznam 1: seznam nejvýše deseti dalších náhradních dílů (podle dotčené kategorie zařízení), jejichž dobrý stav je nezbytný pro fungování zařízení.</w:t>
      </w:r>
    </w:p>
    <w:p w14:paraId="3FFF6C21"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Tyto seznamy nemusejí nezbytně pokrývat všechny díly, z nichž se zařízení skládá.</w:t>
      </w:r>
    </w:p>
    <w:p w14:paraId="44E40AF9" w14:textId="77777777"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II. - Pojem „krok“</w:t>
      </w:r>
    </w:p>
    <w:p w14:paraId="7B85DC41"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Krok je operace, po jejímž provedení dojde k demontáži součástky nebo dílu nebo k výměně nástroje. Součástka může obsahovat jeden nebo více dílů.</w:t>
      </w:r>
    </w:p>
    <w:p w14:paraId="595F95BC"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Tato obecná definice může mít výjimky odůvodněné praktickými nebo bezpečnostními skutečnostmi. Tyto výjimky upřesňuje pro každou kategorii zařízení vyhláška ministra, do jehož působnosti spadá životní prostředí, a ministra, do jehož působnosti spadají hospodářství a finance.</w:t>
      </w:r>
    </w:p>
    <w:p w14:paraId="43002B55"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Spojovacími materiály nebo spojovacími prvky se rozumí montážní a spojovací technologie nebo technologie zapečetění. Fixační nebo spojovací prvky se nepovažují za díly.</w:t>
      </w:r>
    </w:p>
    <w:p w14:paraId="788B3424" w14:textId="77777777"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III. - Druhy spojovacích materiálů</w:t>
      </w:r>
    </w:p>
    <w:p w14:paraId="0F5C483C"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Odnímatelné a opakovaně použitelné: původní systém spojovacích materiálů, který lze zcela demontovat, aniž by došlo k poškození zařízení a k zanechání zbytků, a který lze opakovaně použít.</w:t>
      </w:r>
    </w:p>
    <w:p w14:paraId="624BE2B6"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Odnímatelné a jednorázové: původní systém spojovacích materiálů, který lze zcela demontovat, aniž by došlo k poškození zařízení a k zanechání zbytků, který však nelze opakovaně použít.</w:t>
      </w:r>
    </w:p>
    <w:p w14:paraId="144553CF" w14:textId="77777777"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Neodnímatelné a jednorázové: původní systém spojovacích materiálů, který nelze zcela demontovat, aniž by došlo k poškození zařízení a k zanechání zbytků, a který nelze opakovaně použít.</w:t>
      </w:r>
    </w:p>
    <w:p w14:paraId="42ACF10F" w14:textId="77777777"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IV. - Druhy nářadí</w:t>
      </w:r>
    </w:p>
    <w:p w14:paraId="7FA8A383" w14:textId="77777777" w:rsidR="004C4E44"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Seznam běžného nářadí tvoří následující seznam a odpovídá referenčním normám:</w:t>
      </w:r>
    </w:p>
    <w:p w14:paraId="0395DB58" w14:textId="77777777" w:rsidR="004C4E44" w:rsidRDefault="004C4E44" w:rsidP="00A74E8F">
      <w:pPr>
        <w:keepNext/>
        <w:spacing w:after="0" w:line="240" w:lineRule="auto"/>
        <w:rPr>
          <w:rFonts w:ascii="Times New Roman" w:eastAsia="Times New Roman" w:hAnsi="Times New Roman" w:cs="Times New Roman"/>
          <w:sz w:val="24"/>
          <w:szCs w:val="24"/>
          <w:lang w:eastAsia="fr-FR"/>
        </w:rPr>
      </w:pPr>
    </w:p>
    <w:p w14:paraId="270C7119" w14:textId="77777777" w:rsidR="00ED3F8B" w:rsidRPr="00970505" w:rsidRDefault="00ED3F8B" w:rsidP="00A74E8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48"/>
        <w:gridCol w:w="3008"/>
      </w:tblGrid>
      <w:tr w:rsidR="004C4E44" w:rsidRPr="00970505" w14:paraId="4C38EC3A"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5B936A"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0B33205A"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Běžná nářadí</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CE42D" w14:textId="77777777"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14:paraId="437A7720" w14:textId="77777777"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Reference</w:t>
            </w:r>
          </w:p>
        </w:tc>
      </w:tr>
      <w:tr w:rsidR="004C4E44" w:rsidRPr="00970505" w14:paraId="61742F7B"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CB529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92C9625"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Plochý šroubovák, křížový šroubovák a šroubovák pro šrouby Torx.</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8C5C2"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401785C8"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2380, ISO 8764, ISO 10664</w:t>
            </w:r>
          </w:p>
        </w:tc>
      </w:tr>
      <w:tr w:rsidR="004C4E44" w:rsidRPr="00970505" w14:paraId="7F2DE69B"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4E7C1E"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AFC5D17"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Klíč pro šestihranné šrouby</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C4586"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653FD6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2936</w:t>
            </w:r>
          </w:p>
        </w:tc>
      </w:tr>
      <w:tr w:rsidR="004C4E44" w:rsidRPr="00970505" w14:paraId="72C3581C"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F4C85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FB75B99"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Smíšený klíč</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1BED2"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D4247A4"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7738</w:t>
            </w:r>
          </w:p>
        </w:tc>
      </w:tr>
      <w:tr w:rsidR="004C4E44" w:rsidRPr="00970505" w14:paraId="2ECC103F"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181BF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6F68F73"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Univerzální kleště</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A271C"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0EB5296"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5746</w:t>
            </w:r>
          </w:p>
        </w:tc>
      </w:tr>
      <w:tr w:rsidR="004C4E44" w:rsidRPr="00970505" w14:paraId="1E47534A"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980CD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5325B2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Zahnuté kleště</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05524"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42F1BBA"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5745</w:t>
            </w:r>
          </w:p>
        </w:tc>
      </w:tr>
      <w:tr w:rsidR="004C4E44" w:rsidRPr="00970505" w14:paraId="4AE90D8B"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52F182"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607E7D6"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Štípací kleště</w:t>
            </w:r>
          </w:p>
        </w:tc>
        <w:tc>
          <w:tcPr>
            <w:tcW w:w="0" w:type="auto"/>
            <w:tcBorders>
              <w:top w:val="outset" w:sz="6" w:space="0" w:color="auto"/>
              <w:left w:val="outset" w:sz="6" w:space="0" w:color="auto"/>
              <w:bottom w:val="outset" w:sz="6" w:space="0" w:color="auto"/>
              <w:right w:val="outset" w:sz="6" w:space="0" w:color="auto"/>
            </w:tcBorders>
            <w:vAlign w:val="center"/>
            <w:hideMark/>
          </w:tcPr>
          <w:p w14:paraId="0855CDE5"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EC872CD"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5749</w:t>
            </w:r>
          </w:p>
        </w:tc>
      </w:tr>
      <w:tr w:rsidR="004C4E44" w:rsidRPr="00970505" w14:paraId="2A9867A0"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B97CF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BFCDA8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Kleště Siko</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8B7CC"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C8FFAE1"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8976</w:t>
            </w:r>
          </w:p>
        </w:tc>
      </w:tr>
      <w:tr w:rsidR="004C4E44" w:rsidRPr="00970505" w14:paraId="3DBAF20B"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CC2F74"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B45562C"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Samosvorné kleště</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7B870"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93B9474"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74C4A7DA"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469E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0BFE849"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Univerzální kleště pro odizolování a lisování svorek</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F0DC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700CCF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705E491E"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683AFA"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4AB4823"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Páka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FB2CD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3F45B46"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2DF05E5F"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28090B"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6EFE2A8"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Pinzeta</w:t>
            </w:r>
          </w:p>
        </w:tc>
        <w:tc>
          <w:tcPr>
            <w:tcW w:w="0" w:type="auto"/>
            <w:tcBorders>
              <w:top w:val="outset" w:sz="6" w:space="0" w:color="auto"/>
              <w:left w:val="outset" w:sz="6" w:space="0" w:color="auto"/>
              <w:bottom w:val="outset" w:sz="6" w:space="0" w:color="auto"/>
              <w:right w:val="outset" w:sz="6" w:space="0" w:color="auto"/>
            </w:tcBorders>
            <w:vAlign w:val="center"/>
            <w:hideMark/>
          </w:tcPr>
          <w:p w14:paraId="4BD72404"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78D9741"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5B13795C"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614078"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2F33342"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Kladivo (kovová hlava)</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2219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57CFD461"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15601</w:t>
            </w:r>
          </w:p>
        </w:tc>
      </w:tr>
      <w:tr w:rsidR="004C4E44" w:rsidRPr="00970505" w14:paraId="1314D7B2"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239C6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2332CE7"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Univerzální nůž (cutter) se zasouvacím ostřím</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E5077"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6771C80F"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7F416389"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A37EE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8479F49"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Multimetr</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67EAD"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A266D72"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568E84C4"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9476A9"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C98D67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Voltmetr (zkoušečka napětí)</w:t>
            </w:r>
          </w:p>
        </w:tc>
        <w:tc>
          <w:tcPr>
            <w:tcW w:w="0" w:type="auto"/>
            <w:tcBorders>
              <w:top w:val="outset" w:sz="6" w:space="0" w:color="auto"/>
              <w:left w:val="outset" w:sz="6" w:space="0" w:color="auto"/>
              <w:bottom w:val="outset" w:sz="6" w:space="0" w:color="auto"/>
              <w:right w:val="outset" w:sz="6" w:space="0" w:color="auto"/>
            </w:tcBorders>
            <w:vAlign w:val="center"/>
            <w:hideMark/>
          </w:tcPr>
          <w:p w14:paraId="0E692984"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736A781A"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1B94B289"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882ED7"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6779CD90"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Svářečka</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FF6E3"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333F39AF"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36AF0675"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9201F2"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6616207"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Lepicí pistole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A7A78"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2438EB7E"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14:paraId="305BE1C3" w14:textId="77777777"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9798FF"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19D552BE"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Lupa</w:t>
            </w:r>
          </w:p>
        </w:tc>
        <w:tc>
          <w:tcPr>
            <w:tcW w:w="0" w:type="auto"/>
            <w:tcBorders>
              <w:top w:val="outset" w:sz="6" w:space="0" w:color="auto"/>
              <w:left w:val="outset" w:sz="6" w:space="0" w:color="auto"/>
              <w:bottom w:val="outset" w:sz="6" w:space="0" w:color="auto"/>
              <w:right w:val="outset" w:sz="6" w:space="0" w:color="auto"/>
            </w:tcBorders>
            <w:vAlign w:val="center"/>
            <w:hideMark/>
          </w:tcPr>
          <w:p w14:paraId="27D41047"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D8131B0"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bl>
    <w:p w14:paraId="4FF0D1DA"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64AF7421" w14:textId="77777777" w:rsidR="004C4E44" w:rsidRPr="00970505" w:rsidRDefault="004C4E44" w:rsidP="00ED3F8B">
      <w:pPr>
        <w:spacing w:after="0" w:line="240" w:lineRule="auto"/>
        <w:rPr>
          <w:rFonts w:ascii="Times New Roman" w:eastAsia="Times New Roman" w:hAnsi="Times New Roman" w:cs="Times New Roman"/>
          <w:sz w:val="24"/>
          <w:szCs w:val="24"/>
          <w:lang w:eastAsia="fr-FR"/>
        </w:rPr>
      </w:pPr>
    </w:p>
    <w:p w14:paraId="3A071152"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Zvláštní nářadí je takové, které není uvedeno na seznamu běžného nářadí, aniž by šlo o vlastní nářadí výrobce.</w:t>
      </w:r>
    </w:p>
    <w:p w14:paraId="3C304FE1"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Vlastní nářadí výrobce je takové, k němuž drží duševní vlastnictví výrobce nebo zvláštní subjekt.</w:t>
      </w:r>
    </w:p>
    <w:p w14:paraId="24754375" w14:textId="77777777"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V. - Počítadlo opotřebení</w:t>
      </w:r>
    </w:p>
    <w:p w14:paraId="41A99561" w14:textId="77777777" w:rsidR="004C4E44"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Zařízení, které kumulativně zaznamenává opotřebení zařízení v počtu jednotek. Počítadlo opotřebení může být přímo přístupné pro spotřebitele při každém zapnutí zařízení nebo může vyžadovat úmyslnou činnost ze strany uživatele za účelem zjištění hodnoty zobrazované počítadlem opotřebení.</w:t>
      </w:r>
    </w:p>
    <w:p w14:paraId="21D474B8" w14:textId="77777777"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14:paraId="6E8E7F72" w14:textId="77777777" w:rsidR="004C4E44"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7</w:t>
      </w:r>
    </w:p>
    <w:p w14:paraId="6BBC38FD" w14:textId="77777777"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14:paraId="2EE3366D" w14:textId="77777777" w:rsidR="00FB0990" w:rsidRPr="00970505" w:rsidRDefault="00FB0990" w:rsidP="00A74E8F">
      <w:pPr>
        <w:keepNext/>
        <w:spacing w:after="0" w:line="240" w:lineRule="auto"/>
        <w:ind w:left="450"/>
        <w:rPr>
          <w:rFonts w:ascii="Times New Roman" w:eastAsia="Times New Roman" w:hAnsi="Times New Roman" w:cs="Times New Roman"/>
          <w:sz w:val="24"/>
          <w:szCs w:val="24"/>
          <w:lang w:eastAsia="fr-FR"/>
        </w:rPr>
      </w:pPr>
    </w:p>
    <w:p w14:paraId="5DABB875" w14:textId="77777777"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Ustanovení této vyhlášky nabývají účinnosti dne 1. ledna 2021.</w:t>
      </w:r>
    </w:p>
    <w:p w14:paraId="1FD03793" w14:textId="77777777"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14:paraId="11F0B86E" w14:textId="77777777"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Článek 8</w:t>
      </w:r>
    </w:p>
    <w:p w14:paraId="5AE00603" w14:textId="77777777"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14:paraId="5F5387D1" w14:textId="77777777"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14:paraId="228E37E4" w14:textId="77777777"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Tato vyhláška bude vyhlášena v Úředním věstníku Francouzské republiky.</w:t>
      </w:r>
    </w:p>
    <w:p w14:paraId="4502ECEF" w14:textId="77777777" w:rsidR="00FB0990" w:rsidRDefault="00FB0990" w:rsidP="00ED3F8B">
      <w:pPr>
        <w:spacing w:after="0" w:line="240" w:lineRule="auto"/>
        <w:rPr>
          <w:rFonts w:ascii="Times New Roman" w:eastAsia="Times New Roman" w:hAnsi="Times New Roman" w:cs="Times New Roman"/>
          <w:sz w:val="24"/>
          <w:szCs w:val="24"/>
          <w:lang w:eastAsia="fr-FR"/>
        </w:rPr>
      </w:pPr>
    </w:p>
    <w:p w14:paraId="1C487520" w14:textId="77777777" w:rsidR="00F23DB7" w:rsidRPr="00970505" w:rsidRDefault="00F23DB7" w:rsidP="00ED3F8B">
      <w:pPr>
        <w:spacing w:after="0" w:line="240" w:lineRule="auto"/>
        <w:rPr>
          <w:rFonts w:ascii="Times New Roman" w:eastAsia="Times New Roman" w:hAnsi="Times New Roman" w:cs="Times New Roman"/>
          <w:sz w:val="24"/>
          <w:szCs w:val="24"/>
          <w:lang w:eastAsia="fr-FR"/>
        </w:rPr>
      </w:pPr>
    </w:p>
    <w:p w14:paraId="22C22079"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Dne 29. prosince 2020.</w:t>
      </w:r>
    </w:p>
    <w:p w14:paraId="0C647F40" w14:textId="77777777" w:rsidR="00FB0990" w:rsidRPr="00970505" w:rsidRDefault="00FB0990" w:rsidP="00ED3F8B">
      <w:pPr>
        <w:spacing w:after="0" w:line="240" w:lineRule="auto"/>
        <w:rPr>
          <w:rFonts w:ascii="Times New Roman" w:eastAsia="Times New Roman" w:hAnsi="Times New Roman" w:cs="Times New Roman"/>
          <w:sz w:val="24"/>
          <w:szCs w:val="24"/>
          <w:lang w:eastAsia="fr-FR"/>
        </w:rPr>
      </w:pPr>
    </w:p>
    <w:p w14:paraId="0672840F"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Ministryně pro ekologický přechod,</w:t>
      </w:r>
    </w:p>
    <w:p w14:paraId="7240E3B3"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Za ministryni a na základě pověření:</w:t>
      </w:r>
    </w:p>
    <w:p w14:paraId="3E6C4955"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Generální komisař pro udržitelný rozvoj,</w:t>
      </w:r>
    </w:p>
    <w:p w14:paraId="5B460CBB"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T. Lesueur</w:t>
      </w:r>
    </w:p>
    <w:p w14:paraId="29634D62" w14:textId="77777777" w:rsidR="00FB0990" w:rsidRDefault="00FB0990" w:rsidP="00ED3F8B">
      <w:pPr>
        <w:spacing w:after="0" w:line="240" w:lineRule="auto"/>
        <w:rPr>
          <w:rFonts w:ascii="Times New Roman" w:eastAsia="Times New Roman" w:hAnsi="Times New Roman" w:cs="Times New Roman"/>
          <w:sz w:val="24"/>
          <w:szCs w:val="24"/>
          <w:lang w:eastAsia="fr-FR"/>
        </w:rPr>
      </w:pPr>
    </w:p>
    <w:p w14:paraId="619C6E35" w14:textId="77777777" w:rsidR="00ED3F8B" w:rsidRPr="00970505" w:rsidRDefault="00ED3F8B" w:rsidP="00ED3F8B">
      <w:pPr>
        <w:spacing w:after="0" w:line="240" w:lineRule="auto"/>
        <w:rPr>
          <w:rFonts w:ascii="Times New Roman" w:eastAsia="Times New Roman" w:hAnsi="Times New Roman" w:cs="Times New Roman"/>
          <w:sz w:val="24"/>
          <w:szCs w:val="24"/>
          <w:lang w:eastAsia="fr-FR"/>
        </w:rPr>
      </w:pPr>
    </w:p>
    <w:p w14:paraId="493CDDA4"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Ministr hospodářství, financí a oživení,</w:t>
      </w:r>
    </w:p>
    <w:p w14:paraId="3F0FB61E"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Za ministra a na základě pověření:</w:t>
      </w:r>
    </w:p>
    <w:p w14:paraId="58CA790F" w14:textId="77777777"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Generální ředitelka pro hospodářskou soutěž, spotřebu a stíhání podvodů,</w:t>
      </w:r>
    </w:p>
    <w:p w14:paraId="6A931E52" w14:textId="77777777"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 Beaumeunier</w:t>
      </w:r>
    </w:p>
    <w:sectPr w:rsidR="004C4E44" w:rsidRPr="00970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73B4E" w14:textId="77777777" w:rsidR="00CF6397" w:rsidRDefault="00CF6397" w:rsidP="00573A33">
      <w:pPr>
        <w:spacing w:after="0" w:line="240" w:lineRule="auto"/>
      </w:pPr>
      <w:r>
        <w:separator/>
      </w:r>
    </w:p>
  </w:endnote>
  <w:endnote w:type="continuationSeparator" w:id="0">
    <w:p w14:paraId="04A50C44" w14:textId="77777777" w:rsidR="00CF6397" w:rsidRDefault="00CF6397" w:rsidP="005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E28F7" w14:textId="77777777" w:rsidR="00CF6397" w:rsidRDefault="00CF6397" w:rsidP="00573A33">
      <w:pPr>
        <w:spacing w:after="0" w:line="240" w:lineRule="auto"/>
      </w:pPr>
      <w:r>
        <w:separator/>
      </w:r>
    </w:p>
  </w:footnote>
  <w:footnote w:type="continuationSeparator" w:id="0">
    <w:p w14:paraId="319A0141" w14:textId="77777777" w:rsidR="00CF6397" w:rsidRDefault="00CF6397" w:rsidP="00573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44"/>
    <w:rsid w:val="00000018"/>
    <w:rsid w:val="000B7DA7"/>
    <w:rsid w:val="000F132F"/>
    <w:rsid w:val="00192BA8"/>
    <w:rsid w:val="00234310"/>
    <w:rsid w:val="003D645A"/>
    <w:rsid w:val="004C4E44"/>
    <w:rsid w:val="004D0FF9"/>
    <w:rsid w:val="00573A33"/>
    <w:rsid w:val="0081055E"/>
    <w:rsid w:val="009318CB"/>
    <w:rsid w:val="00970505"/>
    <w:rsid w:val="00A74E8F"/>
    <w:rsid w:val="00AD2395"/>
    <w:rsid w:val="00CF6397"/>
    <w:rsid w:val="00E53DB4"/>
    <w:rsid w:val="00ED3F8B"/>
    <w:rsid w:val="00F23DB7"/>
    <w:rsid w:val="00FB099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23BF1"/>
  <w15:chartTrackingRefBased/>
  <w15:docId w15:val="{AA3F75DC-D5BD-40CC-AF8C-05B6F9D8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73A33"/>
    <w:pPr>
      <w:tabs>
        <w:tab w:val="center" w:pos="4320"/>
        <w:tab w:val="right" w:pos="8640"/>
      </w:tabs>
      <w:spacing w:after="0" w:line="240" w:lineRule="auto"/>
    </w:pPr>
  </w:style>
  <w:style w:type="character" w:customStyle="1" w:styleId="ZhlavChar">
    <w:name w:val="Záhlaví Char"/>
    <w:basedOn w:val="Standardnpsmoodstavce"/>
    <w:link w:val="Zhlav"/>
    <w:uiPriority w:val="99"/>
    <w:rsid w:val="00573A33"/>
  </w:style>
  <w:style w:type="paragraph" w:styleId="Zpat">
    <w:name w:val="footer"/>
    <w:basedOn w:val="Normln"/>
    <w:link w:val="ZpatChar"/>
    <w:uiPriority w:val="99"/>
    <w:unhideWhenUsed/>
    <w:rsid w:val="00573A33"/>
    <w:pPr>
      <w:tabs>
        <w:tab w:val="center" w:pos="4320"/>
        <w:tab w:val="right" w:pos="8640"/>
      </w:tabs>
      <w:spacing w:after="0" w:line="240" w:lineRule="auto"/>
    </w:pPr>
  </w:style>
  <w:style w:type="character" w:customStyle="1" w:styleId="ZpatChar">
    <w:name w:val="Zápatí Char"/>
    <w:basedOn w:val="Standardnpsmoodstavce"/>
    <w:link w:val="Zpat"/>
    <w:uiPriority w:val="99"/>
    <w:rsid w:val="0057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2181901">
      <w:bodyDiv w:val="1"/>
      <w:marLeft w:val="0"/>
      <w:marRight w:val="0"/>
      <w:marTop w:val="0"/>
      <w:marBottom w:val="0"/>
      <w:divBdr>
        <w:top w:val="none" w:sz="0" w:space="0" w:color="auto"/>
        <w:left w:val="none" w:sz="0" w:space="0" w:color="auto"/>
        <w:bottom w:val="none" w:sz="0" w:space="0" w:color="auto"/>
        <w:right w:val="none" w:sz="0" w:space="0" w:color="auto"/>
      </w:divBdr>
    </w:div>
    <w:div w:id="1511601776">
      <w:bodyDiv w:val="1"/>
      <w:marLeft w:val="0"/>
      <w:marRight w:val="0"/>
      <w:marTop w:val="0"/>
      <w:marBottom w:val="0"/>
      <w:divBdr>
        <w:top w:val="none" w:sz="0" w:space="0" w:color="auto"/>
        <w:left w:val="none" w:sz="0" w:space="0" w:color="auto"/>
        <w:bottom w:val="none" w:sz="0" w:space="0" w:color="auto"/>
        <w:right w:val="none" w:sz="0" w:space="0" w:color="auto"/>
      </w:divBdr>
      <w:divsChild>
        <w:div w:id="451559851">
          <w:marLeft w:val="0"/>
          <w:marRight w:val="0"/>
          <w:marTop w:val="0"/>
          <w:marBottom w:val="0"/>
          <w:divBdr>
            <w:top w:val="none" w:sz="0" w:space="0" w:color="auto"/>
            <w:left w:val="none" w:sz="0" w:space="0" w:color="auto"/>
            <w:bottom w:val="none" w:sz="0" w:space="0" w:color="auto"/>
            <w:right w:val="none" w:sz="0" w:space="0" w:color="auto"/>
          </w:divBdr>
          <w:divsChild>
            <w:div w:id="1274484901">
              <w:marLeft w:val="0"/>
              <w:marRight w:val="0"/>
              <w:marTop w:val="0"/>
              <w:marBottom w:val="0"/>
              <w:divBdr>
                <w:top w:val="none" w:sz="0" w:space="0" w:color="auto"/>
                <w:left w:val="none" w:sz="0" w:space="0" w:color="auto"/>
                <w:bottom w:val="none" w:sz="0" w:space="0" w:color="auto"/>
                <w:right w:val="none" w:sz="0" w:space="0" w:color="auto"/>
              </w:divBdr>
            </w:div>
            <w:div w:id="5002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163B9-A96E-47B1-A99C-A07EEA6B7E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F48440-920E-419E-BB95-26E6CD8A2035}">
  <ds:schemaRefs>
    <ds:schemaRef ds:uri="http://schemas.microsoft.com/sharepoint/v3/contenttype/forms"/>
  </ds:schemaRefs>
</ds:datastoreItem>
</file>

<file path=customXml/itemProps3.xml><?xml version="1.0" encoding="utf-8"?>
<ds:datastoreItem xmlns:ds="http://schemas.openxmlformats.org/officeDocument/2006/customXml" ds:itemID="{38D68643-B4E1-4B98-94AC-E3F669A9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1873</Words>
  <Characters>11056</Characters>
  <Application>Microsoft Office Word</Application>
  <DocSecurity>0</DocSecurity>
  <Lines>92</Lines>
  <Paragraphs>25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Petr</cp:lastModifiedBy>
  <cp:revision>11</cp:revision>
  <dcterms:created xsi:type="dcterms:W3CDTF">2021-01-04T15:30:00Z</dcterms:created>
  <dcterms:modified xsi:type="dcterms:W3CDTF">2021-02-13T10:03:00Z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