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18" w:rsidRDefault="00000018" w:rsidP="00000018">
      <w:pPr>
        <w:jc w:val="center"/>
        <w:rPr>
          <w:sz w:val="20"/>
          <w:rFonts w:ascii="Courier New" w:hAnsi="Courier New"/>
        </w:rPr>
      </w:pPr>
      <w:r>
        <w:rPr>
          <w:sz w:val="20"/>
          <w:rFonts w:ascii="Courier New" w:hAnsi="Courier New"/>
        </w:rPr>
        <w:t xml:space="preserve">1.</w:t>
      </w:r>
      <w:r>
        <w:rPr>
          <w:sz w:val="20"/>
          <w:rFonts w:ascii="Courier New" w:hAnsi="Courier New"/>
        </w:rPr>
        <w:t xml:space="preserve"> </w:t>
      </w:r>
      <w:r>
        <w:rPr>
          <w:sz w:val="20"/>
          <w:rFonts w:ascii="Courier New" w:hAnsi="Courier New"/>
        </w:rPr>
        <w:t xml:space="preserve">------IND- 2020 0469 F-- PL- ------ 20210228 --- --- FINAL</w:t>
      </w:r>
    </w:p>
    <w:p w:rsidR="00E53DB4" w:rsidRPr="00970505" w:rsidRDefault="00E53DB4" w:rsidP="00ED3F8B">
      <w:pPr>
        <w:spacing w:after="0" w:line="240" w:lineRule="auto"/>
      </w:pPr>
    </w:p>
    <w:p w:rsidR="004C4E44" w:rsidRDefault="004C4E44" w:rsidP="00ED3F8B">
      <w:pPr>
        <w:spacing w:after="0" w:line="240" w:lineRule="auto"/>
        <w:outlineLvl w:val="1"/>
        <w:rPr>
          <w:b/>
          <w:bCs/>
          <w:sz w:val="36"/>
          <w:szCs w:val="36"/>
          <w:rFonts w:ascii="Times New Roman" w:eastAsia="Times New Roman" w:hAnsi="Times New Roman" w:cs="Times New Roman"/>
        </w:rPr>
      </w:pPr>
      <w:r>
        <w:rPr>
          <w:b/>
          <w:bCs/>
          <w:sz w:val="36"/>
          <w:szCs w:val="36"/>
          <w:rFonts w:ascii="Times New Roman" w:hAnsi="Times New Roman"/>
        </w:rPr>
        <w:t xml:space="preserve">Rozporządzenie z dnia 29 grudnia 2020 r. w sprawie zasad umieszczania, oznaczania i ogólnych parametrów obliczania wskaźnika możliwości naprawy</w:t>
      </w:r>
    </w:p>
    <w:p w:rsidR="00ED3F8B" w:rsidRPr="00970505" w:rsidRDefault="00ED3F8B" w:rsidP="00ED3F8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</w:p>
    <w:p w:rsidR="004C4E44" w:rsidRPr="00970505" w:rsidRDefault="004C4E44" w:rsidP="00ED3F8B">
      <w:pPr>
        <w:spacing w:after="0" w:line="240" w:lineRule="auto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bCs/>
          <w:sz w:val="24"/>
          <w:szCs w:val="24"/>
          <w:rFonts w:ascii="Times New Roman" w:hAnsi="Times New Roman"/>
        </w:rPr>
        <w:t xml:space="preserve">Wersja wstępna</w:t>
      </w:r>
      <w:r>
        <w:rPr>
          <w:b/>
          <w:bCs/>
          <w:sz w:val="24"/>
          <w:szCs w:val="24"/>
          <w:rFonts w:ascii="Times New Roman" w:hAnsi="Times New Roman"/>
        </w:rPr>
        <w:t xml:space="preserve"> </w:t>
      </w:r>
    </w:p>
    <w:p w:rsidR="00FB0990" w:rsidRDefault="00FB0990" w:rsidP="00ED3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D3F8B" w:rsidRPr="00970505" w:rsidRDefault="00ED3F8B" w:rsidP="00ED3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B0990" w:rsidRPr="00970505" w:rsidRDefault="004C4E44" w:rsidP="00ED3F8B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Zainteresowane społeczności: </w:t>
      </w:r>
      <w:r>
        <w:rPr>
          <w:sz w:val="24"/>
          <w:szCs w:val="24"/>
          <w:rFonts w:ascii="Times New Roman" w:hAnsi="Times New Roman"/>
        </w:rPr>
        <w:t xml:space="preserve">producenci, importerzy, dystrybutorzy lub inne podmiotu wprowadzające do obrotu urządzenia elektryczne i elektroniczne, sprzedawcy tych urządzeń oraz podmioty wykorzystujące witrynę internetową, platformę lub inny kanał dystrybucji online w ramach swojej działalności handlowej we Francji.</w:t>
      </w:r>
      <w:r>
        <w:rPr>
          <w:sz w:val="24"/>
          <w:szCs w:val="24"/>
          <w:rFonts w:ascii="Times New Roman" w:hAnsi="Times New Roman"/>
        </w:rPr>
        <w:t xml:space="preserve"> </w:t>
      </w:r>
    </w:p>
    <w:p w:rsidR="00FB0990" w:rsidRPr="00970505" w:rsidRDefault="004C4E44" w:rsidP="00ED3F8B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Przedmiot: zasady umieszczania, oznaczania i ogólnych parametrów obliczania wskaźnika możliwości naprawy.</w:t>
      </w:r>
      <w:r>
        <w:rPr>
          <w:sz w:val="24"/>
          <w:szCs w:val="24"/>
          <w:rFonts w:ascii="Times New Roman" w:hAnsi="Times New Roman"/>
        </w:rPr>
        <w:t xml:space="preserve"> </w:t>
      </w:r>
    </w:p>
    <w:p w:rsidR="00FB0990" w:rsidRPr="00970505" w:rsidRDefault="004C4E44" w:rsidP="00ED3F8B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Wejście w życie: niniejszy akt wchodzi w życie z dniem 1 stycznia 2021 r.</w:t>
      </w:r>
      <w:r>
        <w:rPr>
          <w:sz w:val="24"/>
          <w:szCs w:val="24"/>
          <w:rFonts w:ascii="Times New Roman" w:hAnsi="Times New Roman"/>
        </w:rPr>
        <w:t xml:space="preserve"> </w:t>
      </w:r>
    </w:p>
    <w:p w:rsidR="00FB0990" w:rsidRPr="00970505" w:rsidRDefault="004C4E44" w:rsidP="00ED3F8B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Uwaga: w niniejszym rozporządzeniu ustanawia się zasady umieszczania, oznaczania i ogólnych parametrów obliczania wskaźnika możliwości naprawy.</w:t>
      </w:r>
      <w:r>
        <w:rPr>
          <w:sz w:val="24"/>
          <w:szCs w:val="24"/>
          <w:rFonts w:ascii="Times New Roman" w:hAnsi="Times New Roman"/>
        </w:rPr>
        <w:t xml:space="preserve"> </w:t>
      </w:r>
    </w:p>
    <w:p w:rsidR="004C4E44" w:rsidRPr="00970505" w:rsidRDefault="004C4E44" w:rsidP="00ED3F8B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Teksty podstawowe: niniejsze rozporządzenie jest dostępne w serwisie internetowym Légifrance (https://www.legifrance.gouv.fr).</w:t>
      </w:r>
      <w:r>
        <w:rPr>
          <w:sz w:val="24"/>
          <w:szCs w:val="24"/>
          <w:rFonts w:ascii="Times New Roman" w:hAnsi="Times New Roman"/>
        </w:rPr>
        <w:t xml:space="preserve"> </w:t>
      </w:r>
    </w:p>
    <w:p w:rsidR="00FB0990" w:rsidRDefault="00FB0990" w:rsidP="00ED3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D3F8B" w:rsidRPr="00970505" w:rsidRDefault="00ED3F8B" w:rsidP="00ED3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B0990" w:rsidRPr="00970505" w:rsidRDefault="004C4E44" w:rsidP="00ED3F8B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Minister Transformacji Ekologicznej i Minister Gospodarki, Finansów i Odbudowy,</w:t>
      </w:r>
    </w:p>
    <w:p w:rsidR="00FB0990" w:rsidRPr="00970505" w:rsidRDefault="004C4E44" w:rsidP="00ED3F8B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uwzględniając rozporządzenie Komisji (UE) 2019/2021 z dnia 1 października 2019 r. ustanawiające wymogi dotyczące ekoprojektu dla wyświetlaczy elektronicznych zgodnie z dyrektywą Parlamentu Europejskiego i Rady 2009/125/WE, zmieniające rozporządzenie Komisji (WE) nr 1275/2008 i uchylające rozporządzenie Komisji (WE) nr 642/2009,</w:t>
      </w:r>
    </w:p>
    <w:p w:rsidR="00FB0990" w:rsidRPr="00970505" w:rsidRDefault="004C4E44" w:rsidP="00ED3F8B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uwzględniając kodeks środowiska, w szczególności jego art. L. 541-9-2,</w:t>
      </w:r>
    </w:p>
    <w:p w:rsidR="00FB0990" w:rsidRPr="00970505" w:rsidRDefault="004C4E44" w:rsidP="00ED3F8B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uwzględniając dekret nr 2020-1757 z dnia 29 grudnia 2020 r. w sprawie wskaźnika możliwości naprawy urządzeń elektrycznych i elektronicznych,</w:t>
      </w:r>
    </w:p>
    <w:p w:rsidR="004C4E44" w:rsidRDefault="004C4E44" w:rsidP="00ED3F8B">
      <w:pPr>
        <w:keepNext/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przyjmują następujące rozporządzenie:</w:t>
      </w:r>
    </w:p>
    <w:p w:rsidR="00ED3F8B" w:rsidRPr="00970505" w:rsidRDefault="00ED3F8B" w:rsidP="00ED3F8B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C4E44" w:rsidRDefault="004C4E44" w:rsidP="00ED3F8B">
      <w:pPr>
        <w:keepNext/>
        <w:spacing w:after="0" w:line="240" w:lineRule="auto"/>
        <w:ind w:left="446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bCs/>
          <w:sz w:val="24"/>
          <w:szCs w:val="24"/>
          <w:rFonts w:ascii="Times New Roman" w:hAnsi="Times New Roman"/>
        </w:rPr>
        <w:t xml:space="preserve">Artykuł 1</w:t>
      </w:r>
    </w:p>
    <w:p w:rsidR="00ED3F8B" w:rsidRPr="00970505" w:rsidRDefault="00ED3F8B" w:rsidP="00ED3F8B">
      <w:pPr>
        <w:keepNext/>
        <w:spacing w:after="0" w:line="240" w:lineRule="auto"/>
        <w:ind w:left="446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FB0990" w:rsidRPr="00970505" w:rsidRDefault="00FB0990" w:rsidP="00ED3F8B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C4E44" w:rsidRDefault="004C4E44" w:rsidP="00ED3F8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Niniejsze rozporządzenie ma zastosowanie do wszystkich urządzeń elektrycznych i elektronicznych, których dotyczy wymóg obliczania i umieszczania wskaźnika możliwości naprawy zgodnie z przepisami art. R. 541-210 do R. 541-214 kodeksu środowiska.</w:t>
      </w:r>
    </w:p>
    <w:p w:rsidR="00ED3F8B" w:rsidRPr="00970505" w:rsidRDefault="00ED3F8B" w:rsidP="00ED3F8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C4E44" w:rsidRPr="00970505" w:rsidRDefault="004C4E44" w:rsidP="00ED3F8B">
      <w:pPr>
        <w:keepNext/>
        <w:spacing w:after="0" w:line="240" w:lineRule="auto"/>
        <w:ind w:left="446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bCs/>
          <w:sz w:val="24"/>
          <w:szCs w:val="24"/>
          <w:rFonts w:ascii="Times New Roman" w:hAnsi="Times New Roman"/>
        </w:rPr>
        <w:t xml:space="preserve">Artykuł 2</w:t>
      </w:r>
    </w:p>
    <w:p w:rsidR="00FB0990" w:rsidRDefault="00FB0990" w:rsidP="00ED3F8B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D3F8B" w:rsidRPr="00970505" w:rsidRDefault="00ED3F8B" w:rsidP="00ED3F8B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B0990" w:rsidRPr="00970505" w:rsidRDefault="004C4E44" w:rsidP="00ED3F8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W przypadku wszystkich produktów elektrycznych i elektronicznych, o których mowa w art. 1, wskaźnik możliwości naprawy prezentuje się w postaci oceny w dziesięciopunktowej skali, z możliwością dokładności do dwóch miejsc po przecinku.</w:t>
      </w:r>
    </w:p>
    <w:p w:rsidR="00FB0990" w:rsidRPr="00970505" w:rsidRDefault="004C4E44" w:rsidP="00ED3F8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Jeżeli druga cyfra po przecinku jest mniejsza niż 5, ocenę zaokrągla się do części dziesiętnej w dół.</w:t>
      </w:r>
    </w:p>
    <w:p w:rsidR="004C4E44" w:rsidRDefault="004C4E44" w:rsidP="00ED3F8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Jeżeli druga cyfra po przecinku jest większa lub równa 5, ocenę zaokrągla się do części dziesiętnej w górę.</w:t>
      </w:r>
    </w:p>
    <w:p w:rsidR="00ED3F8B" w:rsidRPr="00970505" w:rsidRDefault="00ED3F8B" w:rsidP="00ED3F8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C4E44" w:rsidRPr="00970505" w:rsidRDefault="004C4E44" w:rsidP="00ED3F8B">
      <w:pPr>
        <w:keepNext/>
        <w:spacing w:after="0" w:line="240" w:lineRule="auto"/>
        <w:ind w:left="446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bCs/>
          <w:sz w:val="24"/>
          <w:szCs w:val="24"/>
          <w:rFonts w:ascii="Times New Roman" w:hAnsi="Times New Roman"/>
        </w:rPr>
        <w:t xml:space="preserve">Artykuł 3</w:t>
      </w:r>
    </w:p>
    <w:p w:rsidR="00FB0990" w:rsidRDefault="00FB0990" w:rsidP="00ED3F8B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D3F8B" w:rsidRPr="00970505" w:rsidRDefault="00ED3F8B" w:rsidP="00ED3F8B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B0990" w:rsidRPr="00970505" w:rsidRDefault="004C4E44" w:rsidP="00ED3F8B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W zależności od otrzymanej w ten sposób oceny do umieszczania wskaźnika stosuje się następujące kody kolorystyczne:</w:t>
      </w:r>
    </w:p>
    <w:p w:rsidR="00FB0990" w:rsidRPr="00970505" w:rsidRDefault="004C4E44" w:rsidP="00ED3F8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1.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ocena równa lub wyższa od 0 i nieprzekraczająca 1,9: czerwony, nr referencyjny Pantone 186 C;</w:t>
      </w:r>
    </w:p>
    <w:p w:rsidR="00FB0990" w:rsidRPr="00970505" w:rsidRDefault="004C4E44" w:rsidP="00ED3F8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2.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ocena równa lub wyższa od 2 i nieprzekraczająca 3,9: pomarańczowy, nr referencyjny Pantone 1585 C;</w:t>
      </w:r>
    </w:p>
    <w:p w:rsidR="00FB0990" w:rsidRPr="00970505" w:rsidRDefault="004C4E44" w:rsidP="00ED3F8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3.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ocena równa lub wyższa od 4 i nieprzekraczająca 5,9: żółty, nr referencyjny Pantone 7548 C;</w:t>
      </w:r>
    </w:p>
    <w:p w:rsidR="00FB0990" w:rsidRPr="00970505" w:rsidRDefault="004C4E44" w:rsidP="00ED3F8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4.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ocena równa lub wyższa od 6 i nieprzekraczająca 7,9: jasnozielony, nr referencyjny Pantone 2291 C;</w:t>
      </w:r>
    </w:p>
    <w:p w:rsidR="00FB0990" w:rsidRPr="00970505" w:rsidRDefault="004C4E44" w:rsidP="00ED3F8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5.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ocena równa lub wyższa od 8 i nieprzekraczająca 10: ciemnozielony, nr referencyjny Pantone 347 C.</w:t>
      </w:r>
    </w:p>
    <w:p w:rsidR="004C4E44" w:rsidRPr="00970505" w:rsidRDefault="004C4E44" w:rsidP="00ED3F8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Obowiązkowym oznaczeniem dla informacji o wskaźniku możliwości naprawy jest przedstawienie graficzne składające się z wyrażenia „wskaźnik możliwości naprawy” i poniższego piktogramu wskazującego wartość wskaźnika.</w:t>
      </w:r>
    </w:p>
    <w:p w:rsidR="00FB0990" w:rsidRPr="00970505" w:rsidRDefault="00FB0990" w:rsidP="00ED3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B0990" w:rsidRPr="00970505" w:rsidRDefault="00FB0990" w:rsidP="00ED3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C4E44" w:rsidRPr="00970505" w:rsidRDefault="004C4E44" w:rsidP="00ED3F8B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Cały tekst z obrazami na podstawie wyciągu z uwierzytelnionego Elektronicznego Dziennika Urzędowego jest dostępny na dole strony.</w:t>
      </w:r>
    </w:p>
    <w:p w:rsidR="00FB0990" w:rsidRDefault="00FB0990" w:rsidP="00ED3F8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D645A" w:rsidRPr="00970505" w:rsidRDefault="003D645A" w:rsidP="00ED3F8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B0990" w:rsidRPr="00970505" w:rsidRDefault="004C4E44" w:rsidP="00ED3F8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Wielkość czcionki cyfr oceny w dziesięciopunktowej skali powinna być co najmniej równoważna wielkości czcionki cyfr ceny na półce.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Wszelkie dostosowania wielkości tego oznaczenia należy przeprowadzać w sposób jednolity.</w:t>
      </w:r>
    </w:p>
    <w:p w:rsidR="004C4E44" w:rsidRDefault="004C4E44" w:rsidP="00ED3F8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W przypadku gdy wskaźnik umieszcza się również na każdej sztuce modelu lub na opakowaniu poprzez etykietowanie lub oznakowanie, rozmiary przedstawienia graficznego dobiera się tak, by było ono widoczne i czytelne.</w:t>
      </w:r>
    </w:p>
    <w:p w:rsidR="00ED3F8B" w:rsidRPr="00970505" w:rsidRDefault="00ED3F8B" w:rsidP="00ED3F8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C4E44" w:rsidRPr="00970505" w:rsidRDefault="004C4E44" w:rsidP="00A74E8F">
      <w:pPr>
        <w:keepNext/>
        <w:spacing w:after="0" w:line="240" w:lineRule="auto"/>
        <w:ind w:left="446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bCs/>
          <w:sz w:val="24"/>
          <w:szCs w:val="24"/>
          <w:rFonts w:ascii="Times New Roman" w:hAnsi="Times New Roman"/>
        </w:rPr>
        <w:t xml:space="preserve">Artykuł 4</w:t>
      </w:r>
    </w:p>
    <w:p w:rsidR="00FB0990" w:rsidRDefault="00FB0990" w:rsidP="00A74E8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D3F8B" w:rsidRPr="00970505" w:rsidRDefault="00ED3F8B" w:rsidP="00A74E8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B0990" w:rsidRPr="00970505" w:rsidRDefault="004C4E44" w:rsidP="00ED3F8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Każde kryterium cząstkowe wskaźnika ocenia się w skali od jednego do dziesięciu, z zastosowaniem współczynnika umożliwiającego uzyskanie oceny dla danego kryterium w skali od jednego do dwudziestu, jak podano w tabeli poniżej.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Suma ważonych jednakowo ocen dla poszczególnych kryteriów daje łączną ocenę na sto punktów, którą przelicza się na ocenę w dziesięciopunktowej skali wskaźnika.</w:t>
      </w:r>
    </w:p>
    <w:p w:rsidR="004C4E44" w:rsidRPr="00970505" w:rsidRDefault="004C4E44" w:rsidP="00ED3F8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Przekazywanie informacji i udostępnianie parametrów umożliwiających ustalenie wskaźnika możliwości naprawy każdego urządzenia odbywa się zgodnie z poniższą tabelą, w formacie cyfrowym niemożliwym do modyfikacji, o wymiarach 21 x 29,7 cm.</w:t>
      </w:r>
    </w:p>
    <w:p w:rsidR="004C4E44" w:rsidRPr="00970505" w:rsidRDefault="004C4E44" w:rsidP="00ED3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4"/>
        <w:gridCol w:w="2763"/>
        <w:gridCol w:w="949"/>
        <w:gridCol w:w="1414"/>
        <w:gridCol w:w="882"/>
        <w:gridCol w:w="1134"/>
      </w:tblGrid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A74E8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4C4E44" w:rsidRPr="00970505" w:rsidRDefault="004C4E44" w:rsidP="00A74E8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Kryterium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A74E8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4C4E44" w:rsidRPr="00970505" w:rsidRDefault="004C4E44" w:rsidP="00A74E8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Kryterium cząstkowe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A74E8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4C4E44" w:rsidRPr="00970505" w:rsidRDefault="004C4E44" w:rsidP="00A74E8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Ocena kryterium cząstkowego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A74E8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4C4E44" w:rsidRPr="00970505" w:rsidRDefault="004C4E44" w:rsidP="00A74E8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Współczynnik kryterium cząstkowego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A74E8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4C4E44" w:rsidRPr="00970505" w:rsidRDefault="004C4E44" w:rsidP="00A74E8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Ocena kryterium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A74E8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4C4E44" w:rsidRPr="00970505" w:rsidRDefault="004C4E44" w:rsidP="00A74E8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Suma ocen kryteriów</w:t>
            </w: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1.</w:t>
            </w:r>
            <w:r>
              <w:rPr>
                <w:sz w:val="24"/>
                <w:szCs w:val="24"/>
                <w:rFonts w:ascii="Times New Roman" w:hAnsi="Times New Roman"/>
              </w:rPr>
              <w:t xml:space="preserve"> </w:t>
            </w:r>
            <w:r>
              <w:rPr>
                <w:sz w:val="24"/>
                <w:szCs w:val="24"/>
                <w:rFonts w:ascii="Times New Roman" w:hAnsi="Times New Roman"/>
              </w:rPr>
              <w:t xml:space="preserve">Dokumentacja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1,1.</w:t>
            </w:r>
            <w:r>
              <w:rPr>
                <w:sz w:val="24"/>
                <w:szCs w:val="24"/>
                <w:rFonts w:ascii="Times New Roman" w:hAnsi="Times New Roman"/>
              </w:rPr>
              <w:t xml:space="preserve"> </w:t>
            </w:r>
            <w:r>
              <w:rPr>
                <w:sz w:val="24"/>
                <w:szCs w:val="24"/>
                <w:rFonts w:ascii="Times New Roman" w:hAnsi="Times New Roman"/>
              </w:rPr>
              <w:t xml:space="preserve">Okres dostępności dokumentacji technicznej i dokumentów dotyczących użytkowania i konserwacji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▀▀/20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▀▀/100</w:t>
            </w: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2.</w:t>
            </w:r>
            <w:r>
              <w:rPr>
                <w:sz w:val="24"/>
                <w:szCs w:val="24"/>
                <w:rFonts w:ascii="Times New Roman" w:hAnsi="Times New Roman"/>
              </w:rPr>
              <w:t xml:space="preserve"> </w:t>
            </w:r>
            <w:r>
              <w:rPr>
                <w:sz w:val="24"/>
                <w:szCs w:val="24"/>
                <w:rFonts w:ascii="Times New Roman" w:hAnsi="Times New Roman"/>
              </w:rPr>
              <w:t xml:space="preserve">Możliwości demontażu i dostępu, narzędzia, mocowania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2.1. Łatwość demontażu części z wykazu 2 (*)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▀▀/20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2,2.</w:t>
            </w:r>
            <w:r>
              <w:rPr>
                <w:sz w:val="24"/>
                <w:szCs w:val="24"/>
                <w:rFonts w:ascii="Times New Roman" w:hAnsi="Times New Roman"/>
              </w:rPr>
              <w:t xml:space="preserve"> </w:t>
            </w:r>
            <w:r>
              <w:rPr>
                <w:sz w:val="24"/>
                <w:szCs w:val="24"/>
                <w:rFonts w:ascii="Times New Roman" w:hAnsi="Times New Roman"/>
              </w:rPr>
              <w:t xml:space="preserve">Konieczne narzędzia (wykaz 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0,5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2,3.</w:t>
            </w:r>
            <w:r>
              <w:rPr>
                <w:sz w:val="24"/>
                <w:szCs w:val="24"/>
                <w:rFonts w:ascii="Times New Roman" w:hAnsi="Times New Roman"/>
              </w:rPr>
              <w:t xml:space="preserve"> </w:t>
            </w:r>
            <w:r>
              <w:rPr>
                <w:sz w:val="24"/>
                <w:szCs w:val="24"/>
                <w:rFonts w:ascii="Times New Roman" w:hAnsi="Times New Roman"/>
              </w:rPr>
              <w:t xml:space="preserve">Cechy mocowania między częściami z wykazu 1 (**) i wykazu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0,5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3.</w:t>
            </w:r>
            <w:r>
              <w:rPr>
                <w:sz w:val="24"/>
                <w:szCs w:val="24"/>
                <w:rFonts w:ascii="Times New Roman" w:hAnsi="Times New Roman"/>
              </w:rPr>
              <w:t xml:space="preserve"> </w:t>
            </w:r>
            <w:r>
              <w:rPr>
                <w:sz w:val="24"/>
                <w:szCs w:val="24"/>
                <w:rFonts w:ascii="Times New Roman" w:hAnsi="Times New Roman"/>
              </w:rPr>
              <w:t xml:space="preserve">Dostępność części zamiennych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3.1.</w:t>
            </w:r>
            <w:r>
              <w:rPr>
                <w:sz w:val="24"/>
                <w:szCs w:val="24"/>
                <w:rFonts w:ascii="Times New Roman" w:hAnsi="Times New Roman"/>
              </w:rPr>
              <w:t xml:space="preserve"> </w:t>
            </w:r>
            <w:r>
              <w:rPr>
                <w:sz w:val="24"/>
                <w:szCs w:val="24"/>
                <w:rFonts w:ascii="Times New Roman" w:hAnsi="Times New Roman"/>
              </w:rPr>
              <w:t xml:space="preserve">Okres dostępności części z wykazu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▀▀/20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3,2.</w:t>
            </w:r>
            <w:r>
              <w:rPr>
                <w:sz w:val="24"/>
                <w:szCs w:val="24"/>
                <w:rFonts w:ascii="Times New Roman" w:hAnsi="Times New Roman"/>
              </w:rPr>
              <w:t xml:space="preserve"> </w:t>
            </w:r>
            <w:r>
              <w:rPr>
                <w:sz w:val="24"/>
                <w:szCs w:val="24"/>
                <w:rFonts w:ascii="Times New Roman" w:hAnsi="Times New Roman"/>
              </w:rPr>
              <w:t xml:space="preserve">Okres dostępności części z wykazu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0,5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3,3.</w:t>
            </w:r>
            <w:r>
              <w:rPr>
                <w:sz w:val="24"/>
                <w:szCs w:val="24"/>
                <w:rFonts w:ascii="Times New Roman" w:hAnsi="Times New Roman"/>
              </w:rPr>
              <w:t xml:space="preserve"> </w:t>
            </w:r>
            <w:r>
              <w:rPr>
                <w:sz w:val="24"/>
                <w:szCs w:val="24"/>
                <w:rFonts w:ascii="Times New Roman" w:hAnsi="Times New Roman"/>
              </w:rPr>
              <w:t xml:space="preserve">Czas dostawy części z wykazu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0,3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3,4.</w:t>
            </w:r>
            <w:r>
              <w:rPr>
                <w:sz w:val="24"/>
                <w:szCs w:val="24"/>
                <w:rFonts w:ascii="Times New Roman" w:hAnsi="Times New Roman"/>
              </w:rPr>
              <w:t xml:space="preserve"> </w:t>
            </w:r>
            <w:r>
              <w:rPr>
                <w:sz w:val="24"/>
                <w:szCs w:val="24"/>
                <w:rFonts w:ascii="Times New Roman" w:hAnsi="Times New Roman"/>
              </w:rPr>
              <w:t xml:space="preserve">Czas dostawy części z wykazu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0,2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4.</w:t>
            </w:r>
            <w:r>
              <w:rPr>
                <w:sz w:val="24"/>
                <w:szCs w:val="24"/>
                <w:rFonts w:ascii="Times New Roman" w:hAnsi="Times New Roman"/>
              </w:rPr>
              <w:t xml:space="preserve"> </w:t>
            </w:r>
            <w:r>
              <w:rPr>
                <w:sz w:val="24"/>
                <w:szCs w:val="24"/>
                <w:rFonts w:ascii="Times New Roman" w:hAnsi="Times New Roman"/>
              </w:rPr>
              <w:t xml:space="preserve">Cena części zamiennych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4,1.</w:t>
            </w:r>
            <w:r>
              <w:rPr>
                <w:sz w:val="24"/>
                <w:szCs w:val="24"/>
                <w:rFonts w:ascii="Times New Roman" w:hAnsi="Times New Roman"/>
              </w:rPr>
              <w:t xml:space="preserve"> </w:t>
            </w:r>
            <w:r>
              <w:rPr>
                <w:sz w:val="24"/>
                <w:szCs w:val="24"/>
                <w:rFonts w:ascii="Times New Roman" w:hAnsi="Times New Roman"/>
              </w:rPr>
              <w:t xml:space="preserve">Stosunek ceny części z wykazu 2 do ceny nowego urządzenia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▀▀/20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FB0990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5.</w:t>
            </w:r>
            <w:r>
              <w:rPr>
                <w:sz w:val="24"/>
                <w:szCs w:val="24"/>
                <w:rFonts w:ascii="Times New Roman" w:hAnsi="Times New Roman"/>
              </w:rPr>
              <w:t xml:space="preserve"> </w:t>
            </w:r>
            <w:r>
              <w:rPr>
                <w:sz w:val="24"/>
                <w:szCs w:val="24"/>
                <w:rFonts w:ascii="Times New Roman" w:hAnsi="Times New Roman"/>
              </w:rPr>
              <w:t xml:space="preserve">Kryterium szczegółowe</w:t>
            </w:r>
          </w:p>
          <w:p w:rsidR="004C4E44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(przykład z 3 kryteriami cząstkowymi)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5,1.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▀▀/20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5,2.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0,5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5,3.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0,5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right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Ocena stanowiąca wskaźnik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▀▀/10</w:t>
            </w: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FB0990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(*) wykaz 2: wykaz maksymalnie 3 do 5 części zamiennych (w zależności od danej kategorii urządzeń), które najczęściej ulegają uszkodzeniu lub awarii.</w:t>
            </w:r>
          </w:p>
          <w:p w:rsidR="004C4E44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(**) wykaz 1: wykaz maksymalnie 10 innych części zamiennych (w zależności od danej kategorii urządzeń), których dobry stan jest konieczny do działania urządzenia.</w:t>
            </w:r>
          </w:p>
        </w:tc>
      </w:tr>
    </w:tbl>
    <w:p w:rsidR="00FB0990" w:rsidRPr="00970505" w:rsidRDefault="00FB0990" w:rsidP="00ED3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C4E44" w:rsidRPr="00970505" w:rsidRDefault="004C4E44" w:rsidP="00ED3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B0990" w:rsidRPr="00970505" w:rsidRDefault="004C4E44" w:rsidP="00ED3F8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Dla jednego kryterium suma współczynników kryteriów cząstkowych wynosi 2.</w:t>
      </w:r>
    </w:p>
    <w:p w:rsidR="004C4E44" w:rsidRDefault="004C4E44" w:rsidP="00ED3F8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Szczegółowe tabele oceny dla poszczególnych kategorii urządzeń, z podaniem wykazów części i szczegółowych informacji na temat każdego kryterium określa się w drodze rozporządzenia.</w:t>
      </w:r>
    </w:p>
    <w:p w:rsidR="00ED3F8B" w:rsidRPr="00970505" w:rsidRDefault="00ED3F8B" w:rsidP="00ED3F8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C4E44" w:rsidRPr="00970505" w:rsidRDefault="004C4E44" w:rsidP="00A74E8F">
      <w:pPr>
        <w:keepNext/>
        <w:spacing w:after="0" w:line="240" w:lineRule="auto"/>
        <w:ind w:left="446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bCs/>
          <w:sz w:val="24"/>
          <w:szCs w:val="24"/>
          <w:rFonts w:ascii="Times New Roman" w:hAnsi="Times New Roman"/>
        </w:rPr>
        <w:t xml:space="preserve">Artykuł 5</w:t>
      </w:r>
    </w:p>
    <w:p w:rsidR="00FB0990" w:rsidRDefault="00FB0990" w:rsidP="00A74E8F">
      <w:pPr>
        <w:keepNext/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D3F8B" w:rsidRPr="00970505" w:rsidRDefault="00ED3F8B" w:rsidP="00A74E8F">
      <w:pPr>
        <w:keepNext/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B0990" w:rsidRPr="00970505" w:rsidRDefault="004C4E44" w:rsidP="00A74E8F">
      <w:pPr>
        <w:keepNext/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Kryterium nr 1 – dokumentacja:</w:t>
      </w:r>
    </w:p>
    <w:p w:rsidR="00FB0990" w:rsidRPr="00970505" w:rsidRDefault="004C4E44" w:rsidP="00ED3F8B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Kryterium cząstkowe 1.1.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Okres dostępności dokumentacji technicznej i dokumentów dotyczących użytkowania i konserwacji:</w:t>
      </w:r>
    </w:p>
    <w:p w:rsidR="00FB0990" w:rsidRPr="00970505" w:rsidRDefault="004C4E44" w:rsidP="00ED3F8B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Określane na podstawie zobowiązania producenta do nieodpłatnego udostępniania przez określoną liczbę lat dokumentów technicznych dla zatwierdzonych i niezależnych serwisantów oraz dla konsumentów, a także dokumentów dotyczących zaleceń użytkowania i konserwacji dla konsumentów, od momentu wprowadzenia do obrotu ostatniej sztuki.</w:t>
      </w:r>
    </w:p>
    <w:p w:rsidR="00FB0990" w:rsidRPr="00970505" w:rsidRDefault="004C4E44" w:rsidP="00A74E8F">
      <w:pPr>
        <w:keepNext/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Kryterium nr 2 – możliwości demontażu i dostępu, narzędzia, mocowania:</w:t>
      </w:r>
    </w:p>
    <w:p w:rsidR="00FB0990" w:rsidRPr="00970505" w:rsidRDefault="004C4E44" w:rsidP="00A74E8F">
      <w:pPr>
        <w:keepNext/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Kryterium cząstkowe 2.1.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Łatwość demontażu części z wykazu 2:</w:t>
      </w:r>
    </w:p>
    <w:p w:rsidR="00FB0990" w:rsidRPr="00970505" w:rsidRDefault="004C4E44" w:rsidP="00ED3F8B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Określane na podstawie liczby etapów demontażu umożliwiających, w przypadku każdej części z wykazu 2, uzyskanie jednostkowego dostępu do danej części i oddzielenie jej od urządzenia w celu jej wymiany.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Ustala się połączenie między oceną tego kryterium cząstkowego a oceną kryterium cząstkowego 3.1, w przypadku gdy danej części nie można zdemontować: ocena zerowa przenosi się w takim wypadku z jednego kryterium cząstkowego na drugie.</w:t>
      </w:r>
    </w:p>
    <w:p w:rsidR="00FB0990" w:rsidRPr="00970505" w:rsidRDefault="004C4E44" w:rsidP="00A74E8F">
      <w:pPr>
        <w:keepNext/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Kryterium cząstkowe 2.2.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Konieczne narzędzia:</w:t>
      </w:r>
    </w:p>
    <w:p w:rsidR="00FB0990" w:rsidRPr="00970505" w:rsidRDefault="004C4E44" w:rsidP="00ED3F8B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Określane na podstawie rodzaju narzędzi koniecznych do zdemontowania każdej części z wykazu 2, według klasyfikacji wprowadzającej rozróżnienie między „zwykłymi”, „specjalnymi” lub „zastrzeżonymi” narzędziami.</w:t>
      </w:r>
    </w:p>
    <w:p w:rsidR="00FB0990" w:rsidRPr="00970505" w:rsidRDefault="004C4E44" w:rsidP="00A74E8F">
      <w:pPr>
        <w:keepNext/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Kryterium cząstkowe 2.3.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Cechy mocowań:</w:t>
      </w:r>
    </w:p>
    <w:p w:rsidR="00FB0990" w:rsidRPr="00970505" w:rsidRDefault="004C4E44" w:rsidP="00ED3F8B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Określane, dla każdej części z wykazów 1 i 2, na podstawie typu mocowań łączących je z innymi częściami urządzenia, według klasyfikacji wprowadzającej rozróżnienie między mocowaniami „usuwalnymi i możliwymi do ponownego wykorzystania”, „usuwalnymi i niemożliwymi do ponownego wykorzystania” oraz „nieusuwalnymi i niemożliwymi do ponownego wykorzystania”.</w:t>
      </w:r>
    </w:p>
    <w:p w:rsidR="00FB0990" w:rsidRPr="00970505" w:rsidRDefault="004C4E44" w:rsidP="00A74E8F">
      <w:pPr>
        <w:keepNext/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Kryterium nr 3 – dostępność części zamiennych:</w:t>
      </w:r>
    </w:p>
    <w:p w:rsidR="00FB0990" w:rsidRPr="00970505" w:rsidRDefault="004C4E44" w:rsidP="00A74E8F">
      <w:pPr>
        <w:keepNext/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Kryterium cząstkowe 3.1.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Okres dostępności części z wykazu 2:</w:t>
      </w:r>
    </w:p>
    <w:p w:rsidR="00FB0990" w:rsidRPr="00970505" w:rsidRDefault="004C4E44" w:rsidP="00ED3F8B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Określane na podstawie zobowiązania producenta do udostępniania przez określoną liczbę lat części z wykazu 2 dla dystrybutorów części zamiennych, zatwierdzonych i niezależnych serwisantów oraz dla konsumentów, od momentu wprowadzenia do obrotu ostatniej sztuki.</w:t>
      </w:r>
    </w:p>
    <w:p w:rsidR="00FB0990" w:rsidRPr="00970505" w:rsidRDefault="004C4E44" w:rsidP="00A74E8F">
      <w:pPr>
        <w:keepNext/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Kryterium cząstkowe 3.2.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Okres dostępności części z wykazu 1:</w:t>
      </w:r>
    </w:p>
    <w:p w:rsidR="00FB0990" w:rsidRPr="00970505" w:rsidRDefault="004C4E44" w:rsidP="00ED3F8B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Określane na podstawie zobowiązania producenta do udostępniania przez określoną liczbę lat części z wykazu 1 dla dystrybutorów części zamiennych, zatwierdzonych i niezależnych serwisantów oraz dla konsumentów, od momentu wprowadzenia do obrotu ostatniej sztuki.</w:t>
      </w:r>
    </w:p>
    <w:p w:rsidR="00FB0990" w:rsidRPr="00970505" w:rsidRDefault="004C4E44" w:rsidP="00A74E8F">
      <w:pPr>
        <w:keepNext/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Kryterium cząstkowe 3.3.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Czas dostawy części z wykazu 2:</w:t>
      </w:r>
    </w:p>
    <w:p w:rsidR="00FB0990" w:rsidRPr="00970505" w:rsidRDefault="004C4E44" w:rsidP="00ED3F8B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Określane na podstawie zobowiązania producenta do przestrzegania terminu dostawy w liczbie dni roboczych od dnia zamówienia części z wykazu 2 do dystrybutorów części zamiennych, zatwierdzonych i niezależnych serwisantów oraz konsumentów.</w:t>
      </w:r>
    </w:p>
    <w:p w:rsidR="00FB0990" w:rsidRPr="00970505" w:rsidRDefault="004C4E44" w:rsidP="00A74E8F">
      <w:pPr>
        <w:keepNext/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Kryterium cząstkowe 3.4.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Czas dostawy części z wykazu 1:</w:t>
      </w:r>
    </w:p>
    <w:p w:rsidR="00FB0990" w:rsidRPr="00970505" w:rsidRDefault="004C4E44" w:rsidP="00ED3F8B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Określane na podstawie zobowiązania producenta do przestrzegania terminu dostawy w liczbie dni roboczych od dnia zamówienia części z wykazu 1 do dystrybutorów części zamiennych, zatwierdzonych i niezależnych serwisantów oraz konsumentów.</w:t>
      </w:r>
    </w:p>
    <w:p w:rsidR="00FB0990" w:rsidRPr="00970505" w:rsidRDefault="004C4E44" w:rsidP="00A74E8F">
      <w:pPr>
        <w:keepNext/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Kryterium nr 4 – cena części zamiennych:</w:t>
      </w:r>
    </w:p>
    <w:p w:rsidR="00FB0990" w:rsidRPr="00970505" w:rsidRDefault="004C4E44" w:rsidP="00A74E8F">
      <w:pPr>
        <w:keepNext/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Kryterium cząstkowe 4.1.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Stosunek między ceną sprzedaży części przez producenta lub importera a ceną sprzedaży urządzeń przez producenta lub importera:</w:t>
      </w:r>
      <w:r>
        <w:rPr>
          <w:sz w:val="24"/>
          <w:szCs w:val="24"/>
          <w:rFonts w:ascii="Times New Roman" w:hAnsi="Times New Roman"/>
        </w:rPr>
        <w:t xml:space="preserve"> </w:t>
      </w:r>
    </w:p>
    <w:p w:rsidR="00FB0990" w:rsidRPr="00970505" w:rsidRDefault="004C4E44" w:rsidP="00A74E8F">
      <w:pPr>
        <w:keepNext/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Kryterium ocenia się poprzez porównanie:</w:t>
      </w:r>
    </w:p>
    <w:p w:rsidR="00FB0990" w:rsidRPr="00970505" w:rsidRDefault="004C4E44" w:rsidP="00ED3F8B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pomiędzy</w:t>
      </w:r>
    </w:p>
    <w:p w:rsidR="00FB0990" w:rsidRPr="00970505" w:rsidRDefault="004C4E44" w:rsidP="00ED3F8B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ceną netto najdroższej części z wykazu 2 + (średnia cen netto pozostałych części z wykazu 2)/2</w:t>
      </w:r>
    </w:p>
    <w:p w:rsidR="00FB0990" w:rsidRPr="00970505" w:rsidRDefault="004C4E44" w:rsidP="00ED3F8B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i</w:t>
      </w:r>
    </w:p>
    <w:p w:rsidR="00FB0990" w:rsidRPr="00970505" w:rsidRDefault="004C4E44" w:rsidP="00ED3F8B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ceną netto modelu danego urządzenia,</w:t>
      </w:r>
    </w:p>
    <w:p w:rsidR="00FB0990" w:rsidRPr="00970505" w:rsidRDefault="004C4E44" w:rsidP="00ED3F8B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gdzie każdą cenę rozumie się jako cenę netto z cennika obowiązującego w momencie obliczania wskaźnika, podaną w ogólnych warunkach sprzedaży producenta lub importera, lub w przypadku ich braku, w innym obowiązującym dokumencie umownym.</w:t>
      </w:r>
    </w:p>
    <w:p w:rsidR="00FB0990" w:rsidRPr="00970505" w:rsidRDefault="004C4E44" w:rsidP="00ED3F8B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W przypadku gdy producent lub importer dysponuje w odniesieniu do rozpatrywanych części lub urządzeń kilkoma cennikami w zależności od różnych kategorii klientów będących dystrybutorami lub sprzedawcami, do obliczania wskaźnika wybiera się ceny z cennika, który dotyczy największej części obrotów producenta lub importera w odniesieniu do danego typu części lub urządzenia w ciągu ostatniego roku obrotowego, za który zamknięto księgi rachunkowe.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W przypadku nowych urządzeń i części wprowadzanych do obrotu, w przypadku istnienia kilku cenników, uwzględnia się ceny z cennika, w którym są one najniższe.</w:t>
      </w:r>
    </w:p>
    <w:p w:rsidR="00FB0990" w:rsidRPr="00970505" w:rsidRDefault="004C4E44" w:rsidP="00ED3F8B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W przypadku gdy niektóre z tych części są nierozdzielne lub gdy dana część jest wbudowana w moduł i tylko on jest dostępny, uwzględnia się łączną cenę części lub cenę modułu.</w:t>
      </w:r>
    </w:p>
    <w:p w:rsidR="00FB0990" w:rsidRPr="00970505" w:rsidRDefault="004C4E44" w:rsidP="00A74E8F">
      <w:pPr>
        <w:keepNext/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Kryterium nr 5 – kryterium szczegółowe dla danej kategorii urządzeń:</w:t>
      </w:r>
    </w:p>
    <w:p w:rsidR="004C4E44" w:rsidRDefault="004C4E44" w:rsidP="00ED3F8B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Kryterium to składa się z jednego lub kilku kryteriów cząstkowych, specyficznych dla danej kategorii urządzeń.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Jeśli jest to istotne dla danej kategorii urządzeń, kryterium 5 szczegółowe dla kategorii obejmuje kryterium cząstkowe dotyczące wyposażenia w licznik zużycia widoczny dla konsumenta, dla którego współczynnik wynosi co najmniej 1.</w:t>
      </w:r>
    </w:p>
    <w:p w:rsidR="00ED3F8B" w:rsidRPr="00970505" w:rsidRDefault="00ED3F8B" w:rsidP="00ED3F8B">
      <w:pPr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C4E44" w:rsidRDefault="004C4E44" w:rsidP="00A74E8F">
      <w:pPr>
        <w:keepNext/>
        <w:spacing w:after="0" w:line="240" w:lineRule="auto"/>
        <w:ind w:left="446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bCs/>
          <w:sz w:val="24"/>
          <w:szCs w:val="24"/>
          <w:rFonts w:ascii="Times New Roman" w:hAnsi="Times New Roman"/>
        </w:rPr>
        <w:t xml:space="preserve">Artykuł 6</w:t>
      </w:r>
    </w:p>
    <w:p w:rsidR="00234310" w:rsidRDefault="00234310" w:rsidP="00A74E8F">
      <w:pPr>
        <w:keepNext/>
        <w:spacing w:after="0" w:line="240" w:lineRule="auto"/>
        <w:ind w:left="446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ED3F8B" w:rsidRPr="00970505" w:rsidRDefault="00ED3F8B" w:rsidP="00A74E8F">
      <w:pPr>
        <w:keepNext/>
        <w:spacing w:after="0" w:line="240" w:lineRule="auto"/>
        <w:ind w:left="446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FB0990" w:rsidRPr="00970505" w:rsidRDefault="004C4E44" w:rsidP="00A74E8F">
      <w:pPr>
        <w:keepNext/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I. Wykaz części</w:t>
      </w:r>
    </w:p>
    <w:p w:rsidR="004C4E44" w:rsidRPr="00970505" w:rsidRDefault="004C4E44" w:rsidP="00A74E8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Definiuje się dwa wykazy części dla każdej kategorii urządzeń:</w:t>
      </w:r>
    </w:p>
    <w:p w:rsidR="00FB0990" w:rsidRDefault="00FB0990" w:rsidP="00A74E8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D3F8B" w:rsidRPr="00970505" w:rsidRDefault="00ED3F8B" w:rsidP="00A74E8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B0990" w:rsidRPr="00970505" w:rsidRDefault="004C4E44" w:rsidP="00ED3F8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– wykaz 2: wykaz maksymalnie trzech do pięciu części zamiennych (w zależności od danej kategorii urządzeń), które najczęściej ulegają uszkodzeniu lub awarii;</w:t>
      </w:r>
    </w:p>
    <w:p w:rsidR="004C4E44" w:rsidRPr="00970505" w:rsidRDefault="004C4E44" w:rsidP="00ED3F8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– wykaz 1: wykaz maksymalnie dziesięciu innych części zamiennych (w zależności od danej kategorii urządzeń), których dobry stan jest konieczny do działania urządzenia.</w:t>
      </w:r>
    </w:p>
    <w:p w:rsidR="00FB0990" w:rsidRPr="00970505" w:rsidRDefault="004C4E44" w:rsidP="00ED3F8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Wykazy te nie muszą obejmować wszystkich części składowych urządzenia.</w:t>
      </w:r>
    </w:p>
    <w:p w:rsidR="00FB0990" w:rsidRPr="00970505" w:rsidRDefault="004C4E44" w:rsidP="00A74E8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II.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Pojęcie etapu</w:t>
      </w:r>
    </w:p>
    <w:p w:rsidR="00FB0990" w:rsidRPr="00970505" w:rsidRDefault="004C4E44" w:rsidP="00ED3F8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Etap to operacja, która kończy się demontażem elementu lub części lub zmianą narzędzia.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Element może obejmować jedną lub kilka części.</w:t>
      </w:r>
    </w:p>
    <w:p w:rsidR="00FB0990" w:rsidRPr="00970505" w:rsidRDefault="004C4E44" w:rsidP="00ED3F8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Od tej ogólnej definicji dopuszcza się wyjątki uzasadnione względami praktycznymi lub bezpieczeństwem.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Wyjątki określa się w drodze rozporządzenia ministra właściwego do spraw środowiska i ministra właściwego do spraw gospodarki i finansów dla każdej kategorii urządzeń.</w:t>
      </w:r>
    </w:p>
    <w:p w:rsidR="00FB0990" w:rsidRPr="00970505" w:rsidRDefault="004C4E44" w:rsidP="00ED3F8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Mocowania lub łączenia definiuje się jako techniki montażu, mocowania lub uszczelniania.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Elementów mocowania lub łączenia nie uważa się za części.</w:t>
      </w:r>
    </w:p>
    <w:p w:rsidR="00FB0990" w:rsidRPr="00970505" w:rsidRDefault="004C4E44" w:rsidP="00A74E8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III.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Typy mocowań</w:t>
      </w:r>
    </w:p>
    <w:p w:rsidR="00FB0990" w:rsidRPr="00970505" w:rsidRDefault="004C4E44" w:rsidP="00ED3F8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Usuwalne i możliwe do ponownego wykorzystania: oryginalny system mocowań, który można w pełni usunąć, nie powodując uszkodzeń urządzenia i nie pozostawiając śladów, i można go ponownie wykorzystać.</w:t>
      </w:r>
    </w:p>
    <w:p w:rsidR="00FB0990" w:rsidRPr="00970505" w:rsidRDefault="004C4E44" w:rsidP="00ED3F8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Usuwalne i niemożliwe do ponownego wykorzystania: oryginalny system mocowań, który można w pełni usunąć, nie powodując uszkodzeń urządzenia i nie pozostawiając śladów, lecz nie można go ponownie wykorzystać.</w:t>
      </w:r>
    </w:p>
    <w:p w:rsidR="00FB0990" w:rsidRPr="00970505" w:rsidRDefault="004C4E44" w:rsidP="00ED3F8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Nieusuwalne i niemożliwe do ponownego wykorzystania: oryginalny system mocowań, którego nie można w pełni usunąć, nie powodując uszkodzeń urządzenia i nie pozostawiając śladów, i nie można go ponownie wykorzystać.</w:t>
      </w:r>
    </w:p>
    <w:p w:rsidR="00FB0990" w:rsidRPr="00970505" w:rsidRDefault="004C4E44" w:rsidP="00A74E8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IV.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Typy narzędzi</w:t>
      </w:r>
    </w:p>
    <w:p w:rsidR="004C4E44" w:rsidRPr="00970505" w:rsidRDefault="004C4E44" w:rsidP="00A74E8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Wykaz zwykłych narzędzi przedstawiono poniżej z podaniem norm referencyjnych:</w:t>
      </w:r>
    </w:p>
    <w:p w:rsidR="004C4E44" w:rsidRDefault="004C4E44" w:rsidP="00A74E8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D3F8B" w:rsidRPr="00970505" w:rsidRDefault="00ED3F8B" w:rsidP="00A74E8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30"/>
        <w:gridCol w:w="2726"/>
      </w:tblGrid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A74E8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4C4E44" w:rsidRPr="00970505" w:rsidRDefault="004C4E44" w:rsidP="00A74E8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Zwykłe narzędzia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A74E8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4C4E44" w:rsidRPr="00970505" w:rsidRDefault="004C4E44" w:rsidP="00A74E8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Oznaczenie</w:t>
            </w: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Wkrętak do śrub rowkowych, wkrętak krzyżakowy i wkrętak do śrub z gniazdem sześciokarbowym.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ISO 2380, ISO 8764, ISO 10664</w:t>
            </w: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Klucz do śrub z gniazdem sześciokarbowym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ISO 2936</w:t>
            </w: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Klucz kombinowany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ISO 7738</w:t>
            </w: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Szczypce uniwersalne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ISO 5746</w:t>
            </w: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Szczypce półokrągłe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ISO 5745</w:t>
            </w: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Szczypce do cięcia boczne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ISO 5749</w:t>
            </w: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Szczypce nastawne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ISO 8976</w:t>
            </w: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Szczypce zaciskowe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/</w:t>
            </w: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Szczypce uniwersalne do usuwania izolacji i zaciskania końcówek kablowych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/</w:t>
            </w: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Dźwignia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/</w:t>
            </w: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Pęseta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/</w:t>
            </w: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Młotek (z główką metalową)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ISO 15601</w:t>
            </w: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Nóż uniwersalny (obcinak) ze składanym ostrzem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/</w:t>
            </w: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Miernik uniwersalny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/</w:t>
            </w: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Woltomierz (miernik napięcia)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/</w:t>
            </w: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Lutownica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/</w:t>
            </w: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Pistolet do klejenia na gorąco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/</w:t>
            </w: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Szkło powiększające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/</w:t>
            </w:r>
          </w:p>
        </w:tc>
      </w:tr>
    </w:tbl>
    <w:p w:rsidR="00FB0990" w:rsidRPr="00970505" w:rsidRDefault="00FB0990" w:rsidP="00ED3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C4E44" w:rsidRPr="00970505" w:rsidRDefault="004C4E44" w:rsidP="00ED3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B0990" w:rsidRPr="00970505" w:rsidRDefault="004C4E44" w:rsidP="00ED3F8B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Narzędzia specjalne to narzędzia, które nie figurują w wykazie zwykłych narzędzi i nie są narzędziami zastrzeżonymi.</w:t>
      </w:r>
    </w:p>
    <w:p w:rsidR="00FB0990" w:rsidRPr="00970505" w:rsidRDefault="004C4E44" w:rsidP="00ED3F8B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Narzędzia zastrzeżone to narzędzia, których własność intelektualna należy do producenta lub określonego podmiotu.</w:t>
      </w:r>
    </w:p>
    <w:p w:rsidR="00FB0990" w:rsidRPr="00970505" w:rsidRDefault="004C4E44" w:rsidP="00ED3F8B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V. Licznik zużycia</w:t>
      </w:r>
    </w:p>
    <w:p w:rsidR="004C4E44" w:rsidRDefault="004C4E44" w:rsidP="00ED3F8B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Urządzenie, które rejestruje w sposób łączny zużycie urządzenia, podając liczbę jednostek.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Licznik zużycia może być bezpośrednio widoczny dla konsumenta przy każdym uruchomieniu urządzenia lub wymagać dobrowolnego działania użytkownika w celu sprawdzenia wartości wyświetlanej przez licznik zużycia.</w:t>
      </w:r>
    </w:p>
    <w:p w:rsidR="00ED3F8B" w:rsidRPr="00970505" w:rsidRDefault="00ED3F8B" w:rsidP="00ED3F8B">
      <w:pPr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C4E44" w:rsidRDefault="004C4E44" w:rsidP="00A74E8F">
      <w:pPr>
        <w:keepNext/>
        <w:spacing w:after="0" w:line="240" w:lineRule="auto"/>
        <w:ind w:left="446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bCs/>
          <w:sz w:val="24"/>
          <w:szCs w:val="24"/>
          <w:rFonts w:ascii="Times New Roman" w:hAnsi="Times New Roman"/>
        </w:rPr>
        <w:t xml:space="preserve">Artykuł 7</w:t>
      </w:r>
    </w:p>
    <w:p w:rsidR="00ED3F8B" w:rsidRPr="00970505" w:rsidRDefault="00ED3F8B" w:rsidP="00A74E8F">
      <w:pPr>
        <w:keepNext/>
        <w:spacing w:after="0" w:line="240" w:lineRule="auto"/>
        <w:ind w:left="446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FB0990" w:rsidRPr="00970505" w:rsidRDefault="00FB0990" w:rsidP="00A74E8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C4E44" w:rsidRDefault="004C4E44" w:rsidP="00ED3F8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Przepisy niniejszego rozporządzenia wchodzą w życie z dniem 1 stycznia 2021 r.</w:t>
      </w:r>
    </w:p>
    <w:p w:rsidR="00ED3F8B" w:rsidRPr="00970505" w:rsidRDefault="00ED3F8B" w:rsidP="00ED3F8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C4E44" w:rsidRPr="00970505" w:rsidRDefault="004C4E44" w:rsidP="00A74E8F">
      <w:pPr>
        <w:keepNext/>
        <w:spacing w:after="0" w:line="240" w:lineRule="auto"/>
        <w:ind w:left="446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bCs/>
          <w:sz w:val="24"/>
          <w:szCs w:val="24"/>
          <w:rFonts w:ascii="Times New Roman" w:hAnsi="Times New Roman"/>
        </w:rPr>
        <w:t xml:space="preserve">Artykuł 8</w:t>
      </w:r>
    </w:p>
    <w:p w:rsidR="00FB0990" w:rsidRDefault="00FB0990" w:rsidP="00A74E8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D3F8B" w:rsidRPr="00970505" w:rsidRDefault="00ED3F8B" w:rsidP="00A74E8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C4E44" w:rsidRPr="00970505" w:rsidRDefault="004C4E44" w:rsidP="00ED3F8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Niniejsze rozporządzenie zostanie opublikowane w Dzienniku Urzędowym Republiki Francuskiej.</w:t>
      </w:r>
    </w:p>
    <w:p w:rsidR="00FB0990" w:rsidRDefault="00FB0990" w:rsidP="00ED3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23DB7" w:rsidRPr="00970505" w:rsidRDefault="00F23DB7" w:rsidP="00ED3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C4E44" w:rsidRPr="00970505" w:rsidRDefault="004C4E44" w:rsidP="00ED3F8B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Sporządzono dnia 29 grudnia 2020 r.</w:t>
      </w:r>
    </w:p>
    <w:p w:rsidR="00FB0990" w:rsidRPr="00970505" w:rsidRDefault="00FB0990" w:rsidP="00ED3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B0990" w:rsidRPr="00970505" w:rsidRDefault="004C4E44" w:rsidP="00ED3F8B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Minister Transformacji Ekologicznej</w:t>
      </w:r>
    </w:p>
    <w:p w:rsidR="00FB0990" w:rsidRPr="00970505" w:rsidRDefault="004C4E44" w:rsidP="00ED3F8B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W imieniu i z upoważnienia Minister:</w:t>
      </w:r>
    </w:p>
    <w:p w:rsidR="00FB0990" w:rsidRPr="00970505" w:rsidRDefault="004C4E44" w:rsidP="00ED3F8B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Komisarz Generalny ds. Zrównoważonego Rozwoju</w:t>
      </w:r>
    </w:p>
    <w:p w:rsidR="004C4E44" w:rsidRPr="00970505" w:rsidRDefault="004C4E44" w:rsidP="00ED3F8B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T. Lesueur</w:t>
      </w:r>
    </w:p>
    <w:p w:rsidR="00FB0990" w:rsidRDefault="00FB0990" w:rsidP="00ED3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D3F8B" w:rsidRPr="00970505" w:rsidRDefault="00ED3F8B" w:rsidP="00ED3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B0990" w:rsidRPr="00970505" w:rsidRDefault="004C4E44" w:rsidP="00ED3F8B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Minister Gospodarki, Finansów i Odbudowy</w:t>
      </w:r>
    </w:p>
    <w:p w:rsidR="00FB0990" w:rsidRPr="00970505" w:rsidRDefault="004C4E44" w:rsidP="00ED3F8B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W imieniu Ministra i z jego upoważnienia:</w:t>
      </w:r>
    </w:p>
    <w:p w:rsidR="00FB0990" w:rsidRPr="00970505" w:rsidRDefault="004C4E44" w:rsidP="00ED3F8B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Dyrektor Generalna ds. Konkurencji Konsumentów i Zwalczania Oszustw</w:t>
      </w:r>
    </w:p>
    <w:p w:rsidR="004C4E44" w:rsidRPr="00970505" w:rsidRDefault="004C4E44" w:rsidP="00ED3F8B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V. Beaumeunier</w:t>
      </w:r>
    </w:p>
    <w:sectPr w:rsidR="004C4E44" w:rsidRPr="009705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2395" w:rsidRDefault="00AD2395" w:rsidP="00573A33">
      <w:pPr>
        <w:spacing w:after="0" w:line="240" w:lineRule="auto"/>
      </w:pPr>
      <w:r>
        <w:separator/>
      </w:r>
    </w:p>
  </w:endnote>
  <w:endnote w:type="continuationSeparator" w:id="0">
    <w:p w:rsidR="00AD2395" w:rsidRDefault="00AD2395" w:rsidP="0057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2395" w:rsidRDefault="00AD2395" w:rsidP="00573A33">
      <w:pPr>
        <w:spacing w:after="0" w:line="240" w:lineRule="auto"/>
      </w:pPr>
      <w:r>
        <w:separator/>
      </w:r>
    </w:p>
  </w:footnote>
  <w:footnote w:type="continuationSeparator" w:id="0">
    <w:p w:rsidR="00AD2395" w:rsidRDefault="00AD2395" w:rsidP="00573A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dirty" w:grammar="dirty"/>
  <w:defaultTabStop w:val="708"/>
  <w:hyphenationZone w:val="425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E44"/>
    <w:rsid w:val="00000018"/>
    <w:rsid w:val="000B7DA7"/>
    <w:rsid w:val="000F132F"/>
    <w:rsid w:val="00192BA8"/>
    <w:rsid w:val="00234310"/>
    <w:rsid w:val="003D645A"/>
    <w:rsid w:val="004C4E44"/>
    <w:rsid w:val="004D0FF9"/>
    <w:rsid w:val="00573A33"/>
    <w:rsid w:val="009318CB"/>
    <w:rsid w:val="00970505"/>
    <w:rsid w:val="00A74E8F"/>
    <w:rsid w:val="00AD2395"/>
    <w:rsid w:val="00E53DB4"/>
    <w:rsid w:val="00ED3F8B"/>
    <w:rsid w:val="00F23DB7"/>
    <w:rsid w:val="00FB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0BEA1E0"/>
  <w15:chartTrackingRefBased/>
  <w15:docId w15:val="{AA3F75DC-D5BD-40CC-AF8C-05B6F9D8C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3A3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3A33"/>
  </w:style>
  <w:style w:type="paragraph" w:styleId="Footer">
    <w:name w:val="footer"/>
    <w:basedOn w:val="Normal"/>
    <w:link w:val="FooterChar"/>
    <w:uiPriority w:val="99"/>
    <w:unhideWhenUsed/>
    <w:rsid w:val="00573A3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3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21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5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8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2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2206</Words>
  <Characters>12578</Characters>
  <Application>Microsoft Office Word</Application>
  <DocSecurity>0</DocSecurity>
  <Lines>104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14755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KARAGIANNI, Maria</cp:lastModifiedBy>
  <cp:revision>10</cp:revision>
  <dcterms:created xsi:type="dcterms:W3CDTF">2021-01-04T15:30:00Z</dcterms:created>
  <dcterms:modified xsi:type="dcterms:W3CDTF">2021-01-18T17:05:00Z</dcterms:modified>
</cp:coreProperties>
</file>