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79E79" w14:textId="129E3ABC" w:rsidR="006D5B21" w:rsidRDefault="006D5B21" w:rsidP="00B503A1">
      <w:pPr>
        <w:pStyle w:val="PlainText"/>
        <w:jc w:val="center"/>
        <w:rPr>
          <w:rFonts w:ascii="Courier New" w:hAnsi="Courier New"/>
          <w:sz w:val="20"/>
          <w:szCs w:val="20"/>
        </w:rPr>
      </w:pPr>
      <w:r>
        <w:rPr>
          <w:rFonts w:ascii="Courier New" w:hAnsi="Courier New"/>
          <w:sz w:val="20"/>
          <w:szCs w:val="20"/>
        </w:rPr>
        <w:t>1. ------IND- 2020 0581 E-- CS- ------ 20201001 --- --- PROJET</w:t>
      </w:r>
    </w:p>
    <w:p w14:paraId="0FA6D1DD" w14:textId="77777777" w:rsidR="001C6414" w:rsidRPr="006D5B21" w:rsidRDefault="001C6414" w:rsidP="00B503A1">
      <w:pPr>
        <w:jc w:val="both"/>
        <w:rPr>
          <w:rFonts w:ascii="Arial" w:hAnsi="Arial" w:cs="Arial"/>
          <w:bCs/>
          <w:caps/>
          <w:lang w:val="fi-FI"/>
        </w:rPr>
      </w:pPr>
    </w:p>
    <w:p w14:paraId="6BB81A77" w14:textId="06B15CC4" w:rsidR="009C4D64" w:rsidRPr="00DE35E8" w:rsidRDefault="009C4D64" w:rsidP="00B503A1">
      <w:pPr>
        <w:jc w:val="both"/>
        <w:rPr>
          <w:rFonts w:ascii="Arial" w:hAnsi="Arial" w:cs="Arial"/>
        </w:rPr>
      </w:pPr>
      <w:r>
        <w:rPr>
          <w:rFonts w:ascii="Arial" w:hAnsi="Arial"/>
        </w:rPr>
        <w:t>NÁVRH KRÁLOVSKÉHO VÝNOSU… / 2020 ze dne … … 2020, KTERÝM SE SCHVALUJE JAKOSTNÍ NORMA PRO OLIVOVÝ OLEJ A OLIVOVÝ OLEJ Z POKRUTIN.</w:t>
      </w:r>
    </w:p>
    <w:p w14:paraId="3FAFF845" w14:textId="30D28629" w:rsidR="004145C3" w:rsidRPr="00DE35E8" w:rsidRDefault="004145C3" w:rsidP="00B503A1">
      <w:pPr>
        <w:jc w:val="center"/>
        <w:rPr>
          <w:rFonts w:ascii="Arial" w:hAnsi="Arial" w:cs="Arial"/>
        </w:rPr>
      </w:pPr>
    </w:p>
    <w:p w14:paraId="3D265B70" w14:textId="77777777" w:rsidR="00090536" w:rsidRPr="00DE35E8" w:rsidRDefault="00090536" w:rsidP="00B503A1">
      <w:pPr>
        <w:spacing w:before="100" w:beforeAutospacing="1" w:after="100" w:afterAutospacing="1"/>
        <w:jc w:val="both"/>
        <w:rPr>
          <w:rFonts w:ascii="Arial" w:hAnsi="Arial" w:cs="Arial"/>
        </w:rPr>
      </w:pPr>
      <w:r>
        <w:rPr>
          <w:rFonts w:ascii="Arial" w:hAnsi="Arial"/>
        </w:rPr>
        <w:t>Španělsko je předním světovým výrobcem a vývozcem olivového oleje. Olivy a olivový olej tvoří ve Španělsku a na mezinárodních trzích odvětví s velkým společenským, ekonomickým a obchodním významem, přičemž poptávka po nich neustále roste. Cílem tohoto královského výnosu je aktualizovat právní předpisy tak, aby se přizpůsobily současné situaci v oboru a nejnovějším technologiím a aby podporovaly jakost olivového oleje jako jeden ze základních pilířů rozvoje tohoto odvětví.</w:t>
      </w:r>
    </w:p>
    <w:p w14:paraId="038EA252" w14:textId="1FF8948F" w:rsidR="00090536" w:rsidRPr="00DE35E8" w:rsidRDefault="00090536" w:rsidP="00B503A1">
      <w:pPr>
        <w:pStyle w:val="Pa6"/>
        <w:spacing w:before="100" w:beforeAutospacing="1" w:after="100" w:afterAutospacing="1" w:line="240" w:lineRule="auto"/>
        <w:jc w:val="both"/>
        <w:rPr>
          <w:rFonts w:cs="Arial"/>
        </w:rPr>
      </w:pPr>
      <w:r>
        <w:rPr>
          <w:rStyle w:val="Strong"/>
          <w:b w:val="0"/>
        </w:rPr>
        <w:t>Ve Španělsku</w:t>
      </w:r>
      <w:r>
        <w:rPr>
          <w:rStyle w:val="Strong"/>
        </w:rPr>
        <w:t xml:space="preserve"> </w:t>
      </w:r>
      <w:r>
        <w:t>se výnos 2484/1967 ze dne 21. září 1967, kterým se schvaluje znění španělského potravinového kodexu, vztahuje na olivové oleje v kapitole XVI oddílu 2. Tato oblast byla rozvinuta a specificky upravena královským výnosem 308/1983 ze dne 25. ledna 1983, kterým se schvalují technické a zdravotní předpisy pro jedlé rostlinné oleje.</w:t>
      </w:r>
    </w:p>
    <w:p w14:paraId="11F5D3F9" w14:textId="246CE137" w:rsidR="00090536" w:rsidRPr="00DE35E8" w:rsidRDefault="00090536" w:rsidP="00B503A1">
      <w:pPr>
        <w:spacing w:after="240"/>
        <w:jc w:val="both"/>
        <w:rPr>
          <w:rFonts w:ascii="Arial" w:hAnsi="Arial" w:cs="Arial"/>
        </w:rPr>
      </w:pPr>
      <w:r>
        <w:rPr>
          <w:rFonts w:ascii="Arial" w:hAnsi="Arial"/>
        </w:rPr>
        <w:t>V Evropské unii jsou právní předpisy o olivovém oleji a olivovém oleji z pokrutin harmonizovány nařízením Komise (EHS) č. 2568/91 ze dne 11. července 1991 o charakteristikách olivového oleje a olivového oleje z pokrutin a o příslušných metodách analýzy a nařízením Evropského parlamentu a Rady (EU) č. 1308/2013 ze dne 17. prosince 2013, kterým se stanoví společná organizace trhů se zemědělskými produkty a zrušují nařízení Rady (EHS) č. 922/72, (EHS) č. 234/79, (ES) č. 1037/2001 a (ES) č. 1234/2007.</w:t>
      </w:r>
      <w:r>
        <w:rPr>
          <w:rFonts w:ascii="Arial" w:hAnsi="Arial"/>
        </w:rPr>
        <w:cr/>
        <w:t xml:space="preserve"> Stanovují názvy, definice, fyzikálně-chemické a organoleptické vlastnosti a metody odběru vzorků a analýzy těchto produktů. </w:t>
      </w:r>
    </w:p>
    <w:p w14:paraId="1ED1A311" w14:textId="19B278A3" w:rsidR="00090536" w:rsidRPr="00DE35E8" w:rsidRDefault="00090536" w:rsidP="00B503A1">
      <w:pPr>
        <w:autoSpaceDE w:val="0"/>
        <w:autoSpaceDN w:val="0"/>
        <w:adjustRightInd w:val="0"/>
        <w:spacing w:before="100" w:beforeAutospacing="1" w:after="100" w:afterAutospacing="1"/>
        <w:jc w:val="both"/>
        <w:rPr>
          <w:rStyle w:val="Strong"/>
          <w:rFonts w:ascii="Arial" w:hAnsi="Arial" w:cs="Arial"/>
          <w:b w:val="0"/>
        </w:rPr>
      </w:pPr>
      <w:r>
        <w:rPr>
          <w:rFonts w:ascii="Arial" w:hAnsi="Arial"/>
        </w:rPr>
        <w:t xml:space="preserve">Prováděcí nařízení Komise (EU) č. 29/2012 ze dne 13. ledna 2012 o obchodních normách pro olivový olej rovněž rozvíjí obchodní normy a postup správní spolupráce mezi Komisí a členskými státy, pokud jde o kontrolní normy použitelné na tyto produkty. Toto nařízení zrušuje nařízení (ES) č. 1019/2002, které bylo ve Španělsku rozvinuto doplňujícími opatřeními prostřednictvím královského výnosu 1431/2003 </w:t>
      </w:r>
      <w:r>
        <w:rPr>
          <w:rStyle w:val="Strong"/>
          <w:rFonts w:ascii="Arial" w:hAnsi="Arial"/>
          <w:b w:val="0"/>
        </w:rPr>
        <w:t>ze dne 21. listopadu 2003, kterým se stanoví zvláštní obchodní opatření v odvětví olivového oleje a olivového oleje z pokrutin.</w:t>
      </w:r>
    </w:p>
    <w:p w14:paraId="6B699213" w14:textId="6ECAC799" w:rsidR="00090536" w:rsidRPr="00DE35E8" w:rsidRDefault="00090536" w:rsidP="00B503A1">
      <w:pPr>
        <w:pStyle w:val="Default"/>
        <w:spacing w:before="100" w:beforeAutospacing="1" w:after="100" w:afterAutospacing="1"/>
        <w:jc w:val="both"/>
        <w:rPr>
          <w:color w:val="auto"/>
        </w:rPr>
      </w:pPr>
      <w:r>
        <w:rPr>
          <w:color w:val="auto"/>
        </w:rPr>
        <w:t>Výše uvedený královský výnos 308/1983 ze dne 25. ledna 1983 byl opakovaně pozměňován, zatímco vývoj výrobních a spotřebních podmínek během těchto téměř čtyř desetiletí vyžaduje, aby byl nahrazen novým zvláštním opatřením pro olivový olej a olivový olej z pokrutin z důvodu jejich jedinečnosti a významu jejich výroby ve Španělsku. Mít vlastní normu, oddělenou od normy pro ostatní rostlinné oleje, pomůže lépe přizpůsobit systémy výroby a vlastní kontroly a normy balení a označování evropským právním předpisům a vývoji technologických kritérií a pokroku. Kromě toho, že dochází k aktualizaci obsahu normy, je restrukturalizována a zjednodušena, což odstraňuje zdravotní a hygienické aspekty, které jsou rozvíjeny a horizontálně harmonizovány v rámci příslušných právních předpisů Společenství.</w:t>
      </w:r>
    </w:p>
    <w:p w14:paraId="7A8064F9" w14:textId="1DD88362" w:rsidR="00090536" w:rsidRPr="00DE35E8" w:rsidRDefault="00090536" w:rsidP="00B503A1">
      <w:pPr>
        <w:pStyle w:val="Default"/>
        <w:jc w:val="both"/>
        <w:rPr>
          <w:color w:val="auto"/>
        </w:rPr>
      </w:pPr>
      <w:r>
        <w:rPr>
          <w:color w:val="auto"/>
        </w:rPr>
        <w:lastRenderedPageBreak/>
        <w:t>V důsledku toho by měl být zrušen obsah kapitoly XVI oddílu 2 španělského potravinového kodexu schváleného výnosem 2484/1967 ze dne 21. září 1967, zatímco výše uvedený královský výnos 308/1983 ze dne 25. ledna 1983 by měl být zrušen, pokud jde o olivový olej a olivový olej z pokrutin. Regulace v této oblasti byla mezitím z velké části rozptýlena, což je problém, který byl vyřešen kombinací ustanovení použitelných pro olivový olej a olivový olej z pokrutin, což vedlo k potřebě zrušit tyto normy, což bude mít příznivý účinek z hlediska právní jistoty.</w:t>
      </w:r>
    </w:p>
    <w:p w14:paraId="715A8282" w14:textId="77777777" w:rsidR="00842CEA" w:rsidRPr="00DE35E8" w:rsidRDefault="00842CEA" w:rsidP="00B503A1">
      <w:pPr>
        <w:pStyle w:val="Default"/>
        <w:jc w:val="both"/>
        <w:rPr>
          <w:color w:val="auto"/>
        </w:rPr>
      </w:pPr>
    </w:p>
    <w:p w14:paraId="2AAEAF13" w14:textId="1659977A" w:rsidR="00090536" w:rsidRPr="00DE35E8" w:rsidRDefault="00090536" w:rsidP="00B503A1">
      <w:pPr>
        <w:pStyle w:val="Default"/>
        <w:jc w:val="both"/>
        <w:rPr>
          <w:color w:val="auto"/>
        </w:rPr>
      </w:pPr>
      <w:r>
        <w:rPr>
          <w:color w:val="auto"/>
        </w:rPr>
        <w:t xml:space="preserve">Tato norma se vztahuje na všechny olivové oleje a olivové oleje z pokrutin vyrobené a uvedené na trh ve Španělsku, aniž je dotčeno dodržování ustanovení doložky Evropské unie o vzájemném uznávání. </w:t>
      </w:r>
    </w:p>
    <w:p w14:paraId="0A7F473E" w14:textId="77777777" w:rsidR="00090536" w:rsidRPr="00DE35E8" w:rsidRDefault="00090536" w:rsidP="00B503A1">
      <w:pPr>
        <w:pStyle w:val="Default"/>
        <w:jc w:val="both"/>
        <w:rPr>
          <w:color w:val="auto"/>
        </w:rPr>
      </w:pPr>
    </w:p>
    <w:p w14:paraId="55AE692A" w14:textId="6D3F8A27" w:rsidR="003A288D" w:rsidRPr="00DE35E8" w:rsidRDefault="00090536" w:rsidP="00B503A1">
      <w:pPr>
        <w:pStyle w:val="Default"/>
        <w:spacing w:after="240"/>
        <w:jc w:val="both"/>
        <w:rPr>
          <w:color w:val="auto"/>
        </w:rPr>
      </w:pPr>
      <w:r>
        <w:rPr>
          <w:color w:val="auto"/>
        </w:rPr>
        <w:t xml:space="preserve">S cílem zachovat a zvýšit hodnotu olivového oleje a olivového oleje z pokrutin a zabránit možným podvodným praktikám musí tato norma stanovit určité povinnosti pro provozovatele v tomto odvětví, pokud jde o zařízení, zakázané praktiky, průvodní doklady a sledovatelnost produktů. </w:t>
      </w:r>
      <w:r>
        <w:rPr>
          <w:color w:val="auto"/>
          <w:shd w:val="clear" w:color="auto" w:fill="FFFFFF"/>
        </w:rPr>
        <w:t xml:space="preserve">Tyto povinnosti a zákazy se musí vztahovat na všechny provozovatele, tedy fyzické nebo právnické osoby, které se účastní jakékoli fáze výroby a uvádění na trh olivového oleje a olivového oleje z pokrutin, což tudíž zahrnuje mimo jiné střediska pro nákup oliv, družstva a mobilní lisovny oleje. </w:t>
      </w:r>
    </w:p>
    <w:p w14:paraId="6681DADD" w14:textId="6743B4E5" w:rsidR="00090536" w:rsidRPr="00DE35E8" w:rsidRDefault="00936DB3" w:rsidP="00B503A1">
      <w:pPr>
        <w:pStyle w:val="Default"/>
        <w:spacing w:after="240"/>
        <w:jc w:val="both"/>
        <w:rPr>
          <w:color w:val="auto"/>
        </w:rPr>
      </w:pPr>
      <w:r>
        <w:rPr>
          <w:color w:val="auto"/>
        </w:rPr>
        <w:t>V rámci provádění článku 7</w:t>
      </w:r>
      <w:r>
        <w:rPr>
          <w:i/>
          <w:iCs/>
          <w:color w:val="auto"/>
        </w:rPr>
        <w:t>a</w:t>
      </w:r>
      <w:r>
        <w:rPr>
          <w:color w:val="auto"/>
        </w:rPr>
        <w:t xml:space="preserve"> nařízení (EHS) č. 2568/91 a aniž jsou dotčena ustanovení nařízení (ES) č. 178/2002, má být zaveden povinný systém sledovatelnosti normy, který umožňuje snadné vyhledání a správnou identifikaci produktů ve všech fázích výroby, přepravy a uvádění na trh olejů, na které se norma vztahuje.</w:t>
      </w:r>
    </w:p>
    <w:p w14:paraId="68207B54" w14:textId="584FF1FA" w:rsidR="005C2C0C" w:rsidRPr="00DE35E8" w:rsidRDefault="00661336" w:rsidP="00B503A1">
      <w:pPr>
        <w:autoSpaceDE w:val="0"/>
        <w:autoSpaceDN w:val="0"/>
        <w:adjustRightInd w:val="0"/>
        <w:spacing w:before="100" w:beforeAutospacing="1" w:after="100" w:afterAutospacing="1"/>
        <w:jc w:val="both"/>
        <w:rPr>
          <w:rFonts w:ascii="Arial" w:hAnsi="Arial" w:cs="Arial"/>
        </w:rPr>
      </w:pPr>
      <w:r>
        <w:rPr>
          <w:rFonts w:ascii="Arial" w:hAnsi="Arial"/>
        </w:rPr>
        <w:t>Systém sledovatelnosti pomůže podpořit jakost potravin, zlepšit důvěru spotřebitelů, odlišit produkty od podobných produktů, obnovit růst trhu a zlepšit jej a případně zajistit selektivní stažení produktů z oběhu.</w:t>
      </w:r>
    </w:p>
    <w:p w14:paraId="62E2BA1C" w14:textId="01475CC0" w:rsidR="005C2C0C" w:rsidRPr="00DE35E8" w:rsidRDefault="00265AB7"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Aby provozovatelé mohli snáze plnit své povinnosti podle normy a aby je příslušné orgány mohly kontrolovat, je třeba zavést počítačový systém, který kombinuje údaje o pohybu olivového oleje a olivového oleje z pokrutin. </w:t>
      </w:r>
    </w:p>
    <w:p w14:paraId="59D4EB37" w14:textId="593CC95A" w:rsidR="002C76F1" w:rsidRPr="00DE35E8" w:rsidRDefault="002C76F1" w:rsidP="00B503A1">
      <w:pPr>
        <w:autoSpaceDE w:val="0"/>
        <w:autoSpaceDN w:val="0"/>
        <w:adjustRightInd w:val="0"/>
        <w:spacing w:before="100" w:beforeAutospacing="1" w:after="100" w:afterAutospacing="1"/>
        <w:jc w:val="both"/>
        <w:rPr>
          <w:rFonts w:ascii="Arial" w:hAnsi="Arial" w:cs="Arial"/>
        </w:rPr>
      </w:pPr>
      <w:r>
        <w:rPr>
          <w:rFonts w:ascii="Arial" w:hAnsi="Arial"/>
        </w:rPr>
        <w:t>Na informace o potravinách a na tolerance pro kontrolu skutečného obsahu nádoby se vztahují ustanovení nařízení Evropského parlamentu a Rady (EU) č. 1169/2011 ze dne 25. října 2011 o poskytování informací o potravinách spotřebitelům, jakož i královský výnos 1801/2008 ze dne 3. listopadu 2008, kterým se stanoví pravidla pro jmenovitá množství balených výrobků a pro kontrolu jejich skutečného obsahu.</w:t>
      </w:r>
    </w:p>
    <w:p w14:paraId="0C057730" w14:textId="6B25078C" w:rsidR="005C2C0C" w:rsidRPr="00DE35E8" w:rsidRDefault="005C2C0C" w:rsidP="00B503A1">
      <w:pPr>
        <w:autoSpaceDE w:val="0"/>
        <w:autoSpaceDN w:val="0"/>
        <w:adjustRightInd w:val="0"/>
        <w:spacing w:before="100" w:beforeAutospacing="1" w:after="100" w:afterAutospacing="1"/>
        <w:jc w:val="both"/>
        <w:rPr>
          <w:rFonts w:ascii="Arial" w:hAnsi="Arial" w:cs="Arial"/>
        </w:rPr>
      </w:pPr>
      <w:r>
        <w:rPr>
          <w:rFonts w:ascii="Arial" w:hAnsi="Arial"/>
        </w:rPr>
        <w:t>V souladu s politikami Evropské unie v oblasti udržitelného rozvoje, zejména s těmi, které odkazují na omezení používání plastů, tento právní předpis omezuje používání tohoto materiálu u některých produktů, jejichž vzhled se může rovněž zhoršit u určitých forem obalů, jako jsou plastové obaly.</w:t>
      </w:r>
    </w:p>
    <w:p w14:paraId="5DE3D78E" w14:textId="63551FB9" w:rsidR="00E94757" w:rsidRPr="00DE35E8" w:rsidRDefault="00E94757"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Vzhledem k důležitosti spolupráce mezi orgány veřejné správy je vhodné stanovit zvláštní kontrolní plán pro ověření sledovatelnosti odvětví olivového oleje a olivového oleje z pokrutin, který mohou provádět orgány odpovědné za kontrolu jakosti a ochranu proti podvodům a který přijme Koordinační výbor pro jakost potravin. </w:t>
      </w:r>
    </w:p>
    <w:p w14:paraId="1AAAE751" w14:textId="1C165D2B" w:rsidR="00661336" w:rsidRPr="00DE35E8" w:rsidRDefault="00661336" w:rsidP="00B503A1">
      <w:pPr>
        <w:pStyle w:val="Default"/>
        <w:jc w:val="both"/>
        <w:rPr>
          <w:color w:val="auto"/>
        </w:rPr>
      </w:pPr>
      <w:r>
        <w:rPr>
          <w:color w:val="auto"/>
        </w:rPr>
        <w:lastRenderedPageBreak/>
        <w:t xml:space="preserve">Mezitím, za účelem zvýšení transparentnosti informací týkajících se kontrol shody olivových olejů vykonávaných příslušnými orgány, ministerstvo zemědělství, rybolovu a výživy vypracuje a zveřejní zprávu obsahující výsledky přijatých opatření. </w:t>
      </w:r>
    </w:p>
    <w:p w14:paraId="5C403AE3" w14:textId="77777777" w:rsidR="00090536" w:rsidRPr="00DE35E8" w:rsidRDefault="00090536" w:rsidP="00B503A1">
      <w:pPr>
        <w:jc w:val="both"/>
        <w:rPr>
          <w:rFonts w:ascii="Arial" w:hAnsi="Arial" w:cs="Arial"/>
        </w:rPr>
      </w:pPr>
    </w:p>
    <w:p w14:paraId="751C7C27" w14:textId="77777777" w:rsidR="00090536" w:rsidRPr="00DE35E8" w:rsidRDefault="00090536" w:rsidP="00B503A1">
      <w:pPr>
        <w:pStyle w:val="Pa6"/>
        <w:spacing w:before="100" w:beforeAutospacing="1" w:after="100" w:afterAutospacing="1" w:line="240" w:lineRule="auto"/>
        <w:jc w:val="both"/>
        <w:rPr>
          <w:rFonts w:cs="Arial"/>
        </w:rPr>
      </w:pPr>
      <w:r>
        <w:t>Tento královský výnos podléhá postupu stanovenému ve směrnici Evropského parlamentu a Rady (EU) 2015/1535 ze dne 9. září 2015 o postupu při poskytování informací v oblasti technických předpisů a předpisů pro služby informační společnosti a v královském výnosu č. 1337/1999 ze dne 31. července 1999, kterým se upravuje postupování informací v oblasti technických pravidel a předpisů a předpisů v souvislosti se službami informační společnosti.</w:t>
      </w:r>
    </w:p>
    <w:p w14:paraId="438C14E9" w14:textId="1E6F66D7" w:rsidR="001B6D0C" w:rsidRPr="00DE35E8" w:rsidRDefault="001B6D0C" w:rsidP="00B503A1">
      <w:pPr>
        <w:pStyle w:val="Default"/>
        <w:spacing w:after="240"/>
        <w:jc w:val="both"/>
        <w:rPr>
          <w:color w:val="auto"/>
        </w:rPr>
      </w:pPr>
      <w:r>
        <w:rPr>
          <w:color w:val="auto"/>
        </w:rPr>
        <w:t>Obsah tohoto královského výnosu splňuje zásady řádné regulace stanovené v článku 129 zákona 39/2015 ze dne 1. října 2015 o společném správním řízení ve veřejné správě. Na základě zásad nezbytnosti a účinnosti je tato norma odůvodněná vzhledem k potřebě zavést odpovídající řízení v odvětví olivového oleje a olivového oleje z pokrutin. Toho lze nejlépe dosáhnout zrušením královského výnosu 308/1983 ze dne 25. ledna 1983, kterým se schvalují technické a zdravotní předpisy pro jedlé rostlinné oleje, pokud jde o olivový olej a olivový olej z pokrutin, a schválením nové jakostní normy, která konkrétně reguluje olivový olej a olivový olej z pokrutin. Rovněž byly zohledněny zásady efektivity a proporcionality při stanovování právních předpisů a omezování administrativní zátěže pouze na tu, která je nezbytně nutná pro dosažení zamýšlených účelů. V souladu se zásadou transparentnosti zahrnovalo zpracování tohoto předpisu kromě procesu veřejných konzultací a podávání informací také konzultace s autonomními společenstvími, zastupitelskými subjekty dotčených odvětví a spotřebiteli a meziministerská komise pro správu potravin vydala povinnou zprávu. A konečně, královský výnos dodržuje zásadu právní jistoty, zachovává soudržnost se zbytkem použitelného právního systému a poskytuje provozovatelům nezbytná přechodná období k přizpůsobení se normě.</w:t>
      </w:r>
    </w:p>
    <w:p w14:paraId="3D00D5D8" w14:textId="1874EDBD" w:rsidR="00090536" w:rsidRPr="00DE35E8" w:rsidRDefault="00090536" w:rsidP="00B503A1">
      <w:pPr>
        <w:pStyle w:val="Pa6"/>
        <w:spacing w:before="100" w:beforeAutospacing="1" w:after="100" w:afterAutospacing="1" w:line="240" w:lineRule="auto"/>
        <w:jc w:val="both"/>
        <w:rPr>
          <w:rFonts w:cs="Arial"/>
        </w:rPr>
      </w:pPr>
      <w:r>
        <w:t xml:space="preserve">Tento královský výnos se přijímá v rámci ustanovení čl. 149 odst. 1 bodu 13 španělské ústavy, který státu uděluje výlučnou pravomoc nad základními pravidly a koordinací obecného hospodářského plánování. </w:t>
      </w:r>
    </w:p>
    <w:p w14:paraId="2B5EAD10" w14:textId="77777777" w:rsidR="00B776A3" w:rsidRPr="00DE35E8" w:rsidRDefault="00B776A3" w:rsidP="00B503A1">
      <w:pPr>
        <w:pStyle w:val="Default"/>
        <w:spacing w:after="240"/>
        <w:jc w:val="both"/>
        <w:rPr>
          <w:color w:val="auto"/>
        </w:rPr>
      </w:pPr>
      <w:r>
        <w:rPr>
          <w:color w:val="auto"/>
        </w:rPr>
        <w:t>Obdobně španělský zákon 28/2015 ze dne 30. července 2015 o ochraně jakosti potravin stanovuje právní základy pro ochranu jakosti potravin, přičemž určuje základní pravidla. Ve čtvrtém závěrečném ustanovení se vláda pověřuje schválením jakostní normy pro potravinářské produkty. Tyto normy umožňují, aby jakost produktů nabízených na trhu byla zaručena a zachována, a to za předpokladu, že jejich charakterizace a kategorizace umožní spotřebitelům srovnávat a vybírat produkty, které nejlépe vyhovují jejich chuti či potřebám.</w:t>
      </w:r>
    </w:p>
    <w:p w14:paraId="641893D6" w14:textId="010C894B" w:rsidR="00090536" w:rsidRPr="00DE35E8" w:rsidRDefault="00090536" w:rsidP="00B503A1">
      <w:pPr>
        <w:pStyle w:val="Default"/>
        <w:jc w:val="both"/>
        <w:rPr>
          <w:color w:val="auto"/>
        </w:rPr>
      </w:pPr>
      <w:r>
        <w:rPr>
          <w:color w:val="auto"/>
        </w:rPr>
        <w:t xml:space="preserve">Na základě výše uvedeného, na návrh ministra zemědělství, rybolovu a výživy a ministra průmyslu, obchodu a cestovního ruchu, ve shodě se Státní radou a po projednání Radou ministrů na jejím zasedání dne ... </w:t>
      </w:r>
    </w:p>
    <w:p w14:paraId="2CDA62AF" w14:textId="77777777" w:rsidR="00090536" w:rsidRPr="00DE35E8" w:rsidRDefault="00090536" w:rsidP="00B503A1">
      <w:pPr>
        <w:jc w:val="center"/>
        <w:rPr>
          <w:rFonts w:ascii="Arial" w:hAnsi="Arial" w:cs="Arial"/>
        </w:rPr>
      </w:pPr>
    </w:p>
    <w:p w14:paraId="2285A358" w14:textId="77777777" w:rsidR="004145C3" w:rsidRPr="00DE35E8" w:rsidRDefault="004145C3" w:rsidP="00B503A1">
      <w:pPr>
        <w:jc w:val="center"/>
        <w:rPr>
          <w:rFonts w:ascii="Arial" w:hAnsi="Arial" w:cs="Arial"/>
          <w:i/>
        </w:rPr>
      </w:pPr>
    </w:p>
    <w:p w14:paraId="0A5DBBC1" w14:textId="77777777" w:rsidR="00B3676C" w:rsidRPr="00DE35E8" w:rsidRDefault="00B3676C" w:rsidP="00B503A1">
      <w:pPr>
        <w:jc w:val="both"/>
        <w:rPr>
          <w:rFonts w:ascii="Arial" w:hAnsi="Arial" w:cs="Arial"/>
          <w:b/>
        </w:rPr>
      </w:pPr>
    </w:p>
    <w:p w14:paraId="39908C20" w14:textId="77777777" w:rsidR="00A87A15" w:rsidRPr="00DE35E8" w:rsidRDefault="00A87A15" w:rsidP="00B503A1">
      <w:pPr>
        <w:pStyle w:val="Default"/>
        <w:jc w:val="both"/>
        <w:rPr>
          <w:color w:val="auto"/>
        </w:rPr>
      </w:pPr>
    </w:p>
    <w:p w14:paraId="795C6DC1" w14:textId="77777777" w:rsidR="00A87A15" w:rsidRPr="00DE35E8" w:rsidRDefault="00A87A15" w:rsidP="00B503A1">
      <w:pPr>
        <w:pStyle w:val="Default"/>
        <w:jc w:val="both"/>
        <w:rPr>
          <w:color w:val="auto"/>
        </w:rPr>
      </w:pPr>
    </w:p>
    <w:p w14:paraId="1F6AF6E6" w14:textId="22397854" w:rsidR="009C4D64" w:rsidRPr="00DE35E8" w:rsidRDefault="009C4D64" w:rsidP="00B503A1">
      <w:pPr>
        <w:pStyle w:val="Default"/>
        <w:keepNext/>
        <w:jc w:val="center"/>
        <w:rPr>
          <w:b/>
          <w:color w:val="auto"/>
        </w:rPr>
      </w:pPr>
      <w:r>
        <w:rPr>
          <w:color w:val="auto"/>
        </w:rPr>
        <w:lastRenderedPageBreak/>
        <w:t>SE NAŘIZUJE NÁSLEDUJÍCÍ:</w:t>
      </w:r>
    </w:p>
    <w:p w14:paraId="658EA294" w14:textId="77777777" w:rsidR="009C4D64" w:rsidRPr="00DE35E8" w:rsidRDefault="009C4D64" w:rsidP="00B503A1">
      <w:pPr>
        <w:keepNext/>
        <w:rPr>
          <w:rFonts w:ascii="Arial" w:hAnsi="Arial" w:cs="Arial"/>
        </w:rPr>
      </w:pPr>
    </w:p>
    <w:p w14:paraId="16AC18E0" w14:textId="77777777" w:rsidR="009C4D64" w:rsidRPr="00DE35E8" w:rsidRDefault="009C4D64" w:rsidP="00B503A1">
      <w:pPr>
        <w:keepNext/>
        <w:jc w:val="center"/>
        <w:rPr>
          <w:rFonts w:ascii="Arial" w:hAnsi="Arial" w:cs="Arial"/>
          <w:b/>
        </w:rPr>
      </w:pPr>
    </w:p>
    <w:p w14:paraId="2A99D082" w14:textId="6E1EACD8" w:rsidR="009C4D64" w:rsidRPr="00DE35E8" w:rsidRDefault="009C4D64" w:rsidP="00B503A1">
      <w:pPr>
        <w:spacing w:before="100" w:beforeAutospacing="1" w:after="100" w:afterAutospacing="1"/>
        <w:jc w:val="both"/>
        <w:rPr>
          <w:rFonts w:ascii="Arial" w:hAnsi="Arial" w:cs="Arial"/>
          <w:i/>
        </w:rPr>
      </w:pPr>
      <w:r>
        <w:rPr>
          <w:rFonts w:ascii="Arial" w:hAnsi="Arial"/>
          <w:b/>
        </w:rPr>
        <w:t xml:space="preserve">Článek 1 </w:t>
      </w:r>
      <w:r>
        <w:rPr>
          <w:rFonts w:ascii="Arial" w:hAnsi="Arial"/>
          <w:i/>
        </w:rPr>
        <w:t>Účel</w:t>
      </w:r>
    </w:p>
    <w:p w14:paraId="18AA2374" w14:textId="79920B46" w:rsidR="004C7904" w:rsidRPr="00DE35E8" w:rsidRDefault="00A87A15" w:rsidP="00B503A1">
      <w:pPr>
        <w:spacing w:before="100" w:beforeAutospacing="1" w:after="100" w:afterAutospacing="1"/>
        <w:jc w:val="both"/>
        <w:rPr>
          <w:rFonts w:ascii="Arial" w:hAnsi="Arial" w:cs="Arial"/>
        </w:rPr>
      </w:pPr>
      <w:r>
        <w:rPr>
          <w:rFonts w:ascii="Arial" w:hAnsi="Arial"/>
        </w:rPr>
        <w:t xml:space="preserve">Účelem tohoto královského výnosu je stanovit jakostní normu pro olivový olej a olivový olej z pokrutin. </w:t>
      </w:r>
    </w:p>
    <w:p w14:paraId="72CC39D6" w14:textId="77777777" w:rsidR="009C4D64" w:rsidRPr="00DE35E8" w:rsidRDefault="009C4D64" w:rsidP="00B503A1">
      <w:pPr>
        <w:spacing w:before="360" w:after="360"/>
        <w:jc w:val="both"/>
        <w:rPr>
          <w:rFonts w:ascii="Arial" w:hAnsi="Arial" w:cs="Arial"/>
          <w:i/>
        </w:rPr>
      </w:pPr>
      <w:r>
        <w:rPr>
          <w:rFonts w:ascii="Arial" w:hAnsi="Arial"/>
          <w:b/>
        </w:rPr>
        <w:t>Článek 2</w:t>
      </w:r>
      <w:r>
        <w:rPr>
          <w:rFonts w:ascii="Arial" w:hAnsi="Arial"/>
          <w:b/>
          <w:i/>
        </w:rPr>
        <w:t xml:space="preserve"> </w:t>
      </w:r>
      <w:r>
        <w:rPr>
          <w:rFonts w:ascii="Arial" w:hAnsi="Arial"/>
          <w:i/>
        </w:rPr>
        <w:t>Oblast působnosti</w:t>
      </w:r>
    </w:p>
    <w:p w14:paraId="23E022F8" w14:textId="72729C9D" w:rsidR="004C7904" w:rsidRPr="00DE35E8" w:rsidRDefault="004C7904" w:rsidP="00B503A1">
      <w:pPr>
        <w:spacing w:before="100" w:beforeAutospacing="1" w:after="100" w:afterAutospacing="1"/>
        <w:jc w:val="both"/>
        <w:rPr>
          <w:rFonts w:ascii="Arial" w:hAnsi="Arial" w:cs="Arial"/>
        </w:rPr>
      </w:pPr>
      <w:r>
        <w:rPr>
          <w:rFonts w:ascii="Arial" w:hAnsi="Arial"/>
        </w:rPr>
        <w:t xml:space="preserve">Tato norma se vztahuje na všechny olivové oleje a olivové oleje z pokrutin vyrobené a uvedené na trh ve Španělsku, aniž je dotčeno dodržování ustanovení doložky o vzájemném uznávání. </w:t>
      </w:r>
    </w:p>
    <w:p w14:paraId="29C213E0" w14:textId="6716E66D" w:rsidR="004C7904" w:rsidRPr="00DE35E8" w:rsidRDefault="0057137A" w:rsidP="00B503A1">
      <w:pPr>
        <w:spacing w:before="100" w:beforeAutospacing="1" w:after="100" w:afterAutospacing="1"/>
        <w:jc w:val="both"/>
        <w:rPr>
          <w:rFonts w:ascii="Arial" w:hAnsi="Arial" w:cs="Arial"/>
        </w:rPr>
      </w:pPr>
      <w:r>
        <w:rPr>
          <w:rFonts w:ascii="Arial" w:hAnsi="Arial"/>
        </w:rPr>
        <w:t xml:space="preserve">Rovněž se vztahuje na provozovatele, kteří vyrábějí nebo prodávají olivový olej a olivový olej z pokrutin ve Španělsku. </w:t>
      </w:r>
    </w:p>
    <w:p w14:paraId="7A10942A" w14:textId="4AD932FE" w:rsidR="00AB71F9" w:rsidRPr="00DE35E8" w:rsidRDefault="00AB71F9" w:rsidP="00B503A1">
      <w:pPr>
        <w:spacing w:before="360" w:after="360"/>
        <w:jc w:val="both"/>
        <w:rPr>
          <w:rFonts w:ascii="Arial" w:hAnsi="Arial" w:cs="Arial"/>
          <w:b/>
          <w:i/>
        </w:rPr>
      </w:pPr>
      <w:r>
        <w:rPr>
          <w:rFonts w:ascii="Arial" w:hAnsi="Arial"/>
          <w:b/>
        </w:rPr>
        <w:t>Článek 3</w:t>
      </w:r>
      <w:r>
        <w:rPr>
          <w:rFonts w:ascii="Arial" w:hAnsi="Arial"/>
          <w:b/>
          <w:i/>
        </w:rPr>
        <w:t xml:space="preserve"> </w:t>
      </w:r>
      <w:r>
        <w:rPr>
          <w:rFonts w:ascii="Arial" w:hAnsi="Arial"/>
          <w:i/>
        </w:rPr>
        <w:t>Názvy produktů a definice</w:t>
      </w:r>
    </w:p>
    <w:p w14:paraId="04579D1D" w14:textId="12EFF7DC" w:rsidR="006938AC" w:rsidRPr="00B02982" w:rsidRDefault="009F53DF" w:rsidP="00B503A1">
      <w:pPr>
        <w:spacing w:before="360" w:after="360"/>
        <w:jc w:val="both"/>
        <w:rPr>
          <w:rFonts w:ascii="Arial" w:hAnsi="Arial" w:cs="Arial"/>
          <w:spacing w:val="-4"/>
        </w:rPr>
      </w:pPr>
      <w:r w:rsidRPr="00B02982">
        <w:rPr>
          <w:rFonts w:ascii="Arial" w:hAnsi="Arial"/>
          <w:spacing w:val="-4"/>
        </w:rPr>
        <w:t xml:space="preserve">1. Definice a názvy různých kategorií produktů, do nichž se olivový olej a olivový olej z pokrutin zařazují, jsou ty definice a názvy, které jsou stanoveny v části VIII přílohy VII nařízení Evropského parlamentu a Rady (EU) č. 1308/2013 ze dne 17. prosince 2013, kterým se stanoví společná organizace trhů se zemědělskými produkty a zrušují nařízení Rady (EHS) č. 922/72, (EHS) č. 234/79, (ES) č. 1037/2001 a (ES) č. 1234/2007, a v evropských právních předpisech, kterými se toto nařízení provádí nebo nahrazuje. </w:t>
      </w:r>
    </w:p>
    <w:p w14:paraId="4124E3B2" w14:textId="615BC4F3" w:rsidR="00C4361C" w:rsidRPr="00DE35E8" w:rsidRDefault="0057137A" w:rsidP="00B503A1">
      <w:pPr>
        <w:keepNext/>
        <w:spacing w:before="100" w:beforeAutospacing="1" w:after="100" w:afterAutospacing="1"/>
        <w:jc w:val="both"/>
        <w:rPr>
          <w:rFonts w:ascii="Arial" w:hAnsi="Arial" w:cs="Arial"/>
        </w:rPr>
      </w:pPr>
      <w:r>
        <w:rPr>
          <w:rFonts w:ascii="Arial" w:hAnsi="Arial"/>
        </w:rPr>
        <w:t>2. Pro účely tohoto královského výnosu se použijí následující definice:</w:t>
      </w:r>
    </w:p>
    <w:p w14:paraId="367FE3EC" w14:textId="28BA55D0" w:rsidR="00B56228" w:rsidRPr="00DE35E8" w:rsidRDefault="009F53DF" w:rsidP="00B503A1">
      <w:pPr>
        <w:spacing w:after="160"/>
        <w:jc w:val="both"/>
        <w:rPr>
          <w:rFonts w:ascii="Arial" w:hAnsi="Arial" w:cs="Arial"/>
        </w:rPr>
      </w:pPr>
      <w:r>
        <w:rPr>
          <w:rFonts w:ascii="Arial" w:hAnsi="Arial"/>
        </w:rPr>
        <w:t xml:space="preserve">a) Nákupním a/nebo přijímacím střediskem oliv se rozumí zařízení určené na nákup a/nebo příjem oliv od různých zemědělců, které mají být odeslány do lisovny oleje nebo do balicího zařízení bez jakéhokoliv zpracování dotčených plodů. </w:t>
      </w:r>
    </w:p>
    <w:p w14:paraId="015DB5A6" w14:textId="4A9CCC71"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b) Lisovnou oleje se rozumí mlýn nebo závod, kde se panenský olivový </w:t>
      </w:r>
      <w:hyperlink r:id="rId8" w:tooltip="Olivový olej" w:history="1">
        <w:r>
          <w:rPr>
            <w:rFonts w:ascii="Arial" w:hAnsi="Arial"/>
          </w:rPr>
          <w:t>olej</w:t>
        </w:r>
      </w:hyperlink>
      <w:r>
        <w:rPr>
          <w:rFonts w:ascii="Arial" w:hAnsi="Arial"/>
        </w:rPr>
        <w:t xml:space="preserve"> získává mechanickými nebo fyzickými prostředky, a to drcením </w:t>
      </w:r>
      <w:hyperlink r:id="rId9" w:tooltip="Oliva" w:history="1">
        <w:r>
          <w:rPr>
            <w:rFonts w:ascii="Arial" w:hAnsi="Arial"/>
          </w:rPr>
          <w:t>oliv</w:t>
        </w:r>
      </w:hyperlink>
      <w:r>
        <w:rPr>
          <w:rFonts w:ascii="Arial" w:hAnsi="Arial"/>
        </w:rPr>
        <w:t xml:space="preserve">, celých syrových plodů </w:t>
      </w:r>
      <w:r>
        <w:rPr>
          <w:rFonts w:ascii="Arial" w:hAnsi="Arial"/>
          <w:i/>
          <w:iCs/>
        </w:rPr>
        <w:t>Olea europaea L.</w:t>
      </w:r>
      <w:r>
        <w:rPr>
          <w:rFonts w:ascii="Arial" w:hAnsi="Arial"/>
        </w:rPr>
        <w:t xml:space="preserve"> </w:t>
      </w:r>
    </w:p>
    <w:p w14:paraId="6DF57DBF" w14:textId="0F735F15"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c) Mobilní lisovnou oleje se rozumí lisovna oleje, která je dopravována na místo k drcení oliv, celých syrových plodů </w:t>
      </w:r>
      <w:r>
        <w:rPr>
          <w:rFonts w:ascii="Arial" w:hAnsi="Arial"/>
          <w:i/>
          <w:iCs/>
        </w:rPr>
        <w:t>Olea europaea L.</w:t>
      </w:r>
      <w:r>
        <w:rPr>
          <w:rFonts w:ascii="Arial" w:hAnsi="Arial"/>
        </w:rPr>
        <w:t xml:space="preserve">, a to přímo na místě za účelem získání panenského olivového oleje. Mobilní lisovna oleje nemá konkrétní ani pevné fyzické umístění. </w:t>
      </w:r>
    </w:p>
    <w:p w14:paraId="56A37EFF" w14:textId="5E1B1792" w:rsidR="00FF501B" w:rsidRPr="00DE35E8" w:rsidRDefault="009F53DF" w:rsidP="00B503A1">
      <w:pPr>
        <w:spacing w:before="100" w:beforeAutospacing="1" w:after="100" w:afterAutospacing="1"/>
        <w:jc w:val="both"/>
        <w:rPr>
          <w:rFonts w:ascii="Arial" w:eastAsia="Arial Unicode MS" w:hAnsi="Arial" w:cs="Arial"/>
        </w:rPr>
      </w:pPr>
      <w:r>
        <w:rPr>
          <w:rFonts w:ascii="Arial" w:hAnsi="Arial"/>
        </w:rPr>
        <w:t>d) Balírnou oleje se rozumí závod nebo zařízení, kde jsou olivový olej a olivový olej z pokrutin baleny pro lidskou spotřebu.</w:t>
      </w:r>
    </w:p>
    <w:p w14:paraId="6BBED170" w14:textId="2DE4052A" w:rsidR="00565790" w:rsidRPr="00DE35E8" w:rsidRDefault="009F53DF" w:rsidP="00B503A1">
      <w:pPr>
        <w:spacing w:after="120"/>
        <w:jc w:val="both"/>
        <w:rPr>
          <w:rFonts w:ascii="Arial" w:eastAsia="Arial Unicode MS" w:hAnsi="Arial" w:cs="Arial"/>
        </w:rPr>
      </w:pPr>
      <w:r>
        <w:rPr>
          <w:rFonts w:ascii="Arial" w:hAnsi="Arial"/>
        </w:rPr>
        <w:t>d) Rafinérií se rozumí závod nebo zařízení, kde jsou olivový olej a olivový olej z pokrutin rafinovány pro lidskou spotřebu.</w:t>
      </w:r>
    </w:p>
    <w:p w14:paraId="58F6AC21" w14:textId="6150E025" w:rsidR="00565790" w:rsidRPr="00DE35E8" w:rsidRDefault="009F53DF" w:rsidP="00B503A1">
      <w:pPr>
        <w:spacing w:after="120"/>
        <w:jc w:val="both"/>
        <w:rPr>
          <w:rFonts w:ascii="Arial" w:eastAsia="Arial Unicode MS" w:hAnsi="Arial" w:cs="Arial"/>
        </w:rPr>
      </w:pPr>
      <w:r>
        <w:rPr>
          <w:rFonts w:ascii="Arial" w:hAnsi="Arial"/>
        </w:rPr>
        <w:lastRenderedPageBreak/>
        <w:t xml:space="preserve">f) Extraktorem pokrutin se rozumí závod nebo zařízení, které se používají k získávání syrových olivových olejů z pokrutin pomocí fyzikálních nebo chemických postupů. To zahrnuje zařízení, která se používají pouze k vysoušení mokrých mastných pokrutin z drcení celých syrových oliv. </w:t>
      </w:r>
    </w:p>
    <w:p w14:paraId="60ACFDD6" w14:textId="4E7B9285" w:rsidR="009F100F" w:rsidRPr="00DE35E8" w:rsidRDefault="000B53F1" w:rsidP="00B503A1">
      <w:pPr>
        <w:spacing w:after="160"/>
        <w:jc w:val="both"/>
        <w:rPr>
          <w:rFonts w:ascii="Arial" w:hAnsi="Arial" w:cs="Arial"/>
        </w:rPr>
      </w:pPr>
      <w:r>
        <w:rPr>
          <w:rFonts w:ascii="Arial" w:hAnsi="Arial"/>
        </w:rPr>
        <w:t xml:space="preserve">g) Skladem se rozumí zařízení, ve kterém se výrobky nezpracovávají, ale v němž se pouze dočasně skladují mezi ostatními provozovateli v odvětví. </w:t>
      </w:r>
    </w:p>
    <w:p w14:paraId="19E848F8" w14:textId="66411F98" w:rsidR="00ED3163" w:rsidRPr="00DE35E8" w:rsidRDefault="000B53F1" w:rsidP="00B503A1">
      <w:pPr>
        <w:spacing w:before="100" w:beforeAutospacing="1" w:after="100" w:afterAutospacing="1"/>
        <w:jc w:val="both"/>
        <w:rPr>
          <w:rFonts w:ascii="Arial" w:hAnsi="Arial" w:cs="Arial"/>
        </w:rPr>
      </w:pPr>
      <w:r>
        <w:rPr>
          <w:rFonts w:ascii="Arial" w:hAnsi="Arial"/>
        </w:rPr>
        <w:t xml:space="preserve">h) Provozovatelem se rozumí fyzická nebo právnická osoba, která vykonává svoji činnost v odvětví olivového oleje a olivového oleje z pokrutin a na trhu s nimi, včetně sběračů, kteří získávají svůj olej nebalený z lisovny oleje, a kterákoli osoba, která kupuje nebo získává nebalený panenský olivový olej z lisovny oleje. Pojem provozovatel se vztahuje také na balicí stroje na olivy, pokud pro zpracování na olej používají nezpracované celé syrové plody </w:t>
      </w:r>
      <w:r>
        <w:rPr>
          <w:rFonts w:ascii="Arial" w:hAnsi="Arial"/>
          <w:i/>
          <w:iCs/>
        </w:rPr>
        <w:t>Olea europaea L.</w:t>
      </w:r>
    </w:p>
    <w:p w14:paraId="091A10F9" w14:textId="1E8EB6C5" w:rsidR="009F100F" w:rsidRPr="00DE35E8" w:rsidRDefault="000B53F1" w:rsidP="00B503A1">
      <w:pPr>
        <w:spacing w:before="100" w:beforeAutospacing="1" w:after="100" w:afterAutospacing="1"/>
        <w:jc w:val="both"/>
        <w:rPr>
          <w:rFonts w:ascii="Arial" w:eastAsia="Arial Unicode MS" w:hAnsi="Arial" w:cs="Arial"/>
        </w:rPr>
      </w:pPr>
      <w:r>
        <w:rPr>
          <w:rFonts w:ascii="Arial" w:hAnsi="Arial"/>
        </w:rPr>
        <w:t xml:space="preserve">i) Provozovatelem bez zařízení se rozumí jakákoli fyzická nebo právnická osoba bez vlastních zařízení, která působí v odvětví olivového oleje a olivového oleje z pokrutin a na trhu s nimi. </w:t>
      </w:r>
    </w:p>
    <w:p w14:paraId="108CD9F9" w14:textId="0570D52D" w:rsidR="006060D4" w:rsidRPr="00DE35E8" w:rsidRDefault="000B53F1" w:rsidP="00B503A1">
      <w:pPr>
        <w:spacing w:before="100" w:beforeAutospacing="1" w:after="100" w:afterAutospacing="1"/>
        <w:jc w:val="both"/>
        <w:rPr>
          <w:rFonts w:ascii="Arial" w:eastAsia="Arial Unicode MS" w:hAnsi="Arial" w:cs="Arial"/>
        </w:rPr>
      </w:pPr>
      <w:r>
        <w:rPr>
          <w:rFonts w:ascii="Arial" w:hAnsi="Arial"/>
        </w:rPr>
        <w:t>j) Sběračem se rozumí fyzická nebo právnická osoba vlastnící zemědělský podnik pěstující olivy, která produkuje olivy (</w:t>
      </w:r>
      <w:r>
        <w:rPr>
          <w:rFonts w:ascii="Arial" w:hAnsi="Arial"/>
          <w:i/>
          <w:iCs/>
        </w:rPr>
        <w:t>Olea europaea L.</w:t>
      </w:r>
      <w:r>
        <w:rPr>
          <w:rFonts w:ascii="Arial" w:hAnsi="Arial"/>
        </w:rPr>
        <w:t xml:space="preserve">) pro zpracování na olivový olej získaný drcením vlastních oliv v lisovně oleje, která poskytuje služby drcení. </w:t>
      </w:r>
    </w:p>
    <w:p w14:paraId="3E2AF171" w14:textId="27467AC6" w:rsidR="009F100F" w:rsidRPr="00DE35E8" w:rsidRDefault="000B53F1" w:rsidP="00B503A1">
      <w:pPr>
        <w:spacing w:before="100" w:beforeAutospacing="1" w:after="100" w:afterAutospacing="1"/>
        <w:jc w:val="both"/>
        <w:rPr>
          <w:rFonts w:ascii="Arial" w:hAnsi="Arial" w:cs="Arial"/>
        </w:rPr>
      </w:pPr>
      <w:r>
        <w:rPr>
          <w:rFonts w:ascii="Arial" w:hAnsi="Arial"/>
        </w:rPr>
        <w:t xml:space="preserve">k) Procesem rafinace se rozumí jakýkoliv proces, kterému jsou podrobeny syrové olivové oleje a olivové oleje z pokrutin, kromě jejich fyzického získání a čištění praním, sedimentací, odstředěním nebo filtrací. </w:t>
      </w:r>
    </w:p>
    <w:p w14:paraId="112B1E4D" w14:textId="0B647C76" w:rsidR="007F72E8" w:rsidRPr="00DE35E8" w:rsidRDefault="000B53F1" w:rsidP="00B503A1">
      <w:pPr>
        <w:spacing w:before="100" w:beforeAutospacing="1" w:after="100" w:afterAutospacing="1"/>
        <w:jc w:val="both"/>
        <w:rPr>
          <w:rFonts w:ascii="Arial" w:hAnsi="Arial" w:cs="Arial"/>
        </w:rPr>
      </w:pPr>
      <w:r>
        <w:rPr>
          <w:rFonts w:ascii="Arial" w:hAnsi="Arial"/>
        </w:rPr>
        <w:t xml:space="preserve">l) Kontinuálním procesem se rozumí jakýkoli proces, který probíhá bez přestání a bez přechodu mezi operacemi, a to i v případě, že mezi fázemi, ve kterých může být hmota udržována po dobu až 12 hodin, a vždy v rámci stejného závodu, je používána násypka nebo přechodová nádrž. </w:t>
      </w:r>
    </w:p>
    <w:p w14:paraId="1D843538" w14:textId="29078067" w:rsidR="00254EF8" w:rsidRPr="00DE35E8" w:rsidRDefault="000B53F1" w:rsidP="00B503A1">
      <w:pPr>
        <w:spacing w:before="100" w:beforeAutospacing="1" w:after="100" w:afterAutospacing="1"/>
        <w:jc w:val="both"/>
        <w:rPr>
          <w:rFonts w:ascii="Arial" w:hAnsi="Arial" w:cs="Arial"/>
        </w:rPr>
      </w:pPr>
      <w:r>
        <w:rPr>
          <w:rFonts w:ascii="Arial" w:hAnsi="Arial"/>
        </w:rPr>
        <w:t>m) Konečným spotřebitelem se rozumí konečný spotřebitel potravinářského výrobku, který nebude potraviny používat v rámci žádné obchodní operace nebo činnosti v potravinářském odvětví.</w:t>
      </w:r>
    </w:p>
    <w:p w14:paraId="17AE3914" w14:textId="1FD5B87A" w:rsidR="00254EF8" w:rsidRPr="00DE35E8" w:rsidRDefault="000B53F1" w:rsidP="00B503A1">
      <w:pPr>
        <w:spacing w:before="100" w:beforeAutospacing="1" w:after="100" w:afterAutospacing="1"/>
        <w:jc w:val="both"/>
        <w:rPr>
          <w:rFonts w:ascii="Arial" w:hAnsi="Arial" w:cs="Arial"/>
          <w:bCs/>
        </w:rPr>
      </w:pPr>
      <w:r>
        <w:rPr>
          <w:rFonts w:ascii="Arial" w:hAnsi="Arial"/>
        </w:rPr>
        <w:t>n) Zařízeními společného stravování se rozumí jakékoli zařízení (včetně vozidla nebo pevného či mobilního stanoviště), jako jsou restaurace, jídelny, výuková střediska, nemocnice, společnosti připravující hotová jídla a další společenská centra, která se zabývají v rámci své obchodní činnosti přípravou jídla pro spotřebu konečným spotřebitelem.</w:t>
      </w:r>
      <w:r>
        <w:rPr>
          <w:rFonts w:ascii="Arial" w:hAnsi="Arial"/>
          <w:bCs/>
        </w:rPr>
        <w:t xml:space="preserve"> </w:t>
      </w:r>
    </w:p>
    <w:p w14:paraId="5C76E170" w14:textId="3C169CC6" w:rsidR="005135A8" w:rsidRPr="00DE35E8" w:rsidRDefault="00C132A2" w:rsidP="00B503A1">
      <w:pPr>
        <w:spacing w:before="100" w:beforeAutospacing="1" w:after="100" w:afterAutospacing="1"/>
        <w:jc w:val="both"/>
        <w:rPr>
          <w:rFonts w:ascii="Arial" w:hAnsi="Arial" w:cs="Arial"/>
        </w:rPr>
      </w:pPr>
      <w:r>
        <w:rPr>
          <w:rFonts w:ascii="Arial" w:hAnsi="Arial"/>
          <w:b/>
        </w:rPr>
        <w:t xml:space="preserve">Článek 4 </w:t>
      </w:r>
      <w:r>
        <w:rPr>
          <w:rFonts w:ascii="Arial" w:hAnsi="Arial"/>
          <w:i/>
        </w:rPr>
        <w:t>Povinnosti sledovatelnosti</w:t>
      </w:r>
      <w:r>
        <w:rPr>
          <w:rFonts w:ascii="Arial" w:hAnsi="Arial"/>
        </w:rPr>
        <w:t xml:space="preserve"> </w:t>
      </w:r>
    </w:p>
    <w:p w14:paraId="754C341E" w14:textId="1EE6A430" w:rsidR="000444CA" w:rsidRPr="00DE35E8" w:rsidRDefault="00936DB3" w:rsidP="00B503A1">
      <w:pPr>
        <w:spacing w:before="360" w:after="360"/>
        <w:jc w:val="both"/>
        <w:rPr>
          <w:rFonts w:ascii="Arial" w:hAnsi="Arial" w:cs="Arial"/>
        </w:rPr>
      </w:pPr>
      <w:r>
        <w:rPr>
          <w:rFonts w:ascii="Arial" w:hAnsi="Arial"/>
        </w:rPr>
        <w:t xml:space="preserve">1. Od provozovatelů, zejména těch, kteří mají zařízení, se vyžaduje, aby měli systém sledovatelnosti produktů, ať už se jejich produkty uchovávají kdekoliv, jak je uvedeno v příloze I. </w:t>
      </w:r>
    </w:p>
    <w:p w14:paraId="09C457D0" w14:textId="58FE3649" w:rsidR="00FF489D" w:rsidRPr="00DE35E8" w:rsidRDefault="00066154" w:rsidP="00B503A1">
      <w:pPr>
        <w:spacing w:before="360" w:after="360"/>
        <w:jc w:val="both"/>
        <w:rPr>
          <w:rFonts w:ascii="Arial" w:hAnsi="Arial" w:cs="Arial"/>
        </w:rPr>
      </w:pPr>
      <w:r>
        <w:rPr>
          <w:rFonts w:ascii="Arial" w:hAnsi="Arial"/>
        </w:rPr>
        <w:t xml:space="preserve">Všechny záznamy do systému musí být prováděny v reálném čase. </w:t>
      </w:r>
    </w:p>
    <w:p w14:paraId="092F6554" w14:textId="11358C79" w:rsidR="009867F2" w:rsidRPr="00DE35E8" w:rsidRDefault="009867F2" w:rsidP="00B503A1">
      <w:pPr>
        <w:spacing w:before="360" w:after="360"/>
        <w:jc w:val="both"/>
        <w:rPr>
          <w:rFonts w:ascii="Arial" w:hAnsi="Arial" w:cs="Arial"/>
          <w:highlight w:val="lightGray"/>
        </w:rPr>
      </w:pPr>
      <w:r>
        <w:rPr>
          <w:rFonts w:ascii="Arial" w:hAnsi="Arial"/>
        </w:rPr>
        <w:lastRenderedPageBreak/>
        <w:t xml:space="preserve">Bez ohledu na ustanovení předchozích odstavců a aniž je dotčen soulad s ustanoveními nařízení Evropského parlamentu a Rady (ES) č. 178/2002 ze dne 28. ledna 2002, kterým se stanoví obecné zásady a požadavky potravinového práva, zřizuje se Evropský úřad pro bezpečnost potravin a stanoví postupy týkající se bezpečnosti potravin, sklady určené výhradně pro skladování a distribuci olivového oleje a olivového oleje z pokrutin balených a připravovaných k prodeji konečnému spotřebiteli a maloobchodům nejsou povinny vést registry vnitřního pohybu stanovené v této normě. </w:t>
      </w:r>
    </w:p>
    <w:p w14:paraId="0A721231" w14:textId="24C51F98" w:rsidR="006822A7" w:rsidRPr="00DE35E8" w:rsidRDefault="000444CA" w:rsidP="00B503A1">
      <w:pPr>
        <w:spacing w:before="360" w:after="360"/>
        <w:jc w:val="both"/>
        <w:rPr>
          <w:rFonts w:ascii="Arial" w:hAnsi="Arial" w:cs="Arial"/>
        </w:rPr>
      </w:pPr>
      <w:r>
        <w:rPr>
          <w:rFonts w:ascii="Arial" w:hAnsi="Arial"/>
        </w:rPr>
        <w:t xml:space="preserve">2. Při přepravě olivového oleje a olivového oleje z pokrutin musí být veškeré zboží vždy doprovázeno dokladem, který specifikuje přinejmenším údaje uvedené v příloze II tohoto královského výnosu a který jednoznačně identifikuje název odpovídajícího produktu v souladu s platnými právními předpisy. </w:t>
      </w:r>
    </w:p>
    <w:p w14:paraId="783F92B4" w14:textId="77777777" w:rsidR="006A2822" w:rsidRPr="00DE35E8" w:rsidRDefault="00F3403A" w:rsidP="00B503A1">
      <w:pPr>
        <w:spacing w:before="360" w:after="360"/>
        <w:jc w:val="both"/>
        <w:rPr>
          <w:rFonts w:ascii="Arial" w:hAnsi="Arial" w:cs="Arial"/>
          <w:shd w:val="clear" w:color="auto" w:fill="FFFFFF"/>
        </w:rPr>
      </w:pPr>
      <w:r>
        <w:rPr>
          <w:rFonts w:ascii="Arial" w:hAnsi="Arial"/>
          <w:shd w:val="clear" w:color="auto" w:fill="FFFFFF"/>
        </w:rPr>
        <w:t>3. Při přepravě olivového oleje a olivového oleje z pokrutin jsou provozovatelé povinni před jejich odesláním předat údaje uvedené v odstavci 2 do specializovaného počítačového systému zřízenému ministerstvem zemědělství, rybolovu a výživy.</w:t>
      </w:r>
    </w:p>
    <w:p w14:paraId="3498F0AB" w14:textId="1D74F94A" w:rsidR="006A2822" w:rsidRPr="00DE35E8" w:rsidRDefault="006A2822" w:rsidP="00B503A1">
      <w:pPr>
        <w:spacing w:after="240"/>
        <w:jc w:val="both"/>
        <w:rPr>
          <w:rFonts w:ascii="Arial" w:hAnsi="Arial" w:cs="Arial"/>
        </w:rPr>
      </w:pPr>
      <w:r>
        <w:rPr>
          <w:rFonts w:ascii="Arial" w:hAnsi="Arial"/>
          <w:shd w:val="clear" w:color="auto" w:fill="FFFFFF"/>
        </w:rPr>
        <w:t>4.</w:t>
      </w:r>
      <w:r>
        <w:rPr>
          <w:rFonts w:ascii="Arial" w:hAnsi="Arial"/>
        </w:rPr>
        <w:t xml:space="preserve"> Provozovatelé uvedení v čl. 5 odst. 3 jsou povinni informovat počítačový systém uvedený v předchozím bodě o všech pohybech olivového oleje a olivového oleje z pokrutin mezi lisovnami oleje, rafinériemi a extraktory umístěnými v jejich zařízení.</w:t>
      </w:r>
    </w:p>
    <w:p w14:paraId="6A5599D9" w14:textId="69C289D6" w:rsidR="006A2822" w:rsidRPr="00DE35E8" w:rsidRDefault="006A2822" w:rsidP="00B503A1">
      <w:pPr>
        <w:spacing w:before="360" w:after="360"/>
        <w:jc w:val="both"/>
        <w:rPr>
          <w:rFonts w:ascii="Arial" w:hAnsi="Arial" w:cs="Arial"/>
          <w:shd w:val="clear" w:color="auto" w:fill="FFFFFF"/>
        </w:rPr>
      </w:pPr>
      <w:r>
        <w:rPr>
          <w:rFonts w:ascii="Arial" w:hAnsi="Arial"/>
        </w:rPr>
        <w:t>Titíž provozovatelé musí rovněž předložit příslušnému kontrolnímu orgánu výroční zprávu o registrech sledovatelnosti uvedených v odstavci 1, která obsahuje veškeré příchozí, odchozí a vnitřní pohyby pro každou kategorii oleje, kterou vyrábějí, skladují nebo uvádějí na trh.</w:t>
      </w:r>
    </w:p>
    <w:p w14:paraId="6FD8B5F6" w14:textId="5B2EAD7B" w:rsidR="00130EB2" w:rsidRPr="00DE35E8" w:rsidRDefault="00F1760D" w:rsidP="00B503A1">
      <w:pPr>
        <w:spacing w:before="360" w:after="360"/>
        <w:jc w:val="both"/>
        <w:rPr>
          <w:rFonts w:ascii="Arial" w:hAnsi="Arial" w:cs="Arial"/>
          <w:i/>
        </w:rPr>
      </w:pPr>
      <w:r>
        <w:rPr>
          <w:rFonts w:ascii="Arial" w:hAnsi="Arial"/>
          <w:b/>
        </w:rPr>
        <w:t xml:space="preserve">Článek 5 </w:t>
      </w:r>
      <w:r>
        <w:rPr>
          <w:rFonts w:ascii="Arial" w:hAnsi="Arial"/>
          <w:i/>
        </w:rPr>
        <w:t xml:space="preserve">Povinnosti specifické pro zařízení </w:t>
      </w:r>
    </w:p>
    <w:p w14:paraId="1C9356CC" w14:textId="14DEA81D" w:rsidR="00F275BA" w:rsidRPr="00DE35E8" w:rsidRDefault="00846C60" w:rsidP="00B503A1">
      <w:pPr>
        <w:spacing w:before="360" w:after="360"/>
        <w:jc w:val="both"/>
        <w:rPr>
          <w:rFonts w:ascii="Arial" w:hAnsi="Arial" w:cs="Arial"/>
        </w:rPr>
      </w:pPr>
      <w:r>
        <w:rPr>
          <w:rFonts w:ascii="Arial" w:hAnsi="Arial"/>
        </w:rPr>
        <w:t xml:space="preserve">1. Nově vytvořené lisovny oleje, rafinerie a extraktory oleje z pokrutin musí být umístěny samostatně. Za žádných okolností je nesmí spojovat žádná forma potrubí. </w:t>
      </w:r>
    </w:p>
    <w:p w14:paraId="46CEEEF6" w14:textId="76D68949" w:rsidR="000E44EE" w:rsidRPr="00DE35E8" w:rsidRDefault="00846C60" w:rsidP="00B503A1">
      <w:pPr>
        <w:spacing w:before="360" w:after="360"/>
        <w:jc w:val="both"/>
        <w:rPr>
          <w:rFonts w:ascii="Arial" w:hAnsi="Arial" w:cs="Arial"/>
        </w:rPr>
      </w:pPr>
      <w:r>
        <w:rPr>
          <w:rFonts w:ascii="Arial" w:hAnsi="Arial"/>
        </w:rPr>
        <w:t>2. Nově zřízené lisovny oleje, rafinerie a extraktory oleje z pokrutin musí být řádně izolovány nebo odděleny od jakéhokoli jiného závodu nebo provozovny cizí jejich specifické činnosti, zejména od těch, které se věnují výrobě, zpracování a balení živočišných nebo rostlinných tuků a průmyslových nebo minerálních tuků a olejů a jejich skladování ve volně loženém stavu.</w:t>
      </w:r>
    </w:p>
    <w:p w14:paraId="6A54E281" w14:textId="0A6B0DE1" w:rsidR="00240127" w:rsidRPr="00DE35E8" w:rsidRDefault="000E44EE" w:rsidP="00B503A1">
      <w:pPr>
        <w:spacing w:after="240"/>
        <w:jc w:val="both"/>
        <w:rPr>
          <w:rFonts w:ascii="Arial" w:hAnsi="Arial" w:cs="Arial"/>
        </w:rPr>
      </w:pPr>
      <w:r>
        <w:rPr>
          <w:rFonts w:ascii="Arial" w:hAnsi="Arial"/>
        </w:rPr>
        <w:t>3. Lisovny oleje, rafinerie a extraktory oleje z pokrutin, které již byly v provozu ke dni nabytí účinnosti tohoto právního předpisu, jsou osvobozeny od povinností uvedených v odstavcích 1 a 2 tohoto článku.</w:t>
      </w:r>
    </w:p>
    <w:p w14:paraId="5D720B27" w14:textId="1F5DACCF" w:rsidR="00B53FC3" w:rsidRPr="00DE35E8" w:rsidRDefault="00240127" w:rsidP="00B503A1">
      <w:pPr>
        <w:spacing w:after="240"/>
        <w:jc w:val="both"/>
        <w:rPr>
          <w:rFonts w:ascii="Arial" w:hAnsi="Arial" w:cs="Arial"/>
        </w:rPr>
      </w:pPr>
      <w:r>
        <w:rPr>
          <w:rFonts w:ascii="Arial" w:hAnsi="Arial"/>
        </w:rPr>
        <w:t>4. Lisovny oleje nebo jakékoli jiné zařízení, které vlastní provozovatel v tomto odvětví, musí klasifikovat veškerý odesílaný olej podle názvů stanovených evropskými právními předpisy.</w:t>
      </w:r>
    </w:p>
    <w:p w14:paraId="1DFBB585" w14:textId="67BB3B44" w:rsidR="00C211C4" w:rsidRPr="00DE35E8" w:rsidRDefault="00240127" w:rsidP="00B503A1">
      <w:pPr>
        <w:spacing w:after="240"/>
        <w:jc w:val="both"/>
        <w:rPr>
          <w:rFonts w:ascii="Arial" w:hAnsi="Arial" w:cs="Arial"/>
        </w:rPr>
      </w:pPr>
      <w:r>
        <w:rPr>
          <w:rFonts w:ascii="Arial" w:hAnsi="Arial"/>
        </w:rPr>
        <w:lastRenderedPageBreak/>
        <w:t>5. V balírnách oleje musí být všechna potrubí a zásobovací nádrže pro oleje, na které se vztahuje tento právní předpis, udržovány ve vhodném stavu, aby se zabránilo křížové kontaminaci.</w:t>
      </w:r>
    </w:p>
    <w:p w14:paraId="7BAD271D" w14:textId="34E0E7A0" w:rsidR="00B73E9D" w:rsidRPr="00DE35E8" w:rsidRDefault="00B73E9D" w:rsidP="00B503A1">
      <w:pPr>
        <w:spacing w:before="360" w:after="360"/>
        <w:jc w:val="both"/>
        <w:rPr>
          <w:rFonts w:ascii="Arial" w:hAnsi="Arial" w:cs="Arial"/>
          <w:i/>
        </w:rPr>
      </w:pPr>
      <w:r>
        <w:rPr>
          <w:rFonts w:ascii="Arial" w:hAnsi="Arial"/>
          <w:b/>
          <w:bCs/>
        </w:rPr>
        <w:t>Článek 6</w:t>
      </w:r>
      <w:r>
        <w:rPr>
          <w:rFonts w:ascii="Arial" w:hAnsi="Arial"/>
          <w:i/>
        </w:rPr>
        <w:t xml:space="preserve"> Povinnosti specifické pro oleje</w:t>
      </w:r>
    </w:p>
    <w:p w14:paraId="10B470BB" w14:textId="2765D6EF" w:rsidR="0057137A" w:rsidRPr="00DE35E8" w:rsidRDefault="00C76FA9" w:rsidP="00B503A1">
      <w:pPr>
        <w:spacing w:before="100" w:beforeAutospacing="1" w:after="100" w:afterAutospacing="1"/>
        <w:jc w:val="both"/>
        <w:rPr>
          <w:rFonts w:ascii="Arial" w:hAnsi="Arial" w:cs="Arial"/>
        </w:rPr>
      </w:pPr>
      <w:r>
        <w:rPr>
          <w:rFonts w:ascii="Arial" w:hAnsi="Arial"/>
        </w:rPr>
        <w:t xml:space="preserve">1. Olivový olej a olivový olej z pokrutin, na které se toto opatření vztahuje, musí splňovat jak fyzikálně-chemické, tak organoleptické vlastnosti stanovené v normách Evropské unie, které upravují tuto záležitost, a vlastnosti stanovené v příloze III. </w:t>
      </w:r>
    </w:p>
    <w:p w14:paraId="5EEE7451" w14:textId="72DA2172" w:rsidR="00475590" w:rsidRPr="00DE35E8" w:rsidRDefault="0057137A" w:rsidP="00B503A1">
      <w:pPr>
        <w:spacing w:before="100" w:beforeAutospacing="1" w:after="100" w:afterAutospacing="1"/>
        <w:jc w:val="both"/>
        <w:rPr>
          <w:rFonts w:ascii="Arial" w:hAnsi="Arial" w:cs="Arial"/>
          <w:iCs/>
        </w:rPr>
      </w:pPr>
      <w:r>
        <w:rPr>
          <w:rFonts w:ascii="Arial" w:hAnsi="Arial"/>
        </w:rPr>
        <w:t>Tyto produkty mohou pocházet pouze z celých plodů olivovníku (</w:t>
      </w:r>
      <w:r>
        <w:rPr>
          <w:rFonts w:ascii="Arial" w:hAnsi="Arial"/>
          <w:i/>
          <w:iCs/>
        </w:rPr>
        <w:t>Olea europaea L.</w:t>
      </w:r>
      <w:r>
        <w:rPr>
          <w:rFonts w:ascii="Arial" w:hAnsi="Arial"/>
        </w:rPr>
        <w:t>), které nebyly podrobeny žádnému zpracování, s výjimkou čištění nebo nealkalického praní oliv.</w:t>
      </w:r>
      <w:r>
        <w:rPr>
          <w:rFonts w:ascii="Arial" w:hAnsi="Arial"/>
          <w:iCs/>
        </w:rPr>
        <w:t xml:space="preserve"> </w:t>
      </w:r>
    </w:p>
    <w:p w14:paraId="1F3A677C" w14:textId="6040F6E4" w:rsidR="00BE4276" w:rsidRPr="00DE35E8" w:rsidRDefault="0057137A" w:rsidP="00B503A1">
      <w:pPr>
        <w:spacing w:before="360" w:beforeAutospacing="1" w:after="360" w:afterAutospacing="1"/>
        <w:jc w:val="both"/>
        <w:rPr>
          <w:rFonts w:ascii="Arial" w:hAnsi="Arial" w:cs="Arial"/>
        </w:rPr>
      </w:pPr>
      <w:r>
        <w:rPr>
          <w:rFonts w:ascii="Arial" w:hAnsi="Arial"/>
        </w:rPr>
        <w:t xml:space="preserve">2. Vadný („lampantový“) olivový olej nízké jakosti musí být před potravinářským použitím rafinován. </w:t>
      </w:r>
    </w:p>
    <w:p w14:paraId="097A7FE6" w14:textId="088927FF" w:rsidR="003335F1" w:rsidRPr="00DE35E8" w:rsidRDefault="008C2F75" w:rsidP="00B503A1">
      <w:pPr>
        <w:jc w:val="both"/>
        <w:rPr>
          <w:rFonts w:ascii="Arial" w:hAnsi="Arial" w:cs="Arial"/>
        </w:rPr>
      </w:pPr>
      <w:r>
        <w:rPr>
          <w:rFonts w:ascii="Arial" w:hAnsi="Arial"/>
        </w:rPr>
        <w:t xml:space="preserve">3. Olivový olej a olivový olej z pokrutin musí být vždy chráněny před nepříznivými podmínkami prostředí, které mohou změnit jejich fyzikálně-chemické a organoleptické vlastnosti, a proto musí být chráněny před světlem a teplem během skladování, přepravy a uvádění na trh. </w:t>
      </w:r>
    </w:p>
    <w:p w14:paraId="2782ECB5" w14:textId="77F209DE" w:rsidR="003335F1" w:rsidRPr="00DE35E8" w:rsidRDefault="003335F1" w:rsidP="00B503A1">
      <w:pPr>
        <w:spacing w:before="360" w:after="360"/>
        <w:jc w:val="both"/>
        <w:rPr>
          <w:rFonts w:ascii="Arial" w:hAnsi="Arial" w:cs="Arial"/>
          <w:i/>
        </w:rPr>
      </w:pPr>
      <w:r>
        <w:rPr>
          <w:rFonts w:ascii="Arial" w:hAnsi="Arial"/>
          <w:b/>
          <w:bCs/>
        </w:rPr>
        <w:t>Článek 7</w:t>
      </w:r>
      <w:r>
        <w:rPr>
          <w:rFonts w:ascii="Arial" w:hAnsi="Arial"/>
          <w:i/>
        </w:rPr>
        <w:t xml:space="preserve"> Povinnosti specifické pro balení</w:t>
      </w:r>
    </w:p>
    <w:p w14:paraId="2C06BA6A" w14:textId="30A0B825" w:rsidR="00726853" w:rsidRPr="00DE35E8" w:rsidRDefault="008C2F75" w:rsidP="00B503A1">
      <w:pPr>
        <w:spacing w:before="100" w:beforeAutospacing="1" w:after="100" w:afterAutospacing="1"/>
        <w:jc w:val="both"/>
        <w:rPr>
          <w:rFonts w:ascii="Arial" w:hAnsi="Arial" w:cs="Arial"/>
        </w:rPr>
      </w:pPr>
      <w:r>
        <w:rPr>
          <w:rFonts w:ascii="Arial" w:hAnsi="Arial"/>
        </w:rPr>
        <w:t xml:space="preserve">1. Nádoby, ve kterých mají být oleje uvedeny na trh, musí být čisté a musí být vyrobeny z materiálů bezpečných pro potraviny, které chrání oleje před oxidačními procesy v souladu s platnými právními předpisy o zdraví a bezpečnosti. Nesmí být schopny změnit vlastnosti obsahu, přenášet neobvyklé chuti nebo pachy ani způsobit změny produktu a musí být vždy chráněny v souladu s čl. 6 odst. 3. </w:t>
      </w:r>
    </w:p>
    <w:p w14:paraId="6BC4FA7E" w14:textId="29C05CFB" w:rsidR="003A3F5F" w:rsidRPr="00DE35E8" w:rsidRDefault="008C2F75" w:rsidP="00B503A1">
      <w:pPr>
        <w:spacing w:before="100" w:beforeAutospacing="1" w:after="100" w:afterAutospacing="1"/>
        <w:jc w:val="both"/>
        <w:rPr>
          <w:rFonts w:ascii="Arial" w:hAnsi="Arial" w:cs="Arial"/>
        </w:rPr>
      </w:pPr>
      <w:r>
        <w:rPr>
          <w:rFonts w:ascii="Arial" w:hAnsi="Arial"/>
        </w:rPr>
        <w:t xml:space="preserve">2. Nádoby na olivový olej a olivový olej z pokrutin určené k prodeji nebo dodání konečnému spotřebiteli, včetně nádob dodávaných lisovnami oleje jejich pěstitelům pro jejich spotřebu, jakož i nádoby dodávané do zařízení společného stravování, musí mít jednorázové uzavírací zařízení a musí být označeny v souladu s platnými právními předpisy. </w:t>
      </w:r>
    </w:p>
    <w:p w14:paraId="0A2AD994" w14:textId="02AC4A07" w:rsidR="0035653C" w:rsidRPr="00DE35E8" w:rsidRDefault="00BA5254" w:rsidP="00B503A1">
      <w:pPr>
        <w:spacing w:after="240"/>
        <w:jc w:val="both"/>
        <w:rPr>
          <w:rFonts w:ascii="Arial" w:hAnsi="Arial" w:cs="Arial"/>
        </w:rPr>
      </w:pPr>
      <w:r>
        <w:rPr>
          <w:rFonts w:ascii="Arial" w:hAnsi="Arial"/>
        </w:rPr>
        <w:t>3. Nádoby určené k prodeji konečnému spotřebiteli, včetně nádob dodávaných lisovnami oleje jejich pěstitelům pro jejich spotřebu, musí mít maximální kapacitu pět litrů. Oleje dodávané do zařízení společného stravování lze prodávat také v nádobách o objemu 10, 20, 25 nebo 50 litrů.</w:t>
      </w:r>
    </w:p>
    <w:p w14:paraId="55C9795C" w14:textId="20FCBB59" w:rsidR="00B56228" w:rsidRPr="00DE35E8" w:rsidRDefault="00BA5254" w:rsidP="00B503A1">
      <w:pPr>
        <w:pStyle w:val="Default"/>
        <w:spacing w:before="160"/>
        <w:jc w:val="both"/>
        <w:rPr>
          <w:color w:val="auto"/>
        </w:rPr>
      </w:pPr>
      <w:r>
        <w:rPr>
          <w:color w:val="auto"/>
        </w:rPr>
        <w:t>4. Nádoby, které jsou poskytovány konečným spotřebitelům prostřednictvím zařízení společného stravování, musí mít systém ochrany, který zabrání v opětovném použití nádob, jakmile se vyprázdní jejich původní obsah.</w:t>
      </w:r>
    </w:p>
    <w:p w14:paraId="46F158CC" w14:textId="77777777" w:rsidR="00BA5254" w:rsidRPr="00DE35E8" w:rsidRDefault="00BA5254" w:rsidP="00B503A1">
      <w:pPr>
        <w:pStyle w:val="Default"/>
        <w:spacing w:before="160"/>
        <w:ind w:firstLine="40"/>
        <w:jc w:val="both"/>
        <w:rPr>
          <w:color w:val="auto"/>
        </w:rPr>
      </w:pPr>
    </w:p>
    <w:p w14:paraId="4F00C5D9" w14:textId="1AAC1582" w:rsidR="00EB1B12" w:rsidRPr="00DE35E8" w:rsidRDefault="00717999" w:rsidP="00786D5B">
      <w:pPr>
        <w:pStyle w:val="Default"/>
        <w:keepNext/>
        <w:keepLines/>
        <w:spacing w:before="160"/>
        <w:jc w:val="both"/>
        <w:rPr>
          <w:i/>
          <w:color w:val="auto"/>
        </w:rPr>
      </w:pPr>
      <w:r>
        <w:rPr>
          <w:b/>
          <w:iCs/>
          <w:color w:val="auto"/>
        </w:rPr>
        <w:lastRenderedPageBreak/>
        <w:t>Článek 8</w:t>
      </w:r>
      <w:r>
        <w:rPr>
          <w:b/>
          <w:i/>
          <w:color w:val="auto"/>
        </w:rPr>
        <w:t xml:space="preserve"> </w:t>
      </w:r>
      <w:r>
        <w:rPr>
          <w:i/>
          <w:color w:val="auto"/>
        </w:rPr>
        <w:t>Zakázané praktiky</w:t>
      </w:r>
    </w:p>
    <w:p w14:paraId="1F06941B" w14:textId="56C1DD57" w:rsidR="008C2F75" w:rsidRPr="00DE35E8" w:rsidRDefault="00AF1F55" w:rsidP="00B503A1">
      <w:pPr>
        <w:keepNext/>
        <w:spacing w:before="100" w:beforeAutospacing="1" w:after="100" w:afterAutospacing="1"/>
        <w:jc w:val="both"/>
        <w:rPr>
          <w:rFonts w:ascii="Arial" w:hAnsi="Arial" w:cs="Arial"/>
        </w:rPr>
      </w:pPr>
      <w:r>
        <w:rPr>
          <w:rFonts w:ascii="Arial" w:hAnsi="Arial"/>
        </w:rPr>
        <w:t>1. Zakazuje se:</w:t>
      </w:r>
    </w:p>
    <w:p w14:paraId="4ACC8937" w14:textId="15632DE9" w:rsidR="00EB1B12" w:rsidRPr="00DE35E8" w:rsidRDefault="008C2F75" w:rsidP="00B503A1">
      <w:pPr>
        <w:spacing w:before="100" w:beforeAutospacing="1" w:after="100" w:afterAutospacing="1"/>
        <w:jc w:val="both"/>
        <w:rPr>
          <w:rFonts w:ascii="Arial" w:hAnsi="Arial" w:cs="Arial"/>
        </w:rPr>
      </w:pPr>
      <w:r>
        <w:rPr>
          <w:rFonts w:ascii="Arial" w:hAnsi="Arial"/>
        </w:rPr>
        <w:t xml:space="preserve">a) Výroba směsí olivového oleje a olivového oleje z pokrutin s jinými oleji nebo tuky rostlinného původu pro uvedení na vnitrostátní trh. Tyto směsi se nesmějí prodávat pod žádným názvem potraviny uvedeným v nařízení Evropského parlamentu a Rady (EU) č. 1169/2011 ze dne 25. října 2011 o poskytování informací o potravinách spotřebitelům. </w:t>
      </w:r>
    </w:p>
    <w:p w14:paraId="24AAF4C2" w14:textId="695BA2C5" w:rsidR="00AF1F55" w:rsidRPr="00DE35E8" w:rsidRDefault="008C2F75" w:rsidP="00B503A1">
      <w:pPr>
        <w:jc w:val="both"/>
        <w:rPr>
          <w:rFonts w:ascii="Arial" w:hAnsi="Arial" w:cs="Arial"/>
        </w:rPr>
      </w:pPr>
      <w:r>
        <w:rPr>
          <w:rFonts w:ascii="Arial" w:hAnsi="Arial"/>
        </w:rPr>
        <w:t>b) Používání výrazu „panenský“ nebo „extra panenský“ při označování potravinářských výrobků s olejovitým vzhledem, které lze zaměnit s olivovými oleji podle této normy, jako jsou oleje, koření, dresinky a podobné výrobky. Tento zákaz nemá vliv na seznam přísad u těchto výrobků.</w:t>
      </w:r>
    </w:p>
    <w:p w14:paraId="45D15D36" w14:textId="77777777" w:rsidR="009C125E" w:rsidRPr="00DE35E8" w:rsidRDefault="009C125E" w:rsidP="00B503A1">
      <w:pPr>
        <w:jc w:val="both"/>
        <w:rPr>
          <w:rFonts w:ascii="Arial" w:hAnsi="Arial" w:cs="Arial"/>
        </w:rPr>
      </w:pPr>
    </w:p>
    <w:p w14:paraId="14A04D6D" w14:textId="4482FBC4" w:rsidR="009C125E" w:rsidRPr="00DE35E8" w:rsidDel="00B56228" w:rsidRDefault="008C2F75" w:rsidP="00B503A1">
      <w:pPr>
        <w:jc w:val="both"/>
        <w:rPr>
          <w:rFonts w:ascii="Arial" w:hAnsi="Arial" w:cs="Arial"/>
        </w:rPr>
      </w:pPr>
      <w:r>
        <w:rPr>
          <w:rFonts w:ascii="Arial" w:hAnsi="Arial"/>
        </w:rPr>
        <w:t xml:space="preserve">c) Uvádění extra panenských olivových olejů na maloobchodní trh v plastových nádobách. </w:t>
      </w:r>
    </w:p>
    <w:p w14:paraId="2732D679" w14:textId="52D1E80B" w:rsidR="00BF4307" w:rsidRPr="00DE35E8" w:rsidRDefault="008C2F75" w:rsidP="00B503A1">
      <w:pPr>
        <w:spacing w:before="100" w:beforeAutospacing="1" w:after="100" w:afterAutospacing="1"/>
        <w:jc w:val="both"/>
        <w:rPr>
          <w:rFonts w:ascii="Arial" w:hAnsi="Arial" w:cs="Arial"/>
        </w:rPr>
      </w:pPr>
      <w:r>
        <w:rPr>
          <w:rFonts w:ascii="Arial" w:hAnsi="Arial"/>
        </w:rPr>
        <w:t xml:space="preserve">d) Přeprava nebo plnění odměrných nádob či nádob určených pro konečného spotřebitele olivového oleje nebo olivového oleje z pokrutin v zařízeních společného stravování. </w:t>
      </w:r>
    </w:p>
    <w:p w14:paraId="31ED4097" w14:textId="3B96FFF4" w:rsidR="00BF4307" w:rsidRPr="00DE35E8" w:rsidRDefault="008C2F75" w:rsidP="00B503A1">
      <w:pPr>
        <w:spacing w:after="240"/>
        <w:jc w:val="both"/>
        <w:rPr>
          <w:rFonts w:ascii="Arial" w:hAnsi="Arial" w:cs="Arial"/>
        </w:rPr>
      </w:pPr>
      <w:r>
        <w:rPr>
          <w:rFonts w:ascii="Arial" w:hAnsi="Arial"/>
        </w:rPr>
        <w:t xml:space="preserve">e) Zařazení směsí dříve klasifikovaného panenského olivového oleje do kategorie nad nejnižší kategorií použitého oleje. </w:t>
      </w:r>
    </w:p>
    <w:p w14:paraId="611AC074" w14:textId="0B18B814" w:rsidR="006636F3" w:rsidRPr="00DE35E8" w:rsidRDefault="00D734B4" w:rsidP="00B503A1">
      <w:pPr>
        <w:spacing w:before="100" w:beforeAutospacing="1" w:after="100" w:afterAutospacing="1"/>
        <w:jc w:val="both"/>
        <w:rPr>
          <w:rFonts w:ascii="Arial" w:hAnsi="Arial" w:cs="Arial"/>
        </w:rPr>
      </w:pPr>
      <w:r>
        <w:rPr>
          <w:rFonts w:ascii="Arial" w:hAnsi="Arial"/>
        </w:rPr>
        <w:t>f) Existence zařízení a zvláštních technických prostředků pro dezodoraci a/nebo jakékoli jiné fáze nebo formy rafinace oleje v lisovnách oleje, skladech a balírnách na panenský olivový olej.</w:t>
      </w:r>
    </w:p>
    <w:p w14:paraId="714C49F8" w14:textId="3C6858FF" w:rsidR="00BF4307" w:rsidRPr="00DE35E8" w:rsidRDefault="00D734B4" w:rsidP="00B503A1">
      <w:pPr>
        <w:spacing w:before="100" w:beforeAutospacing="1" w:after="100" w:afterAutospacing="1"/>
        <w:jc w:val="both"/>
        <w:rPr>
          <w:rFonts w:ascii="Arial" w:hAnsi="Arial" w:cs="Arial"/>
        </w:rPr>
      </w:pPr>
      <w:r>
        <w:rPr>
          <w:rFonts w:ascii="Arial" w:hAnsi="Arial"/>
        </w:rPr>
        <w:t xml:space="preserve">g) Příjem nebo zpracování olivových pokrutin z jiných lisoven oleje nebo oliv či jejích zbytků ze zařízení pro zpracování, které prošly zpracováním, jež není povoleno pro získání panenských olivových olejů nebo z nich získaných výrobků, nebo jakékoli suroviny k získání oleje jiné, než je celý syrový plod olivovníku. </w:t>
      </w:r>
    </w:p>
    <w:p w14:paraId="03D24DD3" w14:textId="3016EF3F" w:rsidR="00032401" w:rsidRPr="00DE35E8" w:rsidRDefault="00D734B4" w:rsidP="00B503A1">
      <w:pPr>
        <w:spacing w:before="100" w:beforeAutospacing="1" w:after="100" w:afterAutospacing="1"/>
        <w:jc w:val="both"/>
        <w:rPr>
          <w:rFonts w:ascii="Arial" w:hAnsi="Arial" w:cs="Arial"/>
          <w:b/>
        </w:rPr>
      </w:pPr>
      <w:r>
        <w:rPr>
          <w:rFonts w:ascii="Arial" w:hAnsi="Arial"/>
        </w:rPr>
        <w:t>h) Ukládání, skladování a přeprava olivového oleje a olivového oleje z pokrutin, které nejsou řádně identifikovány podle jejich kategorie produktů, s výjimkou lisoven oleje, v jejichž případě je taková klasifikace uvedena před jejich odesláním.</w:t>
      </w:r>
      <w:r>
        <w:rPr>
          <w:rFonts w:ascii="Arial" w:hAnsi="Arial"/>
          <w:b/>
        </w:rPr>
        <w:t xml:space="preserve"> </w:t>
      </w:r>
    </w:p>
    <w:p w14:paraId="2A835608" w14:textId="634DEB0E" w:rsidR="00717999" w:rsidRPr="00DE35E8" w:rsidRDefault="00D734B4" w:rsidP="00B503A1">
      <w:pPr>
        <w:keepNext/>
        <w:spacing w:after="360"/>
        <w:jc w:val="both"/>
        <w:rPr>
          <w:rFonts w:ascii="Arial" w:hAnsi="Arial" w:cs="Arial"/>
        </w:rPr>
      </w:pPr>
      <w:r>
        <w:rPr>
          <w:rFonts w:ascii="Arial" w:hAnsi="Arial"/>
        </w:rPr>
        <w:t>2. V zařízeních uvedených v článku 3, která jsou určena pro získávání olivového oleje a olivového oleje z pokrutin, je zakázáno:</w:t>
      </w:r>
    </w:p>
    <w:p w14:paraId="0B8837F1" w14:textId="34E1F9E6" w:rsidR="00717999" w:rsidRPr="00DE35E8" w:rsidRDefault="00717999" w:rsidP="00B503A1">
      <w:pPr>
        <w:spacing w:before="100" w:beforeAutospacing="1" w:after="100" w:afterAutospacing="1"/>
        <w:jc w:val="both"/>
        <w:rPr>
          <w:rFonts w:ascii="Arial" w:hAnsi="Arial" w:cs="Arial"/>
        </w:rPr>
      </w:pPr>
      <w:r>
        <w:rPr>
          <w:rFonts w:ascii="Arial" w:hAnsi="Arial"/>
        </w:rPr>
        <w:t xml:space="preserve">a) Alkalické praní olejů v lisovnách oleje. </w:t>
      </w:r>
    </w:p>
    <w:p w14:paraId="36AC27DB" w14:textId="4E1B8977" w:rsidR="00720E11" w:rsidRPr="00DE35E8" w:rsidRDefault="00717999" w:rsidP="00B503A1">
      <w:pPr>
        <w:spacing w:before="100" w:beforeAutospacing="1" w:after="100" w:afterAutospacing="1"/>
        <w:jc w:val="both"/>
        <w:rPr>
          <w:rFonts w:ascii="Arial" w:hAnsi="Arial" w:cs="Arial"/>
        </w:rPr>
      </w:pPr>
      <w:r>
        <w:rPr>
          <w:rFonts w:ascii="Arial" w:hAnsi="Arial"/>
        </w:rPr>
        <w:t>b) Extrakce nebo rafinace olivového oleje a olivového oleje z pokrutin za použití jiných než povolených postupů, rozpouštědel nebo pomocných látek, jakož i přidání průmyslových, minerálních, esterifikovaných nebo syntetických olejů.</w:t>
      </w:r>
    </w:p>
    <w:p w14:paraId="5DD6466F" w14:textId="2BDC9653" w:rsidR="00717999" w:rsidRPr="00DE35E8" w:rsidRDefault="00717999" w:rsidP="00B503A1">
      <w:pPr>
        <w:spacing w:before="100" w:beforeAutospacing="1" w:after="100" w:afterAutospacing="1"/>
        <w:jc w:val="both"/>
        <w:rPr>
          <w:rFonts w:ascii="Arial" w:hAnsi="Arial" w:cs="Arial"/>
        </w:rPr>
      </w:pPr>
      <w:r>
        <w:rPr>
          <w:rFonts w:ascii="Arial" w:hAnsi="Arial"/>
        </w:rPr>
        <w:t>c) Esterifikační procesy nebo jakýkoli jiný postup, který může změnit glyceridovou strukturu oleje.</w:t>
      </w:r>
    </w:p>
    <w:p w14:paraId="00590405" w14:textId="33AD29C3" w:rsidR="00717999" w:rsidRPr="00DE35E8" w:rsidRDefault="00351F40" w:rsidP="00B503A1">
      <w:pPr>
        <w:spacing w:before="100" w:beforeAutospacing="1" w:after="100" w:afterAutospacing="1"/>
        <w:jc w:val="both"/>
        <w:rPr>
          <w:rFonts w:ascii="Arial" w:hAnsi="Arial" w:cs="Arial"/>
        </w:rPr>
      </w:pPr>
      <w:r>
        <w:rPr>
          <w:rFonts w:ascii="Arial" w:hAnsi="Arial"/>
        </w:rPr>
        <w:lastRenderedPageBreak/>
        <w:t>d) Zpracování olejů vzduchem, kyslíkem, ozonem nebo jinými oxidačními chemickými látkami, s výjimkou těch, které jsou nezbytné pro čerpání během stáčení, inertizace nádob a nádrží, a homogenizace pomocí dusíku nebo jiných inertních plynů, aniž jsou dotčeny právní předpisy Evropská unie.</w:t>
      </w:r>
    </w:p>
    <w:p w14:paraId="0FF80538" w14:textId="7A3E1D13" w:rsidR="001F4E6F" w:rsidRPr="00DE35E8" w:rsidRDefault="00351F40" w:rsidP="00B503A1">
      <w:pPr>
        <w:spacing w:before="100" w:beforeAutospacing="1" w:after="100" w:afterAutospacing="1"/>
        <w:jc w:val="both"/>
        <w:rPr>
          <w:rFonts w:ascii="Arial" w:hAnsi="Arial" w:cs="Arial"/>
        </w:rPr>
      </w:pPr>
      <w:r>
        <w:rPr>
          <w:rFonts w:ascii="Arial" w:hAnsi="Arial"/>
        </w:rPr>
        <w:t xml:space="preserve">e) Držení nebo manipulace v zařízeních určených k extrakci, rafinaci, balení nebo skladování ve volně loženém stavu olivového oleje a olivového oleje z pokrutin, glycerinu, živočišných, rostlinných, průmyslových nebo syntetických tuků nebo olejů a jakékoli látky, jejíž použití není oprávněné ani odůvodněné. </w:t>
      </w:r>
    </w:p>
    <w:p w14:paraId="4D4D20E0" w14:textId="6EA35953" w:rsidR="00FD5872" w:rsidRPr="00DE35E8" w:rsidRDefault="00FD5872" w:rsidP="00B503A1">
      <w:pPr>
        <w:spacing w:before="100" w:beforeAutospacing="1" w:after="100" w:afterAutospacing="1"/>
        <w:jc w:val="both"/>
        <w:rPr>
          <w:rFonts w:ascii="Arial" w:hAnsi="Arial" w:cs="Arial"/>
        </w:rPr>
      </w:pPr>
      <w:r>
        <w:rPr>
          <w:rFonts w:ascii="Arial" w:hAnsi="Arial"/>
        </w:rPr>
        <w:t xml:space="preserve">f) V lisovnách oleje nekontinuální opětovné odstřeďování hmot pocházejících ze systémů výroby panenského olivového oleje s cílem zabránit fermentaci. Opětovné odstřeďování hmot ze systémů výroby panenského olivového oleje je povoleno až poté, co jsou podrobeny míchání s řízenou teplotou prostřednictvím kontinuálního procesu. Za žádných okolností není povoleno opětovné odstřeďování hmot nebo pokrutin z jiných usazenin nebo skladovacích nádrží než těch, které jsou uvedeny v čl. 3 odst. 2 písm. l). </w:t>
      </w:r>
    </w:p>
    <w:p w14:paraId="11933B30" w14:textId="3F3F5A51" w:rsidR="00B573B8" w:rsidRPr="00DE35E8" w:rsidRDefault="00B573B8" w:rsidP="00B503A1">
      <w:pPr>
        <w:spacing w:before="360" w:after="360"/>
        <w:jc w:val="both"/>
        <w:rPr>
          <w:rFonts w:ascii="Arial" w:hAnsi="Arial" w:cs="Arial"/>
          <w:i/>
        </w:rPr>
      </w:pPr>
      <w:r>
        <w:rPr>
          <w:rFonts w:ascii="Arial" w:hAnsi="Arial"/>
          <w:b/>
          <w:iCs/>
        </w:rPr>
        <w:t>Článek 9</w:t>
      </w:r>
      <w:r>
        <w:rPr>
          <w:rFonts w:ascii="Arial" w:hAnsi="Arial"/>
          <w:b/>
          <w:i/>
        </w:rPr>
        <w:t xml:space="preserve"> </w:t>
      </w:r>
      <w:r>
        <w:rPr>
          <w:rFonts w:ascii="Arial" w:hAnsi="Arial"/>
          <w:i/>
        </w:rPr>
        <w:t>Úřední kontrola, koordinace a pokuty</w:t>
      </w:r>
    </w:p>
    <w:p w14:paraId="413DF876" w14:textId="7EC39A9F" w:rsidR="004F4E66" w:rsidRPr="00DE35E8" w:rsidRDefault="00A27CF4" w:rsidP="00B503A1">
      <w:pPr>
        <w:spacing w:before="100" w:beforeAutospacing="1" w:after="100" w:afterAutospacing="1"/>
        <w:jc w:val="both"/>
        <w:rPr>
          <w:rFonts w:ascii="Arial" w:hAnsi="Arial" w:cs="Arial"/>
        </w:rPr>
      </w:pPr>
      <w:r>
        <w:rPr>
          <w:rFonts w:ascii="Arial" w:hAnsi="Arial"/>
        </w:rPr>
        <w:t xml:space="preserve">1. Příslušné úřední kontrolní orgány provedou alespoň jednu kontrolu shody na každých tisíc tun olivového oleje a olivového oleje z pokrutin uvedených na trh za účelem ověření jejich jakostních charakteristik stanovených v nařízení (EHS) č. 2568/91 ze dne 11. července 1991 o charakteristikách olivového oleje a olivového oleje z pokrutin a o příslušných metodách analýzy. </w:t>
      </w:r>
    </w:p>
    <w:p w14:paraId="5A0CC751" w14:textId="0139CAA0" w:rsidR="00A27CF4" w:rsidRPr="00DE35E8" w:rsidRDefault="00A27CF4" w:rsidP="00B503A1">
      <w:pPr>
        <w:spacing w:before="100" w:beforeAutospacing="1" w:after="100" w:afterAutospacing="1"/>
        <w:jc w:val="both"/>
        <w:rPr>
          <w:rFonts w:ascii="Arial" w:hAnsi="Arial" w:cs="Arial"/>
        </w:rPr>
      </w:pPr>
      <w:r>
        <w:rPr>
          <w:rFonts w:ascii="Arial" w:hAnsi="Arial"/>
        </w:rPr>
        <w:t>2. Metody odběru vzorků a analýzy jsou metody stanovené pro každý produkt v právních předpisech Evropské unie nebo – pokud neexistují – v příslušných vnitrostátních nebo regionálních právních předpisech.</w:t>
      </w:r>
    </w:p>
    <w:p w14:paraId="374757DA" w14:textId="2ACBCB79" w:rsidR="00A27CF4" w:rsidRPr="00DE35E8" w:rsidRDefault="00A27CF4" w:rsidP="00B503A1">
      <w:pPr>
        <w:spacing w:before="100" w:beforeAutospacing="1" w:after="100" w:afterAutospacing="1"/>
        <w:jc w:val="both"/>
        <w:rPr>
          <w:rFonts w:ascii="Arial" w:hAnsi="Arial" w:cs="Arial"/>
        </w:rPr>
      </w:pPr>
      <w:r>
        <w:rPr>
          <w:rFonts w:ascii="Arial" w:hAnsi="Arial"/>
        </w:rPr>
        <w:t xml:space="preserve">3. Shodnost kategorie deklarované na etiketě panenských olivových olejů ověřují specializované úřední laboratoře, pokud jde o jejich fyzikálně-chemické vlastnosti a ve vztahu k jejich organoleptickým vlastnostem, prostřednictvím komisí degustátorů oprávněných k úřední kontrole v souladu s královským výnosem 227/2008 ze dne 15. února 2008, kterým se stanoví základní pravidla pro komise degustátorů panenského olivového oleje. </w:t>
      </w:r>
    </w:p>
    <w:p w14:paraId="3A16849D" w14:textId="14DD9724" w:rsidR="00FC72C5" w:rsidRPr="00DE35E8" w:rsidRDefault="00B53FC3" w:rsidP="00B503A1">
      <w:pPr>
        <w:spacing w:before="100" w:beforeAutospacing="1" w:after="100" w:afterAutospacing="1"/>
        <w:jc w:val="both"/>
        <w:rPr>
          <w:rFonts w:ascii="Arial" w:hAnsi="Arial" w:cs="Arial"/>
        </w:rPr>
      </w:pPr>
      <w:r>
        <w:rPr>
          <w:rFonts w:ascii="Arial" w:hAnsi="Arial"/>
        </w:rPr>
        <w:t xml:space="preserve">4. Aniž jsou dotčeny kontroly stanovené právními předpisy Evropské unie uvedené v odstavci 1, koordinuje ministerstvo zemědělství, rybolovu a výživy zvláštní kontrolní plán k ověření sledovatelnosti odvětví olivového oleje a olivového oleje z pokrutin, jak je popsáno v článku 4. Tento plán musí zahrnovat zvláštní kontroly zařízení uvedených v čl. 5 odst. 3. </w:t>
      </w:r>
    </w:p>
    <w:p w14:paraId="0CEE0216" w14:textId="0046C74F" w:rsidR="00991F21" w:rsidRPr="00DE35E8" w:rsidRDefault="00F14BA3" w:rsidP="00B503A1">
      <w:pPr>
        <w:pStyle w:val="Default"/>
        <w:spacing w:after="240"/>
        <w:jc w:val="both"/>
        <w:rPr>
          <w:color w:val="auto"/>
        </w:rPr>
      </w:pPr>
      <w:r>
        <w:rPr>
          <w:color w:val="auto"/>
        </w:rPr>
        <w:t>5. Informace o výsledcích kontrol shody prováděných v souladu s ustanoveními odstavce 1 se sdělují ve stanoveném formátu ministerstvu zemědělství, rybolovu a výživy do 1. května každého roku.</w:t>
      </w:r>
    </w:p>
    <w:p w14:paraId="351F7865" w14:textId="3658DAA5" w:rsidR="00991F21" w:rsidRPr="00DE35E8" w:rsidRDefault="00F14BA3" w:rsidP="00B503A1">
      <w:pPr>
        <w:spacing w:before="100" w:beforeAutospacing="1" w:after="100" w:afterAutospacing="1"/>
        <w:jc w:val="both"/>
        <w:rPr>
          <w:rFonts w:ascii="Arial" w:hAnsi="Arial" w:cs="Arial"/>
        </w:rPr>
      </w:pPr>
      <w:r>
        <w:rPr>
          <w:rFonts w:ascii="Arial" w:hAnsi="Arial"/>
        </w:rPr>
        <w:t xml:space="preserve">6. Všechny souhrnné informace se shrnují ve výroční zprávě o úředních kontrolách, kterou na žádost ministerstva zemědělství, rybolovu a výživy zveřejní obecná státní správa. </w:t>
      </w:r>
    </w:p>
    <w:p w14:paraId="29C3D5B3" w14:textId="04798B97" w:rsidR="00F14BA3" w:rsidRPr="00DE35E8" w:rsidRDefault="00F14BA3" w:rsidP="00B503A1">
      <w:pPr>
        <w:pStyle w:val="Default"/>
        <w:spacing w:after="240"/>
        <w:jc w:val="both"/>
        <w:rPr>
          <w:color w:val="auto"/>
        </w:rPr>
      </w:pPr>
      <w:r>
        <w:rPr>
          <w:color w:val="auto"/>
        </w:rPr>
        <w:lastRenderedPageBreak/>
        <w:t>7. Zvláštní kontrolní plán se předloží k projednání v Koordinačním výboru pro jakost potravin a musí obsahovat alespoň harmonogram kontrolních činností, a rovněž protokol o organizaci inspekčních akcí s přihlédnutím k výsledkům kontrol shody prováděných autonomními společenstvími a údaje obsažené v informačním systému pro trh s olivami vedeném ministerstvem zemědělství, rybolovu a výživy. Tento plán každoročně přezkoumává Koordinační výbor pro jakost potravin.</w:t>
      </w:r>
    </w:p>
    <w:p w14:paraId="2DAC617D" w14:textId="78604F4C" w:rsidR="00A31337" w:rsidRPr="00DE35E8" w:rsidRDefault="000E44EE" w:rsidP="00B503A1">
      <w:pPr>
        <w:jc w:val="both"/>
        <w:rPr>
          <w:rFonts w:ascii="Arial" w:hAnsi="Arial" w:cs="Arial"/>
        </w:rPr>
      </w:pPr>
      <w:r>
        <w:rPr>
          <w:rFonts w:ascii="Arial" w:hAnsi="Arial"/>
        </w:rPr>
        <w:t>8. Jakékoli pokuty uložené v důsledku kontrol musí být účinné, přiměřené a odrazující.</w:t>
      </w:r>
    </w:p>
    <w:p w14:paraId="0B018C2C" w14:textId="1B7A0391" w:rsidR="00CA039D" w:rsidRPr="00DE35E8" w:rsidRDefault="00033181" w:rsidP="00B503A1">
      <w:pPr>
        <w:pStyle w:val="sangrado"/>
        <w:jc w:val="both"/>
        <w:rPr>
          <w:rFonts w:ascii="Arial" w:hAnsi="Arial" w:cs="Arial"/>
        </w:rPr>
      </w:pPr>
      <w:r>
        <w:rPr>
          <w:rFonts w:ascii="Arial" w:hAnsi="Arial"/>
          <w:b/>
        </w:rPr>
        <w:t xml:space="preserve">První dodatečné ustanovení. </w:t>
      </w:r>
      <w:r>
        <w:rPr>
          <w:rFonts w:ascii="Arial" w:hAnsi="Arial"/>
          <w:i/>
          <w:iCs/>
        </w:rPr>
        <w:t>Doložka o vzájemném uznávání.</w:t>
      </w:r>
      <w:r>
        <w:rPr>
          <w:rFonts w:ascii="Arial" w:hAnsi="Arial"/>
        </w:rPr>
        <w:t xml:space="preserve"> </w:t>
      </w:r>
    </w:p>
    <w:p w14:paraId="72CD943F" w14:textId="00DA64AE" w:rsidR="00331B68" w:rsidRPr="00DE35E8" w:rsidRDefault="00331B68" w:rsidP="00B503A1">
      <w:pPr>
        <w:spacing w:before="360" w:after="360"/>
        <w:jc w:val="both"/>
        <w:rPr>
          <w:rFonts w:ascii="Arial" w:hAnsi="Arial" w:cs="Arial"/>
        </w:rPr>
      </w:pPr>
      <w:r>
        <w:rPr>
          <w:rFonts w:ascii="Arial" w:hAnsi="Arial"/>
        </w:rPr>
        <w:t>Má se za to, že zboží uvedené v souladu s právními předpisy na trh v jiném členském státě Evropské unie nebo v Turecku nebo zboží pocházející ze státu Evropského sdružení volného obchodu, který je smluvní stranou Dohody o Evropském hospodářském prostoru, je slučitelné s tímto královským výnosem. Na použití tohoto královského výnosu se vztahuje nařízení Evropského parlamentu a Rady (EU) 2019/515 ze dne 19. března 2019 o vzájemném uznávání zboží uvedeného v souladu s právními předpisy na trh v jiném členském státě a o zrušení nařízení (ES) č. 764/2008.</w:t>
      </w:r>
    </w:p>
    <w:p w14:paraId="11A480EE" w14:textId="0586197C" w:rsidR="00D734B4" w:rsidRPr="00DE35E8" w:rsidRDefault="00D734B4" w:rsidP="00B503A1">
      <w:pPr>
        <w:spacing w:before="360" w:after="360"/>
        <w:jc w:val="both"/>
        <w:rPr>
          <w:rFonts w:ascii="Arial" w:hAnsi="Arial" w:cs="Arial"/>
          <w:bCs/>
          <w:i/>
          <w:iCs/>
        </w:rPr>
      </w:pPr>
      <w:r>
        <w:rPr>
          <w:rFonts w:ascii="Arial" w:hAnsi="Arial"/>
          <w:b/>
        </w:rPr>
        <w:t xml:space="preserve">Druhé dodatečné ustanovení. </w:t>
      </w:r>
      <w:r>
        <w:rPr>
          <w:rFonts w:ascii="Arial" w:hAnsi="Arial"/>
          <w:bCs/>
          <w:i/>
          <w:iCs/>
        </w:rPr>
        <w:t>Počítačový systém.</w:t>
      </w:r>
    </w:p>
    <w:p w14:paraId="1C1C6B38" w14:textId="29BDE441" w:rsidR="003011C3" w:rsidRPr="00DE35E8" w:rsidRDefault="00D734B4" w:rsidP="00B503A1">
      <w:pPr>
        <w:spacing w:before="360" w:after="360"/>
        <w:jc w:val="both"/>
        <w:rPr>
          <w:rFonts w:ascii="Arial" w:hAnsi="Arial" w:cs="Arial"/>
          <w:bCs/>
        </w:rPr>
      </w:pPr>
      <w:r>
        <w:rPr>
          <w:rFonts w:ascii="Arial" w:hAnsi="Arial"/>
          <w:bCs/>
        </w:rPr>
        <w:t xml:space="preserve">Ministerstvo zemědělství, rybolovu a výživy vyvine počítačový systém, který provozovatelům usnadní plnění oznamovací povinnosti podle čl. 4 odst. 3 a usnadní přístup příslušných orgánů k informacím o olivovém oleji a olivovém oleji z pokrutin a jejich kontrole. </w:t>
      </w:r>
    </w:p>
    <w:p w14:paraId="7BC1536B" w14:textId="47607053" w:rsidR="00D734B4" w:rsidRPr="00DE35E8" w:rsidRDefault="00190979" w:rsidP="00B503A1">
      <w:pPr>
        <w:spacing w:before="360" w:after="360"/>
        <w:jc w:val="both"/>
        <w:rPr>
          <w:rFonts w:ascii="Arial" w:hAnsi="Arial" w:cs="Arial"/>
          <w:b/>
        </w:rPr>
      </w:pPr>
      <w:r>
        <w:rPr>
          <w:rFonts w:ascii="Arial" w:hAnsi="Arial"/>
        </w:rPr>
        <w:t>Tento systém musí být přístupný provozovatelům odpovědným za oznámení, příslušným kontrolním orgánům a bezpečnostním složkám státu.</w:t>
      </w:r>
    </w:p>
    <w:p w14:paraId="3A8FCD87" w14:textId="576C551D" w:rsidR="00846C60" w:rsidRPr="00DE35E8" w:rsidRDefault="00846C60" w:rsidP="00B503A1">
      <w:pPr>
        <w:spacing w:before="360" w:after="360"/>
        <w:jc w:val="both"/>
        <w:rPr>
          <w:rFonts w:ascii="Arial" w:hAnsi="Arial" w:cs="Arial"/>
          <w:i/>
        </w:rPr>
      </w:pPr>
      <w:r>
        <w:rPr>
          <w:rFonts w:ascii="Arial" w:hAnsi="Arial"/>
          <w:b/>
        </w:rPr>
        <w:t xml:space="preserve">Jediné přechodné ustanovení. </w:t>
      </w:r>
      <w:r>
        <w:rPr>
          <w:rFonts w:ascii="Arial" w:hAnsi="Arial"/>
          <w:i/>
        </w:rPr>
        <w:t>Přechodné období</w:t>
      </w:r>
    </w:p>
    <w:p w14:paraId="3EAAB453" w14:textId="1E1247B8" w:rsidR="007E5AA1" w:rsidRPr="00DE35E8" w:rsidRDefault="007E5AA1" w:rsidP="00B503A1">
      <w:pPr>
        <w:spacing w:before="360" w:after="360"/>
        <w:jc w:val="both"/>
        <w:rPr>
          <w:rFonts w:ascii="Arial" w:hAnsi="Arial" w:cs="Arial"/>
        </w:rPr>
      </w:pPr>
      <w:r>
        <w:rPr>
          <w:rFonts w:ascii="Arial" w:hAnsi="Arial"/>
        </w:rPr>
        <w:t xml:space="preserve">Ustanovení čl. 4 odst. 3 nejsou povinná, dokud nebude zaveden výše uvedený počítačový systém. </w:t>
      </w:r>
    </w:p>
    <w:p w14:paraId="77B08C6A" w14:textId="2EEB1F8F" w:rsidR="0051003B" w:rsidRPr="00DE35E8" w:rsidRDefault="001E411F" w:rsidP="00B503A1">
      <w:pPr>
        <w:spacing w:before="360" w:after="360"/>
        <w:jc w:val="both"/>
        <w:rPr>
          <w:rFonts w:ascii="Arial" w:hAnsi="Arial" w:cs="Arial"/>
        </w:rPr>
      </w:pPr>
      <w:r>
        <w:rPr>
          <w:rFonts w:ascii="Arial" w:hAnsi="Arial"/>
        </w:rPr>
        <w:t xml:space="preserve">Ustanovení čl. 8 odst. 1 písm. c) se použije ode dne 1. ledna 2024 pro nádoby do jednoho litru a ode dne 1. ledna 2025 pro všechny ostatní nádoby. </w:t>
      </w:r>
    </w:p>
    <w:p w14:paraId="0471D644" w14:textId="77777777" w:rsidR="00BD3ECA" w:rsidRPr="00DE35E8" w:rsidRDefault="00BD3ECA" w:rsidP="00B503A1">
      <w:pPr>
        <w:pStyle w:val="Pa10"/>
        <w:spacing w:before="100" w:beforeAutospacing="1" w:after="100" w:afterAutospacing="1" w:line="240" w:lineRule="auto"/>
        <w:jc w:val="both"/>
        <w:rPr>
          <w:rFonts w:cs="Arial"/>
          <w:b/>
        </w:rPr>
      </w:pPr>
      <w:r>
        <w:rPr>
          <w:b/>
        </w:rPr>
        <w:t>Jediné ustanovení o zrušení.</w:t>
      </w:r>
      <w:r>
        <w:t xml:space="preserve"> </w:t>
      </w:r>
      <w:r>
        <w:rPr>
          <w:i/>
          <w:iCs/>
        </w:rPr>
        <w:t>Zrušení právních předpisů</w:t>
      </w:r>
    </w:p>
    <w:p w14:paraId="0B4DC85E" w14:textId="47883455" w:rsidR="00BD3ECA" w:rsidRPr="00DE35E8" w:rsidRDefault="00107E79" w:rsidP="00B503A1">
      <w:pPr>
        <w:pStyle w:val="Default"/>
        <w:keepNext/>
        <w:spacing w:before="100" w:beforeAutospacing="1" w:after="100" w:afterAutospacing="1"/>
        <w:jc w:val="both"/>
        <w:rPr>
          <w:color w:val="auto"/>
        </w:rPr>
      </w:pPr>
      <w:r>
        <w:rPr>
          <w:color w:val="auto"/>
        </w:rPr>
        <w:t>Tímto se zrušují všechny právní předpisy s touž nebo užší oblastí působnosti, která jsou v rozporu s ustanoveními tohoto královského výnosu, a zejména:</w:t>
      </w:r>
    </w:p>
    <w:p w14:paraId="420C7E36" w14:textId="637B8EBE" w:rsidR="00BD3ECA" w:rsidRPr="00DE35E8" w:rsidRDefault="00F07691" w:rsidP="00B503A1">
      <w:pPr>
        <w:spacing w:before="120" w:after="120"/>
        <w:jc w:val="both"/>
        <w:rPr>
          <w:rFonts w:ascii="Arial" w:hAnsi="Arial" w:cs="Arial"/>
        </w:rPr>
      </w:pPr>
      <w:r>
        <w:rPr>
          <w:rFonts w:ascii="Arial" w:hAnsi="Arial"/>
        </w:rPr>
        <w:t>a) královský výnos 3000/1979 ze dne 7. prosince 1979 o regulaci průmyslových procesů v odvětví olivového oleje;</w:t>
      </w:r>
    </w:p>
    <w:p w14:paraId="4DFBE278" w14:textId="6B97D74A" w:rsidR="00B55D8E" w:rsidRPr="00DE35E8" w:rsidRDefault="00F07691" w:rsidP="00B503A1">
      <w:pPr>
        <w:spacing w:before="120" w:after="120"/>
        <w:jc w:val="both"/>
        <w:rPr>
          <w:rFonts w:ascii="Arial" w:hAnsi="Arial" w:cs="Arial"/>
        </w:rPr>
      </w:pPr>
      <w:r>
        <w:rPr>
          <w:rFonts w:ascii="Arial" w:hAnsi="Arial"/>
        </w:rPr>
        <w:lastRenderedPageBreak/>
        <w:t xml:space="preserve">b) královský výnos 308/1983 ze dne 25. ledna 1983, kterým se schvalují technické a zdravotní předpisy pro jedlé rostlinné oleje, pokud jde o olivový olej a olivový olej z pokrutin; </w:t>
      </w:r>
    </w:p>
    <w:p w14:paraId="7452C311" w14:textId="55A1BD1C" w:rsidR="00BD3ECA" w:rsidRPr="00DE35E8" w:rsidRDefault="00F07691" w:rsidP="00B503A1">
      <w:pPr>
        <w:spacing w:before="120" w:after="120"/>
        <w:jc w:val="both"/>
        <w:rPr>
          <w:rFonts w:ascii="Arial" w:hAnsi="Arial" w:cs="Arial"/>
        </w:rPr>
      </w:pPr>
      <w:r>
        <w:rPr>
          <w:rFonts w:ascii="Arial" w:hAnsi="Arial"/>
        </w:rPr>
        <w:t>c) královský výnos 259/1985 ze dne 20. února 1985, kterým se doplňují technické a zdravotní předpisy pro jedlé rostlinné oleje o aplikaci stanovení erythrodiolu v olivových olejích;</w:t>
      </w:r>
    </w:p>
    <w:p w14:paraId="26126122" w14:textId="3FF6F549"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d) královský výnos 2551/1986 ze dne 21. listopadu 1986, kterým se upravuje zpracování a uvádění rafinovaného oleje z pokrutin a olivového oleje na trh;</w:t>
      </w:r>
    </w:p>
    <w:p w14:paraId="2A2515DE" w14:textId="5BB4081A" w:rsidR="00BD3ECA" w:rsidRPr="00DE35E8" w:rsidRDefault="00F07691" w:rsidP="00B503A1">
      <w:pPr>
        <w:autoSpaceDE w:val="0"/>
        <w:autoSpaceDN w:val="0"/>
        <w:adjustRightInd w:val="0"/>
        <w:spacing w:before="120" w:after="120"/>
        <w:jc w:val="both"/>
        <w:rPr>
          <w:rFonts w:ascii="Arial" w:hAnsi="Arial" w:cs="Arial"/>
          <w:iCs/>
        </w:rPr>
      </w:pPr>
      <w:r>
        <w:rPr>
          <w:rFonts w:ascii="Arial" w:hAnsi="Arial"/>
        </w:rPr>
        <w:t>e) královský výnos 538/1993 ze dne 12. dubna 1993, kterým se mění některá ustanovení týkající se průmyslových požadavků na výrobu, oběh a obchodování s jedlými rostlinnými oleji;</w:t>
      </w:r>
    </w:p>
    <w:p w14:paraId="359C9A53" w14:textId="4DE1DBE4" w:rsidR="00E52BD4" w:rsidRPr="00DE35E8" w:rsidRDefault="00F07691" w:rsidP="00B503A1">
      <w:pPr>
        <w:autoSpaceDE w:val="0"/>
        <w:autoSpaceDN w:val="0"/>
        <w:adjustRightInd w:val="0"/>
        <w:spacing w:before="120" w:after="120"/>
        <w:jc w:val="both"/>
        <w:rPr>
          <w:rFonts w:ascii="Arial" w:hAnsi="Arial" w:cs="Arial"/>
        </w:rPr>
      </w:pPr>
      <w:r>
        <w:rPr>
          <w:rFonts w:ascii="Arial" w:hAnsi="Arial"/>
        </w:rPr>
        <w:t>f) královský výnos 1431/2003 ze dne 21. listopadu 2003, kterým se stanoví některá obchodní opatření pro odvětví olivového oleje a olivového oleje z pokrutin;</w:t>
      </w:r>
    </w:p>
    <w:p w14:paraId="7274F84D" w14:textId="164614B6"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g) nařízení ze dne 12. prosince 1984 o dodávkách panenského olivového oleje lisovnami oleje jejich pěstitelům pro vlastní spotřebu;</w:t>
      </w:r>
    </w:p>
    <w:p w14:paraId="0C668B1A" w14:textId="540A245E" w:rsidR="00BD3ECA" w:rsidRPr="00DE35E8" w:rsidRDefault="00F07691" w:rsidP="00B503A1">
      <w:pPr>
        <w:autoSpaceDE w:val="0"/>
        <w:autoSpaceDN w:val="0"/>
        <w:adjustRightInd w:val="0"/>
        <w:spacing w:before="120" w:after="120"/>
        <w:jc w:val="both"/>
        <w:rPr>
          <w:rFonts w:ascii="Arial" w:hAnsi="Arial" w:cs="Arial"/>
          <w:bCs/>
        </w:rPr>
      </w:pPr>
      <w:r>
        <w:rPr>
          <w:rFonts w:ascii="Arial" w:hAnsi="Arial"/>
        </w:rPr>
        <w:t>h) nařízení APA/1343/2004 ze dne 7. května 2004, kterým se upravuje obecný registr specifických průmyslových odvětví oprávněných k uvádění olivového oleje na trh.</w:t>
      </w:r>
    </w:p>
    <w:p w14:paraId="0C0394C1" w14:textId="77777777" w:rsidR="00BD3ECA" w:rsidRPr="00DE35E8" w:rsidRDefault="00BD3ECA" w:rsidP="00B503A1">
      <w:pPr>
        <w:pStyle w:val="Pa8"/>
        <w:spacing w:before="100" w:beforeAutospacing="1" w:after="100" w:afterAutospacing="1" w:line="240" w:lineRule="auto"/>
        <w:jc w:val="both"/>
        <w:rPr>
          <w:rFonts w:cs="Arial"/>
          <w:b/>
        </w:rPr>
      </w:pPr>
      <w:r>
        <w:rPr>
          <w:b/>
        </w:rPr>
        <w:t>První závěrečné ustanovení.</w:t>
      </w:r>
      <w:r>
        <w:rPr>
          <w:b/>
          <w:bCs/>
        </w:rPr>
        <w:t xml:space="preserve"> </w:t>
      </w:r>
      <w:r>
        <w:rPr>
          <w:i/>
          <w:iCs/>
        </w:rPr>
        <w:t>Soudní příslušnost</w:t>
      </w:r>
    </w:p>
    <w:p w14:paraId="065FE4CD" w14:textId="3D71B84F" w:rsidR="002805CD" w:rsidRPr="002209F6" w:rsidRDefault="002805CD" w:rsidP="00B503A1">
      <w:pPr>
        <w:pStyle w:val="Pa6"/>
        <w:spacing w:before="100" w:beforeAutospacing="1" w:after="100" w:afterAutospacing="1" w:line="240" w:lineRule="auto"/>
        <w:jc w:val="both"/>
        <w:rPr>
          <w:rFonts w:eastAsia="Arial Unicode MS" w:cs="Arial"/>
        </w:rPr>
      </w:pPr>
      <w:r>
        <w:t xml:space="preserve">Tento královský výnos se přijímá v rámci ustanovení čl. 149 odst. 1 bodu 13 španělské ústavy, který státu uděluje výlučnou pravomoc nad základními pravidly a koordinací obecného hospodářského plánování. </w:t>
      </w:r>
    </w:p>
    <w:p w14:paraId="17E22D3D" w14:textId="77777777" w:rsidR="00107E79" w:rsidRPr="00DE35E8" w:rsidRDefault="00107E79" w:rsidP="00B503A1">
      <w:pPr>
        <w:pStyle w:val="Pa6"/>
        <w:spacing w:before="100" w:beforeAutospacing="1" w:after="100" w:afterAutospacing="1" w:line="240" w:lineRule="auto"/>
        <w:jc w:val="both"/>
        <w:rPr>
          <w:rFonts w:cs="Arial"/>
        </w:rPr>
      </w:pPr>
      <w:r>
        <w:rPr>
          <w:b/>
          <w:bCs/>
        </w:rPr>
        <w:t xml:space="preserve">Druhé závěrečné ustanovení. </w:t>
      </w:r>
      <w:r>
        <w:rPr>
          <w:i/>
          <w:iCs/>
        </w:rPr>
        <w:t>Změna výnosu 2484/1967 ze dne 21. září 1967, kterým se schvaluje španělský potravinový kodex.</w:t>
      </w:r>
    </w:p>
    <w:p w14:paraId="4F4C7805" w14:textId="77777777" w:rsidR="009F52EF" w:rsidRPr="00DE35E8" w:rsidRDefault="00107E79" w:rsidP="00B503A1">
      <w:pPr>
        <w:pStyle w:val="Default"/>
        <w:jc w:val="both"/>
        <w:rPr>
          <w:color w:val="auto"/>
        </w:rPr>
      </w:pPr>
      <w:r>
        <w:rPr>
          <w:color w:val="auto"/>
        </w:rPr>
        <w:t>Oddíl 2 kapitoly XVI výnosu 2484/1967 ze dne 21. září 1967, kterým se schvaluje španělský potravinový kodex, se mění takto:</w:t>
      </w:r>
    </w:p>
    <w:p w14:paraId="34DBDB48" w14:textId="77777777" w:rsidR="009F52EF" w:rsidRPr="00DE35E8" w:rsidRDefault="009F52EF" w:rsidP="00B503A1">
      <w:pPr>
        <w:pStyle w:val="Default"/>
        <w:jc w:val="both"/>
        <w:rPr>
          <w:color w:val="auto"/>
        </w:rPr>
      </w:pPr>
    </w:p>
    <w:p w14:paraId="5AEE43D1" w14:textId="43A53B2C" w:rsidR="00107E79" w:rsidRPr="00DE35E8" w:rsidRDefault="00107E79" w:rsidP="00B503A1">
      <w:pPr>
        <w:pStyle w:val="Default"/>
        <w:jc w:val="both"/>
        <w:rPr>
          <w:i/>
          <w:color w:val="auto"/>
        </w:rPr>
      </w:pPr>
      <w:r>
        <w:rPr>
          <w:i/>
          <w:color w:val="auto"/>
        </w:rPr>
        <w:t>„Olivový olej a olivový olej z pokrutin se řídí ustanoveními královského výnosu XXXX/2020 ze dne    , kterým se schvaluje jakostní norma pro olivový olej a olivový olej z pokrutin.“</w:t>
      </w:r>
    </w:p>
    <w:p w14:paraId="4EB88564" w14:textId="77777777" w:rsidR="00107E79" w:rsidRPr="00DE35E8" w:rsidRDefault="00107E79" w:rsidP="00B503A1">
      <w:pPr>
        <w:pStyle w:val="Default"/>
        <w:rPr>
          <w:color w:val="auto"/>
        </w:rPr>
      </w:pPr>
    </w:p>
    <w:p w14:paraId="4AA77CDA" w14:textId="717819E4" w:rsidR="00BD3ECA" w:rsidRPr="00DE35E8" w:rsidRDefault="00BD3ECA" w:rsidP="00B503A1">
      <w:pPr>
        <w:pStyle w:val="Pa8"/>
        <w:spacing w:before="100" w:beforeAutospacing="1" w:after="100" w:afterAutospacing="1" w:line="240" w:lineRule="auto"/>
        <w:jc w:val="both"/>
        <w:rPr>
          <w:rFonts w:cs="Arial"/>
          <w:b/>
        </w:rPr>
      </w:pPr>
      <w:r>
        <w:rPr>
          <w:b/>
          <w:bCs/>
        </w:rPr>
        <w:t xml:space="preserve">Třetí závěrečné ustanovení. </w:t>
      </w:r>
      <w:r>
        <w:rPr>
          <w:i/>
          <w:iCs/>
        </w:rPr>
        <w:t>Nabytí účinnosti.</w:t>
      </w:r>
    </w:p>
    <w:p w14:paraId="0036CA90" w14:textId="0CA26AD1" w:rsidR="00160F55" w:rsidRPr="00DE35E8" w:rsidRDefault="00BD3ECA" w:rsidP="00B503A1">
      <w:pPr>
        <w:pStyle w:val="Default"/>
        <w:spacing w:before="100" w:beforeAutospacing="1" w:after="100" w:afterAutospacing="1"/>
        <w:jc w:val="both"/>
        <w:rPr>
          <w:color w:val="auto"/>
        </w:rPr>
      </w:pPr>
      <w:r>
        <w:rPr>
          <w:color w:val="auto"/>
        </w:rPr>
        <w:t>Tento královský výnos nabývá účinnosti dne 2. ledna 2021.</w:t>
      </w:r>
    </w:p>
    <w:p w14:paraId="03D94E0D" w14:textId="510598C7" w:rsidR="00BD3ECA" w:rsidRPr="00DE35E8" w:rsidRDefault="00F006FD" w:rsidP="00B503A1">
      <w:pPr>
        <w:pStyle w:val="Default"/>
        <w:spacing w:before="100" w:beforeAutospacing="1" w:after="100" w:afterAutospacing="1"/>
        <w:jc w:val="both"/>
        <w:rPr>
          <w:color w:val="auto"/>
        </w:rPr>
      </w:pPr>
      <w:r>
        <w:rPr>
          <w:color w:val="auto"/>
        </w:rPr>
        <w:t xml:space="preserve">Podepsáno v Madridu, dne </w:t>
      </w:r>
      <w:r>
        <w:rPr>
          <w:color w:val="auto"/>
        </w:rPr>
        <w:tab/>
        <w:t>2020</w:t>
      </w:r>
    </w:p>
    <w:p w14:paraId="662C4351" w14:textId="6FFA95A6" w:rsidR="00527443" w:rsidRPr="00DE35E8" w:rsidRDefault="00484361" w:rsidP="00B503A1">
      <w:pPr>
        <w:pStyle w:val="Default"/>
        <w:pageBreakBefore/>
        <w:tabs>
          <w:tab w:val="left" w:pos="6765"/>
          <w:tab w:val="right" w:pos="9070"/>
        </w:tabs>
        <w:spacing w:before="100" w:beforeAutospacing="1" w:after="100" w:afterAutospacing="1"/>
        <w:jc w:val="center"/>
        <w:rPr>
          <w:color w:val="auto"/>
        </w:rPr>
      </w:pPr>
      <w:r>
        <w:rPr>
          <w:color w:val="auto"/>
        </w:rPr>
        <w:lastRenderedPageBreak/>
        <w:t>PŘÍLOHA I</w:t>
      </w:r>
    </w:p>
    <w:p w14:paraId="6E2F434E" w14:textId="7427919D" w:rsidR="00484361" w:rsidRPr="00DE35E8" w:rsidRDefault="00484361" w:rsidP="00B503A1">
      <w:pPr>
        <w:pStyle w:val="Default"/>
        <w:tabs>
          <w:tab w:val="left" w:pos="6765"/>
          <w:tab w:val="right" w:pos="9070"/>
        </w:tabs>
        <w:spacing w:before="100" w:beforeAutospacing="1" w:after="100" w:afterAutospacing="1"/>
        <w:jc w:val="center"/>
        <w:rPr>
          <w:b/>
          <w:color w:val="auto"/>
        </w:rPr>
      </w:pPr>
      <w:r>
        <w:rPr>
          <w:b/>
          <w:color w:val="auto"/>
        </w:rPr>
        <w:t xml:space="preserve">Registry sledovatelnosti </w:t>
      </w:r>
    </w:p>
    <w:p w14:paraId="3AFC0661" w14:textId="5F43CE6A" w:rsidR="00485D89" w:rsidRPr="00DE35E8" w:rsidRDefault="00485D89" w:rsidP="00B503A1">
      <w:pPr>
        <w:spacing w:before="360"/>
        <w:jc w:val="both"/>
        <w:rPr>
          <w:rFonts w:ascii="Arial" w:eastAsia="Calibri" w:hAnsi="Arial" w:cs="Arial"/>
          <w:b/>
        </w:rPr>
      </w:pPr>
      <w:r>
        <w:rPr>
          <w:rFonts w:ascii="Arial" w:hAnsi="Arial"/>
          <w:b/>
        </w:rPr>
        <w:t>Část A. Obecné podmínky registrů.</w:t>
      </w:r>
    </w:p>
    <w:p w14:paraId="718D860F" w14:textId="70B59E53"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Vnitřní registry sledovatelnosti musí obsahovat alespoň tyto operace: získané oleje, extrakce, rafinace, klasifikace, výměna nádrže, olejové směsi, olejové obaly.</w:t>
      </w:r>
    </w:p>
    <w:p w14:paraId="5D5CF0F2"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51946BB9" w14:textId="0179120A"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Každý produkt musí být identifikován v příchozím registru identifikací, kterou dříve přidělil dodavatel. V nákupních a/nebo přijímacích střediscích, lisovnách oleje a balicích zařízeních musí být zaznamenán katastrální pozemek a sekce o původu oliv a jejích vlastníkovi. </w:t>
      </w:r>
    </w:p>
    <w:p w14:paraId="45F5830E"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6B18AAC" w14:textId="099C5022"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V příchozích a odchozích registrech musí být uvedeno vnitřní místo určení či použití produktu (sklad, nádrž, násypka, linka na zpracování atd.) nebo jeho původ. Rovněž je třeba uvést množství v příchozích a odchozích nádržích.</w:t>
      </w:r>
    </w:p>
    <w:p w14:paraId="1421D97B"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1A0F3DC" w14:textId="61E30660"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Doprovodné doklady týkající se jakéhokoli pohybu zboží musí být rovněž jasně označeny v příchozích a odchozích registrech.</w:t>
      </w:r>
    </w:p>
    <w:p w14:paraId="46B83742" w14:textId="77777777" w:rsidR="00485D89" w:rsidRPr="00DE35E8" w:rsidRDefault="00485D89" w:rsidP="00B503A1">
      <w:pPr>
        <w:pStyle w:val="ListParagraph"/>
        <w:spacing w:before="100" w:beforeAutospacing="1" w:after="100" w:afterAutospacing="1"/>
        <w:jc w:val="both"/>
        <w:rPr>
          <w:rFonts w:ascii="Arial" w:hAnsi="Arial" w:cs="Arial"/>
        </w:rPr>
      </w:pPr>
    </w:p>
    <w:p w14:paraId="242CAE07" w14:textId="3D301271" w:rsidR="00485D89" w:rsidRPr="00DE35E8" w:rsidRDefault="00485D89" w:rsidP="00B503A1">
      <w:pPr>
        <w:pStyle w:val="ListParagraph"/>
        <w:spacing w:after="240"/>
        <w:ind w:left="360"/>
        <w:jc w:val="both"/>
        <w:rPr>
          <w:rFonts w:ascii="Arial" w:hAnsi="Arial" w:cs="Arial"/>
        </w:rPr>
      </w:pPr>
      <w:r>
        <w:rPr>
          <w:rFonts w:ascii="Arial" w:hAnsi="Arial"/>
        </w:rPr>
        <w:t xml:space="preserve">V příchozích a odchozích registrech je třeba doplnit údaje, dojde-li ke změně vlastnictví zboží (i když nedojde k fyzickému pohybu) nebo pokud dojde k fyzickému pohybu zboží. </w:t>
      </w:r>
    </w:p>
    <w:p w14:paraId="611D0E38" w14:textId="77777777" w:rsidR="00485D89" w:rsidRPr="00DE35E8" w:rsidRDefault="00485D89" w:rsidP="00B503A1">
      <w:pPr>
        <w:pStyle w:val="ListParagraph"/>
        <w:spacing w:before="240" w:after="240"/>
        <w:ind w:left="360"/>
        <w:jc w:val="both"/>
        <w:rPr>
          <w:rFonts w:ascii="Arial" w:hAnsi="Arial" w:cs="Arial"/>
        </w:rPr>
      </w:pPr>
    </w:p>
    <w:p w14:paraId="32B765B8" w14:textId="44B0EFF9" w:rsidR="00485D89" w:rsidRPr="00DE35E8" w:rsidRDefault="00485D89" w:rsidP="00B503A1">
      <w:pPr>
        <w:pStyle w:val="ListParagraph"/>
        <w:numPr>
          <w:ilvl w:val="0"/>
          <w:numId w:val="4"/>
        </w:numPr>
        <w:spacing w:before="240"/>
        <w:jc w:val="both"/>
        <w:rPr>
          <w:rFonts w:ascii="Arial" w:hAnsi="Arial" w:cs="Arial"/>
        </w:rPr>
      </w:pPr>
      <w:r>
        <w:rPr>
          <w:rFonts w:ascii="Arial" w:hAnsi="Arial"/>
        </w:rPr>
        <w:t xml:space="preserve">Veškeré údaje, které mají být následně umístěny na etikety produktu, jako je šarže, první lisování za studena, extrakce za studena, rok sklizně, odrůda atd., musí být řádně zaznamenány tak, aby mohly být ověřeny v celé dokumentaci k danému produktu. </w:t>
      </w:r>
    </w:p>
    <w:p w14:paraId="40C6027C" w14:textId="77777777" w:rsidR="00485D89" w:rsidRPr="00DE35E8" w:rsidRDefault="00485D89" w:rsidP="00B503A1">
      <w:pPr>
        <w:pStyle w:val="ListParagraph"/>
        <w:rPr>
          <w:rFonts w:ascii="Arial" w:hAnsi="Arial" w:cs="Arial"/>
        </w:rPr>
      </w:pPr>
    </w:p>
    <w:p w14:paraId="075A2332" w14:textId="7AE98831"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Při identifikaci jakéhokoliv produktu musí existovat korelace mezi identifikací nádrže, kde je skladován, a informacemi uvedenými v registrech. Touto povinností nejsou dotčeny žádné změny charakteristik odvozených z přirozeného vývoje produktů. Takové odchylky musí být uvedeny v registru, kdykoli se o nich provozovatel dozví. </w:t>
      </w:r>
    </w:p>
    <w:p w14:paraId="3468FE99" w14:textId="77777777" w:rsidR="00485D89" w:rsidRPr="00DE35E8" w:rsidRDefault="00485D89" w:rsidP="00B503A1">
      <w:pPr>
        <w:ind w:firstLine="142"/>
        <w:jc w:val="both"/>
        <w:rPr>
          <w:rFonts w:ascii="Arial" w:eastAsia="Calibri" w:hAnsi="Arial" w:cs="Arial"/>
          <w:b/>
        </w:rPr>
      </w:pPr>
    </w:p>
    <w:p w14:paraId="6D0F2B23" w14:textId="063F4063" w:rsidR="00484361" w:rsidRPr="00DE35E8" w:rsidRDefault="009F27E3" w:rsidP="00B503A1">
      <w:pPr>
        <w:keepNext/>
        <w:ind w:firstLine="142"/>
        <w:jc w:val="both"/>
        <w:rPr>
          <w:rFonts w:ascii="Arial" w:eastAsia="Calibri" w:hAnsi="Arial" w:cs="Arial"/>
          <w:b/>
        </w:rPr>
      </w:pPr>
      <w:r>
        <w:rPr>
          <w:rFonts w:ascii="Arial" w:hAnsi="Arial"/>
          <w:b/>
          <w:bCs/>
        </w:rPr>
        <w:t>Část B. Kategorie produktů, které musí být zahrnuty do různých registrů.</w:t>
      </w:r>
    </w:p>
    <w:p w14:paraId="79F6C842" w14:textId="77777777" w:rsidR="00484361" w:rsidRPr="00DE35E8" w:rsidRDefault="00484361" w:rsidP="00B503A1">
      <w:pPr>
        <w:pStyle w:val="ListParagraph"/>
        <w:keepNext/>
        <w:ind w:left="142"/>
        <w:jc w:val="both"/>
        <w:rPr>
          <w:rFonts w:ascii="Arial" w:hAnsi="Arial" w:cs="Arial"/>
          <w:i/>
        </w:rPr>
      </w:pPr>
    </w:p>
    <w:p w14:paraId="0B6D9792" w14:textId="57C28E67" w:rsidR="00484361" w:rsidRPr="00DE35E8" w:rsidRDefault="00DE35E8" w:rsidP="00B503A1">
      <w:pPr>
        <w:keepNext/>
        <w:ind w:left="142"/>
        <w:jc w:val="both"/>
        <w:rPr>
          <w:rFonts w:ascii="Arial" w:hAnsi="Arial" w:cs="Arial"/>
          <w:i/>
        </w:rPr>
      </w:pPr>
      <w:r>
        <w:rPr>
          <w:rFonts w:ascii="Arial" w:hAnsi="Arial"/>
          <w:i/>
        </w:rPr>
        <w:t>a) Olivy:</w:t>
      </w:r>
    </w:p>
    <w:p w14:paraId="065C7ECE" w14:textId="63838FF4" w:rsidR="00484361" w:rsidRPr="00DE35E8" w:rsidRDefault="00484361" w:rsidP="00B503A1">
      <w:pPr>
        <w:pStyle w:val="ListParagraph"/>
        <w:numPr>
          <w:ilvl w:val="0"/>
          <w:numId w:val="2"/>
        </w:numPr>
        <w:jc w:val="both"/>
        <w:rPr>
          <w:rFonts w:ascii="Arial" w:hAnsi="Arial" w:cs="Arial"/>
        </w:rPr>
      </w:pPr>
      <w:r>
        <w:rPr>
          <w:rFonts w:ascii="Arial" w:hAnsi="Arial"/>
        </w:rPr>
        <w:t xml:space="preserve">olivy na výrobu oleje. </w:t>
      </w:r>
    </w:p>
    <w:p w14:paraId="3A54F136" w14:textId="77777777" w:rsidR="00484361" w:rsidRPr="00DE35E8" w:rsidRDefault="00484361" w:rsidP="00B503A1">
      <w:pPr>
        <w:ind w:left="142"/>
        <w:contextualSpacing/>
        <w:rPr>
          <w:rFonts w:ascii="Arial" w:hAnsi="Arial" w:cs="Arial"/>
          <w:i/>
        </w:rPr>
      </w:pPr>
    </w:p>
    <w:p w14:paraId="67B6728A" w14:textId="77DA3D67" w:rsidR="00484361" w:rsidRPr="00DE35E8" w:rsidRDefault="00DE35E8" w:rsidP="00B503A1">
      <w:pPr>
        <w:keepNext/>
        <w:ind w:left="142"/>
        <w:jc w:val="both"/>
        <w:rPr>
          <w:rFonts w:ascii="Arial" w:hAnsi="Arial" w:cs="Arial"/>
          <w:i/>
        </w:rPr>
      </w:pPr>
      <w:r>
        <w:rPr>
          <w:rFonts w:ascii="Arial" w:hAnsi="Arial"/>
          <w:i/>
        </w:rPr>
        <w:t>b) Olivové oleje:</w:t>
      </w:r>
    </w:p>
    <w:p w14:paraId="5D5514BD" w14:textId="5ECD610E" w:rsidR="00484361" w:rsidRPr="00DE35E8" w:rsidRDefault="00484361" w:rsidP="00B503A1">
      <w:pPr>
        <w:pStyle w:val="CM42"/>
        <w:numPr>
          <w:ilvl w:val="0"/>
          <w:numId w:val="2"/>
        </w:numPr>
        <w:contextualSpacing/>
        <w:rPr>
          <w:rFonts w:ascii="Arial" w:hAnsi="Arial" w:cs="Arial"/>
        </w:rPr>
      </w:pPr>
      <w:r>
        <w:rPr>
          <w:rFonts w:ascii="Arial" w:hAnsi="Arial"/>
        </w:rPr>
        <w:t xml:space="preserve">neklasifikovaný olej </w:t>
      </w:r>
    </w:p>
    <w:p w14:paraId="1C6CDB8D" w14:textId="77777777" w:rsidR="00484361" w:rsidRPr="00DE35E8" w:rsidRDefault="00484361" w:rsidP="00B503A1">
      <w:pPr>
        <w:pStyle w:val="CM42"/>
        <w:numPr>
          <w:ilvl w:val="0"/>
          <w:numId w:val="2"/>
        </w:numPr>
        <w:contextualSpacing/>
        <w:rPr>
          <w:rFonts w:ascii="Arial" w:hAnsi="Arial" w:cs="Arial"/>
        </w:rPr>
      </w:pPr>
      <w:r>
        <w:rPr>
          <w:rFonts w:ascii="Arial" w:hAnsi="Arial"/>
        </w:rPr>
        <w:t>extra panenský olivový olej</w:t>
      </w:r>
    </w:p>
    <w:p w14:paraId="172F6533" w14:textId="7B9FEC86" w:rsidR="00484361" w:rsidRPr="00DE35E8" w:rsidRDefault="00484361" w:rsidP="00B503A1">
      <w:pPr>
        <w:pStyle w:val="CM42"/>
        <w:numPr>
          <w:ilvl w:val="0"/>
          <w:numId w:val="2"/>
        </w:numPr>
        <w:contextualSpacing/>
        <w:rPr>
          <w:rFonts w:ascii="Arial" w:hAnsi="Arial" w:cs="Arial"/>
        </w:rPr>
      </w:pPr>
      <w:r>
        <w:rPr>
          <w:rFonts w:ascii="Arial" w:hAnsi="Arial"/>
        </w:rPr>
        <w:t>panenský olivový olej</w:t>
      </w:r>
    </w:p>
    <w:p w14:paraId="104A191E" w14:textId="24A39C02" w:rsidR="00484361" w:rsidRPr="00DE35E8" w:rsidRDefault="00484361" w:rsidP="00B503A1">
      <w:pPr>
        <w:pStyle w:val="CM42"/>
        <w:numPr>
          <w:ilvl w:val="0"/>
          <w:numId w:val="2"/>
        </w:numPr>
        <w:contextualSpacing/>
        <w:rPr>
          <w:rFonts w:ascii="Arial" w:hAnsi="Arial" w:cs="Arial"/>
        </w:rPr>
      </w:pPr>
      <w:r>
        <w:rPr>
          <w:rFonts w:ascii="Arial" w:hAnsi="Arial"/>
        </w:rPr>
        <w:t xml:space="preserve">(„lampantový“) olivový olej nízké jakosti </w:t>
      </w:r>
    </w:p>
    <w:p w14:paraId="05B2413C" w14:textId="77777777" w:rsidR="00484361" w:rsidRPr="00DE35E8" w:rsidRDefault="00484361" w:rsidP="00B503A1">
      <w:pPr>
        <w:pStyle w:val="CM42"/>
        <w:numPr>
          <w:ilvl w:val="0"/>
          <w:numId w:val="2"/>
        </w:numPr>
        <w:contextualSpacing/>
        <w:rPr>
          <w:rFonts w:ascii="Arial" w:hAnsi="Arial" w:cs="Arial"/>
        </w:rPr>
      </w:pPr>
      <w:r>
        <w:rPr>
          <w:rFonts w:ascii="Arial" w:hAnsi="Arial"/>
        </w:rPr>
        <w:t xml:space="preserve">rafinovaný olivový olej </w:t>
      </w:r>
    </w:p>
    <w:p w14:paraId="227D4A27" w14:textId="29B464A5" w:rsidR="00484361" w:rsidRPr="00DE35E8" w:rsidRDefault="00484361" w:rsidP="00B503A1">
      <w:pPr>
        <w:pStyle w:val="CM42"/>
        <w:numPr>
          <w:ilvl w:val="0"/>
          <w:numId w:val="2"/>
        </w:numPr>
        <w:contextualSpacing/>
        <w:jc w:val="both"/>
        <w:rPr>
          <w:rFonts w:ascii="Arial" w:hAnsi="Arial" w:cs="Arial"/>
        </w:rPr>
      </w:pPr>
      <w:r>
        <w:rPr>
          <w:rFonts w:ascii="Arial" w:hAnsi="Arial"/>
        </w:rPr>
        <w:t>olivový olej - obsahuje pouze rafinované olivové oleje a panenské olivové oleje.</w:t>
      </w:r>
    </w:p>
    <w:p w14:paraId="3B928C37" w14:textId="77777777" w:rsidR="00484361" w:rsidRPr="00DE35E8" w:rsidRDefault="00484361" w:rsidP="00B503A1">
      <w:pPr>
        <w:rPr>
          <w:rFonts w:ascii="Arial" w:hAnsi="Arial" w:cs="Arial"/>
          <w:lang w:eastAsia="en-US"/>
        </w:rPr>
      </w:pPr>
    </w:p>
    <w:p w14:paraId="0019EFDA" w14:textId="200688A7" w:rsidR="00484361" w:rsidRPr="00DE35E8" w:rsidRDefault="00DE35E8" w:rsidP="00B503A1">
      <w:pPr>
        <w:keepNext/>
        <w:ind w:left="142"/>
        <w:jc w:val="both"/>
        <w:rPr>
          <w:rFonts w:ascii="Arial" w:hAnsi="Arial" w:cs="Arial"/>
        </w:rPr>
      </w:pPr>
      <w:r>
        <w:rPr>
          <w:rFonts w:ascii="Arial" w:hAnsi="Arial"/>
          <w:i/>
        </w:rPr>
        <w:lastRenderedPageBreak/>
        <w:t>c) Olivové oleje z pokrutin:</w:t>
      </w:r>
      <w:r>
        <w:rPr>
          <w:rFonts w:ascii="Arial" w:hAnsi="Arial"/>
        </w:rPr>
        <w:t xml:space="preserve"> </w:t>
      </w:r>
    </w:p>
    <w:p w14:paraId="7E1337D0" w14:textId="5F3642CC" w:rsidR="00484361" w:rsidRPr="00DE35E8" w:rsidRDefault="00484361" w:rsidP="00B503A1">
      <w:pPr>
        <w:pStyle w:val="CM42"/>
        <w:numPr>
          <w:ilvl w:val="0"/>
          <w:numId w:val="2"/>
        </w:numPr>
        <w:contextualSpacing/>
        <w:rPr>
          <w:rFonts w:ascii="Arial" w:hAnsi="Arial" w:cs="Arial"/>
        </w:rPr>
      </w:pPr>
      <w:r>
        <w:rPr>
          <w:rFonts w:ascii="Arial" w:hAnsi="Arial"/>
        </w:rPr>
        <w:t>surový olivový olej z pokrutin</w:t>
      </w:r>
    </w:p>
    <w:p w14:paraId="42511A8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rafinovaný olivový olej z pokrutin </w:t>
      </w:r>
    </w:p>
    <w:p w14:paraId="3C7481B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olivový olej z pokrutin. </w:t>
      </w:r>
    </w:p>
    <w:p w14:paraId="5CA22CCA" w14:textId="77777777" w:rsidR="00484361" w:rsidRPr="00DE35E8" w:rsidRDefault="00484361" w:rsidP="00B503A1">
      <w:pPr>
        <w:rPr>
          <w:rFonts w:ascii="Arial" w:hAnsi="Arial" w:cs="Arial"/>
          <w:lang w:eastAsia="en-US"/>
        </w:rPr>
      </w:pPr>
    </w:p>
    <w:p w14:paraId="549D2842" w14:textId="019C4435" w:rsidR="00484361" w:rsidRPr="00DE35E8" w:rsidRDefault="00DE35E8" w:rsidP="00B503A1">
      <w:pPr>
        <w:keepNext/>
        <w:ind w:left="142"/>
        <w:jc w:val="both"/>
        <w:rPr>
          <w:rFonts w:ascii="Arial" w:hAnsi="Arial" w:cs="Arial"/>
          <w:i/>
        </w:rPr>
      </w:pPr>
      <w:r>
        <w:rPr>
          <w:rFonts w:ascii="Arial" w:hAnsi="Arial"/>
          <w:i/>
        </w:rPr>
        <w:t>d) Vedlejší produkty ze všech zařízení, ze kterých lze získat olej.</w:t>
      </w:r>
    </w:p>
    <w:p w14:paraId="22AAFA9B" w14:textId="77777777" w:rsidR="00484361" w:rsidRPr="00DE35E8" w:rsidRDefault="00484361" w:rsidP="00B503A1">
      <w:pPr>
        <w:ind w:hanging="142"/>
        <w:jc w:val="both"/>
        <w:rPr>
          <w:rFonts w:ascii="Arial" w:hAnsi="Arial" w:cs="Arial"/>
        </w:rPr>
      </w:pPr>
    </w:p>
    <w:p w14:paraId="145CCEFF" w14:textId="3B030B40" w:rsidR="00484361" w:rsidRPr="00DE35E8" w:rsidRDefault="00DE35E8" w:rsidP="00B503A1">
      <w:pPr>
        <w:keepNext/>
        <w:ind w:left="142"/>
        <w:jc w:val="both"/>
        <w:rPr>
          <w:rFonts w:ascii="Arial" w:hAnsi="Arial" w:cs="Arial"/>
          <w:i/>
        </w:rPr>
      </w:pPr>
      <w:r>
        <w:rPr>
          <w:rFonts w:ascii="Arial" w:hAnsi="Arial"/>
          <w:i/>
        </w:rPr>
        <w:t>e) Ostatní jedlé rostlinné oleje.</w:t>
      </w:r>
    </w:p>
    <w:p w14:paraId="477DD970" w14:textId="77777777" w:rsidR="00484361" w:rsidRPr="00DE35E8" w:rsidRDefault="00484361" w:rsidP="00B503A1">
      <w:pPr>
        <w:ind w:left="426"/>
        <w:contextualSpacing/>
        <w:jc w:val="both"/>
        <w:rPr>
          <w:rFonts w:ascii="Arial" w:hAnsi="Arial" w:cs="Arial"/>
        </w:rPr>
      </w:pPr>
      <w:r>
        <w:rPr>
          <w:rFonts w:ascii="Arial" w:hAnsi="Arial"/>
        </w:rPr>
        <w:t xml:space="preserve">V případě odvětví a provozovatelů, kteří kromě práce s olivovým olejem a olivovým olejem z pokrutin připravují, rafinují, skladují nebo balí i jiné jedlé rostlinné oleje. </w:t>
      </w:r>
    </w:p>
    <w:p w14:paraId="5FA18D30" w14:textId="3C3D1D64" w:rsidR="00484361" w:rsidRPr="00DE35E8" w:rsidRDefault="009F27E3" w:rsidP="00B503A1">
      <w:pPr>
        <w:keepNext/>
        <w:spacing w:before="100" w:beforeAutospacing="1" w:after="100" w:afterAutospacing="1"/>
        <w:jc w:val="both"/>
        <w:rPr>
          <w:rFonts w:ascii="Arial" w:eastAsia="Calibri" w:hAnsi="Arial" w:cs="Arial"/>
          <w:b/>
        </w:rPr>
      </w:pPr>
      <w:r>
        <w:rPr>
          <w:rFonts w:ascii="Arial" w:hAnsi="Arial"/>
          <w:b/>
        </w:rPr>
        <w:t>Část C. Informace, které musí být obsaženy v příchozích a odchozích registrech.</w:t>
      </w:r>
    </w:p>
    <w:p w14:paraId="53B25609" w14:textId="49367A8D" w:rsidR="00484361" w:rsidRPr="00DE35E8" w:rsidRDefault="00484361" w:rsidP="00B503A1">
      <w:pPr>
        <w:spacing w:before="100" w:beforeAutospacing="1" w:after="100" w:afterAutospacing="1"/>
        <w:jc w:val="both"/>
        <w:rPr>
          <w:rFonts w:ascii="Arial" w:hAnsi="Arial" w:cs="Arial"/>
        </w:rPr>
      </w:pPr>
      <w:r>
        <w:rPr>
          <w:rFonts w:ascii="Arial" w:hAnsi="Arial"/>
        </w:rPr>
        <w:t>a) Identifikace průvodního dokladu, je-li to vhodné.</w:t>
      </w:r>
    </w:p>
    <w:p w14:paraId="7B9B6AD0" w14:textId="7ED8B725" w:rsidR="00484361" w:rsidRPr="00DE35E8" w:rsidRDefault="00484361" w:rsidP="00B503A1">
      <w:pPr>
        <w:spacing w:before="100" w:beforeAutospacing="1" w:after="100" w:afterAutospacing="1"/>
        <w:jc w:val="both"/>
        <w:rPr>
          <w:rFonts w:ascii="Arial" w:hAnsi="Arial" w:cs="Arial"/>
        </w:rPr>
      </w:pPr>
      <w:r>
        <w:rPr>
          <w:rFonts w:ascii="Arial" w:hAnsi="Arial"/>
        </w:rPr>
        <w:t xml:space="preserve">b) Identifikace prodávajícího nebo dodavatele: název, adresa, daňové identifikační číslo a adresa zařízení původu. U posledně jmenovaného se uvede také název a daňové identifikační číslo, pokud se liší od jména prodávajícího nebo dodavatele. </w:t>
      </w:r>
    </w:p>
    <w:p w14:paraId="145D9BB6" w14:textId="538165C5" w:rsidR="00484361" w:rsidRPr="00DE35E8" w:rsidRDefault="00484361" w:rsidP="00B503A1">
      <w:pPr>
        <w:spacing w:before="100" w:beforeAutospacing="1" w:after="100" w:afterAutospacing="1"/>
        <w:jc w:val="both"/>
        <w:rPr>
          <w:rFonts w:ascii="Arial" w:hAnsi="Arial" w:cs="Arial"/>
        </w:rPr>
      </w:pPr>
      <w:r>
        <w:rPr>
          <w:rFonts w:ascii="Arial" w:hAnsi="Arial"/>
        </w:rPr>
        <w:t xml:space="preserve">c) Identifikace kupujícího nebo příjemce, včetně maloobchodníka, který olej v lahvích naposledy obdržel: název, adresa, daňové identifikační číslo a adresa cílového zařízení. U posledně jmenovaného se uvede také název a daňové identifikační číslo, pokud se liší od jména kupujícího nebo příjemce. </w:t>
      </w:r>
    </w:p>
    <w:p w14:paraId="662B49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 xml:space="preserve">d) Identifikace produktu: název, šarže, množství a vlastnosti považované za relevantní pro jeho identifikaci, jako je volně ložený stav, balení, označení, mokrý nebo suchý. </w:t>
      </w:r>
    </w:p>
    <w:p w14:paraId="25A3BFDC" w14:textId="77777777" w:rsidR="00484361" w:rsidRPr="00DE35E8" w:rsidRDefault="00484361" w:rsidP="00B503A1">
      <w:pPr>
        <w:spacing w:before="100" w:beforeAutospacing="1" w:after="100" w:afterAutospacing="1"/>
        <w:jc w:val="both"/>
        <w:rPr>
          <w:rFonts w:ascii="Arial" w:hAnsi="Arial" w:cs="Arial"/>
          <w:strike/>
        </w:rPr>
      </w:pPr>
      <w:r>
        <w:rPr>
          <w:rFonts w:ascii="Arial" w:hAnsi="Arial"/>
        </w:rPr>
        <w:t>e) Označení původu produktu: země původu. Za účelem dodržení článku 4 prováděcího nařízení Komise (EU) č. 29/2012 ze dne 13. ledna 2012 se případně uvede Španělsko, členský stát, Evropská unie, nebo název třetí země, jak je stanoveno v tomto nařízení.</w:t>
      </w:r>
    </w:p>
    <w:p w14:paraId="16041359" w14:textId="04AB9B43" w:rsidR="00484361" w:rsidRPr="00DE35E8" w:rsidRDefault="00484361" w:rsidP="00B503A1">
      <w:pPr>
        <w:spacing w:before="100" w:beforeAutospacing="1" w:after="100" w:afterAutospacing="1"/>
        <w:jc w:val="both"/>
        <w:rPr>
          <w:rFonts w:ascii="Arial" w:hAnsi="Arial" w:cs="Arial"/>
        </w:rPr>
      </w:pPr>
      <w:r>
        <w:rPr>
          <w:rFonts w:ascii="Arial" w:hAnsi="Arial"/>
        </w:rPr>
        <w:t>f) Vlastnosti produktu, které musí být uvedeny na etiketě.</w:t>
      </w:r>
    </w:p>
    <w:p w14:paraId="3566E8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g) Datum operace.</w:t>
      </w:r>
    </w:p>
    <w:p w14:paraId="47E675BE" w14:textId="77777777" w:rsidR="00484361" w:rsidRPr="00DE35E8" w:rsidRDefault="00484361" w:rsidP="00B503A1">
      <w:pPr>
        <w:spacing w:before="100" w:beforeAutospacing="1" w:after="100" w:afterAutospacing="1"/>
        <w:jc w:val="both"/>
        <w:rPr>
          <w:rFonts w:ascii="Arial" w:hAnsi="Arial" w:cs="Arial"/>
        </w:rPr>
      </w:pPr>
      <w:r>
        <w:rPr>
          <w:rFonts w:ascii="Arial" w:hAnsi="Arial"/>
        </w:rPr>
        <w:t>h) Identifikace dopravce: společnost (název, adresa, daňové identifikační číslo), typ vozidla a registrační značka nebo případně jiná forma legální identifikace dopravního prostředku.</w:t>
      </w:r>
    </w:p>
    <w:p w14:paraId="6F3FE0F9" w14:textId="6A409A75" w:rsidR="00484361" w:rsidRPr="00DE35E8" w:rsidRDefault="00DA31DD" w:rsidP="00B503A1">
      <w:pPr>
        <w:keepNext/>
        <w:spacing w:before="100" w:beforeAutospacing="1"/>
        <w:jc w:val="both"/>
        <w:rPr>
          <w:rFonts w:ascii="Arial" w:hAnsi="Arial" w:cs="Arial"/>
          <w:b/>
        </w:rPr>
      </w:pPr>
      <w:r>
        <w:rPr>
          <w:rFonts w:ascii="Arial" w:hAnsi="Arial"/>
          <w:b/>
        </w:rPr>
        <w:t>Část D. Informace, které musí být obsaženy ve vnitřním registru sledovatelnosti.</w:t>
      </w:r>
    </w:p>
    <w:p w14:paraId="00A6A054" w14:textId="77777777" w:rsidR="00484361" w:rsidRPr="00DE35E8" w:rsidRDefault="00484361" w:rsidP="00B503A1">
      <w:pPr>
        <w:keepNext/>
        <w:jc w:val="both"/>
        <w:rPr>
          <w:rFonts w:ascii="Arial" w:hAnsi="Arial" w:cs="Arial"/>
        </w:rPr>
      </w:pPr>
    </w:p>
    <w:p w14:paraId="13617156" w14:textId="77777777" w:rsidR="00484361" w:rsidRPr="00DE35E8" w:rsidRDefault="00484361" w:rsidP="00B503A1">
      <w:pPr>
        <w:keepNext/>
        <w:jc w:val="both"/>
        <w:rPr>
          <w:rFonts w:ascii="Arial" w:hAnsi="Arial" w:cs="Arial"/>
        </w:rPr>
      </w:pPr>
      <w:r>
        <w:rPr>
          <w:rFonts w:ascii="Arial" w:hAnsi="Arial"/>
        </w:rPr>
        <w:t>Vnitřní systém sledovatelnosti musí obsahovat alespoň tyto informace:</w:t>
      </w:r>
    </w:p>
    <w:p w14:paraId="1C45BA46" w14:textId="77777777" w:rsidR="00484361" w:rsidRPr="00DE35E8" w:rsidRDefault="00484361" w:rsidP="00B503A1">
      <w:pPr>
        <w:keepNext/>
        <w:spacing w:before="100" w:beforeAutospacing="1" w:after="240"/>
        <w:contextualSpacing/>
        <w:jc w:val="both"/>
        <w:rPr>
          <w:rFonts w:ascii="Arial" w:hAnsi="Arial" w:cs="Arial"/>
        </w:rPr>
      </w:pPr>
    </w:p>
    <w:p w14:paraId="3A07E017" w14:textId="54DBBE26" w:rsidR="00484361" w:rsidRPr="00DE35E8" w:rsidRDefault="00484361" w:rsidP="00B503A1">
      <w:pPr>
        <w:spacing w:before="100" w:beforeAutospacing="1" w:after="240"/>
        <w:contextualSpacing/>
        <w:jc w:val="both"/>
        <w:rPr>
          <w:rFonts w:ascii="Arial" w:hAnsi="Arial" w:cs="Arial"/>
        </w:rPr>
      </w:pPr>
      <w:r>
        <w:rPr>
          <w:rFonts w:ascii="Arial" w:hAnsi="Arial"/>
        </w:rPr>
        <w:t>a) Prováděná operace nebo postup.</w:t>
      </w:r>
    </w:p>
    <w:p w14:paraId="5B2CAD94" w14:textId="77777777" w:rsidR="00484361" w:rsidRPr="00DE35E8" w:rsidRDefault="00484361" w:rsidP="00B503A1">
      <w:pPr>
        <w:spacing w:before="100" w:beforeAutospacing="1" w:after="240"/>
        <w:contextualSpacing/>
        <w:jc w:val="both"/>
        <w:rPr>
          <w:rFonts w:ascii="Arial" w:hAnsi="Arial" w:cs="Arial"/>
        </w:rPr>
      </w:pPr>
    </w:p>
    <w:p w14:paraId="5C0BF968" w14:textId="77777777" w:rsidR="00484361" w:rsidRPr="00DE35E8" w:rsidRDefault="00484361" w:rsidP="00B503A1">
      <w:pPr>
        <w:spacing w:before="100" w:beforeAutospacing="1" w:after="240"/>
        <w:contextualSpacing/>
        <w:jc w:val="both"/>
        <w:rPr>
          <w:rFonts w:ascii="Arial" w:hAnsi="Arial" w:cs="Arial"/>
        </w:rPr>
      </w:pPr>
      <w:r>
        <w:rPr>
          <w:rFonts w:ascii="Arial" w:hAnsi="Arial"/>
        </w:rPr>
        <w:t xml:space="preserve">b) Identifikace zdrojových produktů: název, šarže (je-li relevantní), množství. </w:t>
      </w:r>
    </w:p>
    <w:p w14:paraId="526BE12C" w14:textId="77777777" w:rsidR="00484361" w:rsidRPr="00DE35E8" w:rsidRDefault="00484361" w:rsidP="00B503A1">
      <w:pPr>
        <w:spacing w:before="100" w:beforeAutospacing="1" w:after="240"/>
        <w:contextualSpacing/>
        <w:jc w:val="both"/>
        <w:rPr>
          <w:rFonts w:ascii="Arial" w:hAnsi="Arial" w:cs="Arial"/>
        </w:rPr>
      </w:pPr>
    </w:p>
    <w:p w14:paraId="0FAA3F63" w14:textId="2AF5C43D" w:rsidR="00484361" w:rsidRPr="00DE35E8" w:rsidRDefault="00484361" w:rsidP="00B503A1">
      <w:pPr>
        <w:spacing w:before="100" w:beforeAutospacing="1" w:after="240"/>
        <w:contextualSpacing/>
        <w:jc w:val="both"/>
        <w:rPr>
          <w:rFonts w:ascii="Arial" w:hAnsi="Arial" w:cs="Arial"/>
        </w:rPr>
      </w:pPr>
      <w:r>
        <w:rPr>
          <w:rFonts w:ascii="Arial" w:hAnsi="Arial"/>
        </w:rPr>
        <w:t xml:space="preserve">c) Identifikace získaných produktů: název, šarže (je-li relevantní), množství. </w:t>
      </w:r>
    </w:p>
    <w:p w14:paraId="114E69BF" w14:textId="77777777" w:rsidR="00484361" w:rsidRPr="00DE35E8" w:rsidRDefault="00484361" w:rsidP="00B503A1">
      <w:pPr>
        <w:spacing w:before="100" w:beforeAutospacing="1" w:after="240"/>
        <w:contextualSpacing/>
        <w:jc w:val="both"/>
        <w:rPr>
          <w:rFonts w:ascii="Arial" w:hAnsi="Arial" w:cs="Arial"/>
        </w:rPr>
      </w:pPr>
    </w:p>
    <w:p w14:paraId="083B8162" w14:textId="77777777" w:rsidR="00484361" w:rsidRPr="00DE35E8" w:rsidRDefault="00484361" w:rsidP="00B503A1">
      <w:pPr>
        <w:spacing w:before="100" w:beforeAutospacing="1" w:after="240"/>
        <w:contextualSpacing/>
        <w:jc w:val="both"/>
        <w:rPr>
          <w:rFonts w:ascii="Arial" w:hAnsi="Arial" w:cs="Arial"/>
        </w:rPr>
      </w:pPr>
      <w:r>
        <w:rPr>
          <w:rFonts w:ascii="Arial" w:hAnsi="Arial"/>
        </w:rPr>
        <w:lastRenderedPageBreak/>
        <w:t>d) Datum operace a případně čas.</w:t>
      </w:r>
    </w:p>
    <w:p w14:paraId="6DDF3A88" w14:textId="77777777" w:rsidR="00484361" w:rsidRPr="00DE35E8" w:rsidRDefault="00484361" w:rsidP="00B503A1">
      <w:pPr>
        <w:jc w:val="both"/>
        <w:rPr>
          <w:rFonts w:ascii="Arial" w:hAnsi="Arial" w:cs="Arial"/>
        </w:rPr>
      </w:pPr>
    </w:p>
    <w:p w14:paraId="27D55A82" w14:textId="262A2876" w:rsidR="00484361" w:rsidRPr="00DE35E8" w:rsidRDefault="00484361" w:rsidP="00B503A1">
      <w:pPr>
        <w:jc w:val="both"/>
        <w:rPr>
          <w:rFonts w:ascii="Arial" w:hAnsi="Arial" w:cs="Arial"/>
        </w:rPr>
      </w:pPr>
      <w:r>
        <w:rPr>
          <w:rFonts w:ascii="Arial" w:hAnsi="Arial"/>
        </w:rPr>
        <w:t>e) Vnitřní původ zdrojových produktů (sklad, nádrž, násypka, linka na zpracování atd.). Množství ve zdrojových nádržích.</w:t>
      </w:r>
    </w:p>
    <w:p w14:paraId="3EFE04AB" w14:textId="77777777" w:rsidR="00484361" w:rsidRPr="00DE35E8" w:rsidRDefault="00484361" w:rsidP="00B503A1">
      <w:pPr>
        <w:jc w:val="both"/>
        <w:rPr>
          <w:rFonts w:ascii="Arial" w:hAnsi="Arial" w:cs="Arial"/>
        </w:rPr>
      </w:pPr>
    </w:p>
    <w:p w14:paraId="3205ECFD" w14:textId="3537B89D" w:rsidR="00484361" w:rsidRPr="00DE35E8" w:rsidRDefault="00CA3437" w:rsidP="00B503A1">
      <w:pPr>
        <w:jc w:val="both"/>
        <w:rPr>
          <w:rFonts w:ascii="Arial" w:hAnsi="Arial" w:cs="Arial"/>
        </w:rPr>
      </w:pPr>
      <w:r>
        <w:rPr>
          <w:rFonts w:ascii="Arial" w:hAnsi="Arial"/>
        </w:rPr>
        <w:t>e) Vnitřní místo určení nebo použití získaných produktů (sklad, nádrž, násypka, linka na zpracování atd.). Množství v cílových nádržích.</w:t>
      </w:r>
    </w:p>
    <w:p w14:paraId="1E0AD74F" w14:textId="45F98849" w:rsidR="00527443" w:rsidRPr="00DE35E8" w:rsidRDefault="0007779F" w:rsidP="00B503A1">
      <w:pPr>
        <w:pStyle w:val="Default"/>
        <w:keepNext/>
        <w:tabs>
          <w:tab w:val="left" w:pos="6765"/>
          <w:tab w:val="right" w:pos="9070"/>
        </w:tabs>
        <w:spacing w:before="100" w:beforeAutospacing="1" w:after="100" w:afterAutospacing="1"/>
        <w:jc w:val="center"/>
        <w:rPr>
          <w:color w:val="auto"/>
        </w:rPr>
      </w:pPr>
      <w:r>
        <w:rPr>
          <w:color w:val="auto"/>
        </w:rPr>
        <w:t>PŘÍLOHA II</w:t>
      </w:r>
    </w:p>
    <w:p w14:paraId="4DC11A5E" w14:textId="186B9DDA" w:rsidR="0007779F" w:rsidRPr="00DE35E8" w:rsidRDefault="00527443" w:rsidP="00B503A1">
      <w:pPr>
        <w:pStyle w:val="Default"/>
        <w:keepNext/>
        <w:tabs>
          <w:tab w:val="left" w:pos="6765"/>
          <w:tab w:val="right" w:pos="9070"/>
        </w:tabs>
        <w:spacing w:before="100" w:beforeAutospacing="1" w:after="100" w:afterAutospacing="1"/>
        <w:jc w:val="center"/>
        <w:rPr>
          <w:b/>
          <w:color w:val="auto"/>
        </w:rPr>
      </w:pPr>
      <w:r>
        <w:rPr>
          <w:b/>
          <w:color w:val="auto"/>
        </w:rPr>
        <w:t>Minimální informace, které musí být obsaženy v přepravním dokladu.</w:t>
      </w:r>
    </w:p>
    <w:p w14:paraId="1DA8041F" w14:textId="3F430D4F" w:rsidR="00EE7990"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A. Identifikace produktu: </w:t>
      </w:r>
    </w:p>
    <w:p w14:paraId="0CCB8999" w14:textId="38244525" w:rsidR="00494357" w:rsidRPr="00DE35E8" w:rsidRDefault="00FC72C5" w:rsidP="00B503A1">
      <w:pPr>
        <w:spacing w:before="100" w:beforeAutospacing="1" w:after="100" w:afterAutospacing="1"/>
        <w:jc w:val="both"/>
        <w:rPr>
          <w:rFonts w:ascii="Arial" w:hAnsi="Arial" w:cs="Arial"/>
        </w:rPr>
      </w:pPr>
      <w:r>
        <w:rPr>
          <w:rFonts w:ascii="Arial" w:hAnsi="Arial"/>
        </w:rPr>
        <w:t xml:space="preserve">- identifikace produktu: název stanovený v příslušných právních předpisech, šarže, množství a vlastnosti považované za relevantní pro jeho identifikaci, jako je volně ložený stav, balení, označení, mokrý nebo suchý; </w:t>
      </w:r>
    </w:p>
    <w:p w14:paraId="776A6D19" w14:textId="627D7348" w:rsidR="00494357" w:rsidRPr="00DE35E8" w:rsidRDefault="00FC72C5" w:rsidP="00B503A1">
      <w:pPr>
        <w:spacing w:before="100" w:beforeAutospacing="1" w:after="100" w:afterAutospacing="1"/>
        <w:jc w:val="both"/>
        <w:rPr>
          <w:rFonts w:ascii="Arial" w:hAnsi="Arial" w:cs="Arial"/>
        </w:rPr>
      </w:pPr>
      <w:r>
        <w:rPr>
          <w:rFonts w:ascii="Arial" w:hAnsi="Arial"/>
        </w:rPr>
        <w:t xml:space="preserve">- označení původu produktu: země původu; </w:t>
      </w:r>
    </w:p>
    <w:p w14:paraId="18369A5C" w14:textId="5FE69858" w:rsidR="00B43CE6" w:rsidRPr="00DE35E8" w:rsidRDefault="00FC72C5" w:rsidP="00B503A1">
      <w:pPr>
        <w:spacing w:before="100" w:beforeAutospacing="1" w:after="100" w:afterAutospacing="1"/>
        <w:jc w:val="both"/>
        <w:rPr>
          <w:rFonts w:ascii="Arial" w:hAnsi="Arial" w:cs="Arial"/>
        </w:rPr>
      </w:pPr>
      <w:r>
        <w:rPr>
          <w:rFonts w:ascii="Arial" w:hAnsi="Arial"/>
        </w:rPr>
        <w:t xml:space="preserve">- u volně ložených produktů: jakékoli další volitelné údaje, které mohou být následně přidány k označení, jako je odrůda, období sklizně, extrakce za studena, první lisování za studena, ekologická produkce atd.; </w:t>
      </w:r>
    </w:p>
    <w:p w14:paraId="0ED38799" w14:textId="376107C8" w:rsidR="004936CE" w:rsidRPr="00DE35E8" w:rsidRDefault="00FC72C5" w:rsidP="00B503A1">
      <w:pPr>
        <w:pStyle w:val="Default"/>
        <w:tabs>
          <w:tab w:val="left" w:pos="6765"/>
          <w:tab w:val="right" w:pos="9070"/>
        </w:tabs>
        <w:spacing w:before="100" w:beforeAutospacing="1" w:after="100" w:afterAutospacing="1"/>
        <w:rPr>
          <w:color w:val="auto"/>
        </w:rPr>
      </w:pPr>
      <w:r>
        <w:rPr>
          <w:color w:val="auto"/>
        </w:rPr>
        <w:t>- množství produktu.</w:t>
      </w:r>
    </w:p>
    <w:p w14:paraId="0101D6BB" w14:textId="277E9C68"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B. Údaje o původu zboží: </w:t>
      </w:r>
    </w:p>
    <w:p w14:paraId="00276DE0" w14:textId="77777777" w:rsidR="006400A7" w:rsidRPr="00DE35E8" w:rsidRDefault="00494357" w:rsidP="00B503A1">
      <w:pPr>
        <w:spacing w:before="100" w:beforeAutospacing="1" w:after="100" w:afterAutospacing="1"/>
        <w:jc w:val="both"/>
        <w:rPr>
          <w:rFonts w:ascii="Arial" w:hAnsi="Arial" w:cs="Arial"/>
        </w:rPr>
      </w:pPr>
      <w:r>
        <w:rPr>
          <w:rFonts w:ascii="Arial" w:hAnsi="Arial"/>
        </w:rPr>
        <w:t xml:space="preserve">Identifikace prodejce nebo dodavatele: název, adresa, daňové identifikační číslo a adresa zařízení původu. </w:t>
      </w:r>
    </w:p>
    <w:p w14:paraId="47A1EED0" w14:textId="34D23AD3" w:rsidR="00494357" w:rsidRPr="00DE35E8" w:rsidRDefault="00EE422C" w:rsidP="00B503A1">
      <w:pPr>
        <w:spacing w:before="100" w:beforeAutospacing="1" w:after="100" w:afterAutospacing="1"/>
        <w:jc w:val="both"/>
        <w:rPr>
          <w:rFonts w:ascii="Arial" w:hAnsi="Arial" w:cs="Arial"/>
          <w:strike/>
        </w:rPr>
      </w:pPr>
      <w:r>
        <w:rPr>
          <w:rFonts w:ascii="Arial" w:hAnsi="Arial"/>
        </w:rPr>
        <w:t>U posledně jmenovaného se uvede také název a daňové identifikační číslo, pokud se liší od jména prodávajícího nebo dodavatele.</w:t>
      </w:r>
      <w:r>
        <w:rPr>
          <w:rFonts w:ascii="Arial" w:hAnsi="Arial"/>
          <w:strike/>
        </w:rPr>
        <w:t xml:space="preserve"> </w:t>
      </w:r>
    </w:p>
    <w:p w14:paraId="73A0AD8C" w14:textId="3D82D2A7"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C. Přepravní údaje: </w:t>
      </w:r>
    </w:p>
    <w:p w14:paraId="7CE66301" w14:textId="239BAB3B" w:rsidR="0007779F" w:rsidRPr="00DE35E8" w:rsidRDefault="0007779F" w:rsidP="00B503A1">
      <w:pPr>
        <w:pStyle w:val="Default"/>
        <w:tabs>
          <w:tab w:val="left" w:pos="6765"/>
          <w:tab w:val="right" w:pos="9070"/>
        </w:tabs>
        <w:spacing w:before="100" w:beforeAutospacing="1" w:after="100" w:afterAutospacing="1"/>
        <w:jc w:val="both"/>
        <w:rPr>
          <w:color w:val="auto"/>
        </w:rPr>
      </w:pPr>
      <w:r>
        <w:rPr>
          <w:color w:val="auto"/>
        </w:rPr>
        <w:t>Identifikace přepravní společnosti a použitého dopravního prostředku a datum přepravy.</w:t>
      </w:r>
    </w:p>
    <w:p w14:paraId="6A6D6E3A" w14:textId="0ECBDA4F" w:rsidR="00494357" w:rsidRPr="00DE35E8" w:rsidRDefault="009F27E3" w:rsidP="00B503A1">
      <w:pPr>
        <w:keepNext/>
        <w:spacing w:before="100" w:beforeAutospacing="1" w:after="100" w:afterAutospacing="1"/>
        <w:jc w:val="both"/>
        <w:rPr>
          <w:rFonts w:ascii="Arial" w:hAnsi="Arial" w:cs="Arial"/>
          <w:b/>
        </w:rPr>
      </w:pPr>
      <w:r>
        <w:rPr>
          <w:rFonts w:ascii="Arial" w:hAnsi="Arial"/>
          <w:b/>
        </w:rPr>
        <w:t xml:space="preserve">D. Údaje o místě určení zboží: </w:t>
      </w:r>
    </w:p>
    <w:p w14:paraId="518F49D9" w14:textId="7572094F" w:rsidR="006400A7" w:rsidRPr="00DE35E8" w:rsidRDefault="00494357" w:rsidP="00B503A1">
      <w:pPr>
        <w:spacing w:before="100" w:beforeAutospacing="1" w:after="100" w:afterAutospacing="1"/>
        <w:jc w:val="both"/>
        <w:rPr>
          <w:rFonts w:ascii="Arial" w:hAnsi="Arial" w:cs="Arial"/>
        </w:rPr>
      </w:pPr>
      <w:r>
        <w:rPr>
          <w:rFonts w:ascii="Arial" w:hAnsi="Arial"/>
        </w:rPr>
        <w:t xml:space="preserve">Identifikace kupujícího nebo příjemce, včetně maloobchodníka, který olej v lahvích naposledy obdržel: název, adresa, daňové identifikační číslo a adresa cílového zařízení. U posledně jmenovaného se uvede také název a daňové identifikační číslo, pokud se liší od jména kupujícího nebo příjemce. </w:t>
      </w:r>
    </w:p>
    <w:p w14:paraId="7A7B7947" w14:textId="77777777" w:rsidR="00F44FDF" w:rsidRPr="00DE35E8" w:rsidRDefault="00F44FDF" w:rsidP="00B503A1">
      <w:pPr>
        <w:pStyle w:val="Pa10"/>
        <w:keepNext/>
        <w:spacing w:before="100" w:beforeAutospacing="1" w:after="100" w:afterAutospacing="1" w:line="240" w:lineRule="auto"/>
        <w:jc w:val="center"/>
        <w:rPr>
          <w:rFonts w:cs="Arial"/>
        </w:rPr>
      </w:pPr>
      <w:r>
        <w:lastRenderedPageBreak/>
        <w:t>PŘÍLOHA III</w:t>
      </w:r>
    </w:p>
    <w:p w14:paraId="6DE89D44" w14:textId="77777777" w:rsidR="00F44FDF" w:rsidRPr="00DE35E8" w:rsidRDefault="00F44FDF" w:rsidP="00B503A1">
      <w:pPr>
        <w:pStyle w:val="Pa10"/>
        <w:keepNext/>
        <w:spacing w:before="100" w:beforeAutospacing="1" w:after="100" w:afterAutospacing="1" w:line="240" w:lineRule="auto"/>
        <w:jc w:val="center"/>
        <w:rPr>
          <w:rFonts w:cs="Arial"/>
          <w:b/>
        </w:rPr>
      </w:pPr>
      <w:r>
        <w:rPr>
          <w:b/>
        </w:rPr>
        <w:t>Vzhled a specifické vlastnosti olejů</w:t>
      </w:r>
    </w:p>
    <w:p w14:paraId="0FE618F1" w14:textId="42CE3EA2" w:rsidR="00F44FDF" w:rsidRPr="00DE35E8" w:rsidRDefault="00F44FDF" w:rsidP="00B503A1">
      <w:pPr>
        <w:keepNext/>
        <w:spacing w:before="100" w:beforeAutospacing="1" w:after="100" w:afterAutospacing="1"/>
        <w:jc w:val="both"/>
        <w:rPr>
          <w:rFonts w:ascii="Arial" w:hAnsi="Arial" w:cs="Arial"/>
        </w:rPr>
      </w:pPr>
      <w:r>
        <w:rPr>
          <w:rFonts w:ascii="Arial" w:hAnsi="Arial"/>
        </w:rPr>
        <w:t>a) Extra panenské olivové oleje a filtrované panenské olivové oleje.</w:t>
      </w:r>
    </w:p>
    <w:p w14:paraId="095783EF" w14:textId="77777777" w:rsidR="00F44FDF" w:rsidRPr="00DE35E8" w:rsidRDefault="00F44FDF" w:rsidP="00B503A1">
      <w:pPr>
        <w:pStyle w:val="Default"/>
        <w:ind w:left="142"/>
        <w:rPr>
          <w:color w:val="auto"/>
        </w:rPr>
      </w:pPr>
      <w:r>
        <w:rPr>
          <w:color w:val="auto"/>
        </w:rPr>
        <w:t>Vlhkost a těkavé látky: ≤ 0,2 na 100.</w:t>
      </w:r>
    </w:p>
    <w:p w14:paraId="7D6D2C01" w14:textId="5C332848" w:rsidR="00F44FDF" w:rsidRPr="00DE35E8" w:rsidRDefault="00F44FDF" w:rsidP="00B503A1">
      <w:pPr>
        <w:pStyle w:val="Default"/>
        <w:ind w:left="142"/>
        <w:rPr>
          <w:color w:val="auto"/>
        </w:rPr>
      </w:pPr>
      <w:r>
        <w:rPr>
          <w:color w:val="auto"/>
        </w:rPr>
        <w:t xml:space="preserve">Nerozpustné nečistoty v petroletheru: ≤ 0,10 na 100. </w:t>
      </w:r>
    </w:p>
    <w:p w14:paraId="603E2DCE" w14:textId="6E01F0E5" w:rsidR="00F44FDF" w:rsidRPr="00DE35E8" w:rsidRDefault="00F44FDF" w:rsidP="00B503A1">
      <w:pPr>
        <w:keepNext/>
        <w:spacing w:before="100" w:beforeAutospacing="1" w:after="100" w:afterAutospacing="1"/>
        <w:jc w:val="both"/>
        <w:rPr>
          <w:rFonts w:ascii="Arial" w:hAnsi="Arial" w:cs="Arial"/>
        </w:rPr>
      </w:pPr>
      <w:r>
        <w:rPr>
          <w:rFonts w:ascii="Arial" w:hAnsi="Arial"/>
        </w:rPr>
        <w:t>b) Olivové oleje - obsahuje pouze rafinované olivové oleje a panenské olivové oleje.</w:t>
      </w:r>
    </w:p>
    <w:p w14:paraId="4C701306" w14:textId="77777777" w:rsidR="00F44FDF" w:rsidRPr="00DE35E8" w:rsidRDefault="00F44FDF" w:rsidP="00B503A1">
      <w:pPr>
        <w:spacing w:before="100" w:beforeAutospacing="1"/>
        <w:ind w:left="142"/>
        <w:jc w:val="both"/>
        <w:rPr>
          <w:rFonts w:ascii="Arial" w:hAnsi="Arial" w:cs="Arial"/>
        </w:rPr>
      </w:pPr>
      <w:r>
        <w:rPr>
          <w:rFonts w:ascii="Arial" w:hAnsi="Arial"/>
        </w:rPr>
        <w:t>Vzhled: čirý, udržovaný při teplotě 20 ± 2 °C po dobu 24 hodin.</w:t>
      </w:r>
    </w:p>
    <w:p w14:paraId="0296A932" w14:textId="77777777" w:rsidR="00F44FDF" w:rsidRPr="00DE35E8" w:rsidRDefault="00F44FDF" w:rsidP="00B503A1">
      <w:pPr>
        <w:ind w:left="142"/>
        <w:jc w:val="both"/>
        <w:rPr>
          <w:rFonts w:ascii="Arial" w:hAnsi="Arial" w:cs="Arial"/>
        </w:rPr>
      </w:pPr>
      <w:r>
        <w:rPr>
          <w:rFonts w:ascii="Arial" w:hAnsi="Arial"/>
        </w:rPr>
        <w:t>Vůně a chuť: uchovává vlastní aroma a charakteristické aroma panenského olivového oleje použitého ve směsi. Nevykazuje žádné změny ani znečištění či vady, které by převyšovaly změny, znečištění či vady použitého panenského olivového oleje.</w:t>
      </w:r>
    </w:p>
    <w:p w14:paraId="68E598BC" w14:textId="77777777" w:rsidR="00F44FDF" w:rsidRPr="00DE35E8" w:rsidRDefault="00F44FDF" w:rsidP="00B503A1">
      <w:pPr>
        <w:pStyle w:val="Default"/>
        <w:ind w:left="142"/>
        <w:rPr>
          <w:color w:val="auto"/>
        </w:rPr>
      </w:pPr>
      <w:r>
        <w:rPr>
          <w:color w:val="auto"/>
        </w:rPr>
        <w:t>Vlhkost a těkavé látky: ≤ 0,1 na 100.</w:t>
      </w:r>
    </w:p>
    <w:p w14:paraId="4B215FA1" w14:textId="77777777" w:rsidR="00F44FDF" w:rsidRPr="00DE35E8" w:rsidRDefault="00F44FDF" w:rsidP="00B503A1">
      <w:pPr>
        <w:pStyle w:val="Default"/>
        <w:ind w:left="142"/>
        <w:rPr>
          <w:color w:val="auto"/>
        </w:rPr>
      </w:pPr>
      <w:r>
        <w:rPr>
          <w:color w:val="auto"/>
        </w:rPr>
        <w:t>Nerozpustné nečistoty v petroletheru: ≤ 0,05 na 100.</w:t>
      </w:r>
    </w:p>
    <w:p w14:paraId="5A5E9394" w14:textId="77777777" w:rsidR="00F44FDF" w:rsidRPr="00DE35E8" w:rsidRDefault="00F44FDF" w:rsidP="00B503A1">
      <w:pPr>
        <w:pStyle w:val="Default"/>
        <w:spacing w:after="240"/>
        <w:ind w:left="142"/>
        <w:rPr>
          <w:color w:val="auto"/>
        </w:rPr>
      </w:pPr>
      <w:r>
        <w:rPr>
          <w:color w:val="auto"/>
        </w:rPr>
        <w:t xml:space="preserve">Zbytky mýdla: negativní. </w:t>
      </w:r>
    </w:p>
    <w:p w14:paraId="79508AC6"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c) Rafinované olivové oleje.</w:t>
      </w:r>
    </w:p>
    <w:p w14:paraId="21E8D15B" w14:textId="77777777" w:rsidR="00F44FDF" w:rsidRPr="00DE35E8" w:rsidRDefault="00F44FDF" w:rsidP="00B503A1">
      <w:pPr>
        <w:spacing w:before="100" w:beforeAutospacing="1"/>
        <w:ind w:left="142"/>
        <w:jc w:val="both"/>
        <w:rPr>
          <w:rFonts w:ascii="Arial" w:hAnsi="Arial" w:cs="Arial"/>
        </w:rPr>
      </w:pPr>
      <w:r>
        <w:rPr>
          <w:rFonts w:ascii="Arial" w:hAnsi="Arial"/>
        </w:rPr>
        <w:t>Vzhled: čirý, udržovaný při teplotě 20 ± 2 °C po dobu 24 hodin.</w:t>
      </w:r>
    </w:p>
    <w:p w14:paraId="7BB45A9C" w14:textId="77777777" w:rsidR="00F44FDF" w:rsidRPr="00DE35E8" w:rsidRDefault="00F44FDF" w:rsidP="00B503A1">
      <w:pPr>
        <w:ind w:left="142"/>
        <w:jc w:val="both"/>
        <w:rPr>
          <w:rFonts w:ascii="Arial" w:hAnsi="Arial" w:cs="Arial"/>
        </w:rPr>
      </w:pPr>
      <w:r>
        <w:rPr>
          <w:rFonts w:ascii="Arial" w:hAnsi="Arial"/>
        </w:rPr>
        <w:t>Vůně a chuť: neutrální, bez známek žluknutí, změn nebo znečištění.</w:t>
      </w:r>
    </w:p>
    <w:p w14:paraId="5105089C" w14:textId="77777777" w:rsidR="00F44FDF" w:rsidRPr="00DE35E8" w:rsidRDefault="00F44FDF" w:rsidP="00B503A1">
      <w:pPr>
        <w:pStyle w:val="Default"/>
        <w:ind w:left="142"/>
        <w:rPr>
          <w:color w:val="auto"/>
        </w:rPr>
      </w:pPr>
      <w:r>
        <w:rPr>
          <w:color w:val="auto"/>
        </w:rPr>
        <w:t>Vlhkost a těkavé látky: ≤ 0,1 na 100.</w:t>
      </w:r>
    </w:p>
    <w:p w14:paraId="49281EEA" w14:textId="77777777" w:rsidR="00F44FDF" w:rsidRPr="00DE35E8" w:rsidRDefault="00F44FDF" w:rsidP="00B503A1">
      <w:pPr>
        <w:pStyle w:val="Default"/>
        <w:ind w:left="142"/>
        <w:rPr>
          <w:color w:val="auto"/>
        </w:rPr>
      </w:pPr>
      <w:r>
        <w:rPr>
          <w:color w:val="auto"/>
        </w:rPr>
        <w:t>Nerozpustné nečistoty v petroletheru: ≤ 0,05 na 100.</w:t>
      </w:r>
    </w:p>
    <w:p w14:paraId="2336D379" w14:textId="77777777" w:rsidR="00F44FDF" w:rsidRPr="00DE35E8" w:rsidRDefault="00F44FDF" w:rsidP="00B503A1">
      <w:pPr>
        <w:pStyle w:val="Default"/>
        <w:ind w:left="142"/>
        <w:rPr>
          <w:color w:val="auto"/>
        </w:rPr>
      </w:pPr>
      <w:r>
        <w:rPr>
          <w:color w:val="auto"/>
        </w:rPr>
        <w:t>Zbytky mýdla: negativní.</w:t>
      </w:r>
    </w:p>
    <w:p w14:paraId="095B81FB"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d) Rafinovaný olivový olej z pokrutin.</w:t>
      </w:r>
    </w:p>
    <w:p w14:paraId="1696366E" w14:textId="77777777" w:rsidR="00F44FDF" w:rsidRPr="00DE35E8" w:rsidRDefault="00F44FDF" w:rsidP="00B503A1">
      <w:pPr>
        <w:spacing w:before="100" w:beforeAutospacing="1"/>
        <w:ind w:left="142"/>
        <w:jc w:val="both"/>
        <w:rPr>
          <w:rFonts w:ascii="Arial" w:hAnsi="Arial" w:cs="Arial"/>
        </w:rPr>
      </w:pPr>
      <w:r>
        <w:rPr>
          <w:rFonts w:ascii="Arial" w:hAnsi="Arial"/>
        </w:rPr>
        <w:t>Vzhled: čirý, udržovaný při teplotě 20 ± 2 °C po dobu 24 hodin.</w:t>
      </w:r>
    </w:p>
    <w:p w14:paraId="1BB2CEF0" w14:textId="77777777" w:rsidR="00F44FDF" w:rsidRPr="00DE35E8" w:rsidRDefault="00F44FDF" w:rsidP="00B503A1">
      <w:pPr>
        <w:ind w:left="142"/>
        <w:jc w:val="both"/>
        <w:rPr>
          <w:rFonts w:ascii="Arial" w:hAnsi="Arial" w:cs="Arial"/>
        </w:rPr>
      </w:pPr>
      <w:r>
        <w:rPr>
          <w:rFonts w:ascii="Arial" w:hAnsi="Arial"/>
        </w:rPr>
        <w:t>Vůně a chuť: neutrální, bez známek žluknutí, změn nebo znečištění.</w:t>
      </w:r>
    </w:p>
    <w:p w14:paraId="35B990C6" w14:textId="77777777" w:rsidR="00F44FDF" w:rsidRPr="00DE35E8" w:rsidRDefault="00F44FDF" w:rsidP="00B503A1">
      <w:pPr>
        <w:pStyle w:val="Default"/>
        <w:ind w:left="142"/>
        <w:rPr>
          <w:color w:val="auto"/>
        </w:rPr>
      </w:pPr>
      <w:r>
        <w:rPr>
          <w:color w:val="auto"/>
        </w:rPr>
        <w:t>Vlhkost a těkavé látky: ≤ 0,1 na 100.</w:t>
      </w:r>
    </w:p>
    <w:p w14:paraId="2AF3CFA0" w14:textId="77777777" w:rsidR="00F44FDF" w:rsidRPr="00DE35E8" w:rsidRDefault="00F44FDF" w:rsidP="00B503A1">
      <w:pPr>
        <w:pStyle w:val="Default"/>
        <w:ind w:left="142"/>
        <w:rPr>
          <w:color w:val="auto"/>
        </w:rPr>
      </w:pPr>
      <w:r>
        <w:rPr>
          <w:color w:val="auto"/>
        </w:rPr>
        <w:t>Nerozpustné nečistoty v petroletheru: ≤ 0,05 na 100.</w:t>
      </w:r>
    </w:p>
    <w:p w14:paraId="667102D7" w14:textId="77777777" w:rsidR="00F44FDF" w:rsidRPr="00DE35E8" w:rsidRDefault="00F44FDF" w:rsidP="00B503A1">
      <w:pPr>
        <w:pStyle w:val="Default"/>
        <w:ind w:left="142"/>
        <w:rPr>
          <w:color w:val="auto"/>
        </w:rPr>
      </w:pPr>
      <w:r>
        <w:rPr>
          <w:color w:val="auto"/>
        </w:rPr>
        <w:t>Zbytky mýdla: negativní.</w:t>
      </w:r>
    </w:p>
    <w:p w14:paraId="1886EA85"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e) Olivový olej z pokrutin.</w:t>
      </w:r>
    </w:p>
    <w:p w14:paraId="0ADF9FD3" w14:textId="77777777" w:rsidR="00F44FDF" w:rsidRPr="00DE35E8" w:rsidRDefault="00F44FDF" w:rsidP="00B503A1">
      <w:pPr>
        <w:spacing w:before="100" w:beforeAutospacing="1"/>
        <w:ind w:left="142"/>
        <w:jc w:val="both"/>
        <w:rPr>
          <w:rFonts w:ascii="Arial" w:hAnsi="Arial" w:cs="Arial"/>
        </w:rPr>
      </w:pPr>
      <w:r>
        <w:rPr>
          <w:rFonts w:ascii="Arial" w:hAnsi="Arial"/>
        </w:rPr>
        <w:t>Vzhled: čirý, udržovaný při teplotě 20 ± 2 °C po dobu 24 hodin.</w:t>
      </w:r>
    </w:p>
    <w:p w14:paraId="40031B46" w14:textId="77777777" w:rsidR="00F44FDF" w:rsidRPr="00DE35E8" w:rsidRDefault="00F44FDF" w:rsidP="00B503A1">
      <w:pPr>
        <w:pStyle w:val="Default"/>
        <w:ind w:left="142"/>
        <w:jc w:val="both"/>
        <w:rPr>
          <w:color w:val="auto"/>
        </w:rPr>
      </w:pPr>
      <w:r>
        <w:rPr>
          <w:color w:val="auto"/>
        </w:rPr>
        <w:t xml:space="preserve">Vůně a chuť: uchovává vlastní aroma a charakteristické aroma panenského olivového oleje použitého ve směsi. Nevykazuje žádné změny ani znečištění či vady, které by převyšovaly změny, znečištění či vady použitého panenského olivového oleje. </w:t>
      </w:r>
    </w:p>
    <w:p w14:paraId="523A1A0E" w14:textId="77777777" w:rsidR="00F44FDF" w:rsidRPr="00DE35E8" w:rsidRDefault="00F44FDF" w:rsidP="00B503A1">
      <w:pPr>
        <w:pStyle w:val="Default"/>
        <w:ind w:left="142"/>
        <w:rPr>
          <w:color w:val="auto"/>
        </w:rPr>
      </w:pPr>
      <w:r>
        <w:rPr>
          <w:color w:val="auto"/>
        </w:rPr>
        <w:t>Vlhkost a těkavé látky: ≤ 0,1 na 100.</w:t>
      </w:r>
    </w:p>
    <w:p w14:paraId="1A066BD2" w14:textId="77777777" w:rsidR="00F44FDF" w:rsidRPr="00DE35E8" w:rsidRDefault="00F44FDF" w:rsidP="00B503A1">
      <w:pPr>
        <w:pStyle w:val="Default"/>
        <w:ind w:left="142"/>
        <w:rPr>
          <w:color w:val="auto"/>
        </w:rPr>
      </w:pPr>
      <w:r>
        <w:rPr>
          <w:color w:val="auto"/>
        </w:rPr>
        <w:t>Nerozpustné nečistoty v petroletheru: ≤ 0,05 na 100.</w:t>
      </w:r>
    </w:p>
    <w:p w14:paraId="03631DE0" w14:textId="77777777" w:rsidR="00F44FDF" w:rsidRPr="00DE35E8" w:rsidRDefault="00F44FDF" w:rsidP="00B503A1">
      <w:pPr>
        <w:pStyle w:val="Default"/>
        <w:ind w:left="142"/>
        <w:rPr>
          <w:color w:val="auto"/>
        </w:rPr>
      </w:pPr>
      <w:r>
        <w:rPr>
          <w:color w:val="auto"/>
        </w:rPr>
        <w:t>Zbytky mýdla: negativní.</w:t>
      </w:r>
    </w:p>
    <w:sectPr w:rsidR="00F44FDF" w:rsidRPr="00DE35E8" w:rsidSect="001420A7">
      <w:footerReference w:type="default" r:id="rId10"/>
      <w:footerReference w:type="first" r:id="rId11"/>
      <w:type w:val="continuous"/>
      <w:pgSz w:w="11906" w:h="16838" w:code="9"/>
      <w:pgMar w:top="1418" w:right="1418" w:bottom="1418" w:left="1418" w:header="289" w:footer="10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50D89" w14:textId="77777777" w:rsidR="00631FB1" w:rsidRDefault="00631FB1">
      <w:r>
        <w:separator/>
      </w:r>
    </w:p>
  </w:endnote>
  <w:endnote w:type="continuationSeparator" w:id="0">
    <w:p w14:paraId="48FCF748" w14:textId="77777777" w:rsidR="00631FB1" w:rsidRDefault="00631FB1">
      <w:r>
        <w:continuationSeparator/>
      </w:r>
    </w:p>
  </w:endnote>
  <w:endnote w:type="continuationNotice" w:id="1">
    <w:p w14:paraId="4FC324FF" w14:textId="77777777" w:rsidR="00631FB1" w:rsidRDefault="00631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ABFBA" w14:textId="150F4AF6" w:rsidR="0057137A" w:rsidRDefault="0057137A" w:rsidP="00171CCA">
    <w:pPr>
      <w:tabs>
        <w:tab w:val="center" w:pos="4550"/>
        <w:tab w:val="left" w:pos="5818"/>
      </w:tabs>
      <w:ind w:right="260"/>
      <w:jc w:val="right"/>
    </w:pPr>
    <w:r>
      <w:rPr>
        <w:color w:val="8496B0"/>
      </w:rPr>
      <w:t xml:space="preserve">Strana </w:t>
    </w:r>
    <w:r w:rsidRPr="00F61249">
      <w:rPr>
        <w:color w:val="323E4F"/>
      </w:rPr>
      <w:fldChar w:fldCharType="begin"/>
    </w:r>
    <w:r w:rsidRPr="00F61249">
      <w:rPr>
        <w:color w:val="323E4F"/>
      </w:rPr>
      <w:instrText>PAGE   \* MERGEFORMAT</w:instrText>
    </w:r>
    <w:r w:rsidRPr="00F61249">
      <w:rPr>
        <w:color w:val="323E4F"/>
      </w:rPr>
      <w:fldChar w:fldCharType="separate"/>
    </w:r>
    <w:r w:rsidR="002209F6">
      <w:rPr>
        <w:color w:val="323E4F"/>
      </w:rPr>
      <w:t>12</w:t>
    </w:r>
    <w:r w:rsidRPr="00F61249">
      <w:rPr>
        <w:color w:val="323E4F"/>
      </w:rPr>
      <w:fldChar w:fldCharType="end"/>
    </w:r>
    <w:r>
      <w:rPr>
        <w:color w:val="323E4F"/>
      </w:rPr>
      <w:t xml:space="preserve"> | </w:t>
    </w:r>
    <w:r w:rsidRPr="00F61249">
      <w:rPr>
        <w:color w:val="323E4F"/>
      </w:rPr>
      <w:fldChar w:fldCharType="begin"/>
    </w:r>
    <w:r w:rsidRPr="00F61249">
      <w:rPr>
        <w:color w:val="323E4F"/>
      </w:rPr>
      <w:instrText>NUMPAGES  \* Arabic  \* MERGEFORMAT</w:instrText>
    </w:r>
    <w:r w:rsidRPr="00F61249">
      <w:rPr>
        <w:color w:val="323E4F"/>
      </w:rPr>
      <w:fldChar w:fldCharType="separate"/>
    </w:r>
    <w:r w:rsidR="002209F6">
      <w:rPr>
        <w:color w:val="323E4F"/>
      </w:rPr>
      <w:t>17</w:t>
    </w:r>
    <w:r w:rsidRPr="00F61249">
      <w:rPr>
        <w:color w:val="323E4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9A84E" w14:textId="05B47CE1" w:rsidR="0057137A" w:rsidRPr="00621B3D" w:rsidRDefault="0057137A" w:rsidP="009E3783">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12700" w14:textId="77777777" w:rsidR="00631FB1" w:rsidRDefault="00631FB1">
      <w:r>
        <w:separator/>
      </w:r>
    </w:p>
  </w:footnote>
  <w:footnote w:type="continuationSeparator" w:id="0">
    <w:p w14:paraId="43E91750" w14:textId="77777777" w:rsidR="00631FB1" w:rsidRDefault="00631FB1">
      <w:r>
        <w:continuationSeparator/>
      </w:r>
    </w:p>
  </w:footnote>
  <w:footnote w:type="continuationNotice" w:id="1">
    <w:p w14:paraId="34E0121E" w14:textId="77777777" w:rsidR="00631FB1" w:rsidRDefault="00631F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03BF6"/>
    <w:multiLevelType w:val="hybridMultilevel"/>
    <w:tmpl w:val="51604DDE"/>
    <w:lvl w:ilvl="0" w:tplc="283CE7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105246"/>
    <w:multiLevelType w:val="hybridMultilevel"/>
    <w:tmpl w:val="49A83D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2272C8"/>
    <w:multiLevelType w:val="hybridMultilevel"/>
    <w:tmpl w:val="10F4C1A6"/>
    <w:lvl w:ilvl="0" w:tplc="B1BADDC8">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C945640"/>
    <w:multiLevelType w:val="hybridMultilevel"/>
    <w:tmpl w:val="D0E0CB22"/>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8E72B1F"/>
    <w:multiLevelType w:val="hybridMultilevel"/>
    <w:tmpl w:val="2F763C4A"/>
    <w:lvl w:ilvl="0" w:tplc="624A3E0A">
      <w:start w:val="1"/>
      <w:numFmt w:val="bullet"/>
      <w:lvlText w:val=""/>
      <w:lvlJc w:val="left"/>
      <w:pPr>
        <w:ind w:left="862" w:hanging="360"/>
      </w:pPr>
      <w:rPr>
        <w:rFonts w:ascii="Symbol" w:hAnsi="Symbol" w:hint="default"/>
        <w:color w:val="auto"/>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5" w15:restartNumberingAfterBreak="0">
    <w:nsid w:val="3CF6743A"/>
    <w:multiLevelType w:val="hybridMultilevel"/>
    <w:tmpl w:val="E2A8E842"/>
    <w:lvl w:ilvl="0" w:tplc="9624541A">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E853E5"/>
    <w:multiLevelType w:val="hybridMultilevel"/>
    <w:tmpl w:val="E7C2AA8C"/>
    <w:lvl w:ilvl="0" w:tplc="AD52C1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CF78B0"/>
    <w:multiLevelType w:val="hybridMultilevel"/>
    <w:tmpl w:val="A7F6F1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28F097E"/>
    <w:multiLevelType w:val="hybridMultilevel"/>
    <w:tmpl w:val="66D8E556"/>
    <w:lvl w:ilvl="0" w:tplc="C4A237A8">
      <w:start w:val="1"/>
      <w:numFmt w:val="lowerLetter"/>
      <w:lvlText w:val="%1)"/>
      <w:lvlJc w:val="left"/>
      <w:pPr>
        <w:ind w:left="502" w:hanging="360"/>
      </w:pPr>
      <w:rPr>
        <w:rFonts w:hint="default"/>
        <w:i/>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53A35298"/>
    <w:multiLevelType w:val="multilevel"/>
    <w:tmpl w:val="3ADEA386"/>
    <w:lvl w:ilvl="0">
      <w:start w:val="1"/>
      <w:numFmt w:val="decimal"/>
      <w:pStyle w:val="Apartado"/>
      <w:suff w:val="space"/>
      <w:lvlText w:val="%1."/>
      <w:lvlJc w:val="left"/>
      <w:pPr>
        <w:ind w:left="360" w:hanging="360"/>
      </w:pPr>
      <w:rPr>
        <w:b w:val="0"/>
        <w:i w:val="0"/>
        <w:sz w:val="24"/>
      </w:rPr>
    </w:lvl>
    <w:lvl w:ilvl="1">
      <w:start w:val="1"/>
      <w:numFmt w:val="decimal"/>
      <w:lvlText w:val="%2."/>
      <w:lvlJc w:val="left"/>
      <w:pPr>
        <w:tabs>
          <w:tab w:val="num" w:pos="709"/>
        </w:tabs>
        <w:ind w:left="792" w:hanging="432"/>
      </w:pPr>
    </w:lvl>
    <w:lvl w:ilvl="2">
      <w:start w:val="1"/>
      <w:numFmt w:val="decimal"/>
      <w:lvlText w:val="%1.%2.%3."/>
      <w:lvlJc w:val="left"/>
      <w:pPr>
        <w:tabs>
          <w:tab w:val="num" w:pos="357"/>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65FB2278"/>
    <w:multiLevelType w:val="hybridMultilevel"/>
    <w:tmpl w:val="3496C122"/>
    <w:lvl w:ilvl="0" w:tplc="C1A43872">
      <w:start w:val="3"/>
      <w:numFmt w:val="bullet"/>
      <w:lvlText w:val="-"/>
      <w:lvlJc w:val="left"/>
      <w:pPr>
        <w:ind w:left="786" w:hanging="360"/>
      </w:pPr>
      <w:rPr>
        <w:rFonts w:ascii="Georgia" w:eastAsia="Georgia" w:hAnsi="Georgia" w:cs="Georg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5C726E"/>
    <w:multiLevelType w:val="hybridMultilevel"/>
    <w:tmpl w:val="98BCE8D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B6A118F"/>
    <w:multiLevelType w:val="hybridMultilevel"/>
    <w:tmpl w:val="F1ECA694"/>
    <w:lvl w:ilvl="0" w:tplc="13169E5E">
      <w:start w:val="5"/>
      <w:numFmt w:val="lowerLetter"/>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3" w15:restartNumberingAfterBreak="0">
    <w:nsid w:val="75A74FC5"/>
    <w:multiLevelType w:val="hybridMultilevel"/>
    <w:tmpl w:val="C83AFA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2"/>
  </w:num>
  <w:num w:numId="5">
    <w:abstractNumId w:val="12"/>
  </w:num>
  <w:num w:numId="6">
    <w:abstractNumId w:val="11"/>
  </w:num>
  <w:num w:numId="7">
    <w:abstractNumId w:val="3"/>
  </w:num>
  <w:num w:numId="8">
    <w:abstractNumId w:val="13"/>
  </w:num>
  <w:num w:numId="9">
    <w:abstractNumId w:val="1"/>
  </w:num>
  <w:num w:numId="10">
    <w:abstractNumId w:val="6"/>
  </w:num>
  <w:num w:numId="11">
    <w:abstractNumId w:val="7"/>
  </w:num>
  <w:num w:numId="12">
    <w:abstractNumId w:val="0"/>
  </w:num>
  <w:num w:numId="13">
    <w:abstractNumId w:val="4"/>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C5"/>
    <w:rsid w:val="0000091F"/>
    <w:rsid w:val="000010B6"/>
    <w:rsid w:val="0000170D"/>
    <w:rsid w:val="00001774"/>
    <w:rsid w:val="00001821"/>
    <w:rsid w:val="0000189E"/>
    <w:rsid w:val="00001AFC"/>
    <w:rsid w:val="00003192"/>
    <w:rsid w:val="00003321"/>
    <w:rsid w:val="00003C43"/>
    <w:rsid w:val="000061BF"/>
    <w:rsid w:val="00006E49"/>
    <w:rsid w:val="000125A8"/>
    <w:rsid w:val="00012804"/>
    <w:rsid w:val="00013345"/>
    <w:rsid w:val="00013B30"/>
    <w:rsid w:val="0001472D"/>
    <w:rsid w:val="00015AF4"/>
    <w:rsid w:val="0001659F"/>
    <w:rsid w:val="00020B18"/>
    <w:rsid w:val="00021F99"/>
    <w:rsid w:val="000228D0"/>
    <w:rsid w:val="000231C0"/>
    <w:rsid w:val="000307FA"/>
    <w:rsid w:val="00030B12"/>
    <w:rsid w:val="00032401"/>
    <w:rsid w:val="00032804"/>
    <w:rsid w:val="00032E4D"/>
    <w:rsid w:val="00033181"/>
    <w:rsid w:val="00034163"/>
    <w:rsid w:val="00034EC0"/>
    <w:rsid w:val="00035038"/>
    <w:rsid w:val="0003510D"/>
    <w:rsid w:val="00035AA4"/>
    <w:rsid w:val="00035C11"/>
    <w:rsid w:val="000362FA"/>
    <w:rsid w:val="00036972"/>
    <w:rsid w:val="000369B7"/>
    <w:rsid w:val="00036F65"/>
    <w:rsid w:val="00037E18"/>
    <w:rsid w:val="000401C0"/>
    <w:rsid w:val="00040958"/>
    <w:rsid w:val="000424A3"/>
    <w:rsid w:val="0004276D"/>
    <w:rsid w:val="00042B0E"/>
    <w:rsid w:val="000444CA"/>
    <w:rsid w:val="00044A5F"/>
    <w:rsid w:val="00045560"/>
    <w:rsid w:val="00045BA1"/>
    <w:rsid w:val="00045FF5"/>
    <w:rsid w:val="00046351"/>
    <w:rsid w:val="000464F0"/>
    <w:rsid w:val="0004691F"/>
    <w:rsid w:val="00046DB8"/>
    <w:rsid w:val="000478CF"/>
    <w:rsid w:val="000478EB"/>
    <w:rsid w:val="00047C2A"/>
    <w:rsid w:val="0005005E"/>
    <w:rsid w:val="000532D8"/>
    <w:rsid w:val="000565EA"/>
    <w:rsid w:val="000609B0"/>
    <w:rsid w:val="00060B7F"/>
    <w:rsid w:val="00061819"/>
    <w:rsid w:val="00062C42"/>
    <w:rsid w:val="0006387E"/>
    <w:rsid w:val="00064015"/>
    <w:rsid w:val="0006515E"/>
    <w:rsid w:val="00065517"/>
    <w:rsid w:val="00065592"/>
    <w:rsid w:val="00065EB0"/>
    <w:rsid w:val="00066154"/>
    <w:rsid w:val="00066ECC"/>
    <w:rsid w:val="00067E7C"/>
    <w:rsid w:val="00070C53"/>
    <w:rsid w:val="00071648"/>
    <w:rsid w:val="00072EB9"/>
    <w:rsid w:val="0007360C"/>
    <w:rsid w:val="000773C3"/>
    <w:rsid w:val="0007779F"/>
    <w:rsid w:val="0008180D"/>
    <w:rsid w:val="000824B8"/>
    <w:rsid w:val="0008253C"/>
    <w:rsid w:val="00082DDF"/>
    <w:rsid w:val="000842C8"/>
    <w:rsid w:val="00084640"/>
    <w:rsid w:val="00084BD8"/>
    <w:rsid w:val="00086D3C"/>
    <w:rsid w:val="00086E51"/>
    <w:rsid w:val="00087CAC"/>
    <w:rsid w:val="00090536"/>
    <w:rsid w:val="000907F0"/>
    <w:rsid w:val="00090DE5"/>
    <w:rsid w:val="00090F85"/>
    <w:rsid w:val="000927D6"/>
    <w:rsid w:val="00093D45"/>
    <w:rsid w:val="00094F50"/>
    <w:rsid w:val="00094FE2"/>
    <w:rsid w:val="000950CE"/>
    <w:rsid w:val="00095F96"/>
    <w:rsid w:val="00096B8F"/>
    <w:rsid w:val="000A2D62"/>
    <w:rsid w:val="000A4F07"/>
    <w:rsid w:val="000B10E0"/>
    <w:rsid w:val="000B12D4"/>
    <w:rsid w:val="000B18AF"/>
    <w:rsid w:val="000B2071"/>
    <w:rsid w:val="000B20B1"/>
    <w:rsid w:val="000B4B5B"/>
    <w:rsid w:val="000B53F1"/>
    <w:rsid w:val="000B5970"/>
    <w:rsid w:val="000B61B1"/>
    <w:rsid w:val="000B6A17"/>
    <w:rsid w:val="000B6CAF"/>
    <w:rsid w:val="000B6D10"/>
    <w:rsid w:val="000B7E7B"/>
    <w:rsid w:val="000C0347"/>
    <w:rsid w:val="000C0E4B"/>
    <w:rsid w:val="000C1AA8"/>
    <w:rsid w:val="000C31CA"/>
    <w:rsid w:val="000D081F"/>
    <w:rsid w:val="000D3AFA"/>
    <w:rsid w:val="000D3BF3"/>
    <w:rsid w:val="000D3DB1"/>
    <w:rsid w:val="000D4523"/>
    <w:rsid w:val="000D4B07"/>
    <w:rsid w:val="000D7913"/>
    <w:rsid w:val="000D7DE8"/>
    <w:rsid w:val="000D7FEB"/>
    <w:rsid w:val="000E0C83"/>
    <w:rsid w:val="000E1390"/>
    <w:rsid w:val="000E3CA6"/>
    <w:rsid w:val="000E44EE"/>
    <w:rsid w:val="000E5876"/>
    <w:rsid w:val="000F15D7"/>
    <w:rsid w:val="000F190F"/>
    <w:rsid w:val="000F223B"/>
    <w:rsid w:val="000F2D75"/>
    <w:rsid w:val="000F345B"/>
    <w:rsid w:val="000F4114"/>
    <w:rsid w:val="000F5695"/>
    <w:rsid w:val="000F589B"/>
    <w:rsid w:val="000F6AF7"/>
    <w:rsid w:val="000F71BF"/>
    <w:rsid w:val="000F7912"/>
    <w:rsid w:val="00100438"/>
    <w:rsid w:val="00100CF7"/>
    <w:rsid w:val="00101AEC"/>
    <w:rsid w:val="00101CA0"/>
    <w:rsid w:val="0010208E"/>
    <w:rsid w:val="00102323"/>
    <w:rsid w:val="00103BB6"/>
    <w:rsid w:val="001042A5"/>
    <w:rsid w:val="00105E96"/>
    <w:rsid w:val="00106526"/>
    <w:rsid w:val="001068CC"/>
    <w:rsid w:val="00106A9B"/>
    <w:rsid w:val="00107E79"/>
    <w:rsid w:val="00113AF5"/>
    <w:rsid w:val="00113E25"/>
    <w:rsid w:val="0011441C"/>
    <w:rsid w:val="0011544E"/>
    <w:rsid w:val="00115574"/>
    <w:rsid w:val="0011725C"/>
    <w:rsid w:val="0011757E"/>
    <w:rsid w:val="00117D32"/>
    <w:rsid w:val="00120816"/>
    <w:rsid w:val="00120900"/>
    <w:rsid w:val="00122661"/>
    <w:rsid w:val="001232AA"/>
    <w:rsid w:val="001252D9"/>
    <w:rsid w:val="00126449"/>
    <w:rsid w:val="0012660E"/>
    <w:rsid w:val="001305B6"/>
    <w:rsid w:val="00130EB2"/>
    <w:rsid w:val="0013224D"/>
    <w:rsid w:val="00135965"/>
    <w:rsid w:val="001364AB"/>
    <w:rsid w:val="00136D08"/>
    <w:rsid w:val="00137A8A"/>
    <w:rsid w:val="00137F91"/>
    <w:rsid w:val="00141016"/>
    <w:rsid w:val="001420A7"/>
    <w:rsid w:val="001428E6"/>
    <w:rsid w:val="00143A35"/>
    <w:rsid w:val="0014419E"/>
    <w:rsid w:val="00145530"/>
    <w:rsid w:val="00145FA3"/>
    <w:rsid w:val="001463A5"/>
    <w:rsid w:val="00146BC2"/>
    <w:rsid w:val="00146D9B"/>
    <w:rsid w:val="00147C5C"/>
    <w:rsid w:val="00150B8F"/>
    <w:rsid w:val="00150FA7"/>
    <w:rsid w:val="00151334"/>
    <w:rsid w:val="00151451"/>
    <w:rsid w:val="0015241B"/>
    <w:rsid w:val="0015465D"/>
    <w:rsid w:val="00154D2A"/>
    <w:rsid w:val="001553E6"/>
    <w:rsid w:val="0015632A"/>
    <w:rsid w:val="00156ACE"/>
    <w:rsid w:val="0015724C"/>
    <w:rsid w:val="00157686"/>
    <w:rsid w:val="00157CD4"/>
    <w:rsid w:val="0016023E"/>
    <w:rsid w:val="00160C71"/>
    <w:rsid w:val="00160F55"/>
    <w:rsid w:val="00161522"/>
    <w:rsid w:val="0016260B"/>
    <w:rsid w:val="001643B0"/>
    <w:rsid w:val="00165985"/>
    <w:rsid w:val="00167776"/>
    <w:rsid w:val="00167ADE"/>
    <w:rsid w:val="00171CCA"/>
    <w:rsid w:val="00171EC3"/>
    <w:rsid w:val="0017244E"/>
    <w:rsid w:val="001736F7"/>
    <w:rsid w:val="00173FA1"/>
    <w:rsid w:val="001742B8"/>
    <w:rsid w:val="001749DC"/>
    <w:rsid w:val="00176068"/>
    <w:rsid w:val="001769C9"/>
    <w:rsid w:val="00180B41"/>
    <w:rsid w:val="00181029"/>
    <w:rsid w:val="00182013"/>
    <w:rsid w:val="00182368"/>
    <w:rsid w:val="001829F2"/>
    <w:rsid w:val="00183FDE"/>
    <w:rsid w:val="001846B6"/>
    <w:rsid w:val="00186871"/>
    <w:rsid w:val="001876B7"/>
    <w:rsid w:val="00190979"/>
    <w:rsid w:val="00190F1E"/>
    <w:rsid w:val="0019190E"/>
    <w:rsid w:val="0019348F"/>
    <w:rsid w:val="001943BA"/>
    <w:rsid w:val="00194432"/>
    <w:rsid w:val="00194682"/>
    <w:rsid w:val="00195482"/>
    <w:rsid w:val="00195A66"/>
    <w:rsid w:val="00197F7D"/>
    <w:rsid w:val="001A0CCB"/>
    <w:rsid w:val="001A2371"/>
    <w:rsid w:val="001A2719"/>
    <w:rsid w:val="001A2D71"/>
    <w:rsid w:val="001A35F3"/>
    <w:rsid w:val="001A3722"/>
    <w:rsid w:val="001A5640"/>
    <w:rsid w:val="001A68BC"/>
    <w:rsid w:val="001A713D"/>
    <w:rsid w:val="001B1BC8"/>
    <w:rsid w:val="001B2691"/>
    <w:rsid w:val="001B2AFF"/>
    <w:rsid w:val="001B4CF9"/>
    <w:rsid w:val="001B4EA6"/>
    <w:rsid w:val="001B59C5"/>
    <w:rsid w:val="001B5C43"/>
    <w:rsid w:val="001B6D0C"/>
    <w:rsid w:val="001C0B5F"/>
    <w:rsid w:val="001C21A4"/>
    <w:rsid w:val="001C6414"/>
    <w:rsid w:val="001C7625"/>
    <w:rsid w:val="001D1A3F"/>
    <w:rsid w:val="001D1F98"/>
    <w:rsid w:val="001D31FE"/>
    <w:rsid w:val="001D5D77"/>
    <w:rsid w:val="001D734B"/>
    <w:rsid w:val="001E3D94"/>
    <w:rsid w:val="001E411F"/>
    <w:rsid w:val="001E6173"/>
    <w:rsid w:val="001F08ED"/>
    <w:rsid w:val="001F37E7"/>
    <w:rsid w:val="001F3A12"/>
    <w:rsid w:val="001F3B48"/>
    <w:rsid w:val="001F4094"/>
    <w:rsid w:val="001F4E6F"/>
    <w:rsid w:val="001F5260"/>
    <w:rsid w:val="001F5E23"/>
    <w:rsid w:val="001F5FD9"/>
    <w:rsid w:val="001F732F"/>
    <w:rsid w:val="001F7491"/>
    <w:rsid w:val="002036CA"/>
    <w:rsid w:val="002038D6"/>
    <w:rsid w:val="00204D4C"/>
    <w:rsid w:val="0020526C"/>
    <w:rsid w:val="002079F8"/>
    <w:rsid w:val="00210F29"/>
    <w:rsid w:val="00212024"/>
    <w:rsid w:val="00212097"/>
    <w:rsid w:val="002132E8"/>
    <w:rsid w:val="00213758"/>
    <w:rsid w:val="002142CB"/>
    <w:rsid w:val="00215165"/>
    <w:rsid w:val="00216DFB"/>
    <w:rsid w:val="002209F6"/>
    <w:rsid w:val="0022198A"/>
    <w:rsid w:val="00225C90"/>
    <w:rsid w:val="00227A8E"/>
    <w:rsid w:val="00227C79"/>
    <w:rsid w:val="00232186"/>
    <w:rsid w:val="002324D7"/>
    <w:rsid w:val="002329BD"/>
    <w:rsid w:val="00234AA1"/>
    <w:rsid w:val="00235516"/>
    <w:rsid w:val="00236202"/>
    <w:rsid w:val="002371A9"/>
    <w:rsid w:val="002379C0"/>
    <w:rsid w:val="00240127"/>
    <w:rsid w:val="00241084"/>
    <w:rsid w:val="002417C2"/>
    <w:rsid w:val="00243DE4"/>
    <w:rsid w:val="00245B8E"/>
    <w:rsid w:val="00245EB0"/>
    <w:rsid w:val="00246E62"/>
    <w:rsid w:val="00247BEB"/>
    <w:rsid w:val="002513DD"/>
    <w:rsid w:val="002514A8"/>
    <w:rsid w:val="0025183A"/>
    <w:rsid w:val="00252BBB"/>
    <w:rsid w:val="0025349E"/>
    <w:rsid w:val="00254EF8"/>
    <w:rsid w:val="00255008"/>
    <w:rsid w:val="00260A6B"/>
    <w:rsid w:val="00262849"/>
    <w:rsid w:val="00263ACB"/>
    <w:rsid w:val="002649FB"/>
    <w:rsid w:val="00264C0B"/>
    <w:rsid w:val="00264EB1"/>
    <w:rsid w:val="0026502B"/>
    <w:rsid w:val="00265AB7"/>
    <w:rsid w:val="00265DD8"/>
    <w:rsid w:val="00266E17"/>
    <w:rsid w:val="00266F50"/>
    <w:rsid w:val="002674DB"/>
    <w:rsid w:val="00267F2F"/>
    <w:rsid w:val="002734BB"/>
    <w:rsid w:val="002746C2"/>
    <w:rsid w:val="002766C9"/>
    <w:rsid w:val="00276829"/>
    <w:rsid w:val="002768D6"/>
    <w:rsid w:val="002805CD"/>
    <w:rsid w:val="00282C91"/>
    <w:rsid w:val="00284F6D"/>
    <w:rsid w:val="00285452"/>
    <w:rsid w:val="00285CB6"/>
    <w:rsid w:val="00287109"/>
    <w:rsid w:val="00287E25"/>
    <w:rsid w:val="00291E45"/>
    <w:rsid w:val="00293196"/>
    <w:rsid w:val="0029541E"/>
    <w:rsid w:val="002958A0"/>
    <w:rsid w:val="00296E85"/>
    <w:rsid w:val="002975B3"/>
    <w:rsid w:val="002978D0"/>
    <w:rsid w:val="00297A11"/>
    <w:rsid w:val="00297EE6"/>
    <w:rsid w:val="002A0B88"/>
    <w:rsid w:val="002A0CA8"/>
    <w:rsid w:val="002A27F3"/>
    <w:rsid w:val="002A3D78"/>
    <w:rsid w:val="002A5503"/>
    <w:rsid w:val="002A59BC"/>
    <w:rsid w:val="002A6395"/>
    <w:rsid w:val="002A6F90"/>
    <w:rsid w:val="002B1127"/>
    <w:rsid w:val="002B1F39"/>
    <w:rsid w:val="002B26B0"/>
    <w:rsid w:val="002B383F"/>
    <w:rsid w:val="002B6C27"/>
    <w:rsid w:val="002B777A"/>
    <w:rsid w:val="002C1205"/>
    <w:rsid w:val="002C1A5B"/>
    <w:rsid w:val="002C1EFC"/>
    <w:rsid w:val="002C3F4C"/>
    <w:rsid w:val="002C54F7"/>
    <w:rsid w:val="002C563F"/>
    <w:rsid w:val="002C598E"/>
    <w:rsid w:val="002C5AED"/>
    <w:rsid w:val="002C5C17"/>
    <w:rsid w:val="002C5DC6"/>
    <w:rsid w:val="002C6A91"/>
    <w:rsid w:val="002C76F1"/>
    <w:rsid w:val="002D011A"/>
    <w:rsid w:val="002D1EFB"/>
    <w:rsid w:val="002D21C6"/>
    <w:rsid w:val="002D5B63"/>
    <w:rsid w:val="002D6098"/>
    <w:rsid w:val="002D646E"/>
    <w:rsid w:val="002D6502"/>
    <w:rsid w:val="002E0255"/>
    <w:rsid w:val="002E05F4"/>
    <w:rsid w:val="002E1061"/>
    <w:rsid w:val="002E3133"/>
    <w:rsid w:val="002E3B1C"/>
    <w:rsid w:val="002E3E41"/>
    <w:rsid w:val="002E4014"/>
    <w:rsid w:val="002E607B"/>
    <w:rsid w:val="002E79E9"/>
    <w:rsid w:val="002E7B1F"/>
    <w:rsid w:val="002F06F7"/>
    <w:rsid w:val="002F0C62"/>
    <w:rsid w:val="002F12CD"/>
    <w:rsid w:val="002F39C5"/>
    <w:rsid w:val="002F464D"/>
    <w:rsid w:val="002F4AED"/>
    <w:rsid w:val="002F55A7"/>
    <w:rsid w:val="002F5833"/>
    <w:rsid w:val="002F583F"/>
    <w:rsid w:val="002F5EE8"/>
    <w:rsid w:val="002F71BC"/>
    <w:rsid w:val="002F7DC1"/>
    <w:rsid w:val="00300B23"/>
    <w:rsid w:val="003011C3"/>
    <w:rsid w:val="003012EE"/>
    <w:rsid w:val="003023F6"/>
    <w:rsid w:val="00303FFF"/>
    <w:rsid w:val="00304E19"/>
    <w:rsid w:val="00304E33"/>
    <w:rsid w:val="00307B37"/>
    <w:rsid w:val="00307D66"/>
    <w:rsid w:val="003109B6"/>
    <w:rsid w:val="00310BFA"/>
    <w:rsid w:val="00311D9E"/>
    <w:rsid w:val="003154C9"/>
    <w:rsid w:val="00316476"/>
    <w:rsid w:val="00321E6E"/>
    <w:rsid w:val="00321F37"/>
    <w:rsid w:val="00322E21"/>
    <w:rsid w:val="00323DDA"/>
    <w:rsid w:val="00324748"/>
    <w:rsid w:val="00324DD4"/>
    <w:rsid w:val="0032606E"/>
    <w:rsid w:val="00326D6E"/>
    <w:rsid w:val="003305EC"/>
    <w:rsid w:val="00330BCE"/>
    <w:rsid w:val="00331B68"/>
    <w:rsid w:val="00332B01"/>
    <w:rsid w:val="003335F1"/>
    <w:rsid w:val="003340FE"/>
    <w:rsid w:val="00334B5B"/>
    <w:rsid w:val="00335625"/>
    <w:rsid w:val="003362BF"/>
    <w:rsid w:val="003370AB"/>
    <w:rsid w:val="00340A80"/>
    <w:rsid w:val="00340C1F"/>
    <w:rsid w:val="003411F5"/>
    <w:rsid w:val="00341968"/>
    <w:rsid w:val="003422B3"/>
    <w:rsid w:val="0034439B"/>
    <w:rsid w:val="00345065"/>
    <w:rsid w:val="00345916"/>
    <w:rsid w:val="00346174"/>
    <w:rsid w:val="00351269"/>
    <w:rsid w:val="00351F40"/>
    <w:rsid w:val="00352791"/>
    <w:rsid w:val="00352F7C"/>
    <w:rsid w:val="00354657"/>
    <w:rsid w:val="00354EFF"/>
    <w:rsid w:val="0035653C"/>
    <w:rsid w:val="0035719D"/>
    <w:rsid w:val="00360461"/>
    <w:rsid w:val="003604AD"/>
    <w:rsid w:val="00363670"/>
    <w:rsid w:val="0036389E"/>
    <w:rsid w:val="00364288"/>
    <w:rsid w:val="0036524D"/>
    <w:rsid w:val="0036569C"/>
    <w:rsid w:val="00367C19"/>
    <w:rsid w:val="00372435"/>
    <w:rsid w:val="00373351"/>
    <w:rsid w:val="003733FD"/>
    <w:rsid w:val="0037449C"/>
    <w:rsid w:val="00375B2D"/>
    <w:rsid w:val="00375EC1"/>
    <w:rsid w:val="0037688E"/>
    <w:rsid w:val="00377596"/>
    <w:rsid w:val="003804A3"/>
    <w:rsid w:val="00380D3B"/>
    <w:rsid w:val="00381BD1"/>
    <w:rsid w:val="00381F6D"/>
    <w:rsid w:val="003822F6"/>
    <w:rsid w:val="003853A8"/>
    <w:rsid w:val="00386130"/>
    <w:rsid w:val="00386F96"/>
    <w:rsid w:val="00387626"/>
    <w:rsid w:val="00390283"/>
    <w:rsid w:val="003914CA"/>
    <w:rsid w:val="003954F9"/>
    <w:rsid w:val="00395A8A"/>
    <w:rsid w:val="00395FE5"/>
    <w:rsid w:val="003960B4"/>
    <w:rsid w:val="00397AD4"/>
    <w:rsid w:val="00397DE4"/>
    <w:rsid w:val="003A04B7"/>
    <w:rsid w:val="003A0AB2"/>
    <w:rsid w:val="003A288D"/>
    <w:rsid w:val="003A35C2"/>
    <w:rsid w:val="003A3C31"/>
    <w:rsid w:val="003A3F5F"/>
    <w:rsid w:val="003A4E2E"/>
    <w:rsid w:val="003A59F3"/>
    <w:rsid w:val="003A6532"/>
    <w:rsid w:val="003A67CF"/>
    <w:rsid w:val="003A7BD8"/>
    <w:rsid w:val="003B0D91"/>
    <w:rsid w:val="003B1B70"/>
    <w:rsid w:val="003B27A5"/>
    <w:rsid w:val="003B416D"/>
    <w:rsid w:val="003B43C5"/>
    <w:rsid w:val="003B4AFA"/>
    <w:rsid w:val="003B56B5"/>
    <w:rsid w:val="003B64F2"/>
    <w:rsid w:val="003B77E4"/>
    <w:rsid w:val="003C195F"/>
    <w:rsid w:val="003C2BAC"/>
    <w:rsid w:val="003C2FB6"/>
    <w:rsid w:val="003C335A"/>
    <w:rsid w:val="003C35F6"/>
    <w:rsid w:val="003C4384"/>
    <w:rsid w:val="003C45F5"/>
    <w:rsid w:val="003C5AA8"/>
    <w:rsid w:val="003C7F06"/>
    <w:rsid w:val="003D0ED6"/>
    <w:rsid w:val="003D21DB"/>
    <w:rsid w:val="003D29A6"/>
    <w:rsid w:val="003D34D5"/>
    <w:rsid w:val="003D412A"/>
    <w:rsid w:val="003D44D4"/>
    <w:rsid w:val="003D4A74"/>
    <w:rsid w:val="003D56BD"/>
    <w:rsid w:val="003D5AD8"/>
    <w:rsid w:val="003D5B44"/>
    <w:rsid w:val="003D5FF0"/>
    <w:rsid w:val="003D693F"/>
    <w:rsid w:val="003D7272"/>
    <w:rsid w:val="003E0618"/>
    <w:rsid w:val="003E0B4A"/>
    <w:rsid w:val="003E0E58"/>
    <w:rsid w:val="003E31C9"/>
    <w:rsid w:val="003E3B2D"/>
    <w:rsid w:val="003E4009"/>
    <w:rsid w:val="003E4824"/>
    <w:rsid w:val="003E4A33"/>
    <w:rsid w:val="003E5ACB"/>
    <w:rsid w:val="003E6FEC"/>
    <w:rsid w:val="003E70E6"/>
    <w:rsid w:val="003F2187"/>
    <w:rsid w:val="003F31DB"/>
    <w:rsid w:val="003F3947"/>
    <w:rsid w:val="003F54B4"/>
    <w:rsid w:val="003F5788"/>
    <w:rsid w:val="003F61B7"/>
    <w:rsid w:val="003F62ED"/>
    <w:rsid w:val="00400AED"/>
    <w:rsid w:val="00401529"/>
    <w:rsid w:val="0040379A"/>
    <w:rsid w:val="00403F95"/>
    <w:rsid w:val="00404227"/>
    <w:rsid w:val="004051A5"/>
    <w:rsid w:val="00405556"/>
    <w:rsid w:val="004065EE"/>
    <w:rsid w:val="00406B5D"/>
    <w:rsid w:val="0041264E"/>
    <w:rsid w:val="00412CDE"/>
    <w:rsid w:val="00413D2F"/>
    <w:rsid w:val="00413E81"/>
    <w:rsid w:val="004145C3"/>
    <w:rsid w:val="00416746"/>
    <w:rsid w:val="004207E1"/>
    <w:rsid w:val="00421E97"/>
    <w:rsid w:val="00421ECF"/>
    <w:rsid w:val="0042371C"/>
    <w:rsid w:val="00423BF9"/>
    <w:rsid w:val="00425202"/>
    <w:rsid w:val="00426689"/>
    <w:rsid w:val="00426E4E"/>
    <w:rsid w:val="0043108A"/>
    <w:rsid w:val="00432726"/>
    <w:rsid w:val="00434B95"/>
    <w:rsid w:val="00434F0E"/>
    <w:rsid w:val="004354B1"/>
    <w:rsid w:val="00441AC5"/>
    <w:rsid w:val="00444097"/>
    <w:rsid w:val="004458CC"/>
    <w:rsid w:val="0044687A"/>
    <w:rsid w:val="004508A2"/>
    <w:rsid w:val="00450DB4"/>
    <w:rsid w:val="004516D3"/>
    <w:rsid w:val="00455825"/>
    <w:rsid w:val="004567C3"/>
    <w:rsid w:val="00456B64"/>
    <w:rsid w:val="00456EB5"/>
    <w:rsid w:val="0046111A"/>
    <w:rsid w:val="00462D96"/>
    <w:rsid w:val="00463355"/>
    <w:rsid w:val="004638BD"/>
    <w:rsid w:val="00464B1B"/>
    <w:rsid w:val="00465DE3"/>
    <w:rsid w:val="004676C0"/>
    <w:rsid w:val="004727E7"/>
    <w:rsid w:val="0047382D"/>
    <w:rsid w:val="00475590"/>
    <w:rsid w:val="004822C8"/>
    <w:rsid w:val="00482E67"/>
    <w:rsid w:val="00483FA9"/>
    <w:rsid w:val="00484361"/>
    <w:rsid w:val="00484D3D"/>
    <w:rsid w:val="00484D49"/>
    <w:rsid w:val="004859E7"/>
    <w:rsid w:val="00485D89"/>
    <w:rsid w:val="00486B31"/>
    <w:rsid w:val="00486C56"/>
    <w:rsid w:val="00487F34"/>
    <w:rsid w:val="004908A8"/>
    <w:rsid w:val="0049129A"/>
    <w:rsid w:val="0049166D"/>
    <w:rsid w:val="0049366D"/>
    <w:rsid w:val="004936CE"/>
    <w:rsid w:val="00493D4F"/>
    <w:rsid w:val="00494357"/>
    <w:rsid w:val="004970B3"/>
    <w:rsid w:val="004A0561"/>
    <w:rsid w:val="004A069D"/>
    <w:rsid w:val="004A0CB3"/>
    <w:rsid w:val="004A1728"/>
    <w:rsid w:val="004A263F"/>
    <w:rsid w:val="004A3C8B"/>
    <w:rsid w:val="004A4ECF"/>
    <w:rsid w:val="004A5A71"/>
    <w:rsid w:val="004A5C03"/>
    <w:rsid w:val="004A5C8C"/>
    <w:rsid w:val="004A5E8A"/>
    <w:rsid w:val="004A5FBC"/>
    <w:rsid w:val="004A6378"/>
    <w:rsid w:val="004A7973"/>
    <w:rsid w:val="004A7E20"/>
    <w:rsid w:val="004B00A3"/>
    <w:rsid w:val="004B4CA1"/>
    <w:rsid w:val="004B5794"/>
    <w:rsid w:val="004B5C4B"/>
    <w:rsid w:val="004B5CF0"/>
    <w:rsid w:val="004B67FC"/>
    <w:rsid w:val="004B6C85"/>
    <w:rsid w:val="004C0EED"/>
    <w:rsid w:val="004C2293"/>
    <w:rsid w:val="004C2A5A"/>
    <w:rsid w:val="004C2AE9"/>
    <w:rsid w:val="004C2ED9"/>
    <w:rsid w:val="004C30F3"/>
    <w:rsid w:val="004C35EE"/>
    <w:rsid w:val="004C5C80"/>
    <w:rsid w:val="004C6584"/>
    <w:rsid w:val="004C7904"/>
    <w:rsid w:val="004D0954"/>
    <w:rsid w:val="004D1C18"/>
    <w:rsid w:val="004D1DD6"/>
    <w:rsid w:val="004D33FD"/>
    <w:rsid w:val="004D34D3"/>
    <w:rsid w:val="004D3932"/>
    <w:rsid w:val="004D464B"/>
    <w:rsid w:val="004D5CBF"/>
    <w:rsid w:val="004D6436"/>
    <w:rsid w:val="004D7295"/>
    <w:rsid w:val="004D797B"/>
    <w:rsid w:val="004E066E"/>
    <w:rsid w:val="004E0A47"/>
    <w:rsid w:val="004E0CD9"/>
    <w:rsid w:val="004E1FE4"/>
    <w:rsid w:val="004E22F6"/>
    <w:rsid w:val="004E2CD4"/>
    <w:rsid w:val="004E358C"/>
    <w:rsid w:val="004E3DE6"/>
    <w:rsid w:val="004E50AC"/>
    <w:rsid w:val="004E589B"/>
    <w:rsid w:val="004E5F2B"/>
    <w:rsid w:val="004F1075"/>
    <w:rsid w:val="004F2681"/>
    <w:rsid w:val="004F2B6A"/>
    <w:rsid w:val="004F37DD"/>
    <w:rsid w:val="004F4B9D"/>
    <w:rsid w:val="004F4E66"/>
    <w:rsid w:val="004F6E13"/>
    <w:rsid w:val="004F7C37"/>
    <w:rsid w:val="0050073D"/>
    <w:rsid w:val="0050113F"/>
    <w:rsid w:val="00502DE1"/>
    <w:rsid w:val="00503B3B"/>
    <w:rsid w:val="00504028"/>
    <w:rsid w:val="0050711A"/>
    <w:rsid w:val="005074BA"/>
    <w:rsid w:val="0051003B"/>
    <w:rsid w:val="00511A83"/>
    <w:rsid w:val="005135A8"/>
    <w:rsid w:val="00513CD3"/>
    <w:rsid w:val="00514027"/>
    <w:rsid w:val="00515019"/>
    <w:rsid w:val="00516DE5"/>
    <w:rsid w:val="00517B00"/>
    <w:rsid w:val="0052072E"/>
    <w:rsid w:val="00523128"/>
    <w:rsid w:val="00523206"/>
    <w:rsid w:val="00524383"/>
    <w:rsid w:val="00524D0D"/>
    <w:rsid w:val="005250B9"/>
    <w:rsid w:val="005252FD"/>
    <w:rsid w:val="00527443"/>
    <w:rsid w:val="00527A1A"/>
    <w:rsid w:val="00527FC0"/>
    <w:rsid w:val="005318B3"/>
    <w:rsid w:val="00531AA3"/>
    <w:rsid w:val="0053208B"/>
    <w:rsid w:val="00532B2C"/>
    <w:rsid w:val="00532C4A"/>
    <w:rsid w:val="00533C11"/>
    <w:rsid w:val="005359E5"/>
    <w:rsid w:val="00535CB9"/>
    <w:rsid w:val="0053641F"/>
    <w:rsid w:val="0053775A"/>
    <w:rsid w:val="00540DE6"/>
    <w:rsid w:val="0054285B"/>
    <w:rsid w:val="005430EA"/>
    <w:rsid w:val="00543E39"/>
    <w:rsid w:val="00545198"/>
    <w:rsid w:val="00545C07"/>
    <w:rsid w:val="005466EB"/>
    <w:rsid w:val="00546F26"/>
    <w:rsid w:val="00546F29"/>
    <w:rsid w:val="00547EB5"/>
    <w:rsid w:val="00547FE2"/>
    <w:rsid w:val="00551299"/>
    <w:rsid w:val="00552BED"/>
    <w:rsid w:val="00552E7C"/>
    <w:rsid w:val="00553D3A"/>
    <w:rsid w:val="00554EE6"/>
    <w:rsid w:val="00555DEC"/>
    <w:rsid w:val="005560B7"/>
    <w:rsid w:val="0055678C"/>
    <w:rsid w:val="00557416"/>
    <w:rsid w:val="00557776"/>
    <w:rsid w:val="005606E6"/>
    <w:rsid w:val="00564BA4"/>
    <w:rsid w:val="00565613"/>
    <w:rsid w:val="00565790"/>
    <w:rsid w:val="0057137A"/>
    <w:rsid w:val="005732CE"/>
    <w:rsid w:val="005739B7"/>
    <w:rsid w:val="00574C39"/>
    <w:rsid w:val="005755F4"/>
    <w:rsid w:val="005819AF"/>
    <w:rsid w:val="00581DC5"/>
    <w:rsid w:val="0058203E"/>
    <w:rsid w:val="00584616"/>
    <w:rsid w:val="00584AF8"/>
    <w:rsid w:val="00584EC3"/>
    <w:rsid w:val="00585264"/>
    <w:rsid w:val="00587B90"/>
    <w:rsid w:val="00590ED4"/>
    <w:rsid w:val="00592194"/>
    <w:rsid w:val="00592F2D"/>
    <w:rsid w:val="005935E8"/>
    <w:rsid w:val="00595947"/>
    <w:rsid w:val="00595B38"/>
    <w:rsid w:val="005A02C7"/>
    <w:rsid w:val="005A101C"/>
    <w:rsid w:val="005A7A37"/>
    <w:rsid w:val="005B0058"/>
    <w:rsid w:val="005B0831"/>
    <w:rsid w:val="005B0AF6"/>
    <w:rsid w:val="005B118F"/>
    <w:rsid w:val="005B165C"/>
    <w:rsid w:val="005B1ABB"/>
    <w:rsid w:val="005B3A50"/>
    <w:rsid w:val="005B4335"/>
    <w:rsid w:val="005B4C94"/>
    <w:rsid w:val="005B4EC9"/>
    <w:rsid w:val="005B732C"/>
    <w:rsid w:val="005B7507"/>
    <w:rsid w:val="005C0D65"/>
    <w:rsid w:val="005C2062"/>
    <w:rsid w:val="005C20AF"/>
    <w:rsid w:val="005C2C0C"/>
    <w:rsid w:val="005C3667"/>
    <w:rsid w:val="005C4218"/>
    <w:rsid w:val="005C62BC"/>
    <w:rsid w:val="005C6F98"/>
    <w:rsid w:val="005D05B0"/>
    <w:rsid w:val="005D0C16"/>
    <w:rsid w:val="005D0E1B"/>
    <w:rsid w:val="005D1186"/>
    <w:rsid w:val="005D1312"/>
    <w:rsid w:val="005D13CD"/>
    <w:rsid w:val="005D1B16"/>
    <w:rsid w:val="005D1FF0"/>
    <w:rsid w:val="005D2A10"/>
    <w:rsid w:val="005D39B2"/>
    <w:rsid w:val="005D3A4D"/>
    <w:rsid w:val="005D3A99"/>
    <w:rsid w:val="005D5B2C"/>
    <w:rsid w:val="005E0751"/>
    <w:rsid w:val="005E1D22"/>
    <w:rsid w:val="005E2737"/>
    <w:rsid w:val="005E3552"/>
    <w:rsid w:val="005E38BA"/>
    <w:rsid w:val="005E461E"/>
    <w:rsid w:val="005E69F6"/>
    <w:rsid w:val="005E7A10"/>
    <w:rsid w:val="005F0165"/>
    <w:rsid w:val="005F0581"/>
    <w:rsid w:val="005F2CEF"/>
    <w:rsid w:val="005F3D24"/>
    <w:rsid w:val="005F4576"/>
    <w:rsid w:val="005F6702"/>
    <w:rsid w:val="005F77D6"/>
    <w:rsid w:val="00600A35"/>
    <w:rsid w:val="00602E43"/>
    <w:rsid w:val="006034D6"/>
    <w:rsid w:val="00604312"/>
    <w:rsid w:val="00604559"/>
    <w:rsid w:val="006050D0"/>
    <w:rsid w:val="0060519F"/>
    <w:rsid w:val="006055A2"/>
    <w:rsid w:val="006060D4"/>
    <w:rsid w:val="006063E9"/>
    <w:rsid w:val="00606ECC"/>
    <w:rsid w:val="00610398"/>
    <w:rsid w:val="00611BF5"/>
    <w:rsid w:val="00612948"/>
    <w:rsid w:val="006139D6"/>
    <w:rsid w:val="00613CCC"/>
    <w:rsid w:val="006148E7"/>
    <w:rsid w:val="006151B2"/>
    <w:rsid w:val="00616F4A"/>
    <w:rsid w:val="00617DAB"/>
    <w:rsid w:val="00620E2F"/>
    <w:rsid w:val="00623B48"/>
    <w:rsid w:val="00623BD8"/>
    <w:rsid w:val="00625D6E"/>
    <w:rsid w:val="006268CF"/>
    <w:rsid w:val="00627AF7"/>
    <w:rsid w:val="006311E5"/>
    <w:rsid w:val="006317D8"/>
    <w:rsid w:val="00631F92"/>
    <w:rsid w:val="00631FB1"/>
    <w:rsid w:val="00632150"/>
    <w:rsid w:val="00632F84"/>
    <w:rsid w:val="006332E5"/>
    <w:rsid w:val="00633A68"/>
    <w:rsid w:val="00634224"/>
    <w:rsid w:val="00635DF4"/>
    <w:rsid w:val="006371A5"/>
    <w:rsid w:val="006400A7"/>
    <w:rsid w:val="00642605"/>
    <w:rsid w:val="006439A2"/>
    <w:rsid w:val="006440FD"/>
    <w:rsid w:val="00644FE2"/>
    <w:rsid w:val="00646C42"/>
    <w:rsid w:val="00647D9C"/>
    <w:rsid w:val="00650715"/>
    <w:rsid w:val="006508A4"/>
    <w:rsid w:val="0065418B"/>
    <w:rsid w:val="00654406"/>
    <w:rsid w:val="0065639C"/>
    <w:rsid w:val="006570BE"/>
    <w:rsid w:val="00657723"/>
    <w:rsid w:val="006605B4"/>
    <w:rsid w:val="00661336"/>
    <w:rsid w:val="006617EF"/>
    <w:rsid w:val="00662510"/>
    <w:rsid w:val="006627D2"/>
    <w:rsid w:val="006636F3"/>
    <w:rsid w:val="00666FF7"/>
    <w:rsid w:val="00667B6A"/>
    <w:rsid w:val="006713B4"/>
    <w:rsid w:val="006738DD"/>
    <w:rsid w:val="00673948"/>
    <w:rsid w:val="00675305"/>
    <w:rsid w:val="00677CA9"/>
    <w:rsid w:val="00677DEC"/>
    <w:rsid w:val="00677F38"/>
    <w:rsid w:val="006800DE"/>
    <w:rsid w:val="00680EE2"/>
    <w:rsid w:val="0068140B"/>
    <w:rsid w:val="006816CA"/>
    <w:rsid w:val="00681791"/>
    <w:rsid w:val="006822A7"/>
    <w:rsid w:val="00683C78"/>
    <w:rsid w:val="00683FA9"/>
    <w:rsid w:val="00684155"/>
    <w:rsid w:val="00684845"/>
    <w:rsid w:val="0069156A"/>
    <w:rsid w:val="00691719"/>
    <w:rsid w:val="00692795"/>
    <w:rsid w:val="00692B66"/>
    <w:rsid w:val="006933F6"/>
    <w:rsid w:val="006938AC"/>
    <w:rsid w:val="00694CCC"/>
    <w:rsid w:val="00695A60"/>
    <w:rsid w:val="00696C1E"/>
    <w:rsid w:val="006A012A"/>
    <w:rsid w:val="006A02E5"/>
    <w:rsid w:val="006A091A"/>
    <w:rsid w:val="006A1232"/>
    <w:rsid w:val="006A14C0"/>
    <w:rsid w:val="006A2822"/>
    <w:rsid w:val="006A2DF5"/>
    <w:rsid w:val="006A3826"/>
    <w:rsid w:val="006A67B5"/>
    <w:rsid w:val="006A7181"/>
    <w:rsid w:val="006A75DD"/>
    <w:rsid w:val="006B0AA7"/>
    <w:rsid w:val="006B0BBE"/>
    <w:rsid w:val="006B0E8B"/>
    <w:rsid w:val="006B0F71"/>
    <w:rsid w:val="006B1402"/>
    <w:rsid w:val="006B466B"/>
    <w:rsid w:val="006B6CE7"/>
    <w:rsid w:val="006C0B01"/>
    <w:rsid w:val="006C0F14"/>
    <w:rsid w:val="006C22CE"/>
    <w:rsid w:val="006C27CF"/>
    <w:rsid w:val="006C3098"/>
    <w:rsid w:val="006C38E4"/>
    <w:rsid w:val="006C5602"/>
    <w:rsid w:val="006D0A24"/>
    <w:rsid w:val="006D5B21"/>
    <w:rsid w:val="006D7EFA"/>
    <w:rsid w:val="006E12F1"/>
    <w:rsid w:val="006E24BD"/>
    <w:rsid w:val="006E3E3B"/>
    <w:rsid w:val="006E5F99"/>
    <w:rsid w:val="006E7ED3"/>
    <w:rsid w:val="006F3273"/>
    <w:rsid w:val="006F6018"/>
    <w:rsid w:val="006F683F"/>
    <w:rsid w:val="00700059"/>
    <w:rsid w:val="00704BA5"/>
    <w:rsid w:val="00706C1B"/>
    <w:rsid w:val="00710BC7"/>
    <w:rsid w:val="00710BEC"/>
    <w:rsid w:val="00710D40"/>
    <w:rsid w:val="0071362D"/>
    <w:rsid w:val="0071411B"/>
    <w:rsid w:val="00717999"/>
    <w:rsid w:val="00717AF6"/>
    <w:rsid w:val="00720504"/>
    <w:rsid w:val="007207A4"/>
    <w:rsid w:val="00720E11"/>
    <w:rsid w:val="007213FD"/>
    <w:rsid w:val="0072408A"/>
    <w:rsid w:val="007249DE"/>
    <w:rsid w:val="00725179"/>
    <w:rsid w:val="00726853"/>
    <w:rsid w:val="00726D93"/>
    <w:rsid w:val="00731428"/>
    <w:rsid w:val="00731B91"/>
    <w:rsid w:val="00731C98"/>
    <w:rsid w:val="007335D3"/>
    <w:rsid w:val="0073550F"/>
    <w:rsid w:val="0073578A"/>
    <w:rsid w:val="00736E90"/>
    <w:rsid w:val="0074004E"/>
    <w:rsid w:val="007432D2"/>
    <w:rsid w:val="00745C4C"/>
    <w:rsid w:val="00750321"/>
    <w:rsid w:val="007521BE"/>
    <w:rsid w:val="00753AFD"/>
    <w:rsid w:val="00755553"/>
    <w:rsid w:val="00756CAB"/>
    <w:rsid w:val="00757BCF"/>
    <w:rsid w:val="0076064B"/>
    <w:rsid w:val="00762427"/>
    <w:rsid w:val="00763C7E"/>
    <w:rsid w:val="00764253"/>
    <w:rsid w:val="00764D90"/>
    <w:rsid w:val="0076534E"/>
    <w:rsid w:val="007654C6"/>
    <w:rsid w:val="007658A6"/>
    <w:rsid w:val="007670DA"/>
    <w:rsid w:val="0077088A"/>
    <w:rsid w:val="007709ED"/>
    <w:rsid w:val="007712F7"/>
    <w:rsid w:val="0077198E"/>
    <w:rsid w:val="00773C79"/>
    <w:rsid w:val="0077400D"/>
    <w:rsid w:val="00774255"/>
    <w:rsid w:val="00774D36"/>
    <w:rsid w:val="00775202"/>
    <w:rsid w:val="00782835"/>
    <w:rsid w:val="00783045"/>
    <w:rsid w:val="0078306D"/>
    <w:rsid w:val="00783263"/>
    <w:rsid w:val="00785490"/>
    <w:rsid w:val="00786746"/>
    <w:rsid w:val="00786BCE"/>
    <w:rsid w:val="00786D5B"/>
    <w:rsid w:val="00787069"/>
    <w:rsid w:val="0078768D"/>
    <w:rsid w:val="00787904"/>
    <w:rsid w:val="007902FB"/>
    <w:rsid w:val="00791296"/>
    <w:rsid w:val="00794580"/>
    <w:rsid w:val="00794F21"/>
    <w:rsid w:val="00795313"/>
    <w:rsid w:val="007954A5"/>
    <w:rsid w:val="00795FB6"/>
    <w:rsid w:val="00797B92"/>
    <w:rsid w:val="00797BC4"/>
    <w:rsid w:val="00797C26"/>
    <w:rsid w:val="007A185A"/>
    <w:rsid w:val="007A30FC"/>
    <w:rsid w:val="007A4C9D"/>
    <w:rsid w:val="007A506E"/>
    <w:rsid w:val="007A5AF5"/>
    <w:rsid w:val="007A5F18"/>
    <w:rsid w:val="007A62A5"/>
    <w:rsid w:val="007A64AD"/>
    <w:rsid w:val="007A6934"/>
    <w:rsid w:val="007A7099"/>
    <w:rsid w:val="007A7395"/>
    <w:rsid w:val="007A7B2B"/>
    <w:rsid w:val="007B01EC"/>
    <w:rsid w:val="007B09E6"/>
    <w:rsid w:val="007B0CAD"/>
    <w:rsid w:val="007B0E87"/>
    <w:rsid w:val="007B1445"/>
    <w:rsid w:val="007B34A1"/>
    <w:rsid w:val="007B3B92"/>
    <w:rsid w:val="007B458B"/>
    <w:rsid w:val="007B469A"/>
    <w:rsid w:val="007B49C8"/>
    <w:rsid w:val="007B4E86"/>
    <w:rsid w:val="007B6F90"/>
    <w:rsid w:val="007B7C4A"/>
    <w:rsid w:val="007C0BBC"/>
    <w:rsid w:val="007C1291"/>
    <w:rsid w:val="007C1BE5"/>
    <w:rsid w:val="007C1E78"/>
    <w:rsid w:val="007C2732"/>
    <w:rsid w:val="007C3757"/>
    <w:rsid w:val="007C4D17"/>
    <w:rsid w:val="007C53C0"/>
    <w:rsid w:val="007D22F9"/>
    <w:rsid w:val="007D2D8B"/>
    <w:rsid w:val="007D40F6"/>
    <w:rsid w:val="007D4A9F"/>
    <w:rsid w:val="007D4CC9"/>
    <w:rsid w:val="007E5AA1"/>
    <w:rsid w:val="007E62AF"/>
    <w:rsid w:val="007E697C"/>
    <w:rsid w:val="007F07CA"/>
    <w:rsid w:val="007F0930"/>
    <w:rsid w:val="007F1A57"/>
    <w:rsid w:val="007F620D"/>
    <w:rsid w:val="007F6D99"/>
    <w:rsid w:val="007F72E8"/>
    <w:rsid w:val="00800D28"/>
    <w:rsid w:val="0080481F"/>
    <w:rsid w:val="00804C50"/>
    <w:rsid w:val="00804DFA"/>
    <w:rsid w:val="00804E76"/>
    <w:rsid w:val="00805172"/>
    <w:rsid w:val="00810038"/>
    <w:rsid w:val="00811455"/>
    <w:rsid w:val="0081155D"/>
    <w:rsid w:val="008129B5"/>
    <w:rsid w:val="008129EE"/>
    <w:rsid w:val="00812D35"/>
    <w:rsid w:val="0081724D"/>
    <w:rsid w:val="00817333"/>
    <w:rsid w:val="008173E9"/>
    <w:rsid w:val="0082200A"/>
    <w:rsid w:val="00822E68"/>
    <w:rsid w:val="00826FE5"/>
    <w:rsid w:val="0082740B"/>
    <w:rsid w:val="0082755E"/>
    <w:rsid w:val="00831D96"/>
    <w:rsid w:val="0083314C"/>
    <w:rsid w:val="00833345"/>
    <w:rsid w:val="0083361B"/>
    <w:rsid w:val="00833FB0"/>
    <w:rsid w:val="008342FB"/>
    <w:rsid w:val="0083576C"/>
    <w:rsid w:val="008368F5"/>
    <w:rsid w:val="00836978"/>
    <w:rsid w:val="0084151F"/>
    <w:rsid w:val="00841CB8"/>
    <w:rsid w:val="00841EBE"/>
    <w:rsid w:val="00842CEA"/>
    <w:rsid w:val="00842CFC"/>
    <w:rsid w:val="008431A8"/>
    <w:rsid w:val="0084343E"/>
    <w:rsid w:val="008450C3"/>
    <w:rsid w:val="00845D72"/>
    <w:rsid w:val="00845F86"/>
    <w:rsid w:val="008460DD"/>
    <w:rsid w:val="00846C60"/>
    <w:rsid w:val="00846EA7"/>
    <w:rsid w:val="0084711D"/>
    <w:rsid w:val="00847190"/>
    <w:rsid w:val="0084784D"/>
    <w:rsid w:val="00852775"/>
    <w:rsid w:val="00853745"/>
    <w:rsid w:val="008538B5"/>
    <w:rsid w:val="0085553B"/>
    <w:rsid w:val="00856178"/>
    <w:rsid w:val="00860BD5"/>
    <w:rsid w:val="0086113C"/>
    <w:rsid w:val="00861633"/>
    <w:rsid w:val="00861771"/>
    <w:rsid w:val="0086200E"/>
    <w:rsid w:val="00862260"/>
    <w:rsid w:val="0086302B"/>
    <w:rsid w:val="00863F9C"/>
    <w:rsid w:val="00864DD9"/>
    <w:rsid w:val="00864F17"/>
    <w:rsid w:val="0086576A"/>
    <w:rsid w:val="0086670A"/>
    <w:rsid w:val="00866B23"/>
    <w:rsid w:val="00867293"/>
    <w:rsid w:val="00867D72"/>
    <w:rsid w:val="00867EB4"/>
    <w:rsid w:val="00870175"/>
    <w:rsid w:val="00873912"/>
    <w:rsid w:val="00873958"/>
    <w:rsid w:val="008745E7"/>
    <w:rsid w:val="00874FEC"/>
    <w:rsid w:val="008754FF"/>
    <w:rsid w:val="00875DCB"/>
    <w:rsid w:val="00876227"/>
    <w:rsid w:val="00877CB6"/>
    <w:rsid w:val="00877EDA"/>
    <w:rsid w:val="00881580"/>
    <w:rsid w:val="008841B3"/>
    <w:rsid w:val="00885385"/>
    <w:rsid w:val="008854A4"/>
    <w:rsid w:val="0088631B"/>
    <w:rsid w:val="00887B1C"/>
    <w:rsid w:val="00887DC7"/>
    <w:rsid w:val="008901F6"/>
    <w:rsid w:val="00890D03"/>
    <w:rsid w:val="00892CB8"/>
    <w:rsid w:val="008953BD"/>
    <w:rsid w:val="008957AD"/>
    <w:rsid w:val="00895BA6"/>
    <w:rsid w:val="008A14E7"/>
    <w:rsid w:val="008A28D5"/>
    <w:rsid w:val="008A777C"/>
    <w:rsid w:val="008B5D3D"/>
    <w:rsid w:val="008B757A"/>
    <w:rsid w:val="008C03B3"/>
    <w:rsid w:val="008C2235"/>
    <w:rsid w:val="008C2F75"/>
    <w:rsid w:val="008C2FFA"/>
    <w:rsid w:val="008C3B8A"/>
    <w:rsid w:val="008C3BCE"/>
    <w:rsid w:val="008C3F38"/>
    <w:rsid w:val="008C5D55"/>
    <w:rsid w:val="008D058D"/>
    <w:rsid w:val="008D0D26"/>
    <w:rsid w:val="008D2D7D"/>
    <w:rsid w:val="008D69A0"/>
    <w:rsid w:val="008D6BA2"/>
    <w:rsid w:val="008D6F82"/>
    <w:rsid w:val="008E10B7"/>
    <w:rsid w:val="008E3D92"/>
    <w:rsid w:val="008E4233"/>
    <w:rsid w:val="008E4C34"/>
    <w:rsid w:val="008E630E"/>
    <w:rsid w:val="008E6D73"/>
    <w:rsid w:val="008E725E"/>
    <w:rsid w:val="008F15C1"/>
    <w:rsid w:val="008F4ECA"/>
    <w:rsid w:val="008F5871"/>
    <w:rsid w:val="008F7BBC"/>
    <w:rsid w:val="0090059B"/>
    <w:rsid w:val="00900A93"/>
    <w:rsid w:val="00900AE1"/>
    <w:rsid w:val="00900D0D"/>
    <w:rsid w:val="009016D6"/>
    <w:rsid w:val="009025D5"/>
    <w:rsid w:val="00902D7A"/>
    <w:rsid w:val="0090630B"/>
    <w:rsid w:val="009115F2"/>
    <w:rsid w:val="0091349A"/>
    <w:rsid w:val="00914A0E"/>
    <w:rsid w:val="00915ED4"/>
    <w:rsid w:val="009161A3"/>
    <w:rsid w:val="00922CC9"/>
    <w:rsid w:val="009239DA"/>
    <w:rsid w:val="009240A0"/>
    <w:rsid w:val="00924841"/>
    <w:rsid w:val="00925AFC"/>
    <w:rsid w:val="00925FB8"/>
    <w:rsid w:val="00927813"/>
    <w:rsid w:val="00927BB8"/>
    <w:rsid w:val="0093003E"/>
    <w:rsid w:val="009303F9"/>
    <w:rsid w:val="0093058A"/>
    <w:rsid w:val="00930C4B"/>
    <w:rsid w:val="00933E2F"/>
    <w:rsid w:val="009355DC"/>
    <w:rsid w:val="0093686F"/>
    <w:rsid w:val="009369E8"/>
    <w:rsid w:val="00936B7E"/>
    <w:rsid w:val="00936DB3"/>
    <w:rsid w:val="0093704E"/>
    <w:rsid w:val="00940AE9"/>
    <w:rsid w:val="0094398D"/>
    <w:rsid w:val="00944F7E"/>
    <w:rsid w:val="009463A5"/>
    <w:rsid w:val="00946949"/>
    <w:rsid w:val="00946CF8"/>
    <w:rsid w:val="009527AE"/>
    <w:rsid w:val="00953CB2"/>
    <w:rsid w:val="00954C3E"/>
    <w:rsid w:val="0095509D"/>
    <w:rsid w:val="009571B9"/>
    <w:rsid w:val="00957575"/>
    <w:rsid w:val="00957CD1"/>
    <w:rsid w:val="00957EDD"/>
    <w:rsid w:val="00960F7D"/>
    <w:rsid w:val="0096177C"/>
    <w:rsid w:val="00962C4D"/>
    <w:rsid w:val="00963ADA"/>
    <w:rsid w:val="00964A2F"/>
    <w:rsid w:val="00965456"/>
    <w:rsid w:val="009706AB"/>
    <w:rsid w:val="009727B8"/>
    <w:rsid w:val="00972C07"/>
    <w:rsid w:val="00972F14"/>
    <w:rsid w:val="00974A07"/>
    <w:rsid w:val="00974A96"/>
    <w:rsid w:val="0097594E"/>
    <w:rsid w:val="0097739F"/>
    <w:rsid w:val="00984285"/>
    <w:rsid w:val="009867F2"/>
    <w:rsid w:val="0098686D"/>
    <w:rsid w:val="00987BD3"/>
    <w:rsid w:val="0099012D"/>
    <w:rsid w:val="00991F21"/>
    <w:rsid w:val="00992B35"/>
    <w:rsid w:val="00993900"/>
    <w:rsid w:val="00993DA7"/>
    <w:rsid w:val="009A0D42"/>
    <w:rsid w:val="009A1061"/>
    <w:rsid w:val="009A1D65"/>
    <w:rsid w:val="009A269C"/>
    <w:rsid w:val="009A382E"/>
    <w:rsid w:val="009A3F44"/>
    <w:rsid w:val="009A54A3"/>
    <w:rsid w:val="009A684B"/>
    <w:rsid w:val="009A6956"/>
    <w:rsid w:val="009B108E"/>
    <w:rsid w:val="009B2F4F"/>
    <w:rsid w:val="009B3149"/>
    <w:rsid w:val="009B342D"/>
    <w:rsid w:val="009B3F51"/>
    <w:rsid w:val="009B51AF"/>
    <w:rsid w:val="009B61FF"/>
    <w:rsid w:val="009B6B1B"/>
    <w:rsid w:val="009C0803"/>
    <w:rsid w:val="009C125E"/>
    <w:rsid w:val="009C26AC"/>
    <w:rsid w:val="009C40C3"/>
    <w:rsid w:val="009C4D64"/>
    <w:rsid w:val="009C6B66"/>
    <w:rsid w:val="009C6F5A"/>
    <w:rsid w:val="009C73EA"/>
    <w:rsid w:val="009D0B73"/>
    <w:rsid w:val="009D1673"/>
    <w:rsid w:val="009D169B"/>
    <w:rsid w:val="009D179E"/>
    <w:rsid w:val="009D31B4"/>
    <w:rsid w:val="009D43BA"/>
    <w:rsid w:val="009E0447"/>
    <w:rsid w:val="009E2053"/>
    <w:rsid w:val="009E361D"/>
    <w:rsid w:val="009E3783"/>
    <w:rsid w:val="009E3A3C"/>
    <w:rsid w:val="009E5309"/>
    <w:rsid w:val="009E59CF"/>
    <w:rsid w:val="009F100F"/>
    <w:rsid w:val="009F18B8"/>
    <w:rsid w:val="009F27E3"/>
    <w:rsid w:val="009F28B3"/>
    <w:rsid w:val="009F32EB"/>
    <w:rsid w:val="009F52EF"/>
    <w:rsid w:val="009F53DF"/>
    <w:rsid w:val="009F63F3"/>
    <w:rsid w:val="009F69FA"/>
    <w:rsid w:val="009F71DD"/>
    <w:rsid w:val="00A00007"/>
    <w:rsid w:val="00A0080D"/>
    <w:rsid w:val="00A00BCD"/>
    <w:rsid w:val="00A00EB0"/>
    <w:rsid w:val="00A04193"/>
    <w:rsid w:val="00A04CDD"/>
    <w:rsid w:val="00A10071"/>
    <w:rsid w:val="00A1088A"/>
    <w:rsid w:val="00A10B03"/>
    <w:rsid w:val="00A147C8"/>
    <w:rsid w:val="00A1534D"/>
    <w:rsid w:val="00A160AD"/>
    <w:rsid w:val="00A1753C"/>
    <w:rsid w:val="00A17899"/>
    <w:rsid w:val="00A21632"/>
    <w:rsid w:val="00A2174E"/>
    <w:rsid w:val="00A21B57"/>
    <w:rsid w:val="00A223EC"/>
    <w:rsid w:val="00A242E3"/>
    <w:rsid w:val="00A247A9"/>
    <w:rsid w:val="00A249C2"/>
    <w:rsid w:val="00A24F31"/>
    <w:rsid w:val="00A254AC"/>
    <w:rsid w:val="00A261E6"/>
    <w:rsid w:val="00A265C8"/>
    <w:rsid w:val="00A265E1"/>
    <w:rsid w:val="00A27CF4"/>
    <w:rsid w:val="00A27D63"/>
    <w:rsid w:val="00A31337"/>
    <w:rsid w:val="00A34B48"/>
    <w:rsid w:val="00A357DA"/>
    <w:rsid w:val="00A36CB1"/>
    <w:rsid w:val="00A3715E"/>
    <w:rsid w:val="00A37248"/>
    <w:rsid w:val="00A373A2"/>
    <w:rsid w:val="00A37925"/>
    <w:rsid w:val="00A401EA"/>
    <w:rsid w:val="00A4095B"/>
    <w:rsid w:val="00A4303A"/>
    <w:rsid w:val="00A43779"/>
    <w:rsid w:val="00A460F8"/>
    <w:rsid w:val="00A46944"/>
    <w:rsid w:val="00A46ED1"/>
    <w:rsid w:val="00A52D85"/>
    <w:rsid w:val="00A533BE"/>
    <w:rsid w:val="00A534F5"/>
    <w:rsid w:val="00A5377A"/>
    <w:rsid w:val="00A5380B"/>
    <w:rsid w:val="00A53A08"/>
    <w:rsid w:val="00A5458A"/>
    <w:rsid w:val="00A557AF"/>
    <w:rsid w:val="00A576E2"/>
    <w:rsid w:val="00A619C8"/>
    <w:rsid w:val="00A649CC"/>
    <w:rsid w:val="00A65F94"/>
    <w:rsid w:val="00A663D0"/>
    <w:rsid w:val="00A66DC6"/>
    <w:rsid w:val="00A66E9C"/>
    <w:rsid w:val="00A674C4"/>
    <w:rsid w:val="00A67F14"/>
    <w:rsid w:val="00A70147"/>
    <w:rsid w:val="00A70734"/>
    <w:rsid w:val="00A70D09"/>
    <w:rsid w:val="00A74610"/>
    <w:rsid w:val="00A7554B"/>
    <w:rsid w:val="00A75D60"/>
    <w:rsid w:val="00A7627B"/>
    <w:rsid w:val="00A81382"/>
    <w:rsid w:val="00A816CA"/>
    <w:rsid w:val="00A818E3"/>
    <w:rsid w:val="00A82C28"/>
    <w:rsid w:val="00A8361D"/>
    <w:rsid w:val="00A83A40"/>
    <w:rsid w:val="00A83B84"/>
    <w:rsid w:val="00A83FF9"/>
    <w:rsid w:val="00A84DFC"/>
    <w:rsid w:val="00A87A15"/>
    <w:rsid w:val="00A87B53"/>
    <w:rsid w:val="00A922A0"/>
    <w:rsid w:val="00A92EC9"/>
    <w:rsid w:val="00A92EDF"/>
    <w:rsid w:val="00A932A6"/>
    <w:rsid w:val="00A93680"/>
    <w:rsid w:val="00A94030"/>
    <w:rsid w:val="00A9403A"/>
    <w:rsid w:val="00A965A1"/>
    <w:rsid w:val="00A96CAB"/>
    <w:rsid w:val="00A97772"/>
    <w:rsid w:val="00AA237F"/>
    <w:rsid w:val="00AA2515"/>
    <w:rsid w:val="00AA2AC1"/>
    <w:rsid w:val="00AA538A"/>
    <w:rsid w:val="00AA69B8"/>
    <w:rsid w:val="00AA6DDD"/>
    <w:rsid w:val="00AA708D"/>
    <w:rsid w:val="00AA798E"/>
    <w:rsid w:val="00AB0D7A"/>
    <w:rsid w:val="00AB16CE"/>
    <w:rsid w:val="00AB16DF"/>
    <w:rsid w:val="00AB17A7"/>
    <w:rsid w:val="00AB1EAB"/>
    <w:rsid w:val="00AB2CD7"/>
    <w:rsid w:val="00AB3467"/>
    <w:rsid w:val="00AB53AC"/>
    <w:rsid w:val="00AB71F9"/>
    <w:rsid w:val="00AB721D"/>
    <w:rsid w:val="00AB7531"/>
    <w:rsid w:val="00AC0034"/>
    <w:rsid w:val="00AC032E"/>
    <w:rsid w:val="00AC0586"/>
    <w:rsid w:val="00AC0909"/>
    <w:rsid w:val="00AC0B28"/>
    <w:rsid w:val="00AC0DB4"/>
    <w:rsid w:val="00AC1D9A"/>
    <w:rsid w:val="00AC2313"/>
    <w:rsid w:val="00AC28EC"/>
    <w:rsid w:val="00AC418B"/>
    <w:rsid w:val="00AC562D"/>
    <w:rsid w:val="00AC7889"/>
    <w:rsid w:val="00AD17E1"/>
    <w:rsid w:val="00AD2D61"/>
    <w:rsid w:val="00AD4A67"/>
    <w:rsid w:val="00AD4CAD"/>
    <w:rsid w:val="00AD4F62"/>
    <w:rsid w:val="00AD5338"/>
    <w:rsid w:val="00AD5635"/>
    <w:rsid w:val="00AE0A46"/>
    <w:rsid w:val="00AE0D64"/>
    <w:rsid w:val="00AE0EFB"/>
    <w:rsid w:val="00AE2A7A"/>
    <w:rsid w:val="00AE2C75"/>
    <w:rsid w:val="00AE37A7"/>
    <w:rsid w:val="00AE39FC"/>
    <w:rsid w:val="00AE3AC4"/>
    <w:rsid w:val="00AE4FBB"/>
    <w:rsid w:val="00AE5718"/>
    <w:rsid w:val="00AE601E"/>
    <w:rsid w:val="00AE625B"/>
    <w:rsid w:val="00AE629B"/>
    <w:rsid w:val="00AE73B2"/>
    <w:rsid w:val="00AE744C"/>
    <w:rsid w:val="00AF024C"/>
    <w:rsid w:val="00AF1F55"/>
    <w:rsid w:val="00AF219E"/>
    <w:rsid w:val="00AF3677"/>
    <w:rsid w:val="00AF47C5"/>
    <w:rsid w:val="00AF4BB0"/>
    <w:rsid w:val="00AF5E39"/>
    <w:rsid w:val="00AF6884"/>
    <w:rsid w:val="00B019A6"/>
    <w:rsid w:val="00B01D03"/>
    <w:rsid w:val="00B02982"/>
    <w:rsid w:val="00B04DD3"/>
    <w:rsid w:val="00B04E1F"/>
    <w:rsid w:val="00B04EA4"/>
    <w:rsid w:val="00B12674"/>
    <w:rsid w:val="00B155D7"/>
    <w:rsid w:val="00B15800"/>
    <w:rsid w:val="00B15E79"/>
    <w:rsid w:val="00B16806"/>
    <w:rsid w:val="00B1752F"/>
    <w:rsid w:val="00B1773A"/>
    <w:rsid w:val="00B177B4"/>
    <w:rsid w:val="00B17EE5"/>
    <w:rsid w:val="00B2051E"/>
    <w:rsid w:val="00B21578"/>
    <w:rsid w:val="00B218F2"/>
    <w:rsid w:val="00B22085"/>
    <w:rsid w:val="00B24D7E"/>
    <w:rsid w:val="00B24F26"/>
    <w:rsid w:val="00B25826"/>
    <w:rsid w:val="00B25D5E"/>
    <w:rsid w:val="00B263A5"/>
    <w:rsid w:val="00B30F34"/>
    <w:rsid w:val="00B331B0"/>
    <w:rsid w:val="00B3325A"/>
    <w:rsid w:val="00B33725"/>
    <w:rsid w:val="00B35176"/>
    <w:rsid w:val="00B3676C"/>
    <w:rsid w:val="00B37BC0"/>
    <w:rsid w:val="00B4073A"/>
    <w:rsid w:val="00B4183F"/>
    <w:rsid w:val="00B43CE6"/>
    <w:rsid w:val="00B443A4"/>
    <w:rsid w:val="00B44A5A"/>
    <w:rsid w:val="00B454BD"/>
    <w:rsid w:val="00B47A00"/>
    <w:rsid w:val="00B503A1"/>
    <w:rsid w:val="00B5342F"/>
    <w:rsid w:val="00B539F6"/>
    <w:rsid w:val="00B53FC3"/>
    <w:rsid w:val="00B554B6"/>
    <w:rsid w:val="00B55698"/>
    <w:rsid w:val="00B55D8E"/>
    <w:rsid w:val="00B56228"/>
    <w:rsid w:val="00B57101"/>
    <w:rsid w:val="00B573B8"/>
    <w:rsid w:val="00B578F3"/>
    <w:rsid w:val="00B6006A"/>
    <w:rsid w:val="00B60C39"/>
    <w:rsid w:val="00B611E8"/>
    <w:rsid w:val="00B62267"/>
    <w:rsid w:val="00B62EBE"/>
    <w:rsid w:val="00B63DFA"/>
    <w:rsid w:val="00B645BE"/>
    <w:rsid w:val="00B64DB6"/>
    <w:rsid w:val="00B65296"/>
    <w:rsid w:val="00B66D2A"/>
    <w:rsid w:val="00B70F9C"/>
    <w:rsid w:val="00B7134C"/>
    <w:rsid w:val="00B71EF3"/>
    <w:rsid w:val="00B721A1"/>
    <w:rsid w:val="00B731C2"/>
    <w:rsid w:val="00B7369B"/>
    <w:rsid w:val="00B73E9D"/>
    <w:rsid w:val="00B7493C"/>
    <w:rsid w:val="00B74F77"/>
    <w:rsid w:val="00B75BA8"/>
    <w:rsid w:val="00B776A3"/>
    <w:rsid w:val="00B77862"/>
    <w:rsid w:val="00B80377"/>
    <w:rsid w:val="00B80B39"/>
    <w:rsid w:val="00B81681"/>
    <w:rsid w:val="00B8271F"/>
    <w:rsid w:val="00B82D10"/>
    <w:rsid w:val="00B83660"/>
    <w:rsid w:val="00B840DF"/>
    <w:rsid w:val="00B845FB"/>
    <w:rsid w:val="00B84A66"/>
    <w:rsid w:val="00B8593B"/>
    <w:rsid w:val="00B8774F"/>
    <w:rsid w:val="00B879FB"/>
    <w:rsid w:val="00B87EFC"/>
    <w:rsid w:val="00B9076F"/>
    <w:rsid w:val="00B91483"/>
    <w:rsid w:val="00B9162F"/>
    <w:rsid w:val="00B949C0"/>
    <w:rsid w:val="00B95E0E"/>
    <w:rsid w:val="00B96329"/>
    <w:rsid w:val="00B968B3"/>
    <w:rsid w:val="00B96930"/>
    <w:rsid w:val="00B97839"/>
    <w:rsid w:val="00B97B5B"/>
    <w:rsid w:val="00BA0C48"/>
    <w:rsid w:val="00BA1889"/>
    <w:rsid w:val="00BA2684"/>
    <w:rsid w:val="00BA2F1D"/>
    <w:rsid w:val="00BA44F2"/>
    <w:rsid w:val="00BA46EA"/>
    <w:rsid w:val="00BA4CAD"/>
    <w:rsid w:val="00BA5254"/>
    <w:rsid w:val="00BA5705"/>
    <w:rsid w:val="00BA5F6E"/>
    <w:rsid w:val="00BA65B5"/>
    <w:rsid w:val="00BA7257"/>
    <w:rsid w:val="00BA72C3"/>
    <w:rsid w:val="00BA77B1"/>
    <w:rsid w:val="00BB0241"/>
    <w:rsid w:val="00BB0F4A"/>
    <w:rsid w:val="00BB177E"/>
    <w:rsid w:val="00BB49FE"/>
    <w:rsid w:val="00BB5F97"/>
    <w:rsid w:val="00BB69EE"/>
    <w:rsid w:val="00BB6EB3"/>
    <w:rsid w:val="00BB7177"/>
    <w:rsid w:val="00BB72D0"/>
    <w:rsid w:val="00BC001F"/>
    <w:rsid w:val="00BC4C91"/>
    <w:rsid w:val="00BC6417"/>
    <w:rsid w:val="00BC6C60"/>
    <w:rsid w:val="00BC7437"/>
    <w:rsid w:val="00BC7E20"/>
    <w:rsid w:val="00BD079E"/>
    <w:rsid w:val="00BD0CC1"/>
    <w:rsid w:val="00BD14EE"/>
    <w:rsid w:val="00BD1D25"/>
    <w:rsid w:val="00BD2329"/>
    <w:rsid w:val="00BD2E81"/>
    <w:rsid w:val="00BD389C"/>
    <w:rsid w:val="00BD38BE"/>
    <w:rsid w:val="00BD3ECA"/>
    <w:rsid w:val="00BD5116"/>
    <w:rsid w:val="00BD6860"/>
    <w:rsid w:val="00BD7B8B"/>
    <w:rsid w:val="00BD7F41"/>
    <w:rsid w:val="00BE06B0"/>
    <w:rsid w:val="00BE09F0"/>
    <w:rsid w:val="00BE1141"/>
    <w:rsid w:val="00BE3D14"/>
    <w:rsid w:val="00BE4276"/>
    <w:rsid w:val="00BE451C"/>
    <w:rsid w:val="00BE4A29"/>
    <w:rsid w:val="00BE4A30"/>
    <w:rsid w:val="00BE5EDB"/>
    <w:rsid w:val="00BE73FF"/>
    <w:rsid w:val="00BF07F1"/>
    <w:rsid w:val="00BF0AC4"/>
    <w:rsid w:val="00BF1DB6"/>
    <w:rsid w:val="00BF23B8"/>
    <w:rsid w:val="00BF355E"/>
    <w:rsid w:val="00BF36D3"/>
    <w:rsid w:val="00BF3D6D"/>
    <w:rsid w:val="00BF4307"/>
    <w:rsid w:val="00BF44B7"/>
    <w:rsid w:val="00BF48FC"/>
    <w:rsid w:val="00BF5111"/>
    <w:rsid w:val="00BF571D"/>
    <w:rsid w:val="00BF6221"/>
    <w:rsid w:val="00BF6230"/>
    <w:rsid w:val="00C018C6"/>
    <w:rsid w:val="00C01D23"/>
    <w:rsid w:val="00C02CAF"/>
    <w:rsid w:val="00C03D5A"/>
    <w:rsid w:val="00C0454D"/>
    <w:rsid w:val="00C04DC4"/>
    <w:rsid w:val="00C05D23"/>
    <w:rsid w:val="00C05F83"/>
    <w:rsid w:val="00C069E1"/>
    <w:rsid w:val="00C06E42"/>
    <w:rsid w:val="00C0722A"/>
    <w:rsid w:val="00C10DF8"/>
    <w:rsid w:val="00C132A2"/>
    <w:rsid w:val="00C13A62"/>
    <w:rsid w:val="00C14426"/>
    <w:rsid w:val="00C159B6"/>
    <w:rsid w:val="00C15CFF"/>
    <w:rsid w:val="00C17D05"/>
    <w:rsid w:val="00C20C21"/>
    <w:rsid w:val="00C211C4"/>
    <w:rsid w:val="00C217B0"/>
    <w:rsid w:val="00C21C42"/>
    <w:rsid w:val="00C228C2"/>
    <w:rsid w:val="00C23834"/>
    <w:rsid w:val="00C23BB8"/>
    <w:rsid w:val="00C23ECF"/>
    <w:rsid w:val="00C263B4"/>
    <w:rsid w:val="00C26687"/>
    <w:rsid w:val="00C2708C"/>
    <w:rsid w:val="00C30CE5"/>
    <w:rsid w:val="00C3100B"/>
    <w:rsid w:val="00C36228"/>
    <w:rsid w:val="00C36D21"/>
    <w:rsid w:val="00C407C9"/>
    <w:rsid w:val="00C4361C"/>
    <w:rsid w:val="00C438D6"/>
    <w:rsid w:val="00C446B7"/>
    <w:rsid w:val="00C47CAA"/>
    <w:rsid w:val="00C503AB"/>
    <w:rsid w:val="00C5122A"/>
    <w:rsid w:val="00C52166"/>
    <w:rsid w:val="00C53541"/>
    <w:rsid w:val="00C5484B"/>
    <w:rsid w:val="00C54DA9"/>
    <w:rsid w:val="00C55CCD"/>
    <w:rsid w:val="00C55D9E"/>
    <w:rsid w:val="00C56626"/>
    <w:rsid w:val="00C57575"/>
    <w:rsid w:val="00C604A5"/>
    <w:rsid w:val="00C60849"/>
    <w:rsid w:val="00C6426F"/>
    <w:rsid w:val="00C64812"/>
    <w:rsid w:val="00C64B93"/>
    <w:rsid w:val="00C651AC"/>
    <w:rsid w:val="00C65BEF"/>
    <w:rsid w:val="00C66594"/>
    <w:rsid w:val="00C666C4"/>
    <w:rsid w:val="00C67D01"/>
    <w:rsid w:val="00C7033C"/>
    <w:rsid w:val="00C70F6D"/>
    <w:rsid w:val="00C71F33"/>
    <w:rsid w:val="00C73181"/>
    <w:rsid w:val="00C76FA9"/>
    <w:rsid w:val="00C80168"/>
    <w:rsid w:val="00C801E6"/>
    <w:rsid w:val="00C83945"/>
    <w:rsid w:val="00C84242"/>
    <w:rsid w:val="00C85309"/>
    <w:rsid w:val="00C86117"/>
    <w:rsid w:val="00C865E9"/>
    <w:rsid w:val="00C873B1"/>
    <w:rsid w:val="00C87F37"/>
    <w:rsid w:val="00C91C7F"/>
    <w:rsid w:val="00C929CD"/>
    <w:rsid w:val="00C93C0D"/>
    <w:rsid w:val="00C959F9"/>
    <w:rsid w:val="00C95D58"/>
    <w:rsid w:val="00C961C5"/>
    <w:rsid w:val="00C96563"/>
    <w:rsid w:val="00C97865"/>
    <w:rsid w:val="00C97B55"/>
    <w:rsid w:val="00CA039D"/>
    <w:rsid w:val="00CA0494"/>
    <w:rsid w:val="00CA1160"/>
    <w:rsid w:val="00CA23CE"/>
    <w:rsid w:val="00CA3437"/>
    <w:rsid w:val="00CA445A"/>
    <w:rsid w:val="00CA536D"/>
    <w:rsid w:val="00CA5E47"/>
    <w:rsid w:val="00CA6437"/>
    <w:rsid w:val="00CB2C58"/>
    <w:rsid w:val="00CB2F15"/>
    <w:rsid w:val="00CB3290"/>
    <w:rsid w:val="00CB330C"/>
    <w:rsid w:val="00CB331D"/>
    <w:rsid w:val="00CB35AF"/>
    <w:rsid w:val="00CB3AC6"/>
    <w:rsid w:val="00CB529A"/>
    <w:rsid w:val="00CB55C2"/>
    <w:rsid w:val="00CB56D3"/>
    <w:rsid w:val="00CB623C"/>
    <w:rsid w:val="00CB69E7"/>
    <w:rsid w:val="00CB7D46"/>
    <w:rsid w:val="00CC0C77"/>
    <w:rsid w:val="00CC1DFB"/>
    <w:rsid w:val="00CC205C"/>
    <w:rsid w:val="00CC2707"/>
    <w:rsid w:val="00CC3DE8"/>
    <w:rsid w:val="00CC552E"/>
    <w:rsid w:val="00CC75DF"/>
    <w:rsid w:val="00CD0A1A"/>
    <w:rsid w:val="00CD1337"/>
    <w:rsid w:val="00CD1DD1"/>
    <w:rsid w:val="00CD237A"/>
    <w:rsid w:val="00CD2B7D"/>
    <w:rsid w:val="00CD3835"/>
    <w:rsid w:val="00CD4C8E"/>
    <w:rsid w:val="00CD537F"/>
    <w:rsid w:val="00CD5745"/>
    <w:rsid w:val="00CD63FA"/>
    <w:rsid w:val="00CD7DC3"/>
    <w:rsid w:val="00CE11DB"/>
    <w:rsid w:val="00CE4929"/>
    <w:rsid w:val="00CE55C5"/>
    <w:rsid w:val="00CE67A7"/>
    <w:rsid w:val="00CE76F1"/>
    <w:rsid w:val="00CF08B5"/>
    <w:rsid w:val="00CF36C6"/>
    <w:rsid w:val="00CF3709"/>
    <w:rsid w:val="00CF647B"/>
    <w:rsid w:val="00CF683D"/>
    <w:rsid w:val="00CF712D"/>
    <w:rsid w:val="00CF7D1F"/>
    <w:rsid w:val="00D00940"/>
    <w:rsid w:val="00D0098A"/>
    <w:rsid w:val="00D04710"/>
    <w:rsid w:val="00D06520"/>
    <w:rsid w:val="00D10A57"/>
    <w:rsid w:val="00D10C62"/>
    <w:rsid w:val="00D1249E"/>
    <w:rsid w:val="00D12F28"/>
    <w:rsid w:val="00D13300"/>
    <w:rsid w:val="00D13D95"/>
    <w:rsid w:val="00D151C6"/>
    <w:rsid w:val="00D17DB3"/>
    <w:rsid w:val="00D17FBA"/>
    <w:rsid w:val="00D20D01"/>
    <w:rsid w:val="00D214A5"/>
    <w:rsid w:val="00D21769"/>
    <w:rsid w:val="00D21CCB"/>
    <w:rsid w:val="00D233DD"/>
    <w:rsid w:val="00D23F5C"/>
    <w:rsid w:val="00D2446B"/>
    <w:rsid w:val="00D249F3"/>
    <w:rsid w:val="00D24B69"/>
    <w:rsid w:val="00D25F1D"/>
    <w:rsid w:val="00D260BB"/>
    <w:rsid w:val="00D3004A"/>
    <w:rsid w:val="00D30792"/>
    <w:rsid w:val="00D30A30"/>
    <w:rsid w:val="00D30C7F"/>
    <w:rsid w:val="00D30FF7"/>
    <w:rsid w:val="00D31846"/>
    <w:rsid w:val="00D31A09"/>
    <w:rsid w:val="00D349B4"/>
    <w:rsid w:val="00D3596E"/>
    <w:rsid w:val="00D37CC5"/>
    <w:rsid w:val="00D41A7D"/>
    <w:rsid w:val="00D42D51"/>
    <w:rsid w:val="00D46A1F"/>
    <w:rsid w:val="00D50727"/>
    <w:rsid w:val="00D50E0E"/>
    <w:rsid w:val="00D521C6"/>
    <w:rsid w:val="00D52E3D"/>
    <w:rsid w:val="00D53017"/>
    <w:rsid w:val="00D54AB2"/>
    <w:rsid w:val="00D57079"/>
    <w:rsid w:val="00D57726"/>
    <w:rsid w:val="00D57AE7"/>
    <w:rsid w:val="00D57C61"/>
    <w:rsid w:val="00D60A6D"/>
    <w:rsid w:val="00D61C03"/>
    <w:rsid w:val="00D6243F"/>
    <w:rsid w:val="00D62B8A"/>
    <w:rsid w:val="00D62D9D"/>
    <w:rsid w:val="00D63ECB"/>
    <w:rsid w:val="00D644E4"/>
    <w:rsid w:val="00D648A7"/>
    <w:rsid w:val="00D661E9"/>
    <w:rsid w:val="00D663F1"/>
    <w:rsid w:val="00D66609"/>
    <w:rsid w:val="00D666EF"/>
    <w:rsid w:val="00D66A2F"/>
    <w:rsid w:val="00D67088"/>
    <w:rsid w:val="00D70E2B"/>
    <w:rsid w:val="00D70F5B"/>
    <w:rsid w:val="00D71D71"/>
    <w:rsid w:val="00D7218D"/>
    <w:rsid w:val="00D721A6"/>
    <w:rsid w:val="00D7266D"/>
    <w:rsid w:val="00D72E98"/>
    <w:rsid w:val="00D734B4"/>
    <w:rsid w:val="00D7459B"/>
    <w:rsid w:val="00D746A6"/>
    <w:rsid w:val="00D75473"/>
    <w:rsid w:val="00D76073"/>
    <w:rsid w:val="00D76206"/>
    <w:rsid w:val="00D76FB8"/>
    <w:rsid w:val="00D77282"/>
    <w:rsid w:val="00D775C4"/>
    <w:rsid w:val="00D77999"/>
    <w:rsid w:val="00D80205"/>
    <w:rsid w:val="00D80907"/>
    <w:rsid w:val="00D81206"/>
    <w:rsid w:val="00D817B0"/>
    <w:rsid w:val="00D81C31"/>
    <w:rsid w:val="00D82199"/>
    <w:rsid w:val="00D85760"/>
    <w:rsid w:val="00D86C52"/>
    <w:rsid w:val="00D872EB"/>
    <w:rsid w:val="00D909FB"/>
    <w:rsid w:val="00D914CC"/>
    <w:rsid w:val="00D91971"/>
    <w:rsid w:val="00D91D2C"/>
    <w:rsid w:val="00D94857"/>
    <w:rsid w:val="00D95957"/>
    <w:rsid w:val="00D95AEE"/>
    <w:rsid w:val="00D970C9"/>
    <w:rsid w:val="00D97921"/>
    <w:rsid w:val="00DA082A"/>
    <w:rsid w:val="00DA0F3C"/>
    <w:rsid w:val="00DA2883"/>
    <w:rsid w:val="00DA2CE1"/>
    <w:rsid w:val="00DA31DD"/>
    <w:rsid w:val="00DA5F8A"/>
    <w:rsid w:val="00DA64E6"/>
    <w:rsid w:val="00DA682B"/>
    <w:rsid w:val="00DA7903"/>
    <w:rsid w:val="00DB0DB1"/>
    <w:rsid w:val="00DB336F"/>
    <w:rsid w:val="00DB372D"/>
    <w:rsid w:val="00DB4028"/>
    <w:rsid w:val="00DB6135"/>
    <w:rsid w:val="00DB61F9"/>
    <w:rsid w:val="00DB6C7C"/>
    <w:rsid w:val="00DC05D9"/>
    <w:rsid w:val="00DC1DF1"/>
    <w:rsid w:val="00DC22C3"/>
    <w:rsid w:val="00DC417D"/>
    <w:rsid w:val="00DC4399"/>
    <w:rsid w:val="00DC4641"/>
    <w:rsid w:val="00DD1F74"/>
    <w:rsid w:val="00DD281A"/>
    <w:rsid w:val="00DD61B9"/>
    <w:rsid w:val="00DD7E04"/>
    <w:rsid w:val="00DD7EA5"/>
    <w:rsid w:val="00DE058C"/>
    <w:rsid w:val="00DE10DF"/>
    <w:rsid w:val="00DE2E54"/>
    <w:rsid w:val="00DE35E8"/>
    <w:rsid w:val="00DE4F4C"/>
    <w:rsid w:val="00DE5BA5"/>
    <w:rsid w:val="00DE68C3"/>
    <w:rsid w:val="00DE6A05"/>
    <w:rsid w:val="00DE6A16"/>
    <w:rsid w:val="00DE6C43"/>
    <w:rsid w:val="00DE6F02"/>
    <w:rsid w:val="00DE74E7"/>
    <w:rsid w:val="00DF38B9"/>
    <w:rsid w:val="00DF39BF"/>
    <w:rsid w:val="00DF3AC6"/>
    <w:rsid w:val="00DF7C58"/>
    <w:rsid w:val="00DF7D43"/>
    <w:rsid w:val="00E01D59"/>
    <w:rsid w:val="00E061F2"/>
    <w:rsid w:val="00E076DE"/>
    <w:rsid w:val="00E10A5A"/>
    <w:rsid w:val="00E11474"/>
    <w:rsid w:val="00E11B1C"/>
    <w:rsid w:val="00E11CDE"/>
    <w:rsid w:val="00E13A8A"/>
    <w:rsid w:val="00E13ED8"/>
    <w:rsid w:val="00E1634B"/>
    <w:rsid w:val="00E20981"/>
    <w:rsid w:val="00E23E5D"/>
    <w:rsid w:val="00E2403A"/>
    <w:rsid w:val="00E2437A"/>
    <w:rsid w:val="00E256E7"/>
    <w:rsid w:val="00E30D47"/>
    <w:rsid w:val="00E31EE9"/>
    <w:rsid w:val="00E32D69"/>
    <w:rsid w:val="00E334D2"/>
    <w:rsid w:val="00E34CCB"/>
    <w:rsid w:val="00E360B2"/>
    <w:rsid w:val="00E36DED"/>
    <w:rsid w:val="00E412F7"/>
    <w:rsid w:val="00E41BB6"/>
    <w:rsid w:val="00E42261"/>
    <w:rsid w:val="00E43495"/>
    <w:rsid w:val="00E434CD"/>
    <w:rsid w:val="00E446C6"/>
    <w:rsid w:val="00E45D2F"/>
    <w:rsid w:val="00E461A1"/>
    <w:rsid w:val="00E466CF"/>
    <w:rsid w:val="00E5103E"/>
    <w:rsid w:val="00E51102"/>
    <w:rsid w:val="00E52BD4"/>
    <w:rsid w:val="00E52DE8"/>
    <w:rsid w:val="00E55A2D"/>
    <w:rsid w:val="00E564C0"/>
    <w:rsid w:val="00E6095B"/>
    <w:rsid w:val="00E614C8"/>
    <w:rsid w:val="00E624BE"/>
    <w:rsid w:val="00E6395B"/>
    <w:rsid w:val="00E63ADD"/>
    <w:rsid w:val="00E652A8"/>
    <w:rsid w:val="00E66573"/>
    <w:rsid w:val="00E6705B"/>
    <w:rsid w:val="00E6739F"/>
    <w:rsid w:val="00E67FF4"/>
    <w:rsid w:val="00E70708"/>
    <w:rsid w:val="00E72367"/>
    <w:rsid w:val="00E72877"/>
    <w:rsid w:val="00E746C2"/>
    <w:rsid w:val="00E75EED"/>
    <w:rsid w:val="00E80402"/>
    <w:rsid w:val="00E809B8"/>
    <w:rsid w:val="00E82440"/>
    <w:rsid w:val="00E82531"/>
    <w:rsid w:val="00E83069"/>
    <w:rsid w:val="00E834DB"/>
    <w:rsid w:val="00E83B1D"/>
    <w:rsid w:val="00E840ED"/>
    <w:rsid w:val="00E84A0F"/>
    <w:rsid w:val="00E870A6"/>
    <w:rsid w:val="00E87279"/>
    <w:rsid w:val="00E87B96"/>
    <w:rsid w:val="00E90650"/>
    <w:rsid w:val="00E91B44"/>
    <w:rsid w:val="00E91EC6"/>
    <w:rsid w:val="00E942AB"/>
    <w:rsid w:val="00E94757"/>
    <w:rsid w:val="00E966D9"/>
    <w:rsid w:val="00E967CA"/>
    <w:rsid w:val="00EA001F"/>
    <w:rsid w:val="00EA210D"/>
    <w:rsid w:val="00EA2EB9"/>
    <w:rsid w:val="00EA377A"/>
    <w:rsid w:val="00EA4BD2"/>
    <w:rsid w:val="00EA66F4"/>
    <w:rsid w:val="00EB0BEE"/>
    <w:rsid w:val="00EB1285"/>
    <w:rsid w:val="00EB1B12"/>
    <w:rsid w:val="00EB1FDC"/>
    <w:rsid w:val="00EB2811"/>
    <w:rsid w:val="00EB2CFC"/>
    <w:rsid w:val="00EB35A3"/>
    <w:rsid w:val="00EB4107"/>
    <w:rsid w:val="00EB5722"/>
    <w:rsid w:val="00EB5DE7"/>
    <w:rsid w:val="00EB7A0B"/>
    <w:rsid w:val="00EB7B2D"/>
    <w:rsid w:val="00EC1E01"/>
    <w:rsid w:val="00EC268B"/>
    <w:rsid w:val="00EC47A1"/>
    <w:rsid w:val="00EC4A9E"/>
    <w:rsid w:val="00EC4C59"/>
    <w:rsid w:val="00EC5411"/>
    <w:rsid w:val="00EC5882"/>
    <w:rsid w:val="00EC5B5E"/>
    <w:rsid w:val="00EC5CD8"/>
    <w:rsid w:val="00EC5DB5"/>
    <w:rsid w:val="00EC6ECC"/>
    <w:rsid w:val="00EC7501"/>
    <w:rsid w:val="00EC7E2A"/>
    <w:rsid w:val="00ED0AC4"/>
    <w:rsid w:val="00ED160C"/>
    <w:rsid w:val="00ED3163"/>
    <w:rsid w:val="00ED33B7"/>
    <w:rsid w:val="00ED35CD"/>
    <w:rsid w:val="00ED3FC8"/>
    <w:rsid w:val="00ED42AD"/>
    <w:rsid w:val="00ED53FB"/>
    <w:rsid w:val="00ED5C6C"/>
    <w:rsid w:val="00ED6BE7"/>
    <w:rsid w:val="00ED73AC"/>
    <w:rsid w:val="00EE04F5"/>
    <w:rsid w:val="00EE19B4"/>
    <w:rsid w:val="00EE422C"/>
    <w:rsid w:val="00EE4710"/>
    <w:rsid w:val="00EE49A8"/>
    <w:rsid w:val="00EE7597"/>
    <w:rsid w:val="00EE7990"/>
    <w:rsid w:val="00EF1C85"/>
    <w:rsid w:val="00EF2269"/>
    <w:rsid w:val="00EF2EFA"/>
    <w:rsid w:val="00EF33A2"/>
    <w:rsid w:val="00EF48FA"/>
    <w:rsid w:val="00EF4A01"/>
    <w:rsid w:val="00EF5B08"/>
    <w:rsid w:val="00EF7464"/>
    <w:rsid w:val="00EF7C00"/>
    <w:rsid w:val="00F00277"/>
    <w:rsid w:val="00F006FD"/>
    <w:rsid w:val="00F009E2"/>
    <w:rsid w:val="00F00DD6"/>
    <w:rsid w:val="00F018DF"/>
    <w:rsid w:val="00F02D80"/>
    <w:rsid w:val="00F0466F"/>
    <w:rsid w:val="00F0583C"/>
    <w:rsid w:val="00F06097"/>
    <w:rsid w:val="00F06107"/>
    <w:rsid w:val="00F07691"/>
    <w:rsid w:val="00F07D20"/>
    <w:rsid w:val="00F13572"/>
    <w:rsid w:val="00F13BDE"/>
    <w:rsid w:val="00F13C36"/>
    <w:rsid w:val="00F14269"/>
    <w:rsid w:val="00F14BA3"/>
    <w:rsid w:val="00F14FA2"/>
    <w:rsid w:val="00F1760D"/>
    <w:rsid w:val="00F2028F"/>
    <w:rsid w:val="00F21EBD"/>
    <w:rsid w:val="00F22ED3"/>
    <w:rsid w:val="00F231AB"/>
    <w:rsid w:val="00F238F9"/>
    <w:rsid w:val="00F244EB"/>
    <w:rsid w:val="00F246CF"/>
    <w:rsid w:val="00F24924"/>
    <w:rsid w:val="00F2592D"/>
    <w:rsid w:val="00F27138"/>
    <w:rsid w:val="00F275BA"/>
    <w:rsid w:val="00F304C2"/>
    <w:rsid w:val="00F321E1"/>
    <w:rsid w:val="00F3240B"/>
    <w:rsid w:val="00F32640"/>
    <w:rsid w:val="00F33C35"/>
    <w:rsid w:val="00F3403A"/>
    <w:rsid w:val="00F3405D"/>
    <w:rsid w:val="00F3686C"/>
    <w:rsid w:val="00F37279"/>
    <w:rsid w:val="00F4134C"/>
    <w:rsid w:val="00F41B4A"/>
    <w:rsid w:val="00F4242F"/>
    <w:rsid w:val="00F431BD"/>
    <w:rsid w:val="00F43A1C"/>
    <w:rsid w:val="00F43C72"/>
    <w:rsid w:val="00F43F56"/>
    <w:rsid w:val="00F44E8D"/>
    <w:rsid w:val="00F44FDF"/>
    <w:rsid w:val="00F466B1"/>
    <w:rsid w:val="00F466BA"/>
    <w:rsid w:val="00F47009"/>
    <w:rsid w:val="00F4753F"/>
    <w:rsid w:val="00F502D0"/>
    <w:rsid w:val="00F537BB"/>
    <w:rsid w:val="00F5505F"/>
    <w:rsid w:val="00F550C5"/>
    <w:rsid w:val="00F5600E"/>
    <w:rsid w:val="00F56917"/>
    <w:rsid w:val="00F56CBB"/>
    <w:rsid w:val="00F577C7"/>
    <w:rsid w:val="00F6011D"/>
    <w:rsid w:val="00F61244"/>
    <w:rsid w:val="00F61249"/>
    <w:rsid w:val="00F62659"/>
    <w:rsid w:val="00F626B3"/>
    <w:rsid w:val="00F63018"/>
    <w:rsid w:val="00F64BEF"/>
    <w:rsid w:val="00F67319"/>
    <w:rsid w:val="00F6739F"/>
    <w:rsid w:val="00F676DF"/>
    <w:rsid w:val="00F70EB2"/>
    <w:rsid w:val="00F724C5"/>
    <w:rsid w:val="00F735DE"/>
    <w:rsid w:val="00F738AA"/>
    <w:rsid w:val="00F75C33"/>
    <w:rsid w:val="00F77B86"/>
    <w:rsid w:val="00F80217"/>
    <w:rsid w:val="00F81BFF"/>
    <w:rsid w:val="00F81E8E"/>
    <w:rsid w:val="00F82904"/>
    <w:rsid w:val="00F85537"/>
    <w:rsid w:val="00F8750B"/>
    <w:rsid w:val="00F8756C"/>
    <w:rsid w:val="00F90016"/>
    <w:rsid w:val="00F90A1A"/>
    <w:rsid w:val="00F90DCF"/>
    <w:rsid w:val="00F90EDD"/>
    <w:rsid w:val="00F92186"/>
    <w:rsid w:val="00F9296E"/>
    <w:rsid w:val="00F93680"/>
    <w:rsid w:val="00F93BD6"/>
    <w:rsid w:val="00F94AB9"/>
    <w:rsid w:val="00F94AEF"/>
    <w:rsid w:val="00F95309"/>
    <w:rsid w:val="00F9556B"/>
    <w:rsid w:val="00F96ACD"/>
    <w:rsid w:val="00FA1527"/>
    <w:rsid w:val="00FA1895"/>
    <w:rsid w:val="00FA29AB"/>
    <w:rsid w:val="00FA2C55"/>
    <w:rsid w:val="00FA5BF9"/>
    <w:rsid w:val="00FA653D"/>
    <w:rsid w:val="00FA6A71"/>
    <w:rsid w:val="00FA6C47"/>
    <w:rsid w:val="00FA71D7"/>
    <w:rsid w:val="00FA729B"/>
    <w:rsid w:val="00FB2FD9"/>
    <w:rsid w:val="00FB37C9"/>
    <w:rsid w:val="00FB481F"/>
    <w:rsid w:val="00FB78A1"/>
    <w:rsid w:val="00FC0749"/>
    <w:rsid w:val="00FC09F0"/>
    <w:rsid w:val="00FC210D"/>
    <w:rsid w:val="00FC272B"/>
    <w:rsid w:val="00FC3DEF"/>
    <w:rsid w:val="00FC4663"/>
    <w:rsid w:val="00FC4C95"/>
    <w:rsid w:val="00FC4D75"/>
    <w:rsid w:val="00FC59A2"/>
    <w:rsid w:val="00FC685D"/>
    <w:rsid w:val="00FC72C5"/>
    <w:rsid w:val="00FC74B8"/>
    <w:rsid w:val="00FC7546"/>
    <w:rsid w:val="00FD0218"/>
    <w:rsid w:val="00FD3942"/>
    <w:rsid w:val="00FD40B8"/>
    <w:rsid w:val="00FD547D"/>
    <w:rsid w:val="00FD5872"/>
    <w:rsid w:val="00FD7008"/>
    <w:rsid w:val="00FD7A3D"/>
    <w:rsid w:val="00FE2E0E"/>
    <w:rsid w:val="00FE32E4"/>
    <w:rsid w:val="00FE377D"/>
    <w:rsid w:val="00FE37C7"/>
    <w:rsid w:val="00FE39CD"/>
    <w:rsid w:val="00FE3BFE"/>
    <w:rsid w:val="00FE44D4"/>
    <w:rsid w:val="00FE5105"/>
    <w:rsid w:val="00FE7AA8"/>
    <w:rsid w:val="00FE7AD9"/>
    <w:rsid w:val="00FE7F14"/>
    <w:rsid w:val="00FF06D4"/>
    <w:rsid w:val="00FF1845"/>
    <w:rsid w:val="00FF1E96"/>
    <w:rsid w:val="00FF2EC3"/>
    <w:rsid w:val="00FF390A"/>
    <w:rsid w:val="00FF489D"/>
    <w:rsid w:val="00FF501B"/>
    <w:rsid w:val="00FF623A"/>
    <w:rsid w:val="00FF625C"/>
    <w:rsid w:val="00FF7368"/>
    <w:rsid w:val="00FF7C82"/>
    <w:rsid w:val="00FF7D8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0EE966"/>
  <w15:docId w15:val="{B1878AAF-A052-4A39-98B2-AB897FF2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70A"/>
    <w:rPr>
      <w:sz w:val="24"/>
      <w:szCs w:val="24"/>
    </w:rPr>
  </w:style>
  <w:style w:type="paragraph" w:styleId="Heading5">
    <w:name w:val="heading 5"/>
    <w:basedOn w:val="Normal"/>
    <w:next w:val="Normal"/>
    <w:link w:val="Heading5Char"/>
    <w:qFormat/>
    <w:rsid w:val="009A269C"/>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6227"/>
    <w:pPr>
      <w:autoSpaceDE w:val="0"/>
      <w:autoSpaceDN w:val="0"/>
      <w:adjustRightInd w:val="0"/>
    </w:pPr>
    <w:rPr>
      <w:rFonts w:ascii="Arial" w:hAnsi="Arial" w:cs="Arial"/>
      <w:color w:val="000000"/>
      <w:sz w:val="24"/>
      <w:szCs w:val="24"/>
    </w:rPr>
  </w:style>
  <w:style w:type="paragraph" w:customStyle="1" w:styleId="Pa11">
    <w:name w:val="Pa11"/>
    <w:basedOn w:val="Default"/>
    <w:next w:val="Default"/>
    <w:rsid w:val="00876227"/>
    <w:pPr>
      <w:spacing w:line="141" w:lineRule="atLeast"/>
    </w:pPr>
    <w:rPr>
      <w:rFonts w:cs="Times New Roman"/>
      <w:color w:val="auto"/>
    </w:rPr>
  </w:style>
  <w:style w:type="paragraph" w:customStyle="1" w:styleId="Pa6">
    <w:name w:val="Pa6"/>
    <w:basedOn w:val="Default"/>
    <w:next w:val="Default"/>
    <w:uiPriority w:val="99"/>
    <w:rsid w:val="00876227"/>
    <w:pPr>
      <w:spacing w:line="201" w:lineRule="atLeast"/>
    </w:pPr>
    <w:rPr>
      <w:rFonts w:cs="Times New Roman"/>
      <w:color w:val="auto"/>
    </w:rPr>
  </w:style>
  <w:style w:type="paragraph" w:customStyle="1" w:styleId="Pa8">
    <w:name w:val="Pa8"/>
    <w:basedOn w:val="Default"/>
    <w:next w:val="Default"/>
    <w:rsid w:val="00876227"/>
    <w:pPr>
      <w:spacing w:line="201" w:lineRule="atLeast"/>
    </w:pPr>
    <w:rPr>
      <w:rFonts w:cs="Times New Roman"/>
      <w:color w:val="auto"/>
    </w:rPr>
  </w:style>
  <w:style w:type="paragraph" w:customStyle="1" w:styleId="Pa10">
    <w:name w:val="Pa10"/>
    <w:basedOn w:val="Default"/>
    <w:next w:val="Default"/>
    <w:rsid w:val="00876227"/>
    <w:pPr>
      <w:spacing w:line="201" w:lineRule="atLeast"/>
    </w:pPr>
    <w:rPr>
      <w:rFonts w:cs="Times New Roman"/>
      <w:color w:val="auto"/>
    </w:rPr>
  </w:style>
  <w:style w:type="paragraph" w:customStyle="1" w:styleId="Pa0">
    <w:name w:val="Pa0"/>
    <w:basedOn w:val="Default"/>
    <w:next w:val="Default"/>
    <w:rsid w:val="00876227"/>
    <w:pPr>
      <w:spacing w:line="401" w:lineRule="atLeast"/>
    </w:pPr>
    <w:rPr>
      <w:rFonts w:cs="Times New Roman"/>
      <w:color w:val="auto"/>
    </w:rPr>
  </w:style>
  <w:style w:type="paragraph" w:customStyle="1" w:styleId="Pa1">
    <w:name w:val="Pa1"/>
    <w:basedOn w:val="Default"/>
    <w:next w:val="Default"/>
    <w:rsid w:val="00876227"/>
    <w:pPr>
      <w:spacing w:line="201" w:lineRule="atLeast"/>
    </w:pPr>
    <w:rPr>
      <w:rFonts w:cs="Times New Roman"/>
      <w:color w:val="auto"/>
    </w:rPr>
  </w:style>
  <w:style w:type="paragraph" w:customStyle="1" w:styleId="Pa12">
    <w:name w:val="Pa12"/>
    <w:basedOn w:val="Default"/>
    <w:next w:val="Default"/>
    <w:rsid w:val="00876227"/>
    <w:pPr>
      <w:spacing w:line="201" w:lineRule="atLeast"/>
    </w:pPr>
    <w:rPr>
      <w:rFonts w:cs="Times New Roman"/>
      <w:color w:val="auto"/>
    </w:rPr>
  </w:style>
  <w:style w:type="paragraph" w:customStyle="1" w:styleId="Pa13">
    <w:name w:val="Pa13"/>
    <w:basedOn w:val="Default"/>
    <w:next w:val="Default"/>
    <w:rsid w:val="00876227"/>
    <w:pPr>
      <w:spacing w:line="201" w:lineRule="atLeast"/>
    </w:pPr>
    <w:rPr>
      <w:rFonts w:cs="Times New Roman"/>
      <w:color w:val="auto"/>
    </w:rPr>
  </w:style>
  <w:style w:type="paragraph" w:customStyle="1" w:styleId="Pa16">
    <w:name w:val="Pa16"/>
    <w:basedOn w:val="Default"/>
    <w:next w:val="Default"/>
    <w:rsid w:val="00876227"/>
    <w:pPr>
      <w:spacing w:line="201" w:lineRule="atLeast"/>
    </w:pPr>
    <w:rPr>
      <w:rFonts w:cs="Times New Roman"/>
      <w:color w:val="auto"/>
    </w:rPr>
  </w:style>
  <w:style w:type="paragraph" w:customStyle="1" w:styleId="Pa17">
    <w:name w:val="Pa17"/>
    <w:basedOn w:val="Default"/>
    <w:next w:val="Default"/>
    <w:rsid w:val="00876227"/>
    <w:pPr>
      <w:spacing w:line="161" w:lineRule="atLeast"/>
    </w:pPr>
    <w:rPr>
      <w:rFonts w:cs="Times New Roman"/>
      <w:color w:val="auto"/>
    </w:rPr>
  </w:style>
  <w:style w:type="paragraph" w:customStyle="1" w:styleId="Pa18">
    <w:name w:val="Pa18"/>
    <w:basedOn w:val="Default"/>
    <w:next w:val="Default"/>
    <w:rsid w:val="00876227"/>
    <w:pPr>
      <w:spacing w:line="181" w:lineRule="atLeast"/>
    </w:pPr>
    <w:rPr>
      <w:rFonts w:cs="Times New Roman"/>
      <w:color w:val="auto"/>
    </w:rPr>
  </w:style>
  <w:style w:type="paragraph" w:customStyle="1" w:styleId="Pa19">
    <w:name w:val="Pa19"/>
    <w:basedOn w:val="Default"/>
    <w:next w:val="Default"/>
    <w:rsid w:val="00876227"/>
    <w:pPr>
      <w:spacing w:line="181" w:lineRule="atLeast"/>
    </w:pPr>
    <w:rPr>
      <w:rFonts w:cs="Times New Roman"/>
      <w:color w:val="auto"/>
    </w:rPr>
  </w:style>
  <w:style w:type="paragraph" w:customStyle="1" w:styleId="Pa7">
    <w:name w:val="Pa7"/>
    <w:basedOn w:val="Default"/>
    <w:next w:val="Default"/>
    <w:rsid w:val="00A460F8"/>
    <w:pPr>
      <w:spacing w:line="141" w:lineRule="atLeast"/>
    </w:pPr>
    <w:rPr>
      <w:rFonts w:cs="Times New Roman"/>
      <w:color w:val="auto"/>
    </w:rPr>
  </w:style>
  <w:style w:type="paragraph" w:customStyle="1" w:styleId="Pa9">
    <w:name w:val="Pa9"/>
    <w:basedOn w:val="Default"/>
    <w:next w:val="Default"/>
    <w:uiPriority w:val="99"/>
    <w:rsid w:val="00A460F8"/>
    <w:pPr>
      <w:spacing w:line="201" w:lineRule="atLeast"/>
    </w:pPr>
    <w:rPr>
      <w:rFonts w:cs="Times New Roman"/>
      <w:color w:val="auto"/>
    </w:rPr>
  </w:style>
  <w:style w:type="paragraph" w:customStyle="1" w:styleId="sangrado">
    <w:name w:val="sangrado"/>
    <w:basedOn w:val="Normal"/>
    <w:rsid w:val="00A460F8"/>
    <w:pPr>
      <w:spacing w:before="100" w:beforeAutospacing="1" w:after="100" w:afterAutospacing="1"/>
    </w:pPr>
  </w:style>
  <w:style w:type="character" w:customStyle="1" w:styleId="A6">
    <w:name w:val="A6"/>
    <w:rsid w:val="00F80217"/>
    <w:rPr>
      <w:rFonts w:cs="Arial"/>
      <w:b/>
      <w:bCs/>
      <w:color w:val="FFFFFF"/>
      <w:sz w:val="16"/>
      <w:szCs w:val="16"/>
    </w:rPr>
  </w:style>
  <w:style w:type="paragraph" w:customStyle="1" w:styleId="Pa23">
    <w:name w:val="Pa23"/>
    <w:basedOn w:val="Default"/>
    <w:next w:val="Default"/>
    <w:rsid w:val="00F80217"/>
    <w:pPr>
      <w:spacing w:line="161" w:lineRule="atLeast"/>
    </w:pPr>
    <w:rPr>
      <w:rFonts w:cs="Times New Roman"/>
      <w:color w:val="auto"/>
    </w:rPr>
  </w:style>
  <w:style w:type="character" w:styleId="Strong">
    <w:name w:val="Strong"/>
    <w:qFormat/>
    <w:rsid w:val="00036972"/>
    <w:rPr>
      <w:b/>
      <w:bCs/>
    </w:rPr>
  </w:style>
  <w:style w:type="table" w:styleId="TableGrid">
    <w:name w:val="Table Grid"/>
    <w:basedOn w:val="TableNormal"/>
    <w:rsid w:val="009E3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3783"/>
    <w:pPr>
      <w:tabs>
        <w:tab w:val="center" w:pos="4252"/>
        <w:tab w:val="right" w:pos="8504"/>
      </w:tabs>
    </w:pPr>
  </w:style>
  <w:style w:type="paragraph" w:styleId="Footer">
    <w:name w:val="footer"/>
    <w:basedOn w:val="Normal"/>
    <w:link w:val="FooterChar"/>
    <w:uiPriority w:val="99"/>
    <w:rsid w:val="009E3783"/>
    <w:pPr>
      <w:tabs>
        <w:tab w:val="center" w:pos="4252"/>
        <w:tab w:val="right" w:pos="8504"/>
      </w:tabs>
    </w:pPr>
  </w:style>
  <w:style w:type="paragraph" w:customStyle="1" w:styleId="sangradoarticulo">
    <w:name w:val="sangrado_articulo"/>
    <w:basedOn w:val="Normal"/>
    <w:rsid w:val="009E3783"/>
    <w:pPr>
      <w:spacing w:before="100" w:beforeAutospacing="1" w:after="100" w:afterAutospacing="1"/>
    </w:pPr>
  </w:style>
  <w:style w:type="paragraph" w:customStyle="1" w:styleId="sangrado2">
    <w:name w:val="sangrado_2"/>
    <w:basedOn w:val="Normal"/>
    <w:rsid w:val="009E3783"/>
    <w:pPr>
      <w:spacing w:before="100" w:beforeAutospacing="1" w:after="100" w:afterAutospacing="1"/>
    </w:pPr>
  </w:style>
  <w:style w:type="paragraph" w:styleId="BodyTextIndent2">
    <w:name w:val="Body Text Indent 2"/>
    <w:basedOn w:val="Normal"/>
    <w:link w:val="BodyTextIndent2Char"/>
    <w:rsid w:val="009E3783"/>
    <w:pPr>
      <w:spacing w:after="120" w:line="480" w:lineRule="auto"/>
      <w:ind w:left="283"/>
    </w:pPr>
    <w:rPr>
      <w:sz w:val="20"/>
      <w:szCs w:val="20"/>
    </w:rPr>
  </w:style>
  <w:style w:type="paragraph" w:styleId="BodyTextIndent3">
    <w:name w:val="Body Text Indent 3"/>
    <w:basedOn w:val="Normal"/>
    <w:link w:val="BodyTextIndent3Char"/>
    <w:rsid w:val="009E3783"/>
    <w:pPr>
      <w:spacing w:after="120"/>
      <w:ind w:left="283"/>
    </w:pPr>
    <w:rPr>
      <w:sz w:val="16"/>
      <w:szCs w:val="16"/>
    </w:rPr>
  </w:style>
  <w:style w:type="character" w:customStyle="1" w:styleId="HeaderChar">
    <w:name w:val="Header Char"/>
    <w:link w:val="Header"/>
    <w:uiPriority w:val="99"/>
    <w:rsid w:val="009A6956"/>
    <w:rPr>
      <w:sz w:val="24"/>
      <w:szCs w:val="24"/>
    </w:rPr>
  </w:style>
  <w:style w:type="paragraph" w:styleId="BalloonText">
    <w:name w:val="Balloon Text"/>
    <w:basedOn w:val="Normal"/>
    <w:link w:val="BalloonTextChar"/>
    <w:rsid w:val="009A6956"/>
    <w:rPr>
      <w:rFonts w:ascii="Tahoma" w:hAnsi="Tahoma" w:cs="Tahoma"/>
      <w:sz w:val="16"/>
      <w:szCs w:val="16"/>
    </w:rPr>
  </w:style>
  <w:style w:type="character" w:customStyle="1" w:styleId="BalloonTextChar">
    <w:name w:val="Balloon Text Char"/>
    <w:link w:val="BalloonText"/>
    <w:rsid w:val="009A6956"/>
    <w:rPr>
      <w:rFonts w:ascii="Tahoma" w:hAnsi="Tahoma" w:cs="Tahoma"/>
      <w:sz w:val="16"/>
      <w:szCs w:val="16"/>
    </w:rPr>
  </w:style>
  <w:style w:type="character" w:customStyle="1" w:styleId="Heading5Char">
    <w:name w:val="Heading 5 Char"/>
    <w:link w:val="Heading5"/>
    <w:semiHidden/>
    <w:locked/>
    <w:rsid w:val="009A269C"/>
    <w:rPr>
      <w:rFonts w:ascii="Arial" w:hAnsi="Arial" w:cs="Arial"/>
      <w:b/>
      <w:bCs/>
      <w:sz w:val="24"/>
      <w:szCs w:val="24"/>
      <w:lang w:val="cs-CZ" w:eastAsia="es-ES" w:bidi="ar-SA"/>
    </w:rPr>
  </w:style>
  <w:style w:type="paragraph" w:styleId="BodyText3">
    <w:name w:val="Body Text 3"/>
    <w:basedOn w:val="Normal"/>
    <w:link w:val="BodyText3Char"/>
    <w:rsid w:val="00511A83"/>
    <w:pPr>
      <w:spacing w:after="120"/>
    </w:pPr>
    <w:rPr>
      <w:sz w:val="16"/>
      <w:szCs w:val="16"/>
    </w:rPr>
  </w:style>
  <w:style w:type="character" w:customStyle="1" w:styleId="BodyText3Char">
    <w:name w:val="Body Text 3 Char"/>
    <w:link w:val="BodyText3"/>
    <w:rsid w:val="00511A83"/>
    <w:rPr>
      <w:sz w:val="16"/>
      <w:szCs w:val="16"/>
    </w:rPr>
  </w:style>
  <w:style w:type="paragraph" w:styleId="NormalWeb">
    <w:name w:val="Normal (Web)"/>
    <w:basedOn w:val="Normal"/>
    <w:uiPriority w:val="99"/>
    <w:unhideWhenUsed/>
    <w:rsid w:val="00511A83"/>
    <w:rPr>
      <w:rFonts w:eastAsia="Calibri"/>
    </w:rPr>
  </w:style>
  <w:style w:type="paragraph" w:styleId="NoSpacing">
    <w:name w:val="No Spacing"/>
    <w:uiPriority w:val="1"/>
    <w:qFormat/>
    <w:rsid w:val="00511A83"/>
    <w:rPr>
      <w:sz w:val="24"/>
      <w:szCs w:val="24"/>
    </w:rPr>
  </w:style>
  <w:style w:type="paragraph" w:styleId="ListParagraph">
    <w:name w:val="List Paragraph"/>
    <w:basedOn w:val="Normal"/>
    <w:uiPriority w:val="34"/>
    <w:qFormat/>
    <w:rsid w:val="00511A83"/>
    <w:pPr>
      <w:ind w:left="720"/>
      <w:contextualSpacing/>
    </w:pPr>
  </w:style>
  <w:style w:type="character" w:customStyle="1" w:styleId="ApartadoCarCar">
    <w:name w:val="Apartado Car Car"/>
    <w:link w:val="Apartado"/>
    <w:locked/>
    <w:rsid w:val="00511A83"/>
    <w:rPr>
      <w:rFonts w:ascii="Arial" w:hAnsi="Arial" w:cs="Arial"/>
      <w:sz w:val="24"/>
    </w:rPr>
  </w:style>
  <w:style w:type="paragraph" w:customStyle="1" w:styleId="Apartado">
    <w:name w:val="Apartado"/>
    <w:basedOn w:val="Normal"/>
    <w:link w:val="ApartadoCarCar"/>
    <w:rsid w:val="00511A83"/>
    <w:pPr>
      <w:numPr>
        <w:numId w:val="1"/>
      </w:numPr>
      <w:spacing w:before="240"/>
      <w:jc w:val="both"/>
    </w:pPr>
    <w:rPr>
      <w:rFonts w:ascii="Arial" w:hAnsi="Arial" w:cs="Arial"/>
      <w:szCs w:val="20"/>
    </w:rPr>
  </w:style>
  <w:style w:type="paragraph" w:customStyle="1" w:styleId="parrafo1">
    <w:name w:val="parrafo1"/>
    <w:basedOn w:val="Normal"/>
    <w:uiPriority w:val="99"/>
    <w:rsid w:val="00511A83"/>
    <w:pPr>
      <w:spacing w:before="180" w:after="180"/>
      <w:ind w:firstLine="360"/>
      <w:jc w:val="both"/>
    </w:pPr>
  </w:style>
  <w:style w:type="paragraph" w:customStyle="1" w:styleId="CM42">
    <w:name w:val="CM4+2"/>
    <w:basedOn w:val="Normal"/>
    <w:next w:val="Normal"/>
    <w:uiPriority w:val="99"/>
    <w:rsid w:val="00511A83"/>
    <w:pPr>
      <w:autoSpaceDE w:val="0"/>
      <w:autoSpaceDN w:val="0"/>
      <w:adjustRightInd w:val="0"/>
    </w:pPr>
    <w:rPr>
      <w:rFonts w:ascii="EUAlbertina" w:eastAsia="Calibri" w:hAnsi="EUAlbertina"/>
      <w:lang w:eastAsia="en-US"/>
    </w:rPr>
  </w:style>
  <w:style w:type="paragraph" w:customStyle="1" w:styleId="CM43">
    <w:name w:val="CM4+3"/>
    <w:basedOn w:val="Normal"/>
    <w:next w:val="Normal"/>
    <w:uiPriority w:val="99"/>
    <w:rsid w:val="00511A83"/>
    <w:pPr>
      <w:autoSpaceDE w:val="0"/>
      <w:autoSpaceDN w:val="0"/>
      <w:adjustRightInd w:val="0"/>
    </w:pPr>
    <w:rPr>
      <w:rFonts w:ascii="EUAlbertina" w:eastAsia="Calibri" w:hAnsi="EUAlbertina"/>
      <w:lang w:eastAsia="en-US"/>
    </w:rPr>
  </w:style>
  <w:style w:type="character" w:styleId="CommentReference">
    <w:name w:val="annotation reference"/>
    <w:rsid w:val="00186871"/>
    <w:rPr>
      <w:sz w:val="16"/>
      <w:szCs w:val="16"/>
    </w:rPr>
  </w:style>
  <w:style w:type="paragraph" w:styleId="CommentText">
    <w:name w:val="annotation text"/>
    <w:basedOn w:val="Normal"/>
    <w:link w:val="CommentTextChar"/>
    <w:rsid w:val="00186871"/>
    <w:rPr>
      <w:sz w:val="20"/>
      <w:szCs w:val="20"/>
    </w:rPr>
  </w:style>
  <w:style w:type="character" w:customStyle="1" w:styleId="CommentTextChar">
    <w:name w:val="Comment Text Char"/>
    <w:basedOn w:val="DefaultParagraphFont"/>
    <w:link w:val="CommentText"/>
    <w:rsid w:val="00186871"/>
  </w:style>
  <w:style w:type="paragraph" w:styleId="CommentSubject">
    <w:name w:val="annotation subject"/>
    <w:basedOn w:val="CommentText"/>
    <w:next w:val="CommentText"/>
    <w:link w:val="CommentSubjectChar"/>
    <w:rsid w:val="00186871"/>
    <w:rPr>
      <w:b/>
      <w:bCs/>
    </w:rPr>
  </w:style>
  <w:style w:type="character" w:customStyle="1" w:styleId="CommentSubjectChar">
    <w:name w:val="Comment Subject Char"/>
    <w:link w:val="CommentSubject"/>
    <w:rsid w:val="00186871"/>
    <w:rPr>
      <w:b/>
      <w:bCs/>
    </w:rPr>
  </w:style>
  <w:style w:type="paragraph" w:styleId="Revision">
    <w:name w:val="Revision"/>
    <w:hidden/>
    <w:uiPriority w:val="99"/>
    <w:semiHidden/>
    <w:rsid w:val="00186871"/>
    <w:rPr>
      <w:sz w:val="24"/>
      <w:szCs w:val="24"/>
    </w:rPr>
  </w:style>
  <w:style w:type="character" w:styleId="Hyperlink">
    <w:name w:val="Hyperlink"/>
    <w:basedOn w:val="DefaultParagraphFont"/>
    <w:uiPriority w:val="99"/>
    <w:unhideWhenUsed/>
    <w:rsid w:val="003012EE"/>
    <w:rPr>
      <w:color w:val="0000FF"/>
      <w:u w:val="single"/>
    </w:rPr>
  </w:style>
  <w:style w:type="character" w:styleId="FollowedHyperlink">
    <w:name w:val="FollowedHyperlink"/>
    <w:basedOn w:val="DefaultParagraphFont"/>
    <w:rsid w:val="003012EE"/>
    <w:rPr>
      <w:color w:val="954F72" w:themeColor="followedHyperlink"/>
      <w:u w:val="single"/>
    </w:rPr>
  </w:style>
  <w:style w:type="character" w:customStyle="1" w:styleId="BodyTextIndent2Char">
    <w:name w:val="Body Text Indent 2 Char"/>
    <w:basedOn w:val="DefaultParagraphFont"/>
    <w:link w:val="BodyTextIndent2"/>
    <w:rsid w:val="00EE7990"/>
    <w:rPr>
      <w:lang w:val="cs-CZ"/>
    </w:rPr>
  </w:style>
  <w:style w:type="character" w:customStyle="1" w:styleId="BodyTextIndent3Char">
    <w:name w:val="Body Text Indent 3 Char"/>
    <w:basedOn w:val="DefaultParagraphFont"/>
    <w:link w:val="BodyTextIndent3"/>
    <w:rsid w:val="00EE7990"/>
    <w:rPr>
      <w:sz w:val="16"/>
      <w:szCs w:val="16"/>
      <w:lang w:val="cs-CZ"/>
    </w:rPr>
  </w:style>
  <w:style w:type="paragraph" w:customStyle="1" w:styleId="Prrafodelista1">
    <w:name w:val="Párrafo de lista1"/>
    <w:basedOn w:val="Normal"/>
    <w:rsid w:val="00862260"/>
    <w:pPr>
      <w:spacing w:after="200" w:line="276" w:lineRule="auto"/>
      <w:ind w:left="720"/>
      <w:contextualSpacing/>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00BCD"/>
    <w:rPr>
      <w:sz w:val="24"/>
      <w:szCs w:val="24"/>
    </w:rPr>
  </w:style>
  <w:style w:type="paragraph" w:styleId="BodyText">
    <w:name w:val="Body Text"/>
    <w:basedOn w:val="Normal"/>
    <w:link w:val="BodyTextChar"/>
    <w:rsid w:val="007A5AF5"/>
    <w:pPr>
      <w:spacing w:after="120"/>
    </w:pPr>
  </w:style>
  <w:style w:type="character" w:customStyle="1" w:styleId="BodyTextChar">
    <w:name w:val="Body Text Char"/>
    <w:basedOn w:val="DefaultParagraphFont"/>
    <w:link w:val="BodyText"/>
    <w:rsid w:val="007A5AF5"/>
    <w:rPr>
      <w:sz w:val="24"/>
      <w:szCs w:val="24"/>
    </w:rPr>
  </w:style>
  <w:style w:type="paragraph" w:styleId="PlainText">
    <w:name w:val="Plain Text"/>
    <w:basedOn w:val="Normal"/>
    <w:link w:val="PlainTextChar"/>
    <w:uiPriority w:val="99"/>
    <w:semiHidden/>
    <w:unhideWhenUsed/>
    <w:rsid w:val="006D5B21"/>
    <w:rPr>
      <w:rFonts w:ascii="Calibri" w:eastAsia="Calibri" w:hAnsi="Calibri"/>
      <w:sz w:val="22"/>
      <w:szCs w:val="21"/>
      <w:lang w:eastAsia="en-US"/>
    </w:rPr>
  </w:style>
  <w:style w:type="character" w:customStyle="1" w:styleId="PlainTextChar">
    <w:name w:val="Plain Text Char"/>
    <w:basedOn w:val="DefaultParagraphFont"/>
    <w:link w:val="PlainText"/>
    <w:uiPriority w:val="99"/>
    <w:semiHidden/>
    <w:rsid w:val="006D5B21"/>
    <w:rPr>
      <w:rFonts w:ascii="Calibri" w:eastAsia="Calibri" w:hAnsi="Calibri"/>
      <w:sz w:val="22"/>
      <w:szCs w:val="21"/>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7549">
      <w:bodyDiv w:val="1"/>
      <w:marLeft w:val="0"/>
      <w:marRight w:val="0"/>
      <w:marTop w:val="0"/>
      <w:marBottom w:val="0"/>
      <w:divBdr>
        <w:top w:val="none" w:sz="0" w:space="0" w:color="auto"/>
        <w:left w:val="none" w:sz="0" w:space="0" w:color="auto"/>
        <w:bottom w:val="none" w:sz="0" w:space="0" w:color="auto"/>
        <w:right w:val="none" w:sz="0" w:space="0" w:color="auto"/>
      </w:divBdr>
    </w:div>
    <w:div w:id="111411574">
      <w:bodyDiv w:val="1"/>
      <w:marLeft w:val="0"/>
      <w:marRight w:val="0"/>
      <w:marTop w:val="0"/>
      <w:marBottom w:val="0"/>
      <w:divBdr>
        <w:top w:val="none" w:sz="0" w:space="0" w:color="auto"/>
        <w:left w:val="none" w:sz="0" w:space="0" w:color="auto"/>
        <w:bottom w:val="none" w:sz="0" w:space="0" w:color="auto"/>
        <w:right w:val="none" w:sz="0" w:space="0" w:color="auto"/>
      </w:divBdr>
    </w:div>
    <w:div w:id="216933978">
      <w:bodyDiv w:val="1"/>
      <w:marLeft w:val="0"/>
      <w:marRight w:val="0"/>
      <w:marTop w:val="0"/>
      <w:marBottom w:val="0"/>
      <w:divBdr>
        <w:top w:val="none" w:sz="0" w:space="0" w:color="auto"/>
        <w:left w:val="none" w:sz="0" w:space="0" w:color="auto"/>
        <w:bottom w:val="none" w:sz="0" w:space="0" w:color="auto"/>
        <w:right w:val="none" w:sz="0" w:space="0" w:color="auto"/>
      </w:divBdr>
    </w:div>
    <w:div w:id="297340978">
      <w:bodyDiv w:val="1"/>
      <w:marLeft w:val="0"/>
      <w:marRight w:val="0"/>
      <w:marTop w:val="0"/>
      <w:marBottom w:val="0"/>
      <w:divBdr>
        <w:top w:val="none" w:sz="0" w:space="0" w:color="auto"/>
        <w:left w:val="none" w:sz="0" w:space="0" w:color="auto"/>
        <w:bottom w:val="none" w:sz="0" w:space="0" w:color="auto"/>
        <w:right w:val="none" w:sz="0" w:space="0" w:color="auto"/>
      </w:divBdr>
    </w:div>
    <w:div w:id="339547024">
      <w:bodyDiv w:val="1"/>
      <w:marLeft w:val="0"/>
      <w:marRight w:val="0"/>
      <w:marTop w:val="0"/>
      <w:marBottom w:val="0"/>
      <w:divBdr>
        <w:top w:val="none" w:sz="0" w:space="0" w:color="auto"/>
        <w:left w:val="none" w:sz="0" w:space="0" w:color="auto"/>
        <w:bottom w:val="none" w:sz="0" w:space="0" w:color="auto"/>
        <w:right w:val="none" w:sz="0" w:space="0" w:color="auto"/>
      </w:divBdr>
    </w:div>
    <w:div w:id="429743069">
      <w:bodyDiv w:val="1"/>
      <w:marLeft w:val="0"/>
      <w:marRight w:val="0"/>
      <w:marTop w:val="0"/>
      <w:marBottom w:val="0"/>
      <w:divBdr>
        <w:top w:val="none" w:sz="0" w:space="0" w:color="auto"/>
        <w:left w:val="none" w:sz="0" w:space="0" w:color="auto"/>
        <w:bottom w:val="none" w:sz="0" w:space="0" w:color="auto"/>
        <w:right w:val="none" w:sz="0" w:space="0" w:color="auto"/>
      </w:divBdr>
    </w:div>
    <w:div w:id="478108051">
      <w:bodyDiv w:val="1"/>
      <w:marLeft w:val="0"/>
      <w:marRight w:val="0"/>
      <w:marTop w:val="0"/>
      <w:marBottom w:val="0"/>
      <w:divBdr>
        <w:top w:val="none" w:sz="0" w:space="0" w:color="auto"/>
        <w:left w:val="none" w:sz="0" w:space="0" w:color="auto"/>
        <w:bottom w:val="none" w:sz="0" w:space="0" w:color="auto"/>
        <w:right w:val="none" w:sz="0" w:space="0" w:color="auto"/>
      </w:divBdr>
    </w:div>
    <w:div w:id="524296766">
      <w:bodyDiv w:val="1"/>
      <w:marLeft w:val="0"/>
      <w:marRight w:val="0"/>
      <w:marTop w:val="0"/>
      <w:marBottom w:val="0"/>
      <w:divBdr>
        <w:top w:val="none" w:sz="0" w:space="0" w:color="auto"/>
        <w:left w:val="none" w:sz="0" w:space="0" w:color="auto"/>
        <w:bottom w:val="none" w:sz="0" w:space="0" w:color="auto"/>
        <w:right w:val="none" w:sz="0" w:space="0" w:color="auto"/>
      </w:divBdr>
    </w:div>
    <w:div w:id="609779534">
      <w:bodyDiv w:val="1"/>
      <w:marLeft w:val="0"/>
      <w:marRight w:val="0"/>
      <w:marTop w:val="0"/>
      <w:marBottom w:val="0"/>
      <w:divBdr>
        <w:top w:val="none" w:sz="0" w:space="0" w:color="auto"/>
        <w:left w:val="none" w:sz="0" w:space="0" w:color="auto"/>
        <w:bottom w:val="none" w:sz="0" w:space="0" w:color="auto"/>
        <w:right w:val="none" w:sz="0" w:space="0" w:color="auto"/>
      </w:divBdr>
    </w:div>
    <w:div w:id="628241914">
      <w:bodyDiv w:val="1"/>
      <w:marLeft w:val="0"/>
      <w:marRight w:val="0"/>
      <w:marTop w:val="0"/>
      <w:marBottom w:val="0"/>
      <w:divBdr>
        <w:top w:val="none" w:sz="0" w:space="0" w:color="auto"/>
        <w:left w:val="none" w:sz="0" w:space="0" w:color="auto"/>
        <w:bottom w:val="none" w:sz="0" w:space="0" w:color="auto"/>
        <w:right w:val="none" w:sz="0" w:space="0" w:color="auto"/>
      </w:divBdr>
    </w:div>
    <w:div w:id="644893862">
      <w:bodyDiv w:val="1"/>
      <w:marLeft w:val="0"/>
      <w:marRight w:val="0"/>
      <w:marTop w:val="0"/>
      <w:marBottom w:val="0"/>
      <w:divBdr>
        <w:top w:val="none" w:sz="0" w:space="0" w:color="auto"/>
        <w:left w:val="none" w:sz="0" w:space="0" w:color="auto"/>
        <w:bottom w:val="none" w:sz="0" w:space="0" w:color="auto"/>
        <w:right w:val="none" w:sz="0" w:space="0" w:color="auto"/>
      </w:divBdr>
    </w:div>
    <w:div w:id="956568886">
      <w:bodyDiv w:val="1"/>
      <w:marLeft w:val="0"/>
      <w:marRight w:val="0"/>
      <w:marTop w:val="0"/>
      <w:marBottom w:val="0"/>
      <w:divBdr>
        <w:top w:val="none" w:sz="0" w:space="0" w:color="auto"/>
        <w:left w:val="none" w:sz="0" w:space="0" w:color="auto"/>
        <w:bottom w:val="none" w:sz="0" w:space="0" w:color="auto"/>
        <w:right w:val="none" w:sz="0" w:space="0" w:color="auto"/>
      </w:divBdr>
    </w:div>
    <w:div w:id="1065956195">
      <w:bodyDiv w:val="1"/>
      <w:marLeft w:val="0"/>
      <w:marRight w:val="0"/>
      <w:marTop w:val="0"/>
      <w:marBottom w:val="0"/>
      <w:divBdr>
        <w:top w:val="none" w:sz="0" w:space="0" w:color="auto"/>
        <w:left w:val="none" w:sz="0" w:space="0" w:color="auto"/>
        <w:bottom w:val="none" w:sz="0" w:space="0" w:color="auto"/>
        <w:right w:val="none" w:sz="0" w:space="0" w:color="auto"/>
      </w:divBdr>
      <w:divsChild>
        <w:div w:id="2135907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4520">
              <w:marLeft w:val="0"/>
              <w:marRight w:val="0"/>
              <w:marTop w:val="0"/>
              <w:marBottom w:val="0"/>
              <w:divBdr>
                <w:top w:val="none" w:sz="0" w:space="0" w:color="auto"/>
                <w:left w:val="none" w:sz="0" w:space="0" w:color="auto"/>
                <w:bottom w:val="none" w:sz="0" w:space="0" w:color="auto"/>
                <w:right w:val="none" w:sz="0" w:space="0" w:color="auto"/>
              </w:divBdr>
              <w:divsChild>
                <w:div w:id="170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34386">
      <w:bodyDiv w:val="1"/>
      <w:marLeft w:val="0"/>
      <w:marRight w:val="0"/>
      <w:marTop w:val="0"/>
      <w:marBottom w:val="0"/>
      <w:divBdr>
        <w:top w:val="none" w:sz="0" w:space="0" w:color="auto"/>
        <w:left w:val="none" w:sz="0" w:space="0" w:color="auto"/>
        <w:bottom w:val="none" w:sz="0" w:space="0" w:color="auto"/>
        <w:right w:val="none" w:sz="0" w:space="0" w:color="auto"/>
      </w:divBdr>
    </w:div>
    <w:div w:id="1170831197">
      <w:bodyDiv w:val="1"/>
      <w:marLeft w:val="0"/>
      <w:marRight w:val="0"/>
      <w:marTop w:val="0"/>
      <w:marBottom w:val="0"/>
      <w:divBdr>
        <w:top w:val="none" w:sz="0" w:space="0" w:color="auto"/>
        <w:left w:val="none" w:sz="0" w:space="0" w:color="auto"/>
        <w:bottom w:val="none" w:sz="0" w:space="0" w:color="auto"/>
        <w:right w:val="none" w:sz="0" w:space="0" w:color="auto"/>
      </w:divBdr>
    </w:div>
    <w:div w:id="1270353983">
      <w:bodyDiv w:val="1"/>
      <w:marLeft w:val="0"/>
      <w:marRight w:val="0"/>
      <w:marTop w:val="0"/>
      <w:marBottom w:val="0"/>
      <w:divBdr>
        <w:top w:val="none" w:sz="0" w:space="0" w:color="auto"/>
        <w:left w:val="none" w:sz="0" w:space="0" w:color="auto"/>
        <w:bottom w:val="none" w:sz="0" w:space="0" w:color="auto"/>
        <w:right w:val="none" w:sz="0" w:space="0" w:color="auto"/>
      </w:divBdr>
    </w:div>
    <w:div w:id="1480149328">
      <w:bodyDiv w:val="1"/>
      <w:marLeft w:val="0"/>
      <w:marRight w:val="0"/>
      <w:marTop w:val="0"/>
      <w:marBottom w:val="0"/>
      <w:divBdr>
        <w:top w:val="none" w:sz="0" w:space="0" w:color="auto"/>
        <w:left w:val="none" w:sz="0" w:space="0" w:color="auto"/>
        <w:bottom w:val="none" w:sz="0" w:space="0" w:color="auto"/>
        <w:right w:val="none" w:sz="0" w:space="0" w:color="auto"/>
      </w:divBdr>
    </w:div>
    <w:div w:id="1570463247">
      <w:bodyDiv w:val="1"/>
      <w:marLeft w:val="0"/>
      <w:marRight w:val="0"/>
      <w:marTop w:val="0"/>
      <w:marBottom w:val="0"/>
      <w:divBdr>
        <w:top w:val="none" w:sz="0" w:space="0" w:color="auto"/>
        <w:left w:val="none" w:sz="0" w:space="0" w:color="auto"/>
        <w:bottom w:val="none" w:sz="0" w:space="0" w:color="auto"/>
        <w:right w:val="none" w:sz="0" w:space="0" w:color="auto"/>
      </w:divBdr>
    </w:div>
    <w:div w:id="1921671019">
      <w:bodyDiv w:val="1"/>
      <w:marLeft w:val="0"/>
      <w:marRight w:val="0"/>
      <w:marTop w:val="0"/>
      <w:marBottom w:val="0"/>
      <w:divBdr>
        <w:top w:val="none" w:sz="0" w:space="0" w:color="auto"/>
        <w:left w:val="none" w:sz="0" w:space="0" w:color="auto"/>
        <w:bottom w:val="none" w:sz="0" w:space="0" w:color="auto"/>
        <w:right w:val="none" w:sz="0" w:space="0" w:color="auto"/>
      </w:divBdr>
    </w:div>
    <w:div w:id="2080446179">
      <w:bodyDiv w:val="1"/>
      <w:marLeft w:val="0"/>
      <w:marRight w:val="0"/>
      <w:marTop w:val="0"/>
      <w:marBottom w:val="0"/>
      <w:divBdr>
        <w:top w:val="none" w:sz="0" w:space="0" w:color="auto"/>
        <w:left w:val="none" w:sz="0" w:space="0" w:color="auto"/>
        <w:bottom w:val="none" w:sz="0" w:space="0" w:color="auto"/>
        <w:right w:val="none" w:sz="0" w:space="0" w:color="auto"/>
      </w:divBdr>
    </w:div>
    <w:div w:id="2084719354">
      <w:bodyDiv w:val="1"/>
      <w:marLeft w:val="0"/>
      <w:marRight w:val="0"/>
      <w:marTop w:val="0"/>
      <w:marBottom w:val="0"/>
      <w:divBdr>
        <w:top w:val="none" w:sz="0" w:space="0" w:color="auto"/>
        <w:left w:val="none" w:sz="0" w:space="0" w:color="auto"/>
        <w:bottom w:val="none" w:sz="0" w:space="0" w:color="auto"/>
        <w:right w:val="none" w:sz="0" w:space="0" w:color="auto"/>
      </w:divBdr>
    </w:div>
    <w:div w:id="2133009788">
      <w:bodyDiv w:val="1"/>
      <w:marLeft w:val="0"/>
      <w:marRight w:val="0"/>
      <w:marTop w:val="0"/>
      <w:marBottom w:val="0"/>
      <w:divBdr>
        <w:top w:val="none" w:sz="0" w:space="0" w:color="auto"/>
        <w:left w:val="none" w:sz="0" w:space="0" w:color="auto"/>
        <w:bottom w:val="none" w:sz="0" w:space="0" w:color="auto"/>
        <w:right w:val="none" w:sz="0" w:space="0" w:color="auto"/>
      </w:divBdr>
      <w:divsChild>
        <w:div w:id="90953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Olivov%C3%BD_ole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s.wikipedia.org/wiki/Olivovn%C3%ADk_evropsk%C3%B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707EE-DAFB-4690-A389-B7AB64AC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5148</Words>
  <Characters>30423</Characters>
  <Application>Microsoft Office Word</Application>
  <DocSecurity>0</DocSecurity>
  <Lines>253</Lines>
  <Paragraphs>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REAL DECRETO …/2011, DE … DE …, POR EL QUE SE APRUEBA LA NORMA DE CALIDAD DE LOS ACEITES VEGETALES COMESTIBLES</vt:lpstr>
      <vt:lpstr>PROYECTO DE REAL DECRETO …/2011, DE … DE …, POR EL QUE SE APRUEBA LA NORMA DE CALIDAD DE LOS ACEITES VEGETALES COMESTIBLES</vt:lpstr>
    </vt:vector>
  </TitlesOfParts>
  <Company>Ministerio de Agricultura, Pesca y Alimentación</Company>
  <LinksUpToDate>false</LinksUpToDate>
  <CharactersWithSpaces>35501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REAL DECRETO …/2011, DE … DE …, POR EL QUE SE APRUEBA LA NORMA DE CALIDAD DE LOS ACEITES VEGETALES COMESTIBLES</dc:title>
  <dc:subject/>
  <dc:creator>erubiosa</dc:creator>
  <cp:keywords/>
  <cp:lastModifiedBy>Diana STOICA</cp:lastModifiedBy>
  <cp:revision>8</cp:revision>
  <cp:lastPrinted>2020-02-12T17:05:00Z</cp:lastPrinted>
  <dcterms:created xsi:type="dcterms:W3CDTF">2020-09-08T10:26:00Z</dcterms:created>
  <dcterms:modified xsi:type="dcterms:W3CDTF">2020-10-02T14:30:00Z</dcterms:modified>
</cp:coreProperties>
</file>