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NL- ------ 20200812 --- --- PROJET</w:t>
      </w:r>
    </w:p>
    <w:p w14:paraId="5AB4C723" w14:textId="5E46F097" w:rsidR="007104F8" w:rsidRPr="008E1574" w:rsidRDefault="007104F8" w:rsidP="00206537">
      <w:pPr>
        <w:keepNext/>
        <w:keepLines/>
        <w:jc w:val="center"/>
        <w:rPr>
          <w:b/>
          <w:sz w:val="32"/>
          <w:szCs w:val="32"/>
        </w:rPr>
      </w:pPr>
      <w:r>
        <w:rPr>
          <w:b/>
          <w:sz w:val="32"/>
          <w:szCs w:val="32"/>
        </w:rPr>
        <w:t>Ontwerp van wet betreffende de vermindering van de effecten van bepaalde kunststofproducten op het milieu</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Artikel 1. Doelstellingen</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Deze wet heeft tot doel de effecten van bepaalde kunststofproducten op het milieu, in het bijzonder op het aquatisch milieu, en op de menselijke gezondheid te voorkomen en te verminderen, en de overgang naar een circulaire economie met innovatieve en duurzame bedrijfsmodellen, producten en materialen te bevorderen, en zo ook bij te dragen aan de efficiënte werking van de interne markt.</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2. Toepassingsgebied</w:t>
      </w:r>
    </w:p>
    <w:p w14:paraId="79D5D40B" w14:textId="77777777" w:rsidR="007104F8" w:rsidRPr="00B101EF" w:rsidRDefault="007104F8" w:rsidP="007104F8">
      <w:pPr>
        <w:pStyle w:val="Article"/>
        <w:numPr>
          <w:ilvl w:val="0"/>
          <w:numId w:val="0"/>
        </w:numPr>
        <w:spacing w:before="240"/>
        <w:rPr>
          <w:rFonts w:asciiTheme="minorHAnsi" w:hAnsiTheme="minorHAnsi" w:cs="TimesNewRoman"/>
          <w:b w:val="0"/>
          <w:spacing w:val="-6"/>
          <w:sz w:val="24"/>
          <w:szCs w:val="24"/>
        </w:rPr>
      </w:pPr>
      <w:r w:rsidRPr="00B101EF">
        <w:rPr>
          <w:rFonts w:asciiTheme="minorHAnsi" w:hAnsiTheme="minorHAnsi"/>
          <w:b w:val="0"/>
          <w:spacing w:val="-6"/>
          <w:sz w:val="24"/>
          <w:szCs w:val="24"/>
        </w:rPr>
        <w:t>Deze wet is van toepassing op de in de bijlage opgenomen kunststofproducten voor eenmalig gebruik, op producten vervaardigd uit oxo-degradeerbare kunststoffen en op kunststofhoudend vistuig.</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Ze vormt een bijzondere wet met betrekking tot de gewijzigde wet van 21 maart 2012 betreffende afvalstoffen en hulpbronnen, hierna “de wet van 21 maart 2012”, en de gewijzigde wet van 21 maart 2017 betreffende verpakkingen en verpakkingsafval.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3. Definities</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Voor de toepassing van onderhavige wet wordt verstaan onder: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“vistuigafval”: elk vistuig dat valt onder de definitie van afvalstoffen in artikel 4 van de wet van 21 maart 2012, met inbegrip van alle afzonderlijke bestanddelen, stoffen of materialen die deel uitmaakten van of bevestigd waren aan dergelijk vistuig toen het werd afgedankt, werd achtergelaten of verloren raakte;</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“verpakking”: verpakking zoals gedefinieerd in artikel 3 van de gewijzigde wet van 21 maart 2017 betreffende verpakkingen en verpakkingsafval;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“vistuig”: elk voorwerp of onderdeel van een werktuig dat wordt gebruikt in de visserij of de aquacultuur om in zee levende organismen af te zonderen, te vangen of te kweken, of dat op het zeeoppervlak drijft en wordt uitgezet met als doel dergelijke in zee levende organismen aan te trekken, te vangen of te kweken;</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“op de markt aanbieden”: het in het kader van een handelsactiviteit, al dan niet tegen betaling, verstrekken van een product met het oog op distributie, consumptie of gebruik op de Luxemburgse markt;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5° “in de handel brengen”: het voor het eerst op de Luxemburgse markt aanbieden van een product;</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“geharmoniseerde norm”: een geharmoniseerde norm zoals gedefinieerd in artikel 2, punt 1, onder c), van Verordening (EU) nr.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“kunststof”: een materiaal bestaande uit een polymeer zoals bedoeld in artikel 3, punt 5, van Verordening (EG) nr. 1907/2006, waaraan mogelijk additieven of andere stoffen zijn toegevoegd, en dat als een structureel hoofdbestanddeel van eindproducten kan worden gebruikt, met inbegrip van op polymeren gebaseerd rubber en kunststoffen op biologische basis en biologisch afbreekbare kunststoffen, ongeacht of zij van biomassa zijn afgeleid of bedoeld zijn om na verloop van tijd biologisch af te breken.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Natuurlijke polymeren die niet chemisch gewijzigd zijn, zijn uitgesloten van deze definitie;</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“biologisch afbreekbare kunststoffen”: kunststoffen die zodanig fysisch of biologisch afbreekbaar zijn dat ze uiteindelijk uiteenvallen in kooldioxide (CO</w:t>
      </w:r>
      <w:r>
        <w:rPr>
          <w:rFonts w:asciiTheme="minorHAnsi" w:hAnsiTheme="minorHAnsi"/>
          <w:b w:val="0"/>
          <w:sz w:val="24"/>
          <w:szCs w:val="24"/>
          <w:vertAlign w:val="subscript"/>
        </w:rPr>
        <w:t>2</w:t>
      </w:r>
      <w:r>
        <w:rPr>
          <w:rFonts w:asciiTheme="minorHAnsi" w:hAnsiTheme="minorHAnsi"/>
          <w:b w:val="0"/>
          <w:sz w:val="24"/>
          <w:szCs w:val="24"/>
        </w:rPr>
        <w:t>), biomassa en water en die in overeenstemming met de Europese normen inzake verpakkingen nuttig toepasbaar zijn door middel van compostering en anaerobe vergisting;</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“oxo-degradeerbare kunststoffen”: kunststofmaterialen die additieven bevatten die via oxidatie het kunststofmateriaal afbreken tot microfragmenten of chemisch ontbinden;</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“tabaksproducten”: tabaksproducten zoals gedefinieerd in artikel 2, punt 1, onder a), van de gewijzigde wet van 11 augustus 2006 inzake tabaksontmoediging;</w:t>
      </w:r>
    </w:p>
    <w:p w14:paraId="4AE76CFF" w14:textId="77777777" w:rsidR="007104F8" w:rsidRPr="00B101EF" w:rsidRDefault="007104F8" w:rsidP="007104F8">
      <w:pPr>
        <w:pStyle w:val="Article"/>
        <w:numPr>
          <w:ilvl w:val="0"/>
          <w:numId w:val="0"/>
        </w:numPr>
        <w:spacing w:before="240"/>
        <w:rPr>
          <w:rFonts w:asciiTheme="minorHAnsi" w:hAnsiTheme="minorHAnsi" w:cs="TimesNewRoman"/>
          <w:b w:val="0"/>
          <w:spacing w:val="-4"/>
          <w:sz w:val="24"/>
          <w:szCs w:val="24"/>
        </w:rPr>
      </w:pPr>
      <w:r w:rsidRPr="00B101EF">
        <w:rPr>
          <w:rFonts w:asciiTheme="minorHAnsi" w:hAnsiTheme="minorHAnsi"/>
          <w:b w:val="0"/>
          <w:spacing w:val="-4"/>
          <w:sz w:val="24"/>
          <w:szCs w:val="24"/>
        </w:rPr>
        <w:t xml:space="preserve">11° “kunststofproduct voor eenmalig gebruik”: een product dat geheel of gedeeltelijk van kunststoffen is gemaakt en niet werd bedacht, ontworpen of in de handel gebracht om binnen zijn levensduur meerdere cycli te maken door te worden teruggestuurd naar een producent om opnieuw gevuld te worden of opnieuw gebruikt te worden voor het doel waarvoor het gemaakt was; </w:t>
      </w:r>
    </w:p>
    <w:p w14:paraId="2B4D5B3D" w14:textId="77777777" w:rsidR="007104F8" w:rsidRPr="00B101EF" w:rsidRDefault="007104F8" w:rsidP="007104F8">
      <w:pPr>
        <w:pStyle w:val="Article"/>
        <w:numPr>
          <w:ilvl w:val="0"/>
          <w:numId w:val="0"/>
        </w:numPr>
        <w:spacing w:before="240"/>
        <w:rPr>
          <w:rFonts w:asciiTheme="minorHAnsi" w:hAnsiTheme="minorHAnsi" w:cs="TimesNewRoman"/>
          <w:b w:val="0"/>
          <w:spacing w:val="-4"/>
          <w:sz w:val="24"/>
          <w:szCs w:val="24"/>
        </w:rPr>
      </w:pPr>
      <w:r w:rsidRPr="00B101EF">
        <w:rPr>
          <w:rFonts w:asciiTheme="minorHAnsi" w:hAnsiTheme="minorHAnsi"/>
          <w:b w:val="0"/>
          <w:spacing w:val="-4"/>
          <w:sz w:val="24"/>
          <w:szCs w:val="24"/>
        </w:rPr>
        <w:t>De definities van de termen “afval”, “inzameling”, “gescheiden inzameling”, “verwerking”, “producent van producten” en “regeling voor uitgebreide producentenverantwoordelijkheid” die zijn vastgesteld in artikel 4 van de gewijzigde wet van 21 maart 2012, zijn eveneens van toepassing.</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4. Consumptievermindering</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De producenten van producten treffen maatregelen waarmee in 2026 een meetbare kwantitatieve consumptievermindering ten opzichte van 2022 wordt bereikt van de in deel A van de bijlage opgenomen kunststofproducten voor eenmalig gebruik. Deze vermindering bedraagt voor de desbetreffende periode minstens 20 % met betrekking tot de eenheden die in de handel worden gebracht. Vanaf 1 januari 2026 moet er elk jaar een vermindering van minstens 10 % worden bereikt ten opzichte van de hoeveelheden die in de loop van het voorgaande jaar in de handel zijn gebracht. De producenten van producten moeten een overeenkomstig artikel 19 van de wet van 21 maart 2012 erkende instantie belasten met de uitvoering van deze verplichting.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De minister van Milieu, hierna “de minister”, ziet toe op de coördinatie van de maatregelen die nodig zijn om tot een ambitieuze en aanhoudende consumptievermindering te komen van de in deel A van de bijlage opgenomen kunststofproducten voor eenmalig gebruik, in overeenstemming met de algemene doelstellingen van het afvalbeleid van de Unie, met name afvalpreventie, die de trend van toenemende consumptie in aanzienlijke mate moet ombuigen.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Het Milieuagentschap monitort de in deel A van de bijlage opgenomen kunststofproducten voor eenmalig gebruik die in de handel worden gebracht, en de maatregelen ter vermindering van die producten.</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Daartoe meldt de erkende instantie, in het kader van het in artikel 35 van de wet van 21 maart 2012 bedoelde jaarverslag, de hoeveelheden in deel A van de bijlage opgenomen kunststofproducten voor eenmalig gebruik die in de loop van het voorgaande jaar op de markt zijn aangeboden.</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5. Beperking van het in de handel brengen</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Het is verboden de in deel B van de bijlage opgenomen kunststofproducten voor eenmalig gebruik en producten vervaardigd uit oxo-degradeerbare kunststoffen in de handel te brengen.</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6. Productvereisten</w:t>
      </w:r>
    </w:p>
    <w:p w14:paraId="1F2775E8" w14:textId="77777777" w:rsidR="007104F8" w:rsidRPr="00B101EF" w:rsidRDefault="007104F8" w:rsidP="007104F8">
      <w:pPr>
        <w:pStyle w:val="Article"/>
        <w:numPr>
          <w:ilvl w:val="0"/>
          <w:numId w:val="0"/>
        </w:numPr>
        <w:spacing w:before="240"/>
        <w:rPr>
          <w:rFonts w:asciiTheme="minorHAnsi" w:hAnsiTheme="minorHAnsi" w:cs="TimesNewRoman"/>
          <w:b w:val="0"/>
          <w:spacing w:val="-4"/>
          <w:sz w:val="24"/>
          <w:szCs w:val="24"/>
        </w:rPr>
      </w:pPr>
      <w:r w:rsidRPr="00B101EF">
        <w:rPr>
          <w:rFonts w:asciiTheme="minorHAnsi" w:hAnsiTheme="minorHAnsi"/>
          <w:b w:val="0"/>
          <w:spacing w:val="-4"/>
          <w:sz w:val="24"/>
          <w:szCs w:val="24"/>
        </w:rPr>
        <w:t xml:space="preserve">(1) De in deel C van de bijlage opgenomen kunststofproducten voor eenmalig gebruik met kunststoffen doppen en deksels, mogen alleen in de handel worden gebracht als de doppen en deksels tijdens de fase van beoogd gebruik van de producten aan de verpakkingen bevestigd blijven.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Er wordt verondersteld dat metalen doppen of deksels met kunststofverzegeling niet van kunststoffen zijn gemaakt.</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Met betrekking tot de in deel F van de bijlage opgenomen drankflessen zijn de volgende vereisten van toepassing: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vanaf 2025 bevatten de in deel F van de bijlage opgenomen drankflessen met als hoofdbestanddeel polyethyleentereftalaat (hierna “petflessen”) minstens 25 % gerecyclede kunststoffen, berekend als gemiddelde van alle petflessen die </w:t>
      </w:r>
      <w:bookmarkStart w:id="1" w:name="_Hlk25242138"/>
      <w:r>
        <w:rPr>
          <w:rFonts w:asciiTheme="minorHAnsi" w:hAnsiTheme="minorHAnsi"/>
          <w:b w:val="0"/>
          <w:sz w:val="24"/>
          <w:szCs w:val="24"/>
        </w:rPr>
        <w:t>door een zelfde producent in de handel zijn gebracht</w:t>
      </w:r>
      <w:bookmarkEnd w:id="1"/>
      <w:r>
        <w:rPr>
          <w:rFonts w:asciiTheme="minorHAnsi" w:hAnsiTheme="minorHAnsi"/>
          <w:b w:val="0"/>
          <w:sz w:val="24"/>
          <w:szCs w:val="24"/>
        </w:rPr>
        <w:t>; en</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vanaf 2030 bevatten de in deel F van de bijlage opgenomen drankflessen minstens 30 % gerecyclede kunststoffen, berekend als gemiddelde van alle soortgelijke drankflessen die door een zelfde producent in de handel zijn gebracht.</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Daartoe meldt de overeenkomstig artikel 19 van de wet van 21 maart 2012 erkende instantie, in het kader van het in artikel 35 van dezelfde wet bedoelde jaarverslag, de hoeveelheden petflessen die in de loop van het voorgaande jaar op de markt zijn aangeboden, en het gemiddelde percentage gerecyclede kunststoffen in deze flessen. Bij gebrek aan een </w:t>
      </w:r>
      <w:r>
        <w:rPr>
          <w:rFonts w:asciiTheme="minorHAnsi" w:hAnsiTheme="minorHAnsi"/>
          <w:b w:val="0"/>
          <w:sz w:val="24"/>
          <w:szCs w:val="24"/>
        </w:rPr>
        <w:lastRenderedPageBreak/>
        <w:t>uitvoeringshandeling van de Europese Unie worden de regels voor het berekenen en verifiëren van de doelstellingen vastgelegd door het Milieuagentschap.</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Artikel 7. Markeringsvoorschriften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De in deel D van de bijlage opgenomen kunststofproducten voor eenmalig gebruik die in de handel worden gebracht, moeten op hun verpakking of op het product zelf worden voorzien van een opvallende, duidelijk leesbare en onuitwisbare markering met informatie voor de consument over de volgende zaken:</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passende afvalbeheeropties voor het product of de verwijderingsmanieren die voor dit product vermeden moeten worden, in overeenstemming met de afvalhiërarchie, en</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de aanwezigheid van kunststoffen in het product en het negatieve effect op het milieu van zwerfafval of andere ongepaste manieren van verwijdering van het product.</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De bepalingen van dit artikel met betrekking tot tabaksproducten vormen een aanvulling op die van de gewijzigde wet van 11 augustus 2006 inzake tabaksontmoediging.</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8. Uitgebreide producentenverantwoordelijkheid</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Voor alle in deel E van de bijlage opgenomen kunststofproducten voor eenmalig gebruik en voor kunststofhoudend vistuig worden er regelingen voor uitgebreide producentenverantwoordelijkheid opgesteld in overeenstemming met de respectieve bepalingen in de wet van 21 maart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Producenten van de in deel E, afdeling I, van de bijlage opgenomen kunststofproducten voor eenmalig gebruik dekken de kosten die voortvloeien uit de bepalingen inzake de uitgebreide producentenverantwoordelijkheid van de wet van 21 maart 2012 en de wet van 21 maart 2017 betreffende verpakkingen en verpakkingsafval, alsook, voor zover zij nog niet onder die bepalingen vallen, de kosten voor: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de in artikel 10 bedoelde bewustmakingsmaatregelen betreffende die producten;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het inzamelen van afval van die producten dat in openbare inzamelsystemen wordt afgedankt, inclusief de kosten voor de infrastructuur en de exploitatie ervan en voor daaropvolgend vervoer en verwerking van dat afval; en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het opruimen van het zwerfafval van deze producten, en voor daaropvolgend vervoer en verwerking van dat zwerfafval.</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Producenten van de in deel E, afdelingen II </w:t>
      </w:r>
      <w:bookmarkEnd w:id="2"/>
      <w:r>
        <w:rPr>
          <w:rFonts w:asciiTheme="minorHAnsi" w:hAnsiTheme="minorHAnsi"/>
          <w:b w:val="0"/>
          <w:sz w:val="24"/>
          <w:szCs w:val="24"/>
        </w:rPr>
        <w:t>en III, van de bijlage opgenomen kunststofproducten voor eenmalig gebruik, dekken minstens de kosten voor</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de in artikel 10 bedoelde bewustmakingsmaatregelen betreffende die producten;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 xml:space="preserve">2) het opruimen van het zwerfafval van deze producten, en voor daaropvolgend vervoer en verwerking van dat zwerfafval; en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het verzamelen en rapporteren van gegevens overeenkomstig artikel 19 van de wet van 21 maart 2012. </w:t>
      </w:r>
    </w:p>
    <w:p w14:paraId="023DC410" w14:textId="77777777" w:rsidR="007104F8" w:rsidRPr="00B101EF"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B101EF">
        <w:rPr>
          <w:rFonts w:asciiTheme="minorHAnsi" w:hAnsiTheme="minorHAnsi"/>
          <w:b w:val="0"/>
          <w:spacing w:val="-4"/>
          <w:sz w:val="24"/>
          <w:szCs w:val="24"/>
        </w:rPr>
        <w:t>Met betrekking tot de kunststofproducten voor eenmalig gebruik die zijn opgenomen in deel E, afdeling III, van de bijlage dekken de producenten van producten bovendien de kosten van de inzameling van afval van die producten dat in openbare inzamelsystemen wordt afgedankt, inclusief de kosten voor de infrastructuur en de exploitatie ervan en voor daaropvolgend vervoer en verwerking van dat afval. De kosten hebben ook betrekking op het opzetten van specifieke infrastructuur voor het inzamelen van afval van deze producten, zoals passende afvalcontainers op plekken waar frequent zwerfafval wordt aangetroffen.</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De producenten van kunststofproducten voor eenmalig gebruik die zijn opgenomen in deel E, afdeling III, moeten de nodige maatregelen treffen om te voorkomen dat deze producten, zodra ze afval zijn geworden, worden achtergelaten, gedumpt of ongecontroleerd beheerd.</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Vanaf 1 januari 2024 moet er elk jaar een vermindering van minstens 10 % worden bereikt ten opzichte van de hoeveelheden die in de loop van het voorgaande jaar zijn afgedankt. De bevoegde instantie ontwikkelt en publiceert een methodologie om de afgedankte hoeveelheden te kwantificeren en de vermindering te verifiëren.</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De te dekken kosten, vermeld in de leden 2 en 3, bedragen niet meer dan de kosten die noodzakelijk zijn om de daarin vermelde diensten op een kostenefficiënte manier aan te bieden, en worden voor de betrokken actoren op transparante wijze vastgelegd. De kosten voor het opruimen van zwerfafval blijven beperkt tot kosten voor werkzaamheden door of namens overheidsinstanties. De berekeningsmethode wordt zodanig ontwikkeld dat de kosten voor het opruimen van zwerfafval proportioneel kunnen worden vastgesteld. Om de administratieve kosten zo laag mogelijk te houden, kan er voor het opruimen van zwerfafval een financiële bijdrage worden bepaald door passende meerjarige vaste bedragen vast te stellen.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Producenten van producten die in een andere lidstaat van de Europese Unie gevestigd zijn en in Luxemburg producten in de handel brengen, mogen een rechtspersoon of natuurlijke persoon die op het nationale grondgebied of in een andere lidstaat gevestigd is, aanwijzen als gemachtigd vertegenwoordiger voor het nakomen van hun verplichtingen in verband met de regelingen voor uitgebreide producentenverantwoordelijkheid.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Elke producent die in het Groothertogdom Luxemburg is gevestigd en de in deel E van de bijlage opgenomen kunststofproducten voor eenmalig gebruik, en kunststofhoudend vistuig, verkoopt in een andere lidstaat van de Europese Unie waarin hij niet is gevestigd, moet in die andere lidstaat van de Europese Unie een gemachtigd vertegenwoordiger aanwijzen. De gemachtigd vertegenwoordiger is verantwoordelijk voor het nakomen van de verplichtingen van die producent die op het grondgebied van die andere lidstaat van de Europese Unie uit hoofde van deze wet gelden.</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(8) Wat betreft de regelingen voor uitgebreide producentenverantwoordelijkheid voor kunststofhoudend vistuig, moeten de producenten van kunststofhoudend vistuig de kosten dekken voor het gescheiden inzamelen van kunststofhoudend vistuigafval dat bij een specifiek inzamelsysteem is afgeleverd, en de kosten voor daaropvolgend vervoer en verwerking ervan.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Ook de kosten van de in artikel 10 bedoelde bewustmakingsmaatregelen met betrekking tot kunststofhoudend vistuig, zijn voor rekening van de producenten.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9. Gescheiden inzameling</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Ten behoeve van recycling moet de hoeveelheid afval van de in deel F van de bijlage opgenomen kunststofproducten voor eenmalig gebruik die gescheiden wordt ingezameld, gelijk zijn aan: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uiterlijk in 2025, </w:t>
      </w:r>
      <w:bookmarkStart w:id="4" w:name="_Hlk25246527"/>
      <w:r>
        <w:rPr>
          <w:rFonts w:asciiTheme="minorHAnsi" w:hAnsiTheme="minorHAnsi"/>
          <w:b w:val="0"/>
          <w:sz w:val="24"/>
          <w:szCs w:val="24"/>
        </w:rPr>
        <w:t>77 % van het gewicht van de totale hoeveelheid afval van die producten die in een bepaald jaar is gegenereerd, met inbegrip van het zwerfafval</w:t>
      </w:r>
      <w:bookmarkEnd w:id="4"/>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 uiterlijk in 2029, 90 % van het gewicht van de totale hoeveelheid afval van die producten die in een bepaald jaar is gegenereerd, met inbegrip van het zwerfafval.</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10. Bewustmakingsmaatregelen</w:t>
      </w:r>
    </w:p>
    <w:p w14:paraId="148EAE36" w14:textId="77777777" w:rsidR="007104F8" w:rsidRPr="00B101EF" w:rsidRDefault="007104F8" w:rsidP="007104F8">
      <w:pPr>
        <w:pStyle w:val="Article"/>
        <w:numPr>
          <w:ilvl w:val="0"/>
          <w:numId w:val="0"/>
        </w:numPr>
        <w:spacing w:before="240"/>
        <w:rPr>
          <w:rFonts w:asciiTheme="minorHAnsi" w:hAnsiTheme="minorHAnsi" w:cs="TimesNewRoman"/>
          <w:b w:val="0"/>
          <w:spacing w:val="-4"/>
          <w:sz w:val="24"/>
          <w:szCs w:val="24"/>
        </w:rPr>
      </w:pPr>
      <w:r w:rsidRPr="00B101EF">
        <w:rPr>
          <w:rFonts w:asciiTheme="minorHAnsi" w:hAnsiTheme="minorHAnsi"/>
          <w:b w:val="0"/>
          <w:spacing w:val="-4"/>
          <w:sz w:val="24"/>
          <w:szCs w:val="24"/>
        </w:rPr>
        <w:t xml:space="preserve">Het Milieuagentschap en het Waterbeheeragenstchap zorgen er, elk voor wat hen aanbelangt, voor dat consumenten worden voorgelicht en verantwoordelijk consumentengedrag wordt gestimuleerd, teneinde tot een vermindering te komen van zwerfafval van producten die onder deze wet vallen, en zorgen ervoor dat consumenten van de in deel G van de bijlage opgenomen kunststofproducten voor eenmalig gebruik en gebruikers van kunststofhoudend vistuig, worden voorgelicht over: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de beschikbaarheid van herbruikbare alternatieven, systemen voor hergebruik en mogelijkheden voor afvalbeheer van die kunststofproducten voor eenmalig gebruik en kunststofhoudend vistuig, evenals de beste praktijken voor een degelijk afvalbeheer in overeenstemming met artikel 10 van de wet van 21 maart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de effecten op het milieu, in het bijzonder het mariene milieu, van zwerfafval en andere ongepaste vormen van verwijdering van afval van die kunststofproducten voor eenmalig gebruik en van kunststofhoudend vistuig, en</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de gevolgen van ongepaste manieren van verwijdering van afval van deze kunststofproducten voor eenmalig gebruik op de riolering.</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11. Coördinatie van de maatregelen</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Onverminderd de eerste alinea van artikel 4, lid 1, moeten de maatregelen die in het kader van deze wet worden getroffen, integraal deel uitmaken van de programma’s met maatregelen die zijn vastgesteld in overeenstemming met de gewijzigde wet van 19 december 2008 betreffende </w:t>
      </w:r>
      <w:r>
        <w:rPr>
          <w:sz w:val="24"/>
          <w:szCs w:val="24"/>
        </w:rPr>
        <w:lastRenderedPageBreak/>
        <w:t>water en de afvalbeheerplannen en programma’s voor afvalpreventie die zijn vastgesteld in overeenstemming met de wet van 21 maart 2012.</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Om te voorkomen dat de voedselhygiëne en de voedselveiligheid in het gedrang komen, moeten de maatregelen die krachtens de artikelen 4 tot en met 9 worden getroffen, in overeenstemming zijn met de bepalingen op het gebied van levensmiddelen.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B101EF" w:rsidRDefault="007104F8" w:rsidP="007104F8">
      <w:pPr>
        <w:autoSpaceDE w:val="0"/>
        <w:autoSpaceDN w:val="0"/>
        <w:adjustRightInd w:val="0"/>
        <w:spacing w:after="0" w:line="240" w:lineRule="auto"/>
        <w:jc w:val="both"/>
        <w:rPr>
          <w:rFonts w:eastAsia="Calibri" w:cs="TimesNewRoman"/>
          <w:spacing w:val="-4"/>
          <w:sz w:val="24"/>
          <w:szCs w:val="24"/>
        </w:rPr>
      </w:pPr>
      <w:r w:rsidRPr="00B101EF">
        <w:rPr>
          <w:spacing w:val="-4"/>
          <w:sz w:val="24"/>
          <w:szCs w:val="24"/>
        </w:rPr>
        <w:t>Het Milieuagentschap en het Directoraat Volksgezondheid zorgen er, elk voor wat hen aanbelangt, voor dat het gebruik wordt aangemoedigd van duurzame alternatieve materialen die bestemd zijn om met levensmiddelen in contact te komen, in plaats van kunststof voor eenmalig gebruik.</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12. Specificaties en richtsnoeren inzake kunststofproducten voor eenmalig gebruik</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Om te bepalen of een voedselverpakking voor de toepassing van deze wet als een kunststofproduct voor eenmalig gebruik moet worden beschouwd, speelt in aanvulling op de in de bijlage voor voedselverpakkingen geformuleerde criteria, de tendens om zwerfafval te worden vanwege hun volume of afmetingen, in het bijzonder eenpersoonsporties, een doorslaggevende rol.</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Artikel 13. Administratieve maatregelen</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In geval van niet-naleving van de bepalingen van artikel 5, artikel 6, lid 1 en lid 2, punten 1 en 2, artikel 7 of artikel 9 kan de minister: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de producent of de erkende instantie een termijn opleggen waarbinnen die laatste aan deze bepalingen moet voldoen en die maximaal twee jaar mag bedragen;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de activiteit van de producent of de exploitatie van de onderneming volledig of gedeeltelijk laten opschorten door middel van een voorlopige maatregel of de onderneming volledig of gedeeltelijk laten sluiten en verzegelen.</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Elke belanghebbende kan verzoeken om toepassing van de in lid 1 genoemde maatregelen.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De in lid 1 genoemde maatregelen worden opgeheven zodra de producent of de erkende instantie de bepalingen naleeft.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Artikel 14. Bijzondere bepalingen</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De volgende bepalingen van de wet van 21 maart 2012 zijn van toepassing:</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de artikelen 44, 45 en 46 met betrekking tot het onderzoek naar en de vaststelling van overtredingen, controlebevoegdheden en controlerechten; en</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artikel 50, lid 2, met betrekking tot het recht van erkende milieuorganisaties om een rechtsvordering in te stellen.</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lastRenderedPageBreak/>
        <w:t>Artikel 15. Bijlage</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De bijlage kan worden gewijzigd door middel van een verordening van het Groothertogdom Luxemburg om ze aan te passen aan de evolutie van de wetgeving van de Europese Unie over dit onderwerp.</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16. Strafrechtelijke sancties</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Overtredingen op artikel 5, artikel 6, lid 1, eerste alinea, en lid 2, punten 1 en 2, artikel 7, lid 1, artikel 8, lid 4, en artikel 9 worden bestraft met een gevangenisstraf van acht dagen tot drie jaar en een boete van 251 euro tot 750 000 euro of slechts één van deze sancties.</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Dezelfde sancties zijn van toepassing in geval van belemmering of niet-naleving van de administratieve maatregelen die krachtens artikel 13 worden getroffen.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17. Administratieve boeten</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In geval van schending van artikel 4, lid 4, en artikel 6, lid 2, tweede alinea, kan de minister een administratieve boete van 250 euro tot 10 000 euro opleggen.</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B101EF" w:rsidRDefault="007104F8" w:rsidP="007104F8">
      <w:pPr>
        <w:autoSpaceDE w:val="0"/>
        <w:autoSpaceDN w:val="0"/>
        <w:adjustRightInd w:val="0"/>
        <w:spacing w:after="0"/>
        <w:rPr>
          <w:rFonts w:cs="TimesNewRoman"/>
          <w:sz w:val="24"/>
          <w:szCs w:val="24"/>
        </w:rPr>
      </w:pPr>
      <w:r w:rsidRPr="00B101EF">
        <w:rPr>
          <w:sz w:val="24"/>
          <w:szCs w:val="24"/>
        </w:rPr>
        <w:t xml:space="preserve">Een boete moet worden betaald binnen twee maanden na de schriftelijke kennisgeving van het besluit.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Administratieve boeten worden geïnd door de Autoriteit voor registratierechten, onroerend goed en btw. De inning geschiedt op dezelfde manier als voor registratierechten.</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18. Beroep</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Tegen besluiten krachtens deze wet kan een beroep tot herziening worden ingesteld bij de bestuursrechter. Dat beroep moet, op straffe van verval, worden ingesteld binnen een termijn van veertig dagen na de kennisgeving van het besluit.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19. Inwerkingtreding</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Deze wet treedt in werking op 3 juli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De bepalingen van artikel 6, lid 1, treden evenwel pas in werking op 3 juli 2024 en de bepalingen van artikel 8 treden in werking op 31 december 2026, met uitzondering van de kunststofproducten voor eenmalig gebruik die zijn opgenomen in deel E, afdeling III, van de bijlage, waarvoor de bepalingen in werking treden op 5 januari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lastRenderedPageBreak/>
        <w:t>Bijlage</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Kunststofproducten voor eenmalig gebruik die vallen onder artikel 4 inzake consumptievermindering</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drinkbekers, doppen en deksels inbegrepen;</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voedselverpakkingen, d.w.z. containers zoals dozen, met of zonder deksel, voor voedingsmiddelen die:</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bestemd zijn voor onmiddellijke consumptie, ter plaatse of om mee te nemen,</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typisch vanuit de container worden geconsumeerd, en</w:t>
      </w:r>
    </w:p>
    <w:p w14:paraId="3F279B9C" w14:textId="77777777" w:rsidR="007104F8" w:rsidRPr="00B101EF" w:rsidRDefault="007104F8" w:rsidP="007104F8">
      <w:pPr>
        <w:autoSpaceDE w:val="0"/>
        <w:autoSpaceDN w:val="0"/>
        <w:adjustRightInd w:val="0"/>
        <w:spacing w:after="0" w:line="240" w:lineRule="auto"/>
        <w:ind w:left="720"/>
        <w:rPr>
          <w:rFonts w:cs="TimesNewRoman"/>
          <w:spacing w:val="-6"/>
          <w:sz w:val="24"/>
          <w:szCs w:val="24"/>
        </w:rPr>
      </w:pPr>
      <w:r w:rsidRPr="00B101EF">
        <w:rPr>
          <w:spacing w:val="-6"/>
          <w:sz w:val="24"/>
          <w:szCs w:val="24"/>
        </w:rPr>
        <w:t xml:space="preserve">c) gereed zijn voor consumptie zonder verdere bereiding zoals bakken, koken of verwarmen,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inclusief verpakkingen voor fastfood of andere maaltijden die gereed zijn voor onmiddellijke consumptie, met uitzondering van drankverpakkingen, borden, zakjes en wikkels die voedingsmiddelen bevatten.</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Kunststofproducten voor eenmalig gebruik die vallen onder artikel 5 inzake beperkingen op het in de handel brengen</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katoenen wattenstaafjes, tenzij die binnen het toepassingsgebied van Richtlijn 90/385/EEG van de Raad</w:t>
      </w:r>
      <w:r>
        <w:rPr>
          <w:rStyle w:val="FootnoteReference"/>
          <w:rFonts w:cs="TimesNewRoman"/>
          <w:sz w:val="24"/>
          <w:szCs w:val="24"/>
          <w:lang w:val="fr-LU" w:eastAsia="fr-BE"/>
        </w:rPr>
        <w:footnoteReference w:id="1"/>
      </w:r>
      <w:r>
        <w:rPr>
          <w:sz w:val="24"/>
          <w:szCs w:val="24"/>
        </w:rPr>
        <w:t xml:space="preserve"> of Richtlijn 93/42/EEG van de Raad</w:t>
      </w:r>
      <w:r>
        <w:rPr>
          <w:rStyle w:val="FootnoteReference"/>
          <w:rFonts w:cs="TimesNewRoman"/>
          <w:sz w:val="24"/>
          <w:szCs w:val="24"/>
          <w:lang w:val="fr-LU" w:eastAsia="fr-BE"/>
        </w:rPr>
        <w:footnoteReference w:id="2"/>
      </w:r>
      <w:r>
        <w:rPr>
          <w:sz w:val="24"/>
          <w:szCs w:val="24"/>
        </w:rPr>
        <w:t xml:space="preserve"> vallen;</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bestek (vorken, messen, lepels, eetstokjes);</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borden;</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rietjes, tenzij die binnen het toepassingsgebied van Richtlijn 90/385/EEG of Richtlijn 93/42/EEG vallen;</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roerstaafjes voor dranken;</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stokjes en de mechanismen daarvan, bedoeld om te worden bevestigd aan en ter ondersteuning van ballonnen, met uitzondering van ballonnen voor industriële of andere professionele toepassingen die niet aan consumenten worden verstrekt;</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voedselverpakkingen gemaakt van geëxpandeerd polystyreen, d.w.z. containers zoals dozen, met of zonder deksel, voor voedingsmiddelen die:</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bestemd zijn voor onmiddellijke consumptie, ter plaatse of om mee te nemen,</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typisch vanuit de container worden geconsumeerd, en</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gereed zijn voor consumptie zonder verdere bereiding zoals bakken, koken of verwarmen,</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inclusief voedselverpakkingen voor fastfood of andere maaltijden die gereed zijn voor onmiddellijke consumptie, met uitzondering van drankverpakkingen, borden, zakjes en wikkels die voedingsmiddelen bevatten;</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drankverpakkingen gemaakt van geëxpandeerd polystyreen, doppen en deksels inbegrepen;</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drinkbekers gemaakt van geëxpandeerd polystyreen, doppen en deksels inbegrepen.</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Kunststofproducten voor eenmalig gebruik die vallen onder artikel 6, lid 1, inzake productvereisten</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drankverpakkingen van maximaal drie liter, d.w.z. containers voor het houden van vloeistof zoals drankflessen, doppen en deksels inbegrepen, en samengestelde drankverpakkingen, doppen en deksels inbegrepen, met uitzondering van:</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glazen of metalen drankverpakkingen met kunststoffen doppen en deksels,</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drankverpakkingen bedoeld en gebruikt voor voeding voor specifiek medisch gebruik zoals gedefinieerd in artikel 2, onder g), van Verordening (EU) nr. 609/2013 van het Europees Parlement en de Raad</w:t>
      </w:r>
      <w:r>
        <w:rPr>
          <w:rStyle w:val="FootnoteReference"/>
          <w:rFonts w:cs="TimesNewRoman"/>
          <w:sz w:val="24"/>
          <w:szCs w:val="24"/>
          <w:lang w:val="fr-LU" w:eastAsia="fr-BE"/>
        </w:rPr>
        <w:footnoteReference w:id="3"/>
      </w:r>
      <w:r>
        <w:rPr>
          <w:sz w:val="24"/>
          <w:szCs w:val="24"/>
        </w:rPr>
        <w:t>, die in vloeibare vorm is.</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Kunststofproducten voor eenmalig gebruik die vallen onder artikel 7 inzake markeringsvoorschriften</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maandverbanden, tampons en inbrenghulzen voor tampons;</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2) vochtige doekjes, m.a.w. vooraf bevochtigde doekjes voor persoonlijke hygiëne, en huishoudelijke doekjes;</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tabaksproducten met filters, en filters die verkocht worden voor gebruik in combinatie met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tabaksproducten;</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drinkbekers.</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Kunststofproducten voor eenmalig gebruik die vallen onder artikel 8 inzake uitgebreide producentenverantwoordelijkheid</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voedselverpakkingen, d.w.z. containers zoals dozen, met of zonder deksel, voor voedingsmiddelen die:</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bestemd zijn voor onmiddellijke consumptie, ter plaatse of om mee te nemen,</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typisch vanuit de container worden genuttigd, en</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gereed zijn voor consumptie zonder verdere bereiding zoals bakken, koken of verwarmen,</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inclusief voedselverpakkingen voor fastfood of andere maaltijden die gereed zijn voor onmiddellijke consumptie, met uitzondering van drankverpakkingen, borden, zakjes en wikkels die voedingsmiddelen bevatten;</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Pr="00B101EF" w:rsidRDefault="007104F8" w:rsidP="007104F8">
      <w:pPr>
        <w:autoSpaceDE w:val="0"/>
        <w:autoSpaceDN w:val="0"/>
        <w:adjustRightInd w:val="0"/>
        <w:spacing w:after="0" w:line="240" w:lineRule="auto"/>
        <w:rPr>
          <w:rFonts w:cs="TimesNewRoman"/>
          <w:spacing w:val="-4"/>
          <w:sz w:val="24"/>
          <w:szCs w:val="24"/>
        </w:rPr>
      </w:pPr>
      <w:r w:rsidRPr="00B101EF">
        <w:rPr>
          <w:spacing w:val="-4"/>
          <w:sz w:val="24"/>
          <w:szCs w:val="24"/>
        </w:rPr>
        <w:t>2) zakjes en wikkels gemaakt van flexibel materiaal die voedingsmiddelen bevatten die bedoeld zijn om onmiddellijk uit het zakje of de wikkel te worden geconsumeerd, zonder verdere bereiding;</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drankverpakkingen van maximaal drie liter, d.w.z. containers voor het houden van vloeistof zoals drankflessen, doppen en deksels inbegrepen, en samengestelde drankverpakkingen, doppen en deksels inbegrepen, met uitzondering van glazen of metalen drankverpakkingen met kunststoffen doppen en deksels;</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drinkbekers, doppen en deksels inbegrepen;</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lichte plastic draagtassen als omschreven in artikel 3, punt 1 quater, van Richtlijn 94/62/EG.</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Kunststofproducten voor eenmalig gebruik die vallen onder artikel 8, lid 3, inzake uitgebreide producentenverantwoordelijkheid</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vochtige doekjes, m.a.w. vooraf bevochtigde doekjes voor persoonlijke hygiëne, en huishoudelijke doekjes;</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ballonnen, met uitzondering van ballonnen voor industriële of andere professionele toepassingen die niet aan consumenten worden verstrekt.</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lastRenderedPageBreak/>
        <w:t>III. Andere kunststofproducten voor eenmalig gebruik die vallen onder artikel 8, lid 3, inzake uitgebreide producentenverantwoordelijkheid</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Tabaksproducten met filters, en filters die verkocht worden voor gebruik in combinatie met tabaksproducten.</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Kunststofproducten voor eenmalig gebruik die vallen onder artikel 9 inzake gescheiden inzameling en onder artikel 6, lid 2, inzake productvereisten</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Drankflessen van maximaal drie liter, doppen en deksels inbegrepen, met uitzondering van:</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glazen en metalen drankverpakkingen met kunststoffen doppen en deksels,</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drankflessen bedoeld en gebruikt voor voeding voor specifiek medisch gebruik zoals gedefinieerd in artikel 2, onder g), van Verordening (EU) nr. 609/2013, die in vloeibare vorm is.</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DEEL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Kunststofproducten voor eenmalig gebruik die vallen onder artikel 10 inzake bewustmakingsmaatregelen</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voedselverpakkingen, d.w.z. containers zoals dozen, met of zonder deksel, voor voedingsmiddelen die:</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bestemd zijn voor onmiddellijke consumptie, ter plaatse of om mee te nemen,</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typisch vanuit de container worden genuttigd, en</w:t>
      </w:r>
    </w:p>
    <w:p w14:paraId="39DE0733" w14:textId="77777777" w:rsidR="007104F8" w:rsidRPr="00B101EF" w:rsidRDefault="007104F8" w:rsidP="007104F8">
      <w:pPr>
        <w:autoSpaceDE w:val="0"/>
        <w:autoSpaceDN w:val="0"/>
        <w:adjustRightInd w:val="0"/>
        <w:spacing w:after="0" w:line="240" w:lineRule="auto"/>
        <w:ind w:left="720"/>
        <w:rPr>
          <w:rFonts w:cs="TimesNewRoman"/>
          <w:spacing w:val="-6"/>
          <w:sz w:val="24"/>
          <w:szCs w:val="24"/>
        </w:rPr>
      </w:pPr>
      <w:r w:rsidRPr="00B101EF">
        <w:rPr>
          <w:spacing w:val="-6"/>
          <w:sz w:val="24"/>
          <w:szCs w:val="24"/>
        </w:rPr>
        <w:t>c) gereed zijn voor consumptie zonder verdere bereiding zoals bakken, koken of verwarmen,</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inclusief voedselverpakkingen voor fastfood of andere maaltijden die gereed zijn voor onmiddellijke consumptie, met uitzondering van drankverpakkingen, borden, zakjes en wikkels die voedingsmiddelen bevatten;</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Pr="00B101EF" w:rsidRDefault="007104F8" w:rsidP="007104F8">
      <w:pPr>
        <w:autoSpaceDE w:val="0"/>
        <w:autoSpaceDN w:val="0"/>
        <w:adjustRightInd w:val="0"/>
        <w:spacing w:after="0" w:line="240" w:lineRule="auto"/>
        <w:rPr>
          <w:rFonts w:cs="TimesNewRoman"/>
          <w:spacing w:val="-4"/>
          <w:sz w:val="24"/>
          <w:szCs w:val="24"/>
        </w:rPr>
      </w:pPr>
      <w:r w:rsidRPr="00B101EF">
        <w:rPr>
          <w:spacing w:val="-4"/>
          <w:sz w:val="24"/>
          <w:szCs w:val="24"/>
        </w:rPr>
        <w:t>2) zakjes en wikkels gemaakt van flexibel materiaal die voedingsmiddelen bevatten die bedoeld zijn om onmiddellijk uit het zakje of de wikkel te worden geconsumeerd, zonder verdere bereiding;</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drankverpakkingen van maximaal drie liter, d.w.z. containers voor het houden van vloeistof zoals drankflessen, doppen en deksels inbegrepen, en samengestelde drankverpakkingen, doppen en deksels inbegrepen, met uitzondering van glazen of metalen drankverpakkingen met kunststoffen doppen en deksels;</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drinkbekers, doppen en deksels inbegrepen;</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tabaksproducten met filters, en filters die verkocht worden voor gebruik in combinatie met tabaksproducten;</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6) vochtige doekjes, m.a.w. vooraf bevochtigde doekjes voor persoonlijke hygiëne, en huishoudelijke doekjes;</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ballonnen, met uitzondering van ballonnen voor industriële of andere professionele toepassingen die niet aan consumenten worden verstrekt;</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lichte plastic draagtassen als omschreven in artikel 3, punt 1 quater, van Richtlijn 94/62/EG;</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maandverbanden, tampons en inbrenghulzen voor tampons.</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Richtlijn 90/385/EEG van de Raad van 20 juni 1990 betreffende de onderlinge aanpassing van de wetgevingen van de lidstaten inzake actieve implanteerbare medische hulpmiddelen (PB L 189 van 20.7.1990, blz. 17).</w:t>
      </w:r>
    </w:p>
  </w:footnote>
  <w:footnote w:id="2">
    <w:p w14:paraId="42EC3717" w14:textId="77777777" w:rsidR="007104F8" w:rsidRPr="00B101EF" w:rsidRDefault="007104F8" w:rsidP="007104F8">
      <w:pPr>
        <w:pStyle w:val="FootnoteText"/>
        <w:rPr>
          <w:spacing w:val="-4"/>
        </w:rPr>
      </w:pPr>
      <w:r w:rsidRPr="00B101EF">
        <w:rPr>
          <w:rStyle w:val="FootnoteReference"/>
          <w:spacing w:val="-4"/>
        </w:rPr>
        <w:footnoteRef/>
      </w:r>
      <w:r w:rsidRPr="00B101EF">
        <w:rPr>
          <w:spacing w:val="-4"/>
        </w:rPr>
        <w:t xml:space="preserve"> </w:t>
      </w:r>
      <w:r w:rsidRPr="00B101EF">
        <w:rPr>
          <w:spacing w:val="-4"/>
        </w:rPr>
        <w:t xml:space="preserve">Richtlijn </w:t>
      </w:r>
      <w:r w:rsidRPr="00B101EF">
        <w:rPr>
          <w:spacing w:val="-4"/>
        </w:rPr>
        <w:t>93/42/EEG van de Raad van 14 juni 1993 betreffende medische hulpmiddelen (PB L 169 van 12.7.1993, blz. 1).</w:t>
      </w:r>
    </w:p>
  </w:footnote>
  <w:footnote w:id="3">
    <w:p w14:paraId="7B0A379B" w14:textId="77777777" w:rsidR="007104F8" w:rsidRPr="006227D4" w:rsidRDefault="007104F8" w:rsidP="007104F8">
      <w:pPr>
        <w:pStyle w:val="FootnoteText"/>
      </w:pPr>
      <w:r>
        <w:rPr>
          <w:rStyle w:val="FootnoteReference"/>
        </w:rPr>
        <w:footnoteRef/>
      </w:r>
      <w:r>
        <w:t xml:space="preserve"> </w:t>
      </w:r>
      <w:r>
        <w:t xml:space="preserve">Verordening </w:t>
      </w:r>
      <w:r>
        <w:t>(EU) nr. 609/2013 van het Europees Parlement en de Raad van 12 juni 2013 inzake voor zuigelingen en peuters bedoelde levensmiddelen, voeding voor medisch gebruik en de dagelijkse voeding volledig vervangende producten voor gewichtsbeheersing, en tot intrekking van Richtlijn 92/52/EEG van de Raad, Richtlijnen 96/8/EG, 1999/21/EG, 2006/125/EG en 2006/141/EG van de Commissie, Richtlijn 2009/39/EG van het Europees Parlement en de Raad en de Verordeningen (EG) nr. 41/2009 en (EG) nr. 953/2009 van de Commissie (PB L 181 van 29.6.2013, blz.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A613C2"/>
    <w:rsid w:val="00B101EF"/>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nl-NL"/>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2020-08-12T09:23:00Z</dcterms:modified>
</cp:coreProperties>
</file>