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rPr>
        <w:t>1. ------IND- 2020 0486 L-- SK- ------ 20200812 --- --- PROJET</w:t>
      </w:r>
    </w:p>
    <w:p w14:paraId="5AB4C723" w14:textId="5E46F097" w:rsidR="007104F8" w:rsidRPr="008E1574" w:rsidRDefault="007104F8" w:rsidP="00206537">
      <w:pPr>
        <w:keepNext/>
        <w:keepLines/>
        <w:jc w:val="center"/>
        <w:rPr>
          <w:b/>
          <w:sz w:val="32"/>
          <w:szCs w:val="32"/>
        </w:rPr>
      </w:pPr>
      <w:r>
        <w:rPr>
          <w:b/>
          <w:sz w:val="32"/>
        </w:rPr>
        <w:t>Návrh zákona o znížení vplyvu určitých plastových výrobkov na životné prostredie</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rPr>
        <w:t>Článok 1. Ciele</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rPr>
        <w:t>Cieľom tohto zákona je predchádzať vplyvu určitých plastových výrobkov na životné prostredie, najmä na vodné prostredie a na ľudské zdravie, a tento vplyv znižovať, ako aj podporiť prechod na obehové hospodárstvo s inovačnými a udržateľnými obchodnými modelmi, výrobkami a materiálmi, čo súčasne prispeje k efektívnemu fungovaniu vnútorného trhu.</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Článok 2. Rozsah pôsobnosti</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Tento zákon sa týka plastových výrobkov na jedno použitie, ktorých zoznam je uvedený v prílohe, výrobkov na báze oxo-degradovateľných plastov a rybárskeho výstroja s obsahom plastov.</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Predstavuje osobitný zákon v súvislosti so zmeneným zákonom z 21. marca 2012 o odpade a zdrojoch, ďalej len „zákon z 21. marca 2012“ a zmeneným zákonom z 21. marca 2017 o obaloch a odpade z obalov.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rPr>
        <w:t>Článok 3. Vymedzenie pojmov</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Na účely tohto zákona sa ustanovujú tieto pojmy: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 „odpadový rybársky výstroj“: akýkoľvek rybársky výstroj, na ktorý sa vzťahuje vymedzenie pojmu „odpad“ v článku 4 zákona z 21. marca 2012, vrátane všetkých oddelených zložiek, látok alebo materiálov ktoré boli súčasťou rybárskeho výstroja alebo boli k nemu pripojené v čase, keď bol odhodený, vrátane prípadov, keď bol zanechaný alebo stratený;</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„obal“: obal v zmysle článku 3 zmeneného zákona z 21. marca 2017 o obaloch a odpadoch z obalov;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3. „rybársky výstroj“: akýkoľvek predmet alebo časť vybavenia, ktoré sa používajú v rybárstve či akvakultúre na zasiahnutie, zachytenie alebo chov morských biologických zdrojov, alebo ktoré plávajú na hladine mora a rozmiestňujú sa na účely prilákania a zachytenia alebo chovu takýchto morských biologických zdrojov;</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„4. „sprístupnenie na trhu“: každá dodávka výrobku určeného na distribúciu, spotrebu alebo používanie na luxemburskom trhu v priebehu obchodnej činnosti, či už odplatne alebo bezodplatne;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5. „uvedenie na trh“: prvé uvedenie výrobku na luxemburský trh;</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lastRenderedPageBreak/>
        <w:t xml:space="preserve">6. „harmonizovaná norma“: harmonizovaná norma v zmysle článku 2 ods. 1 písm. c) nariadenia (EÚ) č. 1025/2012; </w:t>
      </w:r>
    </w:p>
    <w:p w14:paraId="013F9AF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7. „plast“: materiál, ktorý sa skladá z polyméru v zmysle vymedzenia v článku 3 bode 5 nariadenia (ES) č. 1907/2006, do ktorého mohli byť pridané prísady alebo iné látky a ktorý môže tvoriť hlavnú štruktúrnu zložku konečných výrobkov, vrátane gumy na báze polymérov a plastov biologického pôvodu alebo biologicky rozložiteľných, tiež získaných z biomasy alebo určených na biodegradáciu v priebehu času.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Táto definícia vylučuje prírodné polyméry, ktoré neboli chemicky modifikované;</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8. „biodegradovateľné plasty“: plasty, ktoré podliehajú takému fyzikálnemu a biologickému rozkladu, že sa v konečnom dôsledku rozložia na oxid uhličitý (CO</w:t>
      </w:r>
      <w:r>
        <w:rPr>
          <w:rFonts w:asciiTheme="minorHAnsi" w:hAnsiTheme="minorHAnsi"/>
          <w:b w:val="0"/>
          <w:sz w:val="24"/>
          <w:vertAlign w:val="subscript"/>
        </w:rPr>
        <w:t>2</w:t>
      </w:r>
      <w:r>
        <w:rPr>
          <w:rFonts w:asciiTheme="minorHAnsi" w:hAnsiTheme="minorHAnsi"/>
          <w:b w:val="0"/>
          <w:sz w:val="24"/>
        </w:rPr>
        <w:t>), biomasu a vodu, a ktoré v súlade s európskymi normami pre obaly možno zhodnotiť kompostovaním a anaeróbnou digesciou;</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9. „oxo-degradovateľné plasty“: plastové materiály, ktoré obsahujú prísady spôsobujúce prostredníctvom oxidácie fragmentáciu plastového materiálu na mikrofragmenty alebo jeho chemický rozklad;</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10. „tabakové výrobky“: tabakové výrobky v zmysle článku 2 bodu 1 písm. a) zmeneného zákona z 11. augusta 2006 o kontrole tabaku;</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11. „jednorazový plastový výrobok“: výrobok, ktorý je vyrobený úplne alebo čiastočne z plastu a ktorý nie je koncipovaný, navrhnutý alebo uvedený na trh s tým účelom, aby počas svojej životnosti absolvoval niekoľko cyklov alebo rotácií tým, že sa vráti výrobcovi na opätovné naplnenie, alebo aby bol opätovne použitý na ten istý účel, na ktorý bol koncipovaný.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Uplatňuje sa vymedzenie pojmov „odpad“, „zber“, „triedený zber“, „spracovanie“, „výrobca výrobku“ a „systém rozšírenej zodpovednosti výrobcov“ uvedených v článku 4 zmeneného zákona z 21. marca 2012.</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Článok 4. Zníženie spotreby</w:t>
      </w:r>
    </w:p>
    <w:p w14:paraId="34312720" w14:textId="69968051"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Výrobcovia výrobkov prijímajú opatrenia, ktorých výsledkom je merateľné kvantitatívne zníženie spotreby plastových výrobkov na jedno použitie uvedených v časti A prílohy do roku 2026 v porovnaní s rokom 2022. Toto zníženie musí byť za príslušné obdobie najmenej o 20 % vzhľadom na jednotky uvedené na trh. Od 1. januára 2026 sa musí každý rok dosiahnuť zníženie najmenej o 10 % v porovnaní s množstvami uvedenými na trh počas predchádzajúceho roka. Výrobcovia výrobkov musia zveriť výkon tejto povinnosti uznanej organizácii v súlade s článkom 19 zákona z 21. marca 2012.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Minister zodpovedný za životné prostredie, ďalej len „minister“, zabezpečuje koordináciu opatrení potrebných na dosiahnutie ambiciózneho a trvalého zníženia spotreby plastových výrobkov na jedno použitie uvedených v časti A prílohy v súlade so všeobecnými cieľmi odpadovej </w:t>
      </w:r>
      <w:r>
        <w:rPr>
          <w:rFonts w:asciiTheme="minorHAnsi" w:hAnsiTheme="minorHAnsi"/>
          <w:b w:val="0"/>
          <w:sz w:val="24"/>
        </w:rPr>
        <w:lastRenderedPageBreak/>
        <w:t xml:space="preserve">politiky Únie, najmä predchádzaním vzniku odpadu, s cieľom vyvolať významné zvrátenie vzostupných trendov v spotrebe.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Úrad životného prostredia sleduje plastové výrobky na jedno použitie uvedené v časti A prílohy, ktoré sa uvádzajú na trh, a prijíma opatrenia na zníženie tejto spotreby.</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rPr>
        <w:t>Na tento účel uznaná organizácia v rámci výročnej správy uvedenej v článku 35 zákona z 21. marca 2012 oznamuje aktualizované množstvá plastových výrobkov na jedno použitie uvedené v časti A prílohy, sprístupnené na trhu počas predchádzajúceho roka.</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rPr>
        <w:t>Článok 5. Obmedzenie uvedenia na trh</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Uvádzanie na trh plastových výrobkov na jedno použitie uvedených v časti B prílohy a výrobkov z oxo-degradovateľných plastov je zakázané.</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Článok 6. Požiadavky na výrobky</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(1) Plastové výrobky na jedno použitie uvedené v časti C prílohy, ktoré majú plastové uzávery a viečka, sa môžu uviesť na trh iba vtedy, ak ich uzávery a viečka ostanú pripevnené k obalu počas fázy používania výrobku.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Kovové uzávery a viečka s plastovým tesnením sa nepovažujú za vyrobené z plastov.</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Pokiaľ ide o nápojové fľaše uvedené v časti F prílohy, uplatňujú sa tieto požiadavky: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rPr>
        <w:t xml:space="preserve">1. od roku 2025 obsahujú nápojové fľaše uvedené v časti F dodatku, ktoré sa vyrábajú hlavne z polyetyléntereftalátu (ďalej len „PET fľaše“), najmenej 25 % recyklovaného plastu, počítaného ako priemer za všetky PET fľaše uvedené na trh </w:t>
      </w:r>
      <w:bookmarkStart w:id="1" w:name="_Hlk25242138"/>
      <w:r>
        <w:rPr>
          <w:rFonts w:asciiTheme="minorHAnsi" w:hAnsiTheme="minorHAnsi"/>
          <w:b w:val="0"/>
          <w:sz w:val="24"/>
        </w:rPr>
        <w:t>jedným výrobcom</w:t>
      </w:r>
      <w:bookmarkEnd w:id="1"/>
      <w:r>
        <w:rPr>
          <w:rFonts w:asciiTheme="minorHAnsi" w:hAnsiTheme="minorHAnsi"/>
          <w:b w:val="0"/>
          <w:sz w:val="24"/>
        </w:rPr>
        <w:t>; a</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rPr>
        <w:t>2. od roku 2030 obsahujú nápojové fľaše uvedené v časti F prílohy najmenej 30 % recyklovaného plastu, počítaného ako priemer všetkých uvedených nápojových fliaš uvedených na trh tým istým výrobcom.</w:t>
      </w:r>
    </w:p>
    <w:p w14:paraId="0DCF115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Na tento účel uznaná organizácia v súlade s článkom 19 zákona z 21. marca 2012 oznamuje v rámci výročnej správy uvedenej v článku 35 toho istého zákona množstvá PET fliaš sprístupnených na trhu v predchádzajúcom roku a priemerné percento recyklovaného plastu z týchto fliaš. V prípade nedodržania vykonávacieho aktu Európskou úniou stanovuje metódy výpočtu a overovania cieľov úrad životného prostredia.</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lastRenderedPageBreak/>
        <w:t xml:space="preserve">Článok 7. Požiadavky na označovanie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(1) Každý výrobok z plastu na jedno použitie uvedený v časti D prílohy uvedený na trh musí mať na obale alebo na samotnom výrobku viditeľné, zreteľne čitateľné a nezmazateľné označenie informujúce spotrebiteľov o týchto skutočnostiach:</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rPr>
        <w:t>1. príslušné riešenia nakladania s odpadom z produktu alebo prostriedky zneškodňovania odpadu, ktorým je potrebné sa v prípade tohto produktu vyhnúť, v súlade s hierarchiou odpadového hospodárstva; a</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rPr>
        <w:t>2. prítomnosť plastov vo výrobku a škodlivé účinky na životné prostredie vyplývajúce z nezákonného znečisťovania odpadom alebo iných nevhodných prostriedkov na likvidáciu odpadu z produktu.</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(2) Ustanovenia tohto článku týkajúce sa tabakových výrobkov dopĺňajú ustanovenia stanovené v zmenenom a zákone z 11. augusta 2006 o kontrole tabaku.</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Článok 8. Rozšírená zodpovednosť výrobcu</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 Pre všetky plastové výrobky na jedno použitie uvedené v časti E prílohy a pre rybársky výstroj obsahujúci plast sa ustanovujú systémy rozšírenej zodpovednosti výrobcu v súlade s príslušnými ustanoveniami zákona z 21. marca 2012.</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Výrobcovia plastových výrobkov na jedno použitie uvedených v časti E oddiele I prílohy pokrývajú náklady podľa ustanovení o rozšírenej zodpovednosti výrobcu v zákone z 21. marca 2012 a zákone z 21. marca 2017 týkajúcich sa obalov a odpadov z obalov a, ak nie sú zahrnuté už v uvedených ustanoveniach, pokrývajú aj tieto náklady: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náklady na opatrenia na zvyšovanie povedomia uvedené v článku 10 v súvislosti s týmito výrobkami; </w:t>
      </w:r>
    </w:p>
    <w:p w14:paraId="780C6E6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2) náklady na zber odpadu z týchto výrobkov, ktoré sa odovzdávajú do verejných systémov zberu, vrátane nákladov na infraštruktúru a ich fungovanie, ako aj na prepravu a následné spracovanie tohto odpadu; a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3) náklady na čistenie prostredia znečisteného týmito výrobkami a na následnú prepravu a spracovanie tohto znečistenia.</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rPr>
        <w:t xml:space="preserve">(3) Výrobcovia plastových výrobkov na jedno použitie uvedených v časti E, oddieloch II </w:t>
      </w:r>
      <w:bookmarkEnd w:id="2"/>
      <w:r>
        <w:rPr>
          <w:rFonts w:asciiTheme="minorHAnsi" w:hAnsiTheme="minorHAnsi"/>
          <w:b w:val="0"/>
          <w:sz w:val="24"/>
        </w:rPr>
        <w:t>a III pokrývajú aspoň tieto náklady</w:t>
      </w:r>
      <w:bookmarkStart w:id="3" w:name="_Hlk33179167"/>
      <w:r>
        <w:rPr>
          <w:rFonts w:asciiTheme="minorHAnsi" w:hAnsiTheme="minorHAnsi"/>
          <w:b w:val="0"/>
          <w:sz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náklady na opatrenia na zvyšovanie povedomia uvedené v článku 10 v súvislosti s týmito výrobkami;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2) náklady na čistenie prostredia znečisteného týmito výrobkami a na následnú prepravu a spracovanie tohto znečistenia; a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lastRenderedPageBreak/>
        <w:t xml:space="preserve">3) náklady na zhromažďovanie údajov a podávanie správ v súlade s článkom 19 zákona z 21. marca 2012. </w:t>
      </w:r>
    </w:p>
    <w:p w14:paraId="023DC410" w14:textId="77777777" w:rsidR="007104F8"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Pokiaľ ide o výrobky z plastov na jedno použitie uvedené v časti E oddiele III prílohy, výrobcovia výrobkov tiež pokrývajú náklady na zber odpadu z týchto výrobkov, ktoré sa odovzdávajú do verejných systémov zberu, vrátane nákladov na infraštruktúru a ich fungovanie, ako aj na prepravu a následné spracovanie tohto odpadu. Náklady zahŕňajú zriadenie špecifickej infraštruktúry na zber odpadu pre tieto výrobky, ktoré po spotrebovaní skončia ako odpad, ako sú napríklad vhodné nádoby na odpad v miestach, kde často dochádza k znečisťovaniu odpadom.</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(4) Výrobcovia plastových výrobkov na jedno použitie uvedených v časti E oddiele III musia prijať potrebné opatrenia, aby zabránili zanechaniu, neriadenému skládkovaniu odpadu a nekontrolovanému nakladaniu s týmito výrobkami, ktoré sa stali odpadom.</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Od 1. januára 2024 sa musí každý rok dosiahnuť zníženie najmenej o 10 % v porovnaní s množstvami odhodenými počas predchádzajúceho roka. Príslušný úrad ustanoví a uverejní metodiku na kvantifikáciu odhodených množstiev a overenie ich zníženia.</w:t>
      </w:r>
    </w:p>
    <w:p w14:paraId="2FA016B7"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(5) Náklady, ktoré sa majú pokryť, uvedené v odsekoch 2 a 3, nepresahujú náklady potrebné na poskytovanie služieb uvedených v tomto dokumente nákladovo efektívnym spôsobom a sú stanovené transparentným spôsobom medzi zainteresovanými stranami. Náklady na čistenie prostredia znečisteného odpadom sa obmedzia na činnosti, ktoré vykonávajú orgány verejnej moci, alebo ktoré sa vykonávajú v ich mene. Metodika výpočtu sa vypracuje tak, aby sa náklady na čistenie prostredia znečisteného odpadom stanovili proporcionálne. Na účely minimalizácie administratívnych nákladov sa môžu stanoviť finančné príspevky na náklady na čistenie prostredia znečisteného odpadom určením vhodných viacročných pevne stanovených súm.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(6) Výrobcovia výrobkov usadení v inom členskom štáte Európskej únie, ktorí umiestňujú výrobky na luxemburský trh, sú oprávnení vymenovať fyzickú alebo právnickú osobu so sídlom na jeho území za splnomocneného zástupcu na účely plnenia povinností výrobcu týkajúcich sa systémov rozšírenej zodpovednosti výrobcov na jeho území. </w:t>
      </w:r>
    </w:p>
    <w:p w14:paraId="7124F9EF" w14:textId="77777777" w:rsidR="007104F8" w:rsidRPr="00947817" w:rsidRDefault="007104F8" w:rsidP="007104F8">
      <w:pPr>
        <w:pStyle w:val="Article"/>
        <w:numPr>
          <w:ilvl w:val="0"/>
          <w:numId w:val="0"/>
        </w:numPr>
        <w:spacing w:before="240"/>
        <w:rPr>
          <w:rFonts w:asciiTheme="minorHAnsi" w:hAnsiTheme="minorHAnsi" w:cs="TimesNewRoman"/>
          <w:b w:val="0"/>
          <w:spacing w:val="-4"/>
          <w:sz w:val="24"/>
          <w:szCs w:val="24"/>
        </w:rPr>
      </w:pPr>
      <w:r w:rsidRPr="00947817">
        <w:rPr>
          <w:rFonts w:asciiTheme="minorHAnsi" w:hAnsiTheme="minorHAnsi"/>
          <w:b w:val="0"/>
          <w:spacing w:val="-4"/>
          <w:sz w:val="24"/>
        </w:rPr>
        <w:t>(7) Každý výrobca so sídlom v Luxemburskom veľkovojvodstve, ktorý predáva plastové výrobky na jedno použitie uvedené v časti E prílohy, ako aj rybársky výstroj obsahujúci plast v inom členskom štáte Európskej únie, v ktorom nie je usadený, musí vymenovať svojho zástupcu v príslušnom členskom štáte Európskej únie. Zástupca je osoba zodpovedná za zabezpečenie dodržiavania povinností tohto výrobcu v súlade s týmto zákonom na území tohto iného členského štátu Európskej únie.</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(8) Pokiaľ ide o systémy rozšírenej zodpovednosti výrobcu za rybársky výstroj s obsahom plastov, výrobcovia rybárskeho výstroja s obsahom plastov by mali pokryť náklady na triedený zber rybárskeho výstroja s obsahom plastov, ktorý bol uložený v osobitnom systéme zberu, ako aj náklady na jeho prepravu a následné spracovanie.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lastRenderedPageBreak/>
        <w:t xml:space="preserve">Výrobcovia tiež pokrývajú náklady na opatrenia na zvýšenie povedomia uvedené v článku 10 týkajúce sa rybárskeho výstroja obsahujúceho plast.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Článok 9. Triedený zber</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Pri recyklácii musí množstvo odpadových plastových výrobkov na jedno použitie uvedených v časti F prílohy, ktoré sa zbierajú osobitne, zodpovedať: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a) najneskôr do roku 2025 </w:t>
      </w:r>
      <w:bookmarkStart w:id="4" w:name="_Hlk25246527"/>
      <w:r>
        <w:rPr>
          <w:rFonts w:asciiTheme="minorHAnsi" w:hAnsiTheme="minorHAnsi"/>
          <w:b w:val="0"/>
          <w:sz w:val="24"/>
        </w:rPr>
        <w:t>77 % hmotnosti z celkového množstva odpadu z týchto výrobkov vyprodukovaného v danom roku vrátane odpadu znečisťujúceho prostredie</w:t>
      </w:r>
      <w:bookmarkEnd w:id="4"/>
      <w:r>
        <w:rPr>
          <w:rFonts w:asciiTheme="minorHAnsi" w:hAnsiTheme="minorHAnsi"/>
          <w:b w:val="0"/>
          <w:sz w:val="24"/>
        </w:rPr>
        <w:t xml:space="preserve">; </w:t>
      </w:r>
    </w:p>
    <w:p w14:paraId="39395F5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b) najneskôr do roku 2029 90 % hmotnosti z celkového množstva odpadu z týchto výrobkov vyprodukovaného v danom roku vrátane odpadu znečisťujúceho prostredie.</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Článok 10. Opatrenia na zvyšovanie povedomia</w:t>
      </w:r>
    </w:p>
    <w:p w14:paraId="148EAE3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Úrad životného prostredia a správa vodných zdrojov, každý v rozsahu svojich právomocí, sú poverené informovaním spotrebiteľov a ich motivovaním k zodpovednému spotrebiteľskému správaniu na účely zníženia znečisťovania prostredia odpadom z výrobkov, na ktoré sa vzťahuje táto smernica, a prijatím opatrení na informovanie spotrebiteľov jednorazových plastových výrobkov uvedených v časti G prílohy a používateľov rybárskeho výstroja obsahujúceho plasty o týchto skutočnostiach: </w:t>
      </w:r>
    </w:p>
    <w:p w14:paraId="40BDFCF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dostupnosti opätovne použiteľných alternatív, systémov opätovného použitia a možností nakladania s odpadom v prípade týchto jednorazových plastových výrobkov a rybárskeho výstroja obsahujúceho plasty, ako aj o najlepších postupoch nakladania s odpadom, ktoré bude šetrné k životnému prostrediu, v súlade s článkom 10 zákona z 21. marca 2012;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2. vplyve znečisťovania prostredia odpadom z týchto jednorazových plastových výrobkov a z rybárskeho výstroja obsahujúceho plasty a o vplyve iných nevhodných spôsobov zneškodňovania odpadu z uvedených výrobkov a výstroja na životné prostredie, najmä na morské prostredie, a</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3. vplyve nevhodných spôsobov zneškodňovania odpadu z týchto jednorazových plastových výrobkov na kanalizáciu.</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rPr>
        <w:t>Článok 11. Koordinácia opatrení</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Bez toho, aby bol dotknutý článok 4 odsek 1 pododsek 1, sú opatrenia prijaté v rámci tohto zákona neoddeliteľnou súčasťou programov opatrení ustanovených v súlade so zmeneným zákonom z 19. decembra 2008 o vode a programov na predchádzanie vzniku odpadu stanovených v súlade so zákonom z 21. marca 2012 a musia byť s nimi v súlade.</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lastRenderedPageBreak/>
        <w:t xml:space="preserve">Opatrenia prijaté v článkoch 4 až 9 musia byť v súlade s ustanoveniami týkajúcimi sa potravín, aby sa zabezpečilo, že nebude ohrozená hygiena potravín a bezpečnosť potravín.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V prípade materiálov určených na styk s potravinami podporia úrad životného prostredia a riaditeľstvo pre zdravie, každý v rozsahu svojich právomocí, používanie udržateľných alternatív jednorazových plastov.</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rPr>
        <w:t>Článok 12. Špecifikácie a pokyny pre výrobky z plastov na jedno použitie</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Na účely určenia, či sa nádoba na potraviny má považovať za jednorazový plastový výrobok na účely tohto zákona, okrem kritérií týkajúcich sa nádob na potraviny uvedených v prílohe, zohráva rozhodujúcu úlohu to, či má daná nádoba tendenciu stať sa odpadom znečisťujúcim prostredie na základe svojho objemu alebo veľkosti, a to najmä ak ide o nádoby určené na jednu porciu.</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rPr>
        <w:t>Článok 13. Administratívne opatrenia</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rPr>
        <w:t xml:space="preserve">(1) V prípade nedodržania ustanovení článku 5, článku 6 ods. 1 a ods. 2 bodov 1 a 2, článku 7 a článku 9 môže minister: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rPr>
        <w:t xml:space="preserve">stanoviť producentovi alebo uznanej organizácii lehotu, v ktorej musí splniť tieto ustanovenia, pričom toto obdobie nesmie prekročiť dva roky;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rPr>
        <w:t>dočasne alebo úplne pozastaviť činnosť výrobcu alebo činnosť prevádzkarne alebo nechať prevádzkareň úplne alebo čiastočne uzavrieť a zapečatiť.</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(2) Každá zainteresovaná strana môže požiadať o uplatnenie opatrení uvedených v odseku 1.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(3) Opatrenia uvedené v odseku 1 sa zrušia, ak výrobca alebo uznaná organizácia už príslušné opatrenia splnili.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rPr>
        <w:t>Článok 14. Osobitné ustanovenia</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Uplatňujú sa tieto ustanovenia zákona z 21. marca 2012:</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články 44, 45 a 46 týkajúce sa vyšetrovania a sledovania porušení, kontrolných právomocí a príkazov a</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článok 50 odsek 2 týkajúci sa práva na právne postavenie uznaných ekologických organizácií.</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Článok 15. Príloha</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Príloha sa môže zmeniť veľkovojvodským nariadením s cieľom prispôsobiť ju vývoju právnych predpisov Európskej únie v tejto oblasti.</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lastRenderedPageBreak/>
        <w:t>Článok 16. Trestné sankcie</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rPr>
        <w:t>Porušenie článku 5, článku 6 ods. 1 pododseku 1 a ods. 2 bodu 1 a 2, článku 7 ods. 1, článku 8 ods. 4 a článku 9 sa trestá sa odňatím slobody na osem dní až 3 roky a pokutou od 251 do 750 000 EUR alebo jedným z týchto trestov.</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rPr>
        <w:t xml:space="preserve">Rovnaké sankcie sa uplatnia v prípade prekážok alebo nedodržania administratívnych opatrení prijatých podľa článku 13.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rPr>
        <w:t>Článok 17. Administratívne pokuty</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rPr>
        <w:t>V prípade porušenia článku 4 ods. 4 a článku 6 ods. 2 môže minister uložiť administratívnu pokutu vo výške 250 až 10 000 EUR.</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rPr>
        <w:t xml:space="preserve">Pokuty sú splatné do dvoch mesiacov od písomného oznámenia rozhodnutia.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rPr>
        <w:t>Administratívne pokuty vyberá príslušný daňový orgán. Vyberanie pokút prebieha ako v prípade registračných poplatkov.</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t>Článok 18. Odvolanie</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947817" w:rsidRDefault="007104F8" w:rsidP="007104F8">
      <w:pPr>
        <w:autoSpaceDE w:val="0"/>
        <w:autoSpaceDN w:val="0"/>
        <w:adjustRightInd w:val="0"/>
        <w:spacing w:after="0" w:line="240" w:lineRule="auto"/>
        <w:jc w:val="both"/>
        <w:rPr>
          <w:rFonts w:cs="TimesNewRoman"/>
          <w:spacing w:val="-4"/>
          <w:sz w:val="24"/>
          <w:szCs w:val="24"/>
        </w:rPr>
      </w:pPr>
      <w:r w:rsidRPr="00947817">
        <w:rPr>
          <w:spacing w:val="-4"/>
          <w:sz w:val="24"/>
        </w:rPr>
        <w:t xml:space="preserve">Proti rozhodnutiam prijatým na základe tohto zákona sa proti správnemu súdu podáva opravný prostriedok. Toto odvolanie musí byť podané do štyridsiatich dní od oznámenia rozhodnutia, inak zaniká.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t>Článok 19. Nadobudnutie účinnosti</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rPr>
        <w:t>Tento zákon nadobúda účinnosť 3. júla 2021.</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rPr>
        <w:t>Ustanovenia článku 6 ods. 1 však nenadobudnú účinnosť do 3. júla 2024 a ustanovenia článku 8 nadobudnú účinnosť 31. decembra 2026 s výnimkou plastových výrobkov na jedno použitie uvedených v časti E oddiele III prílohy, pre ktoré nadobúdajú účinnosť 5. januára 2023.</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947817">
      <w:pPr>
        <w:keepNext/>
        <w:keepLines/>
        <w:pageBreakBefore/>
        <w:autoSpaceDE w:val="0"/>
        <w:autoSpaceDN w:val="0"/>
        <w:adjustRightInd w:val="0"/>
        <w:spacing w:after="0" w:line="240" w:lineRule="auto"/>
        <w:jc w:val="center"/>
        <w:rPr>
          <w:rFonts w:cs="TimesNewRoman"/>
          <w:b/>
          <w:sz w:val="24"/>
          <w:szCs w:val="24"/>
        </w:rPr>
      </w:pPr>
      <w:r>
        <w:rPr>
          <w:b/>
          <w:sz w:val="24"/>
        </w:rPr>
        <w:lastRenderedPageBreak/>
        <w:t>Príloha</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rPr>
        <w:t>ČASŤ A</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Plastové výrobky na jedno použitie uvedené v článku 4 týkajúcom sa znižovania spotreby</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rPr>
        <w:t>1) Poháre na nápoje vrátane ich uzáverov a viečok;</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t>2) Nádoby na potraviny, t. j. nádoby, ako sú škatule, s uzáverom alebo bez uzáveru, používané na uchovávanie potravín, ktoré:</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sú určené na okamžitú spotrebu, buď na mieste, alebo so sebou,</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sa zvyčajne konzumujú v nádobe a</w:t>
      </w:r>
    </w:p>
    <w:p w14:paraId="3F279B9C"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 xml:space="preserve">c) sú pripravené na konzumáciu bez ďalšej prípravy, ako je varenie alebo zohriatie,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vrátane nádob na potraviny, ktoré sa používajú na rýchle občerstvenie alebo na iné jedlá určené na priamu spotrebu, s výnimkou nápojových nádob, tanierov, vreciek a obalov obsahujúcich potraviny.</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Časť B</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Plastové výrobky na jedno použitie uvedené v článku 5 o obmedzeniach uvádzania na trh</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rPr>
        <w:t>1) Plastové vatové tyčinky do uší, s výnimkou prípadov, na ktoré sa vzťahuje smernica Rady 90/385/EHS</w:t>
      </w:r>
      <w:r>
        <w:rPr>
          <w:rStyle w:val="FootnoteReference"/>
          <w:rFonts w:cs="TimesNewRoman"/>
          <w:sz w:val="24"/>
          <w:szCs w:val="24"/>
          <w:lang w:val="fr-LU" w:eastAsia="fr-BE"/>
        </w:rPr>
        <w:footnoteReference w:id="1"/>
      </w:r>
      <w:r>
        <w:rPr>
          <w:sz w:val="24"/>
        </w:rPr>
        <w:t xml:space="preserve"> alebo smernica Rady 93/42/EHS</w:t>
      </w:r>
      <w:r>
        <w:rPr>
          <w:rStyle w:val="FootnoteReference"/>
          <w:rFonts w:cs="TimesNewRoman"/>
          <w:sz w:val="24"/>
          <w:szCs w:val="24"/>
          <w:lang w:val="fr-LU" w:eastAsia="fr-BE"/>
        </w:rPr>
        <w:footnoteReference w:id="2"/>
      </w:r>
      <w:r>
        <w:rPr>
          <w:sz w:val="24"/>
        </w:rPr>
        <w:t>;</w:t>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rPr>
        <w:t>2) Príbory (vidličky, nože, lyžice, paličky);</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rPr>
        <w:t>3) Taniere;</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rPr>
        <w:t>4) Slamky, s výnimkou prípadov, na ktoré sa vzťahuje smernica 90/385/EHS alebo smernica 93/42/EHS;</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rPr>
        <w:t>5) Miešacie tyčinky na nápoje;</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rPr>
        <w:t>6) Paličky určené na pripevnenie k balónom a podopieranie balónov okrem balónov na priemyselné alebo iné profesionálne použitie a aplikácie, ktoré nie sú distribuované spotrebiteľom, vrátane mechanizmov takýchto paličiek;</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lastRenderedPageBreak/>
        <w:t>7) Nádoby na potraviny a nápoje z expandovaného polystyrénu, to znamená nádoby, ako sú škatule, s uzáverom alebo bez uzáveru, používané na uchovávanie potravín, ktoré:</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sú určené na okamžitú spotrebu, buď na mieste, alebo so sebou,</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sa zvyčajne konzumujú v nádobe a</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c) sú pripravené na konzumáciu bez ďalšej prípravy, ako je varenie alebo zohriatie,</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vrátane nádob na potraviny, ktoré sa používajú na rýchle občerstvenie alebo na iné jedlá určené na priamu spotrebu, s výnimkou nápojových nádob, tanierov, vreciek a obalov obsahujúcich potraviny;</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rPr>
        <w:t>8) Nádoby na nápoje z expandovaného polystyrénu vrátane ich uzáverov a viečok;</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rPr>
        <w:t>9) Poháre na nápoje z expandovaného polystyrénu vrátane ich uzáverov a viečok.</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rPr>
        <w:t>ČASŤ C</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Plastové výrobky na jedno použitie uvedené v článku 6 ods. 1 týkajúcom sa požiadaviek uplatniteľných na výrobky</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rPr>
        <w:t>Nápojové obaly s kapacitou najviac tri litre, t. j. nádoby na tekutiny, ako sú napríklad nápojové fľaše vrátane ich uzáverov a viečok a kompozitné nápojové obaly vrátane ich uzáverov a viečok, nie však:</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sklenené alebo kovové nápojové obaly s plastovými uzávermi a viečkami,</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b) nápojové obaly určené a používané na potraviny na osobitné lekárske účely v tekutej forme v zmysle vymedzenia v článku 2 písm. g) nariadenia Európskeho parlamentu a Rady (EÚ) č. 609/2013</w:t>
      </w:r>
      <w:r>
        <w:rPr>
          <w:rStyle w:val="FootnoteReference"/>
          <w:rFonts w:cs="TimesNewRoman"/>
          <w:sz w:val="24"/>
          <w:szCs w:val="24"/>
          <w:lang w:val="fr-LU" w:eastAsia="fr-BE"/>
        </w:rPr>
        <w:footnoteReference w:id="3"/>
      </w:r>
      <w:r>
        <w:rPr>
          <w:sz w:val="24"/>
        </w:rPr>
        <w:t>.</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ČASŤ D</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Plastové výrobky na jedno použitie uvedené v článku 7 týkajúcom sa požiadaviek na označovanie</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rPr>
        <w:t>1) Hygienické vložky, tampóny a tampónové aplikátory;</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rPr>
        <w:t>2) Vlhčené utierky, t. j. vopred vlhčené utierky na osobnú starostlivosť a použitie v domácnosti;</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rPr>
        <w:t xml:space="preserve">3) Tabakové výrobky s filtrami a filtre predávané na použitie v kombinácii s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rPr>
        <w:t>tabakovými výrobkami;</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rPr>
        <w:t>4) Poháre na nápoje.</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ČASŤ E</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I. Plastové výrobky na jedno použitie uvedené v článku 8 týkajúcom sa rozšírenej zodpovednosti výrobcu</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t>1) Nádoby na potraviny, t. j. nádoby, ako sú škatule, s uzáverom alebo bez uzáveru, používané na uchovávanie potravín, ktoré:</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sú určené na okamžitú spotrebu, buď na mieste, alebo so sebou,</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sa zvyčajne konzumujú v nádobe a</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c) sú pripravené na konzumáciu bez ďalšej prípravy, ako je varenie alebo zohriatie,</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vrátane nádob na potraviny, ktoré sa používajú na rýchle občerstvenie alebo na iné jedlá určené na priamu spotrebu, s výnimkou nápojových nádob, tanierov, vreciek a obalov obsahujúcich potraviny;</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rPr>
        <w:t>2) Vrecká a obaly vyrobené z pružných materiálov obsahujúcich potraviny určené na okamžitú spotrebu vo vrecku alebo obale, bez ďalšej prípravy;</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rPr>
        <w:t>3) Nápojové obaly s kapacitou najviac tri litre, t. j. nádoby na tekutiny, ako sú napríklad nápojové fľaše vrátane ich uzáverov a viečok a kompozitné nápojové obaly vrátane ich uzáverov a viečok, nie však sklenené alebo kovové nápojové obaly s plastovými uzávermi a viečkami;</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rPr>
        <w:t>4) Poháre na nápoje vrátane ich uzáverov a viečok;</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rPr>
        <w:t>5) Ľahké plastové tašky definované v článku 3 bode 1c smernice 94/62/ES.</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rPr>
        <w:t>II. I. Plastové výrobky na jedno použitie uvedené v článku 8 ods. 3 týkajúcom sa rozšírenej zodpovednosti výrobcu</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Default="007104F8" w:rsidP="007104F8">
      <w:pPr>
        <w:autoSpaceDE w:val="0"/>
        <w:autoSpaceDN w:val="0"/>
        <w:adjustRightInd w:val="0"/>
        <w:spacing w:after="0" w:line="240" w:lineRule="auto"/>
        <w:rPr>
          <w:rFonts w:cs="TimesNewRoman"/>
          <w:sz w:val="24"/>
          <w:szCs w:val="24"/>
        </w:rPr>
      </w:pPr>
      <w:r>
        <w:rPr>
          <w:sz w:val="24"/>
        </w:rPr>
        <w:t>1) Vlhčené utierky, t. j. vopred vlhčené utierky na osobnú starostlivosť a použitie v domácnosti;</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rPr>
        <w:t>2) Balóny okrem balónov na priemyselné alebo iné profesionálne použitie a aplikácie, ktoré nie sú distribuované spotrebiteľom.</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rPr>
        <w:t>III. Ostatné plastové výrobky na jedno použitie uvedené v článku 8 ods. 3 týkajúcom sa rozšírenej zodpovednosti výrobcu</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rPr>
        <w:t>Tabakové výrobky s filtrami a filtre predávané na použitie v kombinácii s tabakovými výrobkami.</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lastRenderedPageBreak/>
        <w:t>ČASŤ F</w:t>
      </w:r>
    </w:p>
    <w:p w14:paraId="707C2C4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rPr>
        <w:t>Plastové výrobky na jedno použitie uvedené v článku 9 týkajúcom sa triedeného zberu a v článku 6 ods. 2 týkajúcom sa požiadaviek uplatniteľných na výrobky</w:t>
      </w:r>
    </w:p>
    <w:p w14:paraId="662CE3DB"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rPr>
        <w:t>Fľaše na nápoje s maximálnym objemom tri litre vrátane ich uzáverov a viečok, nie však:</w:t>
      </w:r>
    </w:p>
    <w:p w14:paraId="7F00F129"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rPr>
        <w:t>a) sklenené alebo kovové nápojové fľaše s plastovými uzávermi a viečkami;</w:t>
      </w:r>
    </w:p>
    <w:p w14:paraId="7DFFBF5A" w14:textId="77777777" w:rsidR="007104F8" w:rsidRDefault="007104F8" w:rsidP="007104F8">
      <w:pPr>
        <w:autoSpaceDE w:val="0"/>
        <w:autoSpaceDN w:val="0"/>
        <w:adjustRightInd w:val="0"/>
        <w:spacing w:after="0" w:line="240" w:lineRule="auto"/>
        <w:rPr>
          <w:rFonts w:cs="TimesNewRoman"/>
          <w:sz w:val="24"/>
          <w:szCs w:val="24"/>
        </w:rPr>
      </w:pPr>
      <w:r>
        <w:rPr>
          <w:sz w:val="24"/>
        </w:rPr>
        <w:t>b) nápojové fľaše určené a používané na potraviny na osobitné lekárske účely v tekutej forme v zmysle vymedzenia v článku 2 písm. g) nariadenia (EÚ) č. 609/2013.</w:t>
      </w:r>
    </w:p>
    <w:p w14:paraId="575CC8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ČASŤ G</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rPr>
        <w:t>Plastové výrobky na jedno použitie uvedené v článku 10 týkajúcom sa opatrení na zvyšovanie povedomia</w:t>
      </w:r>
    </w:p>
    <w:p w14:paraId="3CEDF162"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rPr>
        <w:t>1) Nádoby na potraviny, t. j. nádoby, ako sú škatule, s uzáverom alebo bez uzáveru, používané na uchovávanie potravín, ktoré:</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a) sú určené na okamžitú spotrebu, buď na mieste, alebo so sebou,</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b) sa zvyčajne konzumujú v nádobe a</w:t>
      </w:r>
    </w:p>
    <w:p w14:paraId="39DE0733"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c) sú pripravené na konzumáciu bez ďalšej prípravy, ako je varenie alebo zohriatie,</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vrátane nádob na potraviny, ktoré sa používajú na rýchle občerstvenie alebo na iné jedlá určené na priamu spotrebu, s výnimkou nápojových nádob, tanierov, vreciek a obalov obsahujúcich potraviny;</w:t>
      </w:r>
    </w:p>
    <w:p w14:paraId="0EC2383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rPr>
        <w:t>2) Vrecká a obaly vyrobené z pružných materiálov obsahujúcich potraviny určené na okamžitú spotrebu vo vrecku alebo obale, bez ďalšej prípravy;</w:t>
      </w:r>
    </w:p>
    <w:p w14:paraId="40A048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rPr>
        <w:t>3) Nápojové obaly s kapacitou najviac tri litre, t. j. nádoby na tekutiny, ako sú napríklad nápojové fľaše vrátane ich uzáverov a viečok a kompozitné nápojové obaly vrátane ich uzáverov a viečok, nie však sklenené alebo kovové nápojové obaly s plastovými uzávermi a viečkami;</w:t>
      </w:r>
    </w:p>
    <w:p w14:paraId="0A3DA94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rPr>
        <w:t>4) Poháre na nápoje vrátane ich uzáverov a viečok;</w:t>
      </w:r>
    </w:p>
    <w:p w14:paraId="7EC482E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53DDFA55" w14:textId="77777777" w:rsidR="007104F8" w:rsidRDefault="007104F8" w:rsidP="007104F8">
      <w:pPr>
        <w:autoSpaceDE w:val="0"/>
        <w:autoSpaceDN w:val="0"/>
        <w:adjustRightInd w:val="0"/>
        <w:spacing w:after="0" w:line="240" w:lineRule="auto"/>
        <w:rPr>
          <w:rFonts w:cs="TimesNewRoman"/>
          <w:sz w:val="24"/>
          <w:szCs w:val="24"/>
        </w:rPr>
      </w:pPr>
      <w:r>
        <w:rPr>
          <w:sz w:val="24"/>
        </w:rPr>
        <w:t>5) Tabakové výrobky s filtrami a filtre predávané na použitie v kombinácii s tabakovými výrobkami;</w:t>
      </w:r>
    </w:p>
    <w:p w14:paraId="05D96DD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156A3BA" w14:textId="77777777" w:rsidR="007104F8" w:rsidRDefault="007104F8" w:rsidP="00947817">
      <w:pPr>
        <w:keepNext/>
        <w:autoSpaceDE w:val="0"/>
        <w:autoSpaceDN w:val="0"/>
        <w:adjustRightInd w:val="0"/>
        <w:spacing w:after="0" w:line="240" w:lineRule="auto"/>
        <w:rPr>
          <w:rFonts w:cs="TimesNewRoman"/>
          <w:sz w:val="24"/>
          <w:szCs w:val="24"/>
        </w:rPr>
      </w:pPr>
      <w:r>
        <w:rPr>
          <w:sz w:val="24"/>
        </w:rPr>
        <w:lastRenderedPageBreak/>
        <w:t>6) Vlhčené utierky, t. j. vopred vlhčené utierky na osobnú starostlivosť a použitie v domácnosti;</w:t>
      </w:r>
    </w:p>
    <w:p w14:paraId="73D3BDE8" w14:textId="77777777" w:rsidR="007104F8" w:rsidRPr="004578C8" w:rsidRDefault="007104F8" w:rsidP="00947817">
      <w:pPr>
        <w:keepNext/>
        <w:autoSpaceDE w:val="0"/>
        <w:autoSpaceDN w:val="0"/>
        <w:adjustRightInd w:val="0"/>
        <w:spacing w:after="0" w:line="240" w:lineRule="auto"/>
        <w:rPr>
          <w:rFonts w:cs="TimesNewRoman"/>
          <w:sz w:val="24"/>
          <w:szCs w:val="24"/>
          <w:lang w:val="fr-LU" w:eastAsia="fr-BE"/>
        </w:rPr>
      </w:pPr>
    </w:p>
    <w:p w14:paraId="1D2954FC" w14:textId="77777777" w:rsidR="007104F8" w:rsidRDefault="007104F8" w:rsidP="00947817">
      <w:pPr>
        <w:keepNext/>
        <w:autoSpaceDE w:val="0"/>
        <w:autoSpaceDN w:val="0"/>
        <w:adjustRightInd w:val="0"/>
        <w:spacing w:after="0" w:line="240" w:lineRule="auto"/>
        <w:rPr>
          <w:rFonts w:cs="TimesNewRoman"/>
          <w:sz w:val="24"/>
          <w:szCs w:val="24"/>
        </w:rPr>
      </w:pPr>
      <w:r>
        <w:rPr>
          <w:sz w:val="24"/>
        </w:rPr>
        <w:t>7) Balóny okrem balónov na priemyselné alebo iné profesionálne použitie a aplikácie, ktoré nie sú distribuované spotrebiteľom;</w:t>
      </w:r>
    </w:p>
    <w:p w14:paraId="55AE158C" w14:textId="77777777" w:rsidR="007104F8" w:rsidRPr="004578C8" w:rsidRDefault="007104F8" w:rsidP="00947817">
      <w:pPr>
        <w:keepNext/>
        <w:autoSpaceDE w:val="0"/>
        <w:autoSpaceDN w:val="0"/>
        <w:adjustRightInd w:val="0"/>
        <w:spacing w:after="0" w:line="240" w:lineRule="auto"/>
        <w:rPr>
          <w:rFonts w:cs="TimesNewRoman"/>
          <w:sz w:val="24"/>
          <w:szCs w:val="24"/>
          <w:lang w:val="fr-LU" w:eastAsia="fr-BE"/>
        </w:rPr>
      </w:pPr>
    </w:p>
    <w:p w14:paraId="127D7913" w14:textId="77777777" w:rsidR="007104F8" w:rsidRDefault="007104F8" w:rsidP="00947817">
      <w:pPr>
        <w:keepNext/>
        <w:autoSpaceDE w:val="0"/>
        <w:autoSpaceDN w:val="0"/>
        <w:adjustRightInd w:val="0"/>
        <w:spacing w:after="0" w:line="240" w:lineRule="auto"/>
        <w:rPr>
          <w:rFonts w:cs="TimesNewRoman"/>
          <w:sz w:val="24"/>
          <w:szCs w:val="24"/>
        </w:rPr>
      </w:pPr>
      <w:r>
        <w:rPr>
          <w:sz w:val="24"/>
        </w:rPr>
        <w:t>8) Ľahké plastové tašky definované v článku 3 bode 1c smernice 94/62/ES;</w:t>
      </w:r>
    </w:p>
    <w:p w14:paraId="729A7FE0" w14:textId="77777777" w:rsidR="007104F8" w:rsidRPr="004578C8" w:rsidRDefault="007104F8" w:rsidP="00947817">
      <w:pPr>
        <w:keepNext/>
        <w:autoSpaceDE w:val="0"/>
        <w:autoSpaceDN w:val="0"/>
        <w:adjustRightInd w:val="0"/>
        <w:spacing w:after="0" w:line="240" w:lineRule="auto"/>
        <w:rPr>
          <w:rFonts w:cs="TimesNewRoman"/>
          <w:sz w:val="24"/>
          <w:szCs w:val="24"/>
          <w:lang w:val="fr-LU" w:eastAsia="fr-BE"/>
        </w:rPr>
      </w:pPr>
    </w:p>
    <w:p w14:paraId="2C28BA80" w14:textId="77777777" w:rsidR="007104F8" w:rsidRDefault="007104F8" w:rsidP="007104F8">
      <w:pPr>
        <w:autoSpaceDE w:val="0"/>
        <w:autoSpaceDN w:val="0"/>
        <w:adjustRightInd w:val="0"/>
        <w:spacing w:after="0" w:line="240" w:lineRule="auto"/>
        <w:rPr>
          <w:rFonts w:cs="TimesNewRoman"/>
          <w:sz w:val="24"/>
          <w:szCs w:val="24"/>
        </w:rPr>
      </w:pPr>
      <w:r>
        <w:rPr>
          <w:sz w:val="24"/>
        </w:rPr>
        <w:t>9) Hygienické vložky, tampóny a tampónové aplikátory.</w:t>
      </w:r>
    </w:p>
    <w:p w14:paraId="3187795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48062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21F64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CF25E1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910265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9CBCB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0086C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Smernica Rady 90/385/EHS z 20. júna 1990 o aproximácii právnych predpisov členských štátov o aktívnych implantovateľných zdravotníckych pomôckach (Ú. v. ES L 189, 20.7.1990, s. 17)</w:t>
      </w:r>
    </w:p>
  </w:footnote>
  <w:footnote w:id="2">
    <w:p w14:paraId="42EC3717" w14:textId="77777777" w:rsidR="007104F8" w:rsidRPr="006227D4" w:rsidRDefault="007104F8" w:rsidP="007104F8">
      <w:pPr>
        <w:pStyle w:val="FootnoteText"/>
      </w:pPr>
      <w:r>
        <w:rPr>
          <w:rStyle w:val="FootnoteReference"/>
        </w:rPr>
        <w:footnoteRef/>
      </w:r>
      <w:r>
        <w:t xml:space="preserve"> </w:t>
      </w:r>
      <w:r>
        <w:t xml:space="preserve">Smernica </w:t>
      </w:r>
      <w:r>
        <w:t>Rady 93/42/EHS zo 14. júna 1993 o zdravotníckych pomôckach (Ú. v. ES L 169, 12.7.1993, s. 1)</w:t>
      </w:r>
    </w:p>
  </w:footnote>
  <w:footnote w:id="3">
    <w:p w14:paraId="7B0A379B" w14:textId="77777777" w:rsidR="007104F8" w:rsidRPr="006227D4" w:rsidRDefault="007104F8" w:rsidP="007104F8">
      <w:pPr>
        <w:pStyle w:val="FootnoteText"/>
      </w:pPr>
      <w:r>
        <w:rPr>
          <w:rStyle w:val="FootnoteReference"/>
        </w:rPr>
        <w:footnoteRef/>
      </w:r>
      <w:r>
        <w:t xml:space="preserve"> </w:t>
      </w:r>
      <w:r>
        <w:t xml:space="preserve">Nariadenie </w:t>
      </w:r>
      <w:r>
        <w:t>Európskeho parlamentu a Rady (EÚ)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(Ú. v. EÚ L 181, 29.6.2013, s.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206537"/>
    <w:rsid w:val="00475004"/>
    <w:rsid w:val="007104F8"/>
    <w:rsid w:val="00947817"/>
    <w:rsid w:val="00A613C2"/>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sk-SK"/>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3</cp:revision>
  <dcterms:created xsi:type="dcterms:W3CDTF">2020-07-29T07:14:00Z</dcterms:created>
  <dcterms:modified xsi:type="dcterms:W3CDTF">2020-08-13T07:42:00Z</dcterms:modified>
</cp:coreProperties>
</file>