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B" w:rsidRPr="008A0E5C" w:rsidRDefault="0067340B" w:rsidP="0067340B">
      <w:pPr>
        <w:jc w:val="center"/>
        <w:textAlignment w:val="baseline"/>
        <w:rPr>
          <w:rFonts w:ascii="Courier New" w:hAnsi="Courier New"/>
        </w:rPr>
      </w:pPr>
      <w:r w:rsidRPr="008A0E5C">
        <w:rPr>
          <w:rFonts w:ascii="Courier New" w:hAnsi="Courier New"/>
        </w:rPr>
        <w:t>1. ------IND- 2018 0446 B-- RO- ------ 20180917 --- --- PROJET</w:t>
      </w:r>
    </w:p>
    <w:p w:rsidR="00216FE2" w:rsidRPr="008A0E5C"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8A0E5C" w:rsidTr="00216FE2">
        <w:trPr>
          <w:jc w:val="center"/>
        </w:trPr>
        <w:tc>
          <w:tcPr>
            <w:tcW w:w="9455" w:type="dxa"/>
          </w:tcPr>
          <w:p w:rsidR="00155940" w:rsidRPr="008A0E5C" w:rsidRDefault="00155940" w:rsidP="00216FE2">
            <w:pPr>
              <w:pStyle w:val="Heading2"/>
              <w:keepNext w:val="0"/>
              <w:rPr>
                <w:rFonts w:ascii="Garamond" w:hAnsi="Garamond"/>
                <w:sz w:val="22"/>
                <w:szCs w:val="22"/>
              </w:rPr>
            </w:pPr>
            <w:r w:rsidRPr="008A0E5C">
              <w:rPr>
                <w:rFonts w:ascii="Garamond" w:hAnsi="Garamond"/>
                <w:sz w:val="22"/>
                <w:szCs w:val="22"/>
              </w:rPr>
              <w:t>Regatul Belgiei</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r w:rsidRPr="008A0E5C">
              <w:rPr>
                <w:rFonts w:ascii="Garamond" w:hAnsi="Garamond"/>
                <w:sz w:val="22"/>
                <w:szCs w:val="22"/>
              </w:rPr>
              <w:t>_________</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 w:val="left" w:pos="3616"/>
                <w:tab w:val="left" w:pos="3899"/>
              </w:tabs>
              <w:jc w:val="center"/>
              <w:rPr>
                <w:rFonts w:ascii="Garamond" w:hAnsi="Garamond"/>
                <w:b/>
                <w:bCs/>
                <w:sz w:val="22"/>
                <w:szCs w:val="22"/>
              </w:rPr>
            </w:pPr>
            <w:r w:rsidRPr="008A0E5C">
              <w:rPr>
                <w:rFonts w:ascii="Garamond" w:hAnsi="Garamond"/>
                <w:b/>
                <w:bCs/>
                <w:sz w:val="22"/>
                <w:szCs w:val="22"/>
              </w:rPr>
              <w:t>SERVICIUL PUBLIC FEDERAL PENTRU SĂNĂTATE PUBLICĂ, SIGURANȚA LANȚULUI ALIMENTAR ȘI MEDIU</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bCs/>
                <w:sz w:val="22"/>
                <w:szCs w:val="22"/>
              </w:rPr>
            </w:pPr>
            <w:r w:rsidRPr="008A0E5C">
              <w:rPr>
                <w:rFonts w:ascii="Garamond" w:hAnsi="Garamond"/>
                <w:sz w:val="22"/>
                <w:szCs w:val="22"/>
              </w:rPr>
              <w:t>________________________</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b/>
                <w:bCs/>
                <w:sz w:val="22"/>
                <w:szCs w:val="22"/>
              </w:rPr>
            </w:pPr>
            <w:r w:rsidRPr="008A0E5C">
              <w:rPr>
                <w:rFonts w:ascii="Garamond" w:hAnsi="Garamond"/>
                <w:b/>
                <w:bCs/>
                <w:color w:val="000000"/>
                <w:sz w:val="22"/>
                <w:szCs w:val="22"/>
              </w:rPr>
              <w:t xml:space="preserve">Decret regal privind pachetul standardizat de țigarete, tutun de rulat și tutun pentru narghilea </w:t>
            </w:r>
          </w:p>
        </w:tc>
      </w:tr>
      <w:tr w:rsidR="00155940" w:rsidRPr="008A0E5C" w:rsidTr="00216FE2">
        <w:trPr>
          <w:jc w:val="center"/>
        </w:trPr>
        <w:tc>
          <w:tcPr>
            <w:tcW w:w="9455" w:type="dxa"/>
          </w:tcPr>
          <w:p w:rsidR="00155940" w:rsidRPr="008A0E5C" w:rsidRDefault="00155940" w:rsidP="00216FE2">
            <w:pPr>
              <w:rPr>
                <w:rFonts w:ascii="Garamond" w:hAnsi="Garamond"/>
                <w:b/>
                <w:sz w:val="22"/>
                <w:szCs w:val="22"/>
              </w:rPr>
            </w:pPr>
          </w:p>
        </w:tc>
      </w:tr>
      <w:tr w:rsidR="00155940" w:rsidRPr="008A0E5C" w:rsidTr="00216FE2">
        <w:trPr>
          <w:jc w:val="center"/>
        </w:trPr>
        <w:tc>
          <w:tcPr>
            <w:tcW w:w="9455" w:type="dxa"/>
          </w:tcPr>
          <w:p w:rsidR="00155940" w:rsidRPr="008A0E5C" w:rsidRDefault="00155940" w:rsidP="00216FE2">
            <w:pPr>
              <w:jc w:val="center"/>
              <w:rPr>
                <w:rFonts w:ascii="Garamond" w:hAnsi="Garamond"/>
                <w:b/>
                <w:bCs/>
                <w:sz w:val="22"/>
                <w:szCs w:val="22"/>
              </w:rPr>
            </w:pPr>
            <w:r w:rsidRPr="008A0E5C">
              <w:rPr>
                <w:rFonts w:ascii="Garamond" w:hAnsi="Garamond"/>
                <w:b/>
                <w:sz w:val="22"/>
                <w:szCs w:val="22"/>
              </w:rPr>
              <w:t>PHILIPPE, Regele belgienilor,</w:t>
            </w:r>
            <w:r w:rsidRPr="008A0E5C">
              <w:rPr>
                <w:rFonts w:ascii="Garamond" w:hAnsi="Garamond"/>
                <w:b/>
                <w:bCs/>
                <w:sz w:val="22"/>
                <w:szCs w:val="22"/>
              </w:rPr>
              <w:t xml:space="preserve"> </w:t>
            </w:r>
          </w:p>
        </w:tc>
      </w:tr>
      <w:tr w:rsidR="00155940" w:rsidRPr="008A0E5C" w:rsidTr="00216FE2">
        <w:trPr>
          <w:jc w:val="center"/>
        </w:trPr>
        <w:tc>
          <w:tcPr>
            <w:tcW w:w="9455" w:type="dxa"/>
          </w:tcPr>
          <w:p w:rsidR="00155940" w:rsidRPr="008A0E5C" w:rsidRDefault="00155940" w:rsidP="00216FE2">
            <w:pPr>
              <w:jc w:val="center"/>
              <w:rPr>
                <w:rFonts w:ascii="Garamond" w:hAnsi="Garamond"/>
                <w:bCs/>
                <w:sz w:val="22"/>
                <w:szCs w:val="22"/>
              </w:rPr>
            </w:pPr>
          </w:p>
        </w:tc>
      </w:tr>
      <w:tr w:rsidR="00155940" w:rsidRPr="008A0E5C" w:rsidTr="00216FE2">
        <w:trPr>
          <w:jc w:val="center"/>
        </w:trPr>
        <w:tc>
          <w:tcPr>
            <w:tcW w:w="9455" w:type="dxa"/>
          </w:tcPr>
          <w:p w:rsidR="00155940" w:rsidRPr="008A0E5C" w:rsidRDefault="00155940" w:rsidP="00216FE2">
            <w:pPr>
              <w:pStyle w:val="Footer"/>
              <w:tabs>
                <w:tab w:val="clear" w:pos="4536"/>
                <w:tab w:val="clear" w:pos="9072"/>
                <w:tab w:val="left" w:pos="355"/>
                <w:tab w:val="left" w:pos="2410"/>
              </w:tabs>
              <w:jc w:val="center"/>
              <w:rPr>
                <w:rFonts w:ascii="Garamond" w:hAnsi="Garamond"/>
                <w:sz w:val="22"/>
                <w:szCs w:val="22"/>
              </w:rPr>
            </w:pPr>
            <w:r w:rsidRPr="008A0E5C">
              <w:rPr>
                <w:rFonts w:ascii="Garamond" w:hAnsi="Garamond"/>
                <w:sz w:val="22"/>
                <w:szCs w:val="22"/>
              </w:rPr>
              <w:t>Salutări tuturor celor prezenți și celor ce vor veni.</w:t>
            </w:r>
          </w:p>
          <w:p w:rsidR="00155940" w:rsidRPr="008A0E5C"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8A0E5C" w:rsidRDefault="00155940" w:rsidP="00216FE2">
            <w:pPr>
              <w:pStyle w:val="Footer"/>
              <w:tabs>
                <w:tab w:val="clear" w:pos="4536"/>
                <w:tab w:val="clear" w:pos="9072"/>
                <w:tab w:val="left" w:pos="355"/>
                <w:tab w:val="left" w:pos="2410"/>
              </w:tabs>
              <w:jc w:val="both"/>
              <w:rPr>
                <w:rFonts w:ascii="Garamond" w:hAnsi="Garamond"/>
                <w:sz w:val="22"/>
                <w:szCs w:val="22"/>
              </w:rPr>
            </w:pPr>
          </w:p>
          <w:p w:rsidR="00155940" w:rsidRPr="008A0E5C" w:rsidRDefault="00155940" w:rsidP="00216FE2">
            <w:pPr>
              <w:pStyle w:val="Footer"/>
              <w:tabs>
                <w:tab w:val="clear" w:pos="4536"/>
                <w:tab w:val="clear" w:pos="9072"/>
                <w:tab w:val="left" w:pos="355"/>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ind w:firstLine="214"/>
              <w:rPr>
                <w:rFonts w:ascii="Garamond" w:hAnsi="Garamond"/>
                <w:sz w:val="22"/>
                <w:szCs w:val="22"/>
              </w:rPr>
            </w:pPr>
            <w:r w:rsidRPr="008A0E5C">
              <w:rPr>
                <w:rFonts w:ascii="Garamond" w:hAnsi="Garamond"/>
                <w:sz w:val="22"/>
                <w:szCs w:val="22"/>
              </w:rPr>
              <w:t>având în vedere Directiva 2014/40/CE din 3 aprilie 2014 a Parlamentului European și a Consiliului privind apropierea actelor cu putere de lege și a actelor administrative ale statelor membre în ceea ce privește fabricarea, prezentarea și vânzarea produselor din tutun și a produselor conexe și de abrogare a Directivei 2001/37/CE,</w:t>
            </w:r>
          </w:p>
        </w:tc>
      </w:tr>
      <w:tr w:rsidR="00155940" w:rsidRPr="008A0E5C" w:rsidTr="00216FE2">
        <w:trPr>
          <w:jc w:val="center"/>
        </w:trPr>
        <w:tc>
          <w:tcPr>
            <w:tcW w:w="9455" w:type="dxa"/>
          </w:tcPr>
          <w:p w:rsidR="00155940" w:rsidRPr="008A0E5C" w:rsidRDefault="00155940" w:rsidP="00216FE2">
            <w:pPr>
              <w:pStyle w:val="Heading1"/>
              <w:keepNext w:val="0"/>
              <w:jc w:val="left"/>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ind w:firstLine="214"/>
              <w:rPr>
                <w:rFonts w:ascii="Garamond" w:hAnsi="Garamond"/>
                <w:sz w:val="22"/>
                <w:szCs w:val="22"/>
              </w:rPr>
            </w:pPr>
            <w:r w:rsidRPr="008A0E5C">
              <w:rPr>
                <w:rFonts w:ascii="Garamond" w:hAnsi="Garamond"/>
                <w:iCs/>
                <w:sz w:val="22"/>
              </w:rPr>
              <w:t>având în vedere Legea din 24 ianuarie 1977 privind protecția sănătății consumatorilor în ceea ce privește produsele alimentare și alte produse, articolul 6 alineatul (1) litera (a), înlocuită prin Legea din 22 martie 1989 și articolul 7, alineatul (2a) punctul 5 introdus prin Legea din XXX,</w:t>
            </w: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ind w:firstLine="214"/>
              <w:rPr>
                <w:rFonts w:ascii="Garamond" w:hAnsi="Garamond"/>
                <w:sz w:val="22"/>
                <w:szCs w:val="22"/>
              </w:rPr>
            </w:pPr>
            <w:r w:rsidRPr="008A0E5C">
              <w:rPr>
                <w:rFonts w:ascii="Garamond" w:hAnsi="Garamond"/>
                <w:sz w:val="22"/>
                <w:szCs w:val="22"/>
              </w:rPr>
              <w:t>având în vedere avizul inspectorului de finanțe, acordat la data de xx,</w:t>
            </w:r>
          </w:p>
        </w:tc>
      </w:tr>
      <w:tr w:rsidR="00155940" w:rsidRPr="008A0E5C" w:rsidTr="00216FE2">
        <w:trPr>
          <w:jc w:val="center"/>
        </w:trPr>
        <w:tc>
          <w:tcPr>
            <w:tcW w:w="9455" w:type="dxa"/>
          </w:tcPr>
          <w:p w:rsidR="00155940" w:rsidRPr="008A0E5C" w:rsidRDefault="00155940" w:rsidP="00216FE2">
            <w:pPr>
              <w:tabs>
                <w:tab w:val="left" w:pos="567"/>
                <w:tab w:val="left" w:pos="2268"/>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ind w:firstLine="214"/>
              <w:rPr>
                <w:rFonts w:ascii="Garamond" w:hAnsi="Garamond"/>
                <w:b/>
                <w:bCs/>
                <w:sz w:val="22"/>
                <w:szCs w:val="22"/>
              </w:rPr>
            </w:pPr>
            <w:r w:rsidRPr="008A0E5C">
              <w:rPr>
                <w:rFonts w:ascii="Garamond" w:hAnsi="Garamond"/>
                <w:sz w:val="22"/>
                <w:szCs w:val="22"/>
              </w:rPr>
              <w:t>având în vedere avizul XXX al Consiliului de stat, exprimat la xx, în conformitate cu articolul 84 alineatul (1) primul paragraf punctul 2 din Legile Consiliului de stat coordonate la 12 ianuarie 1973,</w:t>
            </w: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Heading1"/>
              <w:keepNext w:val="0"/>
              <w:tabs>
                <w:tab w:val="clear" w:pos="567"/>
                <w:tab w:val="left" w:pos="355"/>
              </w:tabs>
              <w:ind w:firstLine="214"/>
              <w:rPr>
                <w:rFonts w:ascii="Garamond" w:hAnsi="Garamond"/>
                <w:sz w:val="22"/>
                <w:szCs w:val="22"/>
              </w:rPr>
            </w:pPr>
            <w:r w:rsidRPr="008A0E5C">
              <w:rPr>
                <w:rFonts w:ascii="Garamond" w:hAnsi="Garamond"/>
                <w:bCs/>
                <w:sz w:val="22"/>
                <w:szCs w:val="22"/>
              </w:rPr>
              <w:t>la propunerea ministrului economiei, a ministrului sănătății publice și a ministrului claselor mijlocii,</w:t>
            </w: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pStyle w:val="Footer"/>
              <w:tabs>
                <w:tab w:val="clear" w:pos="4536"/>
                <w:tab w:val="clear" w:pos="9072"/>
                <w:tab w:val="left" w:pos="355"/>
                <w:tab w:val="left" w:pos="567"/>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center"/>
              <w:rPr>
                <w:rFonts w:ascii="Garamond" w:hAnsi="Garamond"/>
                <w:sz w:val="22"/>
                <w:szCs w:val="22"/>
              </w:rPr>
            </w:pPr>
            <w:r w:rsidRPr="008A0E5C">
              <w:rPr>
                <w:rFonts w:ascii="Garamond" w:hAnsi="Garamond"/>
                <w:sz w:val="22"/>
                <w:szCs w:val="22"/>
              </w:rPr>
              <w:t>AM HOTĂRÂT ȘI HOTĂRÂM:</w:t>
            </w:r>
          </w:p>
        </w:tc>
      </w:tr>
      <w:tr w:rsidR="00155940" w:rsidRPr="008A0E5C" w:rsidTr="00216FE2">
        <w:trPr>
          <w:jc w:val="center"/>
        </w:trPr>
        <w:tc>
          <w:tcPr>
            <w:tcW w:w="9455" w:type="dxa"/>
          </w:tcPr>
          <w:p w:rsidR="00155940" w:rsidRPr="008A0E5C" w:rsidRDefault="00155940" w:rsidP="003E77DF">
            <w:pPr>
              <w:keepNext/>
              <w:tabs>
                <w:tab w:val="left" w:pos="567"/>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sz w:val="22"/>
                <w:szCs w:val="22"/>
              </w:rPr>
            </w:pPr>
            <w:r w:rsidRPr="008A0E5C">
              <w:rPr>
                <w:rFonts w:ascii="Garamond" w:hAnsi="Garamond"/>
                <w:b/>
                <w:sz w:val="24"/>
                <w:szCs w:val="24"/>
              </w:rPr>
              <w:t>Capitolul 1 – Domeniul de aplicare și definiții</w:t>
            </w:r>
          </w:p>
          <w:p w:rsidR="00155940" w:rsidRPr="008A0E5C" w:rsidRDefault="00155940" w:rsidP="003E77DF">
            <w:pPr>
              <w:keepNext/>
              <w:tabs>
                <w:tab w:val="left" w:pos="567"/>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keepNext/>
              <w:tabs>
                <w:tab w:val="left" w:pos="567"/>
                <w:tab w:val="left" w:pos="2410"/>
              </w:tabs>
              <w:rPr>
                <w:rFonts w:ascii="Garamond" w:hAnsi="Garamond"/>
                <w:sz w:val="22"/>
                <w:szCs w:val="22"/>
              </w:rPr>
            </w:pPr>
            <w:r w:rsidRPr="008A0E5C">
              <w:rPr>
                <w:rFonts w:ascii="Garamond" w:hAnsi="Garamond"/>
                <w:b/>
                <w:sz w:val="24"/>
                <w:szCs w:val="24"/>
              </w:rPr>
              <w:t>Secțiunea 1 – Domeniul de aplicare</w:t>
            </w:r>
          </w:p>
        </w:tc>
      </w:tr>
      <w:tr w:rsidR="00155940" w:rsidRPr="008A0E5C" w:rsidTr="00216FE2">
        <w:trPr>
          <w:jc w:val="center"/>
        </w:trPr>
        <w:tc>
          <w:tcPr>
            <w:tcW w:w="9455" w:type="dxa"/>
          </w:tcPr>
          <w:p w:rsidR="00155940" w:rsidRPr="008A0E5C" w:rsidRDefault="00155940" w:rsidP="00216FE2">
            <w:pPr>
              <w:tabs>
                <w:tab w:val="left" w:pos="567"/>
                <w:tab w:val="left" w:pos="2410"/>
              </w:tabs>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tabs>
                <w:tab w:val="left" w:pos="2410"/>
              </w:tabs>
              <w:jc w:val="both"/>
              <w:rPr>
                <w:rFonts w:ascii="Garamond" w:hAnsi="Garamond"/>
                <w:b/>
                <w:sz w:val="22"/>
                <w:szCs w:val="22"/>
              </w:rPr>
            </w:pPr>
            <w:r w:rsidRPr="008A0E5C">
              <w:rPr>
                <w:rFonts w:ascii="Garamond" w:hAnsi="Garamond"/>
                <w:b/>
                <w:sz w:val="22"/>
                <w:szCs w:val="22"/>
              </w:rPr>
              <w:t xml:space="preserve">Articolul 1 </w:t>
            </w:r>
            <w:r w:rsidRPr="008A0E5C">
              <w:rPr>
                <w:rFonts w:ascii="Garamond" w:hAnsi="Garamond"/>
                <w:sz w:val="22"/>
                <w:szCs w:val="22"/>
              </w:rPr>
              <w:t>Prezentul decret se aplică în cazul țigaretelor, tutunului de rulat și tutunului pentru narghilea, tuburilor pentru țigarete, hârtiei pentru țigarete și hârtiei pentru tutunul de rulat și definește culoarea, precum și elementele care apar pe ambalajele produselor menționate.</w:t>
            </w:r>
          </w:p>
        </w:tc>
      </w:tr>
      <w:tr w:rsidR="00155940" w:rsidRPr="008A0E5C" w:rsidTr="00216FE2">
        <w:trPr>
          <w:jc w:val="center"/>
        </w:trPr>
        <w:tc>
          <w:tcPr>
            <w:tcW w:w="9455" w:type="dxa"/>
          </w:tcPr>
          <w:p w:rsidR="00155940" w:rsidRPr="008A0E5C" w:rsidRDefault="00155940" w:rsidP="00216FE2">
            <w:pPr>
              <w:tabs>
                <w:tab w:val="left" w:pos="567"/>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3E77DF">
            <w:pPr>
              <w:keepNext/>
              <w:tabs>
                <w:tab w:val="left" w:pos="2410"/>
              </w:tabs>
              <w:jc w:val="both"/>
              <w:rPr>
                <w:rFonts w:ascii="Garamond" w:hAnsi="Garamond"/>
                <w:sz w:val="22"/>
                <w:szCs w:val="22"/>
              </w:rPr>
            </w:pPr>
            <w:r w:rsidRPr="008A0E5C">
              <w:rPr>
                <w:rFonts w:ascii="Garamond" w:hAnsi="Garamond"/>
                <w:b/>
                <w:sz w:val="24"/>
                <w:szCs w:val="24"/>
              </w:rPr>
              <w:lastRenderedPageBreak/>
              <w:t>Secțiunea 2 – Definiții</w:t>
            </w:r>
          </w:p>
        </w:tc>
      </w:tr>
      <w:tr w:rsidR="00155940" w:rsidRPr="008A0E5C" w:rsidTr="00216FE2">
        <w:trPr>
          <w:jc w:val="center"/>
        </w:trPr>
        <w:tc>
          <w:tcPr>
            <w:tcW w:w="9455" w:type="dxa"/>
          </w:tcPr>
          <w:p w:rsidR="00155940" w:rsidRPr="008A0E5C" w:rsidRDefault="00155940" w:rsidP="003E77DF">
            <w:pPr>
              <w:keepNext/>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r w:rsidRPr="008A0E5C">
              <w:rPr>
                <w:rFonts w:ascii="Garamond" w:hAnsi="Garamond"/>
                <w:b/>
                <w:sz w:val="22"/>
                <w:szCs w:val="22"/>
              </w:rPr>
              <w:t>Articolul 2</w:t>
            </w:r>
            <w:r w:rsidRPr="008A0E5C">
              <w:rPr>
                <w:rFonts w:ascii="Garamond" w:hAnsi="Garamond"/>
                <w:color w:val="000000"/>
                <w:sz w:val="22"/>
                <w:szCs w:val="22"/>
              </w:rPr>
              <w:t xml:space="preserve"> În sensul prezentului decret, se aplică următoarele definiții:</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1. „tutun” înseamnă frunze și alte părți naturale, prelucrate sau neprelucrate, ale plantelor de tutun, inclusiv tutun expandat și reconstituit;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2. „produse din tutun” înseamnă produse care pot fi consumate și care constau, chiar și parțial, în tutun, indiferent dacă este sau nu modificat genetic;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3. „tutun de rulat” înseamnă tutun care poate fi utilizat pentru confecționarea de țigarete de către consumatori sau la punctele de vânzare cu amănuntul;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4. „țigaretă” înseamnă un rulou din tutun care poate fi consumat prin intermediul unui proces de combustie și este definit în detaliu la articolul 5 din Legea din 3 aprilie 1997 privind regimul fiscal al tutunului prelucrat;</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5. „tutun pentru narghilea” înseamnă un produs din tutun care poate fi consumat prin intermediul unei narghilele. În sensul prezentului decret, se consideră că tutunul pentru narghilea este un produs din tutun pentru fumat. Dacă un produs poate fi utilizat atât pentru narghilea, cât și pentru rulat, se consideră că este tutun pentru rulat.</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6. „ambalaj exterior” înseamnă orice formă de ambalaj utilizată pentru introducerea pe piață a produselor din tutun și a produselor conexe și care include un pachet unitar sau o grupare de pachete unitare; foliile transparente nu sunt considerate ambalaj exterior;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7. „pachet unitar” înseamnă cel mai mic ambalaj individual al unui produs din tutun sau produs conex care este introdus pe piață;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8. „denumire comercială” înseamnă o combinație de maximum trei cuvinte care permite să se facă o distincție între produsele din tutun;</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9. „folie transparentă” înseamnă un ambalaj din celofan fără culoare și/sau fără niciun motiv sau alt element, denumit în continuare „folie”;</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10. „punct de vânzare cu amănuntul” înseamnă orice punct de vânzare prin care produsele din tutun sunt introduse pe piață, inclusiv de către o persoană fizică;</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11. „introducere pe piață” înseamnă punerea produselor, indiferent de locul lor de fabricare, la dispoziția consumatorilor din Uniune, cu sau fără plată, inclusiv prin vânzare la distanță; în cazul vânzărilor transfrontaliere la distanță, produsul este considerat ca fiind introdus pe piață în statul membru în care este situat consumatorul;</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3E77DF">
            <w:pPr>
              <w:tabs>
                <w:tab w:val="left" w:pos="355"/>
                <w:tab w:val="left" w:pos="2410"/>
              </w:tabs>
              <w:jc w:val="both"/>
              <w:rPr>
                <w:rFonts w:ascii="Garamond" w:hAnsi="Garamond"/>
                <w:b/>
                <w:sz w:val="24"/>
                <w:szCs w:val="24"/>
              </w:rPr>
            </w:pPr>
            <w:r w:rsidRPr="008A0E5C">
              <w:rPr>
                <w:rFonts w:ascii="Garamond" w:hAnsi="Garamond"/>
                <w:color w:val="000000"/>
                <w:sz w:val="22"/>
                <w:szCs w:val="22"/>
              </w:rPr>
              <w:t>12. „ministru” înseamnă ministrul sănătății publice</w:t>
            </w: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sz w:val="24"/>
                <w:szCs w:val="24"/>
              </w:rPr>
            </w:pPr>
            <w:r w:rsidRPr="008A0E5C">
              <w:rPr>
                <w:rFonts w:ascii="Garamond" w:hAnsi="Garamond"/>
                <w:b/>
                <w:color w:val="000000"/>
                <w:sz w:val="24"/>
                <w:szCs w:val="24"/>
              </w:rPr>
              <w:t>CAPITOLUL 2 – Aspectul și conținutul pachetelor unitare și ambalajelor exterioare ale țigaretelor, tutunului de rulat și tutunului pentru narghilea</w:t>
            </w:r>
          </w:p>
        </w:tc>
      </w:tr>
      <w:tr w:rsidR="00155940" w:rsidRPr="008A0E5C" w:rsidTr="00216FE2">
        <w:trPr>
          <w:jc w:val="center"/>
        </w:trPr>
        <w:tc>
          <w:tcPr>
            <w:tcW w:w="9455" w:type="dxa"/>
          </w:tcPr>
          <w:p w:rsidR="00155940" w:rsidRPr="008A0E5C" w:rsidRDefault="00155940" w:rsidP="003E77DF">
            <w:pPr>
              <w:keepNext/>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sz w:val="24"/>
                <w:szCs w:val="24"/>
              </w:rPr>
            </w:pPr>
            <w:r w:rsidRPr="008A0E5C">
              <w:rPr>
                <w:rFonts w:ascii="Garamond" w:hAnsi="Garamond"/>
                <w:b/>
                <w:color w:val="000000"/>
                <w:sz w:val="24"/>
                <w:szCs w:val="24"/>
              </w:rPr>
              <w:t>Secțiunea 1 – Relația cu Decretul regal din 5 februarie 2016</w:t>
            </w:r>
          </w:p>
        </w:tc>
      </w:tr>
      <w:tr w:rsidR="00155940" w:rsidRPr="008A0E5C" w:rsidTr="00216FE2">
        <w:trPr>
          <w:jc w:val="center"/>
        </w:trPr>
        <w:tc>
          <w:tcPr>
            <w:tcW w:w="9455" w:type="dxa"/>
          </w:tcPr>
          <w:p w:rsidR="00155940" w:rsidRPr="008A0E5C" w:rsidRDefault="00155940" w:rsidP="003E77DF">
            <w:pPr>
              <w:keepNext/>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tabs>
                <w:tab w:val="left" w:pos="355"/>
                <w:tab w:val="left" w:pos="2410"/>
              </w:tabs>
              <w:jc w:val="both"/>
              <w:rPr>
                <w:rFonts w:ascii="Garamond" w:hAnsi="Garamond"/>
                <w:b/>
                <w:sz w:val="24"/>
                <w:szCs w:val="24"/>
              </w:rPr>
            </w:pPr>
            <w:r w:rsidRPr="008A0E5C">
              <w:rPr>
                <w:rFonts w:ascii="Garamond" w:hAnsi="Garamond"/>
                <w:b/>
                <w:color w:val="000000"/>
                <w:sz w:val="22"/>
                <w:szCs w:val="22"/>
              </w:rPr>
              <w:t xml:space="preserve">Articolul 3 </w:t>
            </w:r>
            <w:r w:rsidRPr="008A0E5C">
              <w:rPr>
                <w:rFonts w:ascii="Garamond" w:hAnsi="Garamond"/>
                <w:color w:val="000000"/>
                <w:sz w:val="22"/>
                <w:szCs w:val="22"/>
              </w:rPr>
              <w:t>Pachetele unitare și ambalajele exterioare respectă dispozițiile Decretului regal din 5 februarie 2016 privind fabricarea și comercializarea de produse din tutun.</w:t>
            </w: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sz w:val="24"/>
                <w:szCs w:val="24"/>
              </w:rPr>
            </w:pPr>
            <w:r w:rsidRPr="008A0E5C">
              <w:rPr>
                <w:rFonts w:ascii="Garamond" w:hAnsi="Garamond"/>
                <w:b/>
                <w:color w:val="000000"/>
                <w:sz w:val="24"/>
                <w:szCs w:val="24"/>
              </w:rPr>
              <w:lastRenderedPageBreak/>
              <w:t>Capitolul 2 – Dispoziții generale</w:t>
            </w:r>
          </w:p>
        </w:tc>
      </w:tr>
      <w:tr w:rsidR="00155940" w:rsidRPr="008A0E5C" w:rsidTr="00216FE2">
        <w:trPr>
          <w:jc w:val="center"/>
        </w:trPr>
        <w:tc>
          <w:tcPr>
            <w:tcW w:w="9455" w:type="dxa"/>
          </w:tcPr>
          <w:p w:rsidR="00155940" w:rsidRPr="008A0E5C" w:rsidRDefault="00155940" w:rsidP="003E77DF">
            <w:pPr>
              <w:keepNext/>
              <w:tabs>
                <w:tab w:val="left" w:pos="2410"/>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4B71B0">
              <w:rPr>
                <w:rFonts w:ascii="Garamond" w:hAnsi="Garamond"/>
                <w:b/>
                <w:color w:val="000000"/>
                <w:sz w:val="22"/>
                <w:szCs w:val="22"/>
              </w:rPr>
              <w:t>Articolul 4</w:t>
            </w:r>
            <w:r w:rsidRPr="008A0E5C">
              <w:rPr>
                <w:rFonts w:ascii="Garamond" w:hAnsi="Garamond"/>
                <w:color w:val="000000"/>
                <w:sz w:val="22"/>
                <w:szCs w:val="22"/>
              </w:rPr>
              <w:t xml:space="preserve"> (1) Pachetele unitare și ambalajele exterioare au o singură culoare. Producătorul poate alege, pentru interiorul pachetelor unitare, între două culori.</w:t>
            </w:r>
          </w:p>
          <w:p w:rsidR="000A22E3" w:rsidRPr="008A0E5C" w:rsidRDefault="000A22E3" w:rsidP="00216FE2">
            <w:pPr>
              <w:tabs>
                <w:tab w:val="left" w:pos="355"/>
                <w:tab w:val="left" w:pos="2410"/>
              </w:tabs>
              <w:jc w:val="both"/>
              <w:rPr>
                <w:rFonts w:ascii="Garamond" w:hAnsi="Garamond"/>
                <w:color w:val="000000"/>
                <w:sz w:val="22"/>
                <w:szCs w:val="22"/>
              </w:rPr>
            </w:pPr>
          </w:p>
          <w:p w:rsidR="00155940" w:rsidRPr="008A0E5C" w:rsidRDefault="00155940" w:rsidP="003E77DF">
            <w:pPr>
              <w:tabs>
                <w:tab w:val="left" w:pos="355"/>
                <w:tab w:val="left" w:pos="2410"/>
              </w:tabs>
              <w:jc w:val="both"/>
              <w:rPr>
                <w:rFonts w:ascii="Garamond" w:hAnsi="Garamond"/>
                <w:b/>
                <w:sz w:val="24"/>
                <w:szCs w:val="24"/>
              </w:rPr>
            </w:pPr>
            <w:r w:rsidRPr="008A0E5C">
              <w:rPr>
                <w:rFonts w:ascii="Garamond" w:hAnsi="Garamond"/>
                <w:color w:val="000000"/>
                <w:sz w:val="22"/>
                <w:szCs w:val="22"/>
              </w:rPr>
              <w:t>(2) Ministrul stabilește culorile.</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4B71B0">
              <w:rPr>
                <w:rFonts w:ascii="Garamond" w:hAnsi="Garamond"/>
                <w:b/>
                <w:color w:val="000000"/>
                <w:sz w:val="22"/>
                <w:szCs w:val="22"/>
              </w:rPr>
              <w:t>Articolul 5</w:t>
            </w:r>
            <w:r w:rsidRPr="008A0E5C">
              <w:rPr>
                <w:rFonts w:ascii="Garamond" w:hAnsi="Garamond"/>
                <w:color w:val="000000"/>
                <w:sz w:val="22"/>
                <w:szCs w:val="22"/>
              </w:rPr>
              <w:t xml:space="preserve"> (1) Pe lângă produsul din tutun, pachetul unitar poate să conțină doar un înveliș care face parte din ambalaj.</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3E77DF">
            <w:pPr>
              <w:tabs>
                <w:tab w:val="left" w:pos="355"/>
                <w:tab w:val="left" w:pos="2410"/>
              </w:tabs>
              <w:jc w:val="both"/>
              <w:rPr>
                <w:rFonts w:ascii="Garamond" w:hAnsi="Garamond"/>
                <w:b/>
                <w:color w:val="000000"/>
                <w:sz w:val="22"/>
                <w:szCs w:val="22"/>
              </w:rPr>
            </w:pPr>
            <w:r w:rsidRPr="008A0E5C">
              <w:rPr>
                <w:rFonts w:ascii="Garamond" w:hAnsi="Garamond"/>
                <w:color w:val="000000"/>
                <w:sz w:val="22"/>
                <w:szCs w:val="22"/>
              </w:rPr>
              <w:t>(2) Ministrul stabilește culoarea și caracteristicile învelișului.</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4B71B0">
              <w:rPr>
                <w:rFonts w:ascii="Garamond" w:hAnsi="Garamond"/>
                <w:b/>
                <w:color w:val="000000"/>
                <w:sz w:val="22"/>
                <w:szCs w:val="22"/>
              </w:rPr>
              <w:t>Articolul 6</w:t>
            </w:r>
            <w:r w:rsidRPr="008A0E5C">
              <w:rPr>
                <w:rFonts w:ascii="Garamond" w:hAnsi="Garamond"/>
                <w:color w:val="000000"/>
                <w:sz w:val="22"/>
                <w:szCs w:val="22"/>
              </w:rPr>
              <w:t xml:space="preserve"> (1) Se interzice orice tehnică menită să aducă atingere neutralității și uniformității pachetelor unitare, ambalajelor exterioare sau foliilor, în special cele menite să confere acestora caracteristici auditive, olfactive sau vizuale specifice.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Ministrul poate să stabilească o listă cu principalele tehnici interzise.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3E77DF">
            <w:pPr>
              <w:tabs>
                <w:tab w:val="left" w:pos="355"/>
                <w:tab w:val="left" w:pos="2410"/>
              </w:tabs>
              <w:jc w:val="both"/>
              <w:rPr>
                <w:rFonts w:ascii="Garamond" w:hAnsi="Garamond"/>
                <w:b/>
                <w:color w:val="000000"/>
                <w:sz w:val="22"/>
                <w:szCs w:val="22"/>
              </w:rPr>
            </w:pPr>
            <w:r w:rsidRPr="008A0E5C">
              <w:rPr>
                <w:rFonts w:ascii="Garamond" w:hAnsi="Garamond"/>
                <w:color w:val="000000"/>
                <w:sz w:val="22"/>
                <w:szCs w:val="22"/>
              </w:rPr>
              <w:t>(2) Se interzice, de asemenea, orice inserție sau alt element în interiorul pachetelor unitare, ambalajelor exterioare și foliilor.</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b/>
                <w:color w:val="000000"/>
                <w:sz w:val="22"/>
                <w:szCs w:val="22"/>
              </w:rPr>
              <w:t xml:space="preserve">Articolul 7 </w:t>
            </w:r>
            <w:r w:rsidRPr="008A0E5C">
              <w:rPr>
                <w:rFonts w:ascii="Garamond" w:hAnsi="Garamond"/>
                <w:color w:val="000000"/>
                <w:sz w:val="22"/>
                <w:szCs w:val="22"/>
              </w:rPr>
              <w:t xml:space="preserve">(1) Hârtia țigaretelor, tuburilor de țigarete și pentru tutunul de rulat are o singură culoare. Producătorul poate alege, pentru învelișul filtrului, între două culori.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b/>
                <w:color w:val="000000"/>
                <w:sz w:val="22"/>
                <w:szCs w:val="22"/>
              </w:rPr>
            </w:pPr>
            <w:r w:rsidRPr="008A0E5C">
              <w:rPr>
                <w:rFonts w:ascii="Garamond" w:hAnsi="Garamond"/>
                <w:color w:val="000000"/>
                <w:sz w:val="22"/>
                <w:szCs w:val="22"/>
              </w:rPr>
              <w:t>(2) Ministrul stabilește culorile menționate la alineatul (1).</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4B71B0">
              <w:rPr>
                <w:rFonts w:ascii="Garamond" w:hAnsi="Garamond"/>
                <w:b/>
                <w:color w:val="000000"/>
                <w:sz w:val="22"/>
                <w:szCs w:val="22"/>
              </w:rPr>
              <w:t>Articolul 8</w:t>
            </w:r>
            <w:r w:rsidRPr="008A0E5C">
              <w:rPr>
                <w:rFonts w:ascii="Garamond" w:hAnsi="Garamond"/>
                <w:color w:val="000000"/>
                <w:sz w:val="22"/>
                <w:szCs w:val="22"/>
              </w:rPr>
              <w:t xml:space="preserve"> (1) Suprafețele exterioare și interioare ale pachetelor unitare, ale ambalajelor exterioare și ale foliilor sunt netede și, în cazul pachetelor unitare sau ambalajelor exterioare în formă de paralelipiped, sunt netede și plate.</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3E77DF">
            <w:pPr>
              <w:tabs>
                <w:tab w:val="left" w:pos="355"/>
                <w:tab w:val="left" w:pos="2410"/>
              </w:tabs>
              <w:jc w:val="both"/>
              <w:rPr>
                <w:rFonts w:ascii="Garamond" w:hAnsi="Garamond"/>
                <w:b/>
                <w:color w:val="000000"/>
                <w:sz w:val="22"/>
                <w:szCs w:val="22"/>
              </w:rPr>
            </w:pPr>
            <w:r w:rsidRPr="008A0E5C">
              <w:rPr>
                <w:rFonts w:ascii="Garamond" w:hAnsi="Garamond"/>
                <w:color w:val="000000"/>
                <w:sz w:val="22"/>
                <w:szCs w:val="22"/>
              </w:rPr>
              <w:t>(2) Ministrul poate să stabilească caracteristici suplimentare ale suprafețelor menționate la alineatul (1).</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r w:rsidRPr="008A0E5C">
              <w:rPr>
                <w:rFonts w:ascii="Garamond" w:hAnsi="Garamond"/>
                <w:b/>
                <w:color w:val="000000"/>
                <w:sz w:val="24"/>
                <w:szCs w:val="24"/>
              </w:rPr>
              <w:t>Secțiunea 3 – Pachete unitare de tutun de rulat</w:t>
            </w: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b/>
                <w:color w:val="000000"/>
                <w:sz w:val="22"/>
                <w:szCs w:val="22"/>
              </w:rPr>
              <w:t xml:space="preserve">Articolul 9 </w:t>
            </w:r>
            <w:r w:rsidRPr="008A0E5C">
              <w:rPr>
                <w:rFonts w:ascii="Garamond" w:hAnsi="Garamond"/>
                <w:color w:val="000000"/>
                <w:sz w:val="22"/>
                <w:szCs w:val="22"/>
              </w:rPr>
              <w:t xml:space="preserve">(1) Atunci când pachetul unitar de tutunul de rulat are o limbă care facilitează deschiderea lui, limba: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1. nu prezintă niciun marcaj;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2. este transparentă și incoloră.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(2) Prin derogare de la alineatul (1), sunt autorizate caracteristicile strict necesare pentru fixarea cilindrului sau în procesul de deschidere și închidere a pachetului unitar sau a ambalajului exterior.</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(3) Pachetul unitar de tutun de rulat de formă cilindrică sau paralelipipedică poate să conțină o folie de aluminiu de culoare argintie, fără nicio variație de ton sau nuanță și fără textură. Această folie face parte din ambalajul său interior. </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b/>
                <w:color w:val="000000"/>
                <w:sz w:val="22"/>
                <w:szCs w:val="22"/>
              </w:rPr>
            </w:pPr>
            <w:r w:rsidRPr="008A0E5C">
              <w:rPr>
                <w:rFonts w:ascii="Garamond" w:hAnsi="Garamond"/>
                <w:color w:val="000000"/>
                <w:sz w:val="22"/>
                <w:szCs w:val="22"/>
              </w:rPr>
              <w:t xml:space="preserve">(4) Ministrul poate să stabilească caracteristicile menționate la alineatul (2). </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r w:rsidRPr="008A0E5C">
              <w:rPr>
                <w:rFonts w:ascii="Garamond" w:hAnsi="Garamond"/>
                <w:b/>
                <w:color w:val="000000"/>
                <w:sz w:val="24"/>
                <w:szCs w:val="24"/>
              </w:rPr>
              <w:t>CAPITOLUL 3 – Mențiunile de pe pachetele unitare</w:t>
            </w: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r w:rsidRPr="004B71B0">
              <w:rPr>
                <w:rFonts w:ascii="Garamond" w:hAnsi="Garamond"/>
                <w:b/>
                <w:color w:val="000000"/>
                <w:sz w:val="22"/>
                <w:szCs w:val="22"/>
              </w:rPr>
              <w:t>Articolul 10</w:t>
            </w:r>
            <w:r w:rsidRPr="008A0E5C">
              <w:rPr>
                <w:rFonts w:ascii="Garamond" w:hAnsi="Garamond"/>
                <w:color w:val="000000"/>
                <w:sz w:val="22"/>
                <w:szCs w:val="22"/>
              </w:rPr>
              <w:t xml:space="preserve"> (1) Doar următoarele mențiuni sunt aplicate în mod lizibil și uniform pe un pachet unitar sau un ambalaj exterior: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1. numele denumirii comerciale;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lastRenderedPageBreak/>
              <w:t xml:space="preserve">2. numele, adresa poștală, adresa electronică și numărul de telefon al producătorului;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3. numărul de țigarete conținute sau informațiile privind greutatea în grame a tutunului de rulat sau a tutunului pentru narghilea;</w:t>
            </w:r>
            <w:bookmarkStart w:id="0" w:name="_GoBack"/>
            <w:bookmarkEnd w:id="0"/>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 xml:space="preserve">4. timbrul fiscal; </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5. avertismentele de sănătate prevăzute de Decretul regal din 5 februarie 2016 privind fabricarea și comercializarea de produse din tutun;</w:t>
            </w: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6. alte elemente obligatorii în conformitate cu articolele 15 și 16 din Directiva 2014/40/UE.</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(2) Pachetele unitare și ambalajele exterioare pot avea un cod de bare.</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(3) Denumirea comercială nu poate fi aplicată pe interiorul pachetului unitar, nici pe interiorul ambalajului exterior.</w:t>
            </w:r>
          </w:p>
          <w:p w:rsidR="00155940" w:rsidRPr="008A0E5C" w:rsidRDefault="00155940" w:rsidP="00216FE2">
            <w:pPr>
              <w:tabs>
                <w:tab w:val="left" w:pos="355"/>
                <w:tab w:val="left" w:pos="2410"/>
              </w:tabs>
              <w:jc w:val="both"/>
              <w:rPr>
                <w:rFonts w:ascii="Garamond" w:hAnsi="Garamond"/>
                <w:color w:val="000000"/>
                <w:sz w:val="22"/>
                <w:szCs w:val="22"/>
              </w:rPr>
            </w:pPr>
          </w:p>
          <w:p w:rsidR="00155940" w:rsidRPr="008A0E5C" w:rsidRDefault="00155940" w:rsidP="00216FE2">
            <w:pPr>
              <w:tabs>
                <w:tab w:val="left" w:pos="355"/>
                <w:tab w:val="left" w:pos="2410"/>
              </w:tabs>
              <w:jc w:val="both"/>
              <w:rPr>
                <w:rFonts w:ascii="Garamond" w:hAnsi="Garamond"/>
                <w:color w:val="000000"/>
                <w:sz w:val="22"/>
                <w:szCs w:val="22"/>
              </w:rPr>
            </w:pPr>
            <w:r w:rsidRPr="008A0E5C">
              <w:rPr>
                <w:rFonts w:ascii="Garamond" w:hAnsi="Garamond"/>
                <w:color w:val="000000"/>
                <w:sz w:val="22"/>
                <w:szCs w:val="22"/>
              </w:rPr>
              <w:t>(4) Ministrul stabilește locația, precum și modalitățile de tipărite a mențiunilor autorizate la alineatele (1) și (2), pe pachetele unitare sau ambalajele exterioare, precum și caracteristicile acestora.</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r w:rsidRPr="008A0E5C">
              <w:rPr>
                <w:rFonts w:ascii="Garamond" w:hAnsi="Garamond"/>
                <w:b/>
                <w:color w:val="000000"/>
                <w:sz w:val="24"/>
                <w:szCs w:val="24"/>
              </w:rPr>
              <w:t>CAPITOLUL 4 – Pachetele unitare de tuburi de țigarete sau hârtie pentru țigarete</w:t>
            </w:r>
          </w:p>
        </w:tc>
      </w:tr>
      <w:tr w:rsidR="00155940" w:rsidRPr="008A0E5C" w:rsidTr="00216FE2">
        <w:trPr>
          <w:jc w:val="center"/>
        </w:trPr>
        <w:tc>
          <w:tcPr>
            <w:tcW w:w="9455" w:type="dxa"/>
          </w:tcPr>
          <w:p w:rsidR="00155940" w:rsidRPr="008A0E5C" w:rsidRDefault="00155940" w:rsidP="003E77DF">
            <w:pPr>
              <w:keepNext/>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3E77DF">
            <w:pPr>
              <w:tabs>
                <w:tab w:val="left" w:pos="355"/>
                <w:tab w:val="left" w:pos="2410"/>
              </w:tabs>
              <w:jc w:val="both"/>
              <w:rPr>
                <w:rFonts w:ascii="Garamond" w:hAnsi="Garamond"/>
                <w:b/>
                <w:color w:val="000000"/>
                <w:sz w:val="22"/>
                <w:szCs w:val="22"/>
              </w:rPr>
            </w:pPr>
            <w:r w:rsidRPr="008A0E5C">
              <w:rPr>
                <w:rFonts w:ascii="Garamond" w:hAnsi="Garamond"/>
                <w:b/>
                <w:color w:val="000000"/>
                <w:sz w:val="22"/>
                <w:szCs w:val="22"/>
              </w:rPr>
              <w:t xml:space="preserve">Articolul 11 </w:t>
            </w:r>
            <w:r w:rsidRPr="008A0E5C">
              <w:rPr>
                <w:rFonts w:ascii="Garamond" w:hAnsi="Garamond"/>
                <w:color w:val="000000"/>
                <w:sz w:val="22"/>
                <w:szCs w:val="22"/>
              </w:rPr>
              <w:t xml:space="preserve">Articolele 4, 5, 6, 8 și articolul 10, alineatul (1) punctele 1 și 2, alineatele (2)-(4), se aplică în cazul pachetelor unitare care conțin tuburi de țigări, pachetelor unitare care conțin hârtie pentru tutun de rulat și al pachetelor unitare care conțin filtre atunci când denumirile lor comerciale își datorează notorietatea unui produs din tutun. </w:t>
            </w: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b/>
                <w:color w:val="000000"/>
                <w:sz w:val="22"/>
                <w:szCs w:val="22"/>
              </w:rPr>
            </w:pP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color w:val="000000"/>
                <w:sz w:val="22"/>
                <w:szCs w:val="22"/>
              </w:rPr>
            </w:pPr>
            <w:r w:rsidRPr="008A0E5C">
              <w:rPr>
                <w:rFonts w:ascii="Garamond" w:hAnsi="Garamond"/>
                <w:b/>
                <w:sz w:val="24"/>
                <w:szCs w:val="24"/>
              </w:rPr>
              <w:t>Capitolul 5 – Dispoziții finale</w:t>
            </w: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sz w:val="24"/>
                <w:szCs w:val="24"/>
              </w:rPr>
            </w:pP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sz w:val="24"/>
                <w:szCs w:val="24"/>
              </w:rPr>
            </w:pPr>
            <w:r w:rsidRPr="008A0E5C">
              <w:rPr>
                <w:rFonts w:ascii="Garamond" w:hAnsi="Garamond"/>
                <w:b/>
                <w:bCs/>
                <w:color w:val="000000"/>
                <w:sz w:val="24"/>
                <w:szCs w:val="24"/>
              </w:rPr>
              <w:t>Secțiunea 1 – Sancțiuni</w:t>
            </w: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bCs/>
                <w:color w:val="000000"/>
                <w:sz w:val="24"/>
                <w:szCs w:val="24"/>
              </w:rPr>
            </w:pP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Cs/>
                <w:color w:val="000000"/>
                <w:sz w:val="22"/>
                <w:szCs w:val="22"/>
              </w:rPr>
            </w:pPr>
            <w:r w:rsidRPr="004B71B0">
              <w:rPr>
                <w:rFonts w:ascii="Garamond" w:hAnsi="Garamond"/>
                <w:b/>
                <w:bCs/>
                <w:color w:val="000000"/>
                <w:sz w:val="22"/>
                <w:szCs w:val="22"/>
              </w:rPr>
              <w:t>Articolul 12</w:t>
            </w:r>
            <w:r w:rsidRPr="008A0E5C">
              <w:rPr>
                <w:rFonts w:ascii="Garamond" w:hAnsi="Garamond"/>
                <w:bCs/>
                <w:color w:val="000000"/>
                <w:sz w:val="22"/>
                <w:szCs w:val="22"/>
              </w:rPr>
              <w:t xml:space="preserve"> (1) Este interzisă introducerea pe piață a produselor care nu respectă dispozițiile prezentului decret. Se consideră că aceste produse sunt nocive în sensul articolului 18 din Legea 24 ianuarie 1977 privind protecția sănătății consumatorilor în ceea ce privește produsele alimentare și alte produse.</w:t>
            </w:r>
          </w:p>
          <w:p w:rsidR="00155940" w:rsidRPr="008A0E5C" w:rsidRDefault="00155940" w:rsidP="00216FE2">
            <w:pPr>
              <w:tabs>
                <w:tab w:val="left" w:pos="355"/>
                <w:tab w:val="left" w:pos="639"/>
              </w:tabs>
              <w:jc w:val="both"/>
              <w:rPr>
                <w:rFonts w:ascii="Garamond" w:hAnsi="Garamond"/>
                <w:bCs/>
                <w:color w:val="000000"/>
                <w:sz w:val="22"/>
                <w:szCs w:val="22"/>
              </w:rPr>
            </w:pPr>
          </w:p>
          <w:p w:rsidR="00155940" w:rsidRPr="008A0E5C" w:rsidRDefault="00155940" w:rsidP="003E77DF">
            <w:pPr>
              <w:tabs>
                <w:tab w:val="left" w:pos="355"/>
                <w:tab w:val="left" w:pos="639"/>
              </w:tabs>
              <w:jc w:val="both"/>
              <w:rPr>
                <w:rFonts w:ascii="Garamond" w:hAnsi="Garamond"/>
                <w:b/>
                <w:bCs/>
                <w:color w:val="000000"/>
                <w:sz w:val="24"/>
                <w:szCs w:val="24"/>
              </w:rPr>
            </w:pPr>
            <w:r w:rsidRPr="008A0E5C">
              <w:rPr>
                <w:rFonts w:ascii="Garamond" w:hAnsi="Garamond"/>
                <w:bCs/>
                <w:color w:val="000000"/>
                <w:sz w:val="22"/>
                <w:szCs w:val="22"/>
              </w:rPr>
              <w:t>(2) Încălcarea dispozițiilor prezentului decret este cercetată, constatată, investigată și pedepsită în conformitate cu dispozițiile Legii din 24 ianuarie 1977 sus-menționate.</w:t>
            </w: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
                <w:bCs/>
                <w:color w:val="000000"/>
                <w:sz w:val="24"/>
                <w:szCs w:val="24"/>
              </w:rPr>
            </w:pP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bCs/>
                <w:color w:val="000000"/>
                <w:sz w:val="24"/>
                <w:szCs w:val="24"/>
              </w:rPr>
            </w:pPr>
            <w:r w:rsidRPr="008A0E5C">
              <w:rPr>
                <w:rFonts w:ascii="Garamond" w:hAnsi="Garamond"/>
                <w:b/>
                <w:bCs/>
                <w:color w:val="000000"/>
                <w:sz w:val="24"/>
                <w:szCs w:val="24"/>
              </w:rPr>
              <w:t>Secțiunea 2 – Intrare în vigoare</w:t>
            </w: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bCs/>
                <w:color w:val="000000"/>
                <w:sz w:val="24"/>
                <w:szCs w:val="24"/>
              </w:rPr>
            </w:pP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
                <w:bCs/>
                <w:color w:val="000000"/>
                <w:sz w:val="24"/>
                <w:szCs w:val="24"/>
              </w:rPr>
            </w:pPr>
            <w:r w:rsidRPr="008A0E5C">
              <w:rPr>
                <w:rFonts w:ascii="Garamond" w:hAnsi="Garamond"/>
                <w:sz w:val="22"/>
              </w:rPr>
              <w:t xml:space="preserve">Articolul 13 Prezentul decret intră în vigoare la 1 ianuarie 2020, exceptând punctul de vânzare pentru care prezentul decret intră în vigoare la 1 ianuarie 2021. </w:t>
            </w: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
                <w:sz w:val="22"/>
              </w:rPr>
            </w:pP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sz w:val="22"/>
              </w:rPr>
            </w:pPr>
            <w:r w:rsidRPr="008A0E5C">
              <w:rPr>
                <w:rFonts w:ascii="Garamond" w:hAnsi="Garamond"/>
                <w:b/>
                <w:bCs/>
                <w:color w:val="000000"/>
                <w:sz w:val="24"/>
                <w:szCs w:val="24"/>
              </w:rPr>
              <w:t>Secțiunea 3 – Executare</w:t>
            </w:r>
          </w:p>
        </w:tc>
      </w:tr>
      <w:tr w:rsidR="00155940" w:rsidRPr="008A0E5C" w:rsidTr="00216FE2">
        <w:trPr>
          <w:jc w:val="center"/>
        </w:trPr>
        <w:tc>
          <w:tcPr>
            <w:tcW w:w="9455" w:type="dxa"/>
          </w:tcPr>
          <w:p w:rsidR="00155940" w:rsidRPr="008A0E5C" w:rsidRDefault="00155940" w:rsidP="003E77DF">
            <w:pPr>
              <w:keepNext/>
              <w:tabs>
                <w:tab w:val="left" w:pos="355"/>
                <w:tab w:val="left" w:pos="639"/>
              </w:tabs>
              <w:jc w:val="both"/>
              <w:rPr>
                <w:rFonts w:ascii="Garamond" w:hAnsi="Garamond"/>
                <w:b/>
                <w:sz w:val="22"/>
              </w:rPr>
            </w:pPr>
          </w:p>
        </w:tc>
      </w:tr>
      <w:tr w:rsidR="00155940" w:rsidRPr="008A0E5C" w:rsidTr="00216FE2">
        <w:trPr>
          <w:jc w:val="center"/>
        </w:trPr>
        <w:tc>
          <w:tcPr>
            <w:tcW w:w="9455" w:type="dxa"/>
          </w:tcPr>
          <w:p w:rsidR="00155940" w:rsidRPr="008A0E5C" w:rsidRDefault="00155940" w:rsidP="003E77DF">
            <w:pPr>
              <w:tabs>
                <w:tab w:val="left" w:pos="355"/>
                <w:tab w:val="left" w:pos="639"/>
              </w:tabs>
              <w:jc w:val="both"/>
              <w:rPr>
                <w:rFonts w:ascii="Garamond" w:hAnsi="Garamond"/>
                <w:b/>
                <w:sz w:val="22"/>
              </w:rPr>
            </w:pPr>
            <w:r w:rsidRPr="008A0E5C">
              <w:rPr>
                <w:rFonts w:ascii="Garamond" w:hAnsi="Garamond"/>
                <w:sz w:val="22"/>
              </w:rPr>
              <w:t>Articolul 14 Ministrul sănătății publice este însărcinat cu punerea în aplicare a prezentului decret.</w:t>
            </w: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
                <w:sz w:val="22"/>
              </w:rPr>
            </w:pPr>
          </w:p>
        </w:tc>
      </w:tr>
      <w:tr w:rsidR="00155940" w:rsidRPr="008A0E5C" w:rsidTr="00216FE2">
        <w:trPr>
          <w:jc w:val="center"/>
        </w:trPr>
        <w:tc>
          <w:tcPr>
            <w:tcW w:w="9455" w:type="dxa"/>
          </w:tcPr>
          <w:p w:rsidR="00155940" w:rsidRPr="008A0E5C" w:rsidRDefault="00155940" w:rsidP="00216FE2">
            <w:pPr>
              <w:tabs>
                <w:tab w:val="left" w:pos="355"/>
                <w:tab w:val="left" w:pos="639"/>
              </w:tabs>
              <w:jc w:val="both"/>
              <w:rPr>
                <w:rFonts w:ascii="Garamond" w:hAnsi="Garamond"/>
                <w:bCs/>
                <w:color w:val="000000"/>
                <w:sz w:val="22"/>
                <w:szCs w:val="22"/>
              </w:rPr>
            </w:pPr>
          </w:p>
          <w:p w:rsidR="00155940" w:rsidRPr="008A0E5C" w:rsidRDefault="00155940" w:rsidP="00216FE2">
            <w:pPr>
              <w:tabs>
                <w:tab w:val="left" w:pos="355"/>
                <w:tab w:val="left" w:pos="639"/>
              </w:tabs>
              <w:jc w:val="both"/>
              <w:rPr>
                <w:rFonts w:ascii="Garamond" w:hAnsi="Garamond"/>
                <w:b/>
                <w:bCs/>
                <w:sz w:val="22"/>
                <w:szCs w:val="22"/>
              </w:rPr>
            </w:pPr>
          </w:p>
        </w:tc>
      </w:tr>
      <w:tr w:rsidR="00155940" w:rsidRPr="008A0E5C" w:rsidTr="00216FE2">
        <w:trPr>
          <w:jc w:val="center"/>
        </w:trPr>
        <w:tc>
          <w:tcPr>
            <w:tcW w:w="9455" w:type="dxa"/>
          </w:tcPr>
          <w:p w:rsidR="00155940" w:rsidRPr="008A0E5C" w:rsidRDefault="00155940" w:rsidP="00216FE2">
            <w:pPr>
              <w:tabs>
                <w:tab w:val="left" w:pos="355"/>
                <w:tab w:val="left" w:pos="2410"/>
              </w:tabs>
              <w:jc w:val="both"/>
              <w:rPr>
                <w:rFonts w:ascii="Garamond" w:hAnsi="Garamond"/>
                <w:color w:val="000000"/>
                <w:sz w:val="22"/>
                <w:szCs w:val="22"/>
              </w:rPr>
            </w:pPr>
          </w:p>
        </w:tc>
      </w:tr>
      <w:tr w:rsidR="00155940" w:rsidRPr="008A0E5C" w:rsidTr="00216FE2">
        <w:trPr>
          <w:jc w:val="center"/>
        </w:trPr>
        <w:tc>
          <w:tcPr>
            <w:tcW w:w="9455" w:type="dxa"/>
          </w:tcPr>
          <w:p w:rsidR="00155940" w:rsidRPr="008A0E5C" w:rsidRDefault="00155940" w:rsidP="00216FE2">
            <w:pPr>
              <w:tabs>
                <w:tab w:val="left" w:pos="356"/>
                <w:tab w:val="left" w:pos="2410"/>
              </w:tabs>
              <w:jc w:val="both"/>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356"/>
                <w:tab w:val="left" w:pos="2410"/>
              </w:tabs>
              <w:jc w:val="both"/>
              <w:rPr>
                <w:rFonts w:ascii="Garamond" w:hAnsi="Garamond"/>
                <w:sz w:val="22"/>
                <w:szCs w:val="22"/>
              </w:rPr>
            </w:pPr>
            <w:r w:rsidRPr="008A0E5C">
              <w:rPr>
                <w:rFonts w:ascii="Garamond" w:hAnsi="Garamond"/>
                <w:sz w:val="22"/>
                <w:szCs w:val="22"/>
              </w:rPr>
              <w:t xml:space="preserve">     Data </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r w:rsidRPr="008A0E5C">
              <w:rPr>
                <w:rFonts w:ascii="Garamond" w:hAnsi="Garamond"/>
                <w:sz w:val="22"/>
                <w:szCs w:val="22"/>
              </w:rPr>
              <w:t>În numele Regelui:</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u w:val="single"/>
              </w:rPr>
            </w:pPr>
            <w:r w:rsidRPr="008A0E5C">
              <w:rPr>
                <w:rFonts w:ascii="Garamond" w:hAnsi="Garamond"/>
                <w:bCs/>
                <w:sz w:val="22"/>
                <w:szCs w:val="22"/>
              </w:rPr>
              <w:t>Ministrul Sănătății Publice,</w:t>
            </w: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r w:rsidRPr="008A0E5C">
              <w:rPr>
                <w:rFonts w:ascii="Garamond" w:hAnsi="Garamond"/>
                <w:sz w:val="22"/>
                <w:szCs w:val="22"/>
              </w:rPr>
              <w:t>Maggie DE BLOCK</w:t>
            </w:r>
          </w:p>
        </w:tc>
      </w:tr>
      <w:tr w:rsidR="00155940" w:rsidRPr="008A0E5C" w:rsidTr="00216FE2">
        <w:trPr>
          <w:jc w:val="center"/>
        </w:trPr>
        <w:tc>
          <w:tcPr>
            <w:tcW w:w="9455" w:type="dxa"/>
          </w:tcPr>
          <w:p w:rsidR="00155940" w:rsidRPr="008A0E5C" w:rsidRDefault="00155940" w:rsidP="00216FE2">
            <w:pPr>
              <w:tabs>
                <w:tab w:val="left" w:pos="2410"/>
              </w:tabs>
              <w:jc w:val="both"/>
              <w:rPr>
                <w:rFonts w:ascii="Garamond" w:hAnsi="Garamond"/>
                <w:sz w:val="22"/>
                <w:szCs w:val="22"/>
                <w:u w:val="single"/>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p w:rsidR="00155940" w:rsidRPr="008A0E5C" w:rsidRDefault="00155940" w:rsidP="00216FE2">
            <w:pPr>
              <w:tabs>
                <w:tab w:val="left" w:pos="2410"/>
              </w:tabs>
              <w:jc w:val="center"/>
              <w:rPr>
                <w:rFonts w:ascii="Garamond" w:hAnsi="Garamond" w:cs="Arial"/>
                <w:bCs/>
                <w:sz w:val="22"/>
                <w:szCs w:val="22"/>
              </w:rPr>
            </w:pPr>
          </w:p>
        </w:tc>
      </w:tr>
      <w:tr w:rsidR="00155940" w:rsidRPr="008A0E5C"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8A0E5C" w:rsidTr="002033ED">
              <w:trPr>
                <w:trHeight w:val="220"/>
                <w:jc w:val="center"/>
              </w:trPr>
              <w:tc>
                <w:tcPr>
                  <w:tcW w:w="9412" w:type="dxa"/>
                </w:tcPr>
                <w:p w:rsidR="00155940" w:rsidRPr="008A0E5C" w:rsidRDefault="00155940" w:rsidP="00216FE2">
                  <w:pPr>
                    <w:jc w:val="center"/>
                    <w:rPr>
                      <w:rFonts w:ascii="Garamond" w:hAnsi="Garamond"/>
                      <w:sz w:val="22"/>
                    </w:rPr>
                  </w:pPr>
                  <w:r w:rsidRPr="008A0E5C">
                    <w:rPr>
                      <w:rFonts w:ascii="Garamond" w:hAnsi="Garamond"/>
                      <w:sz w:val="22"/>
                    </w:rPr>
                    <w:t>Ministrul Economiei,</w:t>
                  </w:r>
                </w:p>
              </w:tc>
            </w:tr>
            <w:tr w:rsidR="00155940" w:rsidRPr="008A0E5C" w:rsidTr="002033ED">
              <w:trPr>
                <w:trHeight w:val="220"/>
                <w:jc w:val="center"/>
              </w:trPr>
              <w:tc>
                <w:tcPr>
                  <w:tcW w:w="9412" w:type="dxa"/>
                </w:tcPr>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p w:rsidR="00155940" w:rsidRPr="008A0E5C" w:rsidRDefault="00155940" w:rsidP="00216FE2">
                  <w:pPr>
                    <w:rPr>
                      <w:rFonts w:ascii="Garamond" w:hAnsi="Garamond"/>
                      <w:sz w:val="22"/>
                    </w:rPr>
                  </w:pPr>
                </w:p>
              </w:tc>
            </w:tr>
            <w:tr w:rsidR="00155940" w:rsidRPr="008A0E5C" w:rsidTr="002033ED">
              <w:trPr>
                <w:trHeight w:val="220"/>
                <w:jc w:val="center"/>
              </w:trPr>
              <w:tc>
                <w:tcPr>
                  <w:tcW w:w="9412" w:type="dxa"/>
                </w:tcPr>
                <w:p w:rsidR="00155940" w:rsidRPr="008A0E5C" w:rsidRDefault="00155940" w:rsidP="00216FE2">
                  <w:pPr>
                    <w:jc w:val="center"/>
                    <w:rPr>
                      <w:rFonts w:ascii="Garamond" w:hAnsi="Garamond"/>
                      <w:sz w:val="22"/>
                    </w:rPr>
                  </w:pPr>
                  <w:r w:rsidRPr="008A0E5C">
                    <w:rPr>
                      <w:rFonts w:ascii="Garamond" w:hAnsi="Garamond"/>
                      <w:sz w:val="22"/>
                    </w:rPr>
                    <w:t>Kris PEETERS</w:t>
                  </w: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jc w:val="center"/>
                    <w:rPr>
                      <w:rFonts w:ascii="Garamond" w:hAnsi="Garamond"/>
                      <w:sz w:val="22"/>
                    </w:rPr>
                  </w:pPr>
                </w:p>
                <w:p w:rsidR="00155940" w:rsidRPr="008A0E5C" w:rsidRDefault="00155940" w:rsidP="00216FE2">
                  <w:pPr>
                    <w:rPr>
                      <w:rFonts w:ascii="Garamond" w:hAnsi="Garamond"/>
                      <w:sz w:val="22"/>
                    </w:rPr>
                  </w:pPr>
                </w:p>
              </w:tc>
            </w:tr>
            <w:tr w:rsidR="00155940" w:rsidRPr="008A0E5C" w:rsidTr="002033ED">
              <w:trPr>
                <w:trHeight w:val="220"/>
                <w:jc w:val="center"/>
              </w:trPr>
              <w:tc>
                <w:tcPr>
                  <w:tcW w:w="9412" w:type="dxa"/>
                </w:tcPr>
                <w:p w:rsidR="00155940" w:rsidRPr="008A0E5C" w:rsidRDefault="00155940" w:rsidP="00216FE2">
                  <w:pPr>
                    <w:rPr>
                      <w:rFonts w:ascii="Garamond" w:hAnsi="Garamond"/>
                      <w:sz w:val="22"/>
                    </w:rPr>
                  </w:pPr>
                </w:p>
              </w:tc>
            </w:tr>
            <w:tr w:rsidR="00155940" w:rsidRPr="008A0E5C" w:rsidTr="002033ED">
              <w:trPr>
                <w:trHeight w:val="220"/>
                <w:jc w:val="center"/>
              </w:trPr>
              <w:tc>
                <w:tcPr>
                  <w:tcW w:w="9412" w:type="dxa"/>
                </w:tcPr>
                <w:p w:rsidR="00155940" w:rsidRPr="008A0E5C" w:rsidRDefault="00155940" w:rsidP="00216FE2">
                  <w:pPr>
                    <w:pStyle w:val="BodyText"/>
                    <w:jc w:val="center"/>
                    <w:rPr>
                      <w:rFonts w:ascii="Garamond" w:hAnsi="Garamond"/>
                    </w:rPr>
                  </w:pPr>
                  <w:r w:rsidRPr="008A0E5C">
                    <w:rPr>
                      <w:rFonts w:ascii="Garamond" w:hAnsi="Garamond"/>
                    </w:rPr>
                    <w:t>Ministrul Claselor Mijlocii,</w:t>
                  </w:r>
                </w:p>
              </w:tc>
            </w:tr>
            <w:tr w:rsidR="00155940" w:rsidRPr="008A0E5C" w:rsidTr="002033ED">
              <w:trPr>
                <w:trHeight w:val="220"/>
                <w:jc w:val="center"/>
              </w:trPr>
              <w:tc>
                <w:tcPr>
                  <w:tcW w:w="9412" w:type="dxa"/>
                </w:tcPr>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pStyle w:val="BodyText"/>
                    <w:jc w:val="left"/>
                    <w:rPr>
                      <w:rFonts w:ascii="Garamond" w:hAnsi="Garamond"/>
                    </w:rPr>
                  </w:pPr>
                </w:p>
                <w:p w:rsidR="00155940" w:rsidRPr="008A0E5C" w:rsidRDefault="00155940" w:rsidP="00216FE2">
                  <w:pPr>
                    <w:rPr>
                      <w:rFonts w:ascii="Garamond" w:hAnsi="Garamond"/>
                      <w:sz w:val="22"/>
                    </w:rPr>
                  </w:pPr>
                </w:p>
              </w:tc>
            </w:tr>
            <w:tr w:rsidR="00155940" w:rsidRPr="008A0E5C" w:rsidTr="002033ED">
              <w:trPr>
                <w:trHeight w:val="220"/>
                <w:jc w:val="center"/>
              </w:trPr>
              <w:tc>
                <w:tcPr>
                  <w:tcW w:w="9412" w:type="dxa"/>
                </w:tcPr>
                <w:p w:rsidR="00155940" w:rsidRPr="008A0E5C" w:rsidRDefault="00155940" w:rsidP="00216FE2">
                  <w:pPr>
                    <w:jc w:val="center"/>
                    <w:rPr>
                      <w:rFonts w:ascii="Garamond" w:hAnsi="Garamond"/>
                      <w:sz w:val="22"/>
                    </w:rPr>
                  </w:pPr>
                  <w:r w:rsidRPr="008A0E5C">
                    <w:rPr>
                      <w:rFonts w:ascii="Garamond" w:hAnsi="Garamond"/>
                      <w:sz w:val="22"/>
                    </w:rPr>
                    <w:t>Denis DUCARME</w:t>
                  </w:r>
                </w:p>
              </w:tc>
            </w:tr>
          </w:tbl>
          <w:p w:rsidR="00155940" w:rsidRPr="008A0E5C" w:rsidRDefault="00155940" w:rsidP="00216FE2">
            <w:pPr>
              <w:tabs>
                <w:tab w:val="left" w:pos="2410"/>
              </w:tabs>
              <w:jc w:val="center"/>
              <w:rPr>
                <w:rFonts w:ascii="Garamond" w:hAnsi="Garamond" w:cs="Arial"/>
                <w:bCs/>
                <w:sz w:val="22"/>
                <w:szCs w:val="22"/>
              </w:rPr>
            </w:pPr>
          </w:p>
        </w:tc>
      </w:tr>
    </w:tbl>
    <w:p w:rsidR="00762BEB" w:rsidRPr="008A0E5C" w:rsidRDefault="00762BEB"/>
    <w:sectPr w:rsidR="00762BEB" w:rsidRPr="008A0E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B2" w:rsidRDefault="004743B2" w:rsidP="007E4691">
      <w:r>
        <w:separator/>
      </w:r>
    </w:p>
  </w:endnote>
  <w:endnote w:type="continuationSeparator" w:id="0">
    <w:p w:rsidR="004743B2" w:rsidRDefault="004743B2"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B2" w:rsidRDefault="004743B2" w:rsidP="007E4691">
      <w:r>
        <w:separator/>
      </w:r>
    </w:p>
  </w:footnote>
  <w:footnote w:type="continuationSeparator" w:id="0">
    <w:p w:rsidR="004743B2" w:rsidRDefault="004743B2"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155940"/>
    <w:rsid w:val="00216FE2"/>
    <w:rsid w:val="003C2089"/>
    <w:rsid w:val="003E77DF"/>
    <w:rsid w:val="004743B2"/>
    <w:rsid w:val="004B71B0"/>
    <w:rsid w:val="00596223"/>
    <w:rsid w:val="0067340B"/>
    <w:rsid w:val="00762BEB"/>
    <w:rsid w:val="007E4691"/>
    <w:rsid w:val="008A0E5C"/>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8EB9A-D74F-41CE-949D-D6E50EC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ro-RO" w:eastAsia="nl-NL"/>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ro-RO" w:eastAsia="nl-NL"/>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ro-RO" w:eastAsia="nl-NL"/>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ro-RO" w:eastAsia="nl-NL"/>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ro-RO"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1428</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Ke, Tingting</cp:lastModifiedBy>
  <cp:revision>5</cp:revision>
  <dcterms:created xsi:type="dcterms:W3CDTF">2018-09-10T08:36:00Z</dcterms:created>
  <dcterms:modified xsi:type="dcterms:W3CDTF">2018-09-17T08:29:00Z</dcterms:modified>
</cp:coreProperties>
</file>