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 w:val="da-DK"/>
        </w:rPr>
      </w:pPr>
    </w:p>
    <w:p w:rsidR="00D55707" w:rsidRDefault="00C54586" w:rsidP="00D55707">
      <w:pPr>
        <w:pStyle w:val="PlainText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------IND- 2019 0600 D-</w:t>
      </w:r>
      <w:bookmarkStart w:id="0" w:name="_GoBack"/>
      <w:bookmarkEnd w:id="0"/>
      <w:r w:rsidR="00D55707">
        <w:rPr>
          <w:rFonts w:ascii="Courier New" w:hAnsi="Courier New"/>
          <w:sz w:val="20"/>
          <w:szCs w:val="20"/>
        </w:rPr>
        <w:t xml:space="preserve"> SK- ------ 20191209 --- --- PROJET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Krajinské nariadenie na zmenu krajinského nariadenia o prevencii prenosných chorôb (nariadenie o hygiene)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rFonts w:ascii="Arial" w:hAnsi="Arial"/>
          <w:color w:val="000000"/>
        </w:rPr>
        <w:br/>
        <w:t xml:space="preserve">z </w:t>
      </w:r>
      <w:r>
        <w:rPr>
          <w:rFonts w:ascii="Arial" w:hAnsi="Arial"/>
          <w:color w:val="000000"/>
        </w:rPr>
        <w:br/>
        <w:t xml:space="preserve"> </w:t>
      </w:r>
      <w:r>
        <w:rPr>
          <w:rFonts w:ascii="Arial" w:hAnsi="Arial"/>
          <w:color w:val="000000"/>
        </w:rPr>
        <w:br/>
        <w:t xml:space="preserve"> </w:t>
      </w:r>
    </w:p>
    <w:p w:rsidR="000A4C53" w:rsidRPr="00DD426A" w:rsidRDefault="000A4C53" w:rsidP="000A4C53">
      <w:pPr>
        <w:spacing w:before="100" w:beforeAutospacing="1" w:after="100" w:afterAutospacing="1"/>
        <w:rPr>
          <w:rFonts w:ascii="Arial" w:hAnsi="Arial" w:cs="Arial"/>
          <w:color w:val="000000"/>
          <w:spacing w:val="-2"/>
        </w:rPr>
      </w:pPr>
      <w:r w:rsidRPr="00DD426A">
        <w:rPr>
          <w:rFonts w:ascii="Arial" w:hAnsi="Arial"/>
          <w:color w:val="000000"/>
          <w:spacing w:val="-2"/>
        </w:rPr>
        <w:t xml:space="preserve">Na základe § 17 ods. 4 zákona o ochrane pred infekciami z 20. júla 2000 (Spolkový vestník I s. 1045), naposledy zmeneného článkom 18a nariadenia z 9. augusta 2019 (Spolkový vestník I s. 1202), v spojení s § 1 ods. 1 nariadenia o prenose oprávnení podľa zákona o ochrane pred infekciami z 22. februára 2001 (zákon a vestník Šlezvicko-Holštajnska – GVOBl Schl.-H. s. 35), názvami rezortov, ktoré boli naposledy nahradené článkom 21 nariadenia zo 16. januára 2019 (GVOBl. Schl.-H. s. 30), ministerstvo sociálnych vecí, zdravotníctva, mládeže, rodiny a seniorov nariaďuje: 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 1.</w:t>
      </w:r>
      <w:r>
        <w:rPr>
          <w:rFonts w:ascii="Arial" w:hAnsi="Arial"/>
          <w:color w:val="000000"/>
        </w:rPr>
        <w:tab/>
        <w:t xml:space="preserve">§ 3 odsek 1 bude znieť takto: </w:t>
      </w:r>
    </w:p>
    <w:p w:rsidR="000A4C53" w:rsidRDefault="0016494F" w:rsidP="00502122">
      <w:pPr>
        <w:spacing w:before="100" w:beforeAutospacing="1" w:after="100" w:afterAutospacing="1"/>
        <w:ind w:left="567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 „(1) Inventár vo všetkých priestoroch určených na diagnostiku a terapiu, v ktorých sa dá očakávať kontaminácia z telesných tekutín a iných patogénnych materiálov, sa musí dať čistiť mokrým procesom a musí byť dezinfikovateľný. Všetky používané dezinfekčné prostriedky musia byť vhodné a preukázane účinné na prevenciu infekcií v zdravotníckych zariadeniach. Účinnosť pre požadovaný rozsah účinku musí byť minimálne bakteriálna, levurocídna a obmedzená vírusová, prípadne tiež fungicídna, tuberkulocídna, mykobaktericídna a účinná proti bakteriálnym spóram. Musí byť preukázaná najmenej dvoma nezávislými posudkami s príslušnými správami o skúškach. Účinnosť sa považuje za potvrdenú, ak skúšky vykonali skúšobné laboratóriá nezávislé od výrobcu a správy o skúškach potvrdili nezávislí experti vo vedecky podloženom hodnotení. Skúšobné laboratóriá musia mať potrebnú spôsobilosť, ktorú možno preukázať napr. akreditáciou podľa normy DIN ISO EN 17025:2018-03 z marca 2018. Príslušná skúšobná metóda musí byť potvrdená napr. kruhovou skúškou, aby sa zohľadnila štatistická variabilita, ktorá zahŕňa počet najmenej dvoch požadovaných opakovaní testu. Skúšky vykonané v súlade s technickými špecifikáciami iného členského štátu Európskej únie alebo Turecka alebo iného zmluvného štátu Dohody o Európskom hospodárskom priestore sa považujú za rovnocenné, ak technické špecifikácie trvalo dosahujú rovnakú úroveň ochrany, aká sa vyžaduje podľa druhej vety.“</w:t>
      </w:r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2.</w:t>
      </w:r>
      <w:r>
        <w:rPr>
          <w:rFonts w:ascii="Arial" w:hAnsi="Arial"/>
          <w:color w:val="000000"/>
        </w:rPr>
        <w:tab/>
        <w:t>§ 5 bude znieť takto:</w:t>
      </w:r>
    </w:p>
    <w:p w:rsidR="000A4C53" w:rsidRPr="00E02ECA" w:rsidRDefault="009B287C" w:rsidP="00DD426A">
      <w:pPr>
        <w:pageBreakBefore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bookmarkStart w:id="1" w:name="6"/>
      <w:r>
        <w:rPr>
          <w:rFonts w:ascii="Arial" w:hAnsi="Arial"/>
          <w:color w:val="000000"/>
        </w:rPr>
        <w:lastRenderedPageBreak/>
        <w:t xml:space="preserve">„ </w:t>
      </w:r>
      <w:bookmarkStart w:id="2" w:name="7"/>
      <w:bookmarkEnd w:id="1"/>
      <w:r>
        <w:rPr>
          <w:rFonts w:ascii="Arial" w:hAnsi="Arial"/>
          <w:color w:val="000000"/>
        </w:rPr>
        <w:t>§ 5</w:t>
      </w:r>
      <w:r>
        <w:rPr>
          <w:rFonts w:ascii="Arial" w:hAnsi="Arial"/>
          <w:color w:val="000000"/>
        </w:rPr>
        <w:br/>
        <w:t xml:space="preserve">Porušovanie zákona </w:t>
      </w:r>
    </w:p>
    <w:p w:rsidR="000A4C53" w:rsidRPr="009B287C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(1) Protiprávne v zmysle § 73 ods. 1a bodu 6 zákona o ochrane pred infekciami koná ten, kto úmyselne alebo z nedbanlivosti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 rozpore s § 3 nevykonáva čistenie, dezinfekciu alebo sterilizáciu, alebo ich nevykonáva dostatočne, alebo neuchováva prístroje tak, aby boli chránené proti kontaminácii,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používa iné dezinfekčné prostriedky a postupy ako sú uvedené v § 3,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v rozpore s § 4 nelikviduje v ňom uvedené zariadenia a iné predmety vo vhodných nádobách,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koná v rozpore s povinnosťou strpenia alebo informačnou povinnosťou podľa § 73 ods. 1a bodov 3 a 4 zákona o ochrane pred infekciami alebo povinnosťou predkladať doklady, najmä hygienické plány, podľa § 73 ods. 1a bodu 5 zákona o ochrane pred infekciami</w:t>
      </w:r>
    </w:p>
    <w:p w:rsidR="00E02ECA" w:rsidRPr="00A327F3" w:rsidRDefault="00E02ECA" w:rsidP="00E02EC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alebo úmyselne alebo z nedbanlivosti koná v rozpore s príslušným vykonateľným príkazom podľa § 17 ods. 1 zákona o ochrane pred infekciami.“</w:t>
      </w:r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3.</w:t>
      </w:r>
      <w:r>
        <w:rPr>
          <w:rFonts w:ascii="Arial" w:hAnsi="Arial"/>
          <w:color w:val="000000"/>
        </w:rPr>
        <w:tab/>
        <w:t>Toto nariadenie nadobúda účinnosť dňom po jeho zverejnení.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Vyššie uvedené nariadenie je týmto vyhotovené a je potrebné ho oznámiť.</w:t>
      </w:r>
    </w:p>
    <w:p w:rsidR="00053A17" w:rsidRPr="00E02ECA" w:rsidRDefault="0072626E" w:rsidP="00053A17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Kiel,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minister sociálnych vecí, zdravotníctva, mládeže, </w:t>
      </w:r>
      <w:r>
        <w:rPr>
          <w:rFonts w:ascii="Arial" w:hAnsi="Arial"/>
          <w:color w:val="000000"/>
        </w:rPr>
        <w:br/>
        <w:t>rodiny a seniorov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Oznámené podľa smernice (EÚ) 2015/1535 Európskeho parlamentu a Rady z 9. septembra 2015, ktorou sa stanovuje postup pri poskytovaní informácií v oblasti technických predpisov a pravidiel vzťahujúcich sa na služby informačnej spoločnosti (Ú. v. EÚ L 241, s.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24" w:rsidRDefault="00332424">
    <w:pPr>
      <w:pStyle w:val="Header"/>
    </w:pPr>
    <w:r>
      <w:t>Stav: 7.11.2019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54586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D426A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FD7B8D5-1EBA-45DC-9F23-8460169A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Diana STOICA</cp:lastModifiedBy>
  <cp:revision>4</cp:revision>
  <cp:lastPrinted>2007-07-05T12:39:00Z</cp:lastPrinted>
  <dcterms:created xsi:type="dcterms:W3CDTF">2019-12-02T12:02:00Z</dcterms:created>
  <dcterms:modified xsi:type="dcterms:W3CDTF">2019-12-09T11:57:00Z</dcterms:modified>
</cp:coreProperties>
</file>