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rPr>
            </w:pPr>
            <w:r>
              <w:rPr>
                <w:b/>
                <w:color w:val="auto"/>
              </w:rPr>
              <w:t xml:space="preserve">REPUBLIKEN FRANKRIKE</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color w:val="auto"/>
                <w:rFonts w:eastAsia="Lucida Sans Unicode"/>
              </w:rPr>
            </w:pPr>
            <w:r>
              <w:rPr>
                <w:color w:val="auto"/>
              </w:rPr>
              <w:t xml:space="preserve">Ministeriet för ekologisk omställning och territoriell sammanhållning</w:t>
            </w:r>
          </w:p>
          <w:p w14:paraId="1882E8BD" w14:textId="77777777" w:rsidR="00A857F7" w:rsidRPr="00A857F7" w:rsidRDefault="00A857F7" w:rsidP="00BF6E47">
            <w:pPr>
              <w:widowControl w:val="0"/>
              <w:snapToGrid w:val="0"/>
              <w:spacing w:before="120" w:line="276" w:lineRule="auto"/>
              <w:ind w:hanging="57"/>
              <w:jc w:val="center"/>
              <w:rPr>
                <w:color w:val="auto"/>
                <w:rFonts w:eastAsia="Lucida Sans Unicode"/>
              </w:rPr>
            </w:pPr>
            <w:r>
              <w:rPr>
                <w:color w:val="auto"/>
              </w:rPr>
              <w:t xml:space="preserve">Ministeriet för hälsa och förebyggande vård</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t xml:space="preserve">Förslag till dekret </w:t>
      </w:r>
      <w:r>
        <w:rPr>
          <w:rStyle w:val="SNDateSignature"/>
        </w:rPr>
        <w:t xml:space="preserve">av den</w:t>
      </w:r>
      <w:r>
        <w:rPr>
          <w:rStyle w:val="SNDateSignature"/>
        </w:rPr>
        <w:t xml:space="preserve"> </w:t>
      </w:r>
    </w:p>
    <w:p w14:paraId="204A034E" w14:textId="77777777" w:rsidR="008347CD" w:rsidRPr="00972079" w:rsidRDefault="00CE68A3">
      <w:pPr>
        <w:pStyle w:val="SNObjet"/>
        <w:jc w:val="center"/>
      </w:pPr>
      <w:r>
        <w:t xml:space="preserve">om närmare uppgifter om innehållet och villkoren för framläggande av de uppgifter som föreskrivs i I och II i artikel L. 5232-5 i folkhälsolagen</w:t>
      </w:r>
      <w:r>
        <w:t xml:space="preserve">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t xml:space="preserve">NOR:</w:t>
      </w:r>
      <w:r>
        <w:t xml:space="preserve"> </w:t>
      </w:r>
      <w:r>
        <w:rPr>
          <w:highlight w:val="yellow"/>
        </w:rPr>
        <w:t xml:space="preserve">XXXXXXXXXX</w:t>
      </w:r>
    </w:p>
    <w:p w14:paraId="0BF7F525" w14:textId="77777777" w:rsidR="008347CD" w:rsidRPr="007636F9" w:rsidRDefault="00C46B5B" w:rsidP="007636F9">
      <w:pPr>
        <w:spacing w:before="720" w:after="120"/>
        <w:jc w:val="both"/>
      </w:pPr>
      <w:r>
        <w:rPr>
          <w:i/>
          <w:b/>
        </w:rPr>
        <w:t xml:space="preserve">Målgrupp:</w:t>
      </w:r>
      <w:r>
        <w:rPr>
          <w:i/>
        </w:rPr>
        <w:t xml:space="preserve"> </w:t>
      </w:r>
      <w:r>
        <w:rPr>
          <w:i/>
        </w:rPr>
        <w:t xml:space="preserve">Varje person som släpper ut produkter på marknaden till konsumenter som efter tillverkningen innehåller ämnen som den franska myndigheten för livsmedels-, miljö- och arbetsmiljöfrågor (ANSES) uppfyller kraven för att ha kontrollerat, förmodat eller misstänkt hormonstörande egenskaper</w:t>
      </w:r>
    </w:p>
    <w:p w14:paraId="42843534" w14:textId="77777777" w:rsidR="00C30C40" w:rsidRPr="007636F9" w:rsidRDefault="00C46B5B" w:rsidP="007636F9">
      <w:pPr>
        <w:jc w:val="both"/>
        <w:rPr>
          <w:bCs/>
          <w:i/>
          <w:iCs/>
        </w:rPr>
      </w:pPr>
      <w:r>
        <w:rPr>
          <w:i/>
          <w:b/>
        </w:rPr>
        <w:t xml:space="preserve">Syfte:</w:t>
      </w:r>
      <w:r>
        <w:rPr>
          <w:i/>
        </w:rPr>
        <w:t xml:space="preserve"> </w:t>
      </w:r>
      <w:r>
        <w:rPr>
          <w:i/>
        </w:rPr>
        <w:t xml:space="preserve">Detta dekret specificerar närmare uppgifter om innehållet och villkoren för framläggande av de uppgifter som föreskrivs i I och II i artikel L. 5232-5 i folkhälsolagen gällande:</w:t>
      </w:r>
    </w:p>
    <w:p w14:paraId="64F9DE89" w14:textId="77777777" w:rsidR="00026E60" w:rsidRPr="007636F9" w:rsidRDefault="00CE68A3" w:rsidP="007636F9">
      <w:pPr>
        <w:pStyle w:val="ListParagraph"/>
        <w:numPr>
          <w:ilvl w:val="0"/>
          <w:numId w:val="4"/>
        </w:numPr>
        <w:spacing w:before="120" w:after="200"/>
        <w:jc w:val="both"/>
        <w:rPr>
          <w:i/>
        </w:rPr>
      </w:pPr>
      <w:r>
        <w:rPr>
          <w:i/>
        </w:rPr>
        <w:t xml:space="preserve">förekomst av ämnen med hormonstörande egenskaper som verifieras och antas i de produkter som definieras i artikel R. 5232-19 i folkhälsolagen,</w:t>
      </w:r>
    </w:p>
    <w:p w14:paraId="60DB1505" w14:textId="77777777" w:rsidR="00C30C40" w:rsidRPr="007636F9" w:rsidRDefault="00C30C40" w:rsidP="007636F9">
      <w:pPr>
        <w:pStyle w:val="ListParagraph"/>
        <w:numPr>
          <w:ilvl w:val="0"/>
          <w:numId w:val="4"/>
        </w:numPr>
        <w:spacing w:before="120" w:after="200"/>
        <w:jc w:val="both"/>
        <w:rPr>
          <w:i/>
        </w:rPr>
      </w:pPr>
      <w:r>
        <w:rPr>
          <w:i/>
        </w:rPr>
        <w:t xml:space="preserve">förekomst av ämnen med hormonstörande egenskaper som misstänks i de produktkategorier som har en särskild exponeringsrisk enligt II i artikel L. 5232-5 i folkhälsolagen.</w:t>
      </w:r>
    </w:p>
    <w:p w14:paraId="4FC24632" w14:textId="77777777" w:rsidR="008347CD" w:rsidRPr="007636F9" w:rsidRDefault="00C46B5B" w:rsidP="007636F9">
      <w:pPr>
        <w:spacing w:before="120" w:after="120"/>
        <w:jc w:val="both"/>
      </w:pPr>
      <w:bookmarkStart w:id="0" w:name="move773304541"/>
      <w:bookmarkEnd w:id="0"/>
      <w:r>
        <w:rPr>
          <w:i/>
          <w:b/>
        </w:rPr>
        <w:t xml:space="preserve">Ikraftträdande:</w:t>
      </w:r>
      <w:r>
        <w:rPr>
          <w:i/>
        </w:rPr>
        <w:t xml:space="preserve"> </w:t>
      </w:r>
      <w:r>
        <w:rPr>
          <w:i/>
        </w:rPr>
        <w:t xml:space="preserve">Texten träder i kraft dagen efter det att den har offentliggjorts.</w:t>
      </w:r>
    </w:p>
    <w:p w14:paraId="6B0BBCC9" w14:textId="77777777" w:rsidR="005C023A" w:rsidRPr="007636F9" w:rsidRDefault="00C46B5B" w:rsidP="007636F9">
      <w:pPr>
        <w:spacing w:after="120"/>
        <w:jc w:val="both"/>
        <w:rPr>
          <w:i/>
          <w:iCs/>
        </w:rPr>
      </w:pPr>
      <w:r>
        <w:rPr>
          <w:i/>
          <w:b/>
        </w:rPr>
        <w:t xml:space="preserve">Anmärkning:</w:t>
      </w:r>
      <w:r>
        <w:rPr>
          <w:i/>
        </w:rPr>
        <w:t xml:space="preserve"> </w:t>
      </w:r>
      <w:r>
        <w:rPr>
          <w:i/>
        </w:rPr>
        <w:t xml:space="preserve">I artikel 13-II i lag nr 2020-105 av den 10 februari 2020 om bekämpning av avfall och om den cirkulära ekonomin, kallad ”AGEC”, föreskrivs att varje person som släpper ut produkter på marknaden </w:t>
      </w:r>
      <w:r>
        <w:rPr>
          <w:i/>
          <w:color w:val="auto"/>
        </w:rPr>
        <w:t xml:space="preserve">för konsumenter som innehåller ämnen för vilka den franska livsmedels-</w:t>
      </w:r>
      <w:r>
        <w:rPr>
          <w:i/>
        </w:rPr>
        <w:t xml:space="preserve">, miljö- och arbetsmiljömyndigheten (ANSES) klassificerar de hormonstörande egenskaperna som konstaterade eller misstänkta ska ”lämna information till allmänheten på elektronisk väg i ett öppet, lätt återanvändbart och exploaterbart format genom ett automatiserat bearbetningssystem för var och en av de berörda produkterna för att identifiera förekomsten av sådana ämnen i dessa produkter”.</w:t>
      </w:r>
      <w:r>
        <w:rPr>
          <w:i/>
        </w:rPr>
        <w:t xml:space="preserve"> </w:t>
      </w:r>
      <w:r>
        <w:rPr>
          <w:i/>
        </w:rPr>
        <w:t xml:space="preserve">Denna skyldighet gäller även för vissa kategorier av produkter med särskild risk för exponering, för ämnen som misstänks ha hormonstörande egenskaper av ANSES.</w:t>
      </w:r>
    </w:p>
    <w:p w14:paraId="3C5655F1" w14:textId="77777777" w:rsidR="00AD6125" w:rsidRPr="007636F9" w:rsidRDefault="005C023A" w:rsidP="007636F9">
      <w:pPr>
        <w:spacing w:after="120"/>
        <w:jc w:val="both"/>
        <w:rPr>
          <w:i/>
          <w:iCs/>
        </w:rPr>
      </w:pPr>
      <w:r>
        <w:rPr>
          <w:i/>
        </w:rPr>
        <w:t xml:space="preserve">Denna skyldighet ligger i linje med målen i den andra nationella strategin för hormonstörande ämnen (NSPE2).</w:t>
      </w:r>
      <w:r>
        <w:rPr>
          <w:i/>
        </w:rPr>
        <w:t xml:space="preserve"> </w:t>
      </w:r>
      <w:r>
        <w:rPr>
          <w:i/>
        </w:rPr>
        <w:t xml:space="preserve">Syftet är att ge medborgarna tydlig information om förekomsten av ämnen med hormonstörande egenskaper i produkter, i betydelsen ämnen, blandningar, varor och livsmedel.</w:t>
      </w:r>
    </w:p>
    <w:p w14:paraId="572BE02E" w14:textId="77777777" w:rsidR="00AD6125" w:rsidRPr="007636F9" w:rsidRDefault="00AD6125" w:rsidP="007636F9">
      <w:pPr>
        <w:spacing w:after="120"/>
        <w:jc w:val="both"/>
        <w:rPr>
          <w:i/>
          <w:iCs/>
          <w:color w:val="auto"/>
        </w:rPr>
      </w:pPr>
      <w:r>
        <w:rPr>
          <w:i/>
          <w:color w:val="auto"/>
        </w:rPr>
        <w:t xml:space="preserve">Skyldigheten är tillämplig på de produkter som avses i artikel R. 5232-19 i folkhälsolagen och som är avsedda för konsumenter.</w:t>
      </w:r>
      <w:r>
        <w:rPr>
          <w:i/>
          <w:color w:val="auto"/>
        </w:rPr>
        <w:t xml:space="preserve"> </w:t>
      </w:r>
      <w:r>
        <w:rPr>
          <w:i/>
          <w:color w:val="auto"/>
        </w:rPr>
        <w:t xml:space="preserve">Förpackningsprodukter omfattas av denna skyldighet.</w:t>
      </w:r>
    </w:p>
    <w:p w14:paraId="4944388D" w14:textId="77777777" w:rsidR="005C023A" w:rsidRPr="007636F9" w:rsidRDefault="005C023A" w:rsidP="007636F9">
      <w:pPr>
        <w:spacing w:after="120"/>
        <w:jc w:val="both"/>
        <w:rPr>
          <w:i/>
          <w:iCs/>
          <w:color w:val="auto"/>
        </w:rPr>
      </w:pPr>
      <w:r>
        <w:rPr>
          <w:i/>
          <w:color w:val="auto"/>
        </w:rPr>
        <w:t xml:space="preserve"> </w:t>
      </w:r>
    </w:p>
    <w:p w14:paraId="593A4C04" w14:textId="4F6DC544" w:rsidR="003A3003" w:rsidRPr="007636F9" w:rsidRDefault="00844E8D" w:rsidP="007636F9">
      <w:pPr>
        <w:spacing w:after="120"/>
        <w:jc w:val="both"/>
        <w:rPr>
          <w:bCs/>
          <w:i/>
          <w:iCs/>
          <w:color w:val="auto"/>
        </w:rPr>
      </w:pPr>
      <w:r>
        <w:rPr>
          <w:i/>
        </w:rPr>
        <w:t xml:space="preserve">Tillämpningsföreskrifterna för denna bestämmelse har fastställts i artiklarna R. 5232-19 till R. 5232-22 i folkhälsolagen.</w:t>
      </w:r>
      <w:r>
        <w:rPr>
          <w:i/>
        </w:rPr>
        <w:t xml:space="preserve"> </w:t>
      </w:r>
      <w:r>
        <w:rPr>
          <w:i/>
        </w:rPr>
        <w:t xml:space="preserve">Artikel R. 5232-20 föreskriver att ett</w:t>
      </w:r>
      <w:r>
        <w:rPr>
          <w:sz w:val="27"/>
          <w:rFonts w:ascii="Arial" w:hAnsi="Arial"/>
        </w:rPr>
        <w:t xml:space="preserve"> </w:t>
      </w:r>
      <w:r>
        <w:rPr>
          <w:i/>
        </w:rPr>
        <w:t xml:space="preserve">gemensamt dekret från ministrarna med ansvar för hälsa och miljö ska specificera innehållet och villkoren för framläggandet av de uppgifter som avses i I och II i artikel L. 5232-5 i denna lag.</w:t>
      </w:r>
      <w:r>
        <w:rPr>
          <w:i/>
        </w:rPr>
        <w:t xml:space="preserve"> </w:t>
      </w:r>
      <w:r>
        <w:rPr>
          <w:i/>
        </w:rPr>
        <w:t xml:space="preserve">Tillhandahållandet av denna information ska gälla</w:t>
      </w:r>
      <w:r>
        <w:rPr>
          <w:i/>
          <w:color w:val="auto"/>
        </w:rPr>
        <w:t xml:space="preserve"> för hela produkten och dess primära förpackning eller försäljningsförpackning i den mening som avses i artikel R. 543-43 i miljöbalken </w:t>
      </w:r>
      <w:r>
        <w:rPr>
          <w:i/>
        </w:rPr>
        <w:t xml:space="preserve">(t.ex. en behållare, en flaska, en injektionsflaska) </w:t>
      </w:r>
      <w:r>
        <w:rPr>
          <w:i/>
          <w:color w:val="auto"/>
        </w:rPr>
        <w:t xml:space="preserve">med angivande av</w:t>
      </w:r>
      <w:r>
        <w:rPr>
          <w:i/>
        </w:rPr>
        <w:t xml:space="preserve"> tydligt, inom samma produktblad, oavsett om ämnet (ämnena) förekommer i produkten eller i dess försäljningsförpackning.</w:t>
      </w:r>
    </w:p>
    <w:p w14:paraId="2C832AA4" w14:textId="3E0A5100" w:rsidR="00C52692" w:rsidRPr="007636F9" w:rsidRDefault="00C970B9" w:rsidP="007636F9">
      <w:pPr>
        <w:jc w:val="both"/>
        <w:rPr>
          <w:bCs/>
          <w:i/>
          <w:iCs/>
          <w:color w:val="auto"/>
        </w:rPr>
      </w:pPr>
      <w:r>
        <w:rPr>
          <w:i/>
          <w:color w:val="auto"/>
        </w:rPr>
        <w:t xml:space="preserve">För vissa ämnen, på grund av deras näringsmässiga karaktär (vitaminer, mineraler) och deras hälsofördelar upp till en viss dos (högre säkerhetsgränser), t.ex. kolekalciferol (vitamin D3), kommer informationen om förekomsten av ämnen med hormonstörande egenskaper att anpassas för att indikera att dessa ämnen har hälsofördelar</w:t>
      </w:r>
      <w:r>
        <w:rPr>
          <w:i/>
        </w:rPr>
        <w:t xml:space="preserve"> i enlighet med de försiktighetsåtgärder för användning och dosering som anges i bipacksedeln eller märkningen av produkten och att råd från hälso- och sjukvårdspersonal i händelse av tvivel bör sökas.</w:t>
      </w:r>
      <w:r>
        <w:rPr>
          <w:i/>
        </w:rPr>
        <w:t xml:space="preserve"> </w:t>
      </w:r>
      <w:r>
        <w:rPr>
          <w:i/>
          <w:color w:val="auto"/>
        </w:rPr>
        <w:t xml:space="preserve">Denna särskilda informationsförklaring grundar sig särskilt på det vetenskapliga och tekniska stödmeddelandet från den franska myndigheten för livsmedels-, miljö- och arbetsmiljöfrågor av den 29 september 2022 om tillämpning av bestämmelserna om ämnen med hormonstörande egenskaper på kolekalciferol (vitamin D3) i lag nr 2020-105 av den 10 februari 2020, kallad ”AGEC-lagen”.</w:t>
      </w:r>
    </w:p>
    <w:p w14:paraId="3F07B2B7" w14:textId="4BAF7F61" w:rsidR="00C970B9" w:rsidRPr="007636F9" w:rsidRDefault="0067219E" w:rsidP="007636F9">
      <w:pPr>
        <w:spacing w:after="120"/>
        <w:jc w:val="both"/>
        <w:rPr>
          <w:bCs/>
          <w:i/>
          <w:iCs/>
          <w:color w:val="auto"/>
        </w:rPr>
      </w:pPr>
      <w:r>
        <w:rPr>
          <w:i/>
          <w:color w:val="auto"/>
        </w:rPr>
        <w:t xml:space="preserve">De ämnen som berörs av denna specifika information anges i tabellerna Aa och Ba i bilagan till beslutet om fastställande av den förteckning över ämnen med hormonstörande egenskaper som avses i I och II i artikel L. 5232-5 i folkhälsolagen, som nämns i artikel R. 5232-19 i samma lag.</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Pr>
          <w:i/>
          <w:b/>
        </w:rPr>
        <w:t xml:space="preserve">Referenser:</w:t>
      </w:r>
      <w:r>
        <w:rPr>
          <w:i/>
        </w:rPr>
        <w:t xml:space="preserve"> texten kan läsas på Légifrance webbplats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t xml:space="preserve">Ministern för ekologisk omställning</w:t>
      </w:r>
      <w:r>
        <w:rPr>
          <w:color w:val="auto"/>
        </w:rPr>
        <w:t xml:space="preserve"> och territoriell sammanhållning</w:t>
      </w:r>
      <w:r>
        <w:t xml:space="preserve"> </w:t>
      </w:r>
      <w:r>
        <w:t xml:space="preserve">och ministern för hälsa </w:t>
      </w:r>
      <w:r>
        <w:rPr>
          <w:color w:val="auto"/>
        </w:rPr>
        <w:t xml:space="preserve">och förebyggande vård</w:t>
      </w:r>
    </w:p>
    <w:p w14:paraId="7BB39649" w14:textId="77777777" w:rsidR="00F131BD" w:rsidRPr="007636F9" w:rsidRDefault="00F131BD" w:rsidP="007636F9">
      <w:pPr>
        <w:pStyle w:val="SNVisa"/>
        <w:ind w:firstLine="708"/>
      </w:pPr>
      <w:r>
        <w:t xml:space="preserve">Med beaktande av Europaparlamentets och rådets förordning (EG) nr. 178/2002 av den 28 januari 2002 om allmänna principer och krav för livsmedelslagstiftning, om inrättande av Europeiska myndigheten för livsmedelssäkerhet och om förfaranden i frågor som gäller livsmedelssäkerhet,</w:t>
      </w:r>
    </w:p>
    <w:p w14:paraId="33996EF3" w14:textId="77777777" w:rsidR="007F7405" w:rsidRPr="007636F9" w:rsidRDefault="00C46B5B" w:rsidP="007636F9">
      <w:pPr>
        <w:pStyle w:val="SNVisa"/>
        <w:ind w:firstLine="708"/>
      </w:pPr>
      <w:r>
        <w:t xml:space="preserve">med beaktande av Europaparlamentets och rådets förordning (EG) nr. 1907/2006 av den 18 december 2006 om registrering, utvärdering, godkännande och begränsning av kemikalier (REACH), inrättande av en europeisk kemikaliemyndighet, ändring av direktiv 1999/45/EG och upphävande av rådets förordning (EEG) nr. 793/93 och kommissionens förordning (EG) nr. 1488/94 samt rådets direktiv 76/769/EEG och kommissionens direktiv 91/155/EEG, 93/67/EEG, 93/105/EG och 2000/21/EG,</w:t>
      </w:r>
    </w:p>
    <w:p w14:paraId="204220A5" w14:textId="77777777" w:rsidR="00A14477" w:rsidRPr="007636F9" w:rsidRDefault="00A14477" w:rsidP="007636F9">
      <w:pPr>
        <w:pStyle w:val="SNVisa"/>
        <w:ind w:firstLine="708"/>
      </w:pPr>
      <w:r>
        <w:t xml:space="preserve">med beaktande av Europaparlamentets och rådets förordning (EG) nr. 1107/2009 av den 21 oktober 2009, i dess ändrade lydelse, om utsläpp av växtskyddsmedel på marknaden och om upphävande av rådets direktiv 79/117/EEG och 91/414/EEG,</w:t>
      </w:r>
    </w:p>
    <w:p w14:paraId="23EB0E8B" w14:textId="77777777" w:rsidR="008347CD" w:rsidRPr="007636F9" w:rsidRDefault="007F7405" w:rsidP="007636F9">
      <w:pPr>
        <w:pStyle w:val="SNVisa"/>
        <w:ind w:firstLine="708"/>
      </w:pPr>
      <w:r>
        <w:t xml:space="preserve">med beaktande av Europaparlamentets och rådets förordning (EU) nr 528/2012 av den 22 maj 2012 om tillhandahållande på marknaden och användning av biocidprodukter,</w:t>
      </w:r>
    </w:p>
    <w:p w14:paraId="0B99B19B" w14:textId="394CD111" w:rsidR="00F131BD" w:rsidRPr="007636F9" w:rsidRDefault="00F131BD" w:rsidP="007636F9">
      <w:pPr>
        <w:pStyle w:val="SNVisa"/>
        <w:ind w:firstLine="708"/>
      </w:pPr>
      <w:r>
        <w:t xml:space="preserve">med beaktande av Europaparlamentets och rådets förordning (EU) 2017/745 av den 5 april 2017 om medicintekniska produkter, om ändring av direktiv 2001/83/EG, förordning (EG) nr 178/2002 och förordning (EG) nr 1223/2009 och om upphävande av rådets direktiv 90/385/EEG och 93/42/EEG,</w:t>
      </w:r>
    </w:p>
    <w:p w14:paraId="1ACAA048" w14:textId="728F8935" w:rsidR="00ED26DC" w:rsidRPr="007636F9" w:rsidRDefault="00ED26DC" w:rsidP="007636F9">
      <w:pPr>
        <w:pStyle w:val="SNVisa"/>
        <w:ind w:firstLine="708"/>
      </w:pPr>
      <w:r>
        <w:t xml:space="preserve">med beaktande av Europaparlamentets och rådets direktiv (EU) 2015/1535 </w:t>
      </w:r>
      <w:r>
        <w:rPr>
          <w:shd w:val="clear" w:color="auto" w:fill="FFFFFF"/>
        </w:rPr>
        <w:t xml:space="preserve">av den 9 september 2015 om ett informationsförfarande beträffande tekniska föreskrifter och beträffande föreskrifter för informationssamhällets tjänster</w:t>
      </w:r>
      <w:r>
        <w:t xml:space="preserve"> och i synnerhet anmälan nr 2023/XXX/F</w:t>
      </w:r>
      <w:r>
        <w:rPr>
          <w:shd w:val="clear" w:color="auto" w:fill="FFFFFF"/>
        </w:rPr>
        <w:t xml:space="preserve">,</w:t>
      </w:r>
    </w:p>
    <w:p w14:paraId="223F493F" w14:textId="77777777" w:rsidR="008347CD" w:rsidRPr="007636F9" w:rsidRDefault="00C46B5B" w:rsidP="007636F9">
      <w:pPr>
        <w:pStyle w:val="SNVisa"/>
        <w:ind w:firstLine="708"/>
        <w:rPr>
          <w:bCs/>
        </w:rPr>
      </w:pPr>
      <w:r>
        <w:t xml:space="preserve">med beaktande av </w:t>
      </w:r>
      <w:bookmarkStart w:id="1" w:name="__DdeLink__11050_299813634"/>
      <w:r>
        <w:t xml:space="preserve">folkhälsolagen, särskilt artikel L. 5</w:t>
      </w:r>
      <w:bookmarkEnd w:id="1"/>
      <w:r>
        <w:t xml:space="preserve">232-5 i dess lydelse enligt artikel 13 i lag nr 2020-105 av den 10 februari 2020 om bekämpande av avfall och den cirkulära ekonomin och artikel R. 5232-20 däri.</w:t>
      </w:r>
    </w:p>
    <w:p w14:paraId="70E9C9BB" w14:textId="77777777" w:rsidR="008347CD" w:rsidRPr="007636F9" w:rsidRDefault="00C46B5B" w:rsidP="007636F9">
      <w:pPr>
        <w:pStyle w:val="SNActe"/>
      </w:pPr>
      <w:r>
        <w:t xml:space="preserve">Härmed föreskrivs följande:</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t xml:space="preserve">Artikel 1</w:t>
      </w:r>
    </w:p>
    <w:p w14:paraId="1B8249C1" w14:textId="77777777" w:rsidR="00AB6BA8" w:rsidRPr="007636F9" w:rsidRDefault="00AB6BA8" w:rsidP="007636F9">
      <w:pPr>
        <w:jc w:val="both"/>
        <w:rPr>
          <w:color w:val="auto"/>
        </w:rPr>
      </w:pPr>
      <w:r>
        <w:rPr>
          <w:color w:val="auto"/>
        </w:rPr>
        <w:t xml:space="preserve">Tillhandahållandet av de uppgifter som föreskrivs i I och II i artikel L. 5232-5 i folkhälsolagen om konstaterad, förmodad och misstänkt förekomst av hormonstörande ämnen ska tillämpas på de produkter som avses i artikel R. 5232-19 i samma lag och som konsumenter, mot betalning eller kostnadsfritt, förvärvar.</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Pr>
          <w:color w:val="auto"/>
        </w:rPr>
        <w:t xml:space="preserve">Det ska tillhandahållas av producenter, importörer eller distributörer för produkter som släpps ut på marknaden under eget varumärke, så att de är tillgängliga för alla.</w:t>
      </w:r>
      <w:r>
        <w:rPr>
          <w:color w:val="auto"/>
        </w:rPr>
        <w:t xml:space="preserve">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t xml:space="preserve">Artikel 2</w:t>
      </w:r>
    </w:p>
    <w:p w14:paraId="4F29E8C1" w14:textId="77777777" w:rsidR="00A42F37" w:rsidRPr="007636F9" w:rsidRDefault="00A42F37" w:rsidP="007636F9">
      <w:pPr>
        <w:jc w:val="both"/>
      </w:pPr>
    </w:p>
    <w:p w14:paraId="15D31034" w14:textId="5002C02D" w:rsidR="00E5288B" w:rsidRPr="007636F9" w:rsidRDefault="00E836DE" w:rsidP="007636F9">
      <w:pPr>
        <w:jc w:val="both"/>
      </w:pPr>
      <w:r>
        <w:t xml:space="preserve">Tillhandahållandet av de uppgifter som avses i I i artikel L. 5232-5 i folkhälsolagen gäller </w:t>
      </w:r>
      <w:r>
        <w:rPr>
          <w:color w:val="auto"/>
        </w:rPr>
        <w:t xml:space="preserve">för hela produkten och dess primärförpackningar eller försäljningsförpackningar i den mening som avses i artikel R. 543-43 i miljöbalken, </w:t>
      </w:r>
      <w:r>
        <w:t xml:space="preserve">om koncentrationen av ett ämne med konstaterade eller förmodade hormonstörande egenskaper överstiger 0,1 viktprocent, antingen i den berörda produkten eller i dess förpackning.</w:t>
      </w:r>
    </w:p>
    <w:p w14:paraId="5D21576E" w14:textId="77777777" w:rsidR="00AC336E" w:rsidRPr="007636F9" w:rsidRDefault="00AC336E" w:rsidP="007636F9">
      <w:pPr>
        <w:jc w:val="both"/>
      </w:pPr>
    </w:p>
    <w:p w14:paraId="63240E2C" w14:textId="77777777" w:rsidR="00AC336E" w:rsidRPr="007636F9" w:rsidRDefault="00AC336E" w:rsidP="007636F9">
      <w:pPr>
        <w:jc w:val="both"/>
      </w:pPr>
      <w:r>
        <w:t xml:space="preserve">Tillhandahållandet av de uppgifter som avses i II i artikel L. 5232-5 i folkhälsolagen ska tillämpas </w:t>
      </w:r>
      <w:r>
        <w:rPr>
          <w:color w:val="auto"/>
        </w:rPr>
        <w:t xml:space="preserve">på hela den produkt som utgör en särskild risk för exponering som avses i den artikeln och dess primärförpackningar eller försäljningsförpackningar i den mening som avses i artikel R. 543-43 i miljöbalken</w:t>
      </w:r>
      <w:r>
        <w:t xml:space="preserve">, om koncentrationen av ett ämne med misstänkta hormonstörande egenskaper är högre än 0,1 viktprocent, antingen i den berörda produkten eller i dess förpackning.</w:t>
      </w:r>
    </w:p>
    <w:p w14:paraId="79408772" w14:textId="77777777" w:rsidR="004B2E1B" w:rsidRPr="007636F9" w:rsidRDefault="004B2E1B" w:rsidP="007636F9">
      <w:pPr>
        <w:jc w:val="both"/>
      </w:pPr>
    </w:p>
    <w:p w14:paraId="3B991BF9" w14:textId="77777777" w:rsidR="00220182" w:rsidRPr="007636F9" w:rsidRDefault="00220182" w:rsidP="007636F9">
      <w:pPr>
        <w:pStyle w:val="SNArticle"/>
      </w:pPr>
      <w:r>
        <w:t xml:space="preserve">Artikel 3</w:t>
      </w:r>
    </w:p>
    <w:p w14:paraId="7BD2E729" w14:textId="77777777" w:rsidR="00220182" w:rsidRPr="007636F9" w:rsidRDefault="00220182" w:rsidP="007636F9">
      <w:pPr>
        <w:jc w:val="both"/>
      </w:pPr>
    </w:p>
    <w:p w14:paraId="64FB0993" w14:textId="77777777" w:rsidR="00804152" w:rsidRPr="007636F9" w:rsidRDefault="00DA3FFF" w:rsidP="007636F9">
      <w:pPr>
        <w:jc w:val="both"/>
      </w:pPr>
      <w:r>
        <w:t xml:space="preserve">Den information som avses i I i artikel L. 5232-5 i folkhälsolagen ska uttryckas i form av uppgiften ”innehåller ett ämne eller ämnen med konstaterade eller förmodade hormonstörande egenskaper:”.</w:t>
      </w:r>
    </w:p>
    <w:p w14:paraId="0DAB4C02" w14:textId="77777777" w:rsidR="00804152" w:rsidRPr="007636F9" w:rsidRDefault="00804152" w:rsidP="007636F9">
      <w:pPr>
        <w:jc w:val="both"/>
      </w:pPr>
    </w:p>
    <w:p w14:paraId="7F8FA903" w14:textId="14935B30" w:rsidR="00DA3FFF" w:rsidRPr="007636F9" w:rsidRDefault="00DA3FFF" w:rsidP="007636F9">
      <w:pPr>
        <w:jc w:val="both"/>
      </w:pPr>
      <w:r>
        <w:t xml:space="preserve">Den information som avses i II i artikel L. 5232–5 i folkhälsolagen ska uttryckas i form av uppgiften ”innehåller ett ämne eller ämnen med misstänkta hormonstörande egenskaper”.</w:t>
      </w:r>
      <w:r>
        <w:t xml:space="preserve"> </w:t>
      </w:r>
    </w:p>
    <w:p w14:paraId="4553D273" w14:textId="77777777" w:rsidR="00DA3FFF" w:rsidRPr="007636F9" w:rsidRDefault="00DA3FFF" w:rsidP="007636F9">
      <w:pPr>
        <w:jc w:val="both"/>
      </w:pPr>
    </w:p>
    <w:p w14:paraId="3BBD5115" w14:textId="0819208D" w:rsidR="00DA3FFF" w:rsidRPr="007636F9" w:rsidRDefault="00DA3FFF" w:rsidP="007636F9">
      <w:pPr>
        <w:jc w:val="both"/>
      </w:pPr>
      <w:r>
        <w:t xml:space="preserve">Informationen ska kompletteras med namnet på det relevanta ämne eller de relevanta ämnen som ingår i produkten.</w:t>
      </w:r>
      <w:r>
        <w:t xml:space="preserve"> </w:t>
      </w:r>
      <w:r>
        <w:t xml:space="preserve">Detta namn motsvarar det ämnesnamn som avses i tabellerna A, Aa, B eller Ba i bilaga I till det gemensamma dekretet från hälso- och miljöministrarna som antagits i enlighet med artikel R. 5232-19 i folkhälsolagen.</w:t>
      </w:r>
    </w:p>
    <w:p w14:paraId="68DC5B28" w14:textId="77777777" w:rsidR="00035EA0" w:rsidRPr="007636F9" w:rsidRDefault="00035EA0" w:rsidP="007636F9">
      <w:pPr>
        <w:jc w:val="both"/>
      </w:pPr>
    </w:p>
    <w:p w14:paraId="68A20723" w14:textId="77777777" w:rsidR="009B4F00" w:rsidRPr="007636F9" w:rsidRDefault="009B4F00" w:rsidP="007636F9">
      <w:pPr>
        <w:jc w:val="both"/>
      </w:pPr>
      <w:r>
        <w:t xml:space="preserve">I informationen ska det också anges om det berörda ämnet eller de berörda ämnena ingår i produkten eller i dess förpackning.</w:t>
      </w:r>
    </w:p>
    <w:p w14:paraId="2AF8C25A" w14:textId="77777777" w:rsidR="009B4F00" w:rsidRPr="007636F9" w:rsidRDefault="009B4F00" w:rsidP="007636F9">
      <w:pPr>
        <w:jc w:val="both"/>
      </w:pPr>
    </w:p>
    <w:p w14:paraId="2444BB1B" w14:textId="5BE036B1" w:rsidR="00611350" w:rsidRPr="007636F9" w:rsidRDefault="00035EA0" w:rsidP="007636F9">
      <w:pPr>
        <w:jc w:val="both"/>
      </w:pPr>
      <w:r>
        <w:t xml:space="preserve">Om ett av dessa ämnen anges i tabell Aa i bilaga I till det gemensamma dekretet från ministrarna med ansvar för hälsa och miljö som antagits i enlighet med artikel R. 5232-19 i folkhälsolagen och den produkt som innehåller detta ämne är ett livsmedel enligt definitionen i artikel 2 i ovannämnda förordning (EG) nr 178/2002 eller en medicinteknisk produkt enligt definitionen i artikel 2 i ovannämnda förordning (EU) 2017/745 ska den information som avses i I i artikel L. 5232-5 i folkhälsolagen uttryckas i form av uppgiften ”innehåller ämnet [ange ämnets namn enligt tabell Aa ovan]: detta ämne har hälsofördelar vid användning enligt de försiktighetsåtgärder och doseringar som anges i bipacksedeln eller produktmärkningen.</w:t>
      </w:r>
      <w:r>
        <w:t xml:space="preserve"> </w:t>
      </w:r>
      <w:r>
        <w:t xml:space="preserve">Om du är osäker, rådfråga med hälso- och sjukvårdspersonal.”.</w:t>
      </w:r>
    </w:p>
    <w:p w14:paraId="7BCACE6D" w14:textId="77777777" w:rsidR="00E165BB" w:rsidRPr="007636F9" w:rsidRDefault="00E165BB" w:rsidP="007636F9">
      <w:pPr>
        <w:jc w:val="both"/>
      </w:pPr>
    </w:p>
    <w:p w14:paraId="2E5E20B6" w14:textId="28F37E84" w:rsidR="00E165BB" w:rsidRPr="007636F9" w:rsidRDefault="00764BB0" w:rsidP="007636F9">
      <w:pPr>
        <w:jc w:val="both"/>
      </w:pPr>
      <w:r>
        <w:t xml:space="preserve">Om ett av dessa ämnen anges i tabell Ba i bilaga I till det gemensamma dekretet från hälso- och miljöministrar som antagits i enlighet med artikel R. 5232-19 i folkhälsolagen och den produkt som innehåller detta ämne är ett livsmedel enligt definitionen i artikel 2 i ovannämnda förordning (EG) nr 178/2002 eller en medicinteknisk produkt enligt definitionen i artikel 2 i ovannämnda förordning (EU) 2017/745, ska den information som avses i artikel L. 5232–5 i folkhälsolagen uttryckas i form av uppgiften ”innehåller ämnet [ange ämnets namn enligt tabell Ba ovan]: detta ämne har hälsofördelar vid användning enligt de försiktighetsåtgärder och doseringar som anges i bipacksedeln eller produktmärkningen.</w:t>
      </w:r>
      <w:r>
        <w:t xml:space="preserve"> </w:t>
      </w:r>
      <w:r>
        <w:t xml:space="preserve">Om du är osäker, rådfråga med hälso- och sjukvårdspersonal.”.</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t xml:space="preserve">Artikel 4</w:t>
      </w:r>
    </w:p>
    <w:p w14:paraId="254B1965" w14:textId="22EBED57" w:rsidR="008347CD" w:rsidRPr="007636F9" w:rsidRDefault="00C46B5B" w:rsidP="007636F9">
      <w:pPr>
        <w:pStyle w:val="SNArticle"/>
        <w:jc w:val="both"/>
        <w:rPr>
          <w:b w:val="0"/>
        </w:rPr>
      </w:pPr>
      <w:r>
        <w:rPr>
          <w:b w:val="0"/>
        </w:rPr>
        <w:t xml:space="preserve">Bestämmelserna i detta dekret träder i kraft dagen efter det att det har offentliggjorts.</w:t>
      </w:r>
      <w:r>
        <w:rPr>
          <w:b w:val="0"/>
        </w:rPr>
        <w:t xml:space="preserve">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t xml:space="preserve">Artikel 5</w:t>
      </w:r>
    </w:p>
    <w:p w14:paraId="15F47E80" w14:textId="77777777" w:rsidR="008347CD" w:rsidRPr="007636F9" w:rsidRDefault="00C46B5B" w:rsidP="007636F9">
      <w:pPr>
        <w:pStyle w:val="BodyText"/>
        <w:jc w:val="both"/>
      </w:pPr>
      <w:r>
        <w:t xml:space="preserve">Detta dekret ska offentliggöras i Republiken Frankrikes </w:t>
      </w:r>
      <w:r>
        <w:rPr>
          <w:i/>
        </w:rPr>
        <w:t xml:space="preserve">officiella tidning</w:t>
      </w:r>
      <w:r>
        <w:t xml:space="preserve">.</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36F9">
      <w:pPr>
        <w:ind w:firstLine="540"/>
      </w:pPr>
      <w:r>
        <w:t xml:space="preserve">Utfärdat den</w:t>
      </w:r>
      <w:r>
        <w:t xml:space="preserve"> </w:t>
      </w:r>
    </w:p>
    <w:p w14:paraId="1B4600E8" w14:textId="77777777" w:rsidR="008347CD" w:rsidRPr="007636F9" w:rsidRDefault="008347CD" w:rsidP="007636F9">
      <w:pPr>
        <w:ind w:left="539"/>
      </w:pP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t xml:space="preserve">Ministern för ekologisk omställning och territoriell sammanhållning,</w:t>
      </w:r>
    </w:p>
    <w:p w14:paraId="655BCD5B" w14:textId="77777777" w:rsidR="008347CD" w:rsidRPr="007636F9" w:rsidRDefault="00C46B5B" w:rsidP="007636F9">
      <w:pPr>
        <w:pStyle w:val="SNSignatureDroite"/>
        <w:ind w:left="539" w:firstLine="0"/>
      </w:pPr>
      <w:r>
        <w:t xml:space="preserve">för ministern och på ministerns vägnar,</w:t>
      </w:r>
    </w:p>
    <w:p w14:paraId="0DE20629" w14:textId="77777777" w:rsidR="008347CD" w:rsidRPr="007636F9" w:rsidRDefault="00C46B5B" w:rsidP="007636F9">
      <w:pPr>
        <w:pStyle w:val="SNSignatureDroite"/>
        <w:ind w:left="539" w:firstLine="0"/>
      </w:pPr>
      <w:r>
        <w:t xml:space="preserve">Generaldirektören för riskförebyggande,</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t xml:space="preserve">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7636F9">
      <w:pPr>
        <w:ind w:left="539"/>
      </w:pPr>
      <w:r>
        <w:t xml:space="preserve">Ministern för hälsa och </w:t>
      </w:r>
      <w:r>
        <w:rPr>
          <w:color w:val="auto"/>
        </w:rPr>
        <w:t xml:space="preserve">förebyggande vård</w:t>
      </w:r>
      <w:r>
        <w:t xml:space="preserve">,</w:t>
      </w:r>
    </w:p>
    <w:p w14:paraId="008C8C0E" w14:textId="77777777" w:rsidR="008347CD" w:rsidRPr="007636F9" w:rsidRDefault="00C46B5B" w:rsidP="007636F9">
      <w:pPr>
        <w:ind w:left="539"/>
      </w:pPr>
      <w:r>
        <w:t xml:space="preserve">för ministern och på ministerns vägnar,</w:t>
      </w:r>
    </w:p>
    <w:p w14:paraId="2AE5AAA9" w14:textId="77777777" w:rsidR="008347CD" w:rsidRPr="007636F9" w:rsidRDefault="00C46B5B" w:rsidP="007636F9">
      <w:pPr>
        <w:ind w:left="539"/>
      </w:pPr>
      <w:r>
        <w:t xml:space="preserve">Generaldirektören för hälsofrågor,</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F7658BF" w14:textId="77777777" w:rsidR="008347CD" w:rsidRDefault="00C46B5B" w:rsidP="007636F9">
      <w:pPr>
        <w:ind w:left="539"/>
      </w:pPr>
      <w:r>
        <w:t xml:space="preserve">Jérôme SALOMON</w:t>
      </w:r>
    </w:p>
    <w:p w14:paraId="3A375FC5" w14:textId="77777777" w:rsidR="0091346D" w:rsidRDefault="0091346D" w:rsidP="007636F9">
      <w:pPr>
        <w:ind w:left="539"/>
      </w:pP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48D4" w14:textId="77777777" w:rsidR="00693404" w:rsidRDefault="00693404" w:rsidP="00C40AB0">
      <w:r>
        <w:separator/>
      </w:r>
    </w:p>
  </w:endnote>
  <w:endnote w:type="continuationSeparator" w:id="0">
    <w:p w14:paraId="3A578F5A" w14:textId="77777777" w:rsidR="00693404" w:rsidRDefault="00693404"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20F"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0C7D"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B5DF"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371B" w14:textId="77777777" w:rsidR="00693404" w:rsidRDefault="00693404" w:rsidP="00C40AB0">
      <w:r>
        <w:separator/>
      </w:r>
    </w:p>
  </w:footnote>
  <w:footnote w:type="continuationSeparator" w:id="0">
    <w:p w14:paraId="53D93E77" w14:textId="77777777" w:rsidR="00693404" w:rsidRDefault="00693404"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B0C" w14:textId="77777777" w:rsidR="006D6666" w:rsidRDefault="00F75AD9">
    <w:pPr>
      <w:pStyle w:val="Header"/>
    </w:pPr>
    <w: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UTKAST TIL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D38" w14:textId="77777777" w:rsidR="006D6666" w:rsidRDefault="00F75AD9">
    <w:pPr>
      <w:pStyle w:val="Header"/>
    </w:pPr>
    <w: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UTKAST TIL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7C5" w14:textId="77777777" w:rsidR="006D6666" w:rsidRDefault="00F75AD9">
    <w:pPr>
      <w:pStyle w:val="Header"/>
    </w:pPr>
    <w: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UTKAST TIL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22307">
    <w:abstractNumId w:val="0"/>
  </w:num>
  <w:num w:numId="2" w16cid:durableId="317461456">
    <w:abstractNumId w:val="1"/>
  </w:num>
  <w:num w:numId="3" w16cid:durableId="1443450292">
    <w:abstractNumId w:val="3"/>
  </w:num>
  <w:num w:numId="4" w16cid:durableId="146311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dirty" w:grammar="dirty"/>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3139D"/>
    <w:rsid w:val="00471D6E"/>
    <w:rsid w:val="004A2669"/>
    <w:rsid w:val="004B2E1B"/>
    <w:rsid w:val="004D29E2"/>
    <w:rsid w:val="004F0CFD"/>
    <w:rsid w:val="0050742C"/>
    <w:rsid w:val="00533063"/>
    <w:rsid w:val="00537A63"/>
    <w:rsid w:val="00566851"/>
    <w:rsid w:val="00584953"/>
    <w:rsid w:val="0059286D"/>
    <w:rsid w:val="005A35A3"/>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5F75"/>
    <w:rsid w:val="00E5288B"/>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5AD9"/>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sv-S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TextChar">
    <w:name w:val="Comment Text Char"/>
    <w:basedOn w:val="DefaultParagraphFont"/>
    <w:link w:val="CommentText"/>
    <w:uiPriority w:val="99"/>
    <w:qFormat/>
    <w:rsid w:val="00F55935"/>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sid w:val="00F55935"/>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le">
    <w:name w:val="Title"/>
    <w:basedOn w:val="Normal"/>
    <w:next w:val="BodyText"/>
    <w:qFormat/>
    <w:rsid w:val="00F55935"/>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F55935"/>
    <w:pPr>
      <w:spacing w:after="120"/>
    </w:pPr>
  </w:style>
  <w:style w:type="paragraph" w:styleId="List">
    <w:name w:val="List"/>
    <w:basedOn w:val="BodyText"/>
    <w:rsid w:val="00F55935"/>
    <w:rPr>
      <w:rFonts w:cs="Mangal"/>
    </w:rPr>
  </w:style>
  <w:style w:type="paragraph" w:styleId="Caption">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BodyText"/>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BalloonText">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Header">
    <w:name w:val="header"/>
    <w:basedOn w:val="Normal"/>
    <w:rsid w:val="00F55935"/>
  </w:style>
  <w:style w:type="paragraph" w:styleId="CommentText">
    <w:name w:val="annotation text"/>
    <w:basedOn w:val="Normal"/>
    <w:link w:val="CommentTextChar"/>
    <w:uiPriority w:val="99"/>
    <w:unhideWhenUsed/>
    <w:qFormat/>
    <w:rsid w:val="00F55935"/>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Hyperlink">
    <w:name w:val="Hyperlink"/>
    <w:basedOn w:val="DefaultParagraphFont"/>
    <w:uiPriority w:val="99"/>
    <w:semiHidden/>
    <w:unhideWhenUsed/>
    <w:rsid w:val="003B3D4C"/>
    <w:rPr>
      <w:color w:val="0000FF"/>
      <w:u w:val="single"/>
    </w:rPr>
  </w:style>
  <w:style w:type="character" w:styleId="FootnoteReference">
    <w:name w:val="footnote reference"/>
    <w:basedOn w:val="DefaultParagraphFont"/>
    <w:uiPriority w:val="99"/>
    <w:semiHidden/>
    <w:unhideWhenUsed/>
    <w:rsid w:val="00DB144D"/>
    <w:rPr>
      <w:vertAlign w:val="superscript"/>
    </w:rPr>
  </w:style>
  <w:style w:type="character" w:customStyle="1" w:styleId="markedcontent">
    <w:name w:val="markedcontent"/>
    <w:basedOn w:val="DefaultParagraphFont"/>
    <w:rsid w:val="00F131BD"/>
  </w:style>
  <w:style w:type="character" w:customStyle="1" w:styleId="hgkelc">
    <w:name w:val="hgkelc"/>
    <w:basedOn w:val="DefaultParagraphFon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1711</Words>
  <Characters>9753</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Liana Brili</cp:lastModifiedBy>
  <cp:revision>3</cp:revision>
  <cp:lastPrinted>2021-09-08T16:41:00Z</cp:lastPrinted>
  <dcterms:created xsi:type="dcterms:W3CDTF">2023-03-17T14:23:00Z</dcterms:created>
  <dcterms:modified xsi:type="dcterms:W3CDTF">2023-03-24T09:28:00Z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