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1E35" w:rsidRPr="00A92569" w:rsidRDefault="00971E35" w:rsidP="00971E35">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0791 F-- RO- ------ 20201221 --- --- PROJET</w:t>
      </w:r>
    </w:p>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121B80" w:rsidRPr="006C397D">
        <w:trPr>
          <w:cantSplit/>
        </w:trPr>
        <w:tc>
          <w:tcPr>
            <w:tcW w:w="3982" w:type="dxa"/>
            <w:gridSpan w:val="3"/>
            <w:shd w:val="clear" w:color="auto" w:fill="auto"/>
          </w:tcPr>
          <w:bookmarkEnd w:id="0"/>
          <w:p w:rsidR="00121B80" w:rsidRPr="006C397D" w:rsidRDefault="00121B80">
            <w:pPr>
              <w:pStyle w:val="SNREPUBLIQUE"/>
              <w:snapToGrid w:val="0"/>
            </w:pPr>
            <w:r>
              <w:t xml:space="preserve">REPUBLICA FRANCEZĂ</w:t>
            </w:r>
          </w:p>
        </w:tc>
      </w:tr>
      <w:tr w:rsidR="00D85F5D" w:rsidRPr="006C397D" w:rsidTr="00A73D1D">
        <w:trPr>
          <w:cantSplit/>
          <w:trHeight w:hRule="exact" w:val="113"/>
        </w:trPr>
        <w:tc>
          <w:tcPr>
            <w:tcW w:w="1527" w:type="dxa"/>
            <w:shd w:val="clear" w:color="auto" w:fill="auto"/>
          </w:tcPr>
          <w:p w:rsidR="00121B80" w:rsidRPr="006C397D" w:rsidRDefault="00121B80">
            <w:pPr>
              <w:snapToGrid w:val="0"/>
            </w:pPr>
          </w:p>
        </w:tc>
        <w:tc>
          <w:tcPr>
            <w:tcW w:w="968" w:type="dxa"/>
            <w:tcBorders>
              <w:bottom w:val="single" w:sz="4" w:space="0" w:color="auto"/>
            </w:tcBorders>
            <w:shd w:val="clear" w:color="auto" w:fill="auto"/>
          </w:tcPr>
          <w:p w:rsidR="00121B80" w:rsidRPr="006C397D" w:rsidRDefault="00121B80">
            <w:pPr>
              <w:snapToGrid w:val="0"/>
            </w:pPr>
          </w:p>
        </w:tc>
        <w:tc>
          <w:tcPr>
            <w:tcW w:w="1487" w:type="dxa"/>
            <w:shd w:val="clear" w:color="auto" w:fill="auto"/>
          </w:tcPr>
          <w:p w:rsidR="00121B80" w:rsidRPr="006C397D" w:rsidRDefault="00121B80">
            <w:pPr>
              <w:snapToGrid w:val="0"/>
            </w:pPr>
          </w:p>
        </w:tc>
      </w:tr>
      <w:tr w:rsidR="00121B80" w:rsidRPr="006C397D">
        <w:trPr>
          <w:cantSplit/>
        </w:trPr>
        <w:tc>
          <w:tcPr>
            <w:tcW w:w="3982" w:type="dxa"/>
            <w:gridSpan w:val="3"/>
            <w:shd w:val="clear" w:color="auto" w:fill="auto"/>
          </w:tcPr>
          <w:p w:rsidR="00121B80" w:rsidRPr="006C397D" w:rsidRDefault="00121B80">
            <w:pPr>
              <w:pStyle w:val="SNTimbre"/>
            </w:pPr>
            <w:r>
              <w:t xml:space="preserve">Ministerul Tranziției Ecologice</w:t>
            </w:r>
            <w:r>
              <w:t xml:space="preserve"> </w:t>
            </w:r>
          </w:p>
        </w:tc>
      </w:tr>
      <w:tr w:rsidR="00121B80" w:rsidRPr="006C397D">
        <w:trPr>
          <w:cantSplit/>
        </w:trPr>
        <w:tc>
          <w:tcPr>
            <w:tcW w:w="3982" w:type="dxa"/>
            <w:gridSpan w:val="3"/>
            <w:shd w:val="clear" w:color="auto" w:fill="auto"/>
          </w:tcPr>
          <w:p w:rsidR="00121B80" w:rsidRPr="006C397D" w:rsidRDefault="00304F7E">
            <w:pPr>
              <w:pStyle w:val="SNTimbre"/>
              <w:jc w:val="left"/>
            </w:pPr>
            <w:r>
              <mc:AlternateContent>
                <mc:Choice Requires="wps">
                  <w:drawing>
                    <wp:anchor distT="0" distB="0" distL="114300" distR="114300" simplePos="0" relativeHeight="251657728" behindDoc="0" locked="0" layoutInCell="1" allowOverlap="1">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6C169" id="Connecteur droit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g2mgIAAHs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" strokeweight=".18mm">
                      <v:stroke joinstyle="miter"/>
                    </v:line>
                  </w:pict>
                </mc:Fallback>
              </mc:AlternateContent>
            </w:r>
          </w:p>
        </w:tc>
      </w:tr>
      <w:tr w:rsidR="00121B80" w:rsidRPr="006C397D">
        <w:trPr>
          <w:cantSplit/>
        </w:trPr>
        <w:tc>
          <w:tcPr>
            <w:tcW w:w="3982" w:type="dxa"/>
            <w:gridSpan w:val="3"/>
            <w:shd w:val="clear" w:color="auto" w:fill="auto"/>
          </w:tcPr>
          <w:p w:rsidR="00121B80" w:rsidRPr="006C397D" w:rsidRDefault="00121B80">
            <w:pPr>
              <w:pStyle w:val="SNTimbre"/>
              <w:spacing w:before="0" w:after="160"/>
            </w:pPr>
            <w:r>
              <w:t xml:space="preserve">Locuințe</w:t>
            </w:r>
          </w:p>
        </w:tc>
      </w:tr>
      <w:tr w:rsidR="00121B80" w:rsidRPr="006C397D">
        <w:trPr>
          <w:cantSplit/>
        </w:trPr>
        <w:tc>
          <w:tcPr>
            <w:tcW w:w="3982" w:type="dxa"/>
            <w:gridSpan w:val="3"/>
            <w:shd w:val="clear" w:color="auto" w:fill="auto"/>
          </w:tcPr>
          <w:p w:rsidR="00121B80" w:rsidRPr="006C397D" w:rsidRDefault="00121B80">
            <w:pPr>
              <w:pStyle w:val="SNTimbre"/>
              <w:jc w:val="left"/>
              <w:rPr>
                <w:highlight w:val="yellow"/>
              </w:rPr>
            </w:pPr>
          </w:p>
        </w:tc>
      </w:tr>
    </w:tbl>
    <w:p w:rsidR="00121B80" w:rsidRPr="006C397D" w:rsidRDefault="00121B80">
      <w:pPr>
        <w:widowControl w:val="0"/>
        <w:spacing w:after="0" w:line="240" w:lineRule="auto"/>
        <w:jc w:val="center"/>
      </w:pPr>
      <w:r>
        <w:rPr>
          <w:b/>
          <w:bCs/>
          <w:sz w:val="24"/>
          <w:szCs w:val="24"/>
          <w:rFonts w:ascii="Times New Roman" w:hAnsi="Times New Roman"/>
        </w:rPr>
        <w:t xml:space="preserve">Decretul din</w:t>
      </w:r>
    </w:p>
    <w:p w:rsidR="00121B80" w:rsidRPr="006C397D" w:rsidRDefault="00371CC6" w:rsidP="00D125B4">
      <w:pPr>
        <w:widowControl w:val="0"/>
        <w:spacing w:after="0" w:line="240" w:lineRule="auto"/>
        <w:jc w:val="center"/>
      </w:pPr>
      <w:r>
        <w:rPr>
          <w:b/>
          <w:bCs/>
          <w:sz w:val="24"/>
          <w:szCs w:val="24"/>
          <w:rFonts w:ascii="Times New Roman" w:hAnsi="Times New Roman"/>
        </w:rPr>
        <w:t xml:space="preserve">privind aprobarea metodei de calcul prevăzute la articolul R. 111-20-5 din Codul construcțiilor și locuințelor</w:t>
      </w:r>
    </w:p>
    <w:p w:rsidR="00121B80" w:rsidRPr="006C397D" w:rsidRDefault="00121B80">
      <w:pPr>
        <w:pStyle w:val="SNNORCentr"/>
      </w:pPr>
      <w:r>
        <w:t xml:space="preserve">NR.:</w:t>
      </w:r>
      <w:r>
        <w:t xml:space="preserve"> </w:t>
      </w:r>
    </w:p>
    <w:p w:rsidR="00121B80" w:rsidRPr="006C397D" w:rsidRDefault="00121B80">
      <w:pPr>
        <w:jc w:val="both"/>
        <w:rPr>
          <w:rFonts w:ascii="Times New Roman" w:eastAsia="Arial" w:hAnsi="Times New Roman" w:cs="Times New Roman"/>
          <w:bCs/>
          <w:i/>
          <w:iCs/>
          <w:sz w:val="24"/>
          <w:szCs w:val="24"/>
          <w:u w:val="single"/>
        </w:rPr>
      </w:pPr>
    </w:p>
    <w:p w:rsidR="00121B80" w:rsidRPr="006C397D" w:rsidRDefault="00121B80" w:rsidP="00371CC6">
      <w:pPr>
        <w:jc w:val="both"/>
      </w:pPr>
      <w:r>
        <w:rPr>
          <w:i/>
          <w:iCs/>
          <w:sz w:val="24"/>
          <w:szCs w:val="24"/>
          <w:bCs/>
          <w:u w:val="single"/>
          <w:i/>
          <w:iCs/>
          <w:b/>
          <w:bCs/>
          <w:b w:val="false"/>
          <w:bCs w:val="false"/>
          <w:rFonts w:ascii="Times New Roman" w:hAnsi="Times New Roman"/>
        </w:rPr>
        <w:t xml:space="preserve">Categorii de public vizate:</w:t>
      </w:r>
      <w:r>
        <w:rPr>
          <w:i/>
          <w:iCs/>
          <w:sz w:val="24"/>
          <w:szCs w:val="24"/>
          <w:bCs/>
          <w:rFonts w:ascii="Times New Roman" w:hAnsi="Times New Roman"/>
        </w:rPr>
        <w:t xml:space="preserve"> </w:t>
      </w:r>
      <w:r>
        <w:rPr>
          <w:i/>
          <w:iCs/>
          <w:sz w:val="24"/>
          <w:szCs w:val="24"/>
          <w:rFonts w:ascii="Times New Roman" w:hAnsi="Times New Roman"/>
        </w:rPr>
        <w:t xml:space="preserve">diriginți de șantier, responsabili științifici, constructori și promotori, arhitecți, birouri de studii termice și de mediu, economiști în construcții, controlori tehnici, companii de construcții clădiri, industria materialelor de construcții și a sistemelor tehnice pentru clădiri, furnizori de energie, din Franța metropolitană.</w:t>
      </w:r>
    </w:p>
    <w:p w:rsidR="00121B80" w:rsidRPr="006C397D" w:rsidRDefault="00121B80">
      <w:pPr>
        <w:jc w:val="both"/>
      </w:pPr>
      <w:r>
        <w:rPr>
          <w:i/>
          <w:iCs/>
          <w:sz w:val="24"/>
          <w:szCs w:val="24"/>
          <w:u w:val="single"/>
          <w:rFonts w:ascii="Times New Roman" w:hAnsi="Times New Roman"/>
        </w:rPr>
        <w:t xml:space="preserve">Obiect</w:t>
      </w:r>
      <w:r>
        <w:rPr>
          <w:i/>
          <w:iCs/>
          <w:sz w:val="24"/>
          <w:szCs w:val="24"/>
          <w:rFonts w:ascii="Times New Roman" w:hAnsi="Times New Roman"/>
        </w:rPr>
        <w:t xml:space="preserve">: stabilirea metodei de calcul al performanței energetice și de mediu a clădirilor rezidențiale, de birouri sau pentru unitățile de învățământ primar sau secundar din Franța metropolitană, pentru aplicarea decretului </w:t>
      </w:r>
      <w:r>
        <w:rPr>
          <w:i/>
          <w:iCs/>
          <w:sz w:val="24"/>
          <w:szCs w:val="24"/>
          <w:highlight w:val="yellow"/>
          <w:highlight w:val="yellow"/>
          <w:rFonts w:ascii="Times New Roman" w:hAnsi="Times New Roman"/>
        </w:rPr>
        <w:t xml:space="preserve">XXX</w:t>
      </w:r>
      <w:r>
        <w:rPr>
          <w:i/>
          <w:iCs/>
          <w:sz w:val="24"/>
          <w:szCs w:val="24"/>
          <w:highlight w:val="yellow"/>
          <w:rFonts w:ascii="Times New Roman" w:hAnsi="Times New Roman"/>
        </w:rPr>
        <w:t xml:space="preserve"> </w:t>
      </w:r>
      <w:r>
        <w:rPr>
          <w:i/>
          <w:iCs/>
          <w:sz w:val="24"/>
          <w:szCs w:val="24"/>
          <w:rFonts w:ascii="Times New Roman" w:hAnsi="Times New Roman"/>
        </w:rPr>
        <w:t xml:space="preserve">privind cerințele referitoare la performanța energetică și de mediu a clădirilor rezidențiale, de birouri sau pentru unitățile de învățământ primar sau secundar din Franța metropolitană.</w:t>
      </w:r>
    </w:p>
    <w:p w:rsidR="00371CC6" w:rsidRPr="006C397D" w:rsidRDefault="00121B80">
      <w:pPr>
        <w:spacing w:after="0" w:line="240" w:lineRule="auto"/>
        <w:jc w:val="both"/>
        <w:rPr>
          <w:i/>
          <w:iCs/>
          <w:kern w:val="2"/>
          <w:sz w:val="24"/>
          <w:szCs w:val="24"/>
          <w:rFonts w:ascii="Times New Roman" w:eastAsia="Times New Roman" w:hAnsi="Times New Roman" w:cs="Times New Roman"/>
        </w:rPr>
      </w:pPr>
      <w:r>
        <w:rPr>
          <w:i/>
          <w:iCs/>
          <w:sz w:val="24"/>
          <w:szCs w:val="24"/>
          <w:u w:val="single"/>
          <w:rFonts w:ascii="Times New Roman" w:hAnsi="Times New Roman"/>
        </w:rPr>
        <w:t xml:space="preserve">Intrare în vigoare</w:t>
      </w:r>
      <w:r>
        <w:rPr>
          <w:i/>
          <w:iCs/>
          <w:sz w:val="24"/>
          <w:szCs w:val="24"/>
          <w:rFonts w:ascii="Times New Roman" w:hAnsi="Times New Roman"/>
        </w:rPr>
        <w:t xml:space="preserve">:</w:t>
      </w:r>
      <w:r>
        <w:rPr>
          <w:i/>
          <w:iCs/>
          <w:sz w:val="24"/>
          <w:szCs w:val="24"/>
          <w:rFonts w:ascii="Times New Roman" w:hAnsi="Times New Roman"/>
        </w:rPr>
        <w:t xml:space="preserve"> </w:t>
      </w:r>
      <w:r>
        <w:rPr>
          <w:i/>
          <w:iCs/>
          <w:sz w:val="24"/>
          <w:szCs w:val="24"/>
          <w:rFonts w:ascii="Times New Roman" w:hAnsi="Times New Roman"/>
        </w:rPr>
        <w:t xml:space="preserve">prezentul decret se aplică începând cu 1 iulie 2021.</w:t>
      </w:r>
    </w:p>
    <w:p w:rsidR="00371CC6" w:rsidRPr="006C397D" w:rsidRDefault="00371CC6">
      <w:pPr>
        <w:spacing w:after="0" w:line="240" w:lineRule="auto"/>
        <w:jc w:val="both"/>
        <w:rPr>
          <w:rFonts w:ascii="Times New Roman" w:eastAsia="Times New Roman" w:hAnsi="Times New Roman" w:cs="Times New Roman"/>
          <w:i/>
          <w:iCs/>
          <w:kern w:val="2"/>
          <w:sz w:val="24"/>
          <w:szCs w:val="24"/>
          <w:lang w:eastAsia="zh-CN"/>
        </w:rPr>
      </w:pPr>
    </w:p>
    <w:p w:rsidR="00371CC6" w:rsidRPr="006C397D" w:rsidRDefault="00121B80" w:rsidP="006C397D">
      <w:pPr>
        <w:keepNext/>
        <w:spacing w:after="0" w:line="240" w:lineRule="auto"/>
        <w:jc w:val="both"/>
        <w:rPr>
          <w:i/>
          <w:iCs/>
          <w:sz w:val="24"/>
          <w:szCs w:val="24"/>
          <w:rFonts w:ascii="Times New Roman" w:hAnsi="Times New Roman" w:cs="Times New Roman"/>
        </w:rPr>
      </w:pPr>
      <w:r>
        <w:rPr>
          <w:i/>
          <w:iCs/>
          <w:sz w:val="24"/>
          <w:szCs w:val="24"/>
          <w:u w:val="single"/>
          <w:rFonts w:ascii="Times New Roman" w:hAnsi="Times New Roman"/>
        </w:rPr>
        <w:t xml:space="preserve">Notă</w:t>
      </w:r>
      <w:r>
        <w:rPr>
          <w:i/>
          <w:iCs/>
          <w:sz w:val="24"/>
          <w:szCs w:val="24"/>
          <w:rFonts w:ascii="Times New Roman" w:hAnsi="Times New Roman"/>
        </w:rPr>
        <w:t xml:space="preserve">:</w:t>
      </w:r>
      <w:r>
        <w:rPr>
          <w:i/>
          <w:iCs/>
          <w:sz w:val="24"/>
          <w:szCs w:val="24"/>
          <w:rFonts w:ascii="Times New Roman" w:hAnsi="Times New Roman"/>
        </w:rPr>
        <w:t xml:space="preserve"> </w:t>
      </w:r>
      <w:r>
        <w:rPr>
          <w:i/>
          <w:iCs/>
          <w:sz w:val="24"/>
          <w:szCs w:val="24"/>
          <w:rFonts w:ascii="Times New Roman" w:hAnsi="Times New Roman"/>
        </w:rPr>
        <w:t xml:space="preserve">decretul stabilește metoda de calcul al performanței energetice și de mediu a clădirilor rezidențiale, de birouri sau pentru unitățile de învățământ primar sau secundar din Franța metropolitană, prin intermediul a trei anexe:</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Anexa I:</w:t>
      </w:r>
      <w:r>
        <w:rPr>
          <w:i/>
          <w:iCs/>
          <w:sz w:val="24"/>
          <w:szCs w:val="24"/>
          <w:rFonts w:ascii="Times New Roman" w:hAnsi="Times New Roman"/>
        </w:rPr>
        <w:t xml:space="preserve"> </w:t>
      </w:r>
      <w:r>
        <w:rPr>
          <w:i/>
          <w:iCs/>
          <w:sz w:val="24"/>
          <w:szCs w:val="24"/>
          <w:rFonts w:ascii="Times New Roman" w:hAnsi="Times New Roman"/>
        </w:rPr>
        <w:t xml:space="preserve">Norme generale privind calculul performanțelor energetice și de mediu</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Anexa II:</w:t>
      </w:r>
      <w:r>
        <w:rPr>
          <w:i/>
          <w:iCs/>
          <w:sz w:val="24"/>
          <w:szCs w:val="24"/>
          <w:rFonts w:ascii="Times New Roman" w:hAnsi="Times New Roman"/>
        </w:rPr>
        <w:t xml:space="preserve"> </w:t>
      </w:r>
      <w:r>
        <w:rPr>
          <w:i/>
          <w:iCs/>
          <w:sz w:val="24"/>
          <w:szCs w:val="24"/>
          <w:rFonts w:ascii="Times New Roman" w:hAnsi="Times New Roman"/>
        </w:rPr>
        <w:t xml:space="preserve">Metoda de calcul „Th-BCE 2020”, care detaliază normele de calcul al performanței energetice, asociate cu instrumentul de calcul prevăzut la articolul L.111-9-1-A din Codul construcțiilor și locuințelor</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Anexa III:</w:t>
      </w:r>
      <w:r>
        <w:rPr>
          <w:i/>
          <w:iCs/>
          <w:sz w:val="24"/>
          <w:szCs w:val="24"/>
          <w:rFonts w:ascii="Times New Roman" w:hAnsi="Times New Roman"/>
        </w:rPr>
        <w:t xml:space="preserve"> </w:t>
      </w:r>
      <w:r>
        <w:rPr>
          <w:i/>
          <w:iCs/>
          <w:sz w:val="24"/>
          <w:szCs w:val="24"/>
          <w:rFonts w:ascii="Times New Roman" w:hAnsi="Times New Roman"/>
        </w:rPr>
        <w:t xml:space="preserve">Normele „Th-Bat 2020”, care permit stabilirea datelor de intrare pentru calculul performanței energetice a clădirilor pentru calculul de reglementare</w:t>
      </w:r>
    </w:p>
    <w:p w:rsidR="00121B80" w:rsidRPr="006C397D" w:rsidRDefault="00121B80" w:rsidP="00371CC6">
      <w:pPr>
        <w:spacing w:after="0" w:line="240" w:lineRule="auto"/>
        <w:jc w:val="both"/>
      </w:pPr>
    </w:p>
    <w:p w:rsidR="00121B80" w:rsidRPr="006C397D" w:rsidRDefault="00121B80">
      <w:pPr>
        <w:jc w:val="both"/>
      </w:pPr>
      <w:r>
        <w:rPr>
          <w:i/>
          <w:iCs/>
          <w:sz w:val="24"/>
          <w:szCs w:val="24"/>
          <w:u w:val="single"/>
          <w:rFonts w:ascii="Times New Roman" w:hAnsi="Times New Roman"/>
        </w:rPr>
        <w:t xml:space="preserve">Referințe</w:t>
      </w:r>
      <w:r>
        <w:rPr>
          <w:i/>
          <w:iCs/>
          <w:sz w:val="24"/>
          <w:szCs w:val="24"/>
          <w:rFonts w:ascii="Times New Roman" w:hAnsi="Times New Roman"/>
        </w:rPr>
        <w:t xml:space="preserve">: textul </w:t>
      </w:r>
      <w:r>
        <w:rPr>
          <w:i/>
          <w:iCs/>
          <w:sz w:val="24"/>
          <w:szCs w:val="24"/>
          <w:highlight w:val="yellow"/>
          <w:rFonts w:ascii="Times New Roman" w:hAnsi="Times New Roman"/>
        </w:rPr>
        <w:t xml:space="preserve">modificat </w:t>
      </w:r>
      <w:r>
        <w:rPr>
          <w:i/>
          <w:iCs/>
          <w:sz w:val="24"/>
          <w:szCs w:val="24"/>
          <w:rFonts w:ascii="Times New Roman" w:hAnsi="Times New Roman"/>
        </w:rPr>
        <w:t xml:space="preserve">prin prezentul decret poate fi consultat ca atare pe pagina de internet Légifrance </w:t>
      </w:r>
      <w:r>
        <w:rPr>
          <w:i/>
          <w:iCs/>
          <w:sz w:val="24"/>
          <w:szCs w:val="24"/>
          <w:i/>
          <w:iCs/>
          <w:sz w:val="24"/>
          <w:szCs w:val="24"/>
          <w:rFonts w:ascii="Times New Roman" w:hAnsi="Times New Roman"/>
        </w:rPr>
        <w:t xml:space="preserve">(</w:t>
      </w:r>
      <w:hyperlink r:id="rId7" w:history="1">
        <w:r>
          <w:rPr>
            <w:rStyle w:val="Hyperlink"/>
            <w:i/>
            <w:iCs/>
            <w:sz w:val="24"/>
            <w:szCs w:val="24"/>
            <w:rFonts w:ascii="Times New Roman" w:hAnsi="Times New Roman"/>
          </w:rPr>
          <w:t xml:space="preserve">www.legifrance.gouv.fr</w:t>
        </w:r>
      </w:hyperlink>
      <w:r>
        <w:rPr>
          <w:i/>
          <w:iCs/>
          <w:sz w:val="24"/>
          <w:szCs w:val="24"/>
          <w:i/>
          <w:iCs/>
          <w:sz w:val="24"/>
          <w:szCs w:val="24"/>
          <w:rFonts w:ascii="Times New Roman" w:hAnsi="Times New Roman"/>
        </w:rPr>
        <w:t xml:space="preserve">).</w:t>
      </w:r>
    </w:p>
    <w:p w:rsidR="00121B80" w:rsidRPr="006C397D" w:rsidRDefault="00121B80">
      <w:pPr>
        <w:rPr>
          <w:rFonts w:ascii="Times New Roman" w:eastAsia="Times New Roman" w:hAnsi="Times New Roman" w:cs="Times New Roman"/>
          <w:kern w:val="2"/>
          <w:sz w:val="24"/>
          <w:szCs w:val="24"/>
        </w:rPr>
      </w:pPr>
    </w:p>
    <w:p w:rsidR="00371CC6" w:rsidRPr="006C397D" w:rsidRDefault="00121B80" w:rsidP="00371CC6">
      <w:pPr>
        <w:pStyle w:val="SNAutorit"/>
        <w:pageBreakBefore/>
        <w:suppressAutoHyphens w:val="0"/>
        <w:ind w:firstLine="0"/>
        <w:jc w:val="both"/>
        <w:rPr>
          <w:b w:val="0"/>
        </w:rPr>
      </w:pPr>
      <w:r>
        <w:rPr>
          <w:b w:val="0"/>
          <w:highlight w:val="yellow"/>
        </w:rPr>
        <w:t xml:space="preserve">Ministrul tranziției ecologice, ministrul delegat al ministrului tranziției ecologice, însărcinat cu locuințele,</w:t>
      </w:r>
    </w:p>
    <w:p w:rsidR="000A64C4" w:rsidRPr="006C397D" w:rsidRDefault="00972FD1" w:rsidP="00371CC6">
      <w:pPr>
        <w:jc w:val="both"/>
        <w:rPr>
          <w:sz w:val="24"/>
          <w:szCs w:val="24"/>
          <w:rFonts w:ascii="Times New Roman" w:hAnsi="Times New Roman" w:cs="Times New Roman"/>
        </w:rPr>
      </w:pPr>
      <w:r>
        <w:rPr>
          <w:sz w:val="24"/>
          <w:szCs w:val="24"/>
          <w:rFonts w:ascii="Times New Roman" w:hAnsi="Times New Roman"/>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(text codificat) și, în special, notificarea nr. </w:t>
      </w:r>
      <w:r>
        <w:rPr>
          <w:sz w:val="24"/>
          <w:szCs w:val="24"/>
          <w:highlight w:val="yellow"/>
          <w:rFonts w:ascii="Times New Roman" w:hAnsi="Times New Roman"/>
        </w:rPr>
        <w:t xml:space="preserve">anul/XXX/F,</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Directiva 2010/31/UE a Parlamentului European și a Consiliului din 19 mai 2010 privind performanța energetică a clădirilor, astfel cum a fost modificată prin Directiva 2018/844/CE a Parlamentului European și a Consiliului din 30 mai 2018, și anume articolele 3, 4 și 6,</w:t>
      </w:r>
    </w:p>
    <w:p w:rsidR="00837B47" w:rsidRPr="006C397D" w:rsidRDefault="00837B47" w:rsidP="00371CC6">
      <w:pPr>
        <w:jc w:val="both"/>
        <w:rPr>
          <w:sz w:val="24"/>
          <w:szCs w:val="24"/>
          <w:rFonts w:ascii="Times New Roman" w:hAnsi="Times New Roman" w:cs="Times New Roman"/>
        </w:rPr>
      </w:pPr>
      <w:r>
        <w:rPr>
          <w:sz w:val="24"/>
          <w:szCs w:val="24"/>
          <w:rFonts w:ascii="Times New Roman" w:hAnsi="Times New Roman"/>
        </w:rPr>
        <w:t xml:space="preserve">având în vedere Codul construcțiilor și locuințelor, în special articolul R.111-20-5,</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decretul din </w:t>
      </w:r>
      <w:r>
        <w:rPr>
          <w:sz w:val="24"/>
          <w:szCs w:val="24"/>
          <w:highlight w:val="yellow"/>
          <w:rFonts w:ascii="Times New Roman" w:hAnsi="Times New Roman"/>
        </w:rPr>
        <w:t xml:space="preserve">XXX</w:t>
      </w:r>
      <w:r>
        <w:rPr>
          <w:sz w:val="24"/>
          <w:szCs w:val="24"/>
          <w:rFonts w:ascii="Times New Roman" w:hAnsi="Times New Roman"/>
        </w:rPr>
        <w:t xml:space="preserve"> privind cerințele referitoare la performanța energetică și de mediu a clădirilor rezidențiale, de birouri sau pentru unitățile de învățământ primar sau secundar din Franța metropolitană,</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observațiile formulate cu ocazia consultării publice organizate în perioada </w:t>
      </w:r>
      <w:r>
        <w:rPr>
          <w:sz w:val="24"/>
          <w:szCs w:val="24"/>
          <w:highlight w:val="yellow"/>
          <w:rFonts w:ascii="Times New Roman" w:hAnsi="Times New Roman"/>
        </w:rPr>
        <w:t xml:space="preserve">XXX</w:t>
      </w:r>
      <w:r>
        <w:rPr>
          <w:sz w:val="24"/>
          <w:szCs w:val="24"/>
          <w:rFonts w:ascii="Times New Roman" w:hAnsi="Times New Roman"/>
        </w:rPr>
        <w:t xml:space="preserve">-</w:t>
      </w:r>
      <w:r>
        <w:rPr>
          <w:sz w:val="24"/>
          <w:szCs w:val="24"/>
          <w:highlight w:val="yellow"/>
          <w:rFonts w:ascii="Times New Roman" w:hAnsi="Times New Roman"/>
        </w:rPr>
        <w:t xml:space="preserve">XXX</w:t>
      </w:r>
      <w:r>
        <w:rPr>
          <w:sz w:val="24"/>
          <w:szCs w:val="24"/>
          <w:rFonts w:ascii="Times New Roman" w:hAnsi="Times New Roman"/>
        </w:rPr>
        <w:t xml:space="preserve">, conform articolului L. 120-1 din Codul mediului,</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avizul </w:t>
      </w:r>
      <w:r>
        <w:rPr>
          <w:sz w:val="24"/>
          <w:szCs w:val="24"/>
          <w:highlight w:val="yellow"/>
          <w:rFonts w:ascii="Times New Roman" w:hAnsi="Times New Roman"/>
        </w:rPr>
        <w:t xml:space="preserve">Consiliului național de evaluare a standardelor</w:t>
      </w:r>
      <w:r>
        <w:rPr>
          <w:sz w:val="24"/>
          <w:szCs w:val="24"/>
          <w:rFonts w:ascii="Times New Roman" w:hAnsi="Times New Roman"/>
        </w:rPr>
        <w:t xml:space="preserv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avizul </w:t>
      </w:r>
      <w:r>
        <w:rPr>
          <w:sz w:val="24"/>
          <w:szCs w:val="24"/>
          <w:highlight w:val="yellow"/>
          <w:rFonts w:ascii="Times New Roman" w:hAnsi="Times New Roman"/>
        </w:rPr>
        <w:t xml:space="preserve">Consiliului superior al energiei</w:t>
      </w:r>
      <w:r>
        <w:rPr>
          <w:sz w:val="24"/>
          <w:szCs w:val="24"/>
          <w:rFonts w:ascii="Times New Roman" w:hAnsi="Times New Roman"/>
        </w:rPr>
        <w:t xml:space="preserv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vedere avizul Consiliului superior al construcțiilor și eficienței energetice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Adunării din Guyana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Adunării din Martinica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Consiliului departamental din Guadalupe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Consiliului departamental din La Réunion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Consiliului regional din Guadalupe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Consiliului regional din La Réunion din </w:t>
      </w:r>
      <w:r>
        <w:rPr>
          <w:sz w:val="24"/>
          <w:szCs w:val="24"/>
          <w:highlight w:val="yellow"/>
          <w:rFonts w:ascii="Times New Roman" w:hAnsi="Times New Roman"/>
        </w:rPr>
        <w:t xml:space="preserve">XXX</w:t>
      </w:r>
      <w:r>
        <w:rPr>
          <w:sz w:val="24"/>
          <w:szCs w:val="24"/>
          <w:rFonts w:ascii="Times New Roman" w:hAnsi="Times New Roman"/>
        </w:rPr>
        <w:t xml:space="preserve">,</w:t>
      </w:r>
    </w:p>
    <w:p w:rsidR="00121B80"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având în sesizarea Consiliului departamental din Mayotte din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rFonts w:ascii="Times New Roman" w:hAnsi="Times New Roman" w:cs="Times New Roman"/>
          <w:sz w:val="24"/>
          <w:szCs w:val="24"/>
        </w:rPr>
      </w:pPr>
    </w:p>
    <w:p w:rsidR="00121B80" w:rsidRPr="006C397D" w:rsidRDefault="00121B80">
      <w:pPr>
        <w:widowControl w:val="0"/>
        <w:spacing w:after="0" w:line="240" w:lineRule="auto"/>
        <w:rPr>
          <w:rFonts w:ascii="Times New Roman" w:hAnsi="Times New Roman" w:cs="Times New Roman"/>
          <w:sz w:val="24"/>
          <w:szCs w:val="24"/>
        </w:rPr>
      </w:pPr>
    </w:p>
    <w:p w:rsidR="00121B80" w:rsidRPr="006C397D" w:rsidRDefault="00121B80" w:rsidP="006C397D">
      <w:pPr>
        <w:keepNext/>
        <w:widowControl w:val="0"/>
        <w:spacing w:after="0" w:line="240" w:lineRule="auto"/>
        <w:jc w:val="center"/>
      </w:pPr>
      <w:r>
        <w:rPr>
          <w:b/>
          <w:sz w:val="24"/>
          <w:szCs w:val="24"/>
          <w:rFonts w:ascii="Times New Roman" w:hAnsi="Times New Roman"/>
        </w:rPr>
        <w:t xml:space="preserve">Hotărăsc:</w:t>
      </w:r>
    </w:p>
    <w:p w:rsidR="00121B80" w:rsidRPr="006C397D" w:rsidRDefault="00121B80" w:rsidP="006C397D">
      <w:pPr>
        <w:keepNext/>
        <w:widowControl w:val="0"/>
        <w:spacing w:after="0" w:line="240" w:lineRule="auto"/>
      </w:pPr>
      <w:r>
        <w:rPr>
          <w:sz w:val="24"/>
          <w:szCs w:val="24"/>
          <w:rFonts w:ascii="Times New Roman" w:hAnsi="Times New Roman"/>
        </w:rPr>
        <w:t xml:space="preserve"> </w:t>
      </w:r>
    </w:p>
    <w:p w:rsidR="00121B80" w:rsidRPr="006C397D" w:rsidRDefault="00121B80" w:rsidP="006C397D">
      <w:pPr>
        <w:keepNext/>
        <w:widowControl w:val="0"/>
        <w:tabs>
          <w:tab w:val="left" w:pos="3030"/>
        </w:tabs>
        <w:spacing w:after="0" w:line="240" w:lineRule="auto"/>
      </w:pPr>
      <w:r>
        <w:rPr>
          <w:sz w:val="24"/>
          <w:szCs w:val="24"/>
          <w:rFonts w:ascii="Times New Roman" w:hAnsi="Times New Roman"/>
        </w:rPr>
        <w:t xml:space="preserve"> </w:t>
      </w:r>
    </w:p>
    <w:p w:rsidR="00121B80" w:rsidRPr="006C397D" w:rsidRDefault="00121B80" w:rsidP="006C397D">
      <w:pPr>
        <w:pStyle w:val="SNArticle"/>
        <w:keepNext/>
        <w:rPr>
          <w:rFonts w:ascii="Times New Roman" w:hAnsi="Times New Roman" w:cs="Times New Roman"/>
        </w:rPr>
      </w:pPr>
      <w:r>
        <w:rPr>
          <w:rFonts w:ascii="Times New Roman" w:hAnsi="Times New Roman"/>
        </w:rPr>
        <w:t xml:space="preserve">Articolul 1</w:t>
      </w:r>
    </w:p>
    <w:p w:rsidR="00121B80" w:rsidRPr="006C397D" w:rsidRDefault="00371CC6">
      <w:pPr>
        <w:widowControl w:val="0"/>
        <w:spacing w:after="0" w:line="240" w:lineRule="auto"/>
        <w:rPr>
          <w:bCs/>
          <w:sz w:val="24"/>
          <w:szCs w:val="24"/>
          <w:rFonts w:ascii="Times New Roman" w:hAnsi="Times New Roman" w:cs="Times New Roman"/>
        </w:rPr>
      </w:pPr>
      <w:r>
        <w:rPr>
          <w:bCs/>
          <w:sz w:val="24"/>
          <w:szCs w:val="24"/>
          <w:rFonts w:ascii="Times New Roman" w:hAnsi="Times New Roman"/>
        </w:rPr>
        <w:t xml:space="preserve">Se aprobă metoda de calcul anexată la prezentul decret, astfel cum se prevede la articolul R.111-20-5 din Codul construcțiilor și locuințelor.</w:t>
      </w:r>
    </w:p>
    <w:p w:rsidR="001776C9" w:rsidRPr="006C397D" w:rsidRDefault="001776C9">
      <w:pPr>
        <w:widowControl w:val="0"/>
        <w:spacing w:after="0" w:line="240" w:lineRule="auto"/>
        <w:rPr>
          <w:rFonts w:ascii="Times New Roman" w:hAnsi="Times New Roman" w:cs="Times New Roman"/>
          <w:bCs/>
          <w:sz w:val="24"/>
          <w:szCs w:val="24"/>
        </w:rPr>
      </w:pPr>
    </w:p>
    <w:p w:rsidR="006C397D" w:rsidRPr="006C397D" w:rsidRDefault="006C397D">
      <w:pPr>
        <w:widowControl w:val="0"/>
        <w:spacing w:after="0" w:line="240" w:lineRule="auto"/>
        <w:rPr>
          <w:rFonts w:ascii="Times New Roman" w:hAnsi="Times New Roman" w:cs="Times New Roman"/>
          <w:bCs/>
          <w:sz w:val="24"/>
          <w:szCs w:val="24"/>
        </w:rPr>
      </w:pPr>
    </w:p>
    <w:p w:rsidR="00121B80" w:rsidRPr="006C397D" w:rsidRDefault="00121B80" w:rsidP="006C397D">
      <w:pPr>
        <w:keepNext/>
        <w:widowControl w:val="0"/>
        <w:spacing w:after="0" w:line="240" w:lineRule="auto"/>
        <w:jc w:val="center"/>
      </w:pPr>
      <w:r>
        <w:rPr>
          <w:b/>
          <w:bCs/>
          <w:sz w:val="24"/>
          <w:szCs w:val="24"/>
          <w:rFonts w:ascii="Times New Roman" w:hAnsi="Times New Roman"/>
        </w:rPr>
        <w:t xml:space="preserve">Articolul 2</w:t>
      </w:r>
    </w:p>
    <w:p w:rsidR="00121B80" w:rsidRPr="006C397D" w:rsidRDefault="00121B80" w:rsidP="006C397D">
      <w:pPr>
        <w:keepNext/>
        <w:widowControl w:val="0"/>
        <w:spacing w:after="0" w:line="240" w:lineRule="auto"/>
        <w:jc w:val="center"/>
        <w:rPr>
          <w:rFonts w:ascii="Times New Roman" w:hAnsi="Times New Roman" w:cs="Times New Roman"/>
          <w:sz w:val="24"/>
          <w:szCs w:val="24"/>
        </w:rPr>
      </w:pPr>
    </w:p>
    <w:p w:rsidR="00121B80" w:rsidRPr="006C397D" w:rsidRDefault="00371CC6" w:rsidP="006C397D">
      <w:pPr>
        <w:widowControl w:val="0"/>
        <w:spacing w:after="0" w:line="240" w:lineRule="auto"/>
        <w:jc w:val="both"/>
      </w:pPr>
      <w:r>
        <w:rPr>
          <w:color w:val="000000"/>
          <w:sz w:val="24"/>
          <w:szCs w:val="24"/>
          <w:rFonts w:ascii="Times New Roman" w:hAnsi="Times New Roman"/>
        </w:rPr>
        <w:t xml:space="preserve">Directorul pentru habitat, urbanism și amenajare peisagistică și directorul general pentru energie și climă sunt responsabili, fiecare în sfera sa de competență, cu executarea prezentului decret, care va fi publicat în Monitorul oficial al Republicii Franceze.</w:t>
      </w:r>
    </w:p>
    <w:p w:rsidR="00121B80" w:rsidRPr="006C397D" w:rsidRDefault="00121B80">
      <w:pPr>
        <w:widowControl w:val="0"/>
        <w:spacing w:after="0" w:line="240" w:lineRule="auto"/>
        <w:jc w:val="both"/>
      </w:pPr>
    </w:p>
    <w:p w:rsidR="00121B80" w:rsidRPr="006C397D" w:rsidRDefault="00121B80">
      <w:pPr>
        <w:widowControl w:val="0"/>
        <w:spacing w:after="0" w:line="240" w:lineRule="auto"/>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widowControl w:val="0"/>
        <w:spacing w:after="0" w:line="240" w:lineRule="auto"/>
      </w:pPr>
    </w:p>
    <w:p w:rsidR="00121B80" w:rsidRPr="006C397D" w:rsidRDefault="00121B80">
      <w:pPr>
        <w:pStyle w:val="SNSignatureDroite"/>
        <w:jc w:val="left"/>
      </w:pPr>
      <w:r>
        <w:t xml:space="preserve">Ministrul tranziției ecologice</w:t>
      </w:r>
      <w:r>
        <w:t xml:space="preserve"> </w:t>
      </w:r>
    </w:p>
    <w:p w:rsidR="00121B80" w:rsidRPr="006C397D" w:rsidRDefault="00121B80">
      <w:pPr>
        <w:pStyle w:val="SNSignatureDroite"/>
        <w:jc w:val="left"/>
      </w:pPr>
      <w:r>
        <w:t xml:space="preserve">Pentru ministru și prin delegare:</w:t>
      </w:r>
    </w:p>
    <w:p w:rsidR="00371CC6" w:rsidRPr="006C397D" w:rsidRDefault="00121B80">
      <w:pPr>
        <w:pStyle w:val="SNSignatureDroite"/>
        <w:jc w:val="left"/>
      </w:pPr>
      <w:r>
        <w:t xml:space="preserve">Directorul pentru habitat, urbanism și amenajare peisagistică,</w:t>
      </w: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
        <w:ind w:firstLine="0"/>
      </w:pPr>
    </w:p>
    <w:p w:rsidR="00121B80" w:rsidRPr="006C397D" w:rsidRDefault="00121B80">
      <w:pPr>
        <w:pStyle w:val="SNSignature"/>
        <w:ind w:firstLine="0"/>
        <w:jc w:val="right"/>
      </w:pPr>
      <w:r>
        <w:t xml:space="preserve">Ministrul tranziției ecologice,</w:t>
      </w:r>
    </w:p>
    <w:p w:rsidR="00121B80" w:rsidRPr="006C397D" w:rsidRDefault="00121B80">
      <w:pPr>
        <w:pStyle w:val="SNSignature"/>
        <w:ind w:firstLine="0"/>
        <w:jc w:val="right"/>
      </w:pPr>
      <w:r>
        <w:t xml:space="preserve">Pentru ministru și prin delegare:</w:t>
      </w:r>
    </w:p>
    <w:p w:rsidR="00121B80" w:rsidRPr="006C397D" w:rsidRDefault="00121B80">
      <w:pPr>
        <w:pStyle w:val="SNSignature"/>
        <w:ind w:firstLine="0"/>
        <w:jc w:val="right"/>
      </w:pPr>
      <w:r>
        <w:t xml:space="preserve">Directorul general pentru energie și climă,</w:t>
      </w: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pStyle w:val="SNSignature"/>
        <w:ind w:firstLine="0"/>
      </w:pPr>
    </w:p>
    <w:p w:rsidR="00121B80" w:rsidRPr="006C397D" w:rsidRDefault="00121B80">
      <w:pPr>
        <w:pStyle w:val="SNSignatureDroite"/>
        <w:jc w:val="left"/>
      </w:pPr>
      <w:r>
        <w:t xml:space="preserve">Ministrul delegat de pe lângă ministrul tranziției ecologice,</w:t>
      </w:r>
      <w:r>
        <w:t xml:space="preserve"> </w:t>
      </w:r>
    </w:p>
    <w:p w:rsidR="00121B80" w:rsidRPr="006C397D" w:rsidRDefault="00121B80">
      <w:pPr>
        <w:pStyle w:val="SNSignatureDroite"/>
        <w:jc w:val="left"/>
      </w:pPr>
      <w:r>
        <w:t xml:space="preserve">responsabil cu locuințele</w:t>
      </w:r>
    </w:p>
    <w:p w:rsidR="00121B80" w:rsidRPr="006C397D" w:rsidRDefault="00121B80">
      <w:pPr>
        <w:pStyle w:val="SNSignatureDroite"/>
        <w:jc w:val="left"/>
      </w:pPr>
      <w:r>
        <w:t xml:space="preserve">Pentru ministru și prin delegare:</w:t>
      </w:r>
    </w:p>
    <w:p w:rsidR="00121B80" w:rsidRPr="006C397D" w:rsidRDefault="00121B80">
      <w:pPr>
        <w:pStyle w:val="SNSignatureDroite"/>
        <w:jc w:val="left"/>
      </w:pPr>
      <w:r>
        <w:t xml:space="preserve">Directorul pentru habitat, urbanism și amenajare peisagistică,</w:t>
      </w:r>
    </w:p>
    <w:sectPr w:rsidR="00121B80" w:rsidRPr="006C397D">
      <w:pgSz w:w="11906" w:h="16838"/>
      <w:pgMar w:top="1133" w:right="1133" w:bottom="1133" w:left="1133"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A1" w:rsidRDefault="00D269A1" w:rsidP="0079276F">
      <w:pPr>
        <w:spacing w:after="0" w:line="240" w:lineRule="auto"/>
      </w:pPr>
      <w:r>
        <w:separator/>
      </w:r>
    </w:p>
  </w:endnote>
  <w:endnote w:type="continuationSeparator" w:id="0">
    <w:p w:rsidR="00D269A1" w:rsidRDefault="00D269A1" w:rsidP="0079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443">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A1" w:rsidRDefault="00D269A1" w:rsidP="0079276F">
      <w:pPr>
        <w:spacing w:after="0" w:line="240" w:lineRule="auto"/>
      </w:pPr>
      <w:r>
        <w:separator/>
      </w:r>
    </w:p>
  </w:footnote>
  <w:footnote w:type="continuationSeparator" w:id="0">
    <w:p w:rsidR="00D269A1" w:rsidRDefault="00D269A1" w:rsidP="0079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612A"/>
    <w:multiLevelType w:val="hybridMultilevel"/>
    <w:tmpl w:val="596E649E"/>
    <w:lvl w:ilvl="0" w:tplc="DC8EE016">
      <w:start w:val="2"/>
      <w:numFmt w:val="bullet"/>
      <w:lvlText w:val="-"/>
      <w:lvlJc w:val="left"/>
      <w:pPr>
        <w:ind w:left="720" w:hanging="360"/>
      </w:pPr>
      <w:rPr>
        <w:rFonts w:ascii="Times New Roman" w:eastAsia="font44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dirty"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7E"/>
    <w:rsid w:val="000370CB"/>
    <w:rsid w:val="000A64C4"/>
    <w:rsid w:val="00121B80"/>
    <w:rsid w:val="001776C9"/>
    <w:rsid w:val="002B5C7E"/>
    <w:rsid w:val="00304F7E"/>
    <w:rsid w:val="003305DB"/>
    <w:rsid w:val="00371CC6"/>
    <w:rsid w:val="0049409A"/>
    <w:rsid w:val="006C397D"/>
    <w:rsid w:val="0078501D"/>
    <w:rsid w:val="0079276F"/>
    <w:rsid w:val="00837B47"/>
    <w:rsid w:val="00890FE9"/>
    <w:rsid w:val="008F5F95"/>
    <w:rsid w:val="00971E35"/>
    <w:rsid w:val="00972FD1"/>
    <w:rsid w:val="00A73D1D"/>
    <w:rsid w:val="00A92569"/>
    <w:rsid w:val="00AA1C12"/>
    <w:rsid w:val="00D125B4"/>
    <w:rsid w:val="00D269A1"/>
    <w:rsid w:val="00D85F5D"/>
    <w:rsid w:val="00F475E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BE0C78"/>
  <w15:chartTrackingRefBased/>
  <w15:docId w15:val="{43D3994F-6DA6-47FF-AAD0-60A77FD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2" w:lineRule="auto"/>
    </w:pPr>
    <w:rPr>
      <w:rFonts w:ascii="Calibri" w:eastAsia="font443" w:hAnsi="Calibri" w:cs="font44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style>
  <w:style w:type="character" w:customStyle="1" w:styleId="lev1">
    <w:name w:val="Élevé1"/>
    <w:rPr>
      <w:b/>
      <w:bCs/>
    </w:rPr>
  </w:style>
  <w:style w:type="character" w:customStyle="1" w:styleId="CorpsdetexteCar">
    <w:name w:val="Corps de texte Car"/>
    <w:rPr>
      <w:rFonts w:ascii="Times New Roman" w:eastAsia="Times New Roman" w:hAnsi="Times New Roman" w:cs="Times New Roman"/>
      <w:kern w:val="2"/>
      <w:sz w:val="24"/>
      <w:szCs w:val="24"/>
      <w:lang w:eastAsia="zh-CN"/>
    </w:rPr>
  </w:style>
  <w:style w:type="character" w:customStyle="1" w:styleId="SNArticleCar">
    <w:name w:val="SNArticle Car"/>
    <w:rPr>
      <w:b/>
      <w:sz w:val="24"/>
      <w:szCs w:val="24"/>
    </w:rPr>
  </w:style>
  <w:style w:type="character" w:styleId="Hyperlink">
    <w:name w:val="Hyperlink"/>
    <w:rPr>
      <w:color w:val="0563C1"/>
      <w:u w:val="single"/>
    </w:rPr>
  </w:style>
  <w:style w:type="character" w:customStyle="1" w:styleId="Marquedecommentaire1">
    <w:name w:val="Marque de commentaire1"/>
    <w:rPr>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TextedebullesCar">
    <w:name w:val="Texte de bulles Car"/>
    <w:rPr>
      <w:rFonts w:ascii="Segoe UI" w:hAnsi="Segoe UI" w:cs="Segoe UI"/>
      <w:sz w:val="18"/>
      <w:szCs w:val="18"/>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eastAsia="font443" w:cs="Times New Roman"/>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font443" w:cs="Times New Roman"/>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ascii="Times New Roman" w:hAnsi="Times New Roman" w:cs="Times New Roman"/>
      <w:i/>
      <w:iCs/>
      <w:sz w:val="24"/>
      <w:szCs w:val="24"/>
    </w:rPr>
  </w:style>
  <w:style w:type="paragraph" w:customStyle="1" w:styleId="Titre1">
    <w:name w:val="Titre1"/>
    <w:basedOn w:val="Normal"/>
    <w:next w:val="BodyText"/>
    <w:pPr>
      <w:keepNext/>
      <w:spacing w:before="240" w:after="120"/>
    </w:pPr>
    <w:rPr>
      <w:rFonts w:ascii="Liberation Sans" w:eastAsia="微软雅黑" w:hAnsi="Liberation Sans" w:cs="Lucida Sans"/>
      <w:sz w:val="28"/>
      <w:szCs w:val="28"/>
    </w:rPr>
  </w:style>
  <w:style w:type="paragraph" w:styleId="BodyText">
    <w:name w:val="Body Text"/>
    <w:basedOn w:val="Normal"/>
    <w:pPr>
      <w:spacing w:after="120" w:line="240" w:lineRule="auto"/>
      <w:jc w:val="both"/>
    </w:pPr>
    <w:rPr>
      <w:rFonts w:ascii="Times New Roman" w:eastAsia="Times New Roman" w:hAnsi="Times New Roman" w:cs="Times New Roman"/>
      <w:kern w:val="2"/>
      <w:sz w:val="24"/>
      <w:szCs w:val="24"/>
      <w:lang w:eastAsia="zh-CN"/>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SNNORCentr">
    <w:name w:val="SNNOR+Centré"/>
    <w:next w:val="Normal"/>
    <w:pPr>
      <w:suppressAutoHyphens/>
      <w:jc w:val="center"/>
    </w:pPr>
    <w:rPr>
      <w:bCs/>
      <w:kern w:val="2"/>
      <w:sz w:val="24"/>
      <w:lang w:eastAsia="zh-CN"/>
    </w:rPr>
  </w:style>
  <w:style w:type="paragraph" w:customStyle="1" w:styleId="Corpsdetexte21">
    <w:name w:val="Corps de texte 21"/>
    <w:basedOn w:val="Normal"/>
    <w:pPr>
      <w:spacing w:after="0" w:line="240" w:lineRule="auto"/>
      <w:jc w:val="center"/>
    </w:pPr>
    <w:rPr>
      <w:rFonts w:ascii="Times New Roman" w:eastAsia="Times New Roman" w:hAnsi="Times New Roman" w:cs="Times New Roman"/>
      <w:b/>
      <w:bCs/>
      <w:kern w:val="2"/>
      <w:sz w:val="24"/>
      <w:szCs w:val="24"/>
      <w:lang w:eastAsia="zh-CN"/>
    </w:rPr>
  </w:style>
  <w:style w:type="paragraph" w:customStyle="1" w:styleId="western">
    <w:name w:val="western"/>
    <w:basedOn w:val="Normal"/>
    <w:pPr>
      <w:spacing w:before="100" w:after="119" w:line="240" w:lineRule="auto"/>
      <w:jc w:val="both"/>
    </w:pPr>
    <w:rPr>
      <w:rFonts w:ascii="Times New Roman" w:eastAsia="Times New Roman" w:hAnsi="Times New Roman" w:cs="Times New Roman"/>
      <w:kern w:val="2"/>
      <w:sz w:val="24"/>
      <w:szCs w:val="24"/>
      <w:lang w:eastAsia="zh-CN"/>
    </w:rPr>
  </w:style>
  <w:style w:type="paragraph" w:customStyle="1" w:styleId="SNSignature">
    <w:name w:val="SNSignature"/>
    <w:basedOn w:val="Normal"/>
    <w:pPr>
      <w:spacing w:after="0" w:line="240" w:lineRule="auto"/>
      <w:ind w:firstLine="720"/>
    </w:pPr>
    <w:rPr>
      <w:rFonts w:ascii="Times New Roman" w:eastAsia="Times New Roman" w:hAnsi="Times New Roman" w:cs="Times New Roman"/>
      <w:kern w:val="2"/>
      <w:sz w:val="24"/>
      <w:szCs w:val="24"/>
      <w:lang w:eastAsia="zh-CN"/>
    </w:rPr>
  </w:style>
  <w:style w:type="paragraph" w:customStyle="1" w:styleId="SNSignatureDroite">
    <w:name w:val="SNSignature Droite"/>
    <w:basedOn w:val="Normal"/>
    <w:pPr>
      <w:spacing w:after="0" w:line="240" w:lineRule="auto"/>
      <w:jc w:val="right"/>
    </w:pPr>
    <w:rPr>
      <w:rFonts w:ascii="Times New Roman" w:eastAsia="Times New Roman" w:hAnsi="Times New Roman" w:cs="Times New Roman"/>
      <w:kern w:val="2"/>
      <w:sz w:val="24"/>
      <w:szCs w:val="24"/>
      <w:lang w:eastAsia="zh-CN"/>
    </w:rPr>
  </w:style>
  <w:style w:type="paragraph" w:customStyle="1" w:styleId="SNAutorit">
    <w:name w:val="SNAutorité"/>
    <w:basedOn w:val="Normal"/>
    <w:pPr>
      <w:spacing w:before="720" w:after="240" w:line="240" w:lineRule="auto"/>
      <w:ind w:firstLine="720"/>
    </w:pPr>
    <w:rPr>
      <w:rFonts w:ascii="Times New Roman" w:eastAsia="Times New Roman" w:hAnsi="Times New Roman" w:cs="Times New Roman"/>
      <w:b/>
      <w:kern w:val="2"/>
      <w:sz w:val="24"/>
      <w:szCs w:val="24"/>
      <w:lang w:eastAsia="zh-CN"/>
    </w:rPr>
  </w:style>
  <w:style w:type="paragraph" w:customStyle="1" w:styleId="SNVisa">
    <w:name w:val="SNVisa"/>
    <w:basedOn w:val="Normal"/>
    <w:pPr>
      <w:spacing w:before="120" w:after="120" w:line="240" w:lineRule="auto"/>
      <w:ind w:firstLine="720"/>
    </w:pPr>
    <w:rPr>
      <w:rFonts w:ascii="Times New Roman" w:eastAsia="Times New Roman" w:hAnsi="Times New Roman" w:cs="Times New Roman"/>
      <w:sz w:val="24"/>
      <w:szCs w:val="24"/>
    </w:rPr>
  </w:style>
  <w:style w:type="paragraph" w:styleId="NormalWeb">
    <w:name w:val="Normal (Web)"/>
    <w:basedOn w:val="Normal"/>
    <w:pPr>
      <w:spacing w:before="280" w:after="142" w:line="288" w:lineRule="auto"/>
    </w:pPr>
    <w:rPr>
      <w:rFonts w:ascii="Times New Roman" w:eastAsia="Times New Roman" w:hAnsi="Times New Roman" w:cs="Times New Roman"/>
      <w:sz w:val="24"/>
      <w:szCs w:val="24"/>
    </w:rPr>
  </w:style>
  <w:style w:type="paragraph" w:customStyle="1" w:styleId="SNArticle">
    <w:name w:val="SNArticle"/>
    <w:basedOn w:val="Normal"/>
    <w:next w:val="BodyText"/>
    <w:pPr>
      <w:spacing w:before="240" w:after="240" w:line="240" w:lineRule="auto"/>
      <w:jc w:val="center"/>
    </w:pPr>
    <w:rPr>
      <w:b/>
      <w:sz w:val="24"/>
      <w:szCs w:val="24"/>
    </w:rPr>
  </w:style>
  <w:style w:type="paragraph" w:customStyle="1" w:styleId="Paragraphedeliste1">
    <w:name w:val="Paragraphe de liste1"/>
    <w:basedOn w:val="Normal"/>
    <w:pPr>
      <w:ind w:left="720"/>
      <w:contextualSpacing/>
    </w:pPr>
  </w:style>
  <w:style w:type="paragraph" w:customStyle="1" w:styleId="SNREPUBLIQUE">
    <w:name w:val="SNREPUBLIQUE"/>
    <w:basedOn w:val="Normal"/>
    <w:pPr>
      <w:spacing w:after="0" w:line="240" w:lineRule="auto"/>
      <w:jc w:val="center"/>
    </w:pPr>
    <w:rPr>
      <w:rFonts w:ascii="Times New Roman" w:eastAsia="Times New Roman" w:hAnsi="Times New Roman" w:cs="Times New Roman"/>
      <w:b/>
      <w:bCs/>
      <w:kern w:val="2"/>
      <w:sz w:val="24"/>
      <w:szCs w:val="20"/>
      <w:lang w:eastAsia="zh-CN"/>
    </w:rPr>
  </w:style>
  <w:style w:type="paragraph" w:customStyle="1" w:styleId="SNTimbre">
    <w:name w:val="SNTimbre"/>
    <w:basedOn w:val="Normal"/>
    <w:pPr>
      <w:widowControl w:val="0"/>
      <w:snapToGrid w:val="0"/>
      <w:spacing w:before="120" w:after="0" w:line="240" w:lineRule="auto"/>
      <w:jc w:val="center"/>
    </w:pPr>
    <w:rPr>
      <w:rFonts w:ascii="Times New Roman" w:eastAsia="Lucida Sans Unicode" w:hAnsi="Times New Roman" w:cs="Times New Roman"/>
      <w:kern w:val="2"/>
      <w:sz w:val="24"/>
      <w:szCs w:val="24"/>
      <w:lang w:eastAsia="zh-CN"/>
    </w:rPr>
  </w:style>
  <w:style w:type="paragraph" w:customStyle="1" w:styleId="Commentaire1">
    <w:name w:val="Commentaire1"/>
    <w:basedOn w:val="Normal"/>
    <w:pPr>
      <w:spacing w:line="240" w:lineRule="auto"/>
    </w:pPr>
    <w:rPr>
      <w:sz w:val="20"/>
      <w:szCs w:val="20"/>
    </w:rPr>
  </w:style>
  <w:style w:type="paragraph" w:customStyle="1" w:styleId="Objetducommentaire1">
    <w:name w:val="Objet du commentaire1"/>
    <w:basedOn w:val="Commentaire1"/>
    <w:next w:val="Commentaire1"/>
    <w:rPr>
      <w:b/>
      <w:bCs/>
    </w:rPr>
  </w:style>
  <w:style w:type="paragraph" w:customStyle="1" w:styleId="Textedebulles1">
    <w:name w:val="Texte de bulles1"/>
    <w:basedOn w:val="Normal"/>
    <w:pPr>
      <w:spacing w:after="0" w:line="240" w:lineRule="auto"/>
    </w:pPr>
    <w:rPr>
      <w:rFonts w:ascii="Segoe UI" w:hAnsi="Segoe UI" w:cs="Segoe UI"/>
      <w:sz w:val="18"/>
      <w:szCs w:val="18"/>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Rvision1">
    <w:name w:val="Révision1"/>
    <w:pPr>
      <w:suppressAutoHyphens/>
    </w:pPr>
    <w:rPr>
      <w:rFonts w:ascii="Calibri" w:eastAsia="font443" w:hAnsi="Calibri" w:cs="font443"/>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CommentReference">
    <w:name w:val="annotation reference"/>
    <w:uiPriority w:val="99"/>
    <w:semiHidden/>
    <w:unhideWhenUsed/>
    <w:rsid w:val="00371CC6"/>
    <w:rPr>
      <w:sz w:val="16"/>
      <w:szCs w:val="16"/>
    </w:rPr>
  </w:style>
  <w:style w:type="paragraph" w:styleId="CommentText">
    <w:name w:val="annotation text"/>
    <w:basedOn w:val="Normal"/>
    <w:link w:val="CommentTextChar"/>
    <w:uiPriority w:val="99"/>
    <w:semiHidden/>
    <w:unhideWhenUsed/>
    <w:rsid w:val="00371CC6"/>
    <w:rPr>
      <w:sz w:val="20"/>
      <w:szCs w:val="20"/>
    </w:rPr>
  </w:style>
  <w:style w:type="character" w:customStyle="1" w:styleId="CommentTextChar">
    <w:name w:val="Comment Text Char"/>
    <w:link w:val="CommentText"/>
    <w:uiPriority w:val="99"/>
    <w:semiHidden/>
    <w:rsid w:val="00371CC6"/>
    <w:rPr>
      <w:rFonts w:ascii="Calibri" w:eastAsia="font443" w:hAnsi="Calibri" w:cs="font443"/>
    </w:rPr>
  </w:style>
  <w:style w:type="paragraph" w:styleId="CommentSubject">
    <w:name w:val="annotation subject"/>
    <w:basedOn w:val="CommentText"/>
    <w:next w:val="CommentText"/>
    <w:link w:val="CommentSubjectChar"/>
    <w:uiPriority w:val="99"/>
    <w:semiHidden/>
    <w:unhideWhenUsed/>
    <w:rsid w:val="00371CC6"/>
    <w:rPr>
      <w:b/>
      <w:bCs/>
    </w:rPr>
  </w:style>
  <w:style w:type="character" w:customStyle="1" w:styleId="CommentSubjectChar">
    <w:name w:val="Comment Subject Char"/>
    <w:link w:val="CommentSubject"/>
    <w:uiPriority w:val="99"/>
    <w:semiHidden/>
    <w:rsid w:val="00371CC6"/>
    <w:rPr>
      <w:rFonts w:ascii="Calibri" w:eastAsia="font443" w:hAnsi="Calibri" w:cs="font443"/>
      <w:b/>
      <w:bCs/>
    </w:rPr>
  </w:style>
  <w:style w:type="paragraph" w:styleId="BalloonText">
    <w:name w:val="Balloon Text"/>
    <w:basedOn w:val="Normal"/>
    <w:link w:val="BalloonTextChar"/>
    <w:uiPriority w:val="99"/>
    <w:semiHidden/>
    <w:unhideWhenUsed/>
    <w:rsid w:val="00371C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1CC6"/>
    <w:rPr>
      <w:rFonts w:ascii="Segoe UI" w:eastAsia="font443"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4875</CharactersWithSpaces>
  <SharedDoc>false</SharedDoc>
  <HLinks>
    <vt:vector size="6" baseType="variant">
      <vt:variant>
        <vt:i4>3801195</vt:i4>
      </vt:variant>
      <vt:variant>
        <vt:i4>0</vt:i4>
      </vt:variant>
      <vt:variant>
        <vt:i4>0</vt:i4>
      </vt:variant>
      <vt:variant>
        <vt:i4>5</vt:i4>
      </vt:variant>
      <vt:variant>
        <vt:lpwstr>http://www.legifrance.gouv.fr/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THIEBAUT Alois V0.10</dc:creator>
  <cp:keywords/>
  <cp:lastModifiedBy>Liu, Lei</cp:lastModifiedBy>
  <cp:revision>5</cp:revision>
  <cp:lastPrinted>1899-12-31T23:00:00Z</cp:lastPrinted>
  <dcterms:created xsi:type="dcterms:W3CDTF">2020-12-11T13:33:00Z</dcterms:created>
  <dcterms:modified xsi:type="dcterms:W3CDTF">2020-12-14T13:00:00Z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jforCreatedThisOn">
    <vt:lpwstr>Wed Jan 15 14:01:39 CET 2020</vt:lpwstr>
  </property>
  <property fmtid="{D5CDD505-2E9C-101B-9397-08002B2CF9AE}" pid="9" name="jforVersion">
    <vt:lpwstr>jfor V0.7.2rc1 - see http://www.jfor.org</vt:lpwstr>
  </property>
</Properties>
</file>