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2D7B" w14:textId="77777777" w:rsidR="001E2566" w:rsidRPr="001E2566" w:rsidRDefault="001E2566" w:rsidP="001E256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Ordinul din 4 august 2021 privind cerințele de performanță energetică și de mediu pentru clădirile din Franța metropolitană și pentru aprobarea modului de calcul prevăzut la articolul R. 172-6 din Codul construcțiilor și al locuințelor</w:t>
      </w:r>
    </w:p>
    <w:p w14:paraId="6B6A81B7"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 DISPOZIȚII GENERALE (articolele 1-7)</w:t>
      </w:r>
    </w:p>
    <w:p w14:paraId="6FFF2A3F" w14:textId="45D89090"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II</w:t>
      </w:r>
      <w:r w:rsidR="000506AB">
        <w:rPr>
          <w:rFonts w:ascii="Times New Roman" w:hAnsi="Times New Roman"/>
          <w:sz w:val="24"/>
        </w:rPr>
        <w:t>:</w:t>
      </w:r>
      <w:r>
        <w:rPr>
          <w:rFonts w:ascii="Times New Roman" w:hAnsi="Times New Roman"/>
          <w:sz w:val="24"/>
        </w:rPr>
        <w:t xml:space="preserve"> SPECIFICAȚII PRIVIND EXPRIMAREA CERINȚELOR DE PERFORMANȚĂ ENERGETICĂ ȘI DE MEDIU (articolele 8-18)</w:t>
      </w:r>
    </w:p>
    <w:p w14:paraId="2B04B68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III: CARACTERISTICI ȘI CERINȚE TERMICE PENTRU MIJLOACE (PER COMPONENTĂ) (articolele 19-40)</w:t>
      </w:r>
    </w:p>
    <w:p w14:paraId="6EDB8527"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IV: PROPUNERE DE METODE DE APLICARE SIMPLIFICATE ÎN LOCUINȚE INDIVIDUALE (articolele 41-42)</w:t>
      </w:r>
    </w:p>
    <w:p w14:paraId="76900BC5"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V CAZURI SPECIALE (articolele 43-44)</w:t>
      </w:r>
    </w:p>
    <w:p w14:paraId="0F208645"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Titlul VI: DISPOZIȚII DIVERSE (articolele 45-52)</w:t>
      </w:r>
    </w:p>
    <w:p w14:paraId="6DCBC8B9"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Anexă</w:t>
      </w:r>
    </w:p>
    <w:p w14:paraId="3DE0623C" w14:textId="58602029"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Categorii de public vizate: diriginți de șantier, responsabili științifici, constructori și promotori, arhitecți, birouri de studii termice și de mediu, economiști în construcții, controlori tehnici, companii de construcții clădiri, industria materialelor de construcții și a sistemelor tehnice pentru clădiri, furnizori de energie, din Franța metropolitană, editori de software. </w:t>
      </w:r>
      <w:r>
        <w:rPr>
          <w:rFonts w:ascii="Times New Roman" w:hAnsi="Times New Roman"/>
          <w:sz w:val="24"/>
        </w:rPr>
        <w:br/>
        <w:t xml:space="preserve">Scop: pentru clădiri noi și extinderi ale clădirilor din Franța metropolitană, stabilirea cerințelor privind caracteristicile energetice și de mediu ale acestora; precizii de fixare a performanțelor energetice și de mediu ale acestora; stabilirea modului de calcul al performanței energetice și de mediu a acestora. </w:t>
      </w:r>
      <w:r>
        <w:rPr>
          <w:rFonts w:ascii="Times New Roman" w:hAnsi="Times New Roman"/>
          <w:sz w:val="24"/>
        </w:rPr>
        <w:br/>
        <w:t xml:space="preserve">Intrare în vigoare: aceste cerințe, precum și metoda de calcul se aplică de la 1 ianuarie 2022 construcției de clădiri sau de părți ale clădirilor pentru uz rezidențial și, de la 1 iulie 2022, construcției de clădiri sau părți ale clădirilor pentru utilizare de birou sau de învățământ primar sau secundar. Acestea se aplică, de asemenea, construcțiilor și extinderilor temporare, în funcție de suprafața lor, utilizate în aceleași scopuri începând cu 1 ianuarie 2023. Aceste cerințe se aplică, de asemenea, construcțiilor, inclusiv celor care nu necesită o autorizație de construcție sau o declarație prealabilă. </w:t>
      </w:r>
      <w:r>
        <w:rPr>
          <w:rFonts w:ascii="Times New Roman" w:hAnsi="Times New Roman"/>
          <w:sz w:val="24"/>
        </w:rPr>
        <w:br/>
        <w:t xml:space="preserve">Notă: prezentul ordin stabilește cerințele privind resursele (sau pentru fiecare componentă) pe care trebuie să le îndeplinească clădirile menționate mai sus, situate în Franța metropolitană. Acesta specifică modul de stabilire a următoarelor cinci cerințe privind rezultatele (sau generale): (1) optimizarea proiectării energetice a clădirii independent de sistemele energetice implementate; (2) limitarea consumului de energie primară, (3) limitarea impactului asupra schimbărilor climatice asociat acestor consumuri; (4) limitarea impactului componentelor clădirii asupra schimbărilor climatice; (5) limitarea situațiilor de disconfort în clădire în timpul verii. În final: decretul stabilește metoda de calcul al performanței energetice și de mediu a clădirilor rezidențiale, de birouri sau pentru unitățile de învățământ primar sau secundar din Franța metropolitană, prin intermediul a trei anexe: </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w:t>
      </w:r>
      <w:r w:rsidR="000506AB">
        <w:rPr>
          <w:rFonts w:ascii="Times New Roman" w:hAnsi="Times New Roman"/>
          <w:sz w:val="24"/>
        </w:rPr>
        <w:t>ANEXA </w:t>
      </w:r>
      <w:r>
        <w:rPr>
          <w:rFonts w:ascii="Times New Roman" w:hAnsi="Times New Roman"/>
          <w:sz w:val="24"/>
        </w:rPr>
        <w:t xml:space="preserve">II: Norme generale privind calculul performanțelor energetice și de mediu; </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w:t>
      </w:r>
      <w:r w:rsidR="000506AB">
        <w:rPr>
          <w:rFonts w:ascii="Times New Roman" w:hAnsi="Times New Roman"/>
          <w:sz w:val="24"/>
        </w:rPr>
        <w:t>ANEXA </w:t>
      </w:r>
      <w:r>
        <w:rPr>
          <w:rFonts w:ascii="Times New Roman" w:hAnsi="Times New Roman"/>
          <w:sz w:val="24"/>
        </w:rPr>
        <w:t xml:space="preserve">III: Metoda de calcul „Th-BCE 2020”, care detaliază normele de calcul al performanței energetice; </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ANEXA IV: Normele „Th-Bat 2020”, pentru a determina datele de intrare pentru calculele de performanță energetică. </w:t>
      </w:r>
      <w:r>
        <w:rPr>
          <w:rFonts w:ascii="Times New Roman" w:hAnsi="Times New Roman"/>
          <w:sz w:val="24"/>
        </w:rPr>
        <w:br/>
      </w:r>
      <w:r>
        <w:rPr>
          <w:rFonts w:ascii="Times New Roman" w:hAnsi="Times New Roman"/>
          <w:sz w:val="24"/>
        </w:rPr>
        <w:lastRenderedPageBreak/>
        <w:t xml:space="preserve">Referințe: textul scris astfel cum a fost modificat prin prezentul decret poate fi consultat ca atare pe pagina de internet Légifrance (www.legifrance.gouv.fr). </w:t>
      </w:r>
    </w:p>
    <w:p w14:paraId="6425698B"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tranziției ecologice și ministrul delegat pe lângă ministrul tranziției ecologice, responsabil cu locuințele,</w:t>
      </w:r>
      <w:r>
        <w:rPr>
          <w:rFonts w:ascii="Times New Roman" w:hAnsi="Times New Roman"/>
          <w:sz w:val="24"/>
        </w:rPr>
        <w:br/>
        <w:t>având în vedere Directiva 2010/31/UE a Parlamentului European și a Consiliului din 19 mai 2010 privind performanța energetică a clădirilor, astfel cum a fost modificată prin Directiva 2018/844 a Parlamentului European și a Consiliului din 30 mai 2018, în special articolul 3 din aceasta,</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 (text codificat),</w:t>
      </w:r>
      <w:r>
        <w:rPr>
          <w:rFonts w:ascii="Times New Roman" w:hAnsi="Times New Roman"/>
          <w:sz w:val="24"/>
        </w:rPr>
        <w:br/>
        <w:t>având în vedere Codul construcțiilor și al locuințelor, în special articolele L. 181-1, R. 172-1 la R. 172-9 și R. 126-16 din acesta,</w:t>
      </w:r>
      <w:r>
        <w:rPr>
          <w:rFonts w:ascii="Times New Roman" w:hAnsi="Times New Roman"/>
          <w:sz w:val="24"/>
        </w:rPr>
        <w:br/>
        <w:t>având în vedere Codul energiei, în special articolele R. 241-26 și R. 241-30 din acesta,</w:t>
      </w:r>
      <w:r>
        <w:rPr>
          <w:rFonts w:ascii="Times New Roman" w:hAnsi="Times New Roman"/>
          <w:sz w:val="24"/>
        </w:rPr>
        <w:br/>
        <w:t>având în vedere Codul de urbanism, în special articolele L. 151-19, R*. 421-2 și R*. 421-5,</w:t>
      </w:r>
      <w:r>
        <w:rPr>
          <w:rFonts w:ascii="Times New Roman" w:hAnsi="Times New Roman"/>
          <w:sz w:val="24"/>
        </w:rPr>
        <w:br/>
        <w:t>având în vedere Decretul din 3 mai 2007 privind caracteristicile termice și performanța energetică a clădirilor existente, care enumeră toate lucrările în cauză și stabilește cerințele aferente, astfel cum a fost modificat prin Decretul din 22 martie 2017,</w:t>
      </w:r>
      <w:r>
        <w:rPr>
          <w:rFonts w:ascii="Times New Roman" w:hAnsi="Times New Roman"/>
          <w:sz w:val="24"/>
        </w:rPr>
        <w:br/>
        <w:t>având în vedere Ordinul din 13 iunie 2008 privind performanța energetică a clădirilor existente cu o suprafață mai mare de 1 000 m², în curs de renovări majore;</w:t>
      </w:r>
      <w:r>
        <w:rPr>
          <w:rFonts w:ascii="Times New Roman" w:hAnsi="Times New Roman"/>
          <w:sz w:val="24"/>
        </w:rPr>
        <w:br/>
        <w:t>având în vedere Decretul din 26 octombrie 2010 privind caracteristicile termice și cerințele de performanță energetică ale clădirilor noi și ale noilor părți ale clădirilor;</w:t>
      </w:r>
      <w:r>
        <w:rPr>
          <w:rFonts w:ascii="Times New Roman" w:hAnsi="Times New Roman"/>
          <w:sz w:val="24"/>
        </w:rPr>
        <w:br/>
        <w:t>având în vedere Ordinul din 28 decembrie 2012 privind caracteristicile termice și cerințele de performanță energetică ale clădirilor noi și ale părților noi ale clădirilor, altele decât cele vizate la articolul 2 din Decretul din 26 octombrie 2010 privind caracteristicile termice și energia de performanță a clădirilor;</w:t>
      </w:r>
      <w:r>
        <w:rPr>
          <w:rFonts w:ascii="Times New Roman" w:hAnsi="Times New Roman"/>
          <w:sz w:val="24"/>
        </w:rPr>
        <w:br/>
        <w:t>având în vedere avizul Consiliului superior al energiei (CSE), emis la 25 martie 2021,</w:t>
      </w:r>
      <w:r>
        <w:rPr>
          <w:rFonts w:ascii="Times New Roman" w:hAnsi="Times New Roman"/>
          <w:sz w:val="24"/>
        </w:rPr>
        <w:br/>
        <w:t>având în vedere avizul Consiliului superior al construcțiilor și eficienței energetice din 13 aprilie 2021,</w:t>
      </w:r>
      <w:r>
        <w:rPr>
          <w:rFonts w:ascii="Times New Roman" w:hAnsi="Times New Roman"/>
          <w:sz w:val="24"/>
        </w:rPr>
        <w:br/>
        <w:t>având în vedere avizele Consiliului Național de Evaluare a Standardelor din 1 aprilie și 6 mai 2021,</w:t>
      </w:r>
      <w:r>
        <w:rPr>
          <w:rFonts w:ascii="Times New Roman" w:hAnsi="Times New Roman"/>
          <w:sz w:val="24"/>
        </w:rPr>
        <w:br/>
        <w:t>având în vedere notificările nr. 2020/791/F și nr. 2020/792/F trimise Comisiei Europene la 14 decembrie 2020 și răspunsul Comisiei din 15 iunie 2021,</w:t>
      </w:r>
      <w:r>
        <w:rPr>
          <w:rFonts w:ascii="Times New Roman" w:hAnsi="Times New Roman"/>
          <w:sz w:val="24"/>
        </w:rPr>
        <w:br/>
        <w:t>având în vedere observațiile formulate în cadrul consultării publice desfășurate în perioada 23 martie 2021-13 aprilie 2021, în aplicarea articolului L. 123-19-1 din Codul mediului,</w:t>
      </w:r>
      <w:r>
        <w:rPr>
          <w:rFonts w:ascii="Times New Roman" w:hAnsi="Times New Roman"/>
          <w:sz w:val="24"/>
        </w:rPr>
        <w:br/>
        <w:t>Decret:</w:t>
      </w:r>
    </w:p>
    <w:p w14:paraId="0A4ED9D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I: DISPOZIȚII GENERALE (articolele 1-7)</w:t>
      </w:r>
    </w:p>
    <w:p w14:paraId="0E0870A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I: DOMENIUL DE APLICARE (articolele 1-2)</w:t>
      </w:r>
    </w:p>
    <w:p w14:paraId="74D6F5E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w:t>
      </w:r>
    </w:p>
    <w:p w14:paraId="75A3CDE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Dispozițiile prezentului ordin se aplică construcției de clădiri și părți de clădiri cu destinație rezidențială, de birouri și de învățământ primar sau gimnazial care fac obiectul articolului R. 172-1 din Codul construcțiilor și al locuințelor, precum și </w:t>
      </w:r>
      <w:r>
        <w:rPr>
          <w:rFonts w:ascii="Times New Roman" w:hAnsi="Times New Roman"/>
          <w:sz w:val="24"/>
        </w:rPr>
        <w:lastRenderedPageBreak/>
        <w:t>construcției de parcări asociate acestor construcții.</w:t>
      </w:r>
      <w:r>
        <w:rPr>
          <w:rFonts w:ascii="Times New Roman" w:hAnsi="Times New Roman"/>
          <w:sz w:val="24"/>
        </w:rPr>
        <w:br/>
        <w:t>Acestea nu se aplică clădirilor situate în Guadelupa, Guyana, Martinica, Reunion și Mayotte.</w:t>
      </w:r>
    </w:p>
    <w:p w14:paraId="281FA31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w:t>
      </w:r>
    </w:p>
    <w:p w14:paraId="60C0606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 parte dintr-o clădire poate fi asimilată utilizării principale a clădirii, cu aplicarea cerințelor asociate, atunci când sunt îndeplinite următoarele condiții cumulative:</w:t>
      </w:r>
    </w:p>
    <w:p w14:paraId="4F4022D8" w14:textId="3C0C12CE"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suprafața de referință a părții clădirii în cauză este mai mică de 150 m² și mai mică de 10 % din suprafața de referință a destinației principale a clădirii;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partea clădirii care corespunde destinației principale face obiectul prezentului ordin, al Ordinului din 26 octombrie 2010 menționat mai sus sau al Ordinului din 28 decembrie 2012, menționat mai sus.</w:t>
      </w:r>
    </w:p>
    <w:p w14:paraId="6A858BD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 parte dintr-o clădire utilizată ca locuință individuală nu poate fi asimilată unei alte utilizări.</w:t>
      </w:r>
      <w:r>
        <w:rPr>
          <w:rFonts w:ascii="Times New Roman" w:hAnsi="Times New Roman"/>
          <w:sz w:val="24"/>
        </w:rPr>
        <w:br/>
        <w:t>Suprafața de referință a clădirii, denumită SREF, este definită în capitolul I capitolul X din anexa la articolul R. 172-4 din Codul construcțiilor și al locuinței. Cu excepția cazului în care se prevede altfel, aceasta va fi suprafața utilizată în prezentul ordin.</w:t>
      </w:r>
    </w:p>
    <w:p w14:paraId="20537D7F"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II: PROCEDURI PENTRU APLICAREA TEMPORARĂ (articolul 3)</w:t>
      </w:r>
    </w:p>
    <w:p w14:paraId="3E022D4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w:t>
      </w:r>
    </w:p>
    <w:p w14:paraId="7490DDB4" w14:textId="551734E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8B353F">
        <w:rPr>
          <w:rFonts w:ascii="Times New Roman" w:hAnsi="Times New Roman"/>
          <w:sz w:val="24"/>
        </w:rPr>
        <w:t>-</w:t>
      </w:r>
      <w:r>
        <w:rPr>
          <w:rFonts w:ascii="Times New Roman" w:hAnsi="Times New Roman"/>
          <w:sz w:val="24"/>
        </w:rPr>
        <w:t xml:space="preserve"> În conformitate cu articolul R. 172-1 alineatul II din Codul construcțiilor și al locuinței, dispozițiile prezentului ordin se aplică numai de la 1 ianuarie 2023 locuințelor recreative ușoare în sensul articolului R.* 421-2 din Codul urbanistic și construcțiilor temporare în sensul articolului R.* 421-5 din același cod.</w:t>
      </w:r>
      <w:r>
        <w:rPr>
          <w:rFonts w:ascii="Times New Roman" w:hAnsi="Times New Roman"/>
          <w:sz w:val="24"/>
        </w:rPr>
        <w:br/>
        <w:t xml:space="preserve">II. </w:t>
      </w:r>
      <w:r w:rsidR="008B353F">
        <w:rPr>
          <w:rFonts w:ascii="Times New Roman" w:hAnsi="Times New Roman"/>
          <w:sz w:val="24"/>
        </w:rPr>
        <w:t>-</w:t>
      </w:r>
      <w:r>
        <w:rPr>
          <w:rFonts w:ascii="Times New Roman" w:hAnsi="Times New Roman"/>
          <w:sz w:val="24"/>
        </w:rPr>
        <w:t xml:space="preserve"> În conformitate cu art. R. 172-3 din Codul construcțiilor și al locuinței, dispozițiile prezentei ordonanțe se aplică numai de la 1 ianuarie 2023:</w:t>
      </w:r>
    </w:p>
    <w:p w14:paraId="74963075" w14:textId="7E8530A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clădiri și extinderi ale clădirilor cu o suprafață de referință mai mică de 50 m²;</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extinderi ale caselor individuale sau adiacente cu o suprafață de referință strict cuprinsă între 50 m² și 100 m²;</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extinderi pentru alte utilizări decât casele individuale cu o suprafață de referință mai mică de 150 m² și 30 % din suprafața de referință a spațiilor existente.</w:t>
      </w:r>
    </w:p>
    <w:p w14:paraId="40CDF24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Pentru aceste clădiri, până la 31 decembrie 2022, se aplică numai dispozițiile Ordinului din 26 octombrie 2010 menționat anterior.</w:t>
      </w:r>
    </w:p>
    <w:p w14:paraId="37D3D4A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III: DEFINIȚII (articolul 4)</w:t>
      </w:r>
    </w:p>
    <w:p w14:paraId="5490C143"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Articolul 4</w:t>
      </w:r>
    </w:p>
    <w:p w14:paraId="5052F796" w14:textId="3C3F253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Termenii necesari pentru înțelegerea acestui ordin sunt definiți în Anexa I. Indicatorii Bbio, Cep, Cep, nr, Icenergy, Icconstruction, DH, Icbuilding, StockC, Icconstruction și Icded, precum și valorile maxime Bbio_max, Cep_max, Cep, nr_max, Icenergy_max, Icconstruction_max și DH_max, menționate în prezentul ordin, sunt definite în capitolul I I-IX din anexa la articolul R. 172-4 din Codul construcțiilor și al locuințelor.</w:t>
      </w:r>
    </w:p>
    <w:p w14:paraId="19F123F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IV: CERINȚE DE PERFORMANȚĂ ENERGETICĂ ȘI DE MEDIU ȘI CARACTERISTICI TEHNICE MINIME (articolele 5-7)</w:t>
      </w:r>
    </w:p>
    <w:p w14:paraId="52FC7DF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5</w:t>
      </w:r>
    </w:p>
    <w:p w14:paraId="3B7A178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Clădirile sau părțile de clădiri care fac obiectul prezentului ordin trebuie să respecte cerințele prevăzute la articolul R. 172-4 din Codul construcțiilor și al locuințelor și stabilite în conformitate cu procedurile prevăzute în anexa la acest articol și la articolul 8 din prezentul ordin.</w:t>
      </w:r>
    </w:p>
    <w:p w14:paraId="55E6180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6</w:t>
      </w:r>
    </w:p>
    <w:p w14:paraId="7734609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Caracteristicile tehnice minime ale anumitor componente ale clădirilor sau ansamblurilor de componente ale clădirilor care fac obiectul prezentului ordin trebuie să respecte cerințele prevăzute în titlul III din prezentul ordin.</w:t>
      </w:r>
    </w:p>
    <w:p w14:paraId="2F6971F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7</w:t>
      </w:r>
    </w:p>
    <w:p w14:paraId="7B46021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Clădirile ale căror caracteristici sunt conforme cu metodele simplificate de aplicare, aprobate în condițiile descrise în titlul IV din prezentul ordin, sunt considerate conforme cu cerințele prezentului ordin.</w:t>
      </w:r>
    </w:p>
    <w:p w14:paraId="47CB4C1A" w14:textId="3DA81D73"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II</w:t>
      </w:r>
      <w:r w:rsidR="00FB4F4B">
        <w:rPr>
          <w:rFonts w:ascii="Times New Roman" w:hAnsi="Times New Roman"/>
          <w:b/>
          <w:sz w:val="27"/>
        </w:rPr>
        <w:t>:</w:t>
      </w:r>
      <w:r>
        <w:rPr>
          <w:rFonts w:ascii="Times New Roman" w:hAnsi="Times New Roman"/>
          <w:b/>
          <w:sz w:val="27"/>
        </w:rPr>
        <w:t xml:space="preserve"> SPECIFICAȚII PRIVIND EXPRIMAREA CERINȚELOR DE PERFORMANȚĂ ENERGETICĂ ȘI DE MEDIU (articolele 8-18)</w:t>
      </w:r>
    </w:p>
    <w:p w14:paraId="5D33652C"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V: EVALUAREA RESPECTĂRII CERINȚELOR (articolele 8-17)</w:t>
      </w:r>
    </w:p>
    <w:p w14:paraId="17BD402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8</w:t>
      </w:r>
    </w:p>
    <w:p w14:paraId="5251B7C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Se aprobă metoda de calcul anexată la anexele II-IV la prezentul ordin, și prevăzută la articolul R. 172-6 din Codul construcțiilor și al locuințelor.</w:t>
      </w:r>
      <w:r>
        <w:rPr>
          <w:rFonts w:ascii="Times New Roman" w:hAnsi="Times New Roman"/>
          <w:sz w:val="24"/>
        </w:rPr>
        <w:br/>
        <w:t>În conformitate cu alineatul (I) de la același articol, această metodă de calcul determină performanța energetică și de mediu a clădirii, în special în ceea ce privește indicatorii descriși în capitolul I punctele I-IX din anexa la articolul R. 172-4 din același cod, pe baza caracteristicilor clădirii și a componentelor acesteia.</w:t>
      </w:r>
      <w:r>
        <w:rPr>
          <w:rFonts w:ascii="Times New Roman" w:hAnsi="Times New Roman"/>
          <w:sz w:val="24"/>
        </w:rPr>
        <w:br/>
        <w:t>În special:</w:t>
      </w:r>
    </w:p>
    <w:p w14:paraId="240366CB" w14:textId="40A6D45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r>
      <w:r w:rsidR="000506AB">
        <w:rPr>
          <w:rFonts w:ascii="Times New Roman" w:hAnsi="Times New Roman"/>
          <w:sz w:val="24"/>
        </w:rPr>
        <w:t>-</w:t>
      </w:r>
      <w:r>
        <w:rPr>
          <w:rFonts w:ascii="Times New Roman" w:hAnsi="Times New Roman"/>
          <w:sz w:val="24"/>
        </w:rPr>
        <w:t xml:space="preserve"> acești indicatori se calculează cu accent pe datele climatice convenționale și pe intensitatea utilizării;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indicatorii Bbio, Cep, nr și Cep se calculează pe o perioadă de un an;</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indicatorii de impact al schimbărilor climatice Icenergy, Icconstruction și Icbuilding se calculează utilizând coeficienții specificați la articolul 11 și având durata de viață a clădirii la 50 de ani, prin convenție;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calcularea indicatorului Cep, nr ia în considerare coeficienții definiți la articolul 9 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calcularea indicatorului Cep ia în considerare coeficienții definiți la articolul 9 II;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calculul indicatorului Icenergy ia în considerare coeficienții definiți la articolul 10.</w:t>
      </w:r>
    </w:p>
    <w:p w14:paraId="318B410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9</w:t>
      </w:r>
    </w:p>
    <w:p w14:paraId="4649933D" w14:textId="4ABAE845"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9B4638">
        <w:rPr>
          <w:rFonts w:ascii="Times New Roman" w:hAnsi="Times New Roman"/>
          <w:sz w:val="24"/>
        </w:rPr>
        <w:t>-</w:t>
      </w:r>
      <w:r>
        <w:rPr>
          <w:rFonts w:ascii="Times New Roman" w:hAnsi="Times New Roman"/>
          <w:sz w:val="24"/>
        </w:rPr>
        <w:t xml:space="preserve"> Coeficienții de transformare a energiei care intră în clădire ca energie primară neregenerabilă se utilizează la determinarea indicatorului Cep, nr descris în prezentul ordin și sunt considerați prin convenție ca fiind egali cu: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81"/>
        <w:gridCol w:w="5475"/>
      </w:tblGrid>
      <w:tr w:rsidR="001E2566" w:rsidRPr="001E2566" w14:paraId="03A442A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256C4"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Tipul de energie importată de clădire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5B3E"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Coeficienții de transformare ai energiei care intră în clădire ca energie primară neregenerabilă</w:t>
            </w:r>
          </w:p>
        </w:tc>
      </w:tr>
      <w:tr w:rsidR="001E2566" w:rsidRPr="001E2566" w14:paraId="02F9CD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9DAE1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Lemn</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BEB9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5071D2D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847E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Energie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B1F0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6B34C0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25BA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Rețeaua de termoficare (căldură)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A51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 Rata de recuperare a energiei din surse regenerabile sau a rețelei (căldură)</w:t>
            </w:r>
          </w:p>
        </w:tc>
      </w:tr>
      <w:tr w:rsidR="001E2566" w:rsidRPr="001E2566" w14:paraId="11E3C0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2D68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Rețeaua de termoficare (rece)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C5FC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879306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9A24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Gaz metan (natural) din rețele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2B29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423AE2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3B7E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din surse regenerabile captată pe clădire sau pe parcelă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531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5D18966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C2AF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Alte energii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0CB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134DC3EF" w14:textId="31E6925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Rata de recuperare a energiei din surse regenerabile sau a rețelei de încălzire urbană este definită de ordinul pentru fiecare infrastructură existentă.</w:t>
      </w:r>
      <w:r>
        <w:rPr>
          <w:rFonts w:ascii="Times New Roman" w:hAnsi="Times New Roman"/>
          <w:sz w:val="24"/>
        </w:rPr>
        <w:br/>
        <w:t xml:space="preserve">II. </w:t>
      </w:r>
      <w:r w:rsidR="00D84921">
        <w:rPr>
          <w:rFonts w:ascii="Times New Roman" w:hAnsi="Times New Roman"/>
          <w:sz w:val="24"/>
        </w:rPr>
        <w:t>-</w:t>
      </w:r>
      <w:r>
        <w:rPr>
          <w:rFonts w:ascii="Times New Roman" w:hAnsi="Times New Roman"/>
          <w:sz w:val="24"/>
        </w:rPr>
        <w:t xml:space="preserve"> Coeficienții de transformare ai energiei care intră în clădire ca energie primară se utilizează la determinarea indicatorului Cep și se consideră, prin convenție, ca fiind egali cu: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45"/>
        <w:gridCol w:w="5111"/>
      </w:tblGrid>
      <w:tr w:rsidR="001E2566" w:rsidRPr="001E2566" w14:paraId="7F10621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2603F"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Tipul de energie importată de clădire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221C"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Coeficienții de transformare a energiei care intră în clădire ca energie primară</w:t>
            </w:r>
          </w:p>
        </w:tc>
      </w:tr>
      <w:tr w:rsidR="001E2566" w:rsidRPr="001E2566" w14:paraId="2E3006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90D97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Lemn</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45A1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3475E90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83E0E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Energie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62C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519FACF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797EF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Rețeaua districtuală (încălzire)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D5B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E8A945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B82D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Rețeaua districtuală (rece)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7E07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3C376AD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98B0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Gaz metan (natural) din rețele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231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25C777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9D42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Energia din surse regenerabile captată pe clădire sau pe parcelă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BC7A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3EAB93A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B283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Alte energii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C4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574B6F5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Prin convenție, energia produsă de clădire în numele unei rețele, precum și posibila cantitate de energie importată de clădire pentru a produce această energie nu afectează indicatorii Cep, nr, Cep și Icenergy ai clădirii.</w:t>
      </w:r>
    </w:p>
    <w:p w14:paraId="03FB2D0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10</w:t>
      </w:r>
    </w:p>
    <w:p w14:paraId="55FA556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Coeficienții de transformare ai energiei care intră în clădire ca cantități de gaze cu efect de seră emise se utilizează la determinarea indicatorului Icenergy și se consideră, prin convenție, ca fiind egali cu: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60"/>
        <w:gridCol w:w="5196"/>
      </w:tblGrid>
      <w:tr w:rsidR="001E2566" w:rsidRPr="001E2566" w14:paraId="67699F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A5828"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Tipul de energie per kWh EF LCV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E247"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kg echivalent CO2 per kilowatt-oră de energie finală în LCV</w:t>
            </w:r>
          </w:p>
        </w:tc>
      </w:tr>
      <w:tr w:rsidR="001E2566" w:rsidRPr="001E2566" w14:paraId="433A56D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5E612" w14:textId="32704132"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Lemn, biomasă </w:t>
            </w:r>
            <w:r w:rsidR="006D3F8A">
              <w:rPr>
                <w:rFonts w:ascii="Times New Roman" w:hAnsi="Times New Roman"/>
                <w:sz w:val="24"/>
              </w:rPr>
              <w:t>-</w:t>
            </w:r>
            <w:r>
              <w:rPr>
                <w:rFonts w:ascii="Times New Roman" w:hAnsi="Times New Roman"/>
                <w:sz w:val="24"/>
              </w:rPr>
              <w:t xml:space="preserve"> așchii de lemn</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39B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0,024</w:t>
            </w:r>
          </w:p>
        </w:tc>
      </w:tr>
      <w:tr w:rsidR="001E2566" w:rsidRPr="001E2566" w14:paraId="6FEE872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2C655" w14:textId="6DB28F4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Lemn, biomasă </w:t>
            </w:r>
            <w:r w:rsidR="006D3F8A">
              <w:rPr>
                <w:rFonts w:ascii="Times New Roman" w:hAnsi="Times New Roman"/>
                <w:sz w:val="24"/>
              </w:rPr>
              <w:t>-</w:t>
            </w:r>
            <w:r>
              <w:rPr>
                <w:rFonts w:ascii="Times New Roman" w:hAnsi="Times New Roman"/>
                <w:sz w:val="24"/>
              </w:rPr>
              <w:t xml:space="preserve"> Granule (pelete) sau brichete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7C4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3F76A0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2DBB3" w14:textId="17ACE9D2"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Lemn, biomasă </w:t>
            </w:r>
            <w:r w:rsidR="006D3F8A">
              <w:rPr>
                <w:rFonts w:ascii="Times New Roman" w:hAnsi="Times New Roman"/>
                <w:sz w:val="24"/>
              </w:rPr>
              <w:t>-</w:t>
            </w:r>
            <w:r>
              <w:rPr>
                <w:rFonts w:ascii="Times New Roman" w:hAnsi="Times New Roman"/>
                <w:sz w:val="24"/>
              </w:rPr>
              <w:t xml:space="preserve"> bușteni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2C4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1D8F843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D6AE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Energie electrică pentru încălzire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BACC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0,079</w:t>
            </w:r>
          </w:p>
        </w:tc>
      </w:tr>
      <w:tr w:rsidR="001E2566" w:rsidRPr="001E2566" w14:paraId="0521189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F0CF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Energie electrică pentru răcire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20C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2BD2419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A051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Energie electrică pentru DHW</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3D3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0,065</w:t>
            </w:r>
          </w:p>
        </w:tc>
      </w:tr>
      <w:tr w:rsidR="001E2566" w:rsidRPr="001E2566" w14:paraId="1FB47D1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C027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Electricitate pentru iluminatul terțiar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A4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6BB142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F4D7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Electricitate pentru iluminatul rezidențial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CC3D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0,069</w:t>
            </w:r>
          </w:p>
        </w:tc>
      </w:tr>
      <w:tr w:rsidR="001E2566" w:rsidRPr="001E2566" w14:paraId="25B9B5C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F3CF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Energie electrică pentru alte utilizări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203D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4D1590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7F845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Gaz metan (natural) din rețele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9AE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0,227</w:t>
            </w:r>
          </w:p>
        </w:tc>
      </w:tr>
      <w:tr w:rsidR="001E2566" w:rsidRPr="001E2566" w14:paraId="4269FA7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C0C1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Gaz butan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E1D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31935C4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B007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Gaz de propan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055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46FE021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8297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Alți combustibili fosili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BCF5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0,324</w:t>
            </w:r>
          </w:p>
        </w:tc>
      </w:tr>
    </w:tbl>
    <w:p w14:paraId="19A2084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Factorul de emisie pentru rețelele urbane de încălzire sau răcire este definit de ordinea fiecărei infrastructuri existente.</w:t>
      </w:r>
    </w:p>
    <w:p w14:paraId="7823D41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11</w:t>
      </w:r>
    </w:p>
    <w:p w14:paraId="118D84A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Coeficienții de ponderare utilizați pentru calcularea indicatorilor de impact al schimbărilor climatice Icenergy, Icconstruction și Icbuilding, în funcție de anul de emisie și de tipul de gaz emis, sunt considerați ca fiind egali cu:</w:t>
      </w:r>
    </w:p>
    <w:p w14:paraId="7D27AB66"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75E75DF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Puteți vizualiza întregul text cu imaginile aferente din extrasul din Jurnalul Oficial electronic autentificat, accesibil în partea de jos a paginii.</w:t>
      </w:r>
    </w:p>
    <w:p w14:paraId="480DAF84"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12</w:t>
      </w:r>
    </w:p>
    <w:p w14:paraId="5013377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Software-ul care permite calcularea totală sau parțială a indicatorilor descriși în capitolul I I-IX din anexa la articolul R. 172-4 din Codul construcțiilor și al locuințelor în vederea verificării conformității cu articolul menționat anterior, iar prezentul ordin trebuie să respecte metoda de calcul menționată la articolul 8.</w:t>
      </w:r>
      <w:r>
        <w:rPr>
          <w:rFonts w:ascii="Times New Roman" w:hAnsi="Times New Roman"/>
          <w:sz w:val="24"/>
        </w:rPr>
        <w:br/>
        <w:t>În acest scop, aceasta trebuie să se bazeze pe un instrument de calcul pentru indicatorii Bbio, Cep, nr, Cep și DH, pus la dispoziție la cerere, în conformitate cu articolul L. 121-2 din Codul construcțiilor și al locuințelor. Actualizările acestui instrument sunt integrate în termen de o lună de la lansarea lor în software-ul în cauză.</w:t>
      </w:r>
      <w:r>
        <w:rPr>
          <w:rFonts w:ascii="Times New Roman" w:hAnsi="Times New Roman"/>
          <w:sz w:val="24"/>
        </w:rPr>
        <w:br/>
      </w:r>
      <w:r>
        <w:rPr>
          <w:rFonts w:ascii="Times New Roman" w:hAnsi="Times New Roman"/>
          <w:sz w:val="24"/>
        </w:rPr>
        <w:lastRenderedPageBreak/>
        <w:t>Orice utilizare normativă a acestui software se aprobă mai întâi de ministrul energiei și de ministrul construcțiilor, în special pentru a verifica dacă rezultatele obținute respectă metoda de calcul și dacă interfața de intrare reduce la minimum riscul de erori de introducere a modellerului.</w:t>
      </w:r>
      <w:r>
        <w:rPr>
          <w:rFonts w:ascii="Times New Roman" w:hAnsi="Times New Roman"/>
          <w:sz w:val="24"/>
        </w:rPr>
        <w:br/>
        <w:t>Ca măsură tranzitorie, software-ul care a efectuat autoverificarea poate fi utilizat în scopuri de reglementare pentru simulările efectuate până la 30 iunie 2022.</w:t>
      </w:r>
      <w:r>
        <w:rPr>
          <w:rFonts w:ascii="Times New Roman" w:hAnsi="Times New Roman"/>
          <w:sz w:val="24"/>
        </w:rPr>
        <w:br/>
        <w:t>Anexa V descrie procedurile de autocontrol și procedura de aprobare a unui astfel de software.</w:t>
      </w:r>
      <w:r>
        <w:rPr>
          <w:rFonts w:ascii="Times New Roman" w:hAnsi="Times New Roman"/>
          <w:sz w:val="24"/>
        </w:rPr>
        <w:br/>
        <w:t>Aprobarea se reînnoiește, în urma unei revizuiri periodice, în conformitate cu următoarele condiții:</w:t>
      </w:r>
    </w:p>
    <w:p w14:paraId="0C449CC4" w14:textId="6B5D63F8"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perioada de valabilitate a primei inspecții este de doi ani;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perioada de valabilitate a aprobării se prelungește cu cinci ani în urma unei revizuiri care nu identifică abateri majore de la metoda de calcul în vigoare la depunerea dosarului de reexaminare;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perioada de valabilitate a aprobării se prelungește cu 2-5 ani în urma unei revizuiri care a condus la corectarea abaterilor majore de la metoda de calcul în vigoare la data depunerii dosarului de reexaminare.</w:t>
      </w:r>
    </w:p>
    <w:p w14:paraId="3F3EC35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Aprobarea poate fi retrasă în orice moment, în special în urma constatării unei abateri majore de la metoda de calcul în vigoare la momentul constatării sau în urma constatării a cel puțin trei deficiențe de integrare a anumitor sisteme prezente în metoda de calcul în vigoare la momentul constatării respective.</w:t>
      </w:r>
    </w:p>
    <w:p w14:paraId="65D822D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13</w:t>
      </w:r>
    </w:p>
    <w:p w14:paraId="2FBE5EB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Valorile utilizate ca date de intrare pentru calculul specificat la articolul 8 și care descriu caracteristicile geometrice ale clădirii trebuie să corespundă planurilor de construcție în cazul în care clădirea nu a fost finalizată sau cantităților utilizate efectiv după finalizarea lucrărilor.</w:t>
      </w:r>
      <w:r>
        <w:rPr>
          <w:rFonts w:ascii="Times New Roman" w:hAnsi="Times New Roman"/>
          <w:sz w:val="24"/>
        </w:rPr>
        <w:br/>
        <w:t>Lungimile, zonele sau orientările clădirii și ale componentelor acesteia fac parte din datele care descriu caracteristicile geometrice ale clădirii.</w:t>
      </w:r>
    </w:p>
    <w:p w14:paraId="3544519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14</w:t>
      </w:r>
    </w:p>
    <w:p w14:paraId="18FA25A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Valorile utilizate ca date de intrare pentru calculul specificat la articolul 8 și care descriu cantitățile de produse sau echipamente pentru construcții utilizate în clădire trebuie să corespundă cantităților estimate necesare pentru construcția clădirii, atunci când aceasta nu a fost finalizată, sau cantităților utilizate efectiv după finalizarea lucrărilor.</w:t>
      </w:r>
    </w:p>
    <w:p w14:paraId="4F82784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15</w:t>
      </w:r>
    </w:p>
    <w:p w14:paraId="5B4D90D0" w14:textId="7EA42F7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BA2719">
        <w:rPr>
          <w:rFonts w:ascii="Times New Roman" w:hAnsi="Times New Roman"/>
          <w:sz w:val="24"/>
        </w:rPr>
        <w:t>-</w:t>
      </w:r>
      <w:r>
        <w:rPr>
          <w:rFonts w:ascii="Times New Roman" w:hAnsi="Times New Roman"/>
          <w:sz w:val="24"/>
        </w:rPr>
        <w:t xml:space="preserve"> Valorile utilizate ca date de intrare pentru calculul specificat la articolul 8 și care descriu caracteristicile termice ale componentelor clădirii trebuie să </w:t>
      </w:r>
      <w:r>
        <w:rPr>
          <w:rFonts w:ascii="Times New Roman" w:hAnsi="Times New Roman"/>
          <w:sz w:val="24"/>
        </w:rPr>
        <w:lastRenderedPageBreak/>
        <w:t>corespundă caracteristicilor componentelor avute în vedere pentru construcția clădirii atunci când aceasta nu a fost finalizată sau caracteristicilor componentelor utilizate efectiv după finalizarea lucrărilor.</w:t>
      </w:r>
      <w:r>
        <w:rPr>
          <w:rFonts w:ascii="Times New Roman" w:hAnsi="Times New Roman"/>
          <w:sz w:val="24"/>
        </w:rPr>
        <w:br/>
        <w:t>Aceste caracteristici termice se obțin după cum urmează, pentru fiecare componentă:</w:t>
      </w:r>
    </w:p>
    <w:p w14:paraId="49B964E9" w14:textId="09B6F51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în cazul în care componenta intră sub incidența specificațiilor tehnice armonizate din Regulamentul nr. 305/2001 din 9 martie 2011, standarde armonizate sau documente europene de evaluare, caz în care produsele poartă marcajul CE și dacă valoarea caracteristicii termice este stabilită în prezentele specificații, această valoare se utilizează în conformitate cu procedurile prevăzute la articolul 8;</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în caz contrar, în cazul în care caracteristica termică este obținută prin trimitere la standarde sau avize tehnice franceze sau la standarde naționale echivalente acceptate de un stat membru al Uniunii Europene sau de o parte la Acordul privind SEE sau de Turcia și sunt emise de un organism terț independent notificat în temeiul Directivei 305/2011 care este recunoscut de un stat membru al Uniunii Europene sau de un stat parte la Acordul de instituire a Spațiului Economic European, această valoare se utilizează în conformitate cu procedurile prevăzute la articolul 8. Avantajul acestei dispoziții se aplică numai în perioada anterioară aplicării unui standard european armonizat sau a unui agrement tehnic european. Indiferent de regulile de rotunjire stabilite de aceste diferite standarde sau avize tehnice, valoarea utilizată ca date de intrare nu poate fi mai favorabilă decât valoarea obținută în urma măsurătorilor efectuate, dacă este cazul.</w:t>
      </w:r>
    </w:p>
    <w:p w14:paraId="68612751" w14:textId="4634E25D"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cazul în care nu este posibilă obținerea unei valori caracteristice în conformitate cu procedurile de mai sus, valoarea care trebuie utilizată este valoarea implicită definită prin metoda de calcul menționată la articolul 8, cu excepția valorii implicite a conductivității termice utile pentru bioizolația definită în anexa XII la prezentul ordin.</w:t>
      </w:r>
      <w:r>
        <w:rPr>
          <w:rFonts w:ascii="Times New Roman" w:hAnsi="Times New Roman"/>
          <w:sz w:val="24"/>
        </w:rPr>
        <w:br/>
        <w:t xml:space="preserve">II. </w:t>
      </w:r>
      <w:r w:rsidR="002A0EA1">
        <w:rPr>
          <w:rFonts w:ascii="Times New Roman" w:hAnsi="Times New Roman"/>
          <w:sz w:val="24"/>
        </w:rPr>
        <w:t xml:space="preserve">- </w:t>
      </w:r>
      <w:r>
        <w:rPr>
          <w:rFonts w:ascii="Times New Roman" w:hAnsi="Times New Roman"/>
          <w:sz w:val="24"/>
        </w:rPr>
        <w:t>În clădirile de uz rezidențial, în cazul în care, atunci când clădirea este livrată, trebuie efectuate anumite lucrări de instalare a sistemului energetic, datele implicite trebuie utilizate în conformitate cu metoda specificată la articolul 8.</w:t>
      </w:r>
    </w:p>
    <w:p w14:paraId="722E451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16</w:t>
      </w:r>
    </w:p>
    <w:p w14:paraId="741E3895" w14:textId="53F5183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B67A68">
        <w:rPr>
          <w:rFonts w:ascii="Times New Roman" w:hAnsi="Times New Roman"/>
          <w:sz w:val="24"/>
        </w:rPr>
        <w:t>-</w:t>
      </w:r>
      <w:r>
        <w:rPr>
          <w:rFonts w:ascii="Times New Roman" w:hAnsi="Times New Roman"/>
          <w:sz w:val="24"/>
        </w:rPr>
        <w:t xml:space="preserve"> Valorile utilizate ca date de intrare pentru calcularea indicatorilor de construcție și construcție trebuie să corespundă caracteristicilor componentelor planificate pentru construcție atunci când clădirea nu a fost finalizată sau caracteristicilor componentelor utilizate efectiv la finalizarea lucrărilor. Prin derogare de la această dispoziție, este posibilă utilizarea unei date de intrare corespunzătoare unei componente cu caracteristici superioare celor ale componentei avute în vedere sau utilizate, cu condiția ca acestea să facă parte din același interval de la același producător.</w:t>
      </w:r>
      <w:r>
        <w:rPr>
          <w:rFonts w:ascii="Times New Roman" w:hAnsi="Times New Roman"/>
          <w:sz w:val="24"/>
        </w:rPr>
        <w:br/>
        <w:t>Aceste valori se obțin, pentru fiecare componentă, pe baza declarațiilor de mediu puse la dispoziție de producători în conformitate cu normele stabilite prin decret sau, în lipsa unor astfel de date, prin intermediul unor date de mediu implicite puse la dispoziție de ministrul responsabil cu construcțiile.</w:t>
      </w:r>
      <w:r>
        <w:rPr>
          <w:rFonts w:ascii="Times New Roman" w:hAnsi="Times New Roman"/>
          <w:sz w:val="24"/>
        </w:rPr>
        <w:br/>
      </w:r>
      <w:r>
        <w:rPr>
          <w:rFonts w:ascii="Times New Roman" w:hAnsi="Times New Roman"/>
          <w:sz w:val="24"/>
        </w:rPr>
        <w:lastRenderedPageBreak/>
        <w:t>În cazul în care, pentru o componentă a clădirii, nu este disponibilă nicio informație care să corespundă caracteristicilor menționate la alineatul anterior, componenta trebuie să fie descrisă în calcul, iar informațiile despre mediu definite ca fiind „gole” trebuie să fie asociate cu aceasta; în plus, o cerere de creare a unei date implicite de mediu corespunzătoare componentei se depune prin intermediul unui site internet indicat pe site-ul web al ministerului responsabil cu construcția.</w:t>
      </w:r>
      <w:r>
        <w:rPr>
          <w:rFonts w:ascii="Times New Roman" w:hAnsi="Times New Roman"/>
          <w:sz w:val="24"/>
        </w:rPr>
        <w:br/>
        <w:t xml:space="preserve">II. </w:t>
      </w:r>
      <w:r w:rsidR="00B67A68">
        <w:rPr>
          <w:rFonts w:ascii="Times New Roman" w:hAnsi="Times New Roman"/>
          <w:sz w:val="24"/>
        </w:rPr>
        <w:t>-</w:t>
      </w:r>
      <w:r>
        <w:rPr>
          <w:rFonts w:ascii="Times New Roman" w:hAnsi="Times New Roman"/>
          <w:sz w:val="24"/>
        </w:rPr>
        <w:t xml:space="preserve"> În cazul în care, la livrarea clădirii, mai rămân de efectuat anumite lucrări, se utilizează date implicite pentru a descrie această lucrare în conformitate cu metoda prevăzută la articolul 8.</w:t>
      </w:r>
      <w:r>
        <w:rPr>
          <w:rFonts w:ascii="Times New Roman" w:hAnsi="Times New Roman"/>
          <w:sz w:val="24"/>
        </w:rPr>
        <w:br/>
        <w:t xml:space="preserve">III. </w:t>
      </w:r>
      <w:r w:rsidR="00B67A68">
        <w:rPr>
          <w:rFonts w:ascii="Times New Roman" w:hAnsi="Times New Roman"/>
          <w:sz w:val="24"/>
        </w:rPr>
        <w:t>-</w:t>
      </w:r>
      <w:r>
        <w:rPr>
          <w:rFonts w:ascii="Times New Roman" w:hAnsi="Times New Roman"/>
          <w:sz w:val="24"/>
        </w:rPr>
        <w:t xml:space="preserve"> Pentru anumite seturi de componente ale clădirii și în funcție de utilizarea clădirii, este posibil, înlocuind cerințele menționate la punctele I și II din prezentul articol, să se descrie impactul acestora asupra schimbărilor climatice prin valori fixe. Seturile de componente în cauză și valorile corespunzătoare sunt prezentate în anexa XI.</w:t>
      </w:r>
      <w:r>
        <w:rPr>
          <w:rFonts w:ascii="Times New Roman" w:hAnsi="Times New Roman"/>
          <w:sz w:val="24"/>
        </w:rPr>
        <w:br/>
        <w:t xml:space="preserve">IV. </w:t>
      </w:r>
      <w:r w:rsidR="00B67A68">
        <w:rPr>
          <w:rFonts w:ascii="Times New Roman" w:hAnsi="Times New Roman"/>
          <w:sz w:val="24"/>
        </w:rPr>
        <w:t>-</w:t>
      </w:r>
      <w:r>
        <w:rPr>
          <w:rFonts w:ascii="Times New Roman" w:hAnsi="Times New Roman"/>
          <w:sz w:val="24"/>
        </w:rPr>
        <w:t xml:space="preserve"> Datele care pot fi utilizate în conformitate cu I din prezentul articol sunt datele disponibile la data finalizării calculului indicatorilor Icconstruction, Icded și Icbuilding. Cu toate acestea, în cazul în care datele au fost utilizate într-un calcul anterior al acestor indicatori, apoi actualizați sau eliminați, acestea rămân utilizabile în condițiile prevăzute la alineatul (I) de la prezentul articol.</w:t>
      </w:r>
    </w:p>
    <w:p w14:paraId="466D9E3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17</w:t>
      </w:r>
    </w:p>
    <w:p w14:paraId="765CA2F0" w14:textId="6F5BAFE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 </w:t>
      </w:r>
      <w:r w:rsidR="00137CA0">
        <w:rPr>
          <w:rFonts w:ascii="Times New Roman" w:hAnsi="Times New Roman"/>
          <w:sz w:val="24"/>
        </w:rPr>
        <w:t>-</w:t>
      </w:r>
      <w:r>
        <w:rPr>
          <w:rFonts w:ascii="Times New Roman" w:hAnsi="Times New Roman"/>
          <w:sz w:val="24"/>
        </w:rPr>
        <w:t xml:space="preserve"> Valoarea permeabilității la aer a clădirii se obține:</w:t>
      </w:r>
    </w:p>
    <w:p w14:paraId="5AE3B909" w14:textId="3750FE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clădirile de uz rezidențial, fie prin măsurare, fie prin adoptarea unei abordări calitative pentru etanșeitatea clădirii în conformitate cu procedurile definite în anexa VII la prezentul ordin;</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alte tipuri de clădiri, valoarea permeabilității la aer a clădirii poate fi justificată prin măsurare în conformitate cu metodele definite în anexa VII la prezentul ordin. În absența măsurării în conformitate cu aceste metode, valoarea care trebuie utilizată este valoarea implicită definită de metoda de calcul menționată la articolul 8;</w:t>
      </w:r>
    </w:p>
    <w:p w14:paraId="6D3E852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cazul măsurării permeabilității prin eșantionare, valorile măsurate obținute se înmulțesc cu 1,2.</w:t>
      </w:r>
      <w:r>
        <w:rPr>
          <w:rFonts w:ascii="Times New Roman" w:hAnsi="Times New Roman"/>
          <w:sz w:val="24"/>
        </w:rPr>
        <w:br/>
        <w:t>În cazul în care lucrările de natură să afecteze permeabilitatea la aer a locuințelor rămân să fie efectuate după livrare și în absența unei rezervări care să împiedice crearea de scurgeri în timpul acestei lucrări, valorile permeabilității obținute sunt majorate cu 0,3 m³/(h.m²).</w:t>
      </w:r>
      <w:r>
        <w:rPr>
          <w:rFonts w:ascii="Times New Roman" w:hAnsi="Times New Roman"/>
          <w:sz w:val="24"/>
        </w:rPr>
        <w:br/>
        <w:t>Aceste două majorări sunt cumulative în această ordine.</w:t>
      </w:r>
      <w:r>
        <w:rPr>
          <w:rFonts w:ascii="Times New Roman" w:hAnsi="Times New Roman"/>
          <w:sz w:val="24"/>
        </w:rPr>
        <w:br/>
        <w:t>II. – Pentru toate clădirile, valoarea permeabilității rețelelor aeraulice se obține fie prin măsurare, fie prin adoptarea unei abordări calitative pentru etanșeitatea rețelelor aeraulice, în conformitate cu procedurile definite în anexa VII la prezentul ordin. În absența măsurării și a unei abordări bazate pe calitate în conformitate cu aceste metode, valoarea care trebuie utilizată este valoarea implicită definită de metoda de calcul menționată la articolul 8.</w:t>
      </w:r>
      <w:r>
        <w:rPr>
          <w:rFonts w:ascii="Times New Roman" w:hAnsi="Times New Roman"/>
          <w:sz w:val="24"/>
        </w:rPr>
        <w:br/>
        <w:t xml:space="preserve">În cazul în care permeabilitatea la aer a clădirii sau permeabilitatea rețelelor </w:t>
      </w:r>
      <w:r>
        <w:rPr>
          <w:rFonts w:ascii="Times New Roman" w:hAnsi="Times New Roman"/>
          <w:sz w:val="24"/>
        </w:rPr>
        <w:lastRenderedPageBreak/>
        <w:t>aeraulice este justificată prin măsurare, persoana care efectuează măsurătorile trebuie să fie o persoană recunoscută ca fiind competentă de ministrul construcțiilor, independent de solicitant și de organizațiile implicate în execuția sau gestionarea proiectelor clădirilor vizate.</w:t>
      </w:r>
    </w:p>
    <w:p w14:paraId="128819A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VI: JUSTIFICAREA APLICĂRII CERINȚELOR (Articolul 18)</w:t>
      </w:r>
    </w:p>
    <w:p w14:paraId="0A4D749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18</w:t>
      </w:r>
    </w:p>
    <w:p w14:paraId="587E729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Proprietarul clădirii întocmește un rezumat digital standardizat al studiului energetic și de mediu din software care îndeplinește cerințele de la articolul 12, cel târziu la finalizarea lucrărilor.</w:t>
      </w:r>
      <w:r>
        <w:rPr>
          <w:rFonts w:ascii="Times New Roman" w:hAnsi="Times New Roman"/>
          <w:sz w:val="24"/>
        </w:rPr>
        <w:br/>
        <w:t>Conținutul și formatul rezumatului standardizat al studiului privind energia și mediul care urmează să fie elaborat sunt descrise în anexa VI.</w:t>
      </w:r>
      <w:r>
        <w:rPr>
          <w:rFonts w:ascii="Times New Roman" w:hAnsi="Times New Roman"/>
          <w:sz w:val="24"/>
        </w:rPr>
        <w:br/>
        <w:t>În cazul în care, în conformitate cu titlul IV din prezentul ordin, cerințele prezentului ordin se aplică în conformitate cu un proces simplificat sau mod de aplicare aprobat, procesul simplificat sau modul de aplicare trebuie să specifice conținutul și formatul rezumatului standardizat al studiului energetic și de mediu care urmează să fie stabilit.</w:t>
      </w:r>
      <w:r>
        <w:rPr>
          <w:rFonts w:ascii="Times New Roman" w:hAnsi="Times New Roman"/>
          <w:sz w:val="24"/>
        </w:rPr>
        <w:br/>
        <w:t>Aceste date sunt păstrate și transmise de proprietarul clădirii în conformitate cu articolul R. 172-8 din Codul construcțiilor și al locuințelor.</w:t>
      </w:r>
    </w:p>
    <w:p w14:paraId="05FDD083"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III: CARACTERISTICI ȘI CERINȚE TERMICE PENTRU MIJLOACE (PER COMPONENTĂ) (articolele 19-40)</w:t>
      </w:r>
    </w:p>
    <w:p w14:paraId="7534EF07"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VII: VERIFICAREA PERFORMANȚEI DUPĂ CONSTRUCȚIE (articolele 19-20)</w:t>
      </w:r>
    </w:p>
    <w:p w14:paraId="0AC2DDA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19</w:t>
      </w:r>
    </w:p>
    <w:p w14:paraId="70BDF7C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Pentru casele individuale sau adiacente și clădirile rezidențiale colective, permeabilitatea la aer a anvelopei clădirii în conformitate cu 4 Pa, Q4Pa-surf, determinată în conformitate cu articolul 17, trebuie să fie mai mică sau egală cu:</w:t>
      </w:r>
      <w:r>
        <w:rPr>
          <w:rFonts w:ascii="Times New Roman" w:hAnsi="Times New Roman"/>
          <w:sz w:val="24"/>
        </w:rPr>
        <w:br/>
        <w:t>0,60 m³/(h.m²) de pereți epuizați, excluzând podeaua joasă, într-o casă decomandată sau alăturată.</w:t>
      </w:r>
      <w:r>
        <w:rPr>
          <w:rFonts w:ascii="Times New Roman" w:hAnsi="Times New Roman"/>
          <w:sz w:val="24"/>
        </w:rPr>
        <w:br/>
        <w:t>1,00 m³/(h.m²) de pereți rezistenți la pierderi, cu excepția pardoselilor joase, într-o clădire rezidențială colectivă.</w:t>
      </w:r>
    </w:p>
    <w:p w14:paraId="42D687C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20</w:t>
      </w:r>
    </w:p>
    <w:p w14:paraId="3B2376B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clădirile și părțile clădirilor de uz rezidențial, pentru a asigura buna funcționare a acestuia, orice sistem de ventilație din clădire trebuie verificat, iar performanța acestuia este măsurată de o persoană recunoscută ca fiind competentă de ministrul responsabil cu construcția, în conformitate cu dispozițiile prevăzute în anexa VIII. Acesta trebuie să respecte protocolul de verificare a sistemului de ventilație menționat în aceeași anexă.</w:t>
      </w:r>
    </w:p>
    <w:p w14:paraId="5A8D54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lastRenderedPageBreak/>
        <w:t>Capitolul VIII: IZOLAȚIA TERMICĂ (articolele 21-22)</w:t>
      </w:r>
    </w:p>
    <w:p w14:paraId="7AE5B69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21</w:t>
      </w:r>
    </w:p>
    <w:p w14:paraId="599AF0E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Pereții despărțitori care separă părțile ocupate continuu ale clădirii de părțile ocupate în mod discontinuu ale clădirii trebuie să aibă un coeficient de transmisie a căldurii U, astfel cum este definit în metoda de calcul menționată la articolul 8, care nu poate depăși o valoare medie de 0,36 W/(m².K). Suprafața luată în considerare aici este suprafața pereților despărțitori menționați anterior.</w:t>
      </w:r>
    </w:p>
    <w:p w14:paraId="2817FE1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22</w:t>
      </w:r>
    </w:p>
    <w:p w14:paraId="3B7CB3F1" w14:textId="7D09F6E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Pentru a evita orice risc de degradare fizică sau microbiologică a materialelor, cum ar fi compactarea izolației sau dezvoltarea mucegaiului, orice clădire sau parte a unei clădiri trebuie să fie proiectată și construită astfel încât să se evite, în condiții normale de ocupare, orice situație care poate duce la apariția condensului pe suprafață sau în interiorul pereților, fie într-un singur eveniment, fie într-un mod distribuit, cu excepția cazului în care un astfel de condens este doar temporar.</w:t>
      </w:r>
      <w:r>
        <w:rPr>
          <w:rFonts w:ascii="Times New Roman" w:hAnsi="Times New Roman"/>
          <w:sz w:val="24"/>
        </w:rPr>
        <w:br/>
        <w:t>În acest scop, acesta trebuie să respecte una dintre cerințele prevăzute la I sau II din prezentul articol:</w:t>
      </w:r>
      <w:r>
        <w:rPr>
          <w:rFonts w:ascii="Times New Roman" w:hAnsi="Times New Roman"/>
          <w:sz w:val="24"/>
        </w:rPr>
        <w:br/>
        <w:t xml:space="preserve">I. </w:t>
      </w:r>
      <w:r w:rsidR="00396245">
        <w:rPr>
          <w:rFonts w:ascii="Times New Roman" w:hAnsi="Times New Roman"/>
          <w:sz w:val="24"/>
        </w:rPr>
        <w:t>-</w:t>
      </w:r>
      <w:r>
        <w:rPr>
          <w:rFonts w:ascii="Times New Roman" w:hAnsi="Times New Roman"/>
          <w:sz w:val="24"/>
        </w:rPr>
        <w:t xml:space="preserve"> Trebuie să aibă o temperatură a suprafeței mai mică de 15 °C, în condiții de iarnă, pe interiorul gol și pe interiorul gol al izolației, în orice moment pe aceste suprafețe.</w:t>
      </w:r>
      <w:r>
        <w:rPr>
          <w:rFonts w:ascii="Times New Roman" w:hAnsi="Times New Roman"/>
          <w:sz w:val="24"/>
        </w:rPr>
        <w:br/>
        <w:t xml:space="preserve">II. </w:t>
      </w:r>
      <w:r w:rsidR="00396245">
        <w:rPr>
          <w:rFonts w:ascii="Times New Roman" w:hAnsi="Times New Roman"/>
          <w:sz w:val="24"/>
        </w:rPr>
        <w:t>-</w:t>
      </w:r>
      <w:r>
        <w:rPr>
          <w:rFonts w:ascii="Times New Roman" w:hAnsi="Times New Roman"/>
          <w:sz w:val="24"/>
        </w:rPr>
        <w:t xml:space="preserve"> Îndeplinește simultan următoarele cerințe:</w:t>
      </w:r>
    </w:p>
    <w:p w14:paraId="3A1005BC" w14:textId="587691E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raportul mediu global de transmisie liniară a căldurii, raportul </w:t>
      </w:r>
      <w:r w:rsidR="00E80C29" w:rsidRPr="00E80C29">
        <w:rPr>
          <w:rFonts w:ascii="Times New Roman" w:hAnsi="Times New Roman"/>
          <w:sz w:val="24"/>
        </w:rPr>
        <w:t>Ψ</w:t>
      </w:r>
      <w:r>
        <w:rPr>
          <w:rFonts w:ascii="Times New Roman" w:hAnsi="Times New Roman"/>
          <w:sz w:val="24"/>
        </w:rPr>
        <w:t>, al podurilor termice ale clădirii nu trebuie să depășească 0,33 W/(m²Sref. K).</w:t>
      </w:r>
    </w:p>
    <w:p w14:paraId="13B8C75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Acest raport reprezintă pierderile de căldură ale tuturor podurilor termice ale clădirilor, în raport cu suprafața de referință a clădirii. Aceasta se determină în conformitate cu metoda de calcul menționată la articolul 8.</w:t>
      </w:r>
    </w:p>
    <w:p w14:paraId="32C3A6AD" w14:textId="4D6235C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coeficientul mediu de transmisie liniară a căldurii al conexiunilor dintre pardoselile medii și pereții exteriori sau pereții care dau în încăperile neîncălzite, </w:t>
      </w:r>
      <w:r w:rsidR="00630FF6" w:rsidRPr="00630FF6">
        <w:rPr>
          <w:rFonts w:ascii="Times New Roman" w:hAnsi="Times New Roman"/>
          <w:sz w:val="24"/>
        </w:rPr>
        <w:t>Ψ</w:t>
      </w:r>
      <w:r>
        <w:rPr>
          <w:rFonts w:ascii="Times New Roman" w:hAnsi="Times New Roman"/>
          <w:sz w:val="24"/>
        </w:rPr>
        <w:t xml:space="preserve"> 9, nu trebuie să depășească 0,6 W/(m. K liniar).</w:t>
      </w:r>
    </w:p>
    <w:p w14:paraId="16DE076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IX: ACCESUL LA ILUMINAT NATURAL (Articolul 23)</w:t>
      </w:r>
    </w:p>
    <w:p w14:paraId="5ECFAC8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23</w:t>
      </w:r>
    </w:p>
    <w:p w14:paraId="6019846A" w14:textId="46A2715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Pentru a asigura un nivel suficient de iluminare naturală și vedere spre exterior, clădirile rezidențiale trebuie să respecte una dintre cerințele specificate la I sau II din prezentul articol.</w:t>
      </w:r>
      <w:r>
        <w:rPr>
          <w:rFonts w:ascii="Times New Roman" w:hAnsi="Times New Roman"/>
          <w:sz w:val="24"/>
        </w:rPr>
        <w:br/>
        <w:t xml:space="preserve">I. </w:t>
      </w:r>
      <w:r w:rsidR="00B72CF5">
        <w:rPr>
          <w:rFonts w:ascii="Times New Roman" w:hAnsi="Times New Roman"/>
          <w:sz w:val="24"/>
        </w:rPr>
        <w:t>-</w:t>
      </w:r>
      <w:r>
        <w:rPr>
          <w:rFonts w:ascii="Times New Roman" w:hAnsi="Times New Roman"/>
          <w:sz w:val="24"/>
        </w:rPr>
        <w:t xml:space="preserve"> Fiecare reședință are toate caracteristicile următoare:</w:t>
      </w:r>
    </w:p>
    <w:p w14:paraId="4DF9AF26" w14:textId="1FC8C82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r>
      <w:r w:rsidR="000506AB">
        <w:rPr>
          <w:rFonts w:ascii="Times New Roman" w:hAnsi="Times New Roman"/>
          <w:sz w:val="24"/>
        </w:rPr>
        <w:t>-</w:t>
      </w:r>
      <w:r>
        <w:rPr>
          <w:rFonts w:ascii="Times New Roman" w:hAnsi="Times New Roman"/>
          <w:sz w:val="24"/>
        </w:rPr>
        <w:t xml:space="preserve"> un nivel de iluminare de cel puțin 300 lx în 50 % din zonele de locuit, cu excepția spațiilor cu ocupare temporară, pentru mai mult de jumătate din orele de zi ale anului;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un nivel de iluminare de cel puțin 100 lx în 95 % din zonele de locuit, cu excepția spațiilor cu ocupare temporară, pentru mai mult de jumătate din orele de zi ale anului;</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în cel puțin o zonă de locuit, în sensul R. 111-1 din Codul clădirii și al locuințelor, ocupantul are, la o distanță de cel puțin 1 metru de fațadă, o vedere exterioară care include atât cerul, cât și orizontul.</w:t>
      </w:r>
    </w:p>
    <w:p w14:paraId="7EC11A12" w14:textId="3B4C2A28"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II. </w:t>
      </w:r>
      <w:r w:rsidR="00714A48">
        <w:rPr>
          <w:rFonts w:ascii="Times New Roman" w:hAnsi="Times New Roman"/>
          <w:sz w:val="24"/>
        </w:rPr>
        <w:t>-</w:t>
      </w:r>
      <w:r>
        <w:rPr>
          <w:rFonts w:ascii="Times New Roman" w:hAnsi="Times New Roman"/>
          <w:sz w:val="24"/>
        </w:rPr>
        <w:t xml:space="preserve"> Suprafața totală a deschiderilor, măsurată într-un tabel, este mai mare sau egală cu 1/6 din aria de referință.</w:t>
      </w:r>
      <w:r>
        <w:rPr>
          <w:rFonts w:ascii="Times New Roman" w:hAnsi="Times New Roman"/>
          <w:sz w:val="24"/>
        </w:rPr>
        <w:br/>
        <w:t>În cazul în care suprafața disponibilă a fațadei clădirii este mai mică de jumătate din suprafața de locuit a clădirii sau dacă suprafața de locuit medie a spațiilor de cazare din clădire este mai mică de 25 m², aceasta poate avea, în locul cerințelor anterioare, o suprafață totală de deschidere, măsurată într-un tabel, mai mare sau egală cu o treime din suprafața disponibilă a fațadei.</w:t>
      </w:r>
      <w:r>
        <w:rPr>
          <w:rFonts w:ascii="Times New Roman" w:hAnsi="Times New Roman"/>
          <w:sz w:val="24"/>
        </w:rPr>
        <w:br/>
        <w:t>Prezentul articol nu se aplică în cazurile în care respectarea acestuia ar contraveni autorizațiilor de planificare în zonele protejate, în zonele de protecție a patrimoniului arhitectural, urban și peisagistic sau în zonele arhitecturale și de patrimoniu promovate, în vecinătatea monumentelor istorice, a siturilor înregistrate și clasificate, a siturilor de pe lista patrimoniului mondial UNESCO sau în orice altă conservare decretată de autoritățile locale, precum și în locurile și sectoarele desemnate în temeiul articolului L. 151-19 din Codul urbanismului.</w:t>
      </w:r>
    </w:p>
    <w:p w14:paraId="5112198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X: CONFORTUL PE TIMP DE VARĂ (articolul 24-25)</w:t>
      </w:r>
    </w:p>
    <w:p w14:paraId="3E69322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24</w:t>
      </w:r>
    </w:p>
    <w:p w14:paraId="64B6805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Cu excepția deschiderilor în încăperi cu ocupare temporară, deschiderile au un factor solar mai mic sau egal cu factorul solar definit în tabelul de mai jos, cu dispozitivul de umbrire solară, dacă există, considerat în poziția complet extinsă:</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66"/>
        <w:gridCol w:w="1611"/>
        <w:gridCol w:w="1932"/>
        <w:gridCol w:w="1947"/>
      </w:tblGrid>
      <w:tr w:rsidR="001E2566" w:rsidRPr="001E2566" w14:paraId="66A940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865CEC9"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Zonele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04BADEA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Toate altitudinile</w:t>
            </w:r>
          </w:p>
        </w:tc>
        <w:tc>
          <w:tcPr>
            <w:tcW w:w="0" w:type="auto"/>
            <w:tcBorders>
              <w:top w:val="outset" w:sz="6" w:space="0" w:color="auto"/>
              <w:left w:val="outset" w:sz="6" w:space="0" w:color="auto"/>
              <w:bottom w:val="outset" w:sz="6" w:space="0" w:color="auto"/>
              <w:right w:val="outset" w:sz="6" w:space="0" w:color="auto"/>
            </w:tcBorders>
            <w:vAlign w:val="bottom"/>
            <w:hideMark/>
          </w:tcPr>
          <w:p w14:paraId="0FFD244F"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D66AA89" w14:textId="77777777" w:rsidR="001E2566" w:rsidRPr="001E2566"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1E2566" w14:paraId="2FBEBB7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3373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Zonele H1a, H1b și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0BC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Altitudine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0C63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Altitudine &lt; sau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E06E"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1BF8F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2BC16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Zonele H1c și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F3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Altitudine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29E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Altitudine &lt; sau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764F"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07775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2E40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Zonele H2d și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3EEB6" w14:textId="77777777" w:rsidR="001E2566" w:rsidRPr="001E2566"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99F4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Altitudine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19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Altitudine &lt; sau = 400 m</w:t>
            </w:r>
          </w:p>
        </w:tc>
      </w:tr>
      <w:tr w:rsidR="001E2566" w:rsidRPr="001E2566" w14:paraId="5905A079"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EA6A87" w14:textId="71734C49"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 xml:space="preserve">1. BR1 deschideri expuse </w:t>
            </w:r>
            <w:r w:rsidR="00880AA6">
              <w:rPr>
                <w:rFonts w:ascii="Times New Roman" w:hAnsi="Times New Roman"/>
                <w:sz w:val="24"/>
              </w:rPr>
              <w:t>-</w:t>
            </w:r>
            <w:r>
              <w:rPr>
                <w:rFonts w:ascii="Times New Roman" w:hAnsi="Times New Roman"/>
                <w:sz w:val="24"/>
              </w:rPr>
              <w:t xml:space="preserve"> camere de dormit</w:t>
            </w:r>
          </w:p>
        </w:tc>
      </w:tr>
      <w:tr w:rsidR="001E2566" w:rsidRPr="001E2566" w14:paraId="0514104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A1D3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verticală orientată spre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FD05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D7F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1A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6C0334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0781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verticală care nu este orientată spre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C21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3EA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B6DE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781509D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AF0A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orizontală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E04D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6AD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FB7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4C4C27A0"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A2804C7" w14:textId="62C21921"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2. Deschideri expuse BR2 sau BR3 </w:t>
            </w:r>
            <w:r w:rsidR="00880AA6">
              <w:rPr>
                <w:rFonts w:ascii="Times New Roman" w:hAnsi="Times New Roman"/>
                <w:sz w:val="24"/>
              </w:rPr>
              <w:t>-</w:t>
            </w:r>
            <w:r>
              <w:rPr>
                <w:rFonts w:ascii="Times New Roman" w:hAnsi="Times New Roman"/>
                <w:sz w:val="24"/>
              </w:rPr>
              <w:t xml:space="preserve"> camere de dormit</w:t>
            </w:r>
          </w:p>
        </w:tc>
      </w:tr>
      <w:tr w:rsidR="001E2566" w:rsidRPr="001E2566" w14:paraId="287CCF2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98FD1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verticală orientată spre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3EA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9C08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595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1C9E635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2DB0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verticală care nu este orientată spre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DA8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36D9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14E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16B1DA0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55EBC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orizontală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1B3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AC72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EEA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25A5610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00547EF" w14:textId="17853E4E"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3. Deschideri expuse BR1 </w:t>
            </w:r>
            <w:r w:rsidR="00880AA6">
              <w:rPr>
                <w:rFonts w:ascii="Times New Roman" w:hAnsi="Times New Roman"/>
                <w:sz w:val="24"/>
              </w:rPr>
              <w:t>-</w:t>
            </w:r>
            <w:r>
              <w:rPr>
                <w:rFonts w:ascii="Times New Roman" w:hAnsi="Times New Roman"/>
                <w:sz w:val="24"/>
              </w:rPr>
              <w:t xml:space="preserve"> altele decât în camere de dormit</w:t>
            </w:r>
          </w:p>
        </w:tc>
      </w:tr>
      <w:tr w:rsidR="001E2566" w:rsidRPr="001E2566" w14:paraId="17A4DC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94FF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verticală care nu este orientată spre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B16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302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96A0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2F84EE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9D3B6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orizontală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887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59F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1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561D3B23"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AF6B8D3" w14:textId="2AFDD826"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4. Deschideri expuse </w:t>
            </w:r>
            <w:r w:rsidR="00880AA6">
              <w:rPr>
                <w:rFonts w:ascii="Times New Roman" w:hAnsi="Times New Roman"/>
                <w:sz w:val="24"/>
              </w:rPr>
              <w:t>-</w:t>
            </w:r>
            <w:r>
              <w:rPr>
                <w:rFonts w:ascii="Times New Roman" w:hAnsi="Times New Roman"/>
                <w:sz w:val="24"/>
              </w:rPr>
              <w:t xml:space="preserve"> BR2 sau BR3 altele decât în camere de dormit</w:t>
            </w:r>
          </w:p>
        </w:tc>
      </w:tr>
      <w:tr w:rsidR="001E2566" w:rsidRPr="001E2566" w14:paraId="3767857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2884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verticală care nu este orientată spre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E2F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6F44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F36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52242EF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81859"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Deschidere orizontală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DA5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E99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CDA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bl>
    <w:p w14:paraId="5129EB5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Deschiderile care nu sunt expuse la lumina directă a soarelui din aprilie până în octombrie, din cauza umbririi solare îndepărtate, pot aplica doar cerințele pentru deschiderile orientate spre nord.</w:t>
      </w:r>
    </w:p>
    <w:p w14:paraId="5036DC0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25</w:t>
      </w:r>
    </w:p>
    <w:p w14:paraId="63A497F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Deschiderile din aceeași încăpere, altele decât încăperile cu ocupație temporară, ar trebui să fie deschise la cel puțin 30 % din suprafața lor, cu excepția cazului în care </w:t>
      </w:r>
      <w:r>
        <w:rPr>
          <w:rFonts w:ascii="Times New Roman" w:hAnsi="Times New Roman"/>
          <w:sz w:val="24"/>
        </w:rPr>
        <w:lastRenderedPageBreak/>
        <w:t>normele de igienă sau de siguranță interzic acest lucru.</w:t>
      </w:r>
      <w:r>
        <w:rPr>
          <w:rFonts w:ascii="Times New Roman" w:hAnsi="Times New Roman"/>
          <w:sz w:val="24"/>
        </w:rPr>
        <w:br/>
        <w:t>Această limită se reduce la 10 % pentru încăperile în care diferența de altitudine dintre punctul cel mai de jos al deschiderii sale celei mai joase și punctul cel mai înalt al deschiderii sale maxime este egală sau mai mare de 4 m.</w:t>
      </w:r>
    </w:p>
    <w:p w14:paraId="3C66D6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XI: CONSUMUL DE ENERGIE (articolele 26-28)</w:t>
      </w:r>
    </w:p>
    <w:p w14:paraId="5035D77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26</w:t>
      </w:r>
    </w:p>
    <w:p w14:paraId="3C990E3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Orice automatizare care are ca rezultat o creștere a consumului de energie:</w:t>
      </w:r>
    </w:p>
    <w:p w14:paraId="56C2F6BF" w14:textId="362B1CD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sunt concepute și puse în aplicare astfel încât automatizarea să fie declanșată numai atunci când este necesar;</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sunt programate sau programate astfel încât să se oprească automat creșterea consumului de energie de îndată ce aceasta nu mai este necesară;</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poate fi adaptat de viitorul administrator al clădirii în funcție de condițiile de ocupare a clădirii.</w:t>
      </w:r>
    </w:p>
    <w:p w14:paraId="1080E20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Automatizarea permite declanșarea automată a iluminatului artificial numai în case, birouri, săli de reuniune, săli de clasă și săli multifuncționale, numai după intervenția manuală a ocupantului în sau în imediata apropiere a sălii în cauză, cu mai puțin de 6 ore mai devreme.</w:t>
      </w:r>
    </w:p>
    <w:p w14:paraId="3B6B8B1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27</w:t>
      </w:r>
    </w:p>
    <w:p w14:paraId="27C4EBA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Clădirile rezidențiale sau părți ale acestora trebuie să fie echipate cu sisteme care să permită măsurarea sau estimarea consumului de energie al fiecărei reședințe, cu excepția consumului de sisteme individuale de lemn în locuințe individuale sau alăturate.</w:t>
      </w:r>
      <w:r>
        <w:rPr>
          <w:rFonts w:ascii="Times New Roman" w:hAnsi="Times New Roman"/>
          <w:sz w:val="24"/>
        </w:rPr>
        <w:br/>
        <w:t>În cazul producției colective de energie, prin „energie consumată de locuință” se înțelege partea din consumul total de energie dedicat acestei locuințe în conformitate cu o cheie de distribuție care urmează să fie definită de proprietarul clădirii în timpul construcției clădirii.</w:t>
      </w:r>
      <w:r>
        <w:rPr>
          <w:rFonts w:ascii="Times New Roman" w:hAnsi="Times New Roman"/>
          <w:sz w:val="24"/>
        </w:rPr>
        <w:br/>
        <w:t>Aceste sisteme permit ocupanților să fie informați cu privire la consumul lor de energie cel puțin o dată pe lună.</w:t>
      </w:r>
      <w:r>
        <w:rPr>
          <w:rFonts w:ascii="Times New Roman" w:hAnsi="Times New Roman"/>
          <w:sz w:val="24"/>
        </w:rPr>
        <w:br/>
        <w:t>Aceste informații sunt furnizate în spațiul de locuit, în funcție de tipul de energie, defalcate cel puțin la următoarele elemente:</w:t>
      </w:r>
    </w:p>
    <w:p w14:paraId="4891DCEE" w14:textId="6AC56DED"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încălzire;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răcire;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producția de apă caldă menajeră;</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prize de curent;</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altele.</w:t>
      </w:r>
    </w:p>
    <w:p w14:paraId="1ED5803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Această defalcare se poate baza fie pe date măsurate, fie pe date estimate pe baza unor setări predefinite.</w:t>
      </w:r>
      <w:r>
        <w:rPr>
          <w:rFonts w:ascii="Times New Roman" w:hAnsi="Times New Roman"/>
          <w:sz w:val="24"/>
        </w:rPr>
        <w:br/>
        <w:t>Cu toate acestea, în cazul unui proprietar de proiect care este, de asemenea, viitorul proprietar și locator al clădirii construite; în special, proprietarii de locuințe sociale de închiriat, aceste informații pot fi furnizate ocupanților, cel puțin lunar, prin mijloace electronice sau poștale, mai degrabă decât direct în spațiul de locuit.</w:t>
      </w:r>
      <w:r>
        <w:rPr>
          <w:rFonts w:ascii="Times New Roman" w:hAnsi="Times New Roman"/>
          <w:sz w:val="24"/>
        </w:rPr>
        <w:br/>
        <w:t>Dovada că prezentul articol a fost luat în considerare se furnizează în conformitate cu orientările intitulate Sisteme de măsurare sau estimare a consumului în carcasă, care specifică procedurile de aplicare a acestuia.</w:t>
      </w:r>
    </w:p>
    <w:p w14:paraId="7FA3703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28</w:t>
      </w:r>
    </w:p>
    <w:p w14:paraId="3C15432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Clădirile nerezidențiale sau părți ale acestora trebuie să fie echipate cu sisteme care să permită măsurarea sau calcularea consumului de energie:</w:t>
      </w:r>
    </w:p>
    <w:p w14:paraId="16BE002B" w14:textId="234D5A0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încălzire: pentru fiecare 500 m² din suprafața în cauză, pentru fiecare panou electric, pentru fiecare planșeu sau pentru fiecare cablu de ieșire directă;</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răcire: pentru fiecare 500 m² din suprafața în cauză sau pentru fiecare panou electric, pentru fiecare planșeu sau pentru fiecare cablu de ieșire directă;</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producția de apă caldă menajeră;</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iluminat: pentru fiecare 500 m² din suprafața în cauză, pentru fiecare panou electric sau pentru fiecare planșeu;</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rețeaua de prize electrice: pentru fiecare secțiune de 500 m² a suprafeței în cauză, pentru fiecare panou electric sau pentru fiecare planșeu;</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unitățile de ventilație: pentru fiecare unitate;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fiecare ieșire directă mai mare de 80 de amperi.</w:t>
      </w:r>
    </w:p>
    <w:p w14:paraId="121932A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XII: ÎNCĂLZIRE ȘI RĂCIRE (articolele 29-34)</w:t>
      </w:r>
    </w:p>
    <w:p w14:paraId="6BB94A5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29</w:t>
      </w:r>
    </w:p>
    <w:p w14:paraId="3E6600B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Unitățile de încălzire trebuie să includă, pentru fiecare cameră furnizată, unul sau mai multe dispozitive care pot fi oprite manual sau reglate automat în funcție de temperatura din interiorul camerei.</w:t>
      </w:r>
      <w:r>
        <w:rPr>
          <w:rFonts w:ascii="Times New Roman" w:hAnsi="Times New Roman"/>
          <w:sz w:val="24"/>
        </w:rPr>
        <w:br/>
        <w:t>Cu toate acestea, atunci când încălzirea este asigurată prin încălzire prin pardoseală cu apă caldă la temperatură joasă sau aer suflat sau printr-un dispozitiv independent de încălzire a lemnului, acest dispozitiv poate fi împărțit de încăperi cu o suprafață totală maximă de 100 m².</w:t>
      </w:r>
      <w:r>
        <w:rPr>
          <w:rFonts w:ascii="Times New Roman" w:hAnsi="Times New Roman"/>
          <w:sz w:val="24"/>
        </w:rPr>
        <w:br/>
        <w:t>Reglarea automată se programează astfel încât să îndeplinească cerințele articolului R. 241-26 din Codul energiei.</w:t>
      </w:r>
    </w:p>
    <w:p w14:paraId="6A3631F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30</w:t>
      </w:r>
    </w:p>
    <w:p w14:paraId="3C26ACA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În cazul clădirilor nerezidențiale sau al părților acestora, orice unitate de încălzire care furnizează camere ocupate în mod discontinuu include un dispozitiv care </w:t>
      </w:r>
      <w:r>
        <w:rPr>
          <w:rFonts w:ascii="Times New Roman" w:hAnsi="Times New Roman"/>
          <w:sz w:val="24"/>
        </w:rPr>
        <w:lastRenderedPageBreak/>
        <w:t>poate fi controlat manual și programat automat, cel puțin cu ajutorul unui ceas, care permite:</w:t>
      </w:r>
    </w:p>
    <w:p w14:paraId="32B9CAFF" w14:textId="4D0DA8A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căldura care trebuie furnizată în conformitate cu următoarele patru niveluri: confort, prevenire scăzută, congelare și oprire;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un comutator automat între aceste niveluri.</w:t>
      </w:r>
    </w:p>
    <w:p w14:paraId="1CAD740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timpul trecerii între două niveluri, puterea de încălzire trebuie să fie zero sau maximă pentru a reduce la minimum durata fazelor de tranziție.</w:t>
      </w:r>
      <w:r>
        <w:rPr>
          <w:rFonts w:ascii="Times New Roman" w:hAnsi="Times New Roman"/>
          <w:sz w:val="24"/>
        </w:rPr>
        <w:br/>
        <w:t>Un astfel de dispozitiv poate fi partajat numai de camere cu timpi de ocupare similari. Același dispozitiv poate servi o suprafață de cel mult 5 000 m².</w:t>
      </w:r>
    </w:p>
    <w:p w14:paraId="4549E14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31</w:t>
      </w:r>
    </w:p>
    <w:p w14:paraId="3E54305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Rețelele colective de distribuție a apei de încălzire sau de răcire trebuie să fie dotate cu o unitate de echilibrare la poalele fiecărei coloane.</w:t>
      </w:r>
      <w:r>
        <w:rPr>
          <w:rFonts w:ascii="Times New Roman" w:hAnsi="Times New Roman"/>
          <w:sz w:val="24"/>
        </w:rPr>
        <w:br/>
        <w:t>Pompele pentru instalațiile de încălzire și răcire sunt dotate cu dispozitive care să le oprească.</w:t>
      </w:r>
    </w:p>
    <w:p w14:paraId="3ED05C3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32</w:t>
      </w:r>
    </w:p>
    <w:p w14:paraId="5A6F850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Unitățile de răcire trebuie să includă, pentru fiecare cameră furnizată, unul sau mai multe dispozitive care pot fi oprite manual și care reglează automat alimentarea cu frig în funcție de temperatura din interiorul camerei.</w:t>
      </w:r>
      <w:r>
        <w:rPr>
          <w:rFonts w:ascii="Times New Roman" w:hAnsi="Times New Roman"/>
          <w:sz w:val="24"/>
        </w:rPr>
        <w:br/>
        <w:t>Cu toate acestea:</w:t>
      </w:r>
    </w:p>
    <w:p w14:paraId="035004FD" w14:textId="18535862"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atunci când frigul este alimentat de un sistem cu debit de aer variabil, acest dispozitiv poate fi împărțit de încăperi cu o suprafață totală maximă de 100 m², cu condiția ca debitul total suflat să fie reglat fără a crește pierderea de presiune;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atunci când frigul este alimentat de o podea de răcire, acest dispozitiv poate fi împărțit de încăperi cu o suprafață totală maximă de 100 m².</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„convectoarele de ventilatoare cu două tuburi numai la rece”, cerința de la alineatul (1) se consideră îndeplinită dacă fiecare ventilator este controlat de temperatura interioară, iar instalațiile de producție și distribuție a apei reci sunt echipate cu un dispozitiv care permite programarea lor;</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pentru clădirile sau părțile unei clădiri răcite prin răcirea aerului proaspăt fără a crește debitul procesat peste dublul nevoilor de igienă, cerința de la alineatul (1) se consideră îndeplinită dacă alimentarea la rece este, în primul rând, ajustată în funcție de cel puțin temperatura de retur a aerului și temperatura exterioară și, în al doilea rând, interzisă în perioadele de încălzire.</w:t>
      </w:r>
    </w:p>
    <w:p w14:paraId="2FDC196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Reglarea automată se programează astfel încât să îndeplinească cerințele articolului R. 241-30 din Codul energiei.</w:t>
      </w:r>
    </w:p>
    <w:p w14:paraId="29C766C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Articolul 33</w:t>
      </w:r>
    </w:p>
    <w:p w14:paraId="61BFA3E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Ușile de acces în zonele răcite trebuie prevăzute cu un dispozitiv de închidere automată.</w:t>
      </w:r>
    </w:p>
    <w:p w14:paraId="0FFFE88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34</w:t>
      </w:r>
    </w:p>
    <w:p w14:paraId="6788567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Înainte de ieșirea finală în încăpere, cu excepția cazului în care încălzirea este obținută prin recuperarea din producția la rece, aerul nu trebuie încălzit și apoi răcit sau invers cu dispozitive consumatoare de energie concepute pentru încălzirea sau răcirea aerului.</w:t>
      </w:r>
    </w:p>
    <w:p w14:paraId="7468E6E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XIII: ILUMINATUL (articolele 35-38)</w:t>
      </w:r>
    </w:p>
    <w:p w14:paraId="776EC1B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35</w:t>
      </w:r>
    </w:p>
    <w:p w14:paraId="6F0AAAA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zonele cu pasarelă, în zonele interioare verticale și orizontale comunale și în parcări, toate instalațiile de iluminat trebuie să includă, pentru fiecare cameră, un dispozitiv automat care să permită acest lucru, atunci când camera sau parcarea este neocupată:</w:t>
      </w:r>
    </w:p>
    <w:p w14:paraId="0741976C" w14:textId="3BB4726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fie pentru a reduce iluminarea la nivelul minim de reglementare;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sau pentru stingerea surselor de lumină artificială, în cazul în care nicio reglementare nu impune un nivel minim.</w:t>
      </w:r>
    </w:p>
    <w:p w14:paraId="7A5ABA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plus, în cazul în care camera are acces la lumina naturală, aceasta ar trebui să includă un dispozitiv care să permită oprirea automată a sistemului de iluminat de îndată ce lumina naturală este suficientă.</w:t>
      </w:r>
      <w:r>
        <w:rPr>
          <w:rFonts w:ascii="Times New Roman" w:hAnsi="Times New Roman"/>
          <w:sz w:val="24"/>
        </w:rPr>
        <w:br/>
        <w:t>Un singur dispozitiv servește cel mult:</w:t>
      </w:r>
    </w:p>
    <w:p w14:paraId="05A2C700" w14:textId="2107A7DC"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o suprafață maximă de 100 m² și un singur nivel pentru pasarele orizontale și zone comunitare interioare;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trei niveluri pentru pasarelele verticale;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un nivel și o suprafață de cel mult 500 m² pentru locurile de parcare.</w:t>
      </w:r>
    </w:p>
    <w:p w14:paraId="50B9042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36</w:t>
      </w:r>
    </w:p>
    <w:p w14:paraId="64E1D62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clădirile nerezidențiale sau în părți ale acestora, fiecare cameră este prevăzută cu un dispozitiv manual pentru aprinderea și oprirea iluminatului sau cu un dispozitiv automat în funcție de rata de ocupare.</w:t>
      </w:r>
    </w:p>
    <w:p w14:paraId="46E1DC5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37</w:t>
      </w:r>
    </w:p>
    <w:p w14:paraId="61CF536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În clădirile nerezidențiale sau în părți ale acestora, fiecare cameră în care controlul iluminatului este responsabilitatea personalului său de conducere trebuie să includă, chiar și în perioadele de ocupare, un dispozitiv care să permită aprinderea și stingerea iluminatului. În cazul în care acest dispozitiv nu este situat în camera în cauză, acesta trebuie să permită vizualizarea stării de iluminare din această încăpere de la punctul de control.</w:t>
      </w:r>
    </w:p>
    <w:p w14:paraId="69BF165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38</w:t>
      </w:r>
    </w:p>
    <w:p w14:paraId="62C900D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clădirile sau părțile de clădiri pentru uz nerezidențial, în aceeași încăpere, punctele iluminate artificial, situate la mai puțin de 5 m de o deschidere, trebuie controlate separat de alte puncte de iluminare atunci când puterea totală instalată în fiecare dintre aceste poziții depășește 200 W.</w:t>
      </w:r>
    </w:p>
    <w:p w14:paraId="54320DE6"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Capitolul XIV: VENTILAȚIA (articolele 39-40)</w:t>
      </w:r>
    </w:p>
    <w:p w14:paraId="1F4C099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39</w:t>
      </w:r>
    </w:p>
    <w:p w14:paraId="4317F7C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cazul clădirilor nerezidențiale sau al părților acestora, camerele sau grupurile de încăperi a căror ocupație sau utilizare diferă foarte mult trebuie să fie deservite de sisteme de ventilație independente.</w:t>
      </w:r>
    </w:p>
    <w:p w14:paraId="0989BA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Articolul 40</w:t>
      </w:r>
    </w:p>
    <w:p w14:paraId="03BFE55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În cazul clădirilor nerezidențiale sau al părților acestora care sunt echipate cu sisteme de ventilație mecanizate specifice, orice dispozitiv manual de modificare a fluxului de aer dintr-o încăpere trebuie să funcționeze cu un temporizator.</w:t>
      </w:r>
    </w:p>
    <w:p w14:paraId="73CE2D18"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IV: PROPUNERE DE METODE DE APLICARE SIMPLIFICATE ÎN LOCUINȚE INDIVIDUALE (articolele 41-42)</w:t>
      </w:r>
    </w:p>
    <w:p w14:paraId="47A4E08A"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41</w:t>
      </w:r>
    </w:p>
    <w:p w14:paraId="1B46DA7D"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O metodă simplificată de aplicare este o combinație de caracteristici arhitecturale, performanța energetică și de mediu a lucrărilor și echipamentelor atașate unei familii definite de locuințe individuale, considerate a fi în conformitate cu dispozițiile titlurilor I-III din prezentul ordin pentru toate clădirile din această familie.</w:t>
      </w:r>
      <w:r>
        <w:rPr>
          <w:rFonts w:ascii="Times New Roman" w:hAnsi="Times New Roman"/>
          <w:sz w:val="24"/>
        </w:rPr>
        <w:br/>
        <w:t>Metoda simplificată de aplicare poate fi utilizată numai în forma sa integrală.</w:t>
      </w:r>
    </w:p>
    <w:p w14:paraId="0838A46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42</w:t>
      </w:r>
    </w:p>
    <w:p w14:paraId="0008101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Propunerea privind o metodă simplificată de aplicare se transmite ministrului responsabil cu energia și ministrului responsabil cu construcțiile, însoțită de un dosar de studiu compus în conformitate cu anexa IX.</w:t>
      </w:r>
    </w:p>
    <w:p w14:paraId="505CE6F7" w14:textId="49C07512"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Titlul V</w:t>
      </w:r>
      <w:r w:rsidR="004A5727">
        <w:rPr>
          <w:rFonts w:ascii="Times New Roman" w:hAnsi="Times New Roman"/>
          <w:b/>
          <w:sz w:val="27"/>
        </w:rPr>
        <w:t>:</w:t>
      </w:r>
      <w:r>
        <w:rPr>
          <w:rFonts w:ascii="Times New Roman" w:hAnsi="Times New Roman"/>
          <w:b/>
          <w:sz w:val="27"/>
        </w:rPr>
        <w:t xml:space="preserve"> CAZURI SPECIALE (articolele 43-44)</w:t>
      </w:r>
    </w:p>
    <w:p w14:paraId="17157191"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43</w:t>
      </w:r>
    </w:p>
    <w:p w14:paraId="2CB29501"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În cazul în care metoda de calcul menționată la articolul 8 nu ține seama de particularitățile unui proiect de construcție, cererea de aprobare a proiectului se trimite ministrului responsabil cu energia și ministrului responsabil cu construcțiile.</w:t>
      </w:r>
      <w:r>
        <w:rPr>
          <w:rFonts w:ascii="Times New Roman" w:hAnsi="Times New Roman"/>
          <w:sz w:val="24"/>
        </w:rPr>
        <w:br/>
        <w:t>În următoarele cazuri, o cerere de aprobare a proiectului sau metoda utilizată pentru a justifica performanța sistemului sau a rețelei de încălzire sau răcire poate fi trimisă ministrului responsabil cu energia și ministrului construcțiilor:</w:t>
      </w:r>
    </w:p>
    <w:p w14:paraId="5A0B0C39" w14:textId="1544142F"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în cazul în care metoda de calcul menționată la articolul 8 nu ia în considerare particularitățile unui sistem;</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dacă se creează o rețea urbană de încălzire sau răcire;</w:t>
      </w:r>
      <w:r>
        <w:rPr>
          <w:rFonts w:ascii="Times New Roman" w:hAnsi="Times New Roman"/>
          <w:sz w:val="24"/>
        </w:rPr>
        <w:br/>
      </w:r>
      <w:r w:rsidR="000506AB">
        <w:rPr>
          <w:rFonts w:ascii="Times New Roman" w:hAnsi="Times New Roman"/>
          <w:sz w:val="24"/>
        </w:rPr>
        <w:t>-</w:t>
      </w:r>
      <w:r>
        <w:rPr>
          <w:rFonts w:ascii="Times New Roman" w:hAnsi="Times New Roman"/>
          <w:sz w:val="24"/>
        </w:rPr>
        <w:t xml:space="preserve"> în cazul în care lucrările de modificare a unei rețele de încălzire sau răcire pot cauza o modificare semnificativă a factorului de emisie, astfel cum se prevede la articolul 10.</w:t>
      </w:r>
    </w:p>
    <w:p w14:paraId="74E0BDC5"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Cererile de aprobare sunt însoțite de un dosar de studiu compus în conformitate cu anexa X, care stabilește, în special, modul în care metoda de calcul menționată la articolul 8 nu ia în considerare specificul proiectului sau al sistemului de construcție, după caz.</w:t>
      </w:r>
      <w:r>
        <w:rPr>
          <w:rFonts w:ascii="Times New Roman" w:hAnsi="Times New Roman"/>
          <w:sz w:val="24"/>
        </w:rPr>
        <w:br/>
        <w:t>Aprobarea unui proiect de construcție nu este obligatorie în cazul în care un certificat de conformitate cu obiectivele, în sensul articolului L. 112-9 și referitor la un alt subiect decât performanța energetică, prevede date de intrare specifice soluțiilor cu efect echivalent în cauză care permit aplicarea metodei de calcul menționate la articolul 8.</w:t>
      </w:r>
    </w:p>
    <w:p w14:paraId="6CDD315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44</w:t>
      </w:r>
    </w:p>
    <w:p w14:paraId="7CB9C8E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Ministrul responsabil cu energia și ministrul construcțiilor pot aproba propunerea de a lua în considerare proiectul de construcție sau sistemul sau rețeaua de încălzire sau răcire, după consultarea unui comitet de experți înființat în acest scop.</w:t>
      </w:r>
      <w:r>
        <w:rPr>
          <w:rFonts w:ascii="Times New Roman" w:hAnsi="Times New Roman"/>
          <w:sz w:val="24"/>
        </w:rPr>
        <w:br/>
        <w:t>Pentru crearea de rețele de încălzire sau răcire centralizată, aprobarea este valabilă pentru o perioadă de maximum trei ani; pentru lucrările de modificare a rețelelor de încălzire sau răcire centralizată, aprobarea este valabilă pentru o perioadă de maximum cinci ani, care poate fi prelungită la doi ani de la avizul unui comitet de experți.</w:t>
      </w:r>
    </w:p>
    <w:p w14:paraId="7E5DA6C6"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Titlul VI: DISPOZIȚII DIVERSE (articolele 45-52)</w:t>
      </w:r>
    </w:p>
    <w:p w14:paraId="69D3FE2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45</w:t>
      </w:r>
    </w:p>
    <w:p w14:paraId="04CAF51E"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În cazul în care o clădire sau o parte a unei clădiri este livrată fără un sistem de încălzire, aceasta este evaluată cu ajutorul unui sistem de încălzire implicit, astfel cum </w:t>
      </w:r>
      <w:r>
        <w:rPr>
          <w:rFonts w:ascii="Times New Roman" w:hAnsi="Times New Roman"/>
          <w:sz w:val="24"/>
        </w:rPr>
        <w:lastRenderedPageBreak/>
        <w:t>se prevede în metoda menționată la articolul 8. În cazul în care metoda pentru clădirea în cauză nu prevede niciun sistem de încălzire implicit, acesta poate îndeplini numai cerințele în materie de resurse definite în titlul III și cerințele definite la articolul R. 172-4 punctele 1, 4 și 5 din Codul construcțiilor și al locuințelor și determinate în conformitate cu procedurile specificate în anexa la același articol.</w:t>
      </w:r>
    </w:p>
    <w:p w14:paraId="792A4188"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46</w:t>
      </w:r>
    </w:p>
    <w:p w14:paraId="6521031A" w14:textId="51EF6505"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4E0DAA">
        <w:rPr>
          <w:rFonts w:ascii="Times New Roman" w:hAnsi="Times New Roman"/>
          <w:sz w:val="24"/>
        </w:rPr>
        <w:t>-</w:t>
      </w:r>
      <w:r>
        <w:rPr>
          <w:rFonts w:ascii="Times New Roman" w:hAnsi="Times New Roman"/>
          <w:sz w:val="24"/>
        </w:rPr>
        <w:t xml:space="preserve"> Cerințele prevăzute în Ordinele din 26 octombrie 2010 și 28 decembrie 2012 menționate mai sus sunt prezumate a fi îndeplinite dacă sunt îndeplinite cerințele prevăzute la articolul R. 172-4 din Codul construcțiilor și al locuințelor și stabilite în conformitate cu procedurile prevăzute în anexa la același articol, precum și cu cerințele prevăzute în prezenta ordonanță.</w:t>
      </w:r>
      <w:r>
        <w:rPr>
          <w:rFonts w:ascii="Times New Roman" w:hAnsi="Times New Roman"/>
          <w:sz w:val="24"/>
        </w:rPr>
        <w:br/>
        <w:t xml:space="preserve">II. </w:t>
      </w:r>
      <w:r w:rsidR="004E0DAA">
        <w:rPr>
          <w:rFonts w:ascii="Times New Roman" w:hAnsi="Times New Roman"/>
          <w:sz w:val="24"/>
        </w:rPr>
        <w:t>-</w:t>
      </w:r>
      <w:r>
        <w:rPr>
          <w:rFonts w:ascii="Times New Roman" w:hAnsi="Times New Roman"/>
          <w:sz w:val="24"/>
        </w:rPr>
        <w:t xml:space="preserve"> Cerințele prevăzute în Ordinele din 13 iunie 2008 și 3 mai 2007 menționate mai sus sunt prezumate a fi îndeplinite, atunci când sunt îndeplinite cerințele definite la articolul R. 172-4 punctele 1-3 și 5 din Codul construcțiilor și al locuințelor și stabilite în conformitate cu procedurile specificate în anexa la același articol, precum și cu cerințele prevăzute în titlul III din prezentul decret.</w:t>
      </w:r>
    </w:p>
    <w:p w14:paraId="3E80F0A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47</w:t>
      </w:r>
    </w:p>
    <w:p w14:paraId="739D52A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Dispozițiile prezentului ordin nu pot compromite măsurile legislative și administrative în vigoare în materie de sănătate, salubritate, igienă și siguranță.</w:t>
      </w:r>
    </w:p>
    <w:p w14:paraId="75794AB3"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48</w:t>
      </w:r>
    </w:p>
    <w:p w14:paraId="4933BA79"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La articolele 11 și 12 din Ordonanța din 26 octombrie 2010 menționată anterior, cuvintele „1 septembrie 2021” se înlocuiesc cu „31 decembrie 2021”.</w:t>
      </w:r>
    </w:p>
    <w:p w14:paraId="6085A12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49</w:t>
      </w:r>
    </w:p>
    <w:p w14:paraId="01833B6B" w14:textId="7BCB784E"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8670BE">
        <w:rPr>
          <w:rFonts w:ascii="Times New Roman" w:hAnsi="Times New Roman"/>
          <w:sz w:val="24"/>
        </w:rPr>
        <w:t>-</w:t>
      </w:r>
      <w:r>
        <w:rPr>
          <w:rFonts w:ascii="Times New Roman" w:hAnsi="Times New Roman"/>
          <w:sz w:val="24"/>
        </w:rPr>
        <w:t xml:space="preserve"> Articolul 10 din Ordinul din 26 octombrie 2010 și articolul 10 din Ordinul din 28 decembrie 2012 menționat anterior se înlocuiesc cu:</w:t>
      </w:r>
    </w:p>
    <w:p w14:paraId="228B35D7" w14:textId="43F2A7C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„Articolul 10. </w:t>
      </w:r>
      <w:r w:rsidR="000506AB">
        <w:rPr>
          <w:rFonts w:ascii="Times New Roman" w:hAnsi="Times New Roman"/>
          <w:sz w:val="24"/>
        </w:rPr>
        <w:t>-</w:t>
      </w:r>
      <w:r>
        <w:rPr>
          <w:rFonts w:ascii="Times New Roman" w:hAnsi="Times New Roman"/>
          <w:sz w:val="24"/>
        </w:rPr>
        <w:t xml:space="preserve"> Cel târziu până la 1 ianuarie 2013, software-ul utilizat pentru efectuarea calculelor Cep, Bbio și Tic trebuie să fi fost evaluat de ministrul responsabil cu construcțiile și de ministrul energiei, în conformitate cu procedura prevăzută în anexa X. La finalul acestei evaluări, se emite un raport de evaluare. Această evaluare ar trebui revizuită o dată la doi ani, la data aniversară a emiterii raportului de evaluare sau cel puțin o dată începând cu 1 ianuarie 2018.”</w:t>
      </w:r>
    </w:p>
    <w:p w14:paraId="519D34E6" w14:textId="0D59817D"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II. </w:t>
      </w:r>
      <w:r w:rsidR="008670BE">
        <w:rPr>
          <w:rFonts w:ascii="Times New Roman" w:hAnsi="Times New Roman"/>
          <w:sz w:val="24"/>
        </w:rPr>
        <w:t>-</w:t>
      </w:r>
      <w:r>
        <w:rPr>
          <w:rFonts w:ascii="Times New Roman" w:hAnsi="Times New Roman"/>
          <w:sz w:val="24"/>
        </w:rPr>
        <w:t xml:space="preserve"> La începutul punctului 5 din anexa X la Ordinul din 26 octombrie 2010 menționat anterior și la începutul punctului 5 din anexa VI la Ordonanța din 28 decembrie 2012, menționată anterior, se adaugă următoarea teză: „Următorul alineat nu se aplică </w:t>
      </w:r>
      <w:r>
        <w:rPr>
          <w:rFonts w:ascii="Times New Roman" w:hAnsi="Times New Roman"/>
          <w:sz w:val="24"/>
        </w:rPr>
        <w:lastRenderedPageBreak/>
        <w:t>programelor informatice care au făcut obiectul unei revizuiri a evaluării după 1 ianuarie 2018.”</w:t>
      </w:r>
    </w:p>
    <w:p w14:paraId="17033EF3"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50</w:t>
      </w:r>
    </w:p>
    <w:p w14:paraId="7292B4E9"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La sfârșitul articolului 49 din Ordinul din 26 octombrie 2010 menționat anterior și la sfârșitul articolului 39 din Ordinul din 28 decembrie 2012 menționat anterior, se adaugă următorul alineat: </w:t>
      </w:r>
      <w:r>
        <w:rPr>
          <w:rFonts w:ascii="Times New Roman" w:hAnsi="Times New Roman"/>
          <w:sz w:val="24"/>
        </w:rPr>
        <w:br/>
        <w:t>„Aprobarea unui proiect de construcție nu este obligatorie în cazul în care un certificat de conformitate cu obiectivele, în sensul articolului L. 112-9 din Codul construcțiilor și al locuințelor și care se referă la un alt subiect decât performanța energetică, prevede date de intrare specifice soluțiilor cu efect echivalent în cauză care permit metoda de calcul Th-B-C-E 2012.”</w:t>
      </w:r>
    </w:p>
    <w:p w14:paraId="0133372C"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51</w:t>
      </w:r>
    </w:p>
    <w:p w14:paraId="24D85573" w14:textId="5FB36EAA"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26648F">
        <w:rPr>
          <w:rFonts w:ascii="Times New Roman" w:hAnsi="Times New Roman"/>
          <w:sz w:val="24"/>
        </w:rPr>
        <w:t>-</w:t>
      </w:r>
      <w:r>
        <w:rPr>
          <w:rFonts w:ascii="Times New Roman" w:hAnsi="Times New Roman"/>
          <w:sz w:val="24"/>
        </w:rPr>
        <w:t xml:space="preserve"> Dispozițiile articolelor 48-50 intră în vigoare în ziua următoare datei publicării prezentei ordonanțe.</w:t>
      </w:r>
      <w:r>
        <w:rPr>
          <w:rFonts w:ascii="Times New Roman" w:hAnsi="Times New Roman"/>
          <w:sz w:val="24"/>
        </w:rPr>
        <w:br/>
        <w:t xml:space="preserve">II. </w:t>
      </w:r>
      <w:r w:rsidR="0026648F">
        <w:rPr>
          <w:rFonts w:ascii="Times New Roman" w:hAnsi="Times New Roman"/>
          <w:sz w:val="24"/>
        </w:rPr>
        <w:t>-</w:t>
      </w:r>
      <w:r>
        <w:rPr>
          <w:rFonts w:ascii="Times New Roman" w:hAnsi="Times New Roman"/>
          <w:sz w:val="24"/>
        </w:rPr>
        <w:t xml:space="preserve"> Dispozițiile celorlalte articole intră în vigoare la 1 ianuarie 2022.</w:t>
      </w:r>
    </w:p>
    <w:p w14:paraId="1A52D4A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 52</w:t>
      </w:r>
    </w:p>
    <w:p w14:paraId="76B5C327"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Prezentul decret se publică în Jurnalul Oficial al Republicii Franceze.</w:t>
      </w:r>
    </w:p>
    <w:p w14:paraId="360CB09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Anexă</w:t>
      </w:r>
    </w:p>
    <w:p w14:paraId="1FE00F17"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Articolul</w:t>
      </w:r>
    </w:p>
    <w:p w14:paraId="71AFA498"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ANEXE</w:t>
      </w:r>
    </w:p>
    <w:p w14:paraId="7A4A40BE"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0DA2BE06"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Puteți vizualiza întregul text cu imaginile aferente din extrasul din Jurnalul Oficial electronic autentificat, accesibil în partea de jos a paginii.</w:t>
      </w:r>
    </w:p>
    <w:p w14:paraId="3760AF8B"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Datat 4 august 2021.</w:t>
      </w:r>
    </w:p>
    <w:p w14:paraId="133B264A"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Ministrul delegat pe lângă ministrul tranziției ecologice, responsabil cu locuințe,</w:t>
      </w:r>
      <w:r>
        <w:rPr>
          <w:rFonts w:ascii="Times New Roman" w:hAnsi="Times New Roman"/>
          <w:sz w:val="24"/>
        </w:rPr>
        <w:br/>
        <w:t>Pentru ministru și prin delegare:</w:t>
      </w:r>
      <w:r>
        <w:rPr>
          <w:rFonts w:ascii="Times New Roman" w:hAnsi="Times New Roman"/>
          <w:sz w:val="24"/>
        </w:rPr>
        <w:br/>
        <w:t>Director locuințe, urbanism și amenajare peisagistică,</w:t>
      </w:r>
      <w:r>
        <w:rPr>
          <w:rFonts w:ascii="Times New Roman" w:hAnsi="Times New Roman"/>
          <w:sz w:val="24"/>
        </w:rPr>
        <w:br/>
        <w:t>F. Adam</w:t>
      </w:r>
    </w:p>
    <w:p w14:paraId="1A7604DF" w14:textId="17FF67D5" w:rsidR="007570FC" w:rsidRDefault="001E2566" w:rsidP="00053FD1">
      <w:pPr>
        <w:spacing w:before="100" w:beforeAutospacing="1" w:after="100" w:afterAutospacing="1" w:line="240" w:lineRule="auto"/>
      </w:pPr>
      <w:r>
        <w:rPr>
          <w:rFonts w:ascii="Times New Roman" w:hAnsi="Times New Roman"/>
          <w:sz w:val="24"/>
        </w:rPr>
        <w:lastRenderedPageBreak/>
        <w:br/>
        <w:t>Ministrul tranziției ecologice,</w:t>
      </w:r>
      <w:r>
        <w:rPr>
          <w:rFonts w:ascii="Times New Roman" w:hAnsi="Times New Roman"/>
          <w:sz w:val="24"/>
        </w:rPr>
        <w:br/>
        <w:t>Pentru și în numele ministrului:</w:t>
      </w:r>
      <w:r>
        <w:rPr>
          <w:rFonts w:ascii="Times New Roman" w:hAnsi="Times New Roman"/>
          <w:sz w:val="24"/>
        </w:rPr>
        <w:br/>
        <w:t>Director locuințe, urbanism și amenajare peisagistică,</w:t>
      </w:r>
      <w:r>
        <w:rPr>
          <w:rFonts w:ascii="Times New Roman" w:hAnsi="Times New Roman"/>
          <w:sz w:val="24"/>
        </w:rPr>
        <w:br/>
        <w:t>F. Adam</w:t>
      </w:r>
      <w:r>
        <w:rPr>
          <w:rFonts w:ascii="Times New Roman" w:hAnsi="Times New Roman"/>
          <w:sz w:val="24"/>
        </w:rPr>
        <w:br/>
        <w:t>Director general energie și climă,</w:t>
      </w:r>
      <w:r>
        <w:rPr>
          <w:rFonts w:ascii="Times New Roman" w:hAnsi="Times New Roman"/>
          <w:sz w:val="24"/>
        </w:rPr>
        <w:br/>
        <w:t>L. Michel</w:t>
      </w:r>
    </w:p>
    <w:sectPr w:rsidR="007570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A564" w14:textId="77777777" w:rsidR="00DC34C3" w:rsidRDefault="00DC34C3" w:rsidP="005819D2">
      <w:pPr>
        <w:spacing w:after="0" w:line="240" w:lineRule="auto"/>
      </w:pPr>
      <w:r>
        <w:separator/>
      </w:r>
    </w:p>
  </w:endnote>
  <w:endnote w:type="continuationSeparator" w:id="0">
    <w:p w14:paraId="403FA914" w14:textId="77777777" w:rsidR="00DC34C3" w:rsidRDefault="00DC34C3" w:rsidP="0058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BF65" w14:textId="77777777" w:rsidR="00DC34C3" w:rsidRDefault="00DC34C3" w:rsidP="005819D2">
      <w:pPr>
        <w:spacing w:after="0" w:line="240" w:lineRule="auto"/>
      </w:pPr>
      <w:r>
        <w:separator/>
      </w:r>
    </w:p>
  </w:footnote>
  <w:footnote w:type="continuationSeparator" w:id="0">
    <w:p w14:paraId="630D02C0" w14:textId="77777777" w:rsidR="00DC34C3" w:rsidRDefault="00DC34C3" w:rsidP="005819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0506AB"/>
    <w:rsid w:val="00053FD1"/>
    <w:rsid w:val="00137CA0"/>
    <w:rsid w:val="001E2566"/>
    <w:rsid w:val="0026648F"/>
    <w:rsid w:val="002A0EA1"/>
    <w:rsid w:val="00312110"/>
    <w:rsid w:val="00396245"/>
    <w:rsid w:val="004A5727"/>
    <w:rsid w:val="004E0DAA"/>
    <w:rsid w:val="005819D2"/>
    <w:rsid w:val="00630FF6"/>
    <w:rsid w:val="006D3F8A"/>
    <w:rsid w:val="00714A48"/>
    <w:rsid w:val="007570FC"/>
    <w:rsid w:val="008670BE"/>
    <w:rsid w:val="00880AA6"/>
    <w:rsid w:val="008B353F"/>
    <w:rsid w:val="009B4638"/>
    <w:rsid w:val="00B67A68"/>
    <w:rsid w:val="00B72CF5"/>
    <w:rsid w:val="00BA2550"/>
    <w:rsid w:val="00BA2719"/>
    <w:rsid w:val="00D84921"/>
    <w:rsid w:val="00DC34C3"/>
    <w:rsid w:val="00E80C29"/>
    <w:rsid w:val="00FB4F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8BB4"/>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9D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19D2"/>
  </w:style>
  <w:style w:type="paragraph" w:styleId="Footer">
    <w:name w:val="footer"/>
    <w:basedOn w:val="Normal"/>
    <w:link w:val="FooterChar"/>
    <w:uiPriority w:val="99"/>
    <w:unhideWhenUsed/>
    <w:rsid w:val="005819D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7166</Words>
  <Characters>40724</Characters>
  <Application>Microsoft Office Word</Application>
  <DocSecurity>0</DocSecurity>
  <Lines>1053</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2022-02-11T12:17:00Z</dcterms:created>
  <dcterms:modified xsi:type="dcterms:W3CDTF">2022-02-11T12:17:00Z</dcterms:modified>
</cp:coreProperties>
</file>