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14B6" w14:textId="63C93123" w:rsidR="005074AB" w:rsidRPr="00EA32C0" w:rsidRDefault="005074AB" w:rsidP="00EA32C0">
      <w:pPr>
        <w:jc w:val="both"/>
        <w:rPr>
          <w:rFonts w:cstheme="minorHAnsi"/>
          <w:b/>
        </w:rPr>
      </w:pPr>
      <w:r>
        <w:rPr>
          <w:b/>
        </w:rPr>
        <w:t>Návrh královského výnosu ze dne</w:t>
      </w:r>
      <w:r>
        <w:rPr>
          <w:b/>
        </w:rPr>
        <w:tab/>
      </w:r>
      <w:r>
        <w:rPr>
          <w:b/>
        </w:rPr>
        <w:tab/>
        <w:t>, kterým se mění technický stavební řád, schválený královským výnosem č. 314/2006 ze dne 17. března 2006</w:t>
      </w:r>
    </w:p>
    <w:p w14:paraId="42548872" w14:textId="172DDCC5" w:rsidR="005074AB" w:rsidRPr="003934E5" w:rsidRDefault="005074AB" w:rsidP="005074AB">
      <w:pPr>
        <w:jc w:val="both"/>
        <w:rPr>
          <w:rFonts w:cstheme="minorHAnsi"/>
        </w:rPr>
      </w:pPr>
      <w:r>
        <w:t>Zákon č. 38/1999 ze dne 5. listopadu 1999 o stavebních předpisech definuje technický stavební řád jako regulační rámec, který stanoví základní požadavky na kvalitu budov a jejich zařízení a který umožňuje splnění základních požadavků stanovených v článku 3. Technický stavební řád stanovený v tomto zákoně byl schválen královským výnosem č. 314/2006 ze dne 17. března 2006. Základní dokumenty, které tvoří část II technického stavebního řádu, a případně kvantifikují základní požadavky stanovené v části I stanovením cílových úrovní náročnosti nebo limitů nebo jiných parametrů. Zejména základní dokument DB-HE „Energetické úspory“ specifikuje a kvantifikuje požadavky na energetickou účinnost, které mají nově postavené budovy splňovat, jakož i zásahy do stávajících budov.</w:t>
      </w:r>
    </w:p>
    <w:p w14:paraId="400360D8" w14:textId="77777777" w:rsidR="005074AB" w:rsidRPr="003934E5" w:rsidRDefault="005074AB" w:rsidP="005074AB">
      <w:pPr>
        <w:jc w:val="both"/>
        <w:rPr>
          <w:rFonts w:cstheme="minorHAnsi"/>
        </w:rPr>
      </w:pPr>
      <w:r>
        <w:t>Dne 30. května 2018 byla přijata směrnice Evropského parlamentu a Rady (EU) 2018/844, kterou se mění směrnice 2010/31/EU o energetické náročnosti budov a směrnice 2012/27/EU o energetické účinnosti.</w:t>
      </w:r>
    </w:p>
    <w:p w14:paraId="0B5B2276" w14:textId="142A5C6B" w:rsidR="005A6E61" w:rsidRPr="003934E5" w:rsidRDefault="005074AB" w:rsidP="005A6E61">
      <w:pPr>
        <w:jc w:val="both"/>
        <w:rPr>
          <w:rFonts w:cstheme="minorHAnsi"/>
        </w:rPr>
      </w:pPr>
      <w:r>
        <w:t>Tato směrnice stanoví podmínky pro rozvoj minimální infrastruktury potřebné pro inteligentní nabíjení elektrických vozidel na parkovištích v budovách. Odvětví stavebnictví i mobility proto jsou strategickými oblastmi pro celkovou dekarbonizaci hospodářství s regulačním rámcem, jehož cílem je podpořit inovace, udržitelnost a energetickou účinnost v těchto odvětvích.</w:t>
      </w:r>
    </w:p>
    <w:p w14:paraId="4245C855" w14:textId="1828DE90" w:rsidR="005A6E61" w:rsidRPr="003934E5" w:rsidRDefault="005A6E61" w:rsidP="005A6E61">
      <w:pPr>
        <w:jc w:val="both"/>
        <w:rPr>
          <w:rFonts w:cstheme="minorHAnsi"/>
        </w:rPr>
      </w:pPr>
      <w:r>
        <w:t>Rozvoj infrastruktury pro inteligentní nabíjení elektrických vozidel přispěje k energetickému řízení a flexibilitě, využívání obnovitelných zdrojů energie a zlepšení kvality ovzduší a její energetická náročnost se bude optimalizovat prostřednictvím rozsáhlejší digitalizace budovy a začleňování nových technologií do této oblasti.</w:t>
      </w:r>
    </w:p>
    <w:p w14:paraId="45A016F5" w14:textId="74A214E6" w:rsidR="005A6E61" w:rsidRPr="003934E5" w:rsidRDefault="005A6E61" w:rsidP="005A6E61">
      <w:pPr>
        <w:jc w:val="both"/>
        <w:rPr>
          <w:rFonts w:cstheme="minorHAnsi"/>
        </w:rPr>
      </w:pPr>
      <w:r>
        <w:t xml:space="preserve">Integrovaný vnitrostátní plán v oblasti energetiky a klimatu na období 2021–2030 (PNIEC), který Španělsko předložilo Evropské komisi, předpokládá podporu elektrické mobility jako opatření ke snížení spotřeby energie a emisí vozidel prostřednictvím přizpůsobení právních předpisů a začlenění právních předpisů Evropské unie umožňujících zavedení infrastruktury pro nabíjení elektrických vozidel v souladu s rozvojem elektrifikace vozového parku, jakož i prostřednictvím dalších mechanismů povzbuzení a podpory. </w:t>
      </w:r>
    </w:p>
    <w:p w14:paraId="3BF925DC" w14:textId="3FA9F544" w:rsidR="00A75681" w:rsidRPr="000E4F56" w:rsidRDefault="00C33374" w:rsidP="00A75681">
      <w:pPr>
        <w:jc w:val="both"/>
        <w:rPr>
          <w:rFonts w:cstheme="minorHAnsi"/>
        </w:rPr>
      </w:pPr>
      <w:r>
        <w:t>Za účelem dosažení těchto cílů a částečného provedení směrnice v tomto ohledu zavádí tento královský výnos do technického stavebního řádu nový základní požadavek na úsporu energie týkající se minimálních počtů zařízení infrastruktury pro nabíjení elektrických vozidel, který je rozvíjen v nové sekci HE 6 „Minimální počet zařízení infrastruktury pro nabíjení elektrických vozidel“ základního dokumentu o úsporách energie. S cílem zajistit podmínky přístupnosti dobíjecích míst na přístupných parkovacích místech se mění základní dokument DB-SUA „Bezpečnost použití a přístupnost“.</w:t>
      </w:r>
    </w:p>
    <w:p w14:paraId="7140FEE8" w14:textId="77777777" w:rsidR="00A75681" w:rsidRPr="000E4F56" w:rsidRDefault="00A75681" w:rsidP="00A75681">
      <w:pPr>
        <w:jc w:val="both"/>
      </w:pPr>
    </w:p>
    <w:p w14:paraId="3F754C26" w14:textId="778AE3BE" w:rsidR="00A75681" w:rsidRPr="000E4F56" w:rsidRDefault="00A75681" w:rsidP="00A75681">
      <w:pPr>
        <w:jc w:val="both"/>
        <w:rPr>
          <w:rFonts w:cstheme="minorHAnsi"/>
        </w:rPr>
      </w:pPr>
      <w:r>
        <w:t xml:space="preserve">V souladu s ustanoveními zákona č. 7/2021 ze dne 20. května 2021 o změně klimatu a transformaci energetiky pak jediné dodatečné ustanovení královského výnosu 314/2006 ze dne 17. března 2006, kterým se schvaluje technický stavební řád, stanoví následující požadavky na minimální počet zařízení infrastruktury pro nabíjení elektrických vozidel ve stávajících budovách určených k jinému účelu než k soukromému bydlení, které mají parkovací plochu s více než </w:t>
      </w:r>
      <w:r>
        <w:lastRenderedPageBreak/>
        <w:t xml:space="preserve">dvaceti parkovacími místy, ať už uvnitř nebo v určeném venkovním prostoru, a které nejsou zahrnuty do oblasti působnosti sekce HE6 základního dokumentu o úsporách energie. Zákon č. 7/2021 ze dne 20. května 2021 o změně klimatu a transformaci energetiky stanoví povinnost zajistit účinnost tohoto ustanovení definovaného v technickém stavebním řádu před 1. lednem 2023. </w:t>
      </w:r>
    </w:p>
    <w:p w14:paraId="1192FDEB" w14:textId="77777777" w:rsidR="005074AB" w:rsidRPr="009064BC" w:rsidRDefault="005074AB" w:rsidP="005074AB">
      <w:pPr>
        <w:jc w:val="both"/>
        <w:rPr>
          <w:rFonts w:cstheme="minorHAnsi"/>
        </w:rPr>
      </w:pPr>
      <w:r>
        <w:t>Za účelem dokončení regulace infrastruktury pro nabíjení elektrických vozidel se mění dodatečný technický pokyn (ITC) BT-52 k elektrotechnickému předpisu pro nízké napětí, který byl schválen královským výnosem č. 1053/2014 ze dne 12. prosince 2014, a mění se jeho další dodatečné technické pokyny.</w:t>
      </w:r>
    </w:p>
    <w:p w14:paraId="53205125" w14:textId="62D4F2A6" w:rsidR="005A6E61" w:rsidRPr="009064BC" w:rsidRDefault="005074AB" w:rsidP="005A6E61">
      <w:pPr>
        <w:jc w:val="both"/>
        <w:rPr>
          <w:rFonts w:cstheme="minorHAnsi"/>
        </w:rPr>
      </w:pPr>
      <w:r>
        <w:t xml:space="preserve">Kromě toho plán PNIEC jako opatření na podporu energie z obnovitelných zdrojů, zlepšení konkurenceschopnosti výrobních odvětví a motivování spotřebitelů k tomu, aby se více zapojili v oblasti nakládání s jejich energií, stanoví rozvoj vlastní spotřeby energie z obnovitelných zdrojů a distribuované výroby v obytných a podnikatelských oblastech. </w:t>
      </w:r>
    </w:p>
    <w:p w14:paraId="4F23D1D3" w14:textId="56BE7436" w:rsidR="005074AB" w:rsidRPr="009064BC" w:rsidRDefault="005A6E61" w:rsidP="005074AB">
      <w:pPr>
        <w:jc w:val="both"/>
        <w:rPr>
          <w:rFonts w:cstheme="minorHAnsi"/>
        </w:rPr>
      </w:pPr>
      <w:r>
        <w:t xml:space="preserve">V tomto ohledu schválení královského výnosu č. 244/2019 ze dne 5. dubna 2019, kterým se upravují administrativní, technické a hospodářské podmínky vlastní spotřeby elektřiny, umožnilo mimo jiné kolektivní vlastní spotřebu a zároveň omezilo správní postupy, pokud jde o provádění vlastní spotřeby. Proto se má za to, že stávající právní rámec umožňuje rozšířit oblast působnosti základního požadavku HE 5 týkajícího se minimální výroby elektřiny, a to jak tím, že se stane použitelným v budovách pro soukromé bydlení, tak snížením prahu zastavěné plochy v budovách pro všechny způsoby využití, na něž se požadavek vztahuje. </w:t>
      </w:r>
    </w:p>
    <w:p w14:paraId="2C3560FF" w14:textId="60FA6548" w:rsidR="005074AB" w:rsidRDefault="005074AB" w:rsidP="005074AB">
      <w:pPr>
        <w:jc w:val="both"/>
        <w:rPr>
          <w:rFonts w:cstheme="minorHAnsi"/>
        </w:rPr>
      </w:pPr>
      <w:r>
        <w:t>Kromě toho po zjištění tiskových a jiných chyb v královském výnosu č. 732/2019 ze dne 20. prosince 2019, kterým se mění technický stavební řád, schválený královským výnosem 314/2006 ze dne 17. března 2006, zveřejněný v Úředním věstníku (BOE) č. 311 ze dne 27. prosince 2019, se tímto provádějí příslušné opravy. Za účelem vyjasnění způsobu použití základního dokumentu DB-HE o „Energetických úsporách“ po jeho aktualizaci výše uvedeným královským výnosem 732/2019 se považuje za nezbytné změnit znění některých oddílů sekce HE 1 o podmínkách kontroly poptávky po energii a přílohy A týkající se terminologie výše uvedeného základního dokumentu.</w:t>
      </w:r>
    </w:p>
    <w:p w14:paraId="010C68C8" w14:textId="6D1CCB96" w:rsidR="00E26B23" w:rsidRDefault="00E26B23" w:rsidP="00B65F28">
      <w:pPr>
        <w:jc w:val="both"/>
        <w:rPr>
          <w:rFonts w:cstheme="minorHAnsi"/>
          <w:bCs/>
        </w:rPr>
      </w:pPr>
      <w:r>
        <w:t xml:space="preserve">Změna technického řádu týkající se začlenění nové sekce HE 6 „Minimální počet zařízení infrastruktury pro nabíjení elektrických vozidel“ základního dokumentu o energetických úsporách, jakož i změna královského výnosu č. 1053/2014 ze dne 12. prosince 2014, kterým se schvaluje nový dodatečný technický pokyn (ITC) BT 52, který je součástí prvního závěrečného ustanovení, a jediné dodatečné ustanovení královského výnosu č. 314/2006 ze dne 17. března 2006, kterým se schvaluje technický stavební řád, jsou součástí právních reforem předpokládaných v plánu na podporu oživení, transformace a odolnosti (PRTR). Konkrétně složka 1 plánu PRTR „Udržitelný, bezpečný a propojený plán pro nárazové situace v oblasti mobility v městském a metropolitním prostředí“ zahrnuje schválení tohoto královského výnosu, kterým se provádějí výše uvedené právní reformy v rámci reformy C1.R1 nazvané „Plán pro zavádění dobíjecí infrastruktury a podporu elektrických vozidel“.  Reforma C1.R1 je navržena jako právní, regulační a strategický rámec pro usnadnění zavádění dobíjecí infrastruktury na podporu elektrických vozidel ve Španělsku a má dva milníky. První z nich je tvořen nařízením TMA/178/2020 ze dne 19. února 2020, kterým se mění nařízení ze dne 16. prosince 1997, které upravuje přístup ke státním silnicím, obslužným silnicím a výstavbu zařízení služeb, a královským </w:t>
      </w:r>
      <w:r>
        <w:lastRenderedPageBreak/>
        <w:t xml:space="preserve">výnosem č. 23/2020 ze dne 23. června 2020, kterým se schvalují opatření v oblasti energetiky a dalších oblastech pro reaktivaci hospodářství. Druhý milník reformy C1.R1 zahrnuje schválení tohoto královského výnosu, kterým se mění technický stavební řád a královský výnos č. 1053/2014 ze dne 12. prosince 2014, kterým se schvaluje nový dodatečný technický pokyn (ITC) BT 52.  Reforma C1.R1 je spojena s investicí C1.I2 „Plán pobídek pro instalaci dobíjecích stanic, pořízení elektrických vozidel a vozidel s palivovými články a inovace v oblasti elektromobility, nabíjení a zeleného vodíku“. Tato investice zahrnuje linie podpory pro instalaci dobíjecích stanic uvedených v královském výnosu 266/2021 ze dne 13. dubna 2021, kterým se schvaluje přímé poskytování podpory autonomním společenstvím a územím Ceuta a Melilla na provádění pobídkových programů souvisejících s elektrickou mobilitou (MOVES III) v rámci plánu PRTR. </w:t>
      </w:r>
    </w:p>
    <w:p w14:paraId="65C24996" w14:textId="1073EF13" w:rsidR="003F7C25" w:rsidRPr="001C78CB" w:rsidRDefault="003F7C25" w:rsidP="005074AB">
      <w:pPr>
        <w:jc w:val="both"/>
        <w:rPr>
          <w:rFonts w:cstheme="minorHAnsi"/>
          <w:bCs/>
          <w:i/>
          <w:iCs/>
        </w:rPr>
      </w:pPr>
      <w:r>
        <w:t xml:space="preserve">Tento královský výnos respektuje zásadu významně nepoškozovat životní prostředí („Do No Significant Harm“, DNSH) a podmínky pro klimatické a digitální označování v souladu s ustanoveními plánu PRTR, nařízením Evropského parlamentu a Rady (EU) 2021/241 ze dne 12. února 2021, kterým se zřizuje Nástroj pro oživení a odolnost, a jeho prováděcími právními předpisy, zejména oznámením Komise Technické pokyny k uplatňování zásady „významně nepoškozovat“ podle nařízení o Nástroji pro oživení a odolnost, jakož i požadavky prováděcího rozhodnutí Rady o schválení posouzení plánu na podporu oživení, transformace a odolnosti Španělska. To zahrnuje soulad se zvláštními podmínkami stanovenými ve složce 1, jakož i v reformě 1, v rámci které je tento královský výnos formulován, a to jak s ohledem na zásadu významně nepoškozovat životní prostředí, tak s ohledem na klimatické a digitální označování, a zejména na podmínky uvedené v oddílech 3, 6 a 8 dokumentu složky plánu PRTR. Investice C1.I2 plánu PRTR, spojené s reformou C1.R1, rovněž respektují zásadu významně nepoškozovat životní prostředí a podmínky v oblasti klimatického a digitálního označování. </w:t>
      </w:r>
    </w:p>
    <w:p w14:paraId="16D6EC35" w14:textId="6F02251C" w:rsidR="005074AB" w:rsidRPr="009064BC" w:rsidRDefault="005074AB" w:rsidP="005074AB">
      <w:pPr>
        <w:ind w:left="13"/>
        <w:jc w:val="both"/>
        <w:rPr>
          <w:rFonts w:cstheme="minorHAnsi"/>
        </w:rPr>
      </w:pPr>
      <w:r>
        <w:t>Tento královský výnos je v souladu se zásadami nezbytnosti, účinnosti, proporcionality, právní jistoty, transparentnosti a efektivity stanovenými v článku 129 zákona č. 39/2015 ze dne 1. října 2015 o společném správním řízení před orgány veřejné správy. Pokud jde o zásady nezbytnosti a účinnosti, zákon reaguje na povinnost provést evropské směrnice do vnitrostátního práva a je v souladu s cíli obecného zájmu, jako je přizpůsobení stavební infrastruktury na podporu udržitelné mobility a využívání energie z obnovitelných zdrojů. To povede k blahobytu ve společnosti a ochraně životního prostředí. Tento královský výnos je rovněž v souladu se zásadou proporcionality, neboť poskytuje nezbytné a dostatečné prostředky k provedení právního mandátu stanoveného směrnicí, nevyžaduje však inovaci, která by mohla být nadbytečná nebo překračující zákonné požadavky, ani nevede k omezení práv občanů. Tento předpis splňuje zásadu právní jistoty, neboť byl vypracován v souladu s postupy stanovenými v zákoně č. 50/1997 ze dne 27. listopadu 1997 o vládě a zásadou transparentnosti, neboť jasně vymezuje svůj účel a jeho veřejně přístupná důvodová zpráva v plném rozsahu vysvětluje jeho obsah. A konečně je v souladu se zásadou efektivity, protože neukládá žádnou administrativní zátěž.</w:t>
      </w:r>
    </w:p>
    <w:p w14:paraId="4E30715D" w14:textId="77777777" w:rsidR="005074AB" w:rsidRPr="009064BC" w:rsidRDefault="005074AB" w:rsidP="005074AB">
      <w:pPr>
        <w:jc w:val="both"/>
        <w:rPr>
          <w:rFonts w:cstheme="minorHAnsi"/>
        </w:rPr>
      </w:pPr>
      <w:r>
        <w:t>Tento obecný předpis byl podroben informačnímu postupu v oblasti technických předpisů a předpisů pro služby informační společnosti, jak je stanoveno ve směrnici Evropského parlamentu a Rady (EU) 2015/1535 ze dne 9. září 2015 a v královském výnosu 1337/1999 ze dne 31. července 1999.</w:t>
      </w:r>
    </w:p>
    <w:p w14:paraId="533AAB8D" w14:textId="741A459B" w:rsidR="003C546E" w:rsidRDefault="003C546E" w:rsidP="003C546E">
      <w:pPr>
        <w:jc w:val="both"/>
        <w:rPr>
          <w:rFonts w:cstheme="minorHAnsi"/>
        </w:rPr>
      </w:pPr>
      <w:r>
        <w:lastRenderedPageBreak/>
        <w:t>Na základě toho na návrh ministryně dopravy, mobility a městské agendy a třetí místopředsedkyně vlády a ministryně pro ekologickou transformaci a demografickou výzvu po dohodě se Státní radou a po jednáních Rady ministrů na jejím zasedání dne</w:t>
      </w:r>
    </w:p>
    <w:p w14:paraId="72CBBED7" w14:textId="7C56F995" w:rsidR="003C546E" w:rsidRPr="009064BC" w:rsidRDefault="003C546E" w:rsidP="005074AB">
      <w:pPr>
        <w:jc w:val="both"/>
        <w:rPr>
          <w:rFonts w:cstheme="minorHAnsi"/>
        </w:rPr>
      </w:pPr>
    </w:p>
    <w:p w14:paraId="02FFC445" w14:textId="386EF3CB" w:rsidR="005074AB" w:rsidRPr="009F5D1D" w:rsidRDefault="005074AB" w:rsidP="005074AB">
      <w:pPr>
        <w:jc w:val="center"/>
        <w:rPr>
          <w:rFonts w:cstheme="minorHAnsi"/>
          <w:spacing w:val="30"/>
        </w:rPr>
      </w:pPr>
      <w:r>
        <w:t>SE NAŘIZUJE NÁSLEDUJÍCÍ:</w:t>
      </w:r>
    </w:p>
    <w:p w14:paraId="29194849" w14:textId="17EA67F9" w:rsidR="005074AB" w:rsidRPr="0033081E" w:rsidRDefault="002A5A94" w:rsidP="005074AB">
      <w:pPr>
        <w:jc w:val="both"/>
        <w:rPr>
          <w:rFonts w:cstheme="minorHAnsi"/>
          <w:bCs/>
          <w:i/>
          <w:iCs/>
        </w:rPr>
      </w:pPr>
      <w:r>
        <w:t xml:space="preserve">Jediný článek. </w:t>
      </w:r>
      <w:r>
        <w:rPr>
          <w:i/>
        </w:rPr>
        <w:t>Změna technického stavebního řádu, schváleného královským výnosem 314/2006 ze dne 17. března 2006.</w:t>
      </w:r>
    </w:p>
    <w:p w14:paraId="49F6DB5C" w14:textId="77777777" w:rsidR="005074AB" w:rsidRPr="009064BC" w:rsidRDefault="005074AB" w:rsidP="005074AB">
      <w:pPr>
        <w:jc w:val="both"/>
        <w:rPr>
          <w:rFonts w:cstheme="minorHAnsi"/>
        </w:rPr>
      </w:pPr>
      <w:r>
        <w:t>Královský výnos č. 314/2006 ze dne 17. března 2006, kterým se schvaluje technický stavební řád, se mění takto:</w:t>
      </w:r>
    </w:p>
    <w:p w14:paraId="1E4A23CD" w14:textId="3CA20F16" w:rsidR="005074AB" w:rsidRPr="009064BC" w:rsidRDefault="005074AB" w:rsidP="005074AB">
      <w:pPr>
        <w:ind w:left="567" w:hanging="567"/>
        <w:jc w:val="both"/>
        <w:rPr>
          <w:rFonts w:cstheme="minorHAnsi"/>
        </w:rPr>
      </w:pPr>
      <w:r>
        <w:t>Zaprvé. Část I technického stavebního řádu se mění takto:</w:t>
      </w:r>
    </w:p>
    <w:p w14:paraId="7B36765A" w14:textId="6C7BF234" w:rsidR="006B44D8" w:rsidRPr="009064BC" w:rsidRDefault="006B44D8" w:rsidP="0033081E">
      <w:pPr>
        <w:ind w:left="142" w:hanging="142"/>
        <w:jc w:val="both"/>
        <w:rPr>
          <w:rFonts w:cstheme="minorHAnsi"/>
        </w:rPr>
      </w:pPr>
      <w:r>
        <w:t>— V obsahu se název „15.6. Základní požadavek HE5: Minimální výroba elektrické energie“ mění takto:</w:t>
      </w:r>
    </w:p>
    <w:p w14:paraId="750B02FB" w14:textId="5E773080" w:rsidR="006B44D8" w:rsidRPr="009064BC" w:rsidRDefault="006B44D8" w:rsidP="00F11565">
      <w:pPr>
        <w:ind w:left="426"/>
        <w:jc w:val="both"/>
        <w:rPr>
          <w:rFonts w:cstheme="minorHAnsi"/>
        </w:rPr>
      </w:pPr>
      <w:r>
        <w:t>„15.6. Základní požadavek HE 5: Oddíl HE5 Minimální výroba elektrické energie z obnovitelných zdrojů.“</w:t>
      </w:r>
    </w:p>
    <w:p w14:paraId="0B75EAC4" w14:textId="77777777" w:rsidR="006B44D8" w:rsidRPr="009064BC" w:rsidRDefault="006B44D8" w:rsidP="006B44D8">
      <w:pPr>
        <w:numPr>
          <w:ilvl w:val="0"/>
          <w:numId w:val="9"/>
        </w:numPr>
        <w:ind w:left="142" w:hanging="142"/>
        <w:jc w:val="both"/>
        <w:rPr>
          <w:rFonts w:cstheme="minorHAnsi"/>
        </w:rPr>
      </w:pPr>
      <w:r>
        <w:t>Do odkazu na článek 15 v rejstříku se vkládá nový bod, který zní:</w:t>
      </w:r>
    </w:p>
    <w:p w14:paraId="1C1AB680" w14:textId="1D8C7D23" w:rsidR="006B44D8" w:rsidRPr="009064BC" w:rsidRDefault="007E461E" w:rsidP="00F11565">
      <w:pPr>
        <w:ind w:left="426"/>
        <w:jc w:val="both"/>
        <w:rPr>
          <w:rFonts w:cstheme="minorHAnsi"/>
        </w:rPr>
      </w:pPr>
      <w:r>
        <w:t>„15.7. Základní požadavek HE6: Minimální počet zařízení infrastruktury pro nabíjení elektrických vozidel.</w:t>
      </w:r>
    </w:p>
    <w:p w14:paraId="03B3513D" w14:textId="1133ED17" w:rsidR="001E31F3" w:rsidRPr="002C30D6" w:rsidRDefault="005074AB" w:rsidP="005074AB">
      <w:pPr>
        <w:numPr>
          <w:ilvl w:val="0"/>
          <w:numId w:val="9"/>
        </w:numPr>
        <w:ind w:left="142" w:hanging="142"/>
        <w:jc w:val="both"/>
        <w:rPr>
          <w:rFonts w:cstheme="minorHAnsi"/>
        </w:rPr>
      </w:pPr>
      <w:r>
        <w:t>V kapitole 3 se čl. 15 bod 15.6 mění takto:</w:t>
      </w:r>
    </w:p>
    <w:p w14:paraId="1E36A006" w14:textId="3C6E29CB" w:rsidR="001E31F3" w:rsidRPr="009064BC" w:rsidRDefault="00F11565" w:rsidP="00F11565">
      <w:pPr>
        <w:pStyle w:val="ListParagraph"/>
        <w:ind w:left="426"/>
        <w:jc w:val="both"/>
        <w:rPr>
          <w:rFonts w:cstheme="minorHAnsi"/>
        </w:rPr>
      </w:pPr>
      <w:r>
        <w:t>„15.6 Základní požadavek HE 5: Minimální výroba elektrické energie z obnovitelných zdrojů.</w:t>
      </w:r>
    </w:p>
    <w:p w14:paraId="4799EB9C" w14:textId="22AE3D4A" w:rsidR="001E31F3" w:rsidRPr="009064BC" w:rsidRDefault="001B0467" w:rsidP="00F11565">
      <w:pPr>
        <w:ind w:left="426"/>
        <w:jc w:val="both"/>
        <w:rPr>
          <w:rFonts w:cstheme="minorHAnsi"/>
        </w:rPr>
      </w:pPr>
      <w:r>
        <w:t>Budovy musí mít systémy výroby elektřiny z obnovitelných zdrojů pro svou vlastní potřebu nebo pro dodávky do sítě.“</w:t>
      </w:r>
    </w:p>
    <w:p w14:paraId="799517C6" w14:textId="6A449415" w:rsidR="005074AB" w:rsidRPr="009064BC" w:rsidRDefault="001E31F3" w:rsidP="005074AB">
      <w:pPr>
        <w:numPr>
          <w:ilvl w:val="0"/>
          <w:numId w:val="9"/>
        </w:numPr>
        <w:ind w:left="142" w:hanging="142"/>
        <w:jc w:val="both"/>
        <w:rPr>
          <w:rFonts w:cstheme="minorHAnsi"/>
        </w:rPr>
      </w:pPr>
      <w:r>
        <w:t>Na konec článku 15 se vkládá nový text, který zní:</w:t>
      </w:r>
    </w:p>
    <w:p w14:paraId="67BDEE2E" w14:textId="77777777" w:rsidR="005074AB" w:rsidRPr="009064BC" w:rsidRDefault="005074AB" w:rsidP="00F11565">
      <w:pPr>
        <w:ind w:left="426"/>
        <w:jc w:val="both"/>
        <w:rPr>
          <w:rFonts w:cstheme="minorHAnsi"/>
        </w:rPr>
      </w:pPr>
      <w:r>
        <w:t>„15.7 Základní požadavek HE 6: Minimální počet zařízení infrastruktury pro nabíjení elektrických vozidel.</w:t>
      </w:r>
    </w:p>
    <w:p w14:paraId="7C67403C" w14:textId="535BDE0B" w:rsidR="005074AB" w:rsidRDefault="005074AB" w:rsidP="00F11565">
      <w:pPr>
        <w:ind w:left="426"/>
        <w:jc w:val="both"/>
        <w:rPr>
          <w:rFonts w:cstheme="minorHAnsi"/>
        </w:rPr>
      </w:pPr>
      <w:r>
        <w:t>Budovy musí mít minimální infrastrukturu umožňující dobíjení elektrických vozidel.“</w:t>
      </w:r>
    </w:p>
    <w:p w14:paraId="6F674517" w14:textId="77777777" w:rsidR="002A5A94" w:rsidRPr="000E4F56" w:rsidRDefault="002A5A94" w:rsidP="002A5A94">
      <w:pPr>
        <w:pStyle w:val="ListParagraph"/>
        <w:numPr>
          <w:ilvl w:val="0"/>
          <w:numId w:val="9"/>
        </w:numPr>
        <w:ind w:left="142" w:hanging="142"/>
        <w:jc w:val="both"/>
        <w:rPr>
          <w:rFonts w:cstheme="minorHAnsi"/>
        </w:rPr>
      </w:pPr>
      <w:r>
        <w:t>Vkládá se následující dodatečné ustanovení:</w:t>
      </w:r>
    </w:p>
    <w:p w14:paraId="2417D1DC" w14:textId="3DAEE52F" w:rsidR="002A5A94" w:rsidRPr="0033081E" w:rsidRDefault="002A5A94" w:rsidP="002A5A94">
      <w:pPr>
        <w:ind w:left="426"/>
        <w:jc w:val="both"/>
        <w:rPr>
          <w:rFonts w:cstheme="minorHAnsi"/>
          <w:bCs/>
          <w:i/>
          <w:iCs/>
        </w:rPr>
      </w:pPr>
      <w:r>
        <w:t xml:space="preserve">„Jediné dodatečné ustanovení. </w:t>
      </w:r>
      <w:r>
        <w:rPr>
          <w:i/>
        </w:rPr>
        <w:t>Minimální zařízení pro dobíjení elektrických vozidel v budovách pro jiná použití než jako soukromé obytné budovy s více než dvaceti parkovacími místy.</w:t>
      </w:r>
    </w:p>
    <w:p w14:paraId="71CE31DD" w14:textId="72E1754E" w:rsidR="0067270E" w:rsidRPr="008F4D49" w:rsidRDefault="0067270E" w:rsidP="0067270E">
      <w:pPr>
        <w:ind w:left="426"/>
        <w:jc w:val="both"/>
      </w:pPr>
      <w:r>
        <w:t>V souladu s ustanoveními zákona č. 7/2021 ze dne 20. května 2021 o změně klimatu a transformaci energetiky musí mít všechny budovy určené k jiným účelům než k soukromému bydlení, které mají parkovací plochu s více než dvaceti parkovacími místy uvnitř nebo v určeném venkovním prostoru, před 1. lednem 2023 minimálně tato zařízení infrastruktury pro nabíjení elektrických vozidel:</w:t>
      </w:r>
    </w:p>
    <w:p w14:paraId="2339A7CE" w14:textId="2F683544" w:rsidR="0067270E" w:rsidRPr="00DC3EE9" w:rsidRDefault="0067270E" w:rsidP="00675D0E">
      <w:pPr>
        <w:ind w:left="426"/>
        <w:jc w:val="both"/>
        <w:rPr>
          <w:rFonts w:cstheme="minorHAnsi"/>
        </w:rPr>
      </w:pPr>
      <w:r>
        <w:lastRenderedPageBreak/>
        <w:t>— obecně musí být instalována jedna dobíjecí stanice pro každých 40 parkovacích míst nebo jejich zlomek až do 1000 míst a jedna dodatečná dobíjecí stanice na každých dalších 100 míst nebo jejich zlomek. Alternativně se bude požadovat obecní povolení nebo schválení k pracím nezbytným k provedení této dobíjecí infrastruktury, nebo v případě, že se na vlastníka budovy vztahuje zákon č. 9/2017 ze dne 8. listopadu 2017 o zadávání veřejných zakázek, kterým se do španělského práva provádějí směrnice Evropského parlamentu a Rady 2014/23/EU a 2014/24/EU ze dne 26. února 2014, se nabídka na uvedené práce nebo projekt nebo technická dokumentace nezbytná k jejich definování zahájí oznámením na příslušné platformě pro zadávání veřejných zakázek</w:t>
      </w:r>
      <w:bookmarkStart w:id="0" w:name="_Hlk74840570"/>
      <w:r>
        <w:t>. Práce provedené na základě žádosti o obecní povolení nebo schválení musí být zahájeny v maximální době účinnosti povolení v souladu s příslušnými právními předpisy, a pokud to není možné, do šesti měsíců ode dne, kdy bylo povolení uděleno. Stavební práce, k nimž úředně zavazuje zahájení zadávacího řízení nebo zadávacího řízení na projekt nebo technickou dokumentaci, která je definuje, musí být zahájeny v maximální době platnosti obecního schválení nebo rovnocenného schválení nebo, pokud to není možné, do šesti měsíců ode dne, kdy bylo uděleno.</w:t>
      </w:r>
    </w:p>
    <w:bookmarkEnd w:id="0"/>
    <w:p w14:paraId="58AB7358" w14:textId="65977551" w:rsidR="00F90C96" w:rsidRPr="008F4D49" w:rsidRDefault="0067270E" w:rsidP="00EA32C0">
      <w:pPr>
        <w:ind w:left="426"/>
        <w:jc w:val="both"/>
        <w:rPr>
          <w:rFonts w:cstheme="minorHAnsi"/>
        </w:rPr>
      </w:pPr>
      <w:r>
        <w:t>— v budovách ve vlastnictví obecné státní správy nebo veřejných subjektů, které jsou s ní spojeny nebo k ní patří, musí být na každých 20 parkovacích míst nebo jejich zlomek až do 500 parkovacích míst instalována jedna dobíjecí stanice a jedna dodatečná dobíjecí stanice na každých dalších 100 míst nebo jejich zlomek nebo alternativně musí být zahájeno zadávací řízení na stavební práce nebo projekt nebo technickou dokumentaci nezbytné pro vymezení stavebních prací prostřednictvím oznámení v rámci příslušné platformy pro zadávání veřejných zakázek. Stavební práce, k nimž úředně zavazuje zahájení zadávacího řízení nebo zadávacího řízení na projekt nebo technickou dokumentaci, která je definuje, musí být zahájeny v maximální době platnosti obecního schválení nebo rovnocenného schválení nebo, pokud to není možné, do šesti měsíců ode dne, kdy bylo uděleno.</w:t>
      </w:r>
    </w:p>
    <w:p w14:paraId="354182C6" w14:textId="54A09FDC" w:rsidR="002A5A94" w:rsidRPr="00BA4C0D" w:rsidRDefault="002A5A94" w:rsidP="00210EA2">
      <w:pPr>
        <w:ind w:left="426"/>
        <w:jc w:val="both"/>
      </w:pPr>
      <w:r>
        <w:t>Úředně chráněné budovy jsou z těchto povinností vyloučeny, protože jsou součástí deklarovaného prostředí nebo z důvodu své zvláštní architektonické nebo historické hodnoty, pokud by splnění tohoto požadavku mohlo nepřiměřeně změnit jejich povahu nebo vzhled, přičemž orgánem, který určuje neměnné prvky, je orgán pro úřední ochranu.</w:t>
      </w:r>
    </w:p>
    <w:p w14:paraId="0662362C" w14:textId="0FC45639" w:rsidR="002A5A94" w:rsidRPr="0062182D" w:rsidRDefault="002A5A94" w:rsidP="0062182D">
      <w:pPr>
        <w:pStyle w:val="ListParagraph"/>
        <w:ind w:left="426"/>
        <w:jc w:val="both"/>
        <w:rPr>
          <w:rFonts w:cstheme="minorHAnsi"/>
        </w:rPr>
      </w:pPr>
      <w:r>
        <w:t>Tato infrastruktura pro nabíjení elektrických vozidel musí být v souladu s ustanoveními královského výnosu č. 842/2002 ze dne 2. srpna 2002, kterým se schvaluje elektrotechnický předpis pro nízké napětí a jeho dodatečný technický pokyn (ITC) BT 52 „Instalace pro zvláštní účely. Infrastruktura pro nabíjení elektrických vozidel“, jakož i ustanovení oddílu 4. „Odůvodnění požadavku“ a 5. „Výstavba, údržba a udržování" sekce HE 6 „Minimální počet zařízení infrastruktury pro nabíjení elektrických vozidel“ základního dokumentu DB-HE „Energetické úspory“.“</w:t>
      </w:r>
    </w:p>
    <w:p w14:paraId="0769E30E" w14:textId="6A51451B" w:rsidR="0033081E" w:rsidRPr="008F4D49" w:rsidRDefault="005074AB" w:rsidP="00D47CC2">
      <w:pPr>
        <w:jc w:val="both"/>
        <w:rPr>
          <w:rFonts w:cstheme="minorHAnsi"/>
        </w:rPr>
      </w:pPr>
      <w:r>
        <w:t xml:space="preserve">Zadruhé. Mění se základní dokument DB-HE „Energetické úspory“ obsažený v části II technického stavebního řádu, který zahrnuje sekci HE 6 „Minimální počet zařízení infrastruktury pro nabíjení elektrických vozidel“, který je uveden jako příloha I tohoto královského výnosu. </w:t>
      </w:r>
    </w:p>
    <w:p w14:paraId="5DC46FAC" w14:textId="4A465EFF" w:rsidR="005074AB" w:rsidRPr="008F4D49" w:rsidRDefault="005074AB" w:rsidP="005074AB">
      <w:pPr>
        <w:spacing w:after="162"/>
        <w:ind w:left="13"/>
        <w:jc w:val="both"/>
        <w:rPr>
          <w:rFonts w:cstheme="minorHAnsi"/>
        </w:rPr>
      </w:pPr>
      <w:r>
        <w:t>V základním dokumentu DB-HE jsou rovněž provedeny tyto změny:</w:t>
      </w:r>
    </w:p>
    <w:p w14:paraId="53FD09BA" w14:textId="1FBEE4B0" w:rsidR="005074AB" w:rsidRPr="009064BC" w:rsidRDefault="005074AB" w:rsidP="006424FF">
      <w:pPr>
        <w:numPr>
          <w:ilvl w:val="0"/>
          <w:numId w:val="13"/>
        </w:numPr>
        <w:spacing w:after="162"/>
        <w:ind w:left="720" w:hanging="295"/>
        <w:jc w:val="both"/>
        <w:rPr>
          <w:rFonts w:cstheme="minorHAnsi"/>
        </w:rPr>
      </w:pPr>
      <w:r>
        <w:t>V prvním pododstavci oddílu I „Předmět“ v části „Úvod“ ve větě „Oddíly tohoto DB odpovídají základním požadavkům HE 0a až HE 5“ se slova „HE 5“ nahrazují slovy „HE 6“.</w:t>
      </w:r>
    </w:p>
    <w:p w14:paraId="7957EC48" w14:textId="441BEE49" w:rsidR="006F5E38" w:rsidRPr="009064BC" w:rsidRDefault="006F5E38" w:rsidP="006424FF">
      <w:pPr>
        <w:numPr>
          <w:ilvl w:val="0"/>
          <w:numId w:val="13"/>
        </w:numPr>
        <w:spacing w:after="162"/>
        <w:ind w:left="720" w:hanging="295"/>
        <w:jc w:val="both"/>
        <w:rPr>
          <w:rFonts w:cstheme="minorHAnsi"/>
        </w:rPr>
      </w:pPr>
      <w:r>
        <w:lastRenderedPageBreak/>
        <w:t>V oddílu I „Předmět“ v části „Úvod“ se odkaz na článek 15.6 části I technického stavebního řádu mění takto:</w:t>
      </w:r>
    </w:p>
    <w:p w14:paraId="5F1636DD" w14:textId="77777777" w:rsidR="006F5E38" w:rsidRPr="009064BC" w:rsidRDefault="006F5E38" w:rsidP="009064BC">
      <w:pPr>
        <w:pStyle w:val="ListParagraph"/>
        <w:ind w:left="709"/>
        <w:contextualSpacing w:val="0"/>
        <w:jc w:val="both"/>
        <w:rPr>
          <w:rFonts w:cstheme="minorHAnsi"/>
        </w:rPr>
      </w:pPr>
      <w:r>
        <w:t>„15.6 Základní požadavek HE 5: Minimální výroba elektrické energie z obnovitelných zdrojů.</w:t>
      </w:r>
    </w:p>
    <w:p w14:paraId="6BB983CA" w14:textId="72439AD8" w:rsidR="006F5E38" w:rsidRPr="009064BC" w:rsidRDefault="006F5E38" w:rsidP="009064BC">
      <w:pPr>
        <w:pStyle w:val="ListParagraph"/>
        <w:spacing w:after="162"/>
        <w:ind w:left="709"/>
        <w:contextualSpacing w:val="0"/>
        <w:jc w:val="both"/>
        <w:rPr>
          <w:rFonts w:cstheme="minorHAnsi"/>
        </w:rPr>
      </w:pPr>
      <w:r>
        <w:t>Budovy musí mít systémy výroby elektřiny z obnovitelných zdrojů pro svou vlastní potřebu nebo pro dodávky do sítě.“</w:t>
      </w:r>
    </w:p>
    <w:p w14:paraId="2D6B0228" w14:textId="7AFD12CA" w:rsidR="005074AB" w:rsidRPr="009064BC" w:rsidRDefault="005074AB" w:rsidP="006424FF">
      <w:pPr>
        <w:numPr>
          <w:ilvl w:val="0"/>
          <w:numId w:val="13"/>
        </w:numPr>
        <w:spacing w:after="162"/>
        <w:ind w:left="720" w:hanging="295"/>
        <w:jc w:val="both"/>
        <w:rPr>
          <w:rFonts w:cstheme="minorHAnsi"/>
        </w:rPr>
      </w:pPr>
      <w:r>
        <w:t>V oddílu I „Předmět“ v části „Úvod“ se do odkazu na článek 15 části I technického stavebního řádu na konci dokumentu technického stavebního řádu vkládá nový bod, který zní:</w:t>
      </w:r>
    </w:p>
    <w:p w14:paraId="7D3E8D59" w14:textId="77777777" w:rsidR="005074AB" w:rsidRPr="009064BC" w:rsidRDefault="005074AB" w:rsidP="006424FF">
      <w:pPr>
        <w:ind w:left="709"/>
        <w:jc w:val="both"/>
        <w:rPr>
          <w:rFonts w:cstheme="minorHAnsi"/>
        </w:rPr>
      </w:pPr>
      <w:r>
        <w:t>„15.7. Základní požadavek HE 6: Minimální počet zařízení infrastruktury pro nabíjení elektrických vozidel.</w:t>
      </w:r>
    </w:p>
    <w:p w14:paraId="63C180D9" w14:textId="77777777" w:rsidR="005074AB" w:rsidRPr="009064BC" w:rsidRDefault="005074AB" w:rsidP="006424FF">
      <w:pPr>
        <w:ind w:left="709"/>
        <w:jc w:val="both"/>
        <w:rPr>
          <w:rFonts w:cstheme="minorHAnsi"/>
        </w:rPr>
      </w:pPr>
      <w:r>
        <w:t>Budovy musí mít minimální infrastrukturu umožňující dobíjení elektrických vozidel.“</w:t>
      </w:r>
    </w:p>
    <w:p w14:paraId="2CCB9F35" w14:textId="1C8D3E4F" w:rsidR="001B0467" w:rsidRPr="009064BC" w:rsidRDefault="001B0467" w:rsidP="006424FF">
      <w:pPr>
        <w:numPr>
          <w:ilvl w:val="0"/>
          <w:numId w:val="13"/>
        </w:numPr>
        <w:ind w:left="720" w:hanging="294"/>
        <w:jc w:val="both"/>
        <w:rPr>
          <w:rFonts w:cstheme="minorHAnsi"/>
        </w:rPr>
      </w:pPr>
      <w:r>
        <w:t>V obsahu se název sekce HE 5 mění takto:</w:t>
      </w:r>
    </w:p>
    <w:p w14:paraId="7DC0F11B" w14:textId="4E9858DC" w:rsidR="001B0467" w:rsidRPr="009064BC" w:rsidRDefault="001B0467" w:rsidP="001B0467">
      <w:pPr>
        <w:pStyle w:val="ListParagraph"/>
        <w:ind w:left="709"/>
        <w:jc w:val="both"/>
        <w:rPr>
          <w:rFonts w:cstheme="minorHAnsi"/>
        </w:rPr>
      </w:pPr>
      <w:r>
        <w:t>„Oddíl HE 5 Minimální výroba elektrické energie z obnovitelných zdrojů.“</w:t>
      </w:r>
    </w:p>
    <w:p w14:paraId="1178E5DE" w14:textId="4953BECD" w:rsidR="005074AB" w:rsidRPr="009064BC" w:rsidRDefault="005074AB" w:rsidP="006424FF">
      <w:pPr>
        <w:numPr>
          <w:ilvl w:val="0"/>
          <w:numId w:val="13"/>
        </w:numPr>
        <w:ind w:left="720" w:hanging="294"/>
        <w:jc w:val="both"/>
        <w:rPr>
          <w:rFonts w:cstheme="minorHAnsi"/>
        </w:rPr>
      </w:pPr>
      <w:r>
        <w:t>Do odkazu na článek 15 v rejstříku se vkládá nový bod, který zní:</w:t>
      </w:r>
    </w:p>
    <w:p w14:paraId="661731BD" w14:textId="50DD66A3" w:rsidR="005074AB" w:rsidRPr="009064BC" w:rsidRDefault="00982E58" w:rsidP="00982E58">
      <w:pPr>
        <w:tabs>
          <w:tab w:val="left" w:pos="7938"/>
        </w:tabs>
        <w:ind w:left="1134" w:hanging="425"/>
        <w:contextualSpacing/>
        <w:jc w:val="both"/>
        <w:rPr>
          <w:rFonts w:cstheme="minorHAnsi"/>
        </w:rPr>
      </w:pPr>
      <w:r>
        <w:t>„Oddíl HE 6 Minimální počet zařízení infrastruktury pro nabíjení elektrických vozidel……………………………………………………………………………………..……………..</w:t>
      </w:r>
      <w:r>
        <w:tab/>
        <w:t>33</w:t>
      </w:r>
    </w:p>
    <w:p w14:paraId="22DC136D" w14:textId="3F812976" w:rsidR="005074AB" w:rsidRPr="009064BC" w:rsidRDefault="005074AB" w:rsidP="00982E58">
      <w:pPr>
        <w:numPr>
          <w:ilvl w:val="0"/>
          <w:numId w:val="10"/>
        </w:numPr>
        <w:tabs>
          <w:tab w:val="left" w:pos="7938"/>
        </w:tabs>
        <w:ind w:left="1134" w:hanging="425"/>
        <w:contextualSpacing/>
        <w:jc w:val="both"/>
        <w:rPr>
          <w:rFonts w:cstheme="minorHAnsi"/>
        </w:rPr>
      </w:pPr>
      <w:r>
        <w:t>Oblast působnosti........................................................................................</w:t>
      </w:r>
      <w:r>
        <w:tab/>
        <w:t>33</w:t>
      </w:r>
    </w:p>
    <w:p w14:paraId="6FE2086C" w14:textId="5F45FF18" w:rsidR="005074AB" w:rsidRPr="009064BC" w:rsidRDefault="005074AB" w:rsidP="00982E58">
      <w:pPr>
        <w:numPr>
          <w:ilvl w:val="0"/>
          <w:numId w:val="10"/>
        </w:numPr>
        <w:tabs>
          <w:tab w:val="left" w:pos="7938"/>
        </w:tabs>
        <w:ind w:left="1134" w:hanging="425"/>
        <w:contextualSpacing/>
        <w:jc w:val="both"/>
        <w:rPr>
          <w:rFonts w:cstheme="minorHAnsi"/>
        </w:rPr>
      </w:pPr>
      <w:r>
        <w:t>Popis požadavku……………………………………………………………………</w:t>
      </w:r>
      <w:r>
        <w:tab/>
        <w:t>34</w:t>
      </w:r>
    </w:p>
    <w:p w14:paraId="4D6A108B" w14:textId="59207892" w:rsidR="005074AB" w:rsidRPr="009064BC" w:rsidRDefault="005074AB" w:rsidP="00982E58">
      <w:pPr>
        <w:numPr>
          <w:ilvl w:val="0"/>
          <w:numId w:val="10"/>
        </w:numPr>
        <w:tabs>
          <w:tab w:val="left" w:pos="7938"/>
        </w:tabs>
        <w:ind w:left="1134" w:hanging="425"/>
        <w:contextualSpacing/>
        <w:jc w:val="both"/>
        <w:rPr>
          <w:rFonts w:cstheme="minorHAnsi"/>
        </w:rPr>
      </w:pPr>
      <w:r>
        <w:t>Kvantifikace požadavku………………………………………………………………...</w:t>
      </w:r>
      <w:r>
        <w:tab/>
        <w:t>34</w:t>
      </w:r>
    </w:p>
    <w:p w14:paraId="79098154" w14:textId="4DBE57AC" w:rsidR="005074AB" w:rsidRPr="009064BC" w:rsidRDefault="005074AB" w:rsidP="00982E58">
      <w:pPr>
        <w:numPr>
          <w:ilvl w:val="0"/>
          <w:numId w:val="10"/>
        </w:numPr>
        <w:tabs>
          <w:tab w:val="left" w:pos="7938"/>
        </w:tabs>
        <w:ind w:left="1134" w:hanging="425"/>
        <w:contextualSpacing/>
        <w:jc w:val="both"/>
        <w:rPr>
          <w:rFonts w:cstheme="minorHAnsi"/>
        </w:rPr>
      </w:pPr>
      <w:r>
        <w:t>Odůvodnění požadavku……………………………………………………………………</w:t>
      </w:r>
      <w:r>
        <w:tab/>
        <w:t>34</w:t>
      </w:r>
    </w:p>
    <w:p w14:paraId="7CB375BD" w14:textId="45A8E851" w:rsidR="005074AB" w:rsidRPr="009064BC" w:rsidRDefault="005074AB" w:rsidP="00982E58">
      <w:pPr>
        <w:numPr>
          <w:ilvl w:val="0"/>
          <w:numId w:val="10"/>
        </w:numPr>
        <w:tabs>
          <w:tab w:val="left" w:pos="7938"/>
        </w:tabs>
        <w:ind w:left="1134" w:hanging="425"/>
        <w:contextualSpacing/>
        <w:jc w:val="both"/>
        <w:rPr>
          <w:rFonts w:cstheme="minorHAnsi"/>
        </w:rPr>
      </w:pPr>
      <w:r>
        <w:t>Výstavba, údržba a udržování……………………………………………………..</w:t>
      </w:r>
      <w:r w:rsidR="00F723B7">
        <w:t>................</w:t>
      </w:r>
      <w:r>
        <w:t>..35</w:t>
      </w:r>
    </w:p>
    <w:p w14:paraId="0BB8C82D" w14:textId="09943AE3" w:rsidR="005074AB" w:rsidRPr="009064BC" w:rsidRDefault="006424FF" w:rsidP="00982E58">
      <w:pPr>
        <w:tabs>
          <w:tab w:val="left" w:pos="7938"/>
        </w:tabs>
        <w:ind w:left="1843" w:hanging="425"/>
        <w:contextualSpacing/>
        <w:jc w:val="both"/>
        <w:rPr>
          <w:rFonts w:cstheme="minorHAnsi"/>
        </w:rPr>
      </w:pPr>
      <w:r>
        <w:t>5.1</w:t>
      </w:r>
      <w:r>
        <w:tab/>
        <w:t>Provádění……………………………………………………………………………………….</w:t>
      </w:r>
      <w:r>
        <w:tab/>
        <w:t>35</w:t>
      </w:r>
    </w:p>
    <w:p w14:paraId="4AE42B35" w14:textId="101D51D9" w:rsidR="005074AB" w:rsidRPr="009064BC" w:rsidRDefault="005074AB" w:rsidP="00982E58">
      <w:pPr>
        <w:tabs>
          <w:tab w:val="left" w:pos="7938"/>
        </w:tabs>
        <w:ind w:left="1843" w:hanging="425"/>
        <w:contextualSpacing/>
        <w:jc w:val="both"/>
        <w:rPr>
          <w:rFonts w:cstheme="minorHAnsi"/>
        </w:rPr>
      </w:pPr>
      <w:r>
        <w:t>5.2</w:t>
      </w:r>
      <w:r>
        <w:tab/>
        <w:t>Monitorování provádění prací…………………………………………………</w:t>
      </w:r>
      <w:r w:rsidR="00F723B7">
        <w:t>......</w:t>
      </w:r>
      <w:r>
        <w:t>..35</w:t>
      </w:r>
    </w:p>
    <w:p w14:paraId="2E5A6752" w14:textId="5AE20D60" w:rsidR="005074AB" w:rsidRPr="009064BC" w:rsidRDefault="005074AB" w:rsidP="00982E58">
      <w:pPr>
        <w:tabs>
          <w:tab w:val="left" w:pos="7938"/>
        </w:tabs>
        <w:ind w:left="1843" w:hanging="436"/>
        <w:contextualSpacing/>
        <w:jc w:val="both"/>
        <w:rPr>
          <w:rFonts w:cstheme="minorHAnsi"/>
        </w:rPr>
      </w:pPr>
      <w:r>
        <w:t>5.3</w:t>
      </w:r>
      <w:r>
        <w:tab/>
        <w:t>Kontrola dokončené práce………………………………………………………….</w:t>
      </w:r>
      <w:r>
        <w:tab/>
        <w:t>35</w:t>
      </w:r>
    </w:p>
    <w:p w14:paraId="5D3A912D" w14:textId="4D3F4D31" w:rsidR="005074AB" w:rsidRPr="009064BC" w:rsidRDefault="005074AB" w:rsidP="00982E58">
      <w:pPr>
        <w:tabs>
          <w:tab w:val="left" w:pos="7938"/>
        </w:tabs>
        <w:ind w:left="1843" w:hanging="425"/>
        <w:contextualSpacing/>
        <w:jc w:val="both"/>
        <w:rPr>
          <w:rFonts w:cstheme="minorHAnsi"/>
        </w:rPr>
      </w:pPr>
      <w:r>
        <w:t>5.4</w:t>
      </w:r>
      <w:r>
        <w:tab/>
        <w:t>Údržba a udržování budovy………………………..…………..</w:t>
      </w:r>
      <w:r w:rsidR="00F723B7">
        <w:t>.........................</w:t>
      </w:r>
      <w:r>
        <w:t>35“</w:t>
      </w:r>
    </w:p>
    <w:p w14:paraId="2AE043C4" w14:textId="77777777" w:rsidR="005074AB" w:rsidRPr="009064BC" w:rsidRDefault="005074AB" w:rsidP="005074AB">
      <w:pPr>
        <w:ind w:left="1418"/>
        <w:contextualSpacing/>
        <w:jc w:val="both"/>
        <w:rPr>
          <w:rFonts w:cstheme="minorHAnsi"/>
        </w:rPr>
      </w:pPr>
    </w:p>
    <w:p w14:paraId="3A1C5505" w14:textId="4B9D9EA3" w:rsidR="0026457E" w:rsidRDefault="0026457E" w:rsidP="0026457E">
      <w:pPr>
        <w:numPr>
          <w:ilvl w:val="0"/>
          <w:numId w:val="13"/>
        </w:numPr>
        <w:ind w:left="720" w:hanging="295"/>
        <w:jc w:val="both"/>
        <w:rPr>
          <w:rFonts w:cstheme="minorHAnsi"/>
        </w:rPr>
      </w:pPr>
      <w:r>
        <w:t>V sekci HE 0 „Omezení spotřeby energie“ oddílu 4.1 „Postup výpočtu“ se v pododstavci 9 slova „Uznaný dokument“ nahrazují slovy „Uznaný dokument pro energetickou certifikaci budov“.</w:t>
      </w:r>
    </w:p>
    <w:p w14:paraId="3222E360" w14:textId="2F90CB7E" w:rsidR="0067340E" w:rsidRPr="0067340E" w:rsidRDefault="006C16B4" w:rsidP="0026457E">
      <w:pPr>
        <w:numPr>
          <w:ilvl w:val="0"/>
          <w:numId w:val="13"/>
        </w:numPr>
        <w:ind w:left="720" w:hanging="295"/>
        <w:jc w:val="both"/>
        <w:rPr>
          <w:rFonts w:cstheme="minorHAnsi"/>
        </w:rPr>
      </w:pPr>
      <w:r>
        <w:t>V sekci HE 0 „Omezení spotřeby energie“ oddílu 4.1 „Postup výpočtu“ se pododstavec 9 nově označuje jako pododstavec 11 a doplňují se dva nové pododstavce, které znějí:</w:t>
      </w:r>
    </w:p>
    <w:p w14:paraId="3392DEB4" w14:textId="73112890" w:rsidR="0067340E" w:rsidRDefault="0067340E" w:rsidP="0067340E">
      <w:pPr>
        <w:ind w:left="1134" w:hanging="425"/>
        <w:contextualSpacing/>
        <w:jc w:val="both"/>
        <w:rPr>
          <w:rFonts w:cstheme="minorHAnsi"/>
        </w:rPr>
      </w:pPr>
      <w:r>
        <w:t>„9</w:t>
      </w:r>
      <w:r>
        <w:tab/>
        <w:t>Výpočet energetické bilance potřebné pro ověření požadavků tohoto DB se provádí v souladu s normou UNE-EN ISO 52000-1:2019: Celkové posouzení energetické náročnosti budov. Část 1: obecný rámec a postupy s použitím faktoru pro export K</w:t>
      </w:r>
      <w:r>
        <w:rPr>
          <w:vertAlign w:val="subscript"/>
        </w:rPr>
        <w:t>exp</w:t>
      </w:r>
      <w:r>
        <w:t xml:space="preserve"> = 0.“</w:t>
      </w:r>
    </w:p>
    <w:p w14:paraId="744E1B50" w14:textId="4419E002" w:rsidR="00B233D0" w:rsidRDefault="00B233D0" w:rsidP="0026457E">
      <w:pPr>
        <w:ind w:left="1134" w:hanging="425"/>
        <w:jc w:val="both"/>
        <w:rPr>
          <w:rFonts w:cstheme="minorHAnsi"/>
        </w:rPr>
      </w:pPr>
      <w:r>
        <w:t>„10</w:t>
      </w:r>
      <w:r>
        <w:tab/>
        <w:t>Pro účely rozdělení různých služeb se distribuce elektřiny vyrobené na místě v každém časovém intervalu vypočítá úměrně ke spotřebě elektřiny v rámci příslušné spotřeby (vytápění, chlazení, větrání, užitková teplá voda a dále při terciárním využití, osvětlení).“</w:t>
      </w:r>
    </w:p>
    <w:p w14:paraId="78947690" w14:textId="66930B3C" w:rsidR="005074AB" w:rsidRPr="009064BC" w:rsidRDefault="005074AB" w:rsidP="0026457E">
      <w:pPr>
        <w:numPr>
          <w:ilvl w:val="0"/>
          <w:numId w:val="13"/>
        </w:numPr>
        <w:ind w:left="720" w:hanging="294"/>
        <w:jc w:val="both"/>
        <w:rPr>
          <w:rFonts w:cstheme="minorHAnsi"/>
        </w:rPr>
      </w:pPr>
      <w:r>
        <w:lastRenderedPageBreak/>
        <w:t>V sekci HE 1 „Podmínky pro regulaci poptávky po energii“ oddílu 3.1.1 „Tepelná propustnost pláště“ se doplňuje nový pododstavec, který zní:</w:t>
      </w:r>
    </w:p>
    <w:p w14:paraId="729573A3" w14:textId="05413AE2" w:rsidR="005074AB" w:rsidRPr="009064BC" w:rsidRDefault="005074AB" w:rsidP="006424FF">
      <w:pPr>
        <w:ind w:left="1134" w:hanging="425"/>
        <w:jc w:val="both"/>
        <w:rPr>
          <w:rFonts w:cstheme="minorHAnsi"/>
        </w:rPr>
      </w:pPr>
      <w:r>
        <w:t>„6</w:t>
      </w:r>
      <w:r>
        <w:tab/>
        <w:t>Alternativně mohou být budovy nebo, v případě částečných zásahů do stávajících budov, části budov, v nichž se provádějí zásahy, jejichž potřeby za účelem vytápění a chlazení jsou v obou případech nižší než 15 kWh/m</w:t>
      </w:r>
      <w:r>
        <w:rPr>
          <w:vertAlign w:val="superscript"/>
        </w:rPr>
        <w:t>2</w:t>
      </w:r>
      <w:r>
        <w:t xml:space="preserve">, vyloučeny z dodržení </w:t>
      </w:r>
      <w:r>
        <w:rPr>
          <w:i/>
        </w:rPr>
        <w:t>celkového koeficientu prostupu tepla pláštěm (K).“</w:t>
      </w:r>
    </w:p>
    <w:p w14:paraId="49941342" w14:textId="77777777" w:rsidR="00802B87" w:rsidRDefault="005074AB" w:rsidP="00802B87">
      <w:pPr>
        <w:numPr>
          <w:ilvl w:val="0"/>
          <w:numId w:val="13"/>
        </w:numPr>
        <w:ind w:left="709" w:hanging="283"/>
        <w:contextualSpacing/>
        <w:jc w:val="both"/>
        <w:rPr>
          <w:rFonts w:cstheme="minorHAnsi"/>
        </w:rPr>
      </w:pPr>
      <w:r>
        <w:t>V sekci HE 1 „Podmínky pro regulaci poptávky po energii“ oddílu 3.1.3 „Vzduchová propustnost tepelného pláště“ se doplňuje nový pododstavec 3, který zní:</w:t>
      </w:r>
    </w:p>
    <w:p w14:paraId="1D58DEB1" w14:textId="0D8F3294" w:rsidR="005074AB" w:rsidRPr="00802B87" w:rsidRDefault="005074AB" w:rsidP="00802B87">
      <w:pPr>
        <w:ind w:left="709"/>
        <w:contextualSpacing/>
        <w:jc w:val="both"/>
        <w:rPr>
          <w:rFonts w:cstheme="minorHAnsi"/>
        </w:rPr>
      </w:pPr>
      <w:r>
        <w:t xml:space="preserve">„V případě změn se tabulka 3.1.3.a-HE1 vztahuje pouze na ty prvky </w:t>
      </w:r>
      <w:r>
        <w:rPr>
          <w:i/>
        </w:rPr>
        <w:t>tepelného pláště</w:t>
      </w:r>
      <w:r>
        <w:t>, které jsou nahrazeny, začleněny nebo podstatně upraveny;“</w:t>
      </w:r>
    </w:p>
    <w:p w14:paraId="7563FEDE" w14:textId="74826D79" w:rsidR="005074AB" w:rsidRDefault="005074AB" w:rsidP="00836E07">
      <w:pPr>
        <w:ind w:left="709"/>
        <w:jc w:val="both"/>
        <w:rPr>
          <w:rFonts w:cstheme="minorHAnsi"/>
        </w:rPr>
      </w:pPr>
      <w:r>
        <w:t>Stávající pododstavce 3 a 4 odstavce 3.1.3 „Vzduchová propustnost tepelného pláště“ se nově označují jako pododstavce 4 a 5 v uvedeném pořadí.</w:t>
      </w:r>
    </w:p>
    <w:p w14:paraId="50F02663" w14:textId="6089A86E" w:rsidR="00E57D62" w:rsidRDefault="00E57D62" w:rsidP="0085697E">
      <w:pPr>
        <w:pStyle w:val="ListParagraph"/>
        <w:numPr>
          <w:ilvl w:val="0"/>
          <w:numId w:val="20"/>
        </w:numPr>
        <w:spacing w:line="257" w:lineRule="auto"/>
        <w:ind w:left="709" w:hanging="283"/>
        <w:contextualSpacing w:val="0"/>
        <w:jc w:val="both"/>
        <w:rPr>
          <w:rFonts w:cstheme="minorHAnsi"/>
        </w:rPr>
      </w:pPr>
      <w:r>
        <w:t>V sekci HE 3 Podmínky osvětlovacích zařízení se v tabulce 3.1-HE3 Mezní hodnota účinnosti zařízení (VEEI</w:t>
      </w:r>
      <w:r>
        <w:rPr>
          <w:vertAlign w:val="subscript"/>
        </w:rPr>
        <w:t>lim</w:t>
      </w:r>
      <w:r>
        <w:t xml:space="preserve">) slova „Obchodní domy a malé obchody“ nahrazují slovy „Obchodní domy a malé obchody </w:t>
      </w:r>
      <w:r>
        <w:rPr>
          <w:rFonts w:ascii="Calibri" w:hAnsi="Calibri"/>
          <w:vertAlign w:val="subscript"/>
        </w:rPr>
        <w:t>(10)</w:t>
      </w:r>
      <w:r>
        <w:t>“ a doplňuje se nová poznámka pod čarou, která zní:</w:t>
      </w:r>
    </w:p>
    <w:p w14:paraId="149506FB" w14:textId="5E891A3B" w:rsidR="00C40409" w:rsidRDefault="00E57D62" w:rsidP="00C40409">
      <w:pPr>
        <w:pStyle w:val="ListParagraph"/>
        <w:spacing w:line="257" w:lineRule="auto"/>
        <w:ind w:left="709"/>
        <w:contextualSpacing w:val="0"/>
        <w:jc w:val="both"/>
        <w:rPr>
          <w:rFonts w:eastAsia="Arial" w:cstheme="minorHAnsi"/>
          <w:kern w:val="2"/>
          <w:szCs w:val="24"/>
        </w:rPr>
      </w:pPr>
      <w:r>
        <w:t>„</w:t>
      </w:r>
      <w:r>
        <w:rPr>
          <w:vertAlign w:val="superscript"/>
        </w:rPr>
        <w:t>(10)</w:t>
      </w:r>
      <w:r>
        <w:t xml:space="preserve"> Pojem obchodní dům se vztahuje jak na malé nezávislé obchody, tak na část pro komerční použití, která se v nákupních centrech běžně nepoužívá.“</w:t>
      </w:r>
    </w:p>
    <w:p w14:paraId="00451B2B" w14:textId="20875D3F" w:rsidR="00C40409" w:rsidRDefault="00C40409" w:rsidP="00154A68">
      <w:pPr>
        <w:pStyle w:val="ListParagraph"/>
        <w:numPr>
          <w:ilvl w:val="0"/>
          <w:numId w:val="20"/>
        </w:numPr>
        <w:spacing w:line="257" w:lineRule="auto"/>
        <w:ind w:left="709" w:hanging="283"/>
        <w:jc w:val="both"/>
        <w:rPr>
          <w:rFonts w:eastAsia="Arial" w:cstheme="minorHAnsi"/>
          <w:kern w:val="2"/>
          <w:szCs w:val="24"/>
        </w:rPr>
      </w:pPr>
      <w:r>
        <w:t>V sekci HE 4 Minimální příspěvek energie z obnovitelných zdrojů k pokrytí poptávky po užitkové teplé vodě oddílu 2 „Popis požadavku“ se článek 1 mění takto:</w:t>
      </w:r>
    </w:p>
    <w:p w14:paraId="14B0818B" w14:textId="77777777" w:rsidR="00C40409" w:rsidRPr="00C40409" w:rsidRDefault="00C40409" w:rsidP="00C40409">
      <w:pPr>
        <w:pStyle w:val="ListParagraph"/>
        <w:spacing w:line="257" w:lineRule="auto"/>
        <w:ind w:left="709"/>
        <w:jc w:val="both"/>
        <w:rPr>
          <w:rFonts w:eastAsia="Arial" w:cstheme="minorHAnsi"/>
          <w:kern w:val="2"/>
          <w:szCs w:val="24"/>
          <w:lang w:eastAsia="zh-CN" w:bidi="hi-IN"/>
        </w:rPr>
      </w:pPr>
    </w:p>
    <w:p w14:paraId="4CC04391" w14:textId="1C9A9342" w:rsidR="00C40409" w:rsidRPr="00C40409" w:rsidRDefault="00C40409" w:rsidP="00C40409">
      <w:pPr>
        <w:pStyle w:val="ListParagraph"/>
        <w:spacing w:line="257" w:lineRule="auto"/>
        <w:ind w:left="1134" w:hanging="425"/>
        <w:contextualSpacing w:val="0"/>
        <w:jc w:val="both"/>
        <w:rPr>
          <w:rFonts w:eastAsia="Arial" w:cstheme="minorHAnsi"/>
          <w:kern w:val="2"/>
          <w:szCs w:val="24"/>
        </w:rPr>
      </w:pPr>
      <w:r>
        <w:t>„1</w:t>
      </w:r>
      <w:r>
        <w:tab/>
        <w:t>Budovy musí splňovat své potřeby v oblasti užitkové teplé vody a ohřevu vody u vyhřívaných vnitřních bazénů do značné míry využitím procesů kombinované výroby tepla a elektřiny z obnovitelných zdrojů; generované buď v samotné budově, nebo prostřednictvím připojení k soustavě dálkového vytápění.“</w:t>
      </w:r>
    </w:p>
    <w:p w14:paraId="4E4E1F9B" w14:textId="2DA4132B" w:rsidR="00836E07" w:rsidRPr="00E57D62" w:rsidRDefault="00836E07" w:rsidP="009064BC">
      <w:pPr>
        <w:pStyle w:val="ListParagraph"/>
        <w:numPr>
          <w:ilvl w:val="0"/>
          <w:numId w:val="13"/>
        </w:numPr>
        <w:ind w:left="709" w:hanging="283"/>
        <w:contextualSpacing w:val="0"/>
        <w:jc w:val="both"/>
        <w:rPr>
          <w:rFonts w:cstheme="minorHAnsi"/>
        </w:rPr>
      </w:pPr>
      <w:r>
        <w:t>V sekci HE 5 Minimální výroba elektrické energie název zní:</w:t>
      </w:r>
    </w:p>
    <w:p w14:paraId="1835914C" w14:textId="7892C477" w:rsidR="005074AB" w:rsidRPr="009064BC" w:rsidRDefault="00836E07" w:rsidP="006F5E38">
      <w:pPr>
        <w:pStyle w:val="ListParagraph"/>
        <w:ind w:left="709"/>
        <w:contextualSpacing w:val="0"/>
        <w:jc w:val="both"/>
        <w:rPr>
          <w:rFonts w:cstheme="minorHAnsi"/>
        </w:rPr>
      </w:pPr>
      <w:r>
        <w:t>„Sekce HE 5 Minimální výroba elektrické energie z obnovitelných zdrojů.“</w:t>
      </w:r>
    </w:p>
    <w:p w14:paraId="5A13D3D2" w14:textId="6E7AA8ED" w:rsidR="005074AB" w:rsidRPr="009064BC" w:rsidRDefault="005074AB" w:rsidP="00CC005A">
      <w:pPr>
        <w:numPr>
          <w:ilvl w:val="0"/>
          <w:numId w:val="13"/>
        </w:numPr>
        <w:ind w:left="720" w:hanging="294"/>
        <w:jc w:val="both"/>
        <w:rPr>
          <w:rFonts w:cstheme="minorHAnsi"/>
        </w:rPr>
      </w:pPr>
      <w:r>
        <w:t xml:space="preserve">V sekci HE 5 Minimální výroba elektrické energie zní oddíl 1 „Oblast působnosti“ takto: </w:t>
      </w:r>
    </w:p>
    <w:p w14:paraId="45B1F681" w14:textId="77777777" w:rsidR="005074AB" w:rsidRPr="009064BC" w:rsidRDefault="005074AB" w:rsidP="00CC005A">
      <w:pPr>
        <w:ind w:left="1134" w:hanging="425"/>
        <w:jc w:val="both"/>
        <w:rPr>
          <w:rFonts w:cstheme="minorHAnsi"/>
        </w:rPr>
      </w:pPr>
      <w:r>
        <w:t>„1</w:t>
      </w:r>
      <w:r>
        <w:tab/>
        <w:t xml:space="preserve">Tato sekce se použije v těchto případech: </w:t>
      </w:r>
    </w:p>
    <w:p w14:paraId="10C39280" w14:textId="4335D1B7" w:rsidR="002F2BD0" w:rsidRPr="003934E5" w:rsidRDefault="005074AB" w:rsidP="002F2BD0">
      <w:pPr>
        <w:numPr>
          <w:ilvl w:val="0"/>
          <w:numId w:val="8"/>
        </w:numPr>
        <w:ind w:left="1418" w:hanging="284"/>
        <w:contextualSpacing/>
        <w:jc w:val="both"/>
        <w:rPr>
          <w:rFonts w:cstheme="minorHAnsi"/>
        </w:rPr>
      </w:pPr>
      <w:r>
        <w:t>nově postavené budovy, pokud přesahují 1 000 m</w:t>
      </w:r>
      <w:r>
        <w:rPr>
          <w:vertAlign w:val="superscript"/>
        </w:rPr>
        <w:t>2</w:t>
      </w:r>
      <w:r>
        <w:t xml:space="preserve"> zastavěné plochy;</w:t>
      </w:r>
    </w:p>
    <w:p w14:paraId="288E1AFC" w14:textId="6CE90E6C" w:rsidR="002F2BD0" w:rsidRPr="003934E5" w:rsidRDefault="002F2BD0" w:rsidP="002F2BD0">
      <w:pPr>
        <w:numPr>
          <w:ilvl w:val="0"/>
          <w:numId w:val="8"/>
        </w:numPr>
        <w:ind w:left="1418" w:hanging="284"/>
        <w:contextualSpacing/>
        <w:jc w:val="both"/>
        <w:rPr>
          <w:rFonts w:cstheme="minorHAnsi"/>
        </w:rPr>
      </w:pPr>
      <w:r>
        <w:t>přístavby stávajících budov, kdy se zastavěná plocha zvětší o více než 1 000 m</w:t>
      </w:r>
      <w:r>
        <w:rPr>
          <w:vertAlign w:val="superscript"/>
        </w:rPr>
        <w:t>2</w:t>
      </w:r>
      <w:r>
        <w:t>;</w:t>
      </w:r>
    </w:p>
    <w:p w14:paraId="647D0A9C" w14:textId="63F54BFD" w:rsidR="005074AB" w:rsidRPr="009064BC" w:rsidRDefault="005074AB" w:rsidP="005074AB">
      <w:pPr>
        <w:numPr>
          <w:ilvl w:val="0"/>
          <w:numId w:val="8"/>
        </w:numPr>
        <w:ind w:left="1418" w:hanging="284"/>
        <w:contextualSpacing/>
        <w:jc w:val="both"/>
        <w:rPr>
          <w:rFonts w:cstheme="minorHAnsi"/>
        </w:rPr>
      </w:pPr>
      <w:r>
        <w:t>stávající budovy, které jsou kompletně zrekonstruovány, nebo u nichž dochází ke změně jejich charakteristického využití, pokud přesahují 1 000 m</w:t>
      </w:r>
      <w:r>
        <w:rPr>
          <w:vertAlign w:val="superscript"/>
        </w:rPr>
        <w:t>2</w:t>
      </w:r>
      <w:r>
        <w:t xml:space="preserve"> zastavěné plochy.</w:t>
      </w:r>
    </w:p>
    <w:p w14:paraId="2BDE8293" w14:textId="74B0ACD8" w:rsidR="001B0467" w:rsidRPr="003934E5" w:rsidRDefault="00D76296" w:rsidP="001B0467">
      <w:pPr>
        <w:ind w:left="1134"/>
        <w:jc w:val="both"/>
        <w:rPr>
          <w:rFonts w:cstheme="minorHAnsi"/>
        </w:rPr>
      </w:pPr>
      <w:r>
        <w:t xml:space="preserve">Má se za to, že zastavěná plocha zahrnuje plochu parkovacích ploch uvnitř budovy a nezahrnuje společné venkovní prostory.“ </w:t>
      </w:r>
    </w:p>
    <w:p w14:paraId="067F87BA" w14:textId="3B6D1449" w:rsidR="005074AB" w:rsidRPr="003934E5" w:rsidRDefault="001B0467" w:rsidP="001B0467">
      <w:pPr>
        <w:pStyle w:val="ListParagraph"/>
        <w:numPr>
          <w:ilvl w:val="0"/>
          <w:numId w:val="13"/>
        </w:numPr>
        <w:ind w:left="709" w:hanging="284"/>
        <w:contextualSpacing w:val="0"/>
        <w:jc w:val="both"/>
        <w:rPr>
          <w:rFonts w:cstheme="minorHAnsi"/>
        </w:rPr>
      </w:pPr>
      <w:r>
        <w:t>V sekci HE 5 „Minimální výroba elektřiny“ oddílu 2 „Popis požadavku“ první pododstavec zní:</w:t>
      </w:r>
    </w:p>
    <w:p w14:paraId="477CF5F6" w14:textId="719B0DCE" w:rsidR="001B0467" w:rsidRPr="003934E5" w:rsidRDefault="003934E5" w:rsidP="003934E5">
      <w:pPr>
        <w:pStyle w:val="ListParagraph"/>
        <w:ind w:left="1134" w:hanging="425"/>
        <w:contextualSpacing w:val="0"/>
        <w:jc w:val="both"/>
        <w:rPr>
          <w:rFonts w:cstheme="minorHAnsi"/>
        </w:rPr>
      </w:pPr>
      <w:r>
        <w:lastRenderedPageBreak/>
        <w:t>„1</w:t>
      </w:r>
      <w:r>
        <w:tab/>
        <w:t>Budovy musí mít systémy výroby elektřiny z obnovitelných zdrojů pro svou vlastní potřebu nebo pro dodávky do sítě.“</w:t>
      </w:r>
    </w:p>
    <w:p w14:paraId="6586AED4" w14:textId="66518836" w:rsidR="005074AB" w:rsidRPr="003934E5" w:rsidRDefault="005074AB" w:rsidP="00262992">
      <w:pPr>
        <w:pStyle w:val="ListParagraph"/>
        <w:numPr>
          <w:ilvl w:val="0"/>
          <w:numId w:val="13"/>
        </w:numPr>
        <w:ind w:left="709" w:hanging="283"/>
        <w:jc w:val="both"/>
        <w:rPr>
          <w:rFonts w:cstheme="minorHAnsi"/>
        </w:rPr>
      </w:pPr>
      <w:r>
        <w:t>V sekci HE 5 „Minimální výroba elektrické energie“ se oddíl 3 „Kvantifikace požadavku“ mění takto:</w:t>
      </w:r>
    </w:p>
    <w:p w14:paraId="7AEDE70F" w14:textId="4971BFFF" w:rsidR="005074AB" w:rsidRPr="003934E5" w:rsidRDefault="005074AB" w:rsidP="00CC005A">
      <w:pPr>
        <w:spacing w:before="60"/>
        <w:ind w:left="1134" w:hanging="425"/>
        <w:jc w:val="both"/>
        <w:rPr>
          <w:rFonts w:eastAsia="Arial" w:cstheme="minorHAnsi"/>
          <w:kern w:val="2"/>
          <w:szCs w:val="24"/>
        </w:rPr>
      </w:pPr>
      <w:r>
        <w:t>„1</w:t>
      </w:r>
      <w:r>
        <w:tab/>
        <w:t xml:space="preserve">Minimální </w:t>
      </w:r>
      <w:r>
        <w:rPr>
          <w:i/>
        </w:rPr>
        <w:t>výkon k instalaci</w:t>
      </w:r>
      <w:r>
        <w:t xml:space="preserve"> P</w:t>
      </w:r>
      <w:r>
        <w:rPr>
          <w:vertAlign w:val="subscript"/>
        </w:rPr>
        <w:t>min</w:t>
      </w:r>
      <w:r>
        <w:t xml:space="preserve"> je nejnižší z výsledků z těchto dvou rovnic: </w:t>
      </w:r>
    </w:p>
    <w:p w14:paraId="13C627CF" w14:textId="4FFC04B6" w:rsidR="005074AB" w:rsidRPr="003934E5" w:rsidRDefault="001E31F3" w:rsidP="005074AB">
      <w:pPr>
        <w:spacing w:before="60"/>
        <w:ind w:left="2127" w:hanging="993"/>
        <w:jc w:val="both"/>
        <w:rPr>
          <w:rFonts w:eastAsia="Arial" w:cstheme="minorHAnsi"/>
          <w:kern w:val="2"/>
          <w:szCs w:val="24"/>
        </w:rPr>
      </w:pPr>
      <w:r>
        <w:t>P</w:t>
      </w:r>
      <w:r>
        <w:rPr>
          <w:vertAlign w:val="subscript"/>
        </w:rPr>
        <w:t>1</w:t>
      </w:r>
      <w:r>
        <w:t xml:space="preserve"> = F</w:t>
      </w:r>
      <w:r>
        <w:rPr>
          <w:vertAlign w:val="subscript"/>
        </w:rPr>
        <w:t>pr;el</w:t>
      </w:r>
      <w:r>
        <w:t>· S</w:t>
      </w:r>
    </w:p>
    <w:p w14:paraId="667B6FED" w14:textId="0FB9ED9C" w:rsidR="001E31F3" w:rsidRPr="008E713D" w:rsidRDefault="001E31F3" w:rsidP="005074AB">
      <w:pPr>
        <w:spacing w:before="60"/>
        <w:ind w:left="2127" w:hanging="993"/>
        <w:jc w:val="both"/>
        <w:rPr>
          <w:rFonts w:eastAsia="Arial" w:cstheme="minorHAnsi"/>
          <w:kern w:val="2"/>
          <w:szCs w:val="24"/>
        </w:rPr>
      </w:pPr>
      <w:r>
        <w:t>P</w:t>
      </w:r>
      <w:r>
        <w:rPr>
          <w:vertAlign w:val="subscript"/>
        </w:rPr>
        <w:t>2</w:t>
      </w:r>
      <w:r>
        <w:t xml:space="preserve"> = 0,1· (0,5· S</w:t>
      </w:r>
      <w:r>
        <w:rPr>
          <w:vertAlign w:val="subscript"/>
        </w:rPr>
        <w:t>c</w:t>
      </w:r>
      <w:r>
        <w:t xml:space="preserve"> – S</w:t>
      </w:r>
      <w:r>
        <w:rPr>
          <w:vertAlign w:val="subscript"/>
        </w:rPr>
        <w:t>oc</w:t>
      </w:r>
      <w:r>
        <w:t>)</w:t>
      </w:r>
    </w:p>
    <w:p w14:paraId="33F1DF55" w14:textId="77777777" w:rsidR="005074AB" w:rsidRPr="00C249FB" w:rsidRDefault="005074AB" w:rsidP="005074AB">
      <w:pPr>
        <w:spacing w:before="60"/>
        <w:ind w:left="1134"/>
        <w:jc w:val="both"/>
        <w:rPr>
          <w:rFonts w:eastAsia="Arial" w:cstheme="minorHAnsi"/>
          <w:kern w:val="2"/>
          <w:szCs w:val="24"/>
        </w:rPr>
      </w:pPr>
      <w:r>
        <w:t>kde:</w:t>
      </w:r>
    </w:p>
    <w:p w14:paraId="61117D05" w14:textId="670BE156" w:rsidR="005074AB" w:rsidRDefault="005074AB" w:rsidP="005074AB">
      <w:pPr>
        <w:spacing w:before="60"/>
        <w:ind w:left="2126" w:hanging="567"/>
        <w:contextualSpacing/>
        <w:jc w:val="both"/>
        <w:rPr>
          <w:rFonts w:eastAsia="Arial" w:cstheme="minorHAnsi"/>
          <w:kern w:val="2"/>
          <w:szCs w:val="24"/>
        </w:rPr>
      </w:pPr>
      <w:r>
        <w:t>P</w:t>
      </w:r>
      <w:r>
        <w:rPr>
          <w:vertAlign w:val="subscript"/>
        </w:rPr>
        <w:t>min</w:t>
      </w:r>
      <w:r>
        <w:tab/>
      </w:r>
      <w:r>
        <w:rPr>
          <w:i/>
        </w:rPr>
        <w:t xml:space="preserve">výkon k instalaci </w:t>
      </w:r>
      <w:r>
        <w:t>[kW];</w:t>
      </w:r>
    </w:p>
    <w:p w14:paraId="4DD09CC6" w14:textId="0B7C6032" w:rsidR="00D45636" w:rsidRPr="003934E5" w:rsidRDefault="00D45636" w:rsidP="005074AB">
      <w:pPr>
        <w:spacing w:before="60"/>
        <w:ind w:left="2126" w:hanging="567"/>
        <w:contextualSpacing/>
        <w:jc w:val="both"/>
        <w:rPr>
          <w:rFonts w:eastAsia="Arial" w:cstheme="minorHAnsi"/>
          <w:kern w:val="2"/>
          <w:szCs w:val="24"/>
        </w:rPr>
      </w:pPr>
      <w:r>
        <w:t>F</w:t>
      </w:r>
      <w:r>
        <w:rPr>
          <w:vertAlign w:val="subscript"/>
        </w:rPr>
        <w:t>pr;el</w:t>
      </w:r>
      <w:r>
        <w:tab/>
        <w:t>faktor výroby elektrické energie, který má hodnotu 0,005 pro soukromé obytné účely a 0,010 pro jiná použití [kW/m</w:t>
      </w:r>
      <w:r>
        <w:rPr>
          <w:vertAlign w:val="superscript"/>
        </w:rPr>
        <w:t>2</w:t>
      </w:r>
      <w:r>
        <w:t>];</w:t>
      </w:r>
    </w:p>
    <w:p w14:paraId="76F60B0B" w14:textId="4CB9482B" w:rsidR="005074AB" w:rsidRPr="003934E5" w:rsidRDefault="005074AB" w:rsidP="005074AB">
      <w:pPr>
        <w:spacing w:before="60"/>
        <w:ind w:left="2126" w:hanging="567"/>
        <w:contextualSpacing/>
        <w:jc w:val="both"/>
        <w:rPr>
          <w:rFonts w:eastAsia="Arial" w:cstheme="minorHAnsi"/>
          <w:kern w:val="2"/>
          <w:szCs w:val="24"/>
        </w:rPr>
      </w:pPr>
      <w:r>
        <w:t>S</w:t>
      </w:r>
      <w:r>
        <w:tab/>
        <w:t>povrch zastavěné plochy budovy [m</w:t>
      </w:r>
      <w:r>
        <w:rPr>
          <w:vertAlign w:val="superscript"/>
        </w:rPr>
        <w:t>2</w:t>
      </w:r>
      <w:r>
        <w:t>];</w:t>
      </w:r>
    </w:p>
    <w:p w14:paraId="22E0EB96" w14:textId="1BEA5C90" w:rsidR="00262992" w:rsidRPr="003934E5" w:rsidRDefault="00262992" w:rsidP="00262992">
      <w:pPr>
        <w:spacing w:before="60"/>
        <w:ind w:left="2126" w:hanging="567"/>
        <w:contextualSpacing/>
        <w:jc w:val="both"/>
        <w:rPr>
          <w:rFonts w:cstheme="minorHAnsi"/>
        </w:rPr>
      </w:pPr>
      <w:r>
        <w:t>S</w:t>
      </w:r>
      <w:r>
        <w:rPr>
          <w:vertAlign w:val="subscript"/>
        </w:rPr>
        <w:t>c</w:t>
      </w:r>
      <w:r>
        <w:tab/>
        <w:t>povrchová plocha střechy nevhodné k provozu nebo přístupné pouze pro údržbu [m</w:t>
      </w:r>
      <w:r>
        <w:rPr>
          <w:vertAlign w:val="superscript"/>
        </w:rPr>
        <w:t>2</w:t>
      </w:r>
      <w:r>
        <w:t>];</w:t>
      </w:r>
    </w:p>
    <w:p w14:paraId="3D939F32" w14:textId="65BA2EC5" w:rsidR="00A515D1" w:rsidRPr="009064BC" w:rsidRDefault="00262992" w:rsidP="00262992">
      <w:pPr>
        <w:spacing w:before="60"/>
        <w:ind w:left="2127" w:hanging="567"/>
        <w:jc w:val="both"/>
        <w:rPr>
          <w:rFonts w:eastAsia="Arial" w:cstheme="minorHAnsi"/>
          <w:kern w:val="2"/>
          <w:szCs w:val="24"/>
        </w:rPr>
      </w:pPr>
      <w:r>
        <w:t>S</w:t>
      </w:r>
      <w:r>
        <w:rPr>
          <w:vertAlign w:val="subscript"/>
        </w:rPr>
        <w:t>oc</w:t>
      </w:r>
      <w:r>
        <w:tab/>
        <w:t>povrchová plocha střechy nevhodné k provozu nebo přístupné pouze pro údržbu tepelných solárních kolektorů [m</w:t>
      </w:r>
      <w:r>
        <w:rPr>
          <w:vertAlign w:val="superscript"/>
        </w:rPr>
        <w:t>2</w:t>
      </w:r>
      <w:r>
        <w:t>].</w:t>
      </w:r>
    </w:p>
    <w:p w14:paraId="539F8AB0" w14:textId="583A6FA1" w:rsidR="005074AB" w:rsidRPr="009064BC" w:rsidRDefault="007769F1" w:rsidP="00CC005A">
      <w:pPr>
        <w:ind w:left="1134" w:hanging="425"/>
        <w:jc w:val="both"/>
        <w:rPr>
          <w:rFonts w:eastAsia="Arial" w:cstheme="minorHAnsi"/>
          <w:kern w:val="2"/>
          <w:szCs w:val="24"/>
        </w:rPr>
      </w:pPr>
      <w:r>
        <w:t>2</w:t>
      </w:r>
      <w:r>
        <w:tab/>
        <w:t xml:space="preserve">V budovách, kde z městských nebo architektonických důvodů nebo z důvodu, že se jedná o úředně chráněné budovy, kde orgán, který uděluje úřední ochranu, určuje neměnné prvky, nelze dosáhnout minimálního </w:t>
      </w:r>
      <w:r>
        <w:rPr>
          <w:i/>
        </w:rPr>
        <w:t>výkonu k instalaci</w:t>
      </w:r>
      <w:r>
        <w:t>, musí být tato nemožnost odůvodněna analýzou různých alternativ a musí být přijato řešení, které dosáhne maximálního možného instalovaného výkonu.“</w:t>
      </w:r>
    </w:p>
    <w:p w14:paraId="2A986A64" w14:textId="7E05FC12" w:rsidR="005074AB" w:rsidRPr="003934E5" w:rsidRDefault="005074AB" w:rsidP="009064BC">
      <w:pPr>
        <w:pStyle w:val="ListParagraph"/>
        <w:numPr>
          <w:ilvl w:val="0"/>
          <w:numId w:val="13"/>
        </w:numPr>
        <w:spacing w:before="60"/>
        <w:ind w:left="709" w:hanging="283"/>
        <w:jc w:val="both"/>
        <w:rPr>
          <w:rFonts w:eastAsia="Arial" w:cstheme="minorHAnsi"/>
          <w:kern w:val="2"/>
          <w:szCs w:val="24"/>
        </w:rPr>
      </w:pPr>
      <w:r>
        <w:t>V sekci HE 5 „Minimální výroba elektrické energie“ se v oddíle 4 „Odůvodnění požadavku“ doplňují slova:</w:t>
      </w:r>
    </w:p>
    <w:p w14:paraId="1F522FCD" w14:textId="0464CEFA" w:rsidR="005074AB" w:rsidRPr="003934E5" w:rsidRDefault="00CC005A" w:rsidP="00982E58">
      <w:pPr>
        <w:ind w:left="1134" w:hanging="425"/>
        <w:jc w:val="both"/>
        <w:rPr>
          <w:rFonts w:cstheme="minorHAnsi"/>
        </w:rPr>
      </w:pPr>
      <w:r>
        <w:t>c)</w:t>
      </w:r>
      <w:r>
        <w:tab/>
        <w:t xml:space="preserve">pokud je to vhodné, důvody, které brání dosažení minimálního požadovaného </w:t>
      </w:r>
      <w:r>
        <w:rPr>
          <w:i/>
        </w:rPr>
        <w:t>výkonu k instalaci</w:t>
      </w:r>
      <w:r>
        <w:t>, analýza alternativ a přijaté řešení pro dosažení maximálního možného instalovaného výkonu.“</w:t>
      </w:r>
    </w:p>
    <w:p w14:paraId="2F009607" w14:textId="478B8572" w:rsidR="005074AB" w:rsidRPr="003934E5" w:rsidRDefault="005074AB" w:rsidP="009064BC">
      <w:pPr>
        <w:pStyle w:val="ListParagraph"/>
        <w:numPr>
          <w:ilvl w:val="0"/>
          <w:numId w:val="13"/>
        </w:numPr>
        <w:ind w:left="709" w:hanging="283"/>
        <w:jc w:val="both"/>
        <w:rPr>
          <w:rFonts w:cstheme="minorHAnsi"/>
        </w:rPr>
      </w:pPr>
      <w:r>
        <w:t>V příloze A „Terminologie“ se provádějí tyto změny:</w:t>
      </w:r>
    </w:p>
    <w:p w14:paraId="44885A1E" w14:textId="0F9B0783" w:rsidR="005074AB" w:rsidRPr="009064BC" w:rsidRDefault="005074AB" w:rsidP="005074AB">
      <w:pPr>
        <w:ind w:left="709" w:hanging="142"/>
        <w:jc w:val="both"/>
        <w:rPr>
          <w:rFonts w:cstheme="minorHAnsi"/>
        </w:rPr>
      </w:pPr>
      <w:r>
        <w:t>— V definici pojmu „solární regulace (q</w:t>
      </w:r>
      <w:r>
        <w:rPr>
          <w:vertAlign w:val="subscript"/>
        </w:rPr>
        <w:t>sol;jul</w:t>
      </w:r>
      <w:r>
        <w:t>)“ se tečka na konci definice složky vzorce „H</w:t>
      </w:r>
      <w:r>
        <w:rPr>
          <w:vertAlign w:val="subscript"/>
        </w:rPr>
        <w:t>sol;jul</w:t>
      </w:r>
      <w:r>
        <w:t>" nahrazuje středníkem a doplňuje se definice další složky vzorce takto:</w:t>
      </w:r>
    </w:p>
    <w:p w14:paraId="3DF606FE" w14:textId="65F10CC5" w:rsidR="005074AB" w:rsidRPr="009064BC" w:rsidRDefault="005074AB" w:rsidP="00A5780E">
      <w:pPr>
        <w:ind w:left="709"/>
        <w:jc w:val="both"/>
        <w:rPr>
          <w:rFonts w:cstheme="minorHAnsi"/>
        </w:rPr>
      </w:pPr>
      <w:r>
        <w:t>„A</w:t>
      </w:r>
      <w:r>
        <w:rPr>
          <w:vertAlign w:val="subscript"/>
        </w:rPr>
        <w:t>util</w:t>
      </w:r>
      <w:r>
        <w:t>oblast považovaná za vyhovující sekci 4.6 HE 0.“</w:t>
      </w:r>
    </w:p>
    <w:p w14:paraId="22770CCD" w14:textId="56BB680A" w:rsidR="005074AB" w:rsidRPr="009064BC" w:rsidRDefault="005074AB" w:rsidP="005074AB">
      <w:pPr>
        <w:ind w:left="709" w:hanging="142"/>
        <w:jc w:val="both"/>
        <w:rPr>
          <w:rFonts w:cstheme="minorHAnsi"/>
        </w:rPr>
      </w:pPr>
      <w:r>
        <w:t>— V definici pojmu „konečná energie“ se slova „Je to, co kupují spotřebitelé ve formě elektřiny, pohonných hmot nebo jiných paliv používaných přímo" nahrazují slovy „To, co je dodáváno do systémů budov za účelem poskytování služeb. Tyto dodávky jsou obvykle poskytovány prostřednictvím paliv, výrobou na místě nebo zvláštními sítěmi (elektřina, plyn, vytápění nebo chlazení atd.)“.</w:t>
      </w:r>
    </w:p>
    <w:p w14:paraId="4C32D5BC" w14:textId="77777777" w:rsidR="005074AB" w:rsidRPr="009064BC" w:rsidRDefault="005074AB" w:rsidP="005074AB">
      <w:pPr>
        <w:ind w:left="709" w:hanging="142"/>
        <w:jc w:val="both"/>
        <w:rPr>
          <w:rFonts w:cstheme="minorHAnsi"/>
        </w:rPr>
      </w:pPr>
      <w:r>
        <w:t>— V definici pojmu „Tepelná propustnost (U)“ se na konec definice doplňuje nová věta, která zní:</w:t>
      </w:r>
    </w:p>
    <w:p w14:paraId="553E6F27" w14:textId="77777777" w:rsidR="005074AB" w:rsidRPr="009064BC" w:rsidRDefault="005074AB" w:rsidP="00A5780E">
      <w:pPr>
        <w:ind w:left="709"/>
        <w:jc w:val="both"/>
        <w:rPr>
          <w:rFonts w:cstheme="minorHAnsi"/>
        </w:rPr>
      </w:pPr>
      <w:r>
        <w:t>„Vyjádřeno v W/m</w:t>
      </w:r>
      <w:r>
        <w:rPr>
          <w:vertAlign w:val="superscript"/>
        </w:rPr>
        <w:t>2</w:t>
      </w:r>
      <w:r>
        <w:t>K.“</w:t>
      </w:r>
    </w:p>
    <w:p w14:paraId="573B0D8C" w14:textId="4E8B3B75" w:rsidR="005074AB" w:rsidRPr="009064BC" w:rsidRDefault="005074AB" w:rsidP="009064BC">
      <w:pPr>
        <w:pStyle w:val="ListParagraph"/>
        <w:numPr>
          <w:ilvl w:val="0"/>
          <w:numId w:val="13"/>
        </w:numPr>
        <w:ind w:left="709" w:hanging="283"/>
        <w:jc w:val="both"/>
        <w:rPr>
          <w:rFonts w:cstheme="minorHAnsi"/>
        </w:rPr>
      </w:pPr>
      <w:r>
        <w:lastRenderedPageBreak/>
        <w:t>Do přílohy A „Terminologie“ se zařazují tyto pojmy:</w:t>
      </w:r>
    </w:p>
    <w:p w14:paraId="0F83A0A9" w14:textId="31436021" w:rsidR="005074AB" w:rsidRPr="003934E5" w:rsidRDefault="005074AB" w:rsidP="00CC005A">
      <w:pPr>
        <w:spacing w:before="200" w:after="120" w:line="240" w:lineRule="auto"/>
        <w:ind w:left="709"/>
        <w:jc w:val="both"/>
        <w:rPr>
          <w:rFonts w:eastAsia="Arial" w:cstheme="minorHAnsi"/>
          <w:kern w:val="2"/>
          <w:szCs w:val="24"/>
        </w:rPr>
      </w:pPr>
      <w:r>
        <w:t>„</w:t>
      </w:r>
      <w:r>
        <w:rPr>
          <w:b/>
          <w:i/>
        </w:rPr>
        <w:t>Pomocné vybavení</w:t>
      </w:r>
      <w:r>
        <w:t>: elektrické nebo elektronické zařízení spojené s osvětlením, odlišné pro každý typ</w:t>
      </w:r>
      <w:r>
        <w:rPr>
          <w:i/>
        </w:rPr>
        <w:t xml:space="preserve"> osvětlení</w:t>
      </w:r>
      <w:r>
        <w:t>, jehož funkcí je zapnutí světla a řízení provozních podmínek. Toto pomocné zařízení, pokud není elektronické, je tvořeno kombinací startéru, předřadníku a kondenzátoru.</w:t>
      </w:r>
    </w:p>
    <w:p w14:paraId="47B71CFB" w14:textId="447664D0" w:rsidR="005074AB" w:rsidRPr="00431D05" w:rsidRDefault="00547307" w:rsidP="00CC005A">
      <w:pPr>
        <w:spacing w:before="200" w:after="100" w:line="240" w:lineRule="auto"/>
        <w:ind w:left="709"/>
        <w:jc w:val="both"/>
        <w:rPr>
          <w:rFonts w:eastAsia="Arial" w:cstheme="minorHAnsi"/>
          <w:bCs/>
          <w:iCs/>
          <w:kern w:val="2"/>
        </w:rPr>
      </w:pPr>
      <w:r>
        <w:t>„</w:t>
      </w:r>
      <w:r>
        <w:rPr>
          <w:b/>
          <w:i/>
        </w:rPr>
        <w:t>Dobíjecí stanice</w:t>
      </w:r>
      <w:r>
        <w:t xml:space="preserve">: sada prvků potřebných pro připojení </w:t>
      </w:r>
      <w:r>
        <w:rPr>
          <w:i/>
        </w:rPr>
        <w:t>elektrického vozidla</w:t>
      </w:r>
      <w:r>
        <w:t xml:space="preserve"> k pevné elektrické instalaci potřebné pro dobíjení. </w:t>
      </w:r>
      <w:r>
        <w:rPr>
          <w:i/>
        </w:rPr>
        <w:t>Dobíjecí stanice</w:t>
      </w:r>
      <w:r>
        <w:t xml:space="preserve"> jsou klasifikovány jako:</w:t>
      </w:r>
    </w:p>
    <w:p w14:paraId="56DF9BC1" w14:textId="77777777" w:rsidR="005074AB" w:rsidRPr="00431D05" w:rsidRDefault="005074AB" w:rsidP="005074AB">
      <w:pPr>
        <w:spacing w:before="200" w:after="100" w:line="240" w:lineRule="auto"/>
        <w:ind w:left="1418" w:hanging="284"/>
        <w:jc w:val="both"/>
        <w:rPr>
          <w:rFonts w:eastAsia="Arial" w:cstheme="minorHAnsi"/>
          <w:bCs/>
          <w:iCs/>
          <w:kern w:val="2"/>
        </w:rPr>
      </w:pPr>
      <w:r>
        <w:t>1.</w:t>
      </w:r>
      <w:r>
        <w:tab/>
        <w:t xml:space="preserve">Jedna dobíjecí stanice zahrnující nezbytné ochranné prvky, jednu nebo více zásuvek, které nejsou specifické pro </w:t>
      </w:r>
      <w:r>
        <w:rPr>
          <w:i/>
          <w:iCs/>
        </w:rPr>
        <w:t>elektrické vozidlo</w:t>
      </w:r>
      <w:r>
        <w:t xml:space="preserve"> a případně kryt.</w:t>
      </w:r>
    </w:p>
    <w:p w14:paraId="5B671B65" w14:textId="3FFFFEF0" w:rsidR="005074AB" w:rsidRPr="00431D05" w:rsidRDefault="005074AB" w:rsidP="005074AB">
      <w:pPr>
        <w:spacing w:before="200" w:after="100" w:line="240" w:lineRule="auto"/>
        <w:ind w:left="1418" w:hanging="284"/>
        <w:jc w:val="both"/>
        <w:rPr>
          <w:rFonts w:eastAsia="Arial" w:cstheme="minorHAnsi"/>
          <w:b/>
          <w:bCs/>
          <w:i/>
          <w:iCs/>
          <w:kern w:val="2"/>
        </w:rPr>
      </w:pPr>
      <w:r>
        <w:t>2.</w:t>
      </w:r>
      <w:r>
        <w:tab/>
        <w:t xml:space="preserve">Typ dobíjecí stanice SAVE </w:t>
      </w:r>
      <w:r>
        <w:rPr>
          <w:i/>
        </w:rPr>
        <w:t>(Systém napájení specifický pro elektrické vozidlo)</w:t>
      </w:r>
      <w:r>
        <w:t>.“</w:t>
      </w:r>
    </w:p>
    <w:p w14:paraId="1D92DB31" w14:textId="44506109" w:rsidR="005074AB" w:rsidRPr="003934E5" w:rsidRDefault="00547307" w:rsidP="00CC005A">
      <w:pPr>
        <w:spacing w:before="200" w:after="100" w:line="240" w:lineRule="auto"/>
        <w:ind w:left="709"/>
        <w:jc w:val="both"/>
        <w:rPr>
          <w:rFonts w:eastAsia="Arial" w:cstheme="minorHAnsi"/>
          <w:kern w:val="2"/>
        </w:rPr>
      </w:pPr>
      <w:r>
        <w:t>„</w:t>
      </w:r>
      <w:r>
        <w:rPr>
          <w:b/>
          <w:i/>
        </w:rPr>
        <w:t>Infrastruktura pro nabíjení elektrických vozidel:</w:t>
      </w:r>
      <w:r>
        <w:t xml:space="preserve"> sada fyzických a logistických zařízení určených k dobíjení </w:t>
      </w:r>
      <w:r>
        <w:rPr>
          <w:i/>
        </w:rPr>
        <w:t>elektrických vozidel</w:t>
      </w:r>
      <w:r>
        <w:t xml:space="preserve"> splňujících požadavky na bezpečnost a dostupnost stanovené pro každý případ elektrotechnickým předpisem pro nízkonapěťové elektrotechnické systémy, které jsou schopné poskytovat plnou a komplexní dobíjecí službu. Zahrnuje </w:t>
      </w:r>
      <w:r>
        <w:rPr>
          <w:i/>
        </w:rPr>
        <w:t>dobíjecí stanice</w:t>
      </w:r>
      <w:r>
        <w:t>, řídicí systém, elektrické rozvody, elektrické ovládací a ochranné panely a měřicí zařízení, pokud jsou určeny výhradně pro dobíjení elektrických vozidel.“</w:t>
      </w:r>
    </w:p>
    <w:p w14:paraId="5C699291" w14:textId="5BE34863" w:rsidR="005074AB" w:rsidRPr="003934E5" w:rsidRDefault="00547307" w:rsidP="00547307">
      <w:pPr>
        <w:spacing w:before="200" w:after="100" w:line="240" w:lineRule="auto"/>
        <w:ind w:left="709"/>
        <w:jc w:val="both"/>
        <w:rPr>
          <w:rFonts w:eastAsia="Arial" w:cstheme="minorHAnsi"/>
          <w:kern w:val="2"/>
        </w:rPr>
      </w:pPr>
      <w:r>
        <w:t>„</w:t>
      </w:r>
      <w:r>
        <w:rPr>
          <w:b/>
          <w:i/>
        </w:rPr>
        <w:t>Systém napájení specifický pro elektrické vozidlo (SAVE)</w:t>
      </w:r>
      <w:r>
        <w:t xml:space="preserve">: soubor zařízení sestavených pro dodávky elektrické energie pro dobíjení </w:t>
      </w:r>
      <w:r>
        <w:rPr>
          <w:i/>
          <w:iCs/>
        </w:rPr>
        <w:t>elektrického vozidla</w:t>
      </w:r>
      <w:r>
        <w:t xml:space="preserve"> včetně ochrany dobíjecí stanice, propojovacího kabelu (s fázovým, neutrálním a ochranným vodičem), základny nebo konektoru zásuvky a případně převodníku střídavého/stejnosměrného proudu. Tento systém musí případně umožňovat komunikaci mezi </w:t>
      </w:r>
      <w:r>
        <w:rPr>
          <w:i/>
        </w:rPr>
        <w:t>elektrickým vozidlem</w:t>
      </w:r>
      <w:r>
        <w:t xml:space="preserve"> a stacionárním zařízením.“</w:t>
      </w:r>
    </w:p>
    <w:p w14:paraId="5928BE95" w14:textId="4E74D790" w:rsidR="005074AB" w:rsidRPr="003934E5" w:rsidRDefault="00547307" w:rsidP="00CC005A">
      <w:pPr>
        <w:spacing w:before="200" w:after="100" w:line="240" w:lineRule="auto"/>
        <w:ind w:left="709"/>
        <w:jc w:val="both"/>
        <w:rPr>
          <w:rFonts w:eastAsia="Arial" w:cstheme="minorHAnsi"/>
          <w:strike/>
          <w:kern w:val="2"/>
        </w:rPr>
      </w:pPr>
      <w:r>
        <w:t>„</w:t>
      </w:r>
      <w:r>
        <w:rPr>
          <w:b/>
          <w:i/>
        </w:rPr>
        <w:t>Soukromé bydlení</w:t>
      </w:r>
      <w:r>
        <w:t>: Budova nebo plocha určená k trvalému bydlení, bez ohledu na typ budovy: samostatný dům, bytový dům atd., jak pro veřejný, tak pro soukromý rozvoj.“</w:t>
      </w:r>
    </w:p>
    <w:p w14:paraId="0B244847" w14:textId="4B38DAFA" w:rsidR="005074AB" w:rsidRDefault="00547307" w:rsidP="00CC005A">
      <w:pPr>
        <w:spacing w:before="200" w:after="100" w:line="240" w:lineRule="auto"/>
        <w:ind w:left="709"/>
        <w:jc w:val="both"/>
        <w:rPr>
          <w:rFonts w:eastAsia="Arial" w:cstheme="minorHAnsi"/>
          <w:kern w:val="2"/>
          <w:szCs w:val="24"/>
        </w:rPr>
      </w:pPr>
      <w:r>
        <w:t>„</w:t>
      </w:r>
      <w:r>
        <w:rPr>
          <w:b/>
          <w:i/>
        </w:rPr>
        <w:t>Elektrické vozidlo</w:t>
      </w:r>
      <w:r>
        <w:t>: motorové vozidlo vybavené pohonným ústrojím s alespoň jedním neperiferním elektrickým mechanismem pracujícím jako měnič energie a vybaveném dobíjecím systémem pro uchovávání elektrické energie, který lze dobíjet z vnějšku.“</w:t>
      </w:r>
    </w:p>
    <w:p w14:paraId="5F3597CA" w14:textId="51707A46" w:rsidR="0026457E" w:rsidRPr="0026457E" w:rsidRDefault="0026457E" w:rsidP="0026457E">
      <w:pPr>
        <w:pStyle w:val="ListParagraph"/>
        <w:numPr>
          <w:ilvl w:val="0"/>
          <w:numId w:val="13"/>
        </w:numPr>
        <w:spacing w:before="200" w:after="100" w:line="240" w:lineRule="auto"/>
        <w:ind w:left="641" w:hanging="357"/>
        <w:contextualSpacing w:val="0"/>
        <w:jc w:val="both"/>
        <w:rPr>
          <w:rFonts w:eastAsia="Arial" w:cstheme="minorHAnsi"/>
          <w:kern w:val="2"/>
          <w:szCs w:val="24"/>
        </w:rPr>
      </w:pPr>
      <w:r>
        <w:t>V příloze D pododstavci 4 se slova „uznaný dokument“ nahrazují slovy „uznaný dokument pro energetickou certifikaci budov“.</w:t>
      </w:r>
    </w:p>
    <w:p w14:paraId="5FD4478D" w14:textId="2E4A3E9F" w:rsidR="00033600" w:rsidRPr="00033600" w:rsidRDefault="00033600" w:rsidP="0026457E">
      <w:pPr>
        <w:pStyle w:val="ListParagraph"/>
        <w:numPr>
          <w:ilvl w:val="0"/>
          <w:numId w:val="13"/>
        </w:numPr>
        <w:spacing w:before="200" w:after="100" w:line="240" w:lineRule="auto"/>
        <w:ind w:left="641" w:hanging="357"/>
        <w:contextualSpacing w:val="0"/>
        <w:jc w:val="both"/>
        <w:rPr>
          <w:rFonts w:eastAsia="Arial" w:cstheme="minorHAnsi"/>
          <w:kern w:val="2"/>
        </w:rPr>
      </w:pPr>
      <w:r>
        <w:t>V příloze H Stanovení vzduchové propustnosti budovy, po názvu sekce, se slova „Stanovení vzduchové propustnosti budovy musí být provedeno jednou z následujících metod." a v oddíle 1 Stanovení pomocí zkoušky se slova „Hodnotu poměru výměny vzduchu při 50 Pa, n50 lze získat zkouškou pomocí metody B normy UNE-EN 13829:2002 Stanovení průvzdušnosti budov. Tlaková metoda." nahrazují slovy: „Hodnota poměru výměny vzduchu při 50 Pa, n50 pomocí zkoušky se získá metodou 1 nebo 2 normy UNE-EN ISO 9972: 2019 Tepelné chování budov. Stanovení průvzdušnosti budov. Tlaková metoda.“.</w:t>
      </w:r>
    </w:p>
    <w:p w14:paraId="153946FB" w14:textId="274D0F0F" w:rsidR="001E0B70" w:rsidRPr="003934E5" w:rsidRDefault="001E0B70" w:rsidP="005074AB">
      <w:pPr>
        <w:ind w:left="13"/>
        <w:jc w:val="both"/>
        <w:rPr>
          <w:rFonts w:cstheme="minorHAnsi"/>
        </w:rPr>
      </w:pPr>
      <w:r>
        <w:t>Zatřetí.</w:t>
      </w:r>
      <w:r>
        <w:rPr>
          <w:b/>
        </w:rPr>
        <w:t xml:space="preserve"> </w:t>
      </w:r>
      <w:r>
        <w:t xml:space="preserve">V základním dokumentu DB-SUA „Bezpečnost při používání a přístupnost“ obsaženého v části II technického stavebního řádu se provádějí tyto změny: </w:t>
      </w:r>
    </w:p>
    <w:p w14:paraId="05134A28" w14:textId="08B7B404" w:rsidR="00A5780E" w:rsidRDefault="001E0B70" w:rsidP="00D722CA">
      <w:pPr>
        <w:ind w:left="13"/>
        <w:jc w:val="both"/>
        <w:rPr>
          <w:rFonts w:cstheme="minorHAnsi"/>
        </w:rPr>
      </w:pPr>
      <w:r>
        <w:lastRenderedPageBreak/>
        <w:t>V sekci SUA 9 „Přístupnost“ v příloze A „Terminologie“ definice „přístupného parkovacího místa“ nyní zahrnuje pomlčku s textem:</w:t>
      </w:r>
    </w:p>
    <w:p w14:paraId="791B9B63" w14:textId="2AEB4586" w:rsidR="00D722CA" w:rsidRPr="009064BC" w:rsidRDefault="0078611E" w:rsidP="0078611E">
      <w:pPr>
        <w:ind w:left="709"/>
        <w:jc w:val="both"/>
        <w:rPr>
          <w:rFonts w:cstheme="minorHAnsi"/>
        </w:rPr>
      </w:pPr>
      <w:r>
        <w:t>„– V případě, že je přístupné parkovací místo vybaveno dobíjecí stanicí pro elektrická vozidla, zahrnuje přístupná trasa i tuto dobíjecí stanici. Elektrické zásuvky a konektory těchto dobíjecích stanic musí být v barevném kontrastu s prostředím, musí být umístěny ve výšce od 80 do 120 cm a vzdálenost od rohů musí být nejméně 35 cm.“</w:t>
      </w:r>
    </w:p>
    <w:p w14:paraId="09F57FB9" w14:textId="78225EA3" w:rsidR="005074AB" w:rsidRPr="009064BC" w:rsidRDefault="00DF5914" w:rsidP="005074AB">
      <w:pPr>
        <w:ind w:left="13"/>
        <w:jc w:val="both"/>
        <w:rPr>
          <w:rFonts w:cstheme="minorHAnsi"/>
        </w:rPr>
      </w:pPr>
      <w:r>
        <w:t>Začtvrté. V základním dokumentu DB-HS „Hygienická zařízení“, který je součástí části II technického stavebního řádu, se provádí tato změna:</w:t>
      </w:r>
    </w:p>
    <w:p w14:paraId="6B818CBA" w14:textId="77777777" w:rsidR="002E7342" w:rsidRDefault="005074AB" w:rsidP="002E7342">
      <w:pPr>
        <w:pStyle w:val="ListParagraph"/>
        <w:numPr>
          <w:ilvl w:val="0"/>
          <w:numId w:val="22"/>
        </w:numPr>
        <w:jc w:val="both"/>
        <w:rPr>
          <w:rFonts w:cstheme="minorHAnsi"/>
        </w:rPr>
      </w:pPr>
      <w:r>
        <w:t>V sekci HS 4 „Dodávka vody“ se v bodu 2 oddílu 3.2.2.1 věta „minimální podíl solární energie na výrobě užitkové teplé vody“ nahrazuje větou „minimální podíl energie z obnovitelných zdrojů k pokrytí poptávky po užitkové teplé vodě“.</w:t>
      </w:r>
    </w:p>
    <w:p w14:paraId="49ACE665" w14:textId="4B95E48B" w:rsidR="005074AB" w:rsidRPr="003934E5" w:rsidRDefault="002F25C7" w:rsidP="009064BC">
      <w:pPr>
        <w:jc w:val="both"/>
        <w:rPr>
          <w:rFonts w:eastAsia="Arial" w:cstheme="minorHAnsi"/>
          <w:kern w:val="2"/>
        </w:rPr>
      </w:pPr>
      <w:r>
        <w:t>Zapáté. Provádějí se následující opravy tiskových a jiných chyb zjištěných v základním dokumentu DB-HE „Energetické úspory“ obsaženém v části II technického stavebního řádu:</w:t>
      </w:r>
    </w:p>
    <w:p w14:paraId="67BFDFA6" w14:textId="6609A07E" w:rsidR="00D612CE" w:rsidRPr="007F1589" w:rsidRDefault="002A5A94" w:rsidP="00D612CE">
      <w:pPr>
        <w:numPr>
          <w:ilvl w:val="0"/>
          <w:numId w:val="15"/>
        </w:numPr>
        <w:spacing w:before="200" w:after="100" w:line="240" w:lineRule="auto"/>
        <w:jc w:val="both"/>
        <w:rPr>
          <w:rFonts w:eastAsia="Arial" w:cstheme="minorHAnsi"/>
          <w:kern w:val="2"/>
        </w:rPr>
      </w:pPr>
      <w:r>
        <w:t>V sekci HE 0 oddílu 1 Oblast působnosti se v pododstavci 1 slova: „...pokud celková rozšířená užitná plocha přesahuje 50 m</w:t>
      </w:r>
      <w:r>
        <w:rPr>
          <w:vertAlign w:val="superscript"/>
        </w:rPr>
        <w:t>2</w:t>
      </w:r>
      <w:r>
        <w:t>;“, nahrazují slovy „...pokud rozšířená užitná plocha přesahuje 50 m</w:t>
      </w:r>
      <w:r>
        <w:rPr>
          <w:vertAlign w:val="superscript"/>
        </w:rPr>
        <w:t>2</w:t>
      </w:r>
      <w:r>
        <w:t>;“.</w:t>
      </w:r>
    </w:p>
    <w:p w14:paraId="1C45277B" w14:textId="4D7F13E0" w:rsidR="007F1589" w:rsidRDefault="00033444" w:rsidP="00D612CE">
      <w:pPr>
        <w:numPr>
          <w:ilvl w:val="0"/>
          <w:numId w:val="15"/>
        </w:numPr>
        <w:spacing w:before="200" w:after="100" w:line="240" w:lineRule="auto"/>
        <w:jc w:val="both"/>
        <w:rPr>
          <w:rFonts w:eastAsia="Arial" w:cstheme="minorHAnsi"/>
          <w:kern w:val="2"/>
        </w:rPr>
      </w:pPr>
      <w:r>
        <w:t>V sekci HE 0 oddílu 3 Kvantifikace požadavku oddílu 3.1 Spotřeba primární energie z neobnovitelných zdrojů pododstavci 2 se text: „... C</w:t>
      </w:r>
      <w:r>
        <w:rPr>
          <w:vertAlign w:val="subscript"/>
        </w:rPr>
        <w:t>ep’nren,lim</w:t>
      </w:r>
      <w:r>
        <w:t>...“ nahrazuje tímto „... C</w:t>
      </w:r>
      <w:r>
        <w:rPr>
          <w:vertAlign w:val="subscript"/>
        </w:rPr>
        <w:t>ep,nren,lim</w:t>
      </w:r>
      <w:r>
        <w:t>...“.</w:t>
      </w:r>
    </w:p>
    <w:p w14:paraId="154CDFEF" w14:textId="5322C794" w:rsidR="00E87B89" w:rsidRPr="00C40409" w:rsidRDefault="00E87B89" w:rsidP="00E87B89">
      <w:pPr>
        <w:numPr>
          <w:ilvl w:val="0"/>
          <w:numId w:val="15"/>
        </w:numPr>
        <w:spacing w:before="200" w:after="100" w:line="240" w:lineRule="auto"/>
        <w:jc w:val="both"/>
        <w:rPr>
          <w:rFonts w:eastAsia="Arial" w:cstheme="minorHAnsi"/>
          <w:kern w:val="2"/>
        </w:rPr>
      </w:pPr>
      <w:r>
        <w:t>V sekci HE 0 oddíl 3 Kvantifikace požadavku oddílu 3.2 Celková spotřeba primární energie pododstavci 1 se text: “... C</w:t>
      </w:r>
      <w:r>
        <w:rPr>
          <w:vertAlign w:val="subscript"/>
        </w:rPr>
        <w:t>ep’tot</w:t>
      </w:r>
      <w:r>
        <w:t>..." nahrazuje tímto: „... C</w:t>
      </w:r>
      <w:r>
        <w:rPr>
          <w:vertAlign w:val="subscript"/>
        </w:rPr>
        <w:t>ep,tot</w:t>
      </w:r>
      <w:r>
        <w:t>...“.</w:t>
      </w:r>
    </w:p>
    <w:p w14:paraId="090F812B" w14:textId="4B3E0C74" w:rsidR="005074AB" w:rsidRPr="00E87B89" w:rsidRDefault="00033444" w:rsidP="005074AB">
      <w:pPr>
        <w:numPr>
          <w:ilvl w:val="0"/>
          <w:numId w:val="15"/>
        </w:numPr>
        <w:spacing w:before="200" w:after="100" w:line="240" w:lineRule="auto"/>
        <w:jc w:val="both"/>
        <w:rPr>
          <w:rFonts w:eastAsia="Arial" w:cstheme="minorHAnsi"/>
          <w:kern w:val="2"/>
        </w:rPr>
      </w:pPr>
      <w:r>
        <w:t>V sekci HE 0 oddílu 3 Kvantifikace požadavku oddílu 3.2 Celková spotřeba primární energie pododstavci 2 se text: „... C</w:t>
      </w:r>
      <w:r>
        <w:rPr>
          <w:vertAlign w:val="subscript"/>
        </w:rPr>
        <w:t>ep,tot</w:t>
      </w:r>
      <w:r>
        <w:t>..." nahrazuje tímto: „... C</w:t>
      </w:r>
      <w:r>
        <w:rPr>
          <w:vertAlign w:val="subscript"/>
        </w:rPr>
        <w:t>ep,tot</w:t>
      </w:r>
      <w:r>
        <w:t>...“.</w:t>
      </w:r>
    </w:p>
    <w:p w14:paraId="3E0C5510" w14:textId="77777777" w:rsidR="00E87B89" w:rsidRPr="00E87B89" w:rsidRDefault="00E87B89" w:rsidP="00E87B89">
      <w:pPr>
        <w:numPr>
          <w:ilvl w:val="0"/>
          <w:numId w:val="15"/>
        </w:numPr>
        <w:spacing w:before="200" w:after="100" w:line="240" w:lineRule="auto"/>
        <w:jc w:val="both"/>
        <w:rPr>
          <w:rFonts w:eastAsia="Arial" w:cstheme="minorHAnsi"/>
          <w:kern w:val="2"/>
        </w:rPr>
      </w:pPr>
      <w:r>
        <w:t>V sekci HE 0 v tabulkách 3.1.a-HE0 a 3.2.a-HE0 se slova „</w:t>
      </w:r>
      <w:r>
        <w:rPr>
          <w:i/>
        </w:rPr>
        <w:t>soukromé bydlení</w:t>
      </w:r>
      <w:r>
        <w:t>“ uvádějí kurzívou. V oddílu 3.1 Spotřeba primární energie z neobnovitelných zdrojů, oddíl 2, a oddílu 3.2 Celková spotřeba primární energie, oddíl 2, se slova „</w:t>
      </w:r>
      <w:r>
        <w:rPr>
          <w:i/>
        </w:rPr>
        <w:t>soukromé bydlení</w:t>
      </w:r>
      <w:r>
        <w:t>“ uvádějí kurzívou.</w:t>
      </w:r>
    </w:p>
    <w:p w14:paraId="7A281569" w14:textId="77777777" w:rsidR="00E87B89" w:rsidRPr="00E87B89" w:rsidRDefault="00E87B89" w:rsidP="00E87B89">
      <w:pPr>
        <w:numPr>
          <w:ilvl w:val="0"/>
          <w:numId w:val="15"/>
        </w:numPr>
        <w:spacing w:before="200" w:after="100" w:line="240" w:lineRule="auto"/>
        <w:jc w:val="both"/>
        <w:rPr>
          <w:rFonts w:eastAsia="Arial" w:cstheme="minorHAnsi"/>
          <w:kern w:val="2"/>
        </w:rPr>
      </w:pPr>
      <w:r>
        <w:t>V sekci HE 0 oddílu 4.3 Vnitřní požadavky a provozní podmínky oddílu 2 se slova „</w:t>
      </w:r>
      <w:r>
        <w:rPr>
          <w:i/>
        </w:rPr>
        <w:t>soukromé bydlení</w:t>
      </w:r>
      <w:r>
        <w:t>“ uvádějí kurzívou.</w:t>
      </w:r>
    </w:p>
    <w:p w14:paraId="26708F84" w14:textId="52569E21" w:rsidR="00E87B89" w:rsidRPr="00E87B89" w:rsidRDefault="00E87B89" w:rsidP="00E87B89">
      <w:pPr>
        <w:numPr>
          <w:ilvl w:val="0"/>
          <w:numId w:val="15"/>
        </w:numPr>
        <w:spacing w:before="200" w:after="100" w:line="240" w:lineRule="auto"/>
        <w:jc w:val="both"/>
        <w:rPr>
          <w:rFonts w:eastAsia="Arial" w:cstheme="minorHAnsi"/>
          <w:kern w:val="2"/>
        </w:rPr>
      </w:pPr>
      <w:r>
        <w:t>V sekci HE 0 oddílu 4.5 Referenční systémy pro soukromé bydlení se slova „</w:t>
      </w:r>
      <w:r>
        <w:rPr>
          <w:i/>
        </w:rPr>
        <w:t>soukromé bydlení</w:t>
      </w:r>
      <w:r>
        <w:t>“ jak v názvu, tak v pododstavci 1 uvádějí kurzívou.</w:t>
      </w:r>
    </w:p>
    <w:p w14:paraId="1F72D64C" w14:textId="6874C4DE" w:rsidR="00C40409" w:rsidRDefault="00C40409" w:rsidP="00A06D23">
      <w:pPr>
        <w:pStyle w:val="ListParagraph"/>
        <w:numPr>
          <w:ilvl w:val="0"/>
          <w:numId w:val="15"/>
        </w:numPr>
        <w:contextualSpacing w:val="0"/>
        <w:jc w:val="both"/>
        <w:rPr>
          <w:rFonts w:eastAsia="Arial" w:cstheme="minorHAnsi"/>
          <w:kern w:val="2"/>
        </w:rPr>
      </w:pPr>
      <w:r>
        <w:t>V sekci HE 1 oddílu 3 Kvantifikace požadavku oddílu 3.11. Tepelná propustnost pláště, se slovo „kompaktnost“ v tabulce 3.1.1.b-HE1 a v tabulce 3.1.1.c-HE1 uvádí kurzívou.</w:t>
      </w:r>
    </w:p>
    <w:p w14:paraId="25EC06BF" w14:textId="5171D538" w:rsidR="00861802" w:rsidRDefault="009A285F" w:rsidP="00861802">
      <w:pPr>
        <w:pStyle w:val="ListParagraph"/>
        <w:numPr>
          <w:ilvl w:val="0"/>
          <w:numId w:val="15"/>
        </w:numPr>
        <w:contextualSpacing w:val="0"/>
        <w:jc w:val="both"/>
        <w:rPr>
          <w:rFonts w:eastAsia="Arial" w:cstheme="minorHAnsi"/>
          <w:kern w:val="2"/>
        </w:rPr>
      </w:pPr>
      <w:r>
        <w:t>V sekci HE 1 oddílu 3 Kvantifikace požadavku oddílu 3.11. Tepelná propustnost pláště, se slovo „kompaktnosti“ v poznámkách pod čarou tabulky 3.1.1.b-HE1 a tabulky 3.1.1.c-HE1 a slovo „kompaktnost“ v poznámkách pod čarou tabulky 3.1.1.c-HE1 uvádí kurzívou.</w:t>
      </w:r>
    </w:p>
    <w:p w14:paraId="170DB451" w14:textId="250D994A" w:rsidR="00AB7DDB" w:rsidRDefault="00AB7DDB" w:rsidP="00861802">
      <w:pPr>
        <w:pStyle w:val="ListParagraph"/>
        <w:numPr>
          <w:ilvl w:val="0"/>
          <w:numId w:val="15"/>
        </w:numPr>
        <w:contextualSpacing w:val="0"/>
        <w:jc w:val="both"/>
        <w:rPr>
          <w:rFonts w:eastAsia="Arial" w:cstheme="minorHAnsi"/>
          <w:kern w:val="2"/>
        </w:rPr>
      </w:pPr>
      <w:r>
        <w:t>V sekci HE 1 oddílu 3 Kvantifikace požadavku, oddíl 3.1.1. Tepelná propustnost pláště oddílu 3 se slova „</w:t>
      </w:r>
      <w:r>
        <w:rPr>
          <w:i/>
        </w:rPr>
        <w:t>soukromé bydlení</w:t>
      </w:r>
      <w:r>
        <w:t>“ uvádějí kurzívou jak v pododstavci 3, tak v tabulce 3.1.1.b-HE1.</w:t>
      </w:r>
    </w:p>
    <w:p w14:paraId="2D388CBC" w14:textId="0E99E67B" w:rsidR="00D3439E" w:rsidRPr="00D3439E" w:rsidRDefault="00D3439E" w:rsidP="00D3439E">
      <w:pPr>
        <w:pStyle w:val="ListParagraph"/>
        <w:numPr>
          <w:ilvl w:val="0"/>
          <w:numId w:val="15"/>
        </w:numPr>
        <w:contextualSpacing w:val="0"/>
        <w:jc w:val="both"/>
        <w:rPr>
          <w:rFonts w:eastAsia="Arial" w:cstheme="minorHAnsi"/>
          <w:kern w:val="2"/>
        </w:rPr>
      </w:pPr>
      <w:r>
        <w:lastRenderedPageBreak/>
        <w:t>V sekci HE 1 oddílu 3 Kvantifikace požadavku, oddíl 3.1.1. Tepelná propustnost pláště, se slova „tepelný plášť v tabulce 3.1.1.c-HE1 uvádějí kurzívou.</w:t>
      </w:r>
    </w:p>
    <w:p w14:paraId="73A3DBC7" w14:textId="3265FAE2" w:rsidR="00840E76" w:rsidRDefault="009A285F" w:rsidP="00C06D5A">
      <w:pPr>
        <w:pStyle w:val="ListParagraph"/>
        <w:numPr>
          <w:ilvl w:val="0"/>
          <w:numId w:val="15"/>
        </w:numPr>
        <w:ind w:left="714" w:hanging="357"/>
        <w:contextualSpacing w:val="0"/>
        <w:jc w:val="both"/>
        <w:rPr>
          <w:rFonts w:eastAsia="Arial" w:cstheme="minorHAnsi"/>
          <w:kern w:val="2"/>
        </w:rPr>
      </w:pPr>
      <w:r>
        <w:t>V sekci HE 1 oddílu 3 Kvantifikace požadavku oddílu 3.1.2 Solární regulace tepelného pláště v textu: „Tabulka 3.1.2-HE1 Limitní hodnota parametru solární regulace qsol;jul,lim [KWh/m</w:t>
      </w:r>
      <w:r>
        <w:rPr>
          <w:vertAlign w:val="superscript"/>
        </w:rPr>
        <w:t>2</w:t>
      </w:r>
      <w:r>
        <w:t>·mes]“ nahrazují slova v indexu slovy „sun;jul,lim“: „Tabulka 3.1.2-HE1 Mezní hodnota parametru regulace solární energie q</w:t>
      </w:r>
      <w:r>
        <w:rPr>
          <w:vertAlign w:val="subscript"/>
        </w:rPr>
        <w:t>sol;jul,lim</w:t>
      </w:r>
      <w:r>
        <w:t xml:space="preserve"> [KWh/m</w:t>
      </w:r>
      <w:r>
        <w:rPr>
          <w:vertAlign w:val="superscript"/>
        </w:rPr>
        <w:t>2</w:t>
      </w:r>
      <w:r>
        <w:t>·mes]“.</w:t>
      </w:r>
    </w:p>
    <w:p w14:paraId="0D568F6A" w14:textId="54EC4798" w:rsidR="00080851" w:rsidRDefault="00080851" w:rsidP="00080851">
      <w:pPr>
        <w:pStyle w:val="ListParagraph"/>
        <w:numPr>
          <w:ilvl w:val="0"/>
          <w:numId w:val="15"/>
        </w:numPr>
        <w:contextualSpacing w:val="0"/>
        <w:jc w:val="both"/>
        <w:rPr>
          <w:rFonts w:eastAsia="Arial" w:cstheme="minorHAnsi"/>
          <w:kern w:val="2"/>
        </w:rPr>
      </w:pPr>
      <w:r>
        <w:t>V sekci HE 1 oddílu 3 Kvantifikace požadavku oddílu 3.1.3 Vzduchová propustnost tepelného pláště se slova „tepelný plášť“ uvádějí kurzívou.</w:t>
      </w:r>
    </w:p>
    <w:p w14:paraId="6C69F09F" w14:textId="174D853F" w:rsidR="00C06D5A" w:rsidRDefault="003E1EAB" w:rsidP="003F6E54">
      <w:pPr>
        <w:pStyle w:val="ListParagraph"/>
        <w:numPr>
          <w:ilvl w:val="0"/>
          <w:numId w:val="15"/>
        </w:numPr>
        <w:contextualSpacing w:val="0"/>
        <w:jc w:val="both"/>
        <w:rPr>
          <w:rFonts w:eastAsia="Arial" w:cstheme="minorHAnsi"/>
          <w:kern w:val="2"/>
        </w:rPr>
      </w:pPr>
      <w:r>
        <w:t>V sekci HE 1 oddílu 3 Kvantifikace požadavku oddílu 3.1.3 Vzduchová propustnost tepelného pláště se slovo „kompaktnost“ v tabulce 3.1.3.b-HE1, slovo „kompaktnost“ v tabulce 3.1.3.b-HE1 a slova „soukromé bydlení“ v pododstavci 3 uvádějí kurzívou.</w:t>
      </w:r>
    </w:p>
    <w:p w14:paraId="6B53827F" w14:textId="3E4A46B4" w:rsidR="001C0414" w:rsidRPr="001C0414" w:rsidRDefault="003E1EAB" w:rsidP="003F6E54">
      <w:pPr>
        <w:pStyle w:val="ListParagraph"/>
        <w:numPr>
          <w:ilvl w:val="0"/>
          <w:numId w:val="15"/>
        </w:numPr>
        <w:contextualSpacing w:val="0"/>
        <w:jc w:val="both"/>
        <w:rPr>
          <w:rFonts w:eastAsia="Arial" w:cstheme="minorHAnsi"/>
          <w:kern w:val="2"/>
        </w:rPr>
      </w:pPr>
      <w:r>
        <w:t>V sekci HE 1 oddílu 4 Odůvodnění požadavku se slovo „kompaktnost“ v oddílu 4.1 písm. b) a slova „soukromé bydlení“ v oddílu 4.1 písm. g) uvádějí kurzívou.</w:t>
      </w:r>
    </w:p>
    <w:p w14:paraId="32DB053F" w14:textId="46389233" w:rsidR="005074AB" w:rsidRPr="003934E5" w:rsidRDefault="005074AB" w:rsidP="005074AB">
      <w:pPr>
        <w:numPr>
          <w:ilvl w:val="0"/>
          <w:numId w:val="15"/>
        </w:numPr>
        <w:spacing w:before="200" w:after="100" w:line="240" w:lineRule="auto"/>
        <w:jc w:val="both"/>
        <w:rPr>
          <w:rFonts w:eastAsia="Arial" w:cstheme="minorHAnsi"/>
          <w:kern w:val="2"/>
        </w:rPr>
      </w:pPr>
      <w:r>
        <w:t>V sekci HE 4 oddílu 3 Kvantifikace požadavku oddílu 3.1 Minimální podíl z obnovitelných zdrojů pro užitkovou teplou vodu a/nebo vytápění bazénů pododstavci 4 se slova: „...více než 2,5, pokud řízení zajišťuje elektřina a větší než 1,15, pokud řízení zajišťuje tepelná energie...“, nahrazují slovy „... rovná se 2,5 nebo více, pokud řízení zajišťuje elektřina, a rovná se 1,15 nebo více, pokud řízení zajišťuje tepelná energie...“.</w:t>
      </w:r>
    </w:p>
    <w:p w14:paraId="17650553" w14:textId="65DABA62" w:rsidR="005074AB" w:rsidRPr="003934E5" w:rsidRDefault="003E1EAB" w:rsidP="005074AB">
      <w:pPr>
        <w:numPr>
          <w:ilvl w:val="0"/>
          <w:numId w:val="15"/>
        </w:numPr>
        <w:spacing w:before="200" w:after="100" w:line="240" w:lineRule="auto"/>
        <w:jc w:val="both"/>
        <w:rPr>
          <w:rFonts w:eastAsia="Arial" w:cstheme="minorHAnsi"/>
          <w:kern w:val="2"/>
        </w:rPr>
      </w:pPr>
      <w:r>
        <w:t>V sekci HE 4 oddílu 3 Kvantifikace požadavku oddílu 3.1 Minimální podíl z obnovitelných zdrojů pro užitkovou teplou vodu a/nebo vytápění bazénů pododstavci 5 se slova: „... obytné budovy...“ nahrazují slovy „... budovy pro soukromé bydlení...“</w:t>
      </w:r>
    </w:p>
    <w:p w14:paraId="198A06EA" w14:textId="307304FC" w:rsidR="005074AB" w:rsidRPr="009064BC" w:rsidRDefault="003E1EAB" w:rsidP="00547307">
      <w:pPr>
        <w:numPr>
          <w:ilvl w:val="0"/>
          <w:numId w:val="15"/>
        </w:numPr>
        <w:ind w:left="714" w:hanging="357"/>
        <w:jc w:val="both"/>
        <w:rPr>
          <w:rFonts w:cstheme="minorHAnsi"/>
        </w:rPr>
      </w:pPr>
      <w:r>
        <w:t xml:space="preserve">V sekci HE 4 se před oddílem „5.1. „Provedení“ vkládají slova „5. Výstavba, údržba a udržování" jako název. </w:t>
      </w:r>
    </w:p>
    <w:p w14:paraId="5F37F69A" w14:textId="6CD803CA" w:rsidR="005074AB" w:rsidRPr="00840E76" w:rsidRDefault="005074AB" w:rsidP="00547307">
      <w:pPr>
        <w:numPr>
          <w:ilvl w:val="0"/>
          <w:numId w:val="15"/>
        </w:numPr>
        <w:spacing w:before="200" w:after="100" w:line="240" w:lineRule="auto"/>
        <w:ind w:left="714" w:hanging="357"/>
        <w:jc w:val="both"/>
        <w:rPr>
          <w:rFonts w:eastAsia="Arial" w:cstheme="minorHAnsi"/>
          <w:kern w:val="2"/>
        </w:rPr>
      </w:pPr>
      <w:r>
        <w:t>Na straně 140553, příloha A Terminologie se v definici pojmu „Celkový koeficient přenosu tepla (přes tepelný plášť budovy) (K)“ text: „... K = X Hx/Aint..." nahrazuje textem s „x", „x" a „int" v indexu: „... K = Σ</w:t>
      </w:r>
      <w:r>
        <w:rPr>
          <w:vertAlign w:val="subscript"/>
        </w:rPr>
        <w:t>x</w:t>
      </w:r>
      <w:r>
        <w:t xml:space="preserve"> H</w:t>
      </w:r>
      <w:r>
        <w:rPr>
          <w:vertAlign w:val="subscript"/>
        </w:rPr>
        <w:t>x</w:t>
      </w:r>
      <w:r>
        <w:t xml:space="preserve"> / A</w:t>
      </w:r>
      <w:r>
        <w:rPr>
          <w:vertAlign w:val="subscript"/>
        </w:rPr>
        <w:t>int</w:t>
      </w:r>
      <w:r>
        <w:t>...“.</w:t>
      </w:r>
    </w:p>
    <w:p w14:paraId="36164C8D" w14:textId="457C8028" w:rsidR="00840E76" w:rsidRDefault="003E1EAB" w:rsidP="00840E76">
      <w:pPr>
        <w:numPr>
          <w:ilvl w:val="0"/>
          <w:numId w:val="15"/>
        </w:numPr>
        <w:spacing w:before="200" w:after="100" w:line="240" w:lineRule="auto"/>
        <w:jc w:val="both"/>
        <w:rPr>
          <w:rFonts w:eastAsia="Arial" w:cstheme="minorHAnsi"/>
          <w:kern w:val="2"/>
        </w:rPr>
      </w:pPr>
      <w:r>
        <w:t>V příloze A Terminologie se v definici pojmu „kompaktnost“ slovo „kompaktnost“ ve druhém pododstavci uvádí kurzívou.</w:t>
      </w:r>
    </w:p>
    <w:p w14:paraId="544D530D" w14:textId="09FE0403" w:rsidR="003F6E54" w:rsidRPr="003934E5" w:rsidRDefault="003F6E54" w:rsidP="003F6E54">
      <w:pPr>
        <w:numPr>
          <w:ilvl w:val="0"/>
          <w:numId w:val="15"/>
        </w:numPr>
        <w:spacing w:before="200" w:after="100" w:line="240" w:lineRule="auto"/>
        <w:jc w:val="both"/>
        <w:rPr>
          <w:rFonts w:eastAsia="Arial" w:cstheme="minorHAnsi"/>
          <w:kern w:val="2"/>
        </w:rPr>
      </w:pPr>
      <w:r>
        <w:t>V příloze A Terminologie se v definici pojmu „provozní podmínky“ slova „soukromé bydlení“ uvádí kurzívou.</w:t>
      </w:r>
    </w:p>
    <w:p w14:paraId="00FC699C" w14:textId="7DE692E3" w:rsidR="005074AB" w:rsidRPr="003934E5" w:rsidRDefault="003E1EAB" w:rsidP="005074AB">
      <w:pPr>
        <w:numPr>
          <w:ilvl w:val="0"/>
          <w:numId w:val="15"/>
        </w:numPr>
        <w:spacing w:before="200" w:after="100" w:line="240" w:lineRule="auto"/>
        <w:jc w:val="both"/>
        <w:rPr>
          <w:rFonts w:eastAsia="Arial" w:cstheme="minorHAnsi"/>
          <w:kern w:val="2"/>
        </w:rPr>
      </w:pPr>
      <w:r>
        <w:t>V příloze A Terminologie se v definici pojmu „spotřeba primární energie z neobnovitelných zdrojů“ slova: „... Spotřeba primární energie z neobnovitelných zdrojů..." nahrazují slovy s „ep,nren" v indexu: „... Spotřeba primární energie z neobnovitelných zdrojů (C</w:t>
      </w:r>
      <w:r>
        <w:rPr>
          <w:vertAlign w:val="subscript"/>
        </w:rPr>
        <w:t>ep,nren</w:t>
      </w:r>
      <w:r>
        <w:t>)...“.</w:t>
      </w:r>
    </w:p>
    <w:p w14:paraId="6E6C3C38" w14:textId="5B03794E" w:rsidR="005074AB" w:rsidRPr="003934E5" w:rsidRDefault="003E1EAB" w:rsidP="005074AB">
      <w:pPr>
        <w:numPr>
          <w:ilvl w:val="0"/>
          <w:numId w:val="15"/>
        </w:numPr>
        <w:spacing w:before="200" w:after="100" w:line="240" w:lineRule="auto"/>
        <w:jc w:val="both"/>
        <w:rPr>
          <w:rFonts w:eastAsia="Arial" w:cstheme="minorHAnsi"/>
          <w:kern w:val="2"/>
        </w:rPr>
      </w:pPr>
      <w:r>
        <w:t>V příloze A Terminologie se v definici pojmu „celková spotřeba primární energie“ slova: „... Celková spotřeba primární energie..." nahrazují slovy s „ep,tot" v indexu: „... Celková spotřeba primární energie (C</w:t>
      </w:r>
      <w:r>
        <w:rPr>
          <w:vertAlign w:val="subscript"/>
        </w:rPr>
        <w:t>ep,tot</w:t>
      </w:r>
      <w:r>
        <w:t>)...“.</w:t>
      </w:r>
    </w:p>
    <w:p w14:paraId="7D78A910" w14:textId="4F934047" w:rsidR="00171BC6" w:rsidRPr="003F6E54" w:rsidRDefault="003E1EAB" w:rsidP="00FB3F17">
      <w:pPr>
        <w:numPr>
          <w:ilvl w:val="0"/>
          <w:numId w:val="15"/>
        </w:numPr>
        <w:spacing w:before="200" w:after="100" w:line="240" w:lineRule="auto"/>
        <w:jc w:val="both"/>
        <w:rPr>
          <w:rFonts w:eastAsia="Arial" w:cstheme="minorHAnsi"/>
          <w:kern w:val="2"/>
        </w:rPr>
      </w:pPr>
      <w:r>
        <w:t>V příloze A Terminologie se v definici pojmu „solární regulace (q</w:t>
      </w:r>
      <w:r>
        <w:rPr>
          <w:vertAlign w:val="subscript"/>
        </w:rPr>
        <w:t>sol;ju</w:t>
      </w:r>
      <w:r>
        <w:t>)“ slova: „... užitečná podlahová plocha prostor...“ nahrazují slovy: „... užitečná podlahová plocha obytných prostor...“.</w:t>
      </w:r>
    </w:p>
    <w:p w14:paraId="5F15C0C7" w14:textId="0371978A" w:rsidR="003F6E54" w:rsidRDefault="003F6E54" w:rsidP="003F6E54">
      <w:pPr>
        <w:numPr>
          <w:ilvl w:val="0"/>
          <w:numId w:val="15"/>
        </w:numPr>
        <w:spacing w:before="200" w:after="100" w:line="240" w:lineRule="auto"/>
        <w:jc w:val="both"/>
        <w:rPr>
          <w:rFonts w:eastAsia="Arial" w:cstheme="minorHAnsi"/>
          <w:kern w:val="2"/>
        </w:rPr>
      </w:pPr>
      <w:r>
        <w:lastRenderedPageBreak/>
        <w:t>V příloze A Terminologie se v definici pojmu „klimatizovaný obytný prostor“ slova „soukromé bydlení“ uvádí kurzívou.</w:t>
      </w:r>
    </w:p>
    <w:p w14:paraId="37CF326B" w14:textId="7A62E78A" w:rsidR="003F6E54" w:rsidRDefault="003F6E54" w:rsidP="003F6E54">
      <w:pPr>
        <w:numPr>
          <w:ilvl w:val="0"/>
          <w:numId w:val="15"/>
        </w:numPr>
        <w:spacing w:before="200" w:after="100" w:line="240" w:lineRule="auto"/>
        <w:jc w:val="both"/>
        <w:rPr>
          <w:rFonts w:eastAsia="Arial" w:cstheme="minorHAnsi"/>
          <w:kern w:val="2"/>
        </w:rPr>
      </w:pPr>
      <w:r>
        <w:t>V příloze A Terminologie se v definici pojmu „doba užívání“ ve druhém pododstavci slova „soukromé bydlení“ uvádí kurzívou.</w:t>
      </w:r>
    </w:p>
    <w:p w14:paraId="3F599B22" w14:textId="2380EDD2" w:rsidR="003F6E54" w:rsidRDefault="003F6E54" w:rsidP="003F6E54">
      <w:pPr>
        <w:numPr>
          <w:ilvl w:val="0"/>
          <w:numId w:val="15"/>
        </w:numPr>
        <w:spacing w:before="200" w:after="100" w:line="240" w:lineRule="auto"/>
        <w:jc w:val="both"/>
        <w:rPr>
          <w:rFonts w:eastAsia="Arial" w:cstheme="minorHAnsi"/>
          <w:kern w:val="2"/>
        </w:rPr>
      </w:pPr>
      <w:r>
        <w:t>V příloze A Terminologie se v definici pojmu „hodnota energetické účinnosti zařízení (VEEI)“ slova „soukromé bydlení“ uvádí kurzívou.</w:t>
      </w:r>
    </w:p>
    <w:p w14:paraId="24304584" w14:textId="5B24531B" w:rsidR="003F6E54" w:rsidRPr="00840E76" w:rsidRDefault="003F6E54" w:rsidP="003F6E54">
      <w:pPr>
        <w:numPr>
          <w:ilvl w:val="0"/>
          <w:numId w:val="15"/>
        </w:numPr>
        <w:spacing w:before="200" w:after="100" w:line="240" w:lineRule="auto"/>
        <w:jc w:val="both"/>
        <w:rPr>
          <w:rFonts w:eastAsia="Arial" w:cstheme="minorHAnsi"/>
          <w:kern w:val="2"/>
        </w:rPr>
      </w:pPr>
      <w:r>
        <w:t>V příloze C Úvahy k definici tepelného pláště se slova „tepelný plášť“ v názvu uvádí kurzívou.</w:t>
      </w:r>
    </w:p>
    <w:p w14:paraId="6DC93123" w14:textId="1B19CD34" w:rsidR="00840E76" w:rsidRDefault="003E1EAB" w:rsidP="007075D9">
      <w:pPr>
        <w:numPr>
          <w:ilvl w:val="0"/>
          <w:numId w:val="15"/>
        </w:numPr>
        <w:spacing w:before="200" w:after="100" w:line="240" w:lineRule="auto"/>
        <w:jc w:val="both"/>
        <w:rPr>
          <w:rFonts w:eastAsia="Arial" w:cstheme="minorHAnsi"/>
          <w:kern w:val="2"/>
        </w:rPr>
      </w:pPr>
      <w:r>
        <w:t>V příloze D Provozní podmínky a profily použití se v nadpisu slova „provozní podmínky“ a „profily použití“ uvedená v nadpisu, v pododstavci 2 a v tabulkách tabulka a-příloha D, tabulka b-příloha D a tabulka c-příloha D uvádějí kurzívou.</w:t>
      </w:r>
    </w:p>
    <w:p w14:paraId="47E1F5F1" w14:textId="3014A77D" w:rsidR="007075D9" w:rsidRDefault="007075D9" w:rsidP="007075D9">
      <w:pPr>
        <w:numPr>
          <w:ilvl w:val="0"/>
          <w:numId w:val="15"/>
        </w:numPr>
        <w:spacing w:before="200" w:after="100" w:line="240" w:lineRule="auto"/>
        <w:jc w:val="both"/>
        <w:rPr>
          <w:rFonts w:eastAsia="Arial" w:cstheme="minorHAnsi"/>
          <w:kern w:val="2"/>
        </w:rPr>
      </w:pPr>
      <w:r>
        <w:t>V příloze E Orientační hodnoty propustnosti se slova „soukromé bydlení“ v oddíle 1 uvádí kurzívou.</w:t>
      </w:r>
    </w:p>
    <w:p w14:paraId="236A2713" w14:textId="24851D32" w:rsidR="007075D9" w:rsidRDefault="007075D9" w:rsidP="007075D9">
      <w:pPr>
        <w:numPr>
          <w:ilvl w:val="0"/>
          <w:numId w:val="15"/>
        </w:numPr>
        <w:spacing w:before="200" w:after="100" w:line="240" w:lineRule="auto"/>
        <w:jc w:val="both"/>
        <w:rPr>
          <w:rFonts w:eastAsia="Arial" w:cstheme="minorHAnsi"/>
          <w:kern w:val="2"/>
        </w:rPr>
      </w:pPr>
      <w:r>
        <w:t>V příloze F Referenční poptávka po užitkové teplé vodě se slova „soukromé bydlení“ uvádí kurzívou jak v oddíle 1, tak v tabulce a-příloha F.</w:t>
      </w:r>
    </w:p>
    <w:p w14:paraId="799F7AD6" w14:textId="746A1CEA" w:rsidR="005074AB" w:rsidRPr="007075D9" w:rsidRDefault="003E1EAB" w:rsidP="00847CB0">
      <w:pPr>
        <w:numPr>
          <w:ilvl w:val="0"/>
          <w:numId w:val="15"/>
        </w:numPr>
        <w:spacing w:before="200" w:after="100" w:line="240" w:lineRule="auto"/>
        <w:jc w:val="both"/>
        <w:rPr>
          <w:rFonts w:eastAsia="Arial" w:cstheme="minorHAnsi"/>
          <w:kern w:val="2"/>
        </w:rPr>
      </w:pPr>
      <w:r>
        <w:t>V příloze H Stanovení vzduchové propustnosti budovy oddílu 2 Stanovení referenčními hodnotami se slova: „... 2. Hodnotu poměru výměny vzduchu při 50 Pa, n50, lze vypočítat z následující rovnice:" nahrazují slovy: „... 1. Hodnota poměru výměny vzduchu při 50 Pa a n50 k referenčním hodnotám se získá z následujícího vyjádření:" se slova: „n</w:t>
      </w:r>
      <w:r>
        <w:rPr>
          <w:vertAlign w:val="subscript"/>
        </w:rPr>
        <w:t>50</w:t>
      </w:r>
      <w:r>
        <w:t xml:space="preserve"> = 0,629· (C</w:t>
      </w:r>
      <w:r>
        <w:rPr>
          <w:vertAlign w:val="subscript"/>
        </w:rPr>
        <w:t>o</w:t>
      </w:r>
      <w:r>
        <w:t>· A</w:t>
      </w:r>
      <w:r>
        <w:rPr>
          <w:vertAlign w:val="subscript"/>
        </w:rPr>
        <w:t>o</w:t>
      </w:r>
      <w:r>
        <w:t xml:space="preserve"> + C</w:t>
      </w:r>
      <w:r>
        <w:rPr>
          <w:vertAlign w:val="subscript"/>
        </w:rPr>
        <w:t>h</w:t>
      </w:r>
      <w:r>
        <w:t>· A</w:t>
      </w:r>
      <w:r>
        <w:rPr>
          <w:vertAlign w:val="subscript"/>
        </w:rPr>
        <w:t>h</w:t>
      </w:r>
      <w:r>
        <w:t>)/V’ nahrazují slovy: „n</w:t>
      </w:r>
      <w:r>
        <w:rPr>
          <w:vertAlign w:val="subscript"/>
        </w:rPr>
        <w:t>50</w:t>
      </w:r>
      <w:r>
        <w:t xml:space="preserve"> = 0,629· (C</w:t>
      </w:r>
      <w:r>
        <w:rPr>
          <w:vertAlign w:val="subscript"/>
        </w:rPr>
        <w:t>o</w:t>
      </w:r>
      <w:r>
        <w:t>· A</w:t>
      </w:r>
      <w:r>
        <w:rPr>
          <w:vertAlign w:val="subscript"/>
        </w:rPr>
        <w:t>o</w:t>
      </w:r>
      <w:r>
        <w:t xml:space="preserve"> + C</w:t>
      </w:r>
      <w:r>
        <w:rPr>
          <w:vertAlign w:val="subscript"/>
        </w:rPr>
        <w:t>h</w:t>
      </w:r>
      <w:r>
        <w:t>· A</w:t>
      </w:r>
      <w:r>
        <w:rPr>
          <w:vertAlign w:val="subscript"/>
        </w:rPr>
        <w:t>h</w:t>
      </w:r>
      <w:r>
        <w:t>)/V</w:t>
      </w:r>
      <w:r>
        <w:rPr>
          <w:vertAlign w:val="subscript"/>
        </w:rPr>
        <w:t>in</w:t>
      </w:r>
      <w:r>
        <w:t>“, se slova: „V je vnitřní objem tepelného pláště v [m</w:t>
      </w:r>
      <w:r>
        <w:rPr>
          <w:vertAlign w:val="superscript"/>
        </w:rPr>
        <w:t>3</w:t>
      </w:r>
      <w:r>
        <w:t>]“ nahrazují slovy: „V</w:t>
      </w:r>
      <w:r>
        <w:rPr>
          <w:vertAlign w:val="subscript"/>
        </w:rPr>
        <w:t>int</w:t>
      </w:r>
      <w:r>
        <w:t xml:space="preserve"> je vnitřní objem vzduchu </w:t>
      </w:r>
      <w:r>
        <w:rPr>
          <w:i/>
        </w:rPr>
        <w:t>tepelného pláště,</w:t>
      </w:r>
      <w:r>
        <w:t xml:space="preserve"> v [m</w:t>
      </w:r>
      <w:r>
        <w:rPr>
          <w:vertAlign w:val="superscript"/>
        </w:rPr>
        <w:t>3</w:t>
      </w:r>
      <w:r>
        <w:t>]“ a slova: „A</w:t>
      </w:r>
      <w:r>
        <w:rPr>
          <w:vertAlign w:val="subscript"/>
        </w:rPr>
        <w:t>o</w:t>
      </w:r>
      <w:r>
        <w:t xml:space="preserve"> je povrch neprůhledné části tepelného pláště v [m</w:t>
      </w:r>
      <w:r>
        <w:rPr>
          <w:vertAlign w:val="superscript"/>
        </w:rPr>
        <w:t>2</w:t>
      </w:r>
      <w:r>
        <w:t>]“ se nahrazují slovy: „A</w:t>
      </w:r>
      <w:r>
        <w:rPr>
          <w:vertAlign w:val="subscript"/>
        </w:rPr>
        <w:t>o</w:t>
      </w:r>
      <w:r>
        <w:t xml:space="preserve"> je povrch neprůhledné části </w:t>
      </w:r>
      <w:r>
        <w:rPr>
          <w:i/>
        </w:rPr>
        <w:t>tepelného pláště</w:t>
      </w:r>
      <w:r>
        <w:t xml:space="preserve"> v kontaktu s venkovním vzduchem v [m</w:t>
      </w:r>
      <w:r>
        <w:rPr>
          <w:vertAlign w:val="superscript"/>
        </w:rPr>
        <w:t>2</w:t>
      </w:r>
      <w:r>
        <w:t>]“.</w:t>
      </w:r>
    </w:p>
    <w:p w14:paraId="25E43F9C" w14:textId="79111767" w:rsidR="007075D9" w:rsidRPr="003934E5" w:rsidRDefault="007075D9" w:rsidP="007075D9">
      <w:pPr>
        <w:numPr>
          <w:ilvl w:val="0"/>
          <w:numId w:val="15"/>
        </w:numPr>
        <w:spacing w:before="200" w:after="100" w:line="240" w:lineRule="auto"/>
        <w:jc w:val="both"/>
        <w:rPr>
          <w:rFonts w:eastAsia="Arial" w:cstheme="minorHAnsi"/>
          <w:kern w:val="2"/>
        </w:rPr>
      </w:pPr>
      <w:r>
        <w:t>V příloze H Stanovení propustnosti vzduchu v budově se pojem „tepelný plášť“ v popisu pojmů V</w:t>
      </w:r>
      <w:r>
        <w:rPr>
          <w:vertAlign w:val="subscript"/>
        </w:rPr>
        <w:t>int</w:t>
      </w:r>
      <w:r>
        <w:t>, C</w:t>
      </w:r>
      <w:r>
        <w:rPr>
          <w:vertAlign w:val="subscript"/>
        </w:rPr>
        <w:t>o</w:t>
      </w:r>
      <w:r>
        <w:t>, C</w:t>
      </w:r>
      <w:r>
        <w:rPr>
          <w:vertAlign w:val="subscript"/>
        </w:rPr>
        <w:t>h</w:t>
      </w:r>
      <w:r>
        <w:t>, A</w:t>
      </w:r>
      <w:r>
        <w:rPr>
          <w:vertAlign w:val="subscript"/>
        </w:rPr>
        <w:t>h</w:t>
      </w:r>
      <w:r>
        <w:t xml:space="preserve"> a v tabulce a-příloha H uvádí kurzívou</w:t>
      </w:r>
    </w:p>
    <w:p w14:paraId="7A548AE7" w14:textId="77777777" w:rsidR="0024794E" w:rsidRDefault="002F25C7" w:rsidP="0024794E">
      <w:pPr>
        <w:spacing w:before="200" w:after="100" w:line="240" w:lineRule="auto"/>
        <w:jc w:val="both"/>
        <w:rPr>
          <w:rFonts w:eastAsia="Arial" w:cstheme="minorHAnsi"/>
          <w:kern w:val="2"/>
          <w:szCs w:val="24"/>
        </w:rPr>
      </w:pPr>
      <w:r>
        <w:t xml:space="preserve">Zašesté. Opravy zjištěných tiskových a jiných chyb se provádějí takto: Základní dokument DB-HS „Hygienická zařízení“ obsažený v části II technického stavebního řádu: </w:t>
      </w:r>
    </w:p>
    <w:p w14:paraId="169CA6E1" w14:textId="77777777"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V sekci HS 4 „Dodávky vody“ oddílu 6.2 se písmeno „e) chlorované polyvinylchloridové (PVC-C) potrubí podle norem UNE-EN ISO 15874-1:2013, UNE-EN ISO 15874-2:2013 a UNE-EN ISO 15874-3:2013;" nahrazuje písmenem „e) chlorované polyvinylchloridové (PVC-C) potrubí podle norem UNE-EN ISO 15877-1:2009 (+UNE-EN ISO 15877-1:2009/A1): 2011), UNE-EN ISO 15877-2:2009 (+UNE-EN ISO 15877-2:2009/A1: 2011) a UNE-EN ISO 15877-3:2009 (+UNE-EN ISO 15877-3:2009/A1: 2011);“.</w:t>
      </w:r>
    </w:p>
    <w:p w14:paraId="3C70C58A" w14:textId="2B44818E"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V sekci HS 4 „Dodávky vody“ oddílu 6.2 se písmeno „h) polybutylenové (PB) potrubí podle norem UNE-EN ISO 15876-1:2017, UNE-EN ISO 15876-2:2017 a UNE-EN ISO 15876-3:2017;“ nahrazuje písmenem „h) polybutenové (PB) potrubí podle norem UNE-EN ISO 15876-1:2017, UNE-EN ISO 15876-2:2017 a UNE-EN ISO 15876-3:2017;“.</w:t>
      </w:r>
    </w:p>
    <w:p w14:paraId="48BF6FE7" w14:textId="7ED2365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V dodatku C. Referenční normy se slova: „Plastové potrubní systémy pro rozvod horké a studené vody. Polybutylen (PB). Část 1: Obecně" nahrazují slovy: „Plastové potrubní systémy pro rozvod horké a studené vody. Polybuten (PB). Část 1: Obecně</w:t>
      </w:r>
    </w:p>
    <w:p w14:paraId="35A52A28" w14:textId="2205E89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lastRenderedPageBreak/>
        <w:t>V dodatku C. Referenční normy se slova: „Plastové potrubní systémy pro rozvod horké a studené vody. Polybutylen (PB). Část 2: Trubky" nahrazují slovy: „Plastové potrubní systémy pro rozvod horké a studené vody. Polybuten (PB). Část 2: Trubky.</w:t>
      </w:r>
    </w:p>
    <w:p w14:paraId="31E52182" w14:textId="7D5C8545"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V dodatku C. Referenční normy se slova: „Plastové potrubní systémy pro rozvod horké a studené vody. Polybutylen (PB). Část 3: Tvarovky" nahrazují slovy: „Plastové potrubní systémy pro rozvod horké a studené vody. Polybuten (PB). Část 3: Tvarovky.</w:t>
      </w:r>
    </w:p>
    <w:p w14:paraId="7B4F5591" w14:textId="1AFCAEDB" w:rsidR="00AB00C9" w:rsidRPr="0024794E" w:rsidRDefault="0024794E" w:rsidP="0024794E">
      <w:pPr>
        <w:pStyle w:val="ListParagraph"/>
        <w:numPr>
          <w:ilvl w:val="0"/>
          <w:numId w:val="26"/>
        </w:numPr>
        <w:spacing w:before="200" w:after="100" w:line="240" w:lineRule="auto"/>
        <w:jc w:val="both"/>
        <w:rPr>
          <w:rFonts w:eastAsia="Arial" w:cstheme="minorHAnsi"/>
          <w:kern w:val="2"/>
          <w:szCs w:val="24"/>
        </w:rPr>
      </w:pPr>
      <w:r>
        <w:t>V dodatku C. Referenční normy se doplňují za odkaz na normu „UNE-EN ISO 15876-3: 2017</w:t>
      </w:r>
      <w:r>
        <w:tab/>
        <w:t>Plastové potrubní systémy pro rozvod horké a studené vody. Polybuten (PB). Část 3: Tvarovky" tyto normy:</w:t>
      </w:r>
    </w:p>
    <w:p w14:paraId="5A496CEC" w14:textId="6500843E" w:rsidR="00AD074F" w:rsidRDefault="00AD074F" w:rsidP="0024794E">
      <w:pPr>
        <w:pStyle w:val="ListParagraph"/>
        <w:spacing w:after="120"/>
        <w:ind w:left="709"/>
        <w:jc w:val="both"/>
      </w:pPr>
      <w:r>
        <w:t xml:space="preserve">„UNE-EN ISO 15877-1:2009 Plastové potrubní systémy pro rozvod horké a studené vody. Chlorovaný polyvinylchlorid (PVC-C). Část 1: Všeobecně (+UNE-EN ISO 15877-1:2009/A1:2011) </w:t>
      </w:r>
    </w:p>
    <w:p w14:paraId="2A3E9EAB" w14:textId="77777777" w:rsidR="00AD074F" w:rsidRDefault="00AD074F" w:rsidP="0024794E">
      <w:pPr>
        <w:pStyle w:val="ListParagraph"/>
        <w:spacing w:after="120"/>
        <w:ind w:left="709"/>
        <w:jc w:val="both"/>
      </w:pPr>
    </w:p>
    <w:p w14:paraId="13BBCC1D" w14:textId="5E8C5E6F" w:rsidR="00AD074F" w:rsidRDefault="00AD074F" w:rsidP="0024794E">
      <w:pPr>
        <w:pStyle w:val="ListParagraph"/>
        <w:spacing w:after="120"/>
        <w:ind w:left="709"/>
        <w:jc w:val="both"/>
      </w:pPr>
      <w:r>
        <w:t xml:space="preserve">UNE-EN ISO 15877-2:2009 Plastové potrubní systémy pro rozvod horké a studené vody. Chlorovaný polyvinylchlorid (PVC-C). Část 2: Trubky. (+UNE-EN ISO 15877-2:2009/A1:2011) </w:t>
      </w:r>
    </w:p>
    <w:p w14:paraId="68B6455D" w14:textId="77777777" w:rsidR="00AD074F" w:rsidRDefault="00AD074F" w:rsidP="0024794E">
      <w:pPr>
        <w:pStyle w:val="ListParagraph"/>
        <w:spacing w:after="120"/>
        <w:ind w:left="709"/>
        <w:jc w:val="both"/>
      </w:pPr>
    </w:p>
    <w:p w14:paraId="52605DFD" w14:textId="76152F49" w:rsidR="00AD074F" w:rsidRDefault="00802B87" w:rsidP="0024794E">
      <w:pPr>
        <w:pStyle w:val="ListParagraph"/>
        <w:spacing w:after="120"/>
        <w:ind w:left="709"/>
        <w:jc w:val="both"/>
      </w:pPr>
      <w:r>
        <w:t>UNE-EN ISO 15877-3:2009 Plastové potrubní systémy pro rozvod horké a studené vody. Chlorovaný polyvinylchlorid (PVC-C). Část 3: Tvarovky. (+UNE-EN ISO 15877-3:2009/A1:2011)</w:t>
      </w:r>
    </w:p>
    <w:p w14:paraId="30F2E766" w14:textId="038A7758" w:rsidR="005074AB" w:rsidRPr="00431D05" w:rsidRDefault="005074AB" w:rsidP="005074AB">
      <w:pPr>
        <w:jc w:val="both"/>
        <w:rPr>
          <w:rFonts w:cstheme="minorHAnsi"/>
          <w:bCs/>
          <w:i/>
          <w:iCs/>
        </w:rPr>
      </w:pPr>
      <w:r>
        <w:t xml:space="preserve">První přechodné ustanovení. </w:t>
      </w:r>
      <w:r>
        <w:rPr>
          <w:i/>
        </w:rPr>
        <w:t>Budovy vyňaté z působnosti tohoto královského výnosu.</w:t>
      </w:r>
    </w:p>
    <w:p w14:paraId="71A41130" w14:textId="7184244B" w:rsidR="005074AB" w:rsidRPr="009064BC" w:rsidRDefault="005074AB" w:rsidP="005074AB">
      <w:pPr>
        <w:jc w:val="both"/>
        <w:rPr>
          <w:rFonts w:cstheme="minorHAnsi"/>
        </w:rPr>
      </w:pPr>
      <w:r>
        <w:t xml:space="preserve">Změny technického stavebního řádu přijaté tímto královským výnosem se nevztahují na nové budovy nebo práce na stávajících budovách, u kterých v obou případech již byla podána žádost o obecní povolení ke stavebním pracím v době nabytí účinnosti tohoto královského výnosu. </w:t>
      </w:r>
    </w:p>
    <w:p w14:paraId="6E353956" w14:textId="262DE845" w:rsidR="007B11B1" w:rsidRDefault="005074AB" w:rsidP="005074AB">
      <w:pPr>
        <w:jc w:val="both"/>
        <w:rPr>
          <w:rFonts w:cstheme="minorHAnsi"/>
        </w:rPr>
      </w:pPr>
      <w:r>
        <w:t>Tyto práce musí být zahájeny v maximální době účinnosti uvedeného povolení v souladu s příslušnými správními předpisy, nebo pokud to není možné, do šesti měsíců od udělení uvedeného povolení. Pokud tomu tak není, musí být projekty přizpůsobeny změnám technického stavebního řádu schváleným tímto královským výnosem.</w:t>
      </w:r>
    </w:p>
    <w:p w14:paraId="78DABA03" w14:textId="77777777" w:rsidR="005074AB" w:rsidRPr="00D47CC2" w:rsidRDefault="005074AB" w:rsidP="005074AB">
      <w:pPr>
        <w:jc w:val="both"/>
        <w:rPr>
          <w:rFonts w:cstheme="minorHAnsi"/>
          <w:bCs/>
          <w:i/>
          <w:iCs/>
        </w:rPr>
      </w:pPr>
      <w:r>
        <w:t xml:space="preserve">Druhé přechodné ustanovení. </w:t>
      </w:r>
      <w:r>
        <w:rPr>
          <w:i/>
        </w:rPr>
        <w:t>Budovy, u nichž je použití ustanovení tohoto královského výnosu dobrovolné.</w:t>
      </w:r>
    </w:p>
    <w:p w14:paraId="047CBC16" w14:textId="1E288EF7" w:rsidR="00CA5D2D" w:rsidRPr="00B24946" w:rsidRDefault="005074AB" w:rsidP="005074AB">
      <w:pPr>
        <w:jc w:val="both"/>
        <w:rPr>
          <w:rFonts w:cstheme="minorHAnsi"/>
        </w:rPr>
      </w:pPr>
      <w:r>
        <w:t xml:space="preserve">Změny technického stavebního řádu schválené tímto královským výnosem se dobrovolně použijí na nové stavební práce a na stavební práce na stávajících budovách, u kterých v obou případech již byla podána žádost o obecní povolení ke stavebním pracím v době nabytí účinnosti tohoto královského výnosu. </w:t>
      </w:r>
    </w:p>
    <w:p w14:paraId="0F321A96" w14:textId="5FE37BEE" w:rsidR="00CA5D2D" w:rsidRDefault="00CA5D2D" w:rsidP="00CA5D2D">
      <w:pPr>
        <w:jc w:val="both"/>
        <w:rPr>
          <w:rFonts w:cstheme="minorHAnsi"/>
        </w:rPr>
      </w:pPr>
      <w:r>
        <w:t>Tyto práce musí být zahájeny v maximální době účinnosti uvedeného povolení v souladu s příslušnými správními předpisy, nebo pokud to není možné, do šesti měsíců od udělení uvedeného povolení. Pokud tomu tak není, musí být projekty přizpůsobeny změnám technického stavebního řádu schváleným tímto královským výnosem.</w:t>
      </w:r>
    </w:p>
    <w:p w14:paraId="1B48DE1E" w14:textId="77777777" w:rsidR="005074AB" w:rsidRPr="00D47CC2" w:rsidRDefault="005074AB" w:rsidP="005074AB">
      <w:pPr>
        <w:jc w:val="both"/>
        <w:rPr>
          <w:rFonts w:cstheme="minorHAnsi"/>
          <w:bCs/>
          <w:i/>
          <w:iCs/>
        </w:rPr>
      </w:pPr>
      <w:r>
        <w:t xml:space="preserve">Třetí přechodné ustanovení. </w:t>
      </w:r>
      <w:r>
        <w:rPr>
          <w:i/>
        </w:rPr>
        <w:t>Budovy, u nichž je použití ustanovení tohoto královského výnosu povinné.</w:t>
      </w:r>
    </w:p>
    <w:p w14:paraId="557DDCCB" w14:textId="624E2145" w:rsidR="005074AB" w:rsidRDefault="005074AB" w:rsidP="005074AB">
      <w:pPr>
        <w:jc w:val="both"/>
        <w:rPr>
          <w:rFonts w:cstheme="minorHAnsi"/>
        </w:rPr>
      </w:pPr>
      <w:r>
        <w:t xml:space="preserve">Použití změn technického stavebního řádu přijatých tímto královským výnosem je povinné pro nové budovy nebo práce na stávajících budovách, u kterých byla v obou případech podána </w:t>
      </w:r>
      <w:r>
        <w:lastRenderedPageBreak/>
        <w:t>žádost o obecní povolení ke stavebním pracím později než devět měsíců po nabytí účinnosti tohoto předpisu.</w:t>
      </w:r>
    </w:p>
    <w:p w14:paraId="588C44EA" w14:textId="52803F33" w:rsidR="005074AB" w:rsidRPr="00D47CC2" w:rsidRDefault="005074AB" w:rsidP="005074AB">
      <w:pPr>
        <w:jc w:val="both"/>
        <w:rPr>
          <w:rFonts w:cstheme="minorHAnsi"/>
          <w:bCs/>
          <w:i/>
          <w:iCs/>
        </w:rPr>
      </w:pPr>
      <w:r>
        <w:t xml:space="preserve">První závěrečné ustanovení. </w:t>
      </w:r>
      <w:r>
        <w:rPr>
          <w:i/>
        </w:rPr>
        <w:t>Změna královského výnosu č. 1053/2014 ze dne 12. prosince 2014, kterým se schvaluje nový dodatečný technický pokyn BT 52 „Zařízení pro zvláštní účely“. Infrastruktura pro nabíjení elektrických vozidel", elektrotechnických předpisů pro nízkonapěťové elektrotechnické systémy, schválených královským výnosem 842/2002 ze dne 2. srpna 2002, a mění se jeho další dodatečné technické pokyny.</w:t>
      </w:r>
    </w:p>
    <w:p w14:paraId="183CB7CD" w14:textId="78A1B469" w:rsidR="005074AB" w:rsidRPr="009064BC" w:rsidRDefault="005074AB" w:rsidP="005074AB">
      <w:pPr>
        <w:jc w:val="both"/>
        <w:rPr>
          <w:rFonts w:cstheme="minorHAnsi"/>
        </w:rPr>
      </w:pPr>
      <w:r>
        <w:t>Zaprvé. První dodatečné ustanovení královského výnosu č. 1053/2014 ze dne 12. prosince 2014, kterým se schvaluje nový dodatečný technický pokyn (ITC) BT 52, se mění takto:</w:t>
      </w:r>
    </w:p>
    <w:p w14:paraId="6C63F170" w14:textId="77777777" w:rsidR="005074AB" w:rsidRPr="009064BC" w:rsidRDefault="005074AB" w:rsidP="005074AB">
      <w:pPr>
        <w:ind w:left="567"/>
        <w:jc w:val="both"/>
        <w:rPr>
          <w:rFonts w:cstheme="minorHAnsi"/>
        </w:rPr>
      </w:pPr>
      <w:r>
        <w:t>„První dodatečné ustanovení. Minimální strukturální zařízení pro nabíjení elektrických vozidel na parkovištích, která nejsou přidělena nově postaveným budovám nebo těm, které procházejí větší renovací, a na veřejných komunikacích.</w:t>
      </w:r>
    </w:p>
    <w:p w14:paraId="0E953183" w14:textId="4FD205B4" w:rsidR="005074AB" w:rsidRPr="00EB58A5" w:rsidRDefault="005074AB" w:rsidP="00B2615A">
      <w:pPr>
        <w:numPr>
          <w:ilvl w:val="0"/>
          <w:numId w:val="11"/>
        </w:numPr>
        <w:ind w:left="1418" w:hanging="284"/>
        <w:contextualSpacing/>
        <w:jc w:val="both"/>
        <w:rPr>
          <w:rFonts w:cstheme="minorHAnsi"/>
        </w:rPr>
      </w:pPr>
      <w:r>
        <w:t xml:space="preserve">Na nově postavených parkovištích nebo u parkovišť procházejících větší renovací, která se nenacházejí v budově nebo s ní sousedí, a tudíž mimo oblast působnosti základního dokumentu o úsporách energie (DB HE) technického stavebního řádu, musí být instalována alespoň jedna dobíjecí stanice na každých 40 parkovacích míst. Parkoviště je považováno za nově postavené, pokud je stavební projekt předložen příslušné veřejné správě ke zpracování po nabytí účinnosti tohoto královského výnosu. </w:t>
      </w:r>
    </w:p>
    <w:p w14:paraId="0C99327A" w14:textId="0AD5DDFE" w:rsidR="005074AB" w:rsidRPr="009064BC" w:rsidRDefault="005074AB" w:rsidP="002F659F">
      <w:pPr>
        <w:numPr>
          <w:ilvl w:val="0"/>
          <w:numId w:val="11"/>
        </w:numPr>
        <w:ind w:left="1418" w:hanging="284"/>
        <w:contextualSpacing/>
        <w:jc w:val="both"/>
        <w:rPr>
          <w:rFonts w:cstheme="minorHAnsi"/>
        </w:rPr>
      </w:pPr>
      <w:r>
        <w:t>Musí být zaručena zařízení nezbytná k dodávání elektrické energie do dobíjecích stanic umístěných v prostorách pro elektrická vozidla na veřejných komunikacích stanovených v plánech udržitelné mobility na nadměstské úrovni nebo na úrovni obcí.“</w:t>
      </w:r>
    </w:p>
    <w:p w14:paraId="6C323B86" w14:textId="77777777" w:rsidR="005074AB" w:rsidRPr="009064BC" w:rsidRDefault="005074AB" w:rsidP="005074AB">
      <w:pPr>
        <w:ind w:left="1494"/>
        <w:contextualSpacing/>
        <w:jc w:val="both"/>
        <w:rPr>
          <w:rFonts w:cstheme="minorHAnsi"/>
        </w:rPr>
      </w:pPr>
    </w:p>
    <w:p w14:paraId="5E226F46" w14:textId="77777777" w:rsidR="005074AB" w:rsidRPr="009064BC" w:rsidRDefault="005074AB" w:rsidP="005074AB">
      <w:pPr>
        <w:jc w:val="both"/>
        <w:rPr>
          <w:rFonts w:cstheme="minorHAnsi"/>
        </w:rPr>
      </w:pPr>
      <w:r>
        <w:t>Zadruhé. Oddíl 3.2 DODATEČNÝ TECHNICKÝ POKYN (ITC) BT-52 se mění takto:</w:t>
      </w:r>
    </w:p>
    <w:p w14:paraId="6A13CA56" w14:textId="2BC47FB2" w:rsidR="005074AB" w:rsidRPr="009064BC" w:rsidRDefault="005074AB" w:rsidP="005074AB">
      <w:pPr>
        <w:ind w:left="567"/>
        <w:jc w:val="both"/>
        <w:rPr>
          <w:rFonts w:cstheme="minorHAnsi"/>
        </w:rPr>
      </w:pPr>
      <w:r>
        <w:t xml:space="preserve">„3.2 Zařízení na parkovištích nebo společných parkovacích místech sousedících s budovami nebo komplexy budov. </w:t>
      </w:r>
    </w:p>
    <w:p w14:paraId="14463364" w14:textId="6F4941EA" w:rsidR="005074AB" w:rsidRPr="003934E5" w:rsidRDefault="005074AB" w:rsidP="005074AB">
      <w:pPr>
        <w:ind w:left="567"/>
        <w:jc w:val="both"/>
        <w:rPr>
          <w:rFonts w:cstheme="minorHAnsi"/>
        </w:rPr>
      </w:pPr>
      <w:r>
        <w:t xml:space="preserve">Elektrická zařízení pro nabíjení </w:t>
      </w:r>
      <w:r>
        <w:rPr>
          <w:i/>
        </w:rPr>
        <w:t>elektrických vozidel</w:t>
      </w:r>
      <w:r>
        <w:t xml:space="preserve"> nacházející se na parkovištích nebo parkovištích uvnitř budov nebo komplexů budov nebo k nim připojených se řídí kterýmkoli z výše popsaných schémat.</w:t>
      </w:r>
      <w:r>
        <w:rPr>
          <w:color w:val="000000" w:themeColor="text1"/>
        </w:rPr>
        <w:t xml:space="preserve"> </w:t>
      </w:r>
      <w:r>
        <w:t>V téže budově mohou být použita různá schémata za předpokladu, že jsou splněny všechny požadavky stanovené v tomto dokumentu (ITC) BT-52.</w:t>
      </w:r>
    </w:p>
    <w:p w14:paraId="642E3740" w14:textId="7634F88A" w:rsidR="005074AB" w:rsidRPr="009064BC" w:rsidRDefault="005074AB" w:rsidP="005074AB">
      <w:pPr>
        <w:ind w:left="567"/>
        <w:jc w:val="both"/>
        <w:rPr>
          <w:rFonts w:cstheme="minorHAnsi"/>
        </w:rPr>
      </w:pPr>
      <w:r>
        <w:t>Ve schématu 4a se dobíjecí obvod řídí instalačními podmínkami popsanými v dokumentu (ITC) BT-15 za použití kabelů a vodicích systémů stejného typu a vlastností jako pro individuální přemostění a průřez kabelu se vypočítá v souladu s obecnými požadavky oddílu 5 tohoto dokumentu ITC. Pro určení průměru nebo příčných rozměrů systému vedení, který má být použit, není nutné stanovit rozšíření průřezu kabelů.</w:t>
      </w:r>
    </w:p>
    <w:p w14:paraId="5C0A8DBB" w14:textId="77777777" w:rsidR="005074AB" w:rsidRPr="009064BC" w:rsidRDefault="005074AB" w:rsidP="005074AB">
      <w:pPr>
        <w:ind w:left="567"/>
        <w:jc w:val="both"/>
        <w:rPr>
          <w:rFonts w:cstheme="minorHAnsi"/>
        </w:rPr>
      </w:pPr>
      <w:r>
        <w:t>Schéma 4b se použije, pokud je dodávání elektrické energie do dobíjecích stanic navrženo jako nedílná součást nebo rozšíření elektrické instalace sloužící pro všeobecné služby garáží.</w:t>
      </w:r>
    </w:p>
    <w:p w14:paraId="1BEC25F6" w14:textId="7E6AD67A" w:rsidR="005074AB" w:rsidRPr="009064BC" w:rsidRDefault="00D676D8" w:rsidP="005074AB">
      <w:pPr>
        <w:ind w:left="567"/>
        <w:jc w:val="both"/>
        <w:rPr>
          <w:rFonts w:cstheme="minorHAnsi"/>
        </w:rPr>
      </w:pPr>
      <w:r>
        <w:lastRenderedPageBreak/>
        <w:t>Jak ve stávajících, tak v nových zařízeních mohou být s cílem usnadnit používání vybraného elektrického schématu přítomny panely s obecnými ochrannými prvky a další zařízení pro dobíjení elektrických vozidel umístěny v místnostech určených k tomuto účelu nebo ve společných prostorách.</w:t>
      </w:r>
    </w:p>
    <w:p w14:paraId="3AA0FB18" w14:textId="5CA8F82A" w:rsidR="005074AB" w:rsidRPr="009064BC" w:rsidRDefault="005074AB" w:rsidP="00904550">
      <w:pPr>
        <w:ind w:left="567"/>
        <w:jc w:val="both"/>
        <w:rPr>
          <w:rFonts w:cstheme="minorHAnsi"/>
        </w:rPr>
      </w:pPr>
      <w:r>
        <w:t xml:space="preserve">Elektrická předinstalace pro dobíjení elektrických vozidel na parkovištích umístěných v budovách nebo komplexech budov nebo s nimi sousedících usnadní následné použití kteréhokoli z možných systémů instalace. To zahrnuje tyto prvky: </w:t>
      </w:r>
    </w:p>
    <w:p w14:paraId="4CCD8B27" w14:textId="732EDA20" w:rsidR="005074AB" w:rsidRPr="009064BC" w:rsidRDefault="005074AB" w:rsidP="005074AB">
      <w:pPr>
        <w:numPr>
          <w:ilvl w:val="0"/>
          <w:numId w:val="12"/>
        </w:numPr>
        <w:ind w:left="1418" w:hanging="284"/>
        <w:jc w:val="both"/>
        <w:rPr>
          <w:rFonts w:cstheme="minorHAnsi"/>
        </w:rPr>
      </w:pPr>
      <w:r>
        <w:t>Instalace kabelových systémů vedení z centrály elektroměrů a podél hlavních komunikací parkovišť, aby bylo možné později napájet dobíjecí stanice, které mohou být umístěny na jednotlivých parkovacích místech nebo parkovištích. Pokud se předinstalace plánuje pro 100 % míst, musí se kabelové vodiče zavést do každého místa. Pokud se předinstalace neplánuje pro 100 % míst, musí být vymezeny prostory, u nichž se má za to, že jsou v souladu s předpisem pro kabelové systémy vedení, a tyto systémy musí být zavedeny na každé z těchto míst.</w:t>
      </w:r>
    </w:p>
    <w:p w14:paraId="0460434B" w14:textId="6073EA36" w:rsidR="005074AB" w:rsidRPr="009064BC" w:rsidRDefault="005074AB" w:rsidP="00281B93">
      <w:pPr>
        <w:numPr>
          <w:ilvl w:val="0"/>
          <w:numId w:val="12"/>
        </w:numPr>
        <w:jc w:val="both"/>
        <w:rPr>
          <w:rFonts w:cstheme="minorHAnsi"/>
        </w:rPr>
      </w:pPr>
      <w:r>
        <w:t>Centrála elektroměrů musí být dimenzována podle elektrického schématu zvoleného pro dobíjení elektrického vozidla a podle dokumentu (ITC) BT-16. Záložní moduly musí být instalovány alespoň pro 20 % garážových míst, která nejsou spojena s obydlím, a v případě, že jsou všechna místa spojena s obydlími, musí být přítomen alespoň jeden záložní modul. Tyto záložní moduly musí mít kapacitu pro umístění hlavního elektroměru a nadproudových ochranných zařízení spojených s elektroměrem, a to buď s pojistkami nebo jističi.</w:t>
      </w:r>
    </w:p>
    <w:p w14:paraId="7C024BD7" w14:textId="5A6D76AB" w:rsidR="005074AB" w:rsidRPr="009064BC" w:rsidRDefault="005074AB" w:rsidP="005074AB">
      <w:pPr>
        <w:ind w:left="1416"/>
        <w:jc w:val="both"/>
        <w:rPr>
          <w:rFonts w:cstheme="minorHAnsi"/>
        </w:rPr>
      </w:pPr>
      <w:r>
        <w:t>Zásuvky nebo konektory instalované v dobíjecí stanici a její jističe musí splňovat jednu z možností uvedených v oddíle 5.4.“</w:t>
      </w:r>
    </w:p>
    <w:p w14:paraId="3C2EF0D1" w14:textId="7C25EDED" w:rsidR="00324D93" w:rsidRPr="009064BC" w:rsidRDefault="00441D3E" w:rsidP="00CA5D2D">
      <w:pPr>
        <w:jc w:val="both"/>
        <w:rPr>
          <w:rFonts w:cstheme="minorHAnsi"/>
        </w:rPr>
      </w:pPr>
      <w:r>
        <w:t>Zatřetí. První pododstavec oddílu 5.4 DODATEČNÉHO TECHNICKÉHO POKYNU (ITC) BT-52 se mění takto:</w:t>
      </w:r>
    </w:p>
    <w:p w14:paraId="1D0AA4C9" w14:textId="6013C719" w:rsidR="00527DF1" w:rsidRDefault="00324D93" w:rsidP="00CA5D2D">
      <w:pPr>
        <w:jc w:val="both"/>
        <w:rPr>
          <w:color w:val="FF0000"/>
        </w:rPr>
      </w:pPr>
      <w:r>
        <w:t xml:space="preserve">„5.4 Připojovací bod. </w:t>
      </w:r>
      <w:bookmarkStart w:id="1" w:name="_Hlk81468651"/>
      <w:r>
        <w:t xml:space="preserve">Připojovací bod musí být umístěn vedle prostoru, který má být napájen, a musí být trvale instalován v uzavřeném prostoru. </w:t>
      </w:r>
    </w:p>
    <w:bookmarkEnd w:id="1"/>
    <w:p w14:paraId="346E72DC" w14:textId="2F609E5D" w:rsidR="00441D3E" w:rsidRPr="00527DF1" w:rsidRDefault="00527DF1" w:rsidP="00CA5D2D">
      <w:pPr>
        <w:jc w:val="both"/>
        <w:rPr>
          <w:color w:val="FF0000"/>
        </w:rPr>
      </w:pPr>
      <w:r>
        <w:t xml:space="preserve">Minimální montážní výška pro zásuvky a konektory musí být 60 cm nad zemí. </w:t>
      </w:r>
      <w:bookmarkStart w:id="2" w:name="_Hlk81468224"/>
      <w:r>
        <w:t>Pokud je dobíjecí stanice určena pro veřejné použití, musí být maximální výška 120 cm. Na přístupných parkovacích místech musí zásuvky a konektory být v barevném kontrastu s okolím, musí být umístěny ve výšce 80 až 120 cm a vzdálenost od rohů musí být nejméně 35 cm.“</w:t>
      </w:r>
      <w:bookmarkEnd w:id="2"/>
    </w:p>
    <w:p w14:paraId="33BA3231" w14:textId="6E4F1E78" w:rsidR="005074AB" w:rsidRPr="00D47CC2" w:rsidRDefault="005074AB" w:rsidP="00CA5D2D">
      <w:pPr>
        <w:jc w:val="both"/>
        <w:rPr>
          <w:rFonts w:cstheme="minorHAnsi"/>
          <w:bCs/>
          <w:i/>
          <w:iCs/>
        </w:rPr>
      </w:pPr>
      <w:r>
        <w:t xml:space="preserve">Druhé závěrečné ustanovení. </w:t>
      </w:r>
      <w:r>
        <w:rPr>
          <w:i/>
        </w:rPr>
        <w:t>Provádění právních předpisů Evropské unie.</w:t>
      </w:r>
    </w:p>
    <w:p w14:paraId="09244551" w14:textId="77777777" w:rsidR="005074AB" w:rsidRPr="009064BC" w:rsidRDefault="005074AB" w:rsidP="00CA5D2D">
      <w:pPr>
        <w:jc w:val="both"/>
        <w:rPr>
          <w:rFonts w:cstheme="minorHAnsi"/>
        </w:rPr>
      </w:pPr>
      <w:r>
        <w:t>Tímto královským výnosem se provádí do španělského práva čl. 8 odst. 2, 3 a 5 SMĚRNICE EVROPSKÉHO PARLAMENTU A RADY (EU) 2018/844 ze dne 30. května 2018, kterou se mění směrnice 2010/31/EU o energetické náročnosti budov a směrnice 2012/27/EU o energetické účinnosti.</w:t>
      </w:r>
    </w:p>
    <w:p w14:paraId="106D513A" w14:textId="7AD1ED46" w:rsidR="005074AB" w:rsidRPr="00C760C9" w:rsidRDefault="005074AB" w:rsidP="005074AB">
      <w:pPr>
        <w:jc w:val="both"/>
        <w:rPr>
          <w:rFonts w:cstheme="minorHAnsi"/>
          <w:bCs/>
          <w:i/>
          <w:iCs/>
        </w:rPr>
      </w:pPr>
      <w:r>
        <w:t xml:space="preserve">Třetí závěrečné ustanovení. </w:t>
      </w:r>
      <w:r>
        <w:rPr>
          <w:i/>
        </w:rPr>
        <w:t>Nabytí účinnosti.</w:t>
      </w:r>
    </w:p>
    <w:p w14:paraId="74B6AB2B" w14:textId="74C92419" w:rsidR="001035FC" w:rsidRDefault="005074AB" w:rsidP="000A2592">
      <w:pPr>
        <w:jc w:val="both"/>
        <w:rPr>
          <w:rFonts w:cstheme="minorHAnsi"/>
          <w:color w:val="FF0000"/>
        </w:rPr>
      </w:pPr>
      <w:r>
        <w:t>Tento královský výnos nabývá účinnosti dnem následujícím po dni jeho vyhlášení v Úředním věstníku.</w:t>
      </w:r>
    </w:p>
    <w:p w14:paraId="2DB25505" w14:textId="77777777" w:rsidR="004B5FCD" w:rsidRPr="00A5780E" w:rsidRDefault="004B5FCD" w:rsidP="000A2592">
      <w:pPr>
        <w:jc w:val="both"/>
        <w:rPr>
          <w:rFonts w:cstheme="minorHAnsi"/>
          <w:sz w:val="20"/>
          <w:szCs w:val="20"/>
        </w:rPr>
      </w:pPr>
    </w:p>
    <w:p w14:paraId="09FCE810" w14:textId="4EC16D11" w:rsidR="007F6E00" w:rsidRPr="00A5780E" w:rsidRDefault="00B718CD" w:rsidP="00726501">
      <w:pPr>
        <w:jc w:val="center"/>
        <w:rPr>
          <w:rFonts w:cstheme="minorHAnsi"/>
          <w:sz w:val="24"/>
          <w:szCs w:val="24"/>
        </w:rPr>
      </w:pPr>
      <w:r>
        <w:rPr>
          <w:sz w:val="24"/>
        </w:rPr>
        <w:t xml:space="preserve">V Madridu, dne                          </w:t>
      </w:r>
    </w:p>
    <w:p w14:paraId="28C0A3AF" w14:textId="7E6F82AF" w:rsidR="007F6E00" w:rsidRPr="00243027" w:rsidRDefault="00D47CC2" w:rsidP="00726501">
      <w:pPr>
        <w:jc w:val="center"/>
        <w:rPr>
          <w:rFonts w:cstheme="minorHAnsi"/>
          <w:sz w:val="24"/>
          <w:szCs w:val="24"/>
        </w:rPr>
      </w:pPr>
      <w:r>
        <w:rPr>
          <w:sz w:val="24"/>
        </w:rPr>
        <w:t>MINISTRYNĚ DOPRAVY, MOBILITY A MĚSTSKÉ AGENDY</w:t>
      </w:r>
    </w:p>
    <w:p w14:paraId="2E0E23B7" w14:textId="7629F143" w:rsidR="007F6E00" w:rsidRPr="00243027" w:rsidRDefault="00D47CC2" w:rsidP="007F6E00">
      <w:pPr>
        <w:jc w:val="center"/>
        <w:rPr>
          <w:rFonts w:cstheme="minorHAnsi"/>
          <w:sz w:val="24"/>
          <w:szCs w:val="24"/>
        </w:rPr>
      </w:pPr>
      <w:r>
        <w:rPr>
          <w:sz w:val="24"/>
        </w:rPr>
        <w:t>Raquel Sánchez Jiménez</w:t>
      </w:r>
    </w:p>
    <w:p w14:paraId="20EDBF72" w14:textId="356D76E7" w:rsidR="00C73E8C" w:rsidRPr="00243027" w:rsidRDefault="00C760C9" w:rsidP="007F6E00">
      <w:pPr>
        <w:jc w:val="center"/>
        <w:rPr>
          <w:rFonts w:cstheme="minorHAnsi"/>
          <w:sz w:val="24"/>
          <w:szCs w:val="24"/>
        </w:rPr>
      </w:pPr>
      <w:r>
        <w:rPr>
          <w:sz w:val="24"/>
        </w:rPr>
        <w:t>TŘETÍ MÍSTOPŘEDSEDKYNĚ VLÁDY A MINISTRYNĚ PRO EKOLOGICKOU TRANSFORMACI A DEMOGRAFICKOU VÝZVU</w:t>
      </w:r>
    </w:p>
    <w:p w14:paraId="023B4DFC" w14:textId="0D381527" w:rsidR="00C73E8C" w:rsidRPr="00A5780E" w:rsidRDefault="00C73E8C" w:rsidP="007F6E00">
      <w:pPr>
        <w:jc w:val="center"/>
        <w:rPr>
          <w:rFonts w:cstheme="minorHAnsi"/>
          <w:sz w:val="24"/>
          <w:szCs w:val="24"/>
        </w:rPr>
      </w:pPr>
      <w:r>
        <w:rPr>
          <w:sz w:val="24"/>
        </w:rPr>
        <w:t>Teresa Ribera Rodríguez</w:t>
      </w:r>
    </w:p>
    <w:sectPr w:rsidR="00C73E8C" w:rsidRPr="00A5780E" w:rsidSect="008231A4">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6121" w14:textId="77777777" w:rsidR="00E330EB" w:rsidRDefault="00E330EB" w:rsidP="003B5AE7">
      <w:pPr>
        <w:spacing w:after="0" w:line="240" w:lineRule="auto"/>
      </w:pPr>
      <w:r>
        <w:separator/>
      </w:r>
    </w:p>
  </w:endnote>
  <w:endnote w:type="continuationSeparator" w:id="0">
    <w:p w14:paraId="4A8B2379" w14:textId="77777777" w:rsidR="00E330EB" w:rsidRDefault="00E330EB" w:rsidP="003B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1139" w14:textId="16F26D8C" w:rsidR="00251439" w:rsidRPr="00D214B0" w:rsidRDefault="00251439" w:rsidP="00D214B0">
    <w:pPr>
      <w:pStyle w:val="Footer"/>
      <w:rPr>
        <w:i/>
        <w:sz w:val="15"/>
        <w:szCs w:val="15"/>
      </w:rPr>
    </w:pPr>
    <w:r>
      <w:rPr>
        <w:i/>
        <w:sz w:val="15"/>
      </w:rPr>
      <w:t>Návrh královského výnosu, kterým se mění technický stavební řád, schválený královským výnosem č. 314/2006 ze dne 17. března 2006.</w:t>
    </w:r>
  </w:p>
  <w:p w14:paraId="53C3F409" w14:textId="5B87674E" w:rsidR="00251439" w:rsidRPr="00C864A9" w:rsidRDefault="00251439" w:rsidP="00D214B0">
    <w:pPr>
      <w:pStyle w:val="Footer"/>
      <w:rPr>
        <w:i/>
        <w:sz w:val="15"/>
        <w:szCs w:val="15"/>
      </w:rPr>
    </w:pPr>
    <w:r>
      <w:rPr>
        <w:i/>
        <w:sz w:val="15"/>
      </w:rPr>
      <w:t>Verze pro evropské poskytování veřejných informací. Říjen 2021</w:t>
    </w:r>
  </w:p>
  <w:p w14:paraId="5A7C5B16" w14:textId="50AC60C2" w:rsidR="00251439" w:rsidRPr="00724333" w:rsidRDefault="00251439" w:rsidP="00724333">
    <w:pPr>
      <w:pStyle w:val="Footer"/>
      <w:jc w:val="right"/>
      <w:rPr>
        <w:i/>
        <w:sz w:val="14"/>
        <w:szCs w:val="14"/>
      </w:rPr>
    </w:pPr>
    <w:r>
      <w:fldChar w:fldCharType="begin"/>
    </w:r>
    <w:r>
      <w:instrText>PAGE   \* MERGEFORMAT</w:instrText>
    </w:r>
    <w:r>
      <w:fldChar w:fldCharType="separate"/>
    </w:r>
    <w:r w:rsidR="001310AB">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4A85" w14:textId="77777777" w:rsidR="00E330EB" w:rsidRDefault="00E330EB" w:rsidP="003B5AE7">
      <w:pPr>
        <w:spacing w:after="0" w:line="240" w:lineRule="auto"/>
      </w:pPr>
      <w:r>
        <w:separator/>
      </w:r>
    </w:p>
  </w:footnote>
  <w:footnote w:type="continuationSeparator" w:id="0">
    <w:p w14:paraId="0D77733A" w14:textId="77777777" w:rsidR="00E330EB" w:rsidRDefault="00E330EB" w:rsidP="003B5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2625" w14:textId="4A8FE43D" w:rsidR="00251439" w:rsidRDefault="00251439">
    <w:pPr>
      <w:pStyle w:val="Header"/>
    </w:pPr>
    <w:r>
      <w:t xml:space="preserve">                                                                                                                                                       </w:t>
    </w:r>
    <w:r>
      <w:rPr>
        <w:noProof/>
      </w:rPr>
      <w:drawing>
        <wp:inline distT="0" distB="0" distL="0" distR="0" wp14:anchorId="20966383" wp14:editId="3C84ECB3">
          <wp:extent cx="619125" cy="6477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pic:spPr>
              </pic:pic>
            </a:graphicData>
          </a:graphic>
        </wp:inline>
      </w:drawing>
    </w:r>
  </w:p>
  <w:p w14:paraId="10BC8656" w14:textId="481F1BB0" w:rsidR="00251439" w:rsidRDefault="00251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9EF0" w14:textId="114BE53B"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jc w:val="both"/>
      <w:rPr>
        <w:rFonts w:ascii="Arial Narrow" w:eastAsia="Times New Roman" w:hAnsi="Arial Narrow" w:cs="Times New Roman"/>
        <w:b/>
        <w:sz w:val="16"/>
        <w:szCs w:val="24"/>
      </w:rPr>
    </w:pPr>
    <w:r>
      <w:rPr>
        <w:rFonts w:ascii="Arial" w:hAnsi="Arial"/>
        <w:b/>
        <w:sz w:val="18"/>
      </w:rPr>
      <w:t xml:space="preserve">   </w:t>
    </w:r>
    <w:r>
      <w:rPr>
        <w:rFonts w:ascii="Arial Narrow" w:hAnsi="Arial Narrow"/>
        <w:b/>
        <w:sz w:val="16"/>
      </w:rPr>
      <w:t xml:space="preserve"> </w:t>
    </w:r>
    <w:r>
      <w:rPr>
        <w:rFonts w:ascii="Arial Narrow" w:hAnsi="Arial Narrow"/>
        <w:b/>
        <w:sz w:val="16"/>
      </w:rPr>
      <w:tab/>
    </w:r>
    <w:r>
      <w:rPr>
        <w:rFonts w:ascii="Arial Narrow" w:hAnsi="Arial Narrow"/>
        <w:b/>
        <w:sz w:val="16"/>
      </w:rPr>
      <w:tab/>
    </w:r>
  </w:p>
  <w:p w14:paraId="79A3B465" w14:textId="13E7A8FD" w:rsidR="00251439"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Narrow" w:hAnsi="Arial Narrow"/>
        <w:b/>
        <w:noProof/>
        <w:sz w:val="16"/>
      </w:rPr>
      <w:drawing>
        <wp:anchor distT="0" distB="0" distL="114300" distR="114300" simplePos="0" relativeHeight="251659264" behindDoc="0" locked="0" layoutInCell="1" allowOverlap="1" wp14:anchorId="40951893" wp14:editId="22CFAD9A">
          <wp:simplePos x="0" y="0"/>
          <wp:positionH relativeFrom="margin">
            <wp:align>left</wp:align>
          </wp:positionH>
          <wp:positionV relativeFrom="paragraph">
            <wp:posOffset>15875</wp:posOffset>
          </wp:positionV>
          <wp:extent cx="607060" cy="640080"/>
          <wp:effectExtent l="0" t="0" r="2540" b="7620"/>
          <wp:wrapNone/>
          <wp:docPr id="8" name="Imagen 8" descr="EScudo de Españ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de Españ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060" cy="6400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sz w:val="18"/>
      </w:rPr>
      <w:t xml:space="preserve">MINISTERSTVO </w:t>
    </w:r>
  </w:p>
  <w:p w14:paraId="54CA275E" w14:textId="4F0B2553"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w:hAnsi="Arial"/>
        <w:b/>
        <w:sz w:val="18"/>
      </w:rPr>
      <w:t xml:space="preserve">ROZVOJE </w:t>
    </w:r>
  </w:p>
  <w:p w14:paraId="76954C5B" w14:textId="1EEE839A"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jc w:val="both"/>
      <w:rPr>
        <w:rFonts w:ascii="Times New Roman" w:eastAsia="Times New Roman" w:hAnsi="Times New Roman" w:cs="Times New Roman"/>
        <w:sz w:val="20"/>
        <w:szCs w:val="20"/>
      </w:rPr>
    </w:pPr>
    <w:r>
      <w:rPr>
        <w:rFonts w:ascii="Arial" w:hAnsi="Arial"/>
        <w:b/>
        <w:sz w:val="16"/>
      </w:rPr>
      <w:tab/>
    </w:r>
    <w:r>
      <w:rPr>
        <w:rFonts w:ascii="Arial" w:hAnsi="Arial"/>
        <w:b/>
        <w:sz w:val="16"/>
      </w:rPr>
      <w:tab/>
    </w:r>
  </w:p>
  <w:p w14:paraId="79D490F3" w14:textId="7D0527DA" w:rsidR="00251439" w:rsidRDefault="00251439">
    <w:pPr>
      <w:pStyle w:val="Header"/>
      <w:rPr>
        <w:rFonts w:ascii="Arial" w:eastAsia="Times New Roman" w:hAnsi="Arial" w:cs="Arial"/>
        <w:b/>
        <w:sz w:val="24"/>
        <w:szCs w:val="24"/>
        <w:lang w:eastAsia="es-ES"/>
      </w:rPr>
    </w:pPr>
  </w:p>
  <w:p w14:paraId="49D6D679" w14:textId="64072241" w:rsidR="00251439" w:rsidRDefault="00251439">
    <w:pPr>
      <w:pStyle w:val="Header"/>
    </w:pPr>
  </w:p>
  <w:p w14:paraId="00BA0649" w14:textId="52EEC367" w:rsidR="00251439" w:rsidRDefault="00251439">
    <w:pPr>
      <w:pStyle w:val="Header"/>
    </w:pPr>
  </w:p>
  <w:p w14:paraId="2CCB3AC8" w14:textId="77777777" w:rsidR="00251439" w:rsidRDefault="0025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1407" w:hanging="84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FBB6F6B"/>
    <w:multiLevelType w:val="hybridMultilevel"/>
    <w:tmpl w:val="BDDE631E"/>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9"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0"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num w:numId="1">
    <w:abstractNumId w:val="18"/>
  </w:num>
  <w:num w:numId="2">
    <w:abstractNumId w:val="21"/>
  </w:num>
  <w:num w:numId="3">
    <w:abstractNumId w:val="8"/>
  </w:num>
  <w:num w:numId="4">
    <w:abstractNumId w:val="8"/>
    <w:lvlOverride w:ilvl="0">
      <w:startOverride w:val="1"/>
    </w:lvlOverride>
  </w:num>
  <w:num w:numId="5">
    <w:abstractNumId w:val="1"/>
  </w:num>
  <w:num w:numId="6">
    <w:abstractNumId w:val="19"/>
  </w:num>
  <w:num w:numId="7">
    <w:abstractNumId w:val="3"/>
  </w:num>
  <w:num w:numId="8">
    <w:abstractNumId w:val="14"/>
  </w:num>
  <w:num w:numId="9">
    <w:abstractNumId w:val="13"/>
  </w:num>
  <w:num w:numId="10">
    <w:abstractNumId w:val="0"/>
  </w:num>
  <w:num w:numId="11">
    <w:abstractNumId w:val="16"/>
  </w:num>
  <w:num w:numId="12">
    <w:abstractNumId w:val="5"/>
  </w:num>
  <w:num w:numId="13">
    <w:abstractNumId w:val="7"/>
  </w:num>
  <w:num w:numId="14">
    <w:abstractNumId w:val="9"/>
  </w:num>
  <w:num w:numId="15">
    <w:abstractNumId w:val="11"/>
  </w:num>
  <w:num w:numId="16">
    <w:abstractNumId w:val="15"/>
  </w:num>
  <w:num w:numId="17">
    <w:abstractNumId w:val="10"/>
  </w:num>
  <w:num w:numId="18">
    <w:abstractNumId w:val="6"/>
  </w:num>
  <w:num w:numId="19">
    <w:abstractNumId w:val="22"/>
  </w:num>
  <w:num w:numId="20">
    <w:abstractNumId w:val="7"/>
  </w:num>
  <w:num w:numId="21">
    <w:abstractNumId w:val="4"/>
  </w:num>
  <w:num w:numId="22">
    <w:abstractNumId w:val="2"/>
  </w:num>
  <w:num w:numId="23">
    <w:abstractNumId w:val="12"/>
  </w:num>
  <w:num w:numId="24">
    <w:abstractNumId w:val="12"/>
  </w:num>
  <w:num w:numId="25">
    <w:abstractNumId w:val="20"/>
  </w:num>
  <w:num w:numId="26">
    <w:abstractNumId w:val="1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0B"/>
    <w:rsid w:val="00000058"/>
    <w:rsid w:val="000046C4"/>
    <w:rsid w:val="00006AA4"/>
    <w:rsid w:val="00016C0D"/>
    <w:rsid w:val="0002077F"/>
    <w:rsid w:val="0002652E"/>
    <w:rsid w:val="00032DFF"/>
    <w:rsid w:val="00033444"/>
    <w:rsid w:val="00033600"/>
    <w:rsid w:val="0005593E"/>
    <w:rsid w:val="0006038F"/>
    <w:rsid w:val="000616BC"/>
    <w:rsid w:val="0006744F"/>
    <w:rsid w:val="0007292F"/>
    <w:rsid w:val="00080851"/>
    <w:rsid w:val="00085400"/>
    <w:rsid w:val="00086A13"/>
    <w:rsid w:val="00093490"/>
    <w:rsid w:val="00095644"/>
    <w:rsid w:val="000A2592"/>
    <w:rsid w:val="000A5EC7"/>
    <w:rsid w:val="000A7580"/>
    <w:rsid w:val="000B7AFC"/>
    <w:rsid w:val="000B7F32"/>
    <w:rsid w:val="000C3B4D"/>
    <w:rsid w:val="000D0D60"/>
    <w:rsid w:val="000D2B8F"/>
    <w:rsid w:val="000D3991"/>
    <w:rsid w:val="000D3A71"/>
    <w:rsid w:val="000E4AF3"/>
    <w:rsid w:val="000E4F56"/>
    <w:rsid w:val="000F2A2B"/>
    <w:rsid w:val="000F3571"/>
    <w:rsid w:val="000F63EE"/>
    <w:rsid w:val="000F64D2"/>
    <w:rsid w:val="001027EF"/>
    <w:rsid w:val="00102A9F"/>
    <w:rsid w:val="001035FC"/>
    <w:rsid w:val="00110498"/>
    <w:rsid w:val="00111A60"/>
    <w:rsid w:val="00115C6B"/>
    <w:rsid w:val="00125FF0"/>
    <w:rsid w:val="001310AB"/>
    <w:rsid w:val="00154A68"/>
    <w:rsid w:val="00164A38"/>
    <w:rsid w:val="001710E9"/>
    <w:rsid w:val="00171BC6"/>
    <w:rsid w:val="00177AFA"/>
    <w:rsid w:val="00182065"/>
    <w:rsid w:val="0018403E"/>
    <w:rsid w:val="001942D6"/>
    <w:rsid w:val="001A4A03"/>
    <w:rsid w:val="001B0467"/>
    <w:rsid w:val="001B10E7"/>
    <w:rsid w:val="001B6C79"/>
    <w:rsid w:val="001C0414"/>
    <w:rsid w:val="001C3441"/>
    <w:rsid w:val="001C3958"/>
    <w:rsid w:val="001C3F11"/>
    <w:rsid w:val="001C78CB"/>
    <w:rsid w:val="001D6633"/>
    <w:rsid w:val="001D6759"/>
    <w:rsid w:val="001D7BA9"/>
    <w:rsid w:val="001E0B70"/>
    <w:rsid w:val="001E31F3"/>
    <w:rsid w:val="001F5EE6"/>
    <w:rsid w:val="001F6F43"/>
    <w:rsid w:val="002074C0"/>
    <w:rsid w:val="00210EA2"/>
    <w:rsid w:val="0021457A"/>
    <w:rsid w:val="00216F0F"/>
    <w:rsid w:val="00221EB9"/>
    <w:rsid w:val="0022470C"/>
    <w:rsid w:val="00234353"/>
    <w:rsid w:val="00241F86"/>
    <w:rsid w:val="00243027"/>
    <w:rsid w:val="0024794E"/>
    <w:rsid w:val="00251439"/>
    <w:rsid w:val="0025354C"/>
    <w:rsid w:val="00262992"/>
    <w:rsid w:val="0026457E"/>
    <w:rsid w:val="00281B93"/>
    <w:rsid w:val="00293928"/>
    <w:rsid w:val="002A5A94"/>
    <w:rsid w:val="002A5D7C"/>
    <w:rsid w:val="002C30D6"/>
    <w:rsid w:val="002D0113"/>
    <w:rsid w:val="002D7D1C"/>
    <w:rsid w:val="002E2C72"/>
    <w:rsid w:val="002E7342"/>
    <w:rsid w:val="002F03DF"/>
    <w:rsid w:val="002F25C7"/>
    <w:rsid w:val="002F2BD0"/>
    <w:rsid w:val="002F659F"/>
    <w:rsid w:val="00310A8D"/>
    <w:rsid w:val="00317A77"/>
    <w:rsid w:val="00317BE2"/>
    <w:rsid w:val="00324D93"/>
    <w:rsid w:val="00326CA0"/>
    <w:rsid w:val="0033081E"/>
    <w:rsid w:val="00336E42"/>
    <w:rsid w:val="003442DE"/>
    <w:rsid w:val="003444BA"/>
    <w:rsid w:val="00352537"/>
    <w:rsid w:val="00375290"/>
    <w:rsid w:val="00377681"/>
    <w:rsid w:val="00377FE2"/>
    <w:rsid w:val="003817E2"/>
    <w:rsid w:val="00382FCD"/>
    <w:rsid w:val="003934E5"/>
    <w:rsid w:val="00396131"/>
    <w:rsid w:val="003968DF"/>
    <w:rsid w:val="003B2168"/>
    <w:rsid w:val="003B5AE7"/>
    <w:rsid w:val="003B70CD"/>
    <w:rsid w:val="003C546E"/>
    <w:rsid w:val="003C6C30"/>
    <w:rsid w:val="003E1EAB"/>
    <w:rsid w:val="003E7B36"/>
    <w:rsid w:val="003F44CA"/>
    <w:rsid w:val="003F6E54"/>
    <w:rsid w:val="003F7C25"/>
    <w:rsid w:val="00402FD4"/>
    <w:rsid w:val="00421ADC"/>
    <w:rsid w:val="00431D05"/>
    <w:rsid w:val="00441D3E"/>
    <w:rsid w:val="00452BAA"/>
    <w:rsid w:val="00452C31"/>
    <w:rsid w:val="00455B6D"/>
    <w:rsid w:val="00462063"/>
    <w:rsid w:val="004701A9"/>
    <w:rsid w:val="00480D71"/>
    <w:rsid w:val="00491CEA"/>
    <w:rsid w:val="004A10E7"/>
    <w:rsid w:val="004B45D1"/>
    <w:rsid w:val="004B5FCD"/>
    <w:rsid w:val="004D10CA"/>
    <w:rsid w:val="004D3BD7"/>
    <w:rsid w:val="004E4176"/>
    <w:rsid w:val="004E508B"/>
    <w:rsid w:val="004F1A17"/>
    <w:rsid w:val="004F2B25"/>
    <w:rsid w:val="004F3383"/>
    <w:rsid w:val="005074AB"/>
    <w:rsid w:val="005105C6"/>
    <w:rsid w:val="0051117E"/>
    <w:rsid w:val="00520863"/>
    <w:rsid w:val="00524DE3"/>
    <w:rsid w:val="00527DF1"/>
    <w:rsid w:val="0053798E"/>
    <w:rsid w:val="00537B01"/>
    <w:rsid w:val="005433BB"/>
    <w:rsid w:val="005437FF"/>
    <w:rsid w:val="00547307"/>
    <w:rsid w:val="0054795D"/>
    <w:rsid w:val="00554EE5"/>
    <w:rsid w:val="005712DA"/>
    <w:rsid w:val="00586671"/>
    <w:rsid w:val="00586E69"/>
    <w:rsid w:val="00591233"/>
    <w:rsid w:val="005A107B"/>
    <w:rsid w:val="005A374C"/>
    <w:rsid w:val="005A6E61"/>
    <w:rsid w:val="005B0B9B"/>
    <w:rsid w:val="005B52A2"/>
    <w:rsid w:val="005D7D8A"/>
    <w:rsid w:val="005F57F5"/>
    <w:rsid w:val="00602DC7"/>
    <w:rsid w:val="006156E2"/>
    <w:rsid w:val="0062182D"/>
    <w:rsid w:val="00621F3C"/>
    <w:rsid w:val="006374D4"/>
    <w:rsid w:val="006424FF"/>
    <w:rsid w:val="00646DF9"/>
    <w:rsid w:val="00656C4A"/>
    <w:rsid w:val="006705CB"/>
    <w:rsid w:val="0067270E"/>
    <w:rsid w:val="0067340E"/>
    <w:rsid w:val="00675931"/>
    <w:rsid w:val="00675D0E"/>
    <w:rsid w:val="006960DA"/>
    <w:rsid w:val="006A0AAE"/>
    <w:rsid w:val="006A7F44"/>
    <w:rsid w:val="006B0CA4"/>
    <w:rsid w:val="006B41B9"/>
    <w:rsid w:val="006B44D8"/>
    <w:rsid w:val="006C16B4"/>
    <w:rsid w:val="006C222B"/>
    <w:rsid w:val="006D270F"/>
    <w:rsid w:val="006D63EB"/>
    <w:rsid w:val="006F5E38"/>
    <w:rsid w:val="007075D9"/>
    <w:rsid w:val="007104CA"/>
    <w:rsid w:val="00714745"/>
    <w:rsid w:val="00724333"/>
    <w:rsid w:val="00726501"/>
    <w:rsid w:val="00745C42"/>
    <w:rsid w:val="00750391"/>
    <w:rsid w:val="00760689"/>
    <w:rsid w:val="00760DFC"/>
    <w:rsid w:val="00761C8F"/>
    <w:rsid w:val="00762E62"/>
    <w:rsid w:val="0076421A"/>
    <w:rsid w:val="007769F1"/>
    <w:rsid w:val="007835B3"/>
    <w:rsid w:val="0078611E"/>
    <w:rsid w:val="007902B8"/>
    <w:rsid w:val="007943D1"/>
    <w:rsid w:val="007A6B25"/>
    <w:rsid w:val="007A6FD5"/>
    <w:rsid w:val="007B11B1"/>
    <w:rsid w:val="007B2844"/>
    <w:rsid w:val="007B745B"/>
    <w:rsid w:val="007C43B8"/>
    <w:rsid w:val="007C7A29"/>
    <w:rsid w:val="007D01D1"/>
    <w:rsid w:val="007E461E"/>
    <w:rsid w:val="007E7916"/>
    <w:rsid w:val="007F1589"/>
    <w:rsid w:val="007F27CB"/>
    <w:rsid w:val="007F6E00"/>
    <w:rsid w:val="00802B87"/>
    <w:rsid w:val="00822D0E"/>
    <w:rsid w:val="008231A4"/>
    <w:rsid w:val="00832A7B"/>
    <w:rsid w:val="00836E07"/>
    <w:rsid w:val="008409FA"/>
    <w:rsid w:val="00840E76"/>
    <w:rsid w:val="008411DF"/>
    <w:rsid w:val="00844FC7"/>
    <w:rsid w:val="00847CB0"/>
    <w:rsid w:val="0085697E"/>
    <w:rsid w:val="00861802"/>
    <w:rsid w:val="00893B19"/>
    <w:rsid w:val="0089545C"/>
    <w:rsid w:val="008A2754"/>
    <w:rsid w:val="008B44F1"/>
    <w:rsid w:val="008B6E85"/>
    <w:rsid w:val="008D0228"/>
    <w:rsid w:val="008E4C35"/>
    <w:rsid w:val="008E57F3"/>
    <w:rsid w:val="008E713D"/>
    <w:rsid w:val="008F4D49"/>
    <w:rsid w:val="009038AF"/>
    <w:rsid w:val="00904550"/>
    <w:rsid w:val="009064BC"/>
    <w:rsid w:val="0091543E"/>
    <w:rsid w:val="00921020"/>
    <w:rsid w:val="00922BA1"/>
    <w:rsid w:val="009277B6"/>
    <w:rsid w:val="00930637"/>
    <w:rsid w:val="00932D4B"/>
    <w:rsid w:val="00941763"/>
    <w:rsid w:val="0094331D"/>
    <w:rsid w:val="00982E58"/>
    <w:rsid w:val="00983E8A"/>
    <w:rsid w:val="00993E06"/>
    <w:rsid w:val="00995550"/>
    <w:rsid w:val="00997C7B"/>
    <w:rsid w:val="009A285F"/>
    <w:rsid w:val="009A76D6"/>
    <w:rsid w:val="009B455D"/>
    <w:rsid w:val="009C27C1"/>
    <w:rsid w:val="009D07FB"/>
    <w:rsid w:val="009D2D65"/>
    <w:rsid w:val="009D4D72"/>
    <w:rsid w:val="009E6521"/>
    <w:rsid w:val="009F3C32"/>
    <w:rsid w:val="009F5D1D"/>
    <w:rsid w:val="00A00D67"/>
    <w:rsid w:val="00A06D23"/>
    <w:rsid w:val="00A11949"/>
    <w:rsid w:val="00A1231F"/>
    <w:rsid w:val="00A15B8F"/>
    <w:rsid w:val="00A22E8C"/>
    <w:rsid w:val="00A231A5"/>
    <w:rsid w:val="00A314E0"/>
    <w:rsid w:val="00A31E16"/>
    <w:rsid w:val="00A37E8A"/>
    <w:rsid w:val="00A421E3"/>
    <w:rsid w:val="00A5056B"/>
    <w:rsid w:val="00A515D1"/>
    <w:rsid w:val="00A5780E"/>
    <w:rsid w:val="00A64E23"/>
    <w:rsid w:val="00A66C84"/>
    <w:rsid w:val="00A7353A"/>
    <w:rsid w:val="00A736D2"/>
    <w:rsid w:val="00A75681"/>
    <w:rsid w:val="00A83B79"/>
    <w:rsid w:val="00A84EDD"/>
    <w:rsid w:val="00A879E1"/>
    <w:rsid w:val="00A929A6"/>
    <w:rsid w:val="00A94A66"/>
    <w:rsid w:val="00A95EFB"/>
    <w:rsid w:val="00AA1645"/>
    <w:rsid w:val="00AB00C9"/>
    <w:rsid w:val="00AB01BA"/>
    <w:rsid w:val="00AB13E8"/>
    <w:rsid w:val="00AB1410"/>
    <w:rsid w:val="00AB398E"/>
    <w:rsid w:val="00AB39AB"/>
    <w:rsid w:val="00AB3E33"/>
    <w:rsid w:val="00AB4061"/>
    <w:rsid w:val="00AB7DDB"/>
    <w:rsid w:val="00AC2883"/>
    <w:rsid w:val="00AC6B49"/>
    <w:rsid w:val="00AD074F"/>
    <w:rsid w:val="00AD196A"/>
    <w:rsid w:val="00AE13F1"/>
    <w:rsid w:val="00AE5C9E"/>
    <w:rsid w:val="00AF5007"/>
    <w:rsid w:val="00AF5F8F"/>
    <w:rsid w:val="00B11927"/>
    <w:rsid w:val="00B233D0"/>
    <w:rsid w:val="00B23F9A"/>
    <w:rsid w:val="00B24946"/>
    <w:rsid w:val="00B2615A"/>
    <w:rsid w:val="00B2710C"/>
    <w:rsid w:val="00B27B56"/>
    <w:rsid w:val="00B33280"/>
    <w:rsid w:val="00B36793"/>
    <w:rsid w:val="00B46FDD"/>
    <w:rsid w:val="00B5187B"/>
    <w:rsid w:val="00B5455B"/>
    <w:rsid w:val="00B65F28"/>
    <w:rsid w:val="00B718CD"/>
    <w:rsid w:val="00B771BB"/>
    <w:rsid w:val="00B93550"/>
    <w:rsid w:val="00BA4C0D"/>
    <w:rsid w:val="00BA5813"/>
    <w:rsid w:val="00BB2E11"/>
    <w:rsid w:val="00BC1DD1"/>
    <w:rsid w:val="00BC5667"/>
    <w:rsid w:val="00BC7571"/>
    <w:rsid w:val="00BD43CA"/>
    <w:rsid w:val="00BF3C0E"/>
    <w:rsid w:val="00C06110"/>
    <w:rsid w:val="00C06D5A"/>
    <w:rsid w:val="00C101D1"/>
    <w:rsid w:val="00C101D9"/>
    <w:rsid w:val="00C11A71"/>
    <w:rsid w:val="00C249FB"/>
    <w:rsid w:val="00C2799B"/>
    <w:rsid w:val="00C33374"/>
    <w:rsid w:val="00C40409"/>
    <w:rsid w:val="00C454DB"/>
    <w:rsid w:val="00C536C9"/>
    <w:rsid w:val="00C56AFE"/>
    <w:rsid w:val="00C629FF"/>
    <w:rsid w:val="00C73E8C"/>
    <w:rsid w:val="00C760C9"/>
    <w:rsid w:val="00C828D4"/>
    <w:rsid w:val="00C864A9"/>
    <w:rsid w:val="00CA5D2D"/>
    <w:rsid w:val="00CA6776"/>
    <w:rsid w:val="00CA7BF5"/>
    <w:rsid w:val="00CB0CC2"/>
    <w:rsid w:val="00CB41FB"/>
    <w:rsid w:val="00CB78B4"/>
    <w:rsid w:val="00CC005A"/>
    <w:rsid w:val="00CC24B2"/>
    <w:rsid w:val="00CD7447"/>
    <w:rsid w:val="00CE7BEE"/>
    <w:rsid w:val="00D06F11"/>
    <w:rsid w:val="00D11FA7"/>
    <w:rsid w:val="00D214B0"/>
    <w:rsid w:val="00D32919"/>
    <w:rsid w:val="00D3439E"/>
    <w:rsid w:val="00D347BD"/>
    <w:rsid w:val="00D372F4"/>
    <w:rsid w:val="00D44383"/>
    <w:rsid w:val="00D45636"/>
    <w:rsid w:val="00D47CC2"/>
    <w:rsid w:val="00D5553D"/>
    <w:rsid w:val="00D55D29"/>
    <w:rsid w:val="00D56840"/>
    <w:rsid w:val="00D612CE"/>
    <w:rsid w:val="00D676D8"/>
    <w:rsid w:val="00D722CA"/>
    <w:rsid w:val="00D76296"/>
    <w:rsid w:val="00D85FB9"/>
    <w:rsid w:val="00D87872"/>
    <w:rsid w:val="00DA1748"/>
    <w:rsid w:val="00DA2B8F"/>
    <w:rsid w:val="00DB22B5"/>
    <w:rsid w:val="00DC3EE9"/>
    <w:rsid w:val="00DC6A97"/>
    <w:rsid w:val="00DD1CC9"/>
    <w:rsid w:val="00DE093A"/>
    <w:rsid w:val="00DE2988"/>
    <w:rsid w:val="00DE4292"/>
    <w:rsid w:val="00DE7274"/>
    <w:rsid w:val="00DF08A3"/>
    <w:rsid w:val="00DF380E"/>
    <w:rsid w:val="00DF5914"/>
    <w:rsid w:val="00DF5A31"/>
    <w:rsid w:val="00E047E3"/>
    <w:rsid w:val="00E104C8"/>
    <w:rsid w:val="00E26B23"/>
    <w:rsid w:val="00E330EB"/>
    <w:rsid w:val="00E35F60"/>
    <w:rsid w:val="00E44DB1"/>
    <w:rsid w:val="00E50D07"/>
    <w:rsid w:val="00E534C0"/>
    <w:rsid w:val="00E57D62"/>
    <w:rsid w:val="00E72CE6"/>
    <w:rsid w:val="00E87B89"/>
    <w:rsid w:val="00E90358"/>
    <w:rsid w:val="00E940EE"/>
    <w:rsid w:val="00E953CE"/>
    <w:rsid w:val="00EA32C0"/>
    <w:rsid w:val="00EB524D"/>
    <w:rsid w:val="00EB58A5"/>
    <w:rsid w:val="00EC16EA"/>
    <w:rsid w:val="00EC5D8C"/>
    <w:rsid w:val="00ED040A"/>
    <w:rsid w:val="00ED2920"/>
    <w:rsid w:val="00ED2FAD"/>
    <w:rsid w:val="00EE2146"/>
    <w:rsid w:val="00EE3728"/>
    <w:rsid w:val="00EF534F"/>
    <w:rsid w:val="00F0074D"/>
    <w:rsid w:val="00F017E3"/>
    <w:rsid w:val="00F11565"/>
    <w:rsid w:val="00F12AD6"/>
    <w:rsid w:val="00F279C2"/>
    <w:rsid w:val="00F342EB"/>
    <w:rsid w:val="00F357D9"/>
    <w:rsid w:val="00F400B0"/>
    <w:rsid w:val="00F60185"/>
    <w:rsid w:val="00F616E3"/>
    <w:rsid w:val="00F63E14"/>
    <w:rsid w:val="00F63FAE"/>
    <w:rsid w:val="00F672D7"/>
    <w:rsid w:val="00F723B7"/>
    <w:rsid w:val="00F75228"/>
    <w:rsid w:val="00F7778D"/>
    <w:rsid w:val="00F83DB3"/>
    <w:rsid w:val="00F90C96"/>
    <w:rsid w:val="00F95D0B"/>
    <w:rsid w:val="00FA7CE9"/>
    <w:rsid w:val="00FB308E"/>
    <w:rsid w:val="00FB3F17"/>
    <w:rsid w:val="00FC3764"/>
    <w:rsid w:val="00FD4F9C"/>
    <w:rsid w:val="00FF037E"/>
    <w:rsid w:val="00FF25EB"/>
    <w:rsid w:val="00FF30D9"/>
    <w:rsid w:val="00FF35BA"/>
    <w:rsid w:val="00FF73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21F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9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0F3571"/>
    <w:pPr>
      <w:keepNext/>
      <w:suppressAutoHyphens/>
      <w:spacing w:before="240" w:after="60" w:line="240" w:lineRule="auto"/>
      <w:outlineLvl w:val="3"/>
    </w:pPr>
    <w:rPr>
      <w:rFonts w:ascii="Calibri" w:eastAsia="Times New Roman" w:hAnsi="Calibri"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8A"/>
    <w:pPr>
      <w:ind w:left="720"/>
      <w:contextualSpacing/>
    </w:pPr>
  </w:style>
  <w:style w:type="character" w:styleId="CommentReference">
    <w:name w:val="annotation reference"/>
    <w:basedOn w:val="DefaultParagraphFont"/>
    <w:unhideWhenUsed/>
    <w:rsid w:val="00F12AD6"/>
    <w:rPr>
      <w:sz w:val="16"/>
      <w:szCs w:val="16"/>
    </w:rPr>
  </w:style>
  <w:style w:type="paragraph" w:styleId="CommentText">
    <w:name w:val="annotation text"/>
    <w:basedOn w:val="Normal"/>
    <w:link w:val="CommentTextChar"/>
    <w:unhideWhenUsed/>
    <w:qFormat/>
    <w:rsid w:val="00F12AD6"/>
    <w:pPr>
      <w:spacing w:line="240" w:lineRule="auto"/>
    </w:pPr>
    <w:rPr>
      <w:sz w:val="20"/>
      <w:szCs w:val="20"/>
    </w:rPr>
  </w:style>
  <w:style w:type="character" w:customStyle="1" w:styleId="CommentTextChar">
    <w:name w:val="Comment Text Char"/>
    <w:basedOn w:val="DefaultParagraphFont"/>
    <w:link w:val="CommentText"/>
    <w:uiPriority w:val="99"/>
    <w:semiHidden/>
    <w:rsid w:val="00F12AD6"/>
    <w:rPr>
      <w:sz w:val="20"/>
      <w:szCs w:val="20"/>
    </w:rPr>
  </w:style>
  <w:style w:type="paragraph" w:styleId="BalloonText">
    <w:name w:val="Balloon Text"/>
    <w:basedOn w:val="Normal"/>
    <w:link w:val="BalloonTextChar"/>
    <w:uiPriority w:val="99"/>
    <w:semiHidden/>
    <w:unhideWhenUsed/>
    <w:rsid w:val="00F12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056B"/>
    <w:rPr>
      <w:b/>
      <w:bCs/>
    </w:rPr>
  </w:style>
  <w:style w:type="character" w:customStyle="1" w:styleId="CommentSubjectChar">
    <w:name w:val="Comment Subject Char"/>
    <w:basedOn w:val="CommentTextChar"/>
    <w:link w:val="CommentSubject"/>
    <w:uiPriority w:val="99"/>
    <w:semiHidden/>
    <w:rsid w:val="00A5056B"/>
    <w:rPr>
      <w:b/>
      <w:bCs/>
      <w:sz w:val="20"/>
      <w:szCs w:val="20"/>
    </w:rPr>
  </w:style>
  <w:style w:type="paragraph" w:styleId="Header">
    <w:name w:val="header"/>
    <w:basedOn w:val="Normal"/>
    <w:link w:val="HeaderChar"/>
    <w:uiPriority w:val="99"/>
    <w:unhideWhenUsed/>
    <w:rsid w:val="003B5AE7"/>
    <w:pPr>
      <w:tabs>
        <w:tab w:val="center" w:pos="4252"/>
        <w:tab w:val="right" w:pos="8504"/>
      </w:tabs>
      <w:spacing w:after="0" w:line="240" w:lineRule="auto"/>
    </w:pPr>
  </w:style>
  <w:style w:type="character" w:customStyle="1" w:styleId="HeaderChar">
    <w:name w:val="Header Char"/>
    <w:basedOn w:val="DefaultParagraphFont"/>
    <w:link w:val="Header"/>
    <w:uiPriority w:val="99"/>
    <w:rsid w:val="003B5AE7"/>
  </w:style>
  <w:style w:type="paragraph" w:styleId="Footer">
    <w:name w:val="footer"/>
    <w:basedOn w:val="Normal"/>
    <w:link w:val="FooterChar"/>
    <w:uiPriority w:val="99"/>
    <w:unhideWhenUsed/>
    <w:rsid w:val="003B5AE7"/>
    <w:pPr>
      <w:tabs>
        <w:tab w:val="center" w:pos="4252"/>
        <w:tab w:val="right" w:pos="8504"/>
      </w:tabs>
      <w:spacing w:after="0" w:line="240" w:lineRule="auto"/>
    </w:pPr>
  </w:style>
  <w:style w:type="character" w:customStyle="1" w:styleId="FooterChar">
    <w:name w:val="Footer Char"/>
    <w:basedOn w:val="DefaultParagraphFont"/>
    <w:link w:val="Footer"/>
    <w:uiPriority w:val="99"/>
    <w:rsid w:val="003B5AE7"/>
  </w:style>
  <w:style w:type="table" w:styleId="TableGrid">
    <w:name w:val="Table Grid"/>
    <w:basedOn w:val="TableNormal"/>
    <w:uiPriority w:val="39"/>
    <w:rsid w:val="0033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0B0"/>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CE7BEE"/>
  </w:style>
  <w:style w:type="paragraph" w:customStyle="1" w:styleId="CTENumeracion">
    <w:name w:val="CTE_Numeracion"/>
    <w:basedOn w:val="Normal"/>
    <w:rsid w:val="00016C0D"/>
    <w:pPr>
      <w:spacing w:before="60" w:after="60" w:line="240" w:lineRule="auto"/>
      <w:ind w:left="357" w:hanging="357"/>
      <w:jc w:val="both"/>
    </w:pPr>
    <w:rPr>
      <w:rFonts w:ascii="Arial" w:eastAsia="Times New Roman" w:hAnsi="Arial" w:cs="Times New Roman"/>
      <w:sz w:val="20"/>
      <w:szCs w:val="24"/>
      <w:lang w:eastAsia="es-ES"/>
    </w:rPr>
  </w:style>
  <w:style w:type="character" w:customStyle="1" w:styleId="CTEModTachaprob">
    <w:name w:val="CTE_Mod_Tach_aprob"/>
    <w:rsid w:val="00D06F11"/>
    <w:rPr>
      <w:strike w:val="0"/>
      <w:dstrike w:val="0"/>
      <w:shd w:val="clear" w:color="auto" w:fill="FFFF00"/>
    </w:rPr>
  </w:style>
  <w:style w:type="paragraph" w:styleId="BodyTextIndent2">
    <w:name w:val="Body Text Indent 2"/>
    <w:basedOn w:val="Normal"/>
    <w:link w:val="BodyTextIndent2Char"/>
    <w:uiPriority w:val="99"/>
    <w:semiHidden/>
    <w:unhideWhenUsed/>
    <w:rsid w:val="00D06F11"/>
    <w:pPr>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BodyTextIndent2Char">
    <w:name w:val="Body Text Indent 2 Char"/>
    <w:basedOn w:val="DefaultParagraphFont"/>
    <w:link w:val="BodyTextIndent2"/>
    <w:uiPriority w:val="99"/>
    <w:semiHidden/>
    <w:rsid w:val="00D06F11"/>
    <w:rPr>
      <w:rFonts w:ascii="Times New Roman" w:eastAsia="Times New Roman" w:hAnsi="Times New Roman" w:cs="Times New Roman"/>
      <w:sz w:val="20"/>
      <w:szCs w:val="20"/>
      <w:lang w:eastAsia="zh-CN"/>
    </w:rPr>
  </w:style>
  <w:style w:type="paragraph" w:customStyle="1" w:styleId="CteTtulo3">
    <w:name w:val="CteTítulo3"/>
    <w:basedOn w:val="Normal"/>
    <w:next w:val="Normal"/>
    <w:autoRedefine/>
    <w:rsid w:val="000F3571"/>
    <w:pPr>
      <w:keepNext/>
      <w:numPr>
        <w:ilvl w:val="2"/>
      </w:numPr>
      <w:spacing w:before="60" w:after="120" w:line="240" w:lineRule="auto"/>
      <w:ind w:left="851"/>
      <w:jc w:val="both"/>
      <w:outlineLvl w:val="3"/>
    </w:pPr>
    <w:rPr>
      <w:rFonts w:ascii="Arial" w:eastAsia="Times New Roman" w:hAnsi="Arial" w:cs="Times New Roman"/>
      <w:b/>
      <w:bCs/>
      <w:lang w:eastAsia="zh-CN"/>
    </w:rPr>
  </w:style>
  <w:style w:type="paragraph" w:customStyle="1" w:styleId="CteAnejo-TituloSeccion">
    <w:name w:val="CteAnejo-TituloSeccion"/>
    <w:basedOn w:val="Normal"/>
    <w:rsid w:val="00D06F11"/>
    <w:pPr>
      <w:keepNext/>
      <w:spacing w:before="480" w:line="240" w:lineRule="auto"/>
      <w:outlineLvl w:val="0"/>
    </w:pPr>
    <w:rPr>
      <w:rFonts w:ascii="Arial" w:eastAsia="Times New Roman" w:hAnsi="Arial" w:cs="Times New Roman"/>
      <w:b/>
      <w:bCs/>
      <w:sz w:val="32"/>
      <w:szCs w:val="24"/>
      <w:lang w:eastAsia="es-ES"/>
    </w:rPr>
  </w:style>
  <w:style w:type="character" w:customStyle="1" w:styleId="EstiloCTEModTachaprob16ptNegritaSinTachado">
    <w:name w:val="Estilo CTE_Mod_Tach_aprob + 16 pt Negrita Sin Tachado"/>
    <w:rsid w:val="00D06F11"/>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D06F11"/>
    <w:rPr>
      <w:strike/>
      <w:dstrike w:val="0"/>
      <w:bdr w:val="none" w:sz="0" w:space="0" w:color="auto"/>
      <w:shd w:val="clear" w:color="auto" w:fill="auto"/>
    </w:rPr>
  </w:style>
  <w:style w:type="paragraph" w:styleId="BodyText">
    <w:name w:val="Body Text"/>
    <w:basedOn w:val="Normal"/>
    <w:link w:val="BodyTextChar"/>
    <w:uiPriority w:val="99"/>
    <w:semiHidden/>
    <w:unhideWhenUsed/>
    <w:rsid w:val="000F3571"/>
    <w:pPr>
      <w:spacing w:after="120"/>
    </w:pPr>
  </w:style>
  <w:style w:type="character" w:customStyle="1" w:styleId="BodyTextChar">
    <w:name w:val="Body Text Char"/>
    <w:basedOn w:val="DefaultParagraphFont"/>
    <w:link w:val="BodyText"/>
    <w:uiPriority w:val="99"/>
    <w:semiHidden/>
    <w:rsid w:val="000F3571"/>
  </w:style>
  <w:style w:type="character" w:customStyle="1" w:styleId="Heading4Char">
    <w:name w:val="Heading 4 Char"/>
    <w:basedOn w:val="DefaultParagraphFont"/>
    <w:link w:val="Heading4"/>
    <w:uiPriority w:val="9"/>
    <w:rsid w:val="000F3571"/>
    <w:rPr>
      <w:rFonts w:ascii="Calibri" w:eastAsia="Times New Roman" w:hAnsi="Calibri" w:cs="Times New Roman"/>
      <w:b/>
      <w:bCs/>
      <w:sz w:val="28"/>
      <w:szCs w:val="28"/>
      <w:lang w:eastAsia="zh-CN"/>
    </w:rPr>
  </w:style>
  <w:style w:type="paragraph" w:customStyle="1" w:styleId="nota">
    <w:name w:val="nota"/>
    <w:basedOn w:val="Normal"/>
    <w:rsid w:val="000F3571"/>
    <w:pPr>
      <w:tabs>
        <w:tab w:val="left" w:pos="1122"/>
        <w:tab w:val="left" w:pos="1309"/>
      </w:tabs>
      <w:spacing w:after="0" w:line="240" w:lineRule="auto"/>
      <w:jc w:val="both"/>
    </w:pPr>
    <w:rPr>
      <w:rFonts w:ascii="Arial" w:eastAsia="Times New Roman" w:hAnsi="Arial" w:cs="Arial"/>
      <w:bCs/>
      <w:sz w:val="20"/>
      <w:szCs w:val="24"/>
      <w:lang w:eastAsia="es-ES"/>
    </w:rPr>
  </w:style>
  <w:style w:type="paragraph" w:customStyle="1" w:styleId="Ttulo1CTE">
    <w:name w:val="Título1CTE"/>
    <w:basedOn w:val="Heading1"/>
    <w:next w:val="Normal"/>
    <w:autoRedefine/>
    <w:rsid w:val="00ED2920"/>
    <w:pPr>
      <w:keepLines w:val="0"/>
      <w:spacing w:after="200" w:line="240" w:lineRule="auto"/>
      <w:jc w:val="both"/>
    </w:pPr>
    <w:rPr>
      <w:rFonts w:ascii="Arial" w:eastAsia="Times New Roman" w:hAnsi="Arial" w:cs="Arial"/>
      <w:b/>
      <w:bCs/>
      <w:color w:val="auto"/>
      <w:kern w:val="32"/>
      <w:sz w:val="28"/>
      <w:lang w:eastAsia="es-ES"/>
    </w:rPr>
  </w:style>
  <w:style w:type="character" w:customStyle="1" w:styleId="Heading1Char">
    <w:name w:val="Heading 1 Char"/>
    <w:basedOn w:val="DefaultParagraphFont"/>
    <w:link w:val="Heading1"/>
    <w:uiPriority w:val="9"/>
    <w:rsid w:val="00ED2920"/>
    <w:rPr>
      <w:rFonts w:asciiTheme="majorHAnsi" w:eastAsiaTheme="majorEastAsia" w:hAnsiTheme="majorHAnsi" w:cstheme="majorBidi"/>
      <w:color w:val="2E74B5" w:themeColor="accent1" w:themeShade="BF"/>
      <w:sz w:val="32"/>
      <w:szCs w:val="32"/>
    </w:rPr>
  </w:style>
  <w:style w:type="paragraph" w:customStyle="1" w:styleId="artculo-tex">
    <w:name w:val="artículo-tex"/>
    <w:basedOn w:val="Normal"/>
    <w:rsid w:val="007902B8"/>
    <w:pPr>
      <w:pBdr>
        <w:top w:val="single" w:sz="4" w:space="1" w:color="00000A"/>
        <w:left w:val="single" w:sz="4" w:space="4" w:color="00000A"/>
        <w:bottom w:val="single" w:sz="4" w:space="1" w:color="00000A"/>
        <w:right w:val="single" w:sz="4" w:space="4" w:color="00000A"/>
      </w:pBdr>
      <w:suppressAutoHyphens/>
      <w:autoSpaceDN w:val="0"/>
      <w:spacing w:before="60" w:after="60" w:line="240" w:lineRule="auto"/>
      <w:textAlignment w:val="baseline"/>
    </w:pPr>
    <w:rPr>
      <w:rFonts w:ascii="Arial" w:eastAsia="Arial" w:hAnsi="Arial" w:cs="Arial"/>
      <w:kern w:val="3"/>
      <w:szCs w:val="24"/>
      <w:lang w:eastAsia="es-ES" w:bidi="hi-IN"/>
    </w:rPr>
  </w:style>
  <w:style w:type="numbering" w:customStyle="1" w:styleId="WWNum3">
    <w:name w:val="WWNum3"/>
    <w:basedOn w:val="NoList"/>
    <w:rsid w:val="007902B8"/>
    <w:pPr>
      <w:numPr>
        <w:numId w:val="3"/>
      </w:numPr>
    </w:pPr>
  </w:style>
  <w:style w:type="paragraph" w:styleId="Revision">
    <w:name w:val="Revision"/>
    <w:hidden/>
    <w:uiPriority w:val="99"/>
    <w:semiHidden/>
    <w:rsid w:val="009064BC"/>
    <w:pPr>
      <w:spacing w:after="0" w:line="240" w:lineRule="auto"/>
    </w:pPr>
  </w:style>
  <w:style w:type="paragraph" w:styleId="NormalWeb">
    <w:name w:val="Normal (Web)"/>
    <w:basedOn w:val="Normal"/>
    <w:uiPriority w:val="99"/>
    <w:semiHidden/>
    <w:unhideWhenUsed/>
    <w:rsid w:val="004D10CA"/>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7654">
      <w:bodyDiv w:val="1"/>
      <w:marLeft w:val="0"/>
      <w:marRight w:val="0"/>
      <w:marTop w:val="0"/>
      <w:marBottom w:val="0"/>
      <w:divBdr>
        <w:top w:val="none" w:sz="0" w:space="0" w:color="auto"/>
        <w:left w:val="none" w:sz="0" w:space="0" w:color="auto"/>
        <w:bottom w:val="none" w:sz="0" w:space="0" w:color="auto"/>
        <w:right w:val="none" w:sz="0" w:space="0" w:color="auto"/>
      </w:divBdr>
    </w:div>
    <w:div w:id="60955575">
      <w:bodyDiv w:val="1"/>
      <w:marLeft w:val="0"/>
      <w:marRight w:val="0"/>
      <w:marTop w:val="0"/>
      <w:marBottom w:val="0"/>
      <w:divBdr>
        <w:top w:val="none" w:sz="0" w:space="0" w:color="auto"/>
        <w:left w:val="none" w:sz="0" w:space="0" w:color="auto"/>
        <w:bottom w:val="none" w:sz="0" w:space="0" w:color="auto"/>
        <w:right w:val="none" w:sz="0" w:space="0" w:color="auto"/>
      </w:divBdr>
    </w:div>
    <w:div w:id="121000711">
      <w:bodyDiv w:val="1"/>
      <w:marLeft w:val="0"/>
      <w:marRight w:val="0"/>
      <w:marTop w:val="0"/>
      <w:marBottom w:val="0"/>
      <w:divBdr>
        <w:top w:val="none" w:sz="0" w:space="0" w:color="auto"/>
        <w:left w:val="none" w:sz="0" w:space="0" w:color="auto"/>
        <w:bottom w:val="none" w:sz="0" w:space="0" w:color="auto"/>
        <w:right w:val="none" w:sz="0" w:space="0" w:color="auto"/>
      </w:divBdr>
    </w:div>
    <w:div w:id="376441447">
      <w:bodyDiv w:val="1"/>
      <w:marLeft w:val="0"/>
      <w:marRight w:val="0"/>
      <w:marTop w:val="0"/>
      <w:marBottom w:val="0"/>
      <w:divBdr>
        <w:top w:val="none" w:sz="0" w:space="0" w:color="auto"/>
        <w:left w:val="none" w:sz="0" w:space="0" w:color="auto"/>
        <w:bottom w:val="none" w:sz="0" w:space="0" w:color="auto"/>
        <w:right w:val="none" w:sz="0" w:space="0" w:color="auto"/>
      </w:divBdr>
    </w:div>
    <w:div w:id="396248004">
      <w:bodyDiv w:val="1"/>
      <w:marLeft w:val="0"/>
      <w:marRight w:val="0"/>
      <w:marTop w:val="0"/>
      <w:marBottom w:val="0"/>
      <w:divBdr>
        <w:top w:val="none" w:sz="0" w:space="0" w:color="auto"/>
        <w:left w:val="none" w:sz="0" w:space="0" w:color="auto"/>
        <w:bottom w:val="none" w:sz="0" w:space="0" w:color="auto"/>
        <w:right w:val="none" w:sz="0" w:space="0" w:color="auto"/>
      </w:divBdr>
    </w:div>
    <w:div w:id="509684053">
      <w:bodyDiv w:val="1"/>
      <w:marLeft w:val="0"/>
      <w:marRight w:val="0"/>
      <w:marTop w:val="0"/>
      <w:marBottom w:val="0"/>
      <w:divBdr>
        <w:top w:val="none" w:sz="0" w:space="0" w:color="auto"/>
        <w:left w:val="none" w:sz="0" w:space="0" w:color="auto"/>
        <w:bottom w:val="none" w:sz="0" w:space="0" w:color="auto"/>
        <w:right w:val="none" w:sz="0" w:space="0" w:color="auto"/>
      </w:divBdr>
    </w:div>
    <w:div w:id="546919842">
      <w:bodyDiv w:val="1"/>
      <w:marLeft w:val="0"/>
      <w:marRight w:val="0"/>
      <w:marTop w:val="0"/>
      <w:marBottom w:val="0"/>
      <w:divBdr>
        <w:top w:val="none" w:sz="0" w:space="0" w:color="auto"/>
        <w:left w:val="none" w:sz="0" w:space="0" w:color="auto"/>
        <w:bottom w:val="none" w:sz="0" w:space="0" w:color="auto"/>
        <w:right w:val="none" w:sz="0" w:space="0" w:color="auto"/>
      </w:divBdr>
    </w:div>
    <w:div w:id="722481125">
      <w:bodyDiv w:val="1"/>
      <w:marLeft w:val="0"/>
      <w:marRight w:val="0"/>
      <w:marTop w:val="0"/>
      <w:marBottom w:val="0"/>
      <w:divBdr>
        <w:top w:val="none" w:sz="0" w:space="0" w:color="auto"/>
        <w:left w:val="none" w:sz="0" w:space="0" w:color="auto"/>
        <w:bottom w:val="none" w:sz="0" w:space="0" w:color="auto"/>
        <w:right w:val="none" w:sz="0" w:space="0" w:color="auto"/>
      </w:divBdr>
    </w:div>
    <w:div w:id="770051861">
      <w:bodyDiv w:val="1"/>
      <w:marLeft w:val="0"/>
      <w:marRight w:val="0"/>
      <w:marTop w:val="0"/>
      <w:marBottom w:val="0"/>
      <w:divBdr>
        <w:top w:val="none" w:sz="0" w:space="0" w:color="auto"/>
        <w:left w:val="none" w:sz="0" w:space="0" w:color="auto"/>
        <w:bottom w:val="none" w:sz="0" w:space="0" w:color="auto"/>
        <w:right w:val="none" w:sz="0" w:space="0" w:color="auto"/>
      </w:divBdr>
    </w:div>
    <w:div w:id="1072502409">
      <w:bodyDiv w:val="1"/>
      <w:marLeft w:val="0"/>
      <w:marRight w:val="0"/>
      <w:marTop w:val="0"/>
      <w:marBottom w:val="0"/>
      <w:divBdr>
        <w:top w:val="none" w:sz="0" w:space="0" w:color="auto"/>
        <w:left w:val="none" w:sz="0" w:space="0" w:color="auto"/>
        <w:bottom w:val="none" w:sz="0" w:space="0" w:color="auto"/>
        <w:right w:val="none" w:sz="0" w:space="0" w:color="auto"/>
      </w:divBdr>
    </w:div>
    <w:div w:id="1357737051">
      <w:bodyDiv w:val="1"/>
      <w:marLeft w:val="0"/>
      <w:marRight w:val="0"/>
      <w:marTop w:val="0"/>
      <w:marBottom w:val="0"/>
      <w:divBdr>
        <w:top w:val="none" w:sz="0" w:space="0" w:color="auto"/>
        <w:left w:val="none" w:sz="0" w:space="0" w:color="auto"/>
        <w:bottom w:val="none" w:sz="0" w:space="0" w:color="auto"/>
        <w:right w:val="none" w:sz="0" w:space="0" w:color="auto"/>
      </w:divBdr>
    </w:div>
    <w:div w:id="1387997225">
      <w:bodyDiv w:val="1"/>
      <w:marLeft w:val="0"/>
      <w:marRight w:val="0"/>
      <w:marTop w:val="0"/>
      <w:marBottom w:val="0"/>
      <w:divBdr>
        <w:top w:val="none" w:sz="0" w:space="0" w:color="auto"/>
        <w:left w:val="none" w:sz="0" w:space="0" w:color="auto"/>
        <w:bottom w:val="none" w:sz="0" w:space="0" w:color="auto"/>
        <w:right w:val="none" w:sz="0" w:space="0" w:color="auto"/>
      </w:divBdr>
    </w:div>
    <w:div w:id="1499466132">
      <w:bodyDiv w:val="1"/>
      <w:marLeft w:val="0"/>
      <w:marRight w:val="0"/>
      <w:marTop w:val="0"/>
      <w:marBottom w:val="0"/>
      <w:divBdr>
        <w:top w:val="none" w:sz="0" w:space="0" w:color="auto"/>
        <w:left w:val="none" w:sz="0" w:space="0" w:color="auto"/>
        <w:bottom w:val="none" w:sz="0" w:space="0" w:color="auto"/>
        <w:right w:val="none" w:sz="0" w:space="0" w:color="auto"/>
      </w:divBdr>
    </w:div>
    <w:div w:id="1542666667">
      <w:bodyDiv w:val="1"/>
      <w:marLeft w:val="0"/>
      <w:marRight w:val="0"/>
      <w:marTop w:val="0"/>
      <w:marBottom w:val="0"/>
      <w:divBdr>
        <w:top w:val="none" w:sz="0" w:space="0" w:color="auto"/>
        <w:left w:val="none" w:sz="0" w:space="0" w:color="auto"/>
        <w:bottom w:val="none" w:sz="0" w:space="0" w:color="auto"/>
        <w:right w:val="none" w:sz="0" w:space="0" w:color="auto"/>
      </w:divBdr>
    </w:div>
    <w:div w:id="1667325047">
      <w:bodyDiv w:val="1"/>
      <w:marLeft w:val="0"/>
      <w:marRight w:val="0"/>
      <w:marTop w:val="0"/>
      <w:marBottom w:val="0"/>
      <w:divBdr>
        <w:top w:val="none" w:sz="0" w:space="0" w:color="auto"/>
        <w:left w:val="none" w:sz="0" w:space="0" w:color="auto"/>
        <w:bottom w:val="none" w:sz="0" w:space="0" w:color="auto"/>
        <w:right w:val="none" w:sz="0" w:space="0" w:color="auto"/>
      </w:divBdr>
    </w:div>
    <w:div w:id="213393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334,55,Diapositiva 55"/></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FEA9B-792F-40C8-B620-4B433326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6533</Words>
  <Characters>37239</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2021-10-05T06:19:00Z</dcterms:created>
  <dcterms:modified xsi:type="dcterms:W3CDTF">2021-11-03T09:42:00Z</dcterms:modified>
</cp:coreProperties>
</file>