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Luonnos kuninkaan asetukseksi</w:t>
      </w:r>
      <w:r>
        <w:rPr>
          <w:b/>
        </w:rPr>
        <w:tab/>
      </w:r>
      <w:r>
        <w:rPr>
          <w:b/>
        </w:rPr>
        <w:tab/>
        <w:t>, annettu [päivämäärä], 17 päivänä maaliskuuta 2006 annetulla kuninkaan asetuksella 314/2006 hyväksyttyjen teknisten rakennusmääräysten muuttamisesta</w:t>
      </w:r>
    </w:p>
    <w:p w14:paraId="42548872" w14:textId="172DDCC5" w:rsidR="005074AB" w:rsidRPr="003934E5" w:rsidRDefault="005074AB" w:rsidP="005074AB">
      <w:pPr>
        <w:jc w:val="both"/>
        <w:rPr>
          <w:rFonts w:cstheme="minorHAnsi"/>
        </w:rPr>
      </w:pPr>
      <w:r>
        <w:t>Rakennusmääräyksistä 5 päivänä marraskuuta 1999 annetussa laissa 38/1999 määritellään tekniset rakennusmääräykset sääntelykehykseksi, jossa vahvistetaan rakennusten ja niiden laitteistojen peruslaatuvaatimukset ja joka mahdollistaa sen 3 §:ssä vahvistettujen perusvaatimusten noudattamisen. Tässä laissa säädetyt tekniset rakennusmääräykset (CTE) hyväksyttiin 17 päivänä maaliskuuta 2006 annetulla kuninkaan asetuksella 314/2006. CTE:n II osan muodostavissa perusasiakirjoissa vahvistetaan ja tarvittaessa kvantifioidaan I osassa vahvistetut perusvaatimukset asettamalla suorituskykytavoitteiden tasot tai rajat tai muut parametrit. Erityisesti DB-HE-perusasiakirjassa ”Energiansäästöt” täsmennetään ja kvantifioidaan energiatehokkuusvaatimukset, jotka uusien rakennusten on täytettävä, sekä olemassa olevia rakennuksia koskevat toimet.</w:t>
      </w:r>
    </w:p>
    <w:p w14:paraId="400360D8" w14:textId="77777777" w:rsidR="005074AB" w:rsidRPr="003934E5" w:rsidRDefault="005074AB" w:rsidP="005074AB">
      <w:pPr>
        <w:jc w:val="both"/>
        <w:rPr>
          <w:rFonts w:cstheme="minorHAnsi"/>
        </w:rPr>
      </w:pPr>
      <w:r>
        <w:t>Euroopan parlamentin ja neuvoston direktiivi (EU) 2018/844 rakennusten energiatehokkuudesta annetun direktiivin 2010/31/EU ja energiatehokkuudesta annetun direktiivin 2012/27/EU muuttamisesta annettiin 30 päivänä toukokuuta 2018.</w:t>
      </w:r>
    </w:p>
    <w:p w14:paraId="0B5B2276" w14:textId="142A5C6B" w:rsidR="005A6E61" w:rsidRPr="003934E5" w:rsidRDefault="005074AB" w:rsidP="005A6E61">
      <w:pPr>
        <w:jc w:val="both"/>
        <w:rPr>
          <w:rFonts w:cstheme="minorHAnsi"/>
        </w:rPr>
      </w:pPr>
      <w:r>
        <w:t>Tässä direktiivissä vahvistetaan edellytykset sellaisen vähimmäisinfrastruktuurin kehittämiselle, jota tarvitaan sähköajoneuvojen älykkääseen lataamiseen rakennusten pysäköintialueilla. Näin ollen sekä rakennus- että liikennealat ovat strategisessa asemassa talouden hiilestä irtautumisen kannalta, ja niiden sääntelykehyksen tavoitteena on edistää innovointia, kestävyyttä ja energiatehokkuutta näillä aloilla.</w:t>
      </w:r>
    </w:p>
    <w:p w14:paraId="4245C855" w14:textId="1828DE90" w:rsidR="005A6E61" w:rsidRPr="003934E5" w:rsidRDefault="005A6E61" w:rsidP="005A6E61">
      <w:pPr>
        <w:jc w:val="both"/>
        <w:rPr>
          <w:rFonts w:cstheme="minorHAnsi"/>
        </w:rPr>
      </w:pPr>
      <w:r>
        <w:t>Sähköajoneuvojen älykkään latausinfrastruktuurin kehittäminen puolestaan edistää osaltaan energia-alan hallintaa ja joustavuutta, uusiutuvien energialähteiden käyttöä ja ilmanlaadun parantamista, ja sen energiatehokkuutta optimoidaan lisäämällä rakennusten digitalisaatiota ja ottamalla käyttöön uusia teknologioita.</w:t>
      </w:r>
    </w:p>
    <w:p w14:paraId="45A016F5" w14:textId="74A214E6" w:rsidR="005A6E61" w:rsidRPr="003934E5" w:rsidRDefault="005A6E61" w:rsidP="005A6E61">
      <w:pPr>
        <w:jc w:val="both"/>
        <w:rPr>
          <w:rFonts w:cstheme="minorHAnsi"/>
        </w:rPr>
      </w:pPr>
      <w:r>
        <w:t xml:space="preserve">Espanjan Euroopan komissiolle toimittamassa yhdennetyssä kansallisessa energia- ja ilmastosuunnitelmassa 2021–2030 (NECP) kaavaillaan puolestaan sähköisen liikkuvuuden edistämistä toimenpiteenä energiankulutuksen ja ajoneuvojen päästöjen vähentämiseksi mukauttamalla lainsäädäntöä ja sisällyttämällä siihen Euroopan unionin lainsäädäntöä, mikä mahdollistaa sähköajoneuvojen latausinfrastruktuurin käyttöönoton ajoneuvokannan sähköistämisen kehittämisen mukaisesti, ja muiden kannustin- ja tukimekanismien avulla. </w:t>
      </w:r>
    </w:p>
    <w:p w14:paraId="3BF925DC" w14:textId="3FA9F544" w:rsidR="00A75681" w:rsidRPr="000E4F56" w:rsidRDefault="00C33374" w:rsidP="00A75681">
      <w:pPr>
        <w:jc w:val="both"/>
        <w:rPr>
          <w:rFonts w:cstheme="minorHAnsi"/>
        </w:rPr>
      </w:pPr>
      <w:r>
        <w:t>Näiden tavoitteiden saavuttamiseksi ja direktiivin saattamiseksi osittain osaksi kansallista lainsäädäntöä tältä osin tällä kuninkaan asetuksella lisätään teknisiin rakennusmääräyksiin uusi energiansäästöä koskeva perusvaatimus, joka liittyy sähköajoneuvojen vähimmäislatausinfrastruktuuriin; tätä vaatimusta kehitetään energiansäästöjä koskevan perusasiakirjan uudessa HE 6 luvussa ”Sähköajoneuvojen vähimmäislatausinfrastruktuurit”. Jotta varmistetaan esteettömien pysäköintipaikkojen latauspisteiden esteettömyys, muutetaan perusasiakirjaa DB-SUA ”Käytön turvallisuus ja esteettömyys”.</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t xml:space="preserve">Ilmastonmuutoksesta ja energiasiirtymästä 20 päivänä toukokuuta 2021 annetun lain 7/2021 säännösten mukaisesti teknisten rakennusmääräysten hyväksymisestä 17 päivänä </w:t>
      </w:r>
      <w:r>
        <w:lastRenderedPageBreak/>
        <w:t xml:space="preserve">maaliskuuta 2006 annetun kuninkaan asetuksen 314/2006 ainoassa lisäsäännöksessä vahvistetaan vaatimus, joka koskee sähköajoneuvojen vähimmäislatausinfrastruktuuria muissa kuin yksityisessä asuinkäytössä olevissa rakennuksissa, joiden pysäköintialueella on yli 20 pysäköintipaikkaa joko rakennuksen sisällä tai määrätyssä ulkotilassa ja jotka eivät kuulu energiansäästöjä koskevan perusasiakirjan HE6 luvun soveltamisalaan. Ilmastonmuutoksesta ja energiasiirtymästä 20 päivänä toukokuuta 2021 annetussa laissa 7/2021 säädetään velvollisuudesta ottaa tämä teknisissä rakennusmääräyksissä määritetty infrastruktuuri käyttöön ennen 1 päivää tammikuuta 2023. </w:t>
      </w:r>
    </w:p>
    <w:p w14:paraId="1192FDEB" w14:textId="77777777" w:rsidR="005074AB" w:rsidRPr="009064BC" w:rsidRDefault="005074AB" w:rsidP="005074AB">
      <w:pPr>
        <w:jc w:val="both"/>
        <w:rPr>
          <w:rFonts w:cstheme="minorHAnsi"/>
        </w:rPr>
      </w:pPr>
      <w:r>
        <w:t>Sähköajoneuvojen latausinfrastruktuurien sääntelyn täydentämiseksi muutetaan 12 päivänä joulukuuta 2014 annetulla kuninkaan asetuksella 1053/2014 hyväksytyn pienjännitesähköteknisen määräyksen teknistä lisäohjetta (ITC) BT-52 ja määräyksen muita teknisiä lisäohjeita.</w:t>
      </w:r>
    </w:p>
    <w:p w14:paraId="53205125" w14:textId="62D4F2A6" w:rsidR="005A6E61" w:rsidRPr="009064BC" w:rsidRDefault="005074AB" w:rsidP="005A6E61">
      <w:pPr>
        <w:jc w:val="both"/>
        <w:rPr>
          <w:rFonts w:cstheme="minorHAnsi"/>
        </w:rPr>
      </w:pPr>
      <w:r>
        <w:t xml:space="preserve">Lisäksi NECP-suunnitelmassa pyritään edistämään uusiutuvan energian käyttöä, parantamaan tuotantoalojen kilpailukykyä ja lisäämään kuluttajien osallistumista omaan energianhallintaansa kehittämällä itse tuotetun uusiutuvan energian kulutusta ja hajautettua tuotantoa asuin- ja yritysalueilla. </w:t>
      </w:r>
    </w:p>
    <w:p w14:paraId="4F23D1D3" w14:textId="56BE7436" w:rsidR="005074AB" w:rsidRPr="009064BC" w:rsidRDefault="005A6E61" w:rsidP="005074AB">
      <w:pPr>
        <w:jc w:val="both"/>
        <w:rPr>
          <w:rFonts w:cstheme="minorHAnsi"/>
        </w:rPr>
      </w:pPr>
      <w:r>
        <w:t xml:space="preserve">Tältä osin itse tuotetun sähköenergian kulutusta koskevien hallinnollisten, teknisten ja taloudellisten edellytysten sääntelystä 5 päivänä huhtikuuta 2019 annettu kuninkaan asetus 244/2019 on mahdollistanut muun muassa itse tuotetun energian kollektiivisen kulutuksen ja samalla vähentänyt itse tuotetun energian kulutuksen toteuttamiseen liittyviä hallinnollisia menettelyjä. Tämän vuoksi katsotaan, että nykyinen oikeudellinen kehys mahdollistaa sähköenergian vähimmäistuotantoa koskevan perusvaatimuksen HE 5 soveltamisalan laajentamisen sekä soveltamalla sitä yksityiseen asuinkäyttöön tarkoitettuihin rakennuksiin että alentamalla kaikenlaiseen käyttöön tarkoitettujen rakennusten rakennettujen pinta-alojen kynnysarvoa, josta lähtien tätä vaatimusta sovelletaan. </w:t>
      </w:r>
    </w:p>
    <w:p w14:paraId="2C3560FF" w14:textId="60FA6548" w:rsidR="005074AB" w:rsidRDefault="005074AB" w:rsidP="005074AB">
      <w:pPr>
        <w:jc w:val="both"/>
        <w:rPr>
          <w:rFonts w:cstheme="minorHAnsi"/>
        </w:rPr>
      </w:pPr>
      <w:r>
        <w:t>Lisäksi tehdään asianmukaiset korjaukset, koska 17 päivänä maaliskuuta 2006 annetulla kuninkaan asetuksella 314/2006 hyväksyttyjen teknisten rakennusmääräysten muuttamisesta 20 päivänä joulukuuta 2019 annetussa kuninkaan asetuksessa 732/2019 (Espanjan virallinen lehti nro 311, 27.12.2019) on havaittu virheitä ja painovirheitä. DB-HE-perusasiakirjan ”Energiansäästöt” soveltamistavan selventämiseksi sen jälkeen, kun se on saatettu ajan tasalle edellä mainitulla kuninkaan asetuksella 732/2019, katsotaan tarpeelliseksi muuttaa energian kysynnän valvontaan liittyviä edellytyksiä koskevan HE 1 luvun eräiden kohtien ja edellä mainitun perusasiakirjan terminologiaa koskevan liitteen A sanamuotoja.</w:t>
      </w:r>
    </w:p>
    <w:p w14:paraId="010C68C8" w14:textId="6D1CCB96" w:rsidR="00E26B23" w:rsidRDefault="00E26B23" w:rsidP="00B65F28">
      <w:pPr>
        <w:jc w:val="both"/>
        <w:rPr>
          <w:rFonts w:cstheme="minorHAnsi"/>
          <w:bCs/>
        </w:rPr>
      </w:pPr>
      <w:r>
        <w:t xml:space="preserve">Teknisten määräysten muutos, joka koskee energiansäästöjä koskevan perusasiakirjan uuden HE 6 luvun ”Sähköajoneuvojen vähimmäislatausinfrastruktuurit” sisällyttämistä sekä uuden teknisen lisäohjeen (ITC) BT 52 hyväksymisestä 12 päivänä joulukuuta 2014 annetun kuninkaan asetuksen 1053/2014 muuttamista, joka sisältyy ensimmäiseen loppusäännökseen, ja ainoa lisäsäännös teknisten rakennusmääräysten hyväksymisestä 17 päivänä maaliskuuta 2006 annettuun kuninkaan asetukseen 314/2006 ovat osa elpymis- ja palautumissuunnitelmassa (PRTR) suunniteltuja oikeudellisia uudistuksia. Erityisesti PRTR:n 1 komponentissa ”Kaupunki- ja suurkaupunkiympäristöjen kestävää, turvallista ja verkottunutta liikennettä koskeva toimintasuunnitelma” sitoudutaan hyväksymään tämä kuninkaan asetus, jolla pannaan täytäntöön edellä mainitut uudistuksen C1.R1, ”Suunnitelma sähköajoneuvojen </w:t>
      </w:r>
      <w:r>
        <w:lastRenderedPageBreak/>
        <w:t xml:space="preserve">latausinfrastruktuurin käyttöönottamiseksi ja sähköisten ajoneuvojen käytön edistämiseksi”, oikeudelliset uudistukset.  Uudistus C1.R1 on suunniteltu lakisääteiseksi ja strategiseksi sääntelykehykseksi, jolla helpotetaan latausinfrastruktuurin käyttöönottoa sähköajoneuvojen käytön edistämiseksi Espanjassa, ja sillä on kaksi välitavoitetta. Ensimmäinen niistä muodostuu yleisille teille ja huoltoteille pääsyn sekä palvelupaikkojen rakentamisen sääntelystä 16 päivänä joulukuuta 1997 annetun määräyksen muuttamisesta 19 päivänä helmikuuta 2020 annetusta määräyksestä TMA/178/2020 ja energia-alaa ja muita aloja koskevien toimenpiteiden hyväksymisestä talouden elvyttämiseksi 23 päivänä kesäkuuta 2020 annetusta kuninkaan asetuksesta 23/2020. Uudistuksen C1.R1 toinen välitavoite sisältää tämän teknisten rakennusmääräysten muuttamisesta annetun kuninkaan asetuksen hyväksymisen ja uuden teknisen lisäohjeen (ITC) BT 52 hyväksymisestä 12 päivänä joulukuuta 2014 annetun kuninkaan asetuksen 1053/2014.  Uudistus C1.R1 liittyy investointiin C1.I2 ”Latauspisteiden asentamista, sähköajoneuvojen ja polttokennokäyttöisten ajoneuvojen hankintaa sekä innovaatioita sähköisen liikkuvuuden, lataamisen ja vihreän vedyn alalla koskeva tukiohjelma”. Tähän investointiin sisältyvät autonomisille alueille sekä Ceutan ja Melillan kaupungeille annettavan suoran tuen hyväksymisestä sähköiseen liikkuvuuteen liittyvien tukiohjelmien (MOVES III) toteuttamiseksi PRTR:n puitteissa 13 päivänä huhtikuuta 2021 annetussa kuninkaan asetuksessa 266/2021 määritellyt tuet latausasemien asentamiseksi. </w:t>
      </w:r>
    </w:p>
    <w:p w14:paraId="65C24996" w14:textId="1073EF13" w:rsidR="003F7C25" w:rsidRPr="001C78CB" w:rsidRDefault="003F7C25" w:rsidP="005074AB">
      <w:pPr>
        <w:jc w:val="both"/>
        <w:rPr>
          <w:rFonts w:cstheme="minorHAnsi"/>
          <w:bCs/>
          <w:i/>
          <w:iCs/>
        </w:rPr>
      </w:pPr>
      <w:r>
        <w:t xml:space="preserve">Tässä kuninkaan asetuksessa noudatetaan ”ei merkittävää haittaa” -periaatetta ja ilmastoon liittyviä ja digitaalisia merkintöjä koskevia edellytyksiä PRTR:n, elpymis- ja palautumistukivälineen perustamisesta 12 päivänä helmikuuta 2021 annetun Euroopan parlamentin ja neuvoston asetuksen (EU) 2021/241 säännösten ja sen täytäntöönpanolainsäädännön mukaisesti, sekä erityisesti komission tiedonantoa ”Tekniset ohjeet ”ei merkittävää haittaa” -periaatteen soveltamiseksi elpymis- ja palautumistukivälinettä koskevan asetuksen mukaisesti” sekä Espanjan elpymis- ja palautumissuunnitelmasta tehdyn arvion hyväksymisestä annetun neuvoston täytäntöönpanopäätöksen vaatimuksia. Tämä sisältää PRTR:n 1 komponentissa ja 1 uudistuksessa, joiden puitteissa tämä kuninkaan asetus on laadittu, määriteltyjen erityisten edellytysten noudattamisen sekä ”ei merkittävää haittaa” -periaatteen että ilmastoon liittyvien ja digitaalisten merkintöjen osalta, ja erityisesti PRTR-asiakirjan 3, 6 ja 8 kohdan vaatimusten noudattamisen. Elpymis- ja palautumissuunnitelman investoinneissa C1.I2, jotka liittyvät uudistukseen C1.R1, noudatetaan myös ympäristöä koskevaa ”ei merkittävää haittaa” -periaatetta sekä ilmastoon liittyviä ja digitaalisia merkintöjä koskevia edellytyksiä. </w:t>
      </w:r>
    </w:p>
    <w:p w14:paraId="16D6EC35" w14:textId="6F02251C" w:rsidR="005074AB" w:rsidRPr="009064BC" w:rsidRDefault="005074AB" w:rsidP="005074AB">
      <w:pPr>
        <w:ind w:left="13"/>
        <w:jc w:val="both"/>
        <w:rPr>
          <w:rFonts w:cstheme="minorHAnsi"/>
        </w:rPr>
      </w:pPr>
      <w:r>
        <w:t xml:space="preserve">Tämä kuninkaan asetus on julkishallinnon yhteisestä hallintomenettelystä 1 päivänä lokakuuta 2015 annetun lain 39/2015 129 §:ssä vahvistettujen välttämättömyyden, vaikuttavuuden, oikeasuhteisuuden, oikeusvarmuuden, avoimuuden ja tehokkuuden periaatteiden mukainen. Välttämättömyys- ja vaikuttavuusperiaatteiden osalta lailla vastataan velvollisuuteen saattaa EU:n direktiivit osaksi kansallista lainsäädäntöä ja se on yleisen edun mukaisten sellaisten tavoitteiden mukainen, joita ovat esimerkiksi rakennusinfrastruktuurin mukauttaminen kestävän liikkuvuuden ja uusiutuvan energian käytön edistämiseksi. Tämä johtaa hyvinvointiin yhteiskunnassa ja ympäristönsuojeluun. Tämä kuninkaan asetus on myös oikeasuhteisuusperiaatteen mukainen, koska siinä säädetään tarvittavista ja riittävistä keinoista direktiivissä säädetyn oikeudellisen toimivallan täytäntöönpanemiseksi, mutta siinä ei edellytetä sellaista innovaatiota, joka olisi tarpeeton tai ylittäisi lakisääteiset vaatimukset, eikä </w:t>
      </w:r>
      <w:r>
        <w:lastRenderedPageBreak/>
        <w:t>sillä rajoiteta kansalaisten oikeuksia. Tämä asetus on oikeusvarmuuden periaatteen mukainen, koska se on laadittu hallituksesta 27 päivänä marraskuuta 1997 annetussa laissa 50/1997 määriteltyjen menettelyjen mukaisesti, ja avoimuusperiaatteen mukainen, koska siinä määritellään selkeästi sen tarkoitus ja sen sisältö selitetään kokonaisuudessaan julkisesti saatavilla olevissa perusteluissa. Se on myös tehokkuusperiaatteen mukainen, koska se ei aiheuta hallinnollista taakkaa.</w:t>
      </w:r>
    </w:p>
    <w:p w14:paraId="4E30715D" w14:textId="77777777" w:rsidR="005074AB" w:rsidRPr="009064BC" w:rsidRDefault="005074AB" w:rsidP="005074AB">
      <w:pPr>
        <w:jc w:val="both"/>
        <w:rPr>
          <w:rFonts w:cstheme="minorHAnsi"/>
        </w:rPr>
      </w:pPr>
      <w:r>
        <w:t>Tähän yleiseen säännökseen on sovellettu teknisiä määräyksiä ja tietoyhteiskunnan palveluja koskevia määräyksiä koskevaa tiedotusmenettelyä, josta säädetään 9 päivänä syyskuuta 2015 annetussa Euroopan parlamentin ja neuvoston direktiivissä (EU) 2015/1535 ja 31 päivänä heinäkuuta 1999 annetussa kuninkaan asetuksessa 1337/1999.</w:t>
      </w:r>
    </w:p>
    <w:p w14:paraId="533AAB8D" w14:textId="741A459B" w:rsidR="003C546E" w:rsidRDefault="003C546E" w:rsidP="003C546E">
      <w:pPr>
        <w:jc w:val="both"/>
        <w:rPr>
          <w:rFonts w:cstheme="minorHAnsi"/>
        </w:rPr>
      </w:pPr>
      <w:r>
        <w:t>Tämän johdosta liikenne-, liikkuvuus- ja kaupunkiministerin, hallituksen kolmannen varapääministerin ja ekologisesta siirtymästä ja väestöhaasteista vastaavan ministerin ehdotuksesta yhteisymmärryksessä valtioneuvoston kanssa ja ministerineuvoston käsiteltyä asiaa kokouksessaan</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t>SÄÄDETÄÄN SEURAAVAA:</w:t>
      </w:r>
    </w:p>
    <w:p w14:paraId="29194849" w14:textId="17EA67F9" w:rsidR="005074AB" w:rsidRPr="0033081E" w:rsidRDefault="002A5A94" w:rsidP="005074AB">
      <w:pPr>
        <w:jc w:val="both"/>
        <w:rPr>
          <w:rFonts w:cstheme="minorHAnsi"/>
          <w:bCs/>
          <w:i/>
          <w:iCs/>
        </w:rPr>
      </w:pPr>
      <w:r>
        <w:t xml:space="preserve">Ainoa pykälä. </w:t>
      </w:r>
      <w:r>
        <w:rPr>
          <w:i/>
        </w:rPr>
        <w:t>Maaliskuun 17 päivänä 2006 annetulla kuninkaan asetuksella 314/2006 hyväksyttyjen teknisten rakennusmääräysten (CTE) muuttaminen.</w:t>
      </w:r>
    </w:p>
    <w:p w14:paraId="49F6DB5C" w14:textId="77777777" w:rsidR="005074AB" w:rsidRPr="009064BC" w:rsidRDefault="005074AB" w:rsidP="005074AB">
      <w:pPr>
        <w:jc w:val="both"/>
        <w:rPr>
          <w:rFonts w:cstheme="minorHAnsi"/>
        </w:rPr>
      </w:pPr>
      <w:r>
        <w:t>Muutetaan teknisten rakennusmääräysten (CTE) hyväksymisestä 17 päivänä maaliskuuta 2006 annettu kuninkaan asetus 314/2006 seuraavasti:</w:t>
      </w:r>
    </w:p>
    <w:p w14:paraId="1E4A23CD" w14:textId="3CA20F16" w:rsidR="005074AB" w:rsidRPr="009064BC" w:rsidRDefault="005074AB" w:rsidP="005074AB">
      <w:pPr>
        <w:ind w:left="567" w:hanging="567"/>
        <w:jc w:val="both"/>
        <w:rPr>
          <w:rFonts w:cstheme="minorHAnsi"/>
        </w:rPr>
      </w:pPr>
      <w:r>
        <w:t>Yksi. Muutetaan teknisten rakennusmääräysten I osa seuraavasti:</w:t>
      </w:r>
    </w:p>
    <w:p w14:paraId="7B36765A" w14:textId="6C7BF234" w:rsidR="006B44D8" w:rsidRPr="009064BC" w:rsidRDefault="006B44D8" w:rsidP="0033081E">
      <w:pPr>
        <w:ind w:left="142" w:hanging="142"/>
        <w:jc w:val="both"/>
        <w:rPr>
          <w:rFonts w:cstheme="minorHAnsi"/>
        </w:rPr>
      </w:pPr>
      <w:r>
        <w:t>– Muutetaan sisällysluettelossa ilmaisu ”15.6. Perusvaatimus HE 5: Sähköenergian vähimmäistuotanto” seuraavasti:</w:t>
      </w:r>
    </w:p>
    <w:p w14:paraId="750B02FB" w14:textId="5E773080" w:rsidR="006B44D8" w:rsidRPr="009064BC" w:rsidRDefault="006B44D8" w:rsidP="00F11565">
      <w:pPr>
        <w:ind w:left="426"/>
        <w:jc w:val="both"/>
        <w:rPr>
          <w:rFonts w:cstheme="minorHAnsi"/>
        </w:rPr>
      </w:pPr>
      <w:r>
        <w:t>”15.6. Perusvaatimus HE 5: HE5 luku: Uusiutuvista energialähteistä tuotetun sähköenergian vähimmäistuotanto.”</w:t>
      </w:r>
    </w:p>
    <w:p w14:paraId="0B75EAC4" w14:textId="77777777" w:rsidR="006B44D8" w:rsidRPr="009064BC" w:rsidRDefault="006B44D8" w:rsidP="006B44D8">
      <w:pPr>
        <w:numPr>
          <w:ilvl w:val="0"/>
          <w:numId w:val="9"/>
        </w:numPr>
        <w:ind w:left="142" w:hanging="142"/>
        <w:jc w:val="both"/>
        <w:rPr>
          <w:rFonts w:cstheme="minorHAnsi"/>
        </w:rPr>
      </w:pPr>
      <w:r>
        <w:t>Lisätään sisällysluetteloon 15 kohtaa koskevaan viittaukseen uusi alakohta, jonka teksti on seuraava:</w:t>
      </w:r>
    </w:p>
    <w:p w14:paraId="1C1AB680" w14:textId="1D8C7D23" w:rsidR="006B44D8" w:rsidRPr="009064BC" w:rsidRDefault="007E461E" w:rsidP="00F11565">
      <w:pPr>
        <w:ind w:left="426"/>
        <w:jc w:val="both"/>
        <w:rPr>
          <w:rFonts w:cstheme="minorHAnsi"/>
        </w:rPr>
      </w:pPr>
      <w:r>
        <w:t>”15.7. Perusvaatimus HE6: Sähköajoneuvojen vähimmäislatausinfrastruktuurit”</w:t>
      </w:r>
    </w:p>
    <w:p w14:paraId="03B3513D" w14:textId="1133ED17" w:rsidR="001E31F3" w:rsidRPr="002C30D6" w:rsidRDefault="005074AB" w:rsidP="005074AB">
      <w:pPr>
        <w:numPr>
          <w:ilvl w:val="0"/>
          <w:numId w:val="9"/>
        </w:numPr>
        <w:ind w:left="142" w:hanging="142"/>
        <w:jc w:val="both"/>
        <w:rPr>
          <w:rFonts w:cstheme="minorHAnsi"/>
        </w:rPr>
      </w:pPr>
      <w:r>
        <w:t>Muutetaan 3 kappaleen 15 kohdan 15.6 alakohta seuraavasti:</w:t>
      </w:r>
    </w:p>
    <w:p w14:paraId="1E36A006" w14:textId="3C6E29CB" w:rsidR="001E31F3" w:rsidRPr="009064BC" w:rsidRDefault="00F11565" w:rsidP="00F11565">
      <w:pPr>
        <w:pStyle w:val="ListParagraph"/>
        <w:ind w:left="426"/>
        <w:jc w:val="both"/>
        <w:rPr>
          <w:rFonts w:cstheme="minorHAnsi"/>
        </w:rPr>
      </w:pPr>
      <w:r>
        <w:t>”15.6 Perusvaatimus HE 5: Uusiutuvista energialähteistä tuotetun sähköenergian vähimmäistuotanto.</w:t>
      </w:r>
    </w:p>
    <w:p w14:paraId="4799EB9C" w14:textId="22AE3D4A" w:rsidR="001E31F3" w:rsidRPr="009064BC" w:rsidRDefault="001B0467" w:rsidP="00F11565">
      <w:pPr>
        <w:ind w:left="426"/>
        <w:jc w:val="both"/>
        <w:rPr>
          <w:rFonts w:cstheme="minorHAnsi"/>
        </w:rPr>
      </w:pPr>
      <w:r>
        <w:t>Rakennuksissa on oltava uusiutuvista energialähteistä peräisin olevia sähköenergian tuotantojärjestelmiä omaa käyttöä tai verkkoon toimittamista varten.”</w:t>
      </w:r>
    </w:p>
    <w:p w14:paraId="799517C6" w14:textId="6A449415" w:rsidR="005074AB" w:rsidRPr="009064BC" w:rsidRDefault="001E31F3" w:rsidP="005074AB">
      <w:pPr>
        <w:numPr>
          <w:ilvl w:val="0"/>
          <w:numId w:val="9"/>
        </w:numPr>
        <w:ind w:left="142" w:hanging="142"/>
        <w:jc w:val="both"/>
        <w:rPr>
          <w:rFonts w:cstheme="minorHAnsi"/>
        </w:rPr>
      </w:pPr>
      <w:r>
        <w:t>Lisätään 15 kohdan loppuun seuraava ilmaisu:</w:t>
      </w:r>
    </w:p>
    <w:p w14:paraId="67BDEE2E" w14:textId="77777777" w:rsidR="005074AB" w:rsidRPr="009064BC" w:rsidRDefault="005074AB" w:rsidP="00F11565">
      <w:pPr>
        <w:ind w:left="426"/>
        <w:jc w:val="both"/>
        <w:rPr>
          <w:rFonts w:cstheme="minorHAnsi"/>
        </w:rPr>
      </w:pPr>
      <w:r>
        <w:t>”15.7 Perusvaatimus HE 6: Sähköajoneuvojen vähimmäislatausinfrastruktuurit.</w:t>
      </w:r>
    </w:p>
    <w:p w14:paraId="7C67403C" w14:textId="535BDE0B" w:rsidR="005074AB" w:rsidRDefault="005074AB" w:rsidP="00F11565">
      <w:pPr>
        <w:ind w:left="426"/>
        <w:jc w:val="both"/>
        <w:rPr>
          <w:rFonts w:cstheme="minorHAnsi"/>
        </w:rPr>
      </w:pPr>
      <w:r>
        <w:lastRenderedPageBreak/>
        <w:t>Rakennuksissa on oltava vähimmäisinfrastruktuuri, joka mahdollistaa sähköajoneuvojen lataamisen.”</w:t>
      </w:r>
    </w:p>
    <w:p w14:paraId="6F674517" w14:textId="77777777" w:rsidR="002A5A94" w:rsidRPr="000E4F56" w:rsidRDefault="002A5A94" w:rsidP="002A5A94">
      <w:pPr>
        <w:pStyle w:val="ListParagraph"/>
        <w:numPr>
          <w:ilvl w:val="0"/>
          <w:numId w:val="9"/>
        </w:numPr>
        <w:ind w:left="142" w:hanging="142"/>
        <w:jc w:val="both"/>
        <w:rPr>
          <w:rFonts w:cstheme="minorHAnsi"/>
        </w:rPr>
      </w:pPr>
      <w:r>
        <w:t>Lisätään seuraava lisäsäännös:</w:t>
      </w:r>
    </w:p>
    <w:p w14:paraId="2417D1DC" w14:textId="3DAEE52F" w:rsidR="002A5A94" w:rsidRPr="0033081E" w:rsidRDefault="002A5A94" w:rsidP="002A5A94">
      <w:pPr>
        <w:ind w:left="426"/>
        <w:jc w:val="both"/>
        <w:rPr>
          <w:rFonts w:cstheme="minorHAnsi"/>
          <w:bCs/>
          <w:i/>
          <w:iCs/>
        </w:rPr>
      </w:pPr>
      <w:r>
        <w:t xml:space="preserve">”Ainoa lisäsäännös. </w:t>
      </w:r>
      <w:r>
        <w:rPr>
          <w:i/>
        </w:rPr>
        <w:t>Sähköajoneuvojen vähimmäislatausinfrastruktuurit muissa kuin yksityisissä asuinkäytössä olevissa rakennuksissa, joissa on yli 20 pysäköintipaikkaa.</w:t>
      </w:r>
    </w:p>
    <w:p w14:paraId="71CE31DD" w14:textId="72E1754E" w:rsidR="0067270E" w:rsidRPr="008F4D49" w:rsidRDefault="0067270E" w:rsidP="0067270E">
      <w:pPr>
        <w:ind w:left="426"/>
        <w:jc w:val="both"/>
      </w:pPr>
      <w:r>
        <w:t>Ilmastonmuutoksesta ja energiasiirtymästä 20 päivänä toukokuuta 2021 annetun lain 7/2021 säännösten mukaan ennen 1 päivää tammikuuta 2023 kaikissa muissa kuin yksityisessä asuinkäytössä olevissa rakennuksissa, joiden pysäköintialueella on yli 20 pysäköintipaikkaa joko rakennuksen sisällä tai määrätyssä ulkotilassa, on oltava vähintään seuraavat sähköajoneuvojen latausinfrastruktuurit:</w:t>
      </w:r>
    </w:p>
    <w:p w14:paraId="2339A7CE" w14:textId="2F683544" w:rsidR="0067270E" w:rsidRPr="00DC3EE9" w:rsidRDefault="0067270E" w:rsidP="00675D0E">
      <w:pPr>
        <w:ind w:left="426"/>
        <w:jc w:val="both"/>
        <w:rPr>
          <w:rFonts w:cstheme="minorHAnsi"/>
        </w:rPr>
      </w:pPr>
      <w:r>
        <w:t>– yleensä jokaista 40:tä pysäköintipaikkaa (tai vastaavaa) kohden aina 1 000 paikkaan asti on asennettava yksi latausasema ja yksi latausasema kutakin tämän ylittävää 100:aa paikkaa (tai vastaavaa) kohden. Vaihtoehtoisesti anotaan kunnallista lupaa tai valtuutusta tämän latausinfrastruktuurin toteuttamiseksi tarvittavaan rakennusurakkaan tai, jos rakennuksen omistajaan sovelletaan julkisen sektorin sopimuksista ja 26 päivänä helmikuuta 2014 annettujen Euroopan parlamentin ja neuvoston direktiivien 2014/23/EU ja 2014/24/EU saattamisesta osaksi kansallista lainsäädäntöä 8 päivänä marraskuuta 2017 annettua lakia 9/2017, aloitetaan kyseistä rakennusurakkaa tai hanketta tai tämän määrittämiseksi tarvittavaa teknistä asiakirjaa koskeva hankintamenettely vastaavalla hankinta-alustalla</w:t>
      </w:r>
      <w:bookmarkStart w:id="0" w:name="_Hlk74840570"/>
      <w:r>
        <w:t>. Rakennusurakat, joille on myönnetty kunnallinen lupa tai valtuutus, on aloitettava luvan enimmäiskeston voimassaoloaikana asianmukaisten säännösten mukaisesti tai, jollei näin tehdä, viimeistään kuuden kuukauden sisällä luvan myöntämisestä Rakennusurakat, jotka on virallistettu aloittamalla niitä koskeva hankintamenettely tai niitä koskevan hankkeen tai ne määrittävän teknisen asiakirjan hankintamenettely, on aloitettava luvan, kunnallisen valtuutuksen tai vastaavan enimmäiskeston voimassaoloaikana tai, jollei näin tehdä, kuuden kuukauden kuluessa luvan myöntämisestä.</w:t>
      </w:r>
    </w:p>
    <w:bookmarkEnd w:id="0"/>
    <w:p w14:paraId="58AB7358" w14:textId="65977551" w:rsidR="00F90C96" w:rsidRPr="008F4D49" w:rsidRDefault="0067270E" w:rsidP="00EA32C0">
      <w:pPr>
        <w:ind w:left="426"/>
        <w:jc w:val="both"/>
        <w:rPr>
          <w:rFonts w:cstheme="minorHAnsi"/>
        </w:rPr>
      </w:pPr>
      <w:r>
        <w:t>– valtionhallinnon tai siihen liittyvien tai siihen kuuluvien julkisten elinten omistamiin rakennuksiin on asennettava yksi latausasema jokaista 20:tä pysäköintipaikkaa (tai vastaavaa) kohden aina 500 paikkaan asti ja yksi ylimääräinen latausasema kutakin 100:aa ylimääräistä paikkaa (tai vastaavaa) kohden tai vaihtoehtoisesti rakennusurakkaa tai hanketta tai teknistä asiakirjaa urakan määrittämistä varten koskeva hankintamenettely käynnistetään vastaavalla hankinta-alustalla tehtävällä ilmoituksella. Rakennusurakat, jotka on virallistettu aloittamalla niitä koskeva hankintamenettely tai niitä koskevan hankkeen tai ne määrittävän teknisen asiakirjan hankintamenettely, on aloitettava luvan, kunnallisen valtuutuksen tai vastaavan enimmäiskeston voimassaoloaikana tai, jollei näin tehdä, kuuden kuukauden kuluessa luvan myöntämisestä.</w:t>
      </w:r>
    </w:p>
    <w:p w14:paraId="354182C6" w14:textId="54A09FDC" w:rsidR="002A5A94" w:rsidRPr="00BA4C0D" w:rsidRDefault="002A5A94" w:rsidP="00210EA2">
      <w:pPr>
        <w:ind w:left="426"/>
        <w:jc w:val="both"/>
      </w:pPr>
      <w:r>
        <w:t>Virallisesti suojellut rakennukset eivät kuulu näiden velvoitteiden piiriin sen vuoksi, että ne ovat osa määrättyä ympäristöä, tai niiden erityisen arkkitehtonisen tai historiallisen arvon vuoksi, jos vaatimuksen noudattaminen voisi kohtuuttomasti muuttaa niiden luonnetta tai ulkonäköä; suojelusta vastaava viranomainen määrittää osat, joita ei saa muuttaa.</w:t>
      </w:r>
    </w:p>
    <w:p w14:paraId="0662362C" w14:textId="0FC45639" w:rsidR="002A5A94" w:rsidRPr="0062182D" w:rsidRDefault="002A5A94" w:rsidP="0062182D">
      <w:pPr>
        <w:pStyle w:val="ListParagraph"/>
        <w:ind w:left="426"/>
        <w:jc w:val="both"/>
        <w:rPr>
          <w:rFonts w:cstheme="minorHAnsi"/>
        </w:rPr>
      </w:pPr>
      <w:r>
        <w:lastRenderedPageBreak/>
        <w:t>Tämä sähköajoneuvojen latausinfrastruktuuri noudattaa pienjännitesähköteknisen määräyksen hyväksymisestä 2 päivänä elokuuta 2002 annetun kuninkaan asetuksen 842/2002 ja määräyksen teknisen lisäohjeen (ITC) BT 52 ”Laitteet erityisiin tarkoituksiin. Sähköajoneuvojen latausinfrastruktuuri” säännöksiä sekä 4 kohtaa ”Vaatimuksen perustelu” ja 5 kohtaa ”Rakentaminen, huolto ja ylläpito” DB-HE-perusasiakirjan ”Energiansäästöt” HE 6 luvussa ”Sähköajoneuvojen vähimmäislatausinfrastruktuurit”.</w:t>
      </w:r>
    </w:p>
    <w:p w14:paraId="0769E30E" w14:textId="6A51451B" w:rsidR="0033081E" w:rsidRPr="008F4D49" w:rsidRDefault="005074AB" w:rsidP="00D47CC2">
      <w:pPr>
        <w:jc w:val="both"/>
        <w:rPr>
          <w:rFonts w:cstheme="minorHAnsi"/>
        </w:rPr>
      </w:pPr>
      <w:r>
        <w:t xml:space="preserve">Kaksi. Muutetaan DB-HE-perusasiakirjaa ”Energiansäästöt”, joka on teknisten rakennusmääräysten II osassa, ja sisällytetään siihen HE 6 luku ”Sähköajoneuvojen vähimmäislatausinfrastruktuurit”, joka sisällytetään liitteenä I tähän kuninkaan asetukseen. </w:t>
      </w:r>
    </w:p>
    <w:p w14:paraId="5DC46FAC" w14:textId="4A465EFF" w:rsidR="005074AB" w:rsidRPr="008F4D49" w:rsidRDefault="005074AB" w:rsidP="005074AB">
      <w:pPr>
        <w:spacing w:after="162"/>
        <w:ind w:left="13"/>
        <w:jc w:val="both"/>
        <w:rPr>
          <w:rFonts w:cstheme="minorHAnsi"/>
        </w:rPr>
      </w:pPr>
      <w:r>
        <w:t>DB-HE-perusasiakirjaan tehdään myös seuraavat muutokset:</w:t>
      </w:r>
    </w:p>
    <w:p w14:paraId="53FD09BA" w14:textId="1FBEE4B0" w:rsidR="005074AB" w:rsidRPr="009064BC" w:rsidRDefault="005074AB" w:rsidP="006424FF">
      <w:pPr>
        <w:numPr>
          <w:ilvl w:val="0"/>
          <w:numId w:val="13"/>
        </w:numPr>
        <w:spacing w:after="162"/>
        <w:ind w:left="720" w:hanging="295"/>
        <w:jc w:val="both"/>
        <w:rPr>
          <w:rFonts w:cstheme="minorHAnsi"/>
        </w:rPr>
      </w:pPr>
      <w:r>
        <w:t>Korvataan ”Johdannon” I kappaleen ”Kohde” ensimmäisessä alakohdassa virkkeessä ”Tämän perusasiakirjan luvut vastaavat perusvaatimuksia HE 0–HE 5” oleva ilmaisu ”HE 5” ilmaisulla ”HE 6”.</w:t>
      </w:r>
    </w:p>
    <w:p w14:paraId="7957EC48" w14:textId="441BEE49" w:rsidR="006F5E38" w:rsidRPr="009064BC" w:rsidRDefault="006F5E38" w:rsidP="006424FF">
      <w:pPr>
        <w:numPr>
          <w:ilvl w:val="0"/>
          <w:numId w:val="13"/>
        </w:numPr>
        <w:spacing w:after="162"/>
        <w:ind w:left="720" w:hanging="295"/>
        <w:jc w:val="both"/>
        <w:rPr>
          <w:rFonts w:cstheme="minorHAnsi"/>
        </w:rPr>
      </w:pPr>
      <w:r>
        <w:t>Muutetaan ”Johdannon” I kappaleessa ”Kohde” viittaus CTE:n I osan 15.6 alakohtaan seuraavasti:</w:t>
      </w:r>
    </w:p>
    <w:p w14:paraId="5F1636DD" w14:textId="77777777" w:rsidR="006F5E38" w:rsidRPr="009064BC" w:rsidRDefault="006F5E38" w:rsidP="009064BC">
      <w:pPr>
        <w:pStyle w:val="ListParagraph"/>
        <w:ind w:left="709"/>
        <w:contextualSpacing w:val="0"/>
        <w:jc w:val="both"/>
        <w:rPr>
          <w:rFonts w:cstheme="minorHAnsi"/>
        </w:rPr>
      </w:pPr>
      <w:r>
        <w:t>”15.6 Perusvaatimus HE 5: Uusiutuvista energialähteistä tuotetun sähköenergian vähimmäistuotanto.</w:t>
      </w:r>
    </w:p>
    <w:p w14:paraId="6BB983CA" w14:textId="72439AD8" w:rsidR="006F5E38" w:rsidRPr="009064BC" w:rsidRDefault="006F5E38" w:rsidP="009064BC">
      <w:pPr>
        <w:pStyle w:val="ListParagraph"/>
        <w:spacing w:after="162"/>
        <w:ind w:left="709"/>
        <w:contextualSpacing w:val="0"/>
        <w:jc w:val="both"/>
        <w:rPr>
          <w:rFonts w:cstheme="minorHAnsi"/>
        </w:rPr>
      </w:pPr>
      <w:r>
        <w:t>Rakennuksissa on oltava uusiutuvista energialähteistä peräisin olevia sähköenergian tuotantojärjestelmiä omaa käyttöä tai verkkoon toimittamista varten.”</w:t>
      </w:r>
    </w:p>
    <w:p w14:paraId="2D6B0228" w14:textId="7AFD12CA" w:rsidR="005074AB" w:rsidRPr="009064BC" w:rsidRDefault="005074AB" w:rsidP="006424FF">
      <w:pPr>
        <w:numPr>
          <w:ilvl w:val="0"/>
          <w:numId w:val="13"/>
        </w:numPr>
        <w:spacing w:after="162"/>
        <w:ind w:left="720" w:hanging="295"/>
        <w:jc w:val="both"/>
        <w:rPr>
          <w:rFonts w:cstheme="minorHAnsi"/>
        </w:rPr>
      </w:pPr>
      <w:r>
        <w:t>Lisätään ”Johdannon” I kappaleessa ”Kohde” CTE:n I osan 15 kohtaa koskevaan viittaukseen johdannon loppuun alakohta seuraavasti:</w:t>
      </w:r>
    </w:p>
    <w:p w14:paraId="7D3E8D59" w14:textId="77777777" w:rsidR="005074AB" w:rsidRPr="009064BC" w:rsidRDefault="005074AB" w:rsidP="006424FF">
      <w:pPr>
        <w:ind w:left="709"/>
        <w:jc w:val="both"/>
        <w:rPr>
          <w:rFonts w:cstheme="minorHAnsi"/>
        </w:rPr>
      </w:pPr>
      <w:r>
        <w:t>”15.7. Perusvaatimus HE 6: Sähköajoneuvojen vähimmäislatausinfrastruktuurit.</w:t>
      </w:r>
    </w:p>
    <w:p w14:paraId="63C180D9" w14:textId="77777777" w:rsidR="005074AB" w:rsidRPr="009064BC" w:rsidRDefault="005074AB" w:rsidP="006424FF">
      <w:pPr>
        <w:ind w:left="709"/>
        <w:jc w:val="both"/>
        <w:rPr>
          <w:rFonts w:cstheme="minorHAnsi"/>
        </w:rPr>
      </w:pPr>
      <w:r>
        <w:t>Rakennuksissa on oltava vähimmäisinfrastruktuuri, joka mahdollistaa sähköajoneuvojen lataamisen.”</w:t>
      </w:r>
    </w:p>
    <w:p w14:paraId="2CCB9F35" w14:textId="1C8D3E4F" w:rsidR="001B0467" w:rsidRPr="009064BC" w:rsidRDefault="001B0467" w:rsidP="006424FF">
      <w:pPr>
        <w:numPr>
          <w:ilvl w:val="0"/>
          <w:numId w:val="13"/>
        </w:numPr>
        <w:ind w:left="720" w:hanging="294"/>
        <w:jc w:val="both"/>
        <w:rPr>
          <w:rFonts w:cstheme="minorHAnsi"/>
        </w:rPr>
      </w:pPr>
      <w:r>
        <w:t>Muutetaan sisällysluettelossa HE 5 luvun otsikko seuraavasti:</w:t>
      </w:r>
    </w:p>
    <w:p w14:paraId="7DC0F11B" w14:textId="4E9858DC" w:rsidR="001B0467" w:rsidRPr="009064BC" w:rsidRDefault="001B0467" w:rsidP="001B0467">
      <w:pPr>
        <w:pStyle w:val="ListParagraph"/>
        <w:ind w:left="709"/>
        <w:jc w:val="both"/>
        <w:rPr>
          <w:rFonts w:cstheme="minorHAnsi"/>
        </w:rPr>
      </w:pPr>
      <w:r>
        <w:t>”HE 5 luku Uusiutuvista energialähteistä tuotetun sähköenergian vähimmäistuotanto.”</w:t>
      </w:r>
    </w:p>
    <w:p w14:paraId="1178E5DE" w14:textId="4953BECD" w:rsidR="005074AB" w:rsidRPr="009064BC" w:rsidRDefault="005074AB" w:rsidP="006424FF">
      <w:pPr>
        <w:numPr>
          <w:ilvl w:val="0"/>
          <w:numId w:val="13"/>
        </w:numPr>
        <w:ind w:left="720" w:hanging="294"/>
        <w:jc w:val="both"/>
        <w:rPr>
          <w:rFonts w:cstheme="minorHAnsi"/>
        </w:rPr>
      </w:pPr>
      <w:r>
        <w:t>Lisätään sisällysluetteloon 15 kohtaa koskevaan viittaukseen uusi alakohta, jonka teksti on seuraava:</w:t>
      </w:r>
    </w:p>
    <w:p w14:paraId="661731BD" w14:textId="11FED0D8" w:rsidR="005074AB" w:rsidRPr="009064BC" w:rsidRDefault="00982E58" w:rsidP="00982E58">
      <w:pPr>
        <w:tabs>
          <w:tab w:val="left" w:pos="7938"/>
        </w:tabs>
        <w:ind w:left="1134" w:hanging="425"/>
        <w:contextualSpacing/>
        <w:jc w:val="both"/>
        <w:rPr>
          <w:rFonts w:cstheme="minorHAnsi"/>
        </w:rPr>
      </w:pPr>
      <w:r>
        <w:t>”HE 6 luku Sähköajoneuvojen vähimmäislatausinfrastruktuurit...............................33</w:t>
      </w:r>
    </w:p>
    <w:p w14:paraId="22DC136D" w14:textId="3F812976" w:rsidR="005074AB" w:rsidRPr="009064BC" w:rsidRDefault="005074AB" w:rsidP="00982E58">
      <w:pPr>
        <w:numPr>
          <w:ilvl w:val="0"/>
          <w:numId w:val="10"/>
        </w:numPr>
        <w:tabs>
          <w:tab w:val="left" w:pos="7938"/>
        </w:tabs>
        <w:ind w:left="1134" w:hanging="425"/>
        <w:contextualSpacing/>
        <w:jc w:val="both"/>
        <w:rPr>
          <w:rFonts w:cstheme="minorHAnsi"/>
        </w:rPr>
      </w:pPr>
      <w:r>
        <w:t>Soveltamisala....................................................................................................</w:t>
      </w:r>
      <w:r>
        <w:tab/>
        <w:t>33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t>Vaatimuksen kuvaus....................................................................................</w:t>
      </w:r>
      <w:r>
        <w:tab/>
        <w:t>34</w:t>
      </w:r>
    </w:p>
    <w:p w14:paraId="4D6A108B" w14:textId="7C2736CB" w:rsidR="005074AB" w:rsidRPr="009064BC" w:rsidRDefault="005074AB" w:rsidP="00982E58">
      <w:pPr>
        <w:numPr>
          <w:ilvl w:val="0"/>
          <w:numId w:val="10"/>
        </w:numPr>
        <w:tabs>
          <w:tab w:val="left" w:pos="7938"/>
        </w:tabs>
        <w:ind w:left="1134" w:hanging="425"/>
        <w:contextualSpacing/>
        <w:jc w:val="both"/>
        <w:rPr>
          <w:rFonts w:cstheme="minorHAnsi"/>
        </w:rPr>
      </w:pPr>
      <w:r>
        <w:t>Vaatimuksen kvantifiointi.......................................................................................................34</w:t>
      </w:r>
    </w:p>
    <w:p w14:paraId="79098154" w14:textId="4DBE57AC" w:rsidR="005074AB" w:rsidRPr="009064BC" w:rsidRDefault="005074AB" w:rsidP="00982E58">
      <w:pPr>
        <w:numPr>
          <w:ilvl w:val="0"/>
          <w:numId w:val="10"/>
        </w:numPr>
        <w:tabs>
          <w:tab w:val="left" w:pos="7938"/>
        </w:tabs>
        <w:ind w:left="1134" w:hanging="425"/>
        <w:contextualSpacing/>
        <w:jc w:val="both"/>
        <w:rPr>
          <w:rFonts w:cstheme="minorHAnsi"/>
        </w:rPr>
      </w:pPr>
      <w:r>
        <w:t>Vaatimuksen perustelu....................................................................................</w:t>
      </w:r>
      <w:r>
        <w:tab/>
        <w:t>34</w:t>
      </w:r>
    </w:p>
    <w:p w14:paraId="7CB375BD" w14:textId="5361040A" w:rsidR="005074AB" w:rsidRPr="009064BC" w:rsidRDefault="005074AB" w:rsidP="00982E58">
      <w:pPr>
        <w:numPr>
          <w:ilvl w:val="0"/>
          <w:numId w:val="10"/>
        </w:numPr>
        <w:tabs>
          <w:tab w:val="left" w:pos="7938"/>
        </w:tabs>
        <w:ind w:left="1134" w:hanging="425"/>
        <w:contextualSpacing/>
        <w:jc w:val="both"/>
        <w:rPr>
          <w:rFonts w:cstheme="minorHAnsi"/>
        </w:rPr>
      </w:pPr>
      <w:r>
        <w:t>Rakentaminen, huolto ja ylläpito........................................................................35</w:t>
      </w:r>
    </w:p>
    <w:p w14:paraId="0BB8C82D" w14:textId="7B45BE8F" w:rsidR="005074AB" w:rsidRPr="009064BC" w:rsidRDefault="006424FF" w:rsidP="00982E58">
      <w:pPr>
        <w:tabs>
          <w:tab w:val="left" w:pos="7938"/>
        </w:tabs>
        <w:ind w:left="1843" w:hanging="425"/>
        <w:contextualSpacing/>
        <w:jc w:val="both"/>
        <w:rPr>
          <w:rFonts w:cstheme="minorHAnsi"/>
        </w:rPr>
      </w:pPr>
      <w:r>
        <w:t>5.1</w:t>
      </w:r>
      <w:r w:rsidR="00585E75">
        <w:t xml:space="preserve"> </w:t>
      </w:r>
      <w:r>
        <w:t>Toteuttaminen............................................................................................35</w:t>
      </w:r>
    </w:p>
    <w:p w14:paraId="4AE42B35" w14:textId="6B32E768" w:rsidR="005074AB" w:rsidRPr="009064BC" w:rsidRDefault="005074AB" w:rsidP="00982E58">
      <w:pPr>
        <w:tabs>
          <w:tab w:val="left" w:pos="7938"/>
        </w:tabs>
        <w:ind w:left="1843" w:hanging="425"/>
        <w:contextualSpacing/>
        <w:jc w:val="both"/>
        <w:rPr>
          <w:rFonts w:cstheme="minorHAnsi"/>
        </w:rPr>
      </w:pPr>
      <w:r>
        <w:t>5.2</w:t>
      </w:r>
      <w:r>
        <w:tab/>
        <w:t>Rakennusurakan toteuttamisen valvonta........................................</w:t>
      </w:r>
      <w:r w:rsidR="00585E75">
        <w:t>........</w:t>
      </w:r>
      <w:r>
        <w:t>35</w:t>
      </w:r>
    </w:p>
    <w:p w14:paraId="2E5A6752" w14:textId="68CFC1EA" w:rsidR="005074AB" w:rsidRPr="009064BC" w:rsidRDefault="005074AB" w:rsidP="00982E58">
      <w:pPr>
        <w:tabs>
          <w:tab w:val="left" w:pos="7938"/>
        </w:tabs>
        <w:ind w:left="1843" w:hanging="436"/>
        <w:contextualSpacing/>
        <w:jc w:val="both"/>
        <w:rPr>
          <w:rFonts w:cstheme="minorHAnsi"/>
        </w:rPr>
      </w:pPr>
      <w:r>
        <w:t>5.3</w:t>
      </w:r>
      <w:r>
        <w:tab/>
        <w:t>Valmistuneen rakennusurakan tarkastaminen........................................35</w:t>
      </w:r>
    </w:p>
    <w:p w14:paraId="5D3A912D" w14:textId="794493B7" w:rsidR="005074AB" w:rsidRPr="009064BC" w:rsidRDefault="005074AB" w:rsidP="00982E58">
      <w:pPr>
        <w:tabs>
          <w:tab w:val="left" w:pos="7938"/>
        </w:tabs>
        <w:ind w:left="1843" w:hanging="425"/>
        <w:contextualSpacing/>
        <w:jc w:val="both"/>
        <w:rPr>
          <w:rFonts w:cstheme="minorHAnsi"/>
        </w:rPr>
      </w:pPr>
      <w:r>
        <w:lastRenderedPageBreak/>
        <w:t>5.4</w:t>
      </w:r>
      <w:r>
        <w:tab/>
        <w:t>Rakennuksen huolto ja ylläpito.......................................................</w:t>
      </w:r>
      <w:r>
        <w:tab/>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Korvataan HE 0 luvun ”Energiankulutuksen rajoittaminen” 4.1 kohdan ”Laskentamenetelmä” 9 alakohdassa ilmaisu ”tunnustettu asiakirja” ilmaisulla ”rakennusten energiatodistusta koskeva tunnustettu asiakirja”.</w:t>
      </w:r>
    </w:p>
    <w:p w14:paraId="3222E360" w14:textId="2F90CB7E" w:rsidR="0067340E" w:rsidRPr="0067340E" w:rsidRDefault="006C16B4" w:rsidP="0026457E">
      <w:pPr>
        <w:numPr>
          <w:ilvl w:val="0"/>
          <w:numId w:val="13"/>
        </w:numPr>
        <w:ind w:left="720" w:hanging="295"/>
        <w:jc w:val="both"/>
        <w:rPr>
          <w:rFonts w:cstheme="minorHAnsi"/>
        </w:rPr>
      </w:pPr>
      <w:r>
        <w:t>Tehdään HE 0 luvun ”Energiankulutuksen rajoittaminen” 4.1 kohdan ”Laskentamenetelmä” 9 alakohdasta 11 alakohta ja lisätään seuraavat alakohdat:</w:t>
      </w:r>
    </w:p>
    <w:p w14:paraId="3392DEB4" w14:textId="73112890" w:rsidR="0067340E" w:rsidRDefault="0067340E" w:rsidP="0067340E">
      <w:pPr>
        <w:ind w:left="1134" w:hanging="425"/>
        <w:contextualSpacing/>
        <w:jc w:val="both"/>
        <w:rPr>
          <w:rFonts w:cstheme="minorHAnsi"/>
        </w:rPr>
      </w:pPr>
      <w:r>
        <w:t>”9</w:t>
      </w:r>
      <w:r>
        <w:tab/>
        <w:t>Tämän perusasiakirjan vaatimusten todentamiseen tarvittava energiatase lasketaan standardin UNE-EN ISO 52000–1:2019 (Rakennusten energiatehokkuuden kokonaisarviointi. Osa 1: yleiset puitteet ja menetelmät) mukaisesti käyttämällä vientikerrointa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Kohdentamiseksi eri palveluja varten paikalla tuotetun sähköenergian jakauma lasketaan kullakin aikavälillä suhteessa kyseisen kulutuksen sähkönkulutukseen (lämmitys, jäähdytys, ilmanvaihto, automaattinen ilmastointi, lämmin käyttövesi ja tertiäärikäyttö sekä lisäksi valaistus).”</w:t>
      </w:r>
    </w:p>
    <w:p w14:paraId="78947690" w14:textId="66930B3C" w:rsidR="005074AB" w:rsidRPr="009064BC" w:rsidRDefault="005074AB" w:rsidP="0026457E">
      <w:pPr>
        <w:numPr>
          <w:ilvl w:val="0"/>
          <w:numId w:val="13"/>
        </w:numPr>
        <w:ind w:left="720" w:hanging="294"/>
        <w:jc w:val="both"/>
        <w:rPr>
          <w:rFonts w:cstheme="minorHAnsi"/>
        </w:rPr>
      </w:pPr>
      <w:r>
        <w:t>Lisätään HE 1 luvun ”Energiankysynnän hallintaa koskevat edellytykset” 3.1.1 kohtaan ”Lämpövaipan läpäisevyys” uusi alakohta seuraavasti:</w:t>
      </w:r>
    </w:p>
    <w:p w14:paraId="729573A3" w14:textId="05413AE2" w:rsidR="005074AB" w:rsidRPr="009064BC" w:rsidRDefault="005074AB" w:rsidP="006424FF">
      <w:pPr>
        <w:ind w:left="1134" w:hanging="425"/>
        <w:jc w:val="both"/>
        <w:rPr>
          <w:rFonts w:cstheme="minorHAnsi"/>
        </w:rPr>
      </w:pPr>
      <w:r>
        <w:t>”6</w:t>
      </w:r>
      <w:r>
        <w:tab/>
        <w:t>Vaihtoehtoisesti rakennuksissa tai olemassa olevien rakennusten osittaisten kunnostustoimien tapauksessa niissä rakennuksen osissa, joissa kunnostusta tehdään, joiden lämmitys- ja jäähdytystarve on molemmissa tapauksissa pienempi kuin 15 kWh/m</w:t>
      </w:r>
      <w:r>
        <w:rPr>
          <w:vertAlign w:val="superscript"/>
        </w:rPr>
        <w:t>2</w:t>
      </w:r>
      <w:r>
        <w:t>, voidaan jättää noudattamatta</w:t>
      </w:r>
      <w:r>
        <w:rPr>
          <w:i/>
        </w:rPr>
        <w:t xml:space="preserve"> kokonaislämmönsiirtokerrointa rakennuksen lämpövaipan kautta (K)</w:t>
      </w:r>
      <w:r>
        <w:t>.”</w:t>
      </w:r>
    </w:p>
    <w:p w14:paraId="49941342" w14:textId="77777777" w:rsidR="00802B87" w:rsidRDefault="005074AB" w:rsidP="00802B87">
      <w:pPr>
        <w:numPr>
          <w:ilvl w:val="0"/>
          <w:numId w:val="13"/>
        </w:numPr>
        <w:ind w:left="709" w:hanging="283"/>
        <w:contextualSpacing/>
        <w:jc w:val="both"/>
        <w:rPr>
          <w:rFonts w:cstheme="minorHAnsi"/>
        </w:rPr>
      </w:pPr>
      <w:r>
        <w:t>Lisätään HE 1 luvun ”Energiankysynnän hallintaa koskevat edellytykset” 3.1.3 kohtaan ”Lämpövaipan ilmanläpäisevyys” uusi 3 alakohta seuraavasti:</w:t>
      </w:r>
    </w:p>
    <w:p w14:paraId="1D58DEB1" w14:textId="0D8F3294" w:rsidR="005074AB" w:rsidRPr="00802B87" w:rsidRDefault="005074AB" w:rsidP="00802B87">
      <w:pPr>
        <w:ind w:left="709"/>
        <w:contextualSpacing/>
        <w:jc w:val="both"/>
        <w:rPr>
          <w:rFonts w:cstheme="minorHAnsi"/>
        </w:rPr>
      </w:pPr>
      <w:r>
        <w:t xml:space="preserve">”Edellä olevaa taulukkoa 3.1.3.a-HE1 sovelletaan muutosten osalta ainoastaan niihin </w:t>
      </w:r>
      <w:r>
        <w:rPr>
          <w:i/>
        </w:rPr>
        <w:t>lämpövaipan</w:t>
      </w:r>
      <w:r>
        <w:t xml:space="preserve"> osiin, jotka on korvattu tai sisällytetty tai joita on olennaisesti muutettu;”</w:t>
      </w:r>
    </w:p>
    <w:p w14:paraId="7563FEDE" w14:textId="74826D79" w:rsidR="005074AB" w:rsidRDefault="005074AB" w:rsidP="00836E07">
      <w:pPr>
        <w:ind w:left="709"/>
        <w:jc w:val="both"/>
        <w:rPr>
          <w:rFonts w:cstheme="minorHAnsi"/>
        </w:rPr>
      </w:pPr>
      <w:r>
        <w:t>Korvataan 3.1.3 kohdan ”Lämpövaipan ilmanläpäisevyys” nykyisten 3 ja 4 kohdan numerointi numeroinnilla 4 ja 5 tässä järjestyksessä.</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Korvataan HE 3 luvussa ”Valaistuslaitteistoja koskevat vaatimukset” taulukossa 3.1-HE3 ”Laitteiston energiatehokkuuden raja-arvo (VEEI</w:t>
      </w:r>
      <w:r>
        <w:rPr>
          <w:vertAlign w:val="subscript"/>
        </w:rPr>
        <w:t>lim</w:t>
      </w:r>
      <w:r>
        <w:t xml:space="preserve">”) ilmaisu ”Myymälät ja pienet kaupat” ilmaisulla ”Myymälät ja pienet kaupat </w:t>
      </w:r>
      <w:r>
        <w:rPr>
          <w:rFonts w:ascii="Calibri" w:hAnsi="Calibri"/>
          <w:vertAlign w:val="subscript"/>
        </w:rPr>
        <w:t>(10)</w:t>
      </w:r>
      <w:r>
        <w:t>”, ja lisätään seuraava alaviite:</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Termillä ’myymälä’ tarkoitetaan sekä pieniä itsenäisiä kauppoja että kaupalliseen käyttöön tarkoitettua osaa, joka ei ole yleisessä käytössä kauppakeskuksissa.”</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Korvataan HE 4 luvussa ”Uusiutuvan energian vähimmäisosuus lämpimän käyttöveden kysynnän tyydyttämiseksi” 2 kohdan ”Vaatimuksen kuvaus” 1 alakohta seuraavasti:</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Rakennuksissa on tyydytettävä lämpimän käyttöveden ja sisätilojen lämmitettävien uima-altaiden vedenlämmityksen tarpeet käyttämällä suurelta osin uusiutuvista energialähteistä peräisin olevaa energiaa tai uusiutuvasta yhteistuotantoprosessista peräisin olevaa energiaa; joko tuotettuna itse rakennuksessa tai kaukolämpöliitännän avulla.”</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lastRenderedPageBreak/>
        <w:t>Muutetaan HE 5 luvun ”Sähköenergian vähimmäistuotanto” otsikko seuraavasti:</w:t>
      </w:r>
    </w:p>
    <w:p w14:paraId="1835914C" w14:textId="7892C477" w:rsidR="005074AB" w:rsidRPr="009064BC" w:rsidRDefault="00836E07" w:rsidP="006F5E38">
      <w:pPr>
        <w:pStyle w:val="ListParagraph"/>
        <w:ind w:left="709"/>
        <w:contextualSpacing w:val="0"/>
        <w:jc w:val="both"/>
        <w:rPr>
          <w:rFonts w:cstheme="minorHAnsi"/>
        </w:rPr>
      </w:pPr>
      <w:r>
        <w:t>”HE 5 luku Uusiutuvista energialähteistä tuotetun sähköenergian vähimmäistuotanto.”</w:t>
      </w:r>
    </w:p>
    <w:p w14:paraId="5A13D3D2" w14:textId="6E7AA8ED" w:rsidR="005074AB" w:rsidRPr="009064BC" w:rsidRDefault="005074AB" w:rsidP="00CC005A">
      <w:pPr>
        <w:numPr>
          <w:ilvl w:val="0"/>
          <w:numId w:val="13"/>
        </w:numPr>
        <w:ind w:left="720" w:hanging="294"/>
        <w:jc w:val="both"/>
        <w:rPr>
          <w:rFonts w:cstheme="minorHAnsi"/>
        </w:rPr>
      </w:pPr>
      <w:r>
        <w:t xml:space="preserve">HE 5 luvun ”Sähköenergian vähimmäistuotanto” 1 kohdan ”Soveltamisala” sanamuoto on seuraava: </w:t>
      </w:r>
    </w:p>
    <w:p w14:paraId="45B1F681" w14:textId="77777777" w:rsidR="005074AB" w:rsidRPr="009064BC" w:rsidRDefault="005074AB" w:rsidP="00CC005A">
      <w:pPr>
        <w:ind w:left="1134" w:hanging="425"/>
        <w:jc w:val="both"/>
        <w:rPr>
          <w:rFonts w:cstheme="minorHAnsi"/>
        </w:rPr>
      </w:pPr>
      <w:r>
        <w:t>”1</w:t>
      </w:r>
      <w:r>
        <w:tab/>
        <w:t xml:space="preserve">Tätä lukua sovelletaan seuraavissa tapauksissa: </w:t>
      </w:r>
    </w:p>
    <w:p w14:paraId="10C39280" w14:textId="4335D1B7" w:rsidR="002F2BD0" w:rsidRPr="003934E5" w:rsidRDefault="005074AB" w:rsidP="002F2BD0">
      <w:pPr>
        <w:numPr>
          <w:ilvl w:val="0"/>
          <w:numId w:val="8"/>
        </w:numPr>
        <w:ind w:left="1418" w:hanging="284"/>
        <w:contextualSpacing/>
        <w:jc w:val="both"/>
        <w:rPr>
          <w:rFonts w:cstheme="minorHAnsi"/>
        </w:rPr>
      </w:pPr>
      <w:r>
        <w:t>uudet rakennukset, kun niiden rakennettu pinta-ala on yli 1 000 neliömetriä;</w:t>
      </w:r>
    </w:p>
    <w:p w14:paraId="288E1AFC" w14:textId="6CE90E6C" w:rsidR="002F2BD0" w:rsidRPr="003934E5" w:rsidRDefault="002F2BD0" w:rsidP="002F2BD0">
      <w:pPr>
        <w:numPr>
          <w:ilvl w:val="0"/>
          <w:numId w:val="8"/>
        </w:numPr>
        <w:ind w:left="1418" w:hanging="284"/>
        <w:contextualSpacing/>
        <w:jc w:val="both"/>
        <w:rPr>
          <w:rFonts w:cstheme="minorHAnsi"/>
        </w:rPr>
      </w:pPr>
      <w:r>
        <w:t>olemassa olevien rakennusten laajennukset, kun rakennettu pinta-ala kasvaa yli 1 000 neliömetriin;</w:t>
      </w:r>
    </w:p>
    <w:p w14:paraId="647D0A9C" w14:textId="63F54BFD" w:rsidR="005074AB" w:rsidRPr="009064BC" w:rsidRDefault="005074AB" w:rsidP="005074AB">
      <w:pPr>
        <w:numPr>
          <w:ilvl w:val="0"/>
          <w:numId w:val="8"/>
        </w:numPr>
        <w:ind w:left="1418" w:hanging="284"/>
        <w:contextualSpacing/>
        <w:jc w:val="both"/>
        <w:rPr>
          <w:rFonts w:cstheme="minorHAnsi"/>
        </w:rPr>
      </w:pPr>
      <w:r>
        <w:t>olemassa olevat rakennukset, jotka kunnostetaan kokonaan tai joiden käyttötarkoitus muuttuu, kun niiden rakennettu pinta-ala on yli 1 000 neliömetriä.</w:t>
      </w:r>
    </w:p>
    <w:p w14:paraId="2BDE8293" w14:textId="74B0ACD8" w:rsidR="001B0467" w:rsidRPr="003934E5" w:rsidRDefault="00D76296" w:rsidP="001B0467">
      <w:pPr>
        <w:ind w:left="1134"/>
        <w:jc w:val="both"/>
        <w:rPr>
          <w:rFonts w:cstheme="minorHAnsi"/>
        </w:rPr>
      </w:pPr>
      <w:r>
        <w:t xml:space="preserve">Rakennetun pinta-alan katsotaan sisältävän rakennuksen sisällä olevien pysäköintialueiden pinta-alan, kun taas yhteisiä ulkotiloja ei lasketa mukaan.”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HE 5 luvun ”Sähköenergian vähimmäistuotanto” 2 kohdan ”Vaatimuksen kuvaus” ensimmäisen alakohdan sanamuoto on seuraava:</w:t>
      </w:r>
    </w:p>
    <w:p w14:paraId="477CF5F6" w14:textId="719B0DCE" w:rsidR="001B0467" w:rsidRPr="003934E5" w:rsidRDefault="003934E5" w:rsidP="003934E5">
      <w:pPr>
        <w:pStyle w:val="ListParagraph"/>
        <w:ind w:left="1134" w:hanging="425"/>
        <w:contextualSpacing w:val="0"/>
        <w:jc w:val="both"/>
        <w:rPr>
          <w:rFonts w:cstheme="minorHAnsi"/>
        </w:rPr>
      </w:pPr>
      <w:r>
        <w:t>”1</w:t>
      </w:r>
      <w:r>
        <w:tab/>
        <w:t>Rakennuksissa on oltava uusiutuvista energialähteistä peräisin olevia sähköenergian tuotantojärjestelmiä omaa käyttöä tai verkkoon toimittamista varten.”</w:t>
      </w:r>
    </w:p>
    <w:p w14:paraId="6586AED4" w14:textId="66518836" w:rsidR="005074AB" w:rsidRPr="003934E5" w:rsidRDefault="005074AB" w:rsidP="00262992">
      <w:pPr>
        <w:pStyle w:val="ListParagraph"/>
        <w:numPr>
          <w:ilvl w:val="0"/>
          <w:numId w:val="13"/>
        </w:numPr>
        <w:ind w:left="709" w:hanging="283"/>
        <w:jc w:val="both"/>
        <w:rPr>
          <w:rFonts w:cstheme="minorHAnsi"/>
        </w:rPr>
      </w:pPr>
      <w:r>
        <w:t>HE 5 luvun ”Sähköenergian vähimmäistuotanto” 3 kohdan ”Vaatimuksen kvantifiointi” sanamuoto on seuraava:</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r>
      <w:r>
        <w:rPr>
          <w:i/>
        </w:rPr>
        <w:t>Asennettavan tehon</w:t>
      </w:r>
      <w:r>
        <w:t xml:space="preserve"> P</w:t>
      </w:r>
      <w:r>
        <w:rPr>
          <w:vertAlign w:val="subscript"/>
        </w:rPr>
        <w:t>min</w:t>
      </w:r>
      <w:r>
        <w:t xml:space="preserve"> vähimmäistaso on pienin seuraavien kahden yhtälön tuloksesta: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xml:space="preserve"> ·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 (0,5 · S</w:t>
      </w:r>
      <w:r>
        <w:rPr>
          <w:vertAlign w:val="subscript"/>
        </w:rPr>
        <w:t>c</w:t>
      </w:r>
      <w:r>
        <w:t xml:space="preserve"> - S</w:t>
      </w:r>
      <w:r>
        <w:rPr>
          <w:vertAlign w:val="subscript"/>
        </w:rPr>
        <w:t>oc</w:t>
      </w:r>
      <w:r>
        <w:t xml:space="preserve"> )</w:t>
      </w:r>
    </w:p>
    <w:p w14:paraId="33F1DF55" w14:textId="77777777" w:rsidR="005074AB" w:rsidRPr="00C249FB" w:rsidRDefault="005074AB" w:rsidP="005074AB">
      <w:pPr>
        <w:spacing w:before="60"/>
        <w:ind w:left="1134"/>
        <w:jc w:val="both"/>
        <w:rPr>
          <w:rFonts w:eastAsia="Arial" w:cstheme="minorHAnsi"/>
          <w:kern w:val="2"/>
          <w:szCs w:val="24"/>
        </w:rPr>
      </w:pPr>
      <w:r>
        <w:t>jossa:</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tab/>
      </w:r>
      <w:r>
        <w:rPr>
          <w:i/>
        </w:rPr>
        <w:t xml:space="preserve">asennettava teho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ab/>
        <w:t>sähkön tuotantokerroin, jonka arvo on 0,005 yksityisessä asuinkäytössä ja 0,010 muussa käytössä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w:t>
      </w:r>
      <w:r>
        <w:tab/>
        <w:t>rakennuksen rakennetun alueen pinta-ala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ab/>
        <w:t>kulkukelvottoman tai ainoastaan ylläpitoon käytettävissä olevan katon pinta-ala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ab/>
        <w:t>kulkukelvottoman tai ainoastaan ylläpitoon käytettävissä olevan katon, jossa on aurinkokeräimiä, pinta-ala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Rakennuksissa, joissa kaupunkisuunnittelusta johtuvista tai arkkitehtonisista syistä tai niiden virallisen suojelun vuoksi ja joiden osalta virallisen suojelun myöntävä viranomainen määrittää muuttumattomat osat, </w:t>
      </w:r>
      <w:r>
        <w:rPr>
          <w:i/>
        </w:rPr>
        <w:t>asennettavan tehon</w:t>
      </w:r>
      <w:r>
        <w:t xml:space="preserve"> vähimmäistasoa ei voida saavuttaa, tämä mahdottomuus on perusteltava eri </w:t>
      </w:r>
      <w:r>
        <w:lastRenderedPageBreak/>
        <w:t>vaihtoehtoja analysoimalla ja valittava ratkaisu, jolla saavutetaan suurin mahdollinen asennettu teho.”</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Lisätään HE 5 luvun ”Sähköenergian vähimmäistuotanto” 4 kohtaan ”Vaatimuksen perustelu” seuraava teksti:</w:t>
      </w:r>
    </w:p>
    <w:p w14:paraId="1F522FCD" w14:textId="0464CEFA" w:rsidR="005074AB" w:rsidRPr="003934E5" w:rsidRDefault="00CC005A" w:rsidP="00982E58">
      <w:pPr>
        <w:ind w:left="1134" w:hanging="425"/>
        <w:jc w:val="both"/>
        <w:rPr>
          <w:rFonts w:cstheme="minorHAnsi"/>
        </w:rPr>
      </w:pPr>
      <w:r>
        <w:t>”c)</w:t>
      </w:r>
      <w:r>
        <w:tab/>
        <w:t>tarvittaessa syyt, jotka estävät asennettavan tehon vaaditun vähimmäistason saavuttamisen, vaihtoehtojen analyysi ja käyttöönotettu ratkaisu, jolla saavutetaan suurin mahdollinen asennettu teho.”</w:t>
      </w:r>
    </w:p>
    <w:p w14:paraId="2F009607" w14:textId="478B8572" w:rsidR="005074AB" w:rsidRPr="003934E5" w:rsidRDefault="005074AB" w:rsidP="009064BC">
      <w:pPr>
        <w:pStyle w:val="ListParagraph"/>
        <w:numPr>
          <w:ilvl w:val="0"/>
          <w:numId w:val="13"/>
        </w:numPr>
        <w:ind w:left="709" w:hanging="283"/>
        <w:jc w:val="both"/>
        <w:rPr>
          <w:rFonts w:cstheme="minorHAnsi"/>
        </w:rPr>
      </w:pPr>
      <w:r>
        <w:t>Muutetaan liite A ”Terminologia” seuraavasti:</w:t>
      </w:r>
    </w:p>
    <w:p w14:paraId="44885A1E" w14:textId="0F9B0783" w:rsidR="005074AB" w:rsidRPr="009064BC" w:rsidRDefault="005074AB" w:rsidP="005074AB">
      <w:pPr>
        <w:ind w:left="709" w:hanging="142"/>
        <w:jc w:val="both"/>
        <w:rPr>
          <w:rFonts w:cstheme="minorHAnsi"/>
        </w:rPr>
      </w:pPr>
      <w:r>
        <w:t>– Korvataan termin ”aurinkosuojaus (q</w:t>
      </w:r>
      <w:r>
        <w:rPr>
          <w:vertAlign w:val="subscript"/>
        </w:rPr>
        <w:t>sol;jul</w:t>
      </w:r>
      <w:r>
        <w:t>)” määritelmässä kaavan ”H</w:t>
      </w:r>
      <w:r>
        <w:rPr>
          <w:vertAlign w:val="subscript"/>
        </w:rPr>
        <w:t>sol;jul</w:t>
      </w:r>
      <w:r>
        <w:t>” komponentin määritelmän piste puolipisteellä ja lisätään kaavan toisen komponentin määritelmä seuraavasti:</w:t>
      </w:r>
    </w:p>
    <w:p w14:paraId="3DF606FE" w14:textId="65F10CC5" w:rsidR="005074AB" w:rsidRPr="009064BC" w:rsidRDefault="005074AB" w:rsidP="00A5780E">
      <w:pPr>
        <w:ind w:left="709"/>
        <w:jc w:val="both"/>
        <w:rPr>
          <w:rFonts w:cstheme="minorHAnsi"/>
        </w:rPr>
      </w:pPr>
      <w:r>
        <w:t>”A</w:t>
      </w:r>
      <w:r>
        <w:rPr>
          <w:vertAlign w:val="subscript"/>
        </w:rPr>
        <w:t>util</w:t>
      </w:r>
      <w:r>
        <w:tab/>
        <w:t>alue, jonka katsotaan olevan HE 0 luvun 4.6 alakohdan mukainen.”</w:t>
      </w:r>
    </w:p>
    <w:p w14:paraId="22770CCD" w14:textId="56BB680A" w:rsidR="005074AB" w:rsidRPr="009064BC" w:rsidRDefault="005074AB" w:rsidP="005074AB">
      <w:pPr>
        <w:ind w:left="709" w:hanging="142"/>
        <w:jc w:val="both"/>
        <w:rPr>
          <w:rFonts w:cstheme="minorHAnsi"/>
        </w:rPr>
      </w:pPr>
      <w:r>
        <w:t>– Korvataan termin ”loppuenergia” määritelmässä ilmaisu ”Se on kuluttajien hankkimaa energiaa sähkön, moottoripolttoaineiden tai muiden suoraan käytettyjen lämmityspolttoaineiden muodossa” ilmaisulla ”Se on energiaa, mitä toimitetaan rakennuksen järjestelmiin palvelujen tarjoamiseksi; kyseinen toimitus tapahtuu yleensä lämmityspolttoaineiden, paikalla tapahtuvan tuotannon tai erityisten verkkojen (sähkö, kaasu, kaukolämpö tai kaukojäähdytys jne.) kautta.”</w:t>
      </w:r>
    </w:p>
    <w:p w14:paraId="4C32D5BC" w14:textId="77777777" w:rsidR="005074AB" w:rsidRPr="009064BC" w:rsidRDefault="005074AB" w:rsidP="005074AB">
      <w:pPr>
        <w:ind w:left="709" w:hanging="142"/>
        <w:jc w:val="both"/>
        <w:rPr>
          <w:rFonts w:cstheme="minorHAnsi"/>
        </w:rPr>
      </w:pPr>
      <w:r>
        <w:t>– Lisätään termin ”Lämmönläpäisy (U)” määritelmän loppuun seuraava virke:</w:t>
      </w:r>
    </w:p>
    <w:p w14:paraId="553E6F27" w14:textId="77777777" w:rsidR="005074AB" w:rsidRPr="009064BC" w:rsidRDefault="005074AB" w:rsidP="00A5780E">
      <w:pPr>
        <w:ind w:left="709"/>
        <w:jc w:val="both"/>
        <w:rPr>
          <w:rFonts w:cstheme="minorHAnsi"/>
        </w:rPr>
      </w:pPr>
      <w:r>
        <w:t>”Ilmaistuna yksikössä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Lisätään liitteeseen A ”Terminologia” seuraavat termit:</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Lisävarusteet</w:t>
      </w:r>
      <w:r>
        <w:t xml:space="preserve">: </w:t>
      </w:r>
      <w:r>
        <w:rPr>
          <w:i/>
          <w:iCs/>
        </w:rPr>
        <w:t>valaisimeen</w:t>
      </w:r>
      <w:r>
        <w:t xml:space="preserve"> liittyvät sähkö- tai elektroniset laitteet, jotka ovat erilaisia kunkin</w:t>
      </w:r>
      <w:r>
        <w:rPr>
          <w:i/>
        </w:rPr>
        <w:t xml:space="preserve"> valaisimen</w:t>
      </w:r>
      <w:r>
        <w:t xml:space="preserve"> tyypin osalta ja joiden tehtävänä on toimintaolosuhteiden sytytys ja hallinta. Nämä lisävarusteet, elleivät ne ole elektronisia, muodostuvat käynnistimestä, virranrajoittimesta ja kondensaattorista.</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t>”</w:t>
      </w:r>
      <w:r>
        <w:rPr>
          <w:b/>
          <w:i/>
        </w:rPr>
        <w:t>Latausasema</w:t>
      </w:r>
      <w:r>
        <w:t xml:space="preserve">: perusosat, joita tarvitaan </w:t>
      </w:r>
      <w:r>
        <w:rPr>
          <w:i/>
        </w:rPr>
        <w:t>sähköajoneuvon</w:t>
      </w:r>
      <w:r>
        <w:t xml:space="preserve"> liittämiseksi kiinteään sähkölaitteistoon ajoneuvon lataamiseksi. </w:t>
      </w:r>
      <w:r>
        <w:rPr>
          <w:i/>
        </w:rPr>
        <w:t>Latausasemat</w:t>
      </w:r>
      <w:r>
        <w:t xml:space="preserve"> luokitellaan seuraavasti:</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Yksi latauspiste, jossa on tarvittavat suojaukset ja yksi tai useampi pistorasia, joka ei ole tarkoitettu erityisesti </w:t>
      </w:r>
      <w:r>
        <w:rPr>
          <w:i/>
        </w:rPr>
        <w:t>sähköajoneuvolle</w:t>
      </w:r>
      <w:r>
        <w:t>, ja tarpeen vaatiessa suojakotelo.</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r>
      <w:r>
        <w:rPr>
          <w:i/>
          <w:iCs/>
        </w:rPr>
        <w:t>SAVE-</w:t>
      </w:r>
      <w:r>
        <w:t>latauspiste</w:t>
      </w:r>
      <w:r>
        <w:rPr>
          <w:i/>
        </w:rPr>
        <w:t xml:space="preserve"> (Erityinen sähköajoneuvon energiansyöttöjärjestelmä)</w:t>
      </w:r>
      <w:r>
        <w:t>.”</w:t>
      </w:r>
    </w:p>
    <w:p w14:paraId="1D92DB31" w14:textId="44506109" w:rsidR="005074AB" w:rsidRPr="003934E5" w:rsidRDefault="00547307" w:rsidP="00CC005A">
      <w:pPr>
        <w:spacing w:before="200" w:after="100" w:line="240" w:lineRule="auto"/>
        <w:ind w:left="709"/>
        <w:jc w:val="both"/>
        <w:rPr>
          <w:rFonts w:eastAsia="Arial" w:cstheme="minorHAnsi"/>
          <w:kern w:val="2"/>
        </w:rPr>
      </w:pPr>
      <w:r>
        <w:rPr>
          <w:b/>
          <w:i/>
        </w:rPr>
        <w:t>”Sähköajoneuvojen latausinfrastruktuuri:</w:t>
      </w:r>
      <w:r>
        <w:t xml:space="preserve"> joukko fyysisiä ja loogisia laitteita, jotka on tarkoitettu </w:t>
      </w:r>
      <w:r>
        <w:rPr>
          <w:i/>
        </w:rPr>
        <w:t>sähköajoneuvojen</w:t>
      </w:r>
      <w:r>
        <w:t xml:space="preserve"> lataamiseen ja jotka täyttävät pienjännitesähköteknisen määräyksen turvallisuus- ja käytettävyysvaatimukset ja pystyvät tarjoamaan täydellisen ja kattavan latauspalvelun. Siihen kuuluvat </w:t>
      </w:r>
      <w:r>
        <w:rPr>
          <w:i/>
        </w:rPr>
        <w:t>latausasemat</w:t>
      </w:r>
      <w:r>
        <w:t>, ohjausjärjestelmä, sähköjohdot, sähköiset ohjaus- ja suojauspaneelit ja mittauslaitteet, kun nämä on tarkoitettu yksinomaan sähköajoneuvojen latausta varten.”</w:t>
      </w:r>
    </w:p>
    <w:p w14:paraId="5C699291" w14:textId="5BE34863" w:rsidR="005074AB" w:rsidRPr="003934E5" w:rsidRDefault="00547307" w:rsidP="00547307">
      <w:pPr>
        <w:spacing w:before="200" w:after="100" w:line="240" w:lineRule="auto"/>
        <w:ind w:left="709"/>
        <w:jc w:val="both"/>
        <w:rPr>
          <w:rFonts w:eastAsia="Arial" w:cstheme="minorHAnsi"/>
          <w:kern w:val="2"/>
        </w:rPr>
      </w:pPr>
      <w:r>
        <w:lastRenderedPageBreak/>
        <w:t>”</w:t>
      </w:r>
      <w:r>
        <w:rPr>
          <w:b/>
          <w:i/>
        </w:rPr>
        <w:t>Erityinen sähköajoneuvon energiansyöttöjärjestelmä (SAVE)</w:t>
      </w:r>
      <w:r>
        <w:t xml:space="preserve">: sähköenergian toimittamiseksi </w:t>
      </w:r>
      <w:r>
        <w:rPr>
          <w:i/>
        </w:rPr>
        <w:t>sähköajoneuvon</w:t>
      </w:r>
      <w:r>
        <w:t xml:space="preserve"> lataamista varten kootut laitteet, mukaan luettuna </w:t>
      </w:r>
      <w:r>
        <w:rPr>
          <w:i/>
          <w:iCs/>
        </w:rPr>
        <w:t>latausaseman</w:t>
      </w:r>
      <w:r>
        <w:t xml:space="preserve"> suojaukset, liitäntäkaapeli (vaihe-, nolla- ja suojajohtimet), pistorasia tai liitin ja tarvittaessa AC/DC-muunnin. Tämän järjestelmä mahdollistaa tarvittaessa tiedonsiirron </w:t>
      </w:r>
      <w:r>
        <w:rPr>
          <w:i/>
        </w:rPr>
        <w:t>sähköajoneuvon</w:t>
      </w:r>
      <w:r>
        <w:t xml:space="preserve"> ja kiinteän laitteiston välillä.”</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Yksityinen asuinkäyttö</w:t>
      </w:r>
      <w:r>
        <w:t>: Pysyvään asumiseen tarkoitettu rakennus tai alue riippumatta siitä, minkätyyppisestä rakennuksesta on kyse (omakotitalo, kerrostalo jne.), joka on tarkoitettu sekä julkisia että yksityisiä toimijoita varten.”</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Sähköajoneuvo</w:t>
      </w:r>
      <w:r>
        <w:t>: moottoriajoneuvo, joka on varustettu käyttövoimalaitteella, joka sisältää vähintään yhden energiamuuntimena toimivan sähköisen oheislaitteen, jossa on ladattava sähköinen energiavarastojärjestelmä, joka voidaan myös ladata ulkoisesti.”</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Korvataan liitteessä D olevassa 4 kohdassa ilmaisu ”tunnustettu asiakirja” ilmaisulla ”rakennusten energiatodistusta koskeva tunnustettu asiakirja”.</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Lisätään liitteessä H ”Rakennuksen ilmanläpäisevyyden määrittäminen” luvun otsikon jälkeen virke ”Rakennuksen ilmanläpäisevyyden määrittäminen on suoritettava jollakin seuraavista menetelmistä,” ja korvataan 1 kappaleessa ”Määrittäminen testillä” ilmaisu ”Ilmanvaihtosuhteen arvo paine-erolla 50 Pa, n50, voidaan saada testaamalla standardissa UNE-EN 13829:2002 (Rakennuksen ilmatiiviyden mittaaminen. Paineistusmenetelmä puhaltimen avulla) määritetyn menetelmän B mukaisesti.” ilmaisulla ”Ilmanvaihtosuhteen arvo paine-erolla 50 Pa, n50 on määritettävä testaamalla standardissa UNE-EN ISO 9972: 2019 (Rakennuksen lämpötehokkuus. Rakennuksen ilmanläpäisevyyden määrittäminen. Paineistusmenetelmä puhaltimen avulla) esitetyllä menetelmällä 1 tai 2”.</w:t>
      </w:r>
    </w:p>
    <w:p w14:paraId="153946FB" w14:textId="274D0F0F" w:rsidR="001E0B70" w:rsidRPr="003934E5" w:rsidRDefault="001E0B70" w:rsidP="005074AB">
      <w:pPr>
        <w:ind w:left="13"/>
        <w:jc w:val="both"/>
        <w:rPr>
          <w:rFonts w:cstheme="minorHAnsi"/>
        </w:rPr>
      </w:pPr>
      <w:r>
        <w:t>Kolme.</w:t>
      </w:r>
      <w:r>
        <w:rPr>
          <w:b/>
        </w:rPr>
        <w:t xml:space="preserve"> </w:t>
      </w:r>
      <w:r>
        <w:t xml:space="preserve">Muutetaan teknisten rakennusmääräysten II osaan sisältyvä perusasiakirja DB-SUA ”Käyttöturvallisuus ja esteettömyys” seuraavasti: </w:t>
      </w:r>
    </w:p>
    <w:p w14:paraId="05134A28" w14:textId="08B7B404" w:rsidR="00A5780E" w:rsidRDefault="001E0B70" w:rsidP="00D722CA">
      <w:pPr>
        <w:ind w:left="13"/>
        <w:jc w:val="both"/>
        <w:rPr>
          <w:rFonts w:cstheme="minorHAnsi"/>
        </w:rPr>
      </w:pPr>
      <w:r>
        <w:t>Lisätään liitteen A ”Terminologia” SUA 9 luvussa ”Esteettömyys” olevaan määritelmään ”Esteetön pysäköintialue” viiva ja seuraava teksti:</w:t>
      </w:r>
    </w:p>
    <w:p w14:paraId="791B9B63" w14:textId="2AEB4586" w:rsidR="00D722CA" w:rsidRPr="009064BC" w:rsidRDefault="0078611E" w:rsidP="0078611E">
      <w:pPr>
        <w:ind w:left="709"/>
        <w:jc w:val="both"/>
        <w:rPr>
          <w:rFonts w:cstheme="minorHAnsi"/>
        </w:rPr>
      </w:pPr>
      <w:r>
        <w:t>”– Jos esteettömässä pysäköintipaikassa on sähköajoneuvon latausasema, esteetön reitti kattaa myös tämän latausaseman. Näiden latausasemien pistorasiat ja liittimet on erotettava ympäristöstä värikontrastin avulla ja asennettava 80–120 senttimetrin korkeudelle, ja etäisyyden kulmista on oltava vähintään 35 senttimetriä.”</w:t>
      </w:r>
    </w:p>
    <w:p w14:paraId="09F57FB9" w14:textId="78225EA3" w:rsidR="005074AB" w:rsidRPr="009064BC" w:rsidRDefault="00DF5914" w:rsidP="005074AB">
      <w:pPr>
        <w:ind w:left="13"/>
        <w:jc w:val="both"/>
        <w:rPr>
          <w:rFonts w:cstheme="minorHAnsi"/>
        </w:rPr>
      </w:pPr>
      <w:r>
        <w:t>Neljä. Muutetaan teknisten rakennusmääräysten II osaan sisältyvä perusasiakirja DB-HS ”Terveys” seuraavasti:</w:t>
      </w:r>
    </w:p>
    <w:p w14:paraId="6B818CBA" w14:textId="77777777" w:rsidR="002E7342" w:rsidRDefault="005074AB" w:rsidP="002E7342">
      <w:pPr>
        <w:pStyle w:val="ListParagraph"/>
        <w:numPr>
          <w:ilvl w:val="0"/>
          <w:numId w:val="22"/>
        </w:numPr>
        <w:jc w:val="both"/>
        <w:rPr>
          <w:rFonts w:cstheme="minorHAnsi"/>
        </w:rPr>
      </w:pPr>
      <w:r>
        <w:t>Korvataan HS 4 luvun ”Vesihuolto” 3.2.2.1 alakohdan 2 alakohdan ilmaisu ”aurinkoenergian vähimmäisosuus lämpimän käyttöveden tuotannossa” ilmaisulla ”uusiutuvan energian vähimmäisosuus lämpimän käyttöveden kysynnän kattamiseksi”.</w:t>
      </w:r>
    </w:p>
    <w:p w14:paraId="49ACE665" w14:textId="4B95E48B" w:rsidR="005074AB" w:rsidRPr="003934E5" w:rsidRDefault="002F25C7" w:rsidP="009064BC">
      <w:pPr>
        <w:jc w:val="both"/>
        <w:rPr>
          <w:rFonts w:eastAsia="Arial" w:cstheme="minorHAnsi"/>
          <w:kern w:val="2"/>
        </w:rPr>
      </w:pPr>
      <w:r>
        <w:t>Viisi. Korjataan teknisten rakennusmääräysten II osaan sisältyvässä perusasiakirjassa DB-HE ”Energiansäästöt” havaitut virheet ja painovirheet seuraavasti:</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Korvataan HE 0 luvun 1 kappaleen ”Soveltamisala” 1 kohdassa ilmaisu ”...kun laajennettu kokonaishyötypinta-ala on yli 50 neliömetriä” ilmaisulla ”...kun laajennettu hyötypinta-ala on yli 50 neliömetriä;”.</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lastRenderedPageBreak/>
        <w:t>Korvataan HE 0 luvun 3 kappaleessa ”Vaatimuksen kvantifiointi” 3.1 kohdan ”Uusiutumattoman primäärienergian kulutus” 2 alakohdassa ilmaisu ”... C</w:t>
      </w:r>
      <w:r>
        <w:rPr>
          <w:vertAlign w:val="subscript"/>
        </w:rPr>
        <w:t>ep’nren,lim</w:t>
      </w:r>
      <w:r>
        <w:t>...” ilmaisulla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Korvataan HE 0 luvun 3 kappaleessa ”Vaatimuksen kvantifiointi” 3.2 kohdan ”Primäärienergian kokonaiskulutus” 1 alakohdassa ilmaisu ”... C</w:t>
      </w:r>
      <w:r>
        <w:rPr>
          <w:vertAlign w:val="subscript"/>
        </w:rPr>
        <w:t>ep’tot</w:t>
      </w:r>
      <w:r>
        <w:t>...” ilmaisulla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Korvataan HE 0 luvun 3 kappaleessa ”Vaatimuksen kvantifiointi” 3.2 kohdan ”Primäärienergian kokonaiskulutus” 2 alakohdassa ilmaisu ”... C</w:t>
      </w:r>
      <w:r>
        <w:rPr>
          <w:vertAlign w:val="subscript"/>
        </w:rPr>
        <w:t>ep,tot</w:t>
      </w:r>
      <w:r>
        <w:t>...” ilmaisulla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HE 0 luvun taulukoissa 3.1.a-HE0 ja 3.2.a-HE0 on oltava ilmaisu ”</w:t>
      </w:r>
      <w:r>
        <w:rPr>
          <w:i/>
        </w:rPr>
        <w:t>yksityinen asuinkäyttö</w:t>
      </w:r>
      <w:r>
        <w:t>” kursiivilla. Luvun 3.1 kohdan ”</w:t>
      </w:r>
      <w:r>
        <w:rPr>
          <w:i/>
          <w:iCs/>
        </w:rPr>
        <w:t>Uusiutumattoman primäärienergian kulutus</w:t>
      </w:r>
      <w:r>
        <w:t>” 2 alakohdassa ja 3.2 kohdan ”</w:t>
      </w:r>
      <w:r>
        <w:rPr>
          <w:i/>
          <w:iCs/>
        </w:rPr>
        <w:t>Primäärienergian kokonaiskulutus</w:t>
      </w:r>
      <w:r>
        <w:t>” 2 alakohdassa ilmaisun ”</w:t>
      </w:r>
      <w:r>
        <w:rPr>
          <w:i/>
        </w:rPr>
        <w:t>yksityinen asuinkäyttö</w:t>
      </w:r>
      <w:r>
        <w:t>” olisi oltava kursiivilla.</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HE 0 luvun 4.3 kohdan ”Sisäiset pyynnöt ja toimintaolosuhteet” 2 alakohdassa ilmaisun ”</w:t>
      </w:r>
      <w:r>
        <w:rPr>
          <w:i/>
        </w:rPr>
        <w:t>yksityinen asuinkäyttö</w:t>
      </w:r>
      <w:r>
        <w:t>” olisi oltava kursiivilla.</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HE 0 luvun 4.5 kohdassa ”Yksityisen asuinkäytön viitejärjestelmät” ilmaisun ”</w:t>
      </w:r>
      <w:r>
        <w:rPr>
          <w:i/>
        </w:rPr>
        <w:t>yksityinen asuinkäyttö</w:t>
      </w:r>
      <w:r>
        <w:t>” olisi oltava kursiivilla sekä otsikossa että 1 alakohdassa.</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HE 1 luvun 3 kappaleessa ”Vaatimuksen kvantifiointi” 3.11 kohdassa ”Lämpövaipan läpäisevyys” taulukoissa 3.1.1.b-HE1 ja 3.1.1.c-HE1 olevan termin ”tiiviys” olisi oltava kursiivilla.</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HE 1 luvun 3 kappaleessa ”Vaatimuksen kvantifiointi” 3.11 kohdassa ”Lämpövaipan läpäisevyys” taulukon 3.1.1.b-HE1 ja taulukon 3.1.1.c-HE1 alaviitteissä oleva termi ”tiiviydet” ja taulukon 3.1.1.c-HE1 taulukon alaviitteessä oleva termi ”tiiviys” olisi oltava kursiivilla.</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HE 1 luvun 3 kappaleen ”Vaatimuksen kvantifiointi” 3.1.1 kohdassa ”Lämpövaipan läpäisevyys” termi ”</w:t>
      </w:r>
      <w:r>
        <w:rPr>
          <w:i/>
        </w:rPr>
        <w:t>yksityinen asuinkäyttö</w:t>
      </w:r>
      <w:r>
        <w:t>” olisi oltava kursiivilla sekä 3 alakohdassa että taulukossa 3.1.1.b-HE1.</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HE 1 luvun 3 kappaleen ”Vaatimuksen kvantifiointi” 3.1.1 kohdassa ”Lämpövaipan läpäisevyys” olevassa taulukossa 3.1.1.c-HE1 olevan termin ”lämpövaippa” olisi oltava kursiivilla.</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Korvataan HE 1 luvun 3 kappaleessa ”Vaatimuksen kvantifiointi” 3.1.2 kohdassa ”Lämpövaipan aurinkosuojaus” ilmaisu ”Taulukko 3.1.2-HE1 Aurinkosuojauksen parametrin raja-arvo qsol;jul,lim [KWh/m</w:t>
      </w:r>
      <w:r>
        <w:rPr>
          <w:vertAlign w:val="superscript"/>
        </w:rPr>
        <w:t>2</w:t>
      </w:r>
      <w:r>
        <w:t>·mes]” ilmaisulla ”Taulukko 3.1.2-HE1 Aurinkosuojauksen parametrin raja-arvo q</w:t>
      </w:r>
      <w:r>
        <w:rPr>
          <w:vertAlign w:val="subscript"/>
        </w:rPr>
        <w:t>sol;jul,lim</w:t>
      </w:r>
      <w:r>
        <w:t xml:space="preserve"> [KWh/m</w:t>
      </w:r>
      <w:r>
        <w:rPr>
          <w:vertAlign w:val="superscript"/>
        </w:rPr>
        <w:t>2</w:t>
      </w:r>
      <w:r>
        <w:t>·mes]”, jossa ”sun;jul,lim” merkitään alaindeksillä.</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HE 1 luvun 3 kappaleen ”Vaatimuksen kvantifiointi” 3.1.3 kohdassa ”Lämpövaipan ilmanläpäisevyys” termin ”lämpövaippa” olisi oltava kursiivilla.</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HE 1 luvun 3 kappaleen ”Vaatimuksen kvantifiointi” 3.1.3 kohdan ”Lämpövaipan ilmanläpäisevyys” taulukossa 3.1.3.b-HE1 olevan ilmauksen ”tiiviys”, taulukon 3.1.3.b-</w:t>
      </w:r>
      <w:r>
        <w:lastRenderedPageBreak/>
        <w:t>HE1 alaviitteessä olevan termin ”tiiviydet” ja 3 alakohdassa olevan termin ”yksityinen asuinkäyttö” olisi oltava kursiivilla.</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HE 1 luvun 4 kappaleen ”Vaatimuksen perustelu” 4.1.b kohdassa olevan termin ”tiiviys” ja 4.1.g kohdassa olevan ilmaisun ”yksityinen asuinkäyttö” olisi oltava kursiivilla.</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Korvataan HE 4 luvun 3 kappaleen ”Vaatimuksen kvantifiointi” 3.1 kohdassa ”Uusiutuvan energian vähimmäisosuus lämpimän käyttöveden ja/tai uima-altaan lämmityksessä” 4 alakohdassa ilmaisu ”... enemmän kuin 2,5, kun käytetään sähköä, ja suurempi kuin 1,15, kun käytetään lämpöenergiaa...” ilmaisulla ”... vähintään 2,5, kun käytetään sähköä, ja vähintään 1,15, kun käytetään lämpöenergiaa...”.</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Korvataan HE 4 luvun 3 kappaleen ”Vaatimuksen kvantifiointi” 3.1 kohdan ”Uusiutuvan energian vähimmäisosuus lämpimän käyttöveden ja/tai uima-altaan lämmityksessä” 5 alakohdassa ilmaisu ”... asuinrakennukset...”ilmaisulla ”... yksityisessä asuinkäytössä olevat rakennukset...”.</w:t>
      </w:r>
    </w:p>
    <w:p w14:paraId="198A06EA" w14:textId="307304FC" w:rsidR="005074AB" w:rsidRPr="009064BC" w:rsidRDefault="003E1EAB" w:rsidP="00547307">
      <w:pPr>
        <w:numPr>
          <w:ilvl w:val="0"/>
          <w:numId w:val="15"/>
        </w:numPr>
        <w:ind w:left="714" w:hanging="357"/>
        <w:jc w:val="both"/>
        <w:rPr>
          <w:rFonts w:cstheme="minorHAnsi"/>
        </w:rPr>
      </w:pPr>
      <w:r>
        <w:t xml:space="preserve">Lisätään HE 4 lukuun ennen kohtaa ”5.1. Toteuttaminen” seuraava otsikko: ”5. Rakentaminen, huolto ja ylläpito”.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Korvataan sivulla 140553, liitteessä A ”Terminologia” olevassa määritelmässä ”Kokonaislämmönsiirtokerroin (rakennuksen lämpövaipan kautta) (K)” ilmaisu ”... K = X Hx/Aint...” ilmaisulla ”... K = Σ</w:t>
      </w:r>
      <w:r>
        <w:rPr>
          <w:vertAlign w:val="subscript"/>
        </w:rPr>
        <w:t>x</w:t>
      </w:r>
      <w:r>
        <w:t xml:space="preserve"> H</w:t>
      </w:r>
      <w:r>
        <w:rPr>
          <w:vertAlign w:val="subscript"/>
        </w:rPr>
        <w:t>x</w:t>
      </w:r>
      <w:r>
        <w:t xml:space="preserve"> / A</w:t>
      </w:r>
      <w:r>
        <w:rPr>
          <w:vertAlign w:val="subscript"/>
        </w:rPr>
        <w:t>int</w:t>
      </w:r>
      <w:r>
        <w:t>...”, jossa ”x”, ”x” ja ”int” merkitään alaindeksillä.</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Liitteessä A ”Terminologia” olevassa ”tiiviyden” määritelmässä toisen alakohdan sana ”tiiviys” olisi oltava kursiivilla.</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Liitteessä A ”Terminologia” määritelmässä ”Toimintaolosuhteet” termin ”yksityinen asuinkäyttö” olisi oltava kursiivilla.</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Korvataan liitteessä A ”Terminologia” olevassa määritelmässä ”Uusiutumattoman primäärienergian kulutus” ilmaisu ”... Uusiutumattoman primäärienergian kulutus...” ilmaisulla ”... Uusiutumattoman primäärienergian kulutus (C</w:t>
      </w:r>
      <w:r>
        <w:rPr>
          <w:vertAlign w:val="subscript"/>
        </w:rPr>
        <w:t>ep,nren</w:t>
      </w:r>
      <w:r>
        <w:t>)...”, jossa ”ep,nren” merkitään alaindeksillä.</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Korvataan liitteessä A ”Terminologia” olevassa määritelmässä ”Primäärienergian kokonaiskulutus” ilmaisu ”... Primäärienergian kokonaiskulutus...” ilmaisulla ”... Primäärienergian kokonaiskulutus (C</w:t>
      </w:r>
      <w:r>
        <w:rPr>
          <w:vertAlign w:val="subscript"/>
        </w:rPr>
        <w:t>ep,tot</w:t>
      </w:r>
      <w:r>
        <w:t>)...”, jossa ”ep,tot” merkitään alaindeksillä.</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Korvataan liitteessä A ”Terminologia” olevassa määritelmässä ”Aurinkosuojaus (q</w:t>
      </w:r>
      <w:r>
        <w:rPr>
          <w:vertAlign w:val="subscript"/>
        </w:rPr>
        <w:t>sol;ju</w:t>
      </w:r>
      <w:r>
        <w:t>)” ilmaisu ”... tilojen hyötypinta-ala...” ilmaisulla ”... asuintilojen hyötypinta-ala...”.</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Liitteessä A ”Terminologia” olevassa määritelmässä ”Ilmastoitu asuintila” termin ”yksityinen asuinkäyttö” olisi oltava kursiivilla.</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Liitteessä A ”Terminologia” olevan määritelmän ”Käyttöaika” toisessa alakohdassa termin ”yksityinen asuinkäyttö” olisi oltava kursivoitu.</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Liitteessä A ”Terminologia” olevassa määritelmässä ”Laitteiston energiatehokkuuden raja-arvo (VEEI)” termin ”yksityinen asuinkäyttö” olisi oltava kursiivilla.</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Liitteessä C ”Lämpövaipan määrittelyyn liittyviä huomioita” otsikossa olevan termin ”lämpövaippa” olisi oltava kursiivilla.</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lastRenderedPageBreak/>
        <w:t>Liitteessä D ”Toimintaolosuhteet ja käyttöprofiilit” otsikossa olevat ilmaisut ”Toimintaolosuhteet” ja ”käyttöprofiilit” on oltava kursiivilla otsikossa, 2 alakohdassa sekä liitteen D taulukoissa a, b ja c.</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Liitteessä E ”Läpäisevyyden ohjeelliset arvot” olevassa 1 kohdassa termin ”yksityinen asuinkäyttö” on oltava kursiivilla.</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Liitteessä F ”Lämpimän käyttöveden viitteellinen kysyntä” termin ”yksityinen asuinkäyttö” olisi oltava kursiivilla sekä 1 kohdassa että liitteessä F olevassa taulukossa a.</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Korvataan liitteessä H ”Rakennuksen ilmanläpäisevyyden määrittäminen” 2 kohdassa ”Määrittäminen viitearvojen perusteella” ilmaisu ”... 2. Ilmanvaihtosuhteen arvo paine-erolla 50 Pa, n50, voidaan laskea seuraavalla yhtälöllä:” ilmaisulla ”... 1. Ilmanvaihtosuhteen arvo paine-erolla 50 Pa, n50, viitearvojen avulla saadaan seuraavalla yhtälöllä:”, ilmaisu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 ilmaisulla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w:t>
      </w:r>
      <w:r>
        <w:rPr>
          <w:vertAlign w:val="subscript"/>
        </w:rPr>
        <w:t>in</w:t>
      </w:r>
      <w:r>
        <w:t>”, ilmaisu ”V on lämpövaipan sisäinen tilavuus [m</w:t>
      </w:r>
      <w:r>
        <w:rPr>
          <w:vertAlign w:val="superscript"/>
        </w:rPr>
        <w:t>3</w:t>
      </w:r>
      <w:r>
        <w:t>]” ilmaisulla ”V</w:t>
      </w:r>
      <w:r>
        <w:rPr>
          <w:vertAlign w:val="subscript"/>
        </w:rPr>
        <w:t>int</w:t>
      </w:r>
      <w:r>
        <w:t xml:space="preserve"> on </w:t>
      </w:r>
      <w:r>
        <w:rPr>
          <w:i/>
        </w:rPr>
        <w:t>lämpövaipan</w:t>
      </w:r>
      <w:r>
        <w:t xml:space="preserve"> sisäilman tilavuus [m</w:t>
      </w:r>
      <w:r>
        <w:rPr>
          <w:vertAlign w:val="superscript"/>
        </w:rPr>
        <w:t>3</w:t>
      </w:r>
      <w:r>
        <w:t>]” ja ilmaisu ”A</w:t>
      </w:r>
      <w:r>
        <w:rPr>
          <w:vertAlign w:val="subscript"/>
        </w:rPr>
        <w:t>o</w:t>
      </w:r>
      <w:r>
        <w:t xml:space="preserve"> on lämpövaipan läpinäkymättömän osan pinta-ala [m</w:t>
      </w:r>
      <w:r>
        <w:rPr>
          <w:vertAlign w:val="superscript"/>
        </w:rPr>
        <w:t>2</w:t>
      </w:r>
      <w:r>
        <w:t>]” ilmaisulla ”A</w:t>
      </w:r>
      <w:r>
        <w:rPr>
          <w:vertAlign w:val="subscript"/>
        </w:rPr>
        <w:t>o</w:t>
      </w:r>
      <w:r>
        <w:t xml:space="preserve"> on ulkoilman kanssa kosketuksissa olevan </w:t>
      </w:r>
      <w:r>
        <w:rPr>
          <w:i/>
        </w:rPr>
        <w:t>lämpövaipan</w:t>
      </w:r>
      <w:r>
        <w:t xml:space="preserve"> läpinäkymättömän osan pinta-ala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Liitteessä H ”Rakennuksen ilmanläpäisevyyden määrittäminen” termin ”lämpövaippa” olisi oltava kursiivilla ilmaisujen V</w:t>
      </w:r>
      <w:r>
        <w:rPr>
          <w:vertAlign w:val="subscript"/>
        </w:rPr>
        <w:t>int</w:t>
      </w:r>
      <w:r>
        <w:t>, C</w:t>
      </w:r>
      <w:r>
        <w:rPr>
          <w:vertAlign w:val="subscript"/>
        </w:rPr>
        <w:t>o</w:t>
      </w:r>
      <w:r>
        <w:t>, C</w:t>
      </w:r>
      <w:r>
        <w:rPr>
          <w:vertAlign w:val="subscript"/>
        </w:rPr>
        <w:t>h</w:t>
      </w:r>
      <w:r>
        <w:t>, A</w:t>
      </w:r>
      <w:r>
        <w:rPr>
          <w:vertAlign w:val="subscript"/>
        </w:rPr>
        <w:t>h</w:t>
      </w:r>
      <w:r>
        <w:t xml:space="preserve"> kuvauksessa ja liitteessä H olevassa taulukossa a.</w:t>
      </w:r>
    </w:p>
    <w:p w14:paraId="7A548AE7" w14:textId="77777777" w:rsidR="0024794E" w:rsidRDefault="002F25C7" w:rsidP="0024794E">
      <w:pPr>
        <w:spacing w:before="200" w:after="100" w:line="240" w:lineRule="auto"/>
        <w:jc w:val="both"/>
        <w:rPr>
          <w:rFonts w:eastAsia="Arial" w:cstheme="minorHAnsi"/>
          <w:kern w:val="2"/>
          <w:szCs w:val="24"/>
        </w:rPr>
      </w:pPr>
      <w:r>
        <w:t xml:space="preserve">Kuusi. Korjataan teknisten rakennusmääräysten II osaan sisältyvässä perusasiakirjassa DB-HS ”Terveys” havaitut virheet ja painovirheet seuraavasti: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Korvataan HS 4 luvun ”Vesihuolto” 6.2 kohdan luetelmakohta ”e) klooratusta polyvinyylikloridista (PVC-C) valmistetut putket, jotka ovat standardien UNE-EN ISO 15874-1:2013, UNE-EN ISO 15874-2:2013 ja UNE-EN ISO 15874-3:2013 mukaisia” luetelmakohdalla ”e) klooratusta polyvinyylikloridista (PVC-C) valmistetut putket, jotka ovat standardien UNE-EN ISO 15877-1:2009 (+UNE-EN ISO 15877-1:2009/A1): 2011), UNE-EN ISO 15877-2:2009 (+UNE-EN ISO 15877-2:2009/A1: 2011) ja UNE-EN ISO 15877-3:2009 (+UNE-EN ISO 15877-3:2009/A1: 2011) mukaisia;”.</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Korvataan HS 4 luvun ”Vesihuolto” 6.2 kohdan luetelmakohta ”h) polybutyleeniputket (PB), jotka ovat standardien UNE-EN ISO 15876-1:2017, UNE-EN ISO 15876-2:2017 ja UNE-EN ISO 15876-3:2017 mukaisia” luetelmakohdalla ”h) polybuteeniputket (PB), jotka ovat standardien UNE-EN ISO 15876-1:2017, UNE-EN ISO 15876-2:2017 ja UNE-EN ISO 15876-3:2017 mukaisia;”.</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Korvataan liitteessä C. ”Viitestandardit” ilmaisu ”Muoviputkijärjestelmät kuuma- ja kylmävesiasennuksiin. Polybutyleeni (PB). Osa 1: Yleistä” ilmaisulla ”Muoviputkijärjestelmät kuuma- ja kylmävesiasennuksiin. Polybuteeni (PB). Osa 1: Yleistä”.</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Korvataan liitteessä C. ”Viitestandardit” ilmaisu ”Muoviputkijärjestelmät kuuma- ja kylmävesiasennuksiin. Polybutyleeni (PB). Osa 2: Putket” ilmaisulla ”Muoviputkijärjestelmät kuuma- ja kylmävesiasennuksiin. Polybuteeni (PB). Osa 2: Putket”.</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 xml:space="preserve">Korvataan liitteessä C. ”Viitestandardit” ilmaisu ”Muoviputkijärjestelmät kuuma- ja kylmävesiasennuksiin. Polybutyleeni (PB). Osa 3: Putkenosat” ilmaisulla </w:t>
      </w:r>
      <w:r>
        <w:lastRenderedPageBreak/>
        <w:t>”Muoviputkijärjestelmät kuuma- ja kylmävesiasennuksiin. Polybuteeni (PB). Osa 3: Putkenosat”.</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Lisätään liitteessä C. ”Viitestandardit” viittauksen standardiin ”UNE-EN ISO 15876-3: 2017</w:t>
      </w:r>
      <w:r>
        <w:tab/>
        <w:t>Muoviputkijärjestelmät kuuma- ja kylmävesiasennuksiin. Polybuteeni (PB). Osa 3: Putkenosat” jälkeen seuraavat standardit:</w:t>
      </w:r>
    </w:p>
    <w:p w14:paraId="5A496CEC" w14:textId="6500843E" w:rsidR="00AD074F" w:rsidRDefault="00AD074F" w:rsidP="0024794E">
      <w:pPr>
        <w:pStyle w:val="ListParagraph"/>
        <w:spacing w:after="120"/>
        <w:ind w:left="709"/>
        <w:jc w:val="both"/>
      </w:pPr>
      <w:r>
        <w:t xml:space="preserve">”UNE-EN ISO 15877-1:2009 Muoviputkijärjestelmät kuuma- ja kylmävesiasennuksiin. Kloorattu poly(vinyylikloridi) (PVC-C). Osa 1: Yleistä.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Muoviputkijärjestelmät kuuma- ja kylmävesiasennuksiin. Kloorattu poly(vinyylikloridi) (PVC-C). Osa 2: Putket.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Muoviputkijärjestelmät kuuma- ja kylmävesiasennuksiin. Kloorattu poly(vinyylikloridi) (PVC-C). Osa 3: Putkenosat. (+UNE-EN ISO 15877-3:2009/A1:2011)”</w:t>
      </w:r>
    </w:p>
    <w:p w14:paraId="30F2E766" w14:textId="038A7758" w:rsidR="005074AB" w:rsidRPr="00431D05" w:rsidRDefault="005074AB" w:rsidP="005074AB">
      <w:pPr>
        <w:jc w:val="both"/>
        <w:rPr>
          <w:rFonts w:cstheme="minorHAnsi"/>
          <w:bCs/>
          <w:i/>
          <w:iCs/>
        </w:rPr>
      </w:pPr>
      <w:r>
        <w:t xml:space="preserve">Ensimmäinen siirtymäsäännös. </w:t>
      </w:r>
      <w:r>
        <w:rPr>
          <w:i/>
        </w:rPr>
        <w:t>Rakennukset, joihin ei sovelleta tämän kuninkaan asetuksen säännöksiä.</w:t>
      </w:r>
    </w:p>
    <w:p w14:paraId="71A41130" w14:textId="7184244B" w:rsidR="005074AB" w:rsidRPr="009064BC" w:rsidRDefault="005074AB" w:rsidP="005074AB">
      <w:pPr>
        <w:jc w:val="both"/>
        <w:rPr>
          <w:rFonts w:cstheme="minorHAnsi"/>
        </w:rPr>
      </w:pPr>
      <w:r>
        <w:t xml:space="preserve">Tällä kuninkaan asetuksella tehtyjä muutoksia teknisiin rakennusmääräyksiin ei sovelleta uusiin rakennuksiin eikä olemassa olevien rakennusten kunnostustöihin, jotka (molemmissa tapauksissa) ovat jo hakeneet kunnallista rakennuslupaa tämän kuninkaan asetuksen tullessa voimaan. </w:t>
      </w:r>
    </w:p>
    <w:p w14:paraId="6E353956" w14:textId="262DE845" w:rsidR="007B11B1" w:rsidRDefault="005074AB" w:rsidP="005074AB">
      <w:pPr>
        <w:jc w:val="both"/>
        <w:rPr>
          <w:rFonts w:cstheme="minorHAnsi"/>
        </w:rPr>
      </w:pPr>
      <w:r>
        <w:t>Tällaiset rakennusurakat on aloitettava kyseisen luvan enimmäiskeston voimassaoloaikana sitä koskevien määräysten mukaisesti tai, jollei näin tehdä, kuuden kuukauden kuluessa luvan myöntämisestä. Muussa tapauksessa hankkeet on mukautettava tällä kuninkaan asetuksella hyväksyttyihin teknisten rakennusmääräysten muutoksiin.</w:t>
      </w:r>
    </w:p>
    <w:p w14:paraId="78DABA03" w14:textId="77777777" w:rsidR="005074AB" w:rsidRPr="00D47CC2" w:rsidRDefault="005074AB" w:rsidP="005074AB">
      <w:pPr>
        <w:jc w:val="both"/>
        <w:rPr>
          <w:rFonts w:cstheme="minorHAnsi"/>
          <w:bCs/>
          <w:i/>
          <w:iCs/>
        </w:rPr>
      </w:pPr>
      <w:r>
        <w:t xml:space="preserve">Toinen siirtymäsäännös. </w:t>
      </w:r>
      <w:r>
        <w:rPr>
          <w:i/>
        </w:rPr>
        <w:t>Rakennukset, joiden osalta tämän kuninkaan asetuksen säännösten soveltaminen on vapaaehtoista.</w:t>
      </w:r>
    </w:p>
    <w:p w14:paraId="047CBC16" w14:textId="1E288EF7" w:rsidR="00CA5D2D" w:rsidRPr="00B24946" w:rsidRDefault="005074AB" w:rsidP="005074AB">
      <w:pPr>
        <w:jc w:val="both"/>
        <w:rPr>
          <w:rFonts w:cstheme="minorHAnsi"/>
        </w:rPr>
      </w:pPr>
      <w:r>
        <w:t xml:space="preserve">Tällä kuninkaan asetuksella hyväksyttyjä teknisten rakennusmääräysten muutoksia sovelletaan vapaaehtoisesti uusiin rakennuksiin ja olemassa olevien rakennusten kunnostustöihin, joille (molemmissa tapauksissa) haetaan kunnallista rakennuslupaa kuuden kuukauden kuluessa tämän kuninkaan asetuksen voimaantulosta. </w:t>
      </w:r>
    </w:p>
    <w:p w14:paraId="0F321A96" w14:textId="5FE37BEE" w:rsidR="00CA5D2D" w:rsidRDefault="00CA5D2D" w:rsidP="00CA5D2D">
      <w:pPr>
        <w:jc w:val="both"/>
        <w:rPr>
          <w:rFonts w:cstheme="minorHAnsi"/>
        </w:rPr>
      </w:pPr>
      <w:r>
        <w:t>Tällaiset rakennusurakat on aloitettava kyseisen luvan enimmäiskeston voimassaoloaikana sitä koskevien määräysten mukaisesti tai, jollei näin tehdä, kuuden kuukauden kuluessa luvan myöntämisestä. Muussa tapauksessa hankkeet on mukautettava tällä kuninkaan asetuksella hyväksyttyihin teknisten rakennusmääräysten muutoksiin.</w:t>
      </w:r>
    </w:p>
    <w:p w14:paraId="1B48DE1E" w14:textId="77777777" w:rsidR="005074AB" w:rsidRPr="00D47CC2" w:rsidRDefault="005074AB" w:rsidP="005074AB">
      <w:pPr>
        <w:jc w:val="both"/>
        <w:rPr>
          <w:rFonts w:cstheme="minorHAnsi"/>
          <w:bCs/>
          <w:i/>
          <w:iCs/>
        </w:rPr>
      </w:pPr>
      <w:r>
        <w:t xml:space="preserve">Kolmas siirtymäsäännös. </w:t>
      </w:r>
      <w:r>
        <w:rPr>
          <w:i/>
        </w:rPr>
        <w:t>Rakennukset, joiden osalta tämän kuninkaan asetuksen säännösten soveltaminen on pakollista.</w:t>
      </w:r>
    </w:p>
    <w:p w14:paraId="557DDCCB" w14:textId="624E2145" w:rsidR="005074AB" w:rsidRDefault="005074AB" w:rsidP="005074AB">
      <w:pPr>
        <w:jc w:val="both"/>
        <w:rPr>
          <w:rFonts w:cstheme="minorHAnsi"/>
        </w:rPr>
      </w:pPr>
      <w:r>
        <w:t>Tällä kuninkaan asetuksella hyväksyttyjen teknisiin rakennusmääräyksiin tehtyjen muutosten soveltaminen on pakollista uusien rakennusten tai olemassa olevien rakennusten kunnostustöiden osalta, joille haetaan kunnallista rakennuslupaa aikaisintaan yhdeksän kuukauden kuluttua tämän asetuksen voimaantulosta.</w:t>
      </w:r>
    </w:p>
    <w:p w14:paraId="588C44EA" w14:textId="52803F33" w:rsidR="005074AB" w:rsidRPr="00D47CC2" w:rsidRDefault="005074AB" w:rsidP="005074AB">
      <w:pPr>
        <w:jc w:val="both"/>
        <w:rPr>
          <w:rFonts w:cstheme="minorHAnsi"/>
          <w:bCs/>
          <w:i/>
          <w:iCs/>
        </w:rPr>
      </w:pPr>
      <w:r>
        <w:lastRenderedPageBreak/>
        <w:t xml:space="preserve">Ensimmäinen loppusäännös. </w:t>
      </w:r>
      <w:r>
        <w:rPr>
          <w:i/>
        </w:rPr>
        <w:t>Elokuun 2 päivänä 2002 annetulla kuninkaan asetuksella 842/2002 hyväksytyn pienjännitesähköteknisen määräyksen uuden teknisen lisäohjeen (ITC) BT 52 ”Laitteet erityisiin tarkoituksiin. Sähköajoneuvojen latausinfrastruktuuri” hyväksymisestä ja saman määräyksen muiden teknisten lisäohjeiden muuttamisesta 12 päivänä joulukuuta 2014 annetun kuninkaan asetuksen 1053/2014 muuttaminen.</w:t>
      </w:r>
    </w:p>
    <w:p w14:paraId="183CB7CD" w14:textId="78A1B469" w:rsidR="005074AB" w:rsidRPr="009064BC" w:rsidRDefault="005074AB" w:rsidP="005074AB">
      <w:pPr>
        <w:jc w:val="both"/>
        <w:rPr>
          <w:rFonts w:cstheme="minorHAnsi"/>
        </w:rPr>
      </w:pPr>
      <w:r>
        <w:t>Yksi. Muutetaan uuden teknisen lisäohjeen (ITC) BT 52 hyväksymisestä 12 päivänä joulukuuta 2014 annetun kuninkaan asetuksen 1053/2014 ensimmäinen lisäsäännös seuraavasti:</w:t>
      </w:r>
    </w:p>
    <w:p w14:paraId="6C63F170" w14:textId="77777777" w:rsidR="005074AB" w:rsidRPr="009064BC" w:rsidRDefault="005074AB" w:rsidP="005074AB">
      <w:pPr>
        <w:ind w:left="567"/>
        <w:jc w:val="both"/>
        <w:rPr>
          <w:rFonts w:cstheme="minorHAnsi"/>
        </w:rPr>
      </w:pPr>
      <w:r>
        <w:t>”Ensimmäinen lisäsäännös. Vähimmäisrakenteet sähköajoneuvojen lataamiseksi pysäköintialueilla, jotka eivät ole rakennusten yhteydessä, jotka on rakennettu hiljattain tai joita on kunnostettu laajamittaisesti, sekä yleisillä teillä.</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Uusille pysäköintialueille tai niille, joihin tehdään laajamittaisia korjauksia ja jotka eivät sijaitse rakennuksen sisällä tai rakennuksen yhteydessä ja eivät näin ollen kuulu teknisten rakennusmääräysten energiansäästöä koskevan perusasiakirjan (DB HE) soveltamisalaan, on asennettava vähintään yksi latausasema 40:tä pysäköintipaikkaa kohden. Pysäköintialue katsotaan hiljattain rakennetuksi, kun rakennushanke toimitetaan toimivaltaisen julkishallinnon käsiteltäväksi tämän kuninkaan asetuksen voimaantulon jälkeen. </w:t>
      </w:r>
    </w:p>
    <w:p w14:paraId="0C99327A" w14:textId="0AD5DDFE" w:rsidR="005074AB" w:rsidRPr="009064BC" w:rsidRDefault="005074AB" w:rsidP="002F659F">
      <w:pPr>
        <w:numPr>
          <w:ilvl w:val="0"/>
          <w:numId w:val="11"/>
        </w:numPr>
        <w:ind w:left="1418" w:hanging="284"/>
        <w:contextualSpacing/>
        <w:jc w:val="both"/>
        <w:rPr>
          <w:rFonts w:cstheme="minorHAnsi"/>
        </w:rPr>
      </w:pPr>
      <w:r>
        <w:t>Yleisillä teillä on tehtävä tarvittavat asennukset sähkön toimittamiseksi latausasemille, jotka sijaitsevat sähköajoneuvoille tarkoitetuilla paikoilla, joista määrätään kunnallisissa tai kuntien rajat ylittävissä kestävää liikkuvuutta koskevissa suunnitelmissa.”</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Kaksi. Muutetaan TEKNISEN LISÄOHJEEN (ITC) BT-52 3.2 kohta seuraavasti:</w:t>
      </w:r>
    </w:p>
    <w:p w14:paraId="6A13CA56" w14:textId="2BC47FB2" w:rsidR="005074AB" w:rsidRPr="009064BC" w:rsidRDefault="005074AB" w:rsidP="005074AB">
      <w:pPr>
        <w:ind w:left="567"/>
        <w:jc w:val="both"/>
        <w:rPr>
          <w:rFonts w:cstheme="minorHAnsi"/>
        </w:rPr>
      </w:pPr>
      <w:r>
        <w:t xml:space="preserve">”3.2 Asennus rakennusten tai kiinteistökokonaisuuksien sisällä tai yhteydessä sijaitseville yhteisille pysäköintialueille. </w:t>
      </w:r>
    </w:p>
    <w:p w14:paraId="14463364" w14:textId="6F4941EA" w:rsidR="005074AB" w:rsidRPr="003934E5" w:rsidRDefault="005074AB" w:rsidP="005074AB">
      <w:pPr>
        <w:ind w:left="567"/>
        <w:jc w:val="both"/>
        <w:rPr>
          <w:rFonts w:cstheme="minorHAnsi"/>
        </w:rPr>
      </w:pPr>
      <w:r>
        <w:t>Rakennusten tai kiinteistökokonaisuuksien sisällä tai yhteydessä sijaitsevilla pysäköintialueilla olevien sähköajoneuvojen lataamiseen tarkoitettujen sähkölaitteistojen on noudatettava mitä tahansa edellä kuvattua kaaviota.</w:t>
      </w:r>
      <w:r>
        <w:rPr>
          <w:color w:val="000000" w:themeColor="text1"/>
        </w:rPr>
        <w:t xml:space="preserve"> </w:t>
      </w:r>
      <w:r>
        <w:t>Samassa rakennuksessa voidaan käyttää eri kaavioita edellyttäen, että kaikki tässä (ITC) BT-52:ssa asetetut vaatimukset täyttyvät.</w:t>
      </w:r>
    </w:p>
    <w:p w14:paraId="642E3740" w14:textId="7634F88A" w:rsidR="005074AB" w:rsidRPr="009064BC" w:rsidRDefault="005074AB" w:rsidP="005074AB">
      <w:pPr>
        <w:ind w:left="567"/>
        <w:jc w:val="both"/>
        <w:rPr>
          <w:rFonts w:cstheme="minorHAnsi"/>
        </w:rPr>
      </w:pPr>
      <w:r>
        <w:t>Kaaviossa 4a latauspiirin on noudatettava (ITC) BT-15:ssä kuvattuja asennusolosuhteita, ja siinä on käytettävä kaapeleita ja johtojärjestelmiä, jotka ovat tyypiltään ja ominaisuuksiltaan samanlaisia kuin yksittäisessä haaroittimessa, ja kaapelin poikkileikkaus on laskettava tämän ITC:n 5 kohdan yleisten vaatimusten mukaisesti; kaapelien poikkileikkauksen laajentamista ei ole tarpeen säätää käytettävän johtojärjestelmän halkaisijan tai poikittaismittojen määrittämiseksi.</w:t>
      </w:r>
    </w:p>
    <w:p w14:paraId="5C0A8DBB" w14:textId="77777777" w:rsidR="005074AB" w:rsidRPr="009064BC" w:rsidRDefault="005074AB" w:rsidP="005074AB">
      <w:pPr>
        <w:ind w:left="567"/>
        <w:jc w:val="both"/>
        <w:rPr>
          <w:rFonts w:cstheme="minorHAnsi"/>
        </w:rPr>
      </w:pPr>
      <w:r>
        <w:t>Kaaviota 4b on käytettävä, kun latausasemien sähkönsyöttö on suunniteltu autotallin olennaiseksi osaksi tai autotallien yleispalveluja tarjoavan sähkölaitteiston jatkeeksi.</w:t>
      </w:r>
    </w:p>
    <w:p w14:paraId="1BEC25F6" w14:textId="7E6AD67A" w:rsidR="005074AB" w:rsidRPr="009064BC" w:rsidRDefault="00D676D8" w:rsidP="005074AB">
      <w:pPr>
        <w:ind w:left="567"/>
        <w:jc w:val="both"/>
        <w:rPr>
          <w:rFonts w:cstheme="minorHAnsi"/>
        </w:rPr>
      </w:pPr>
      <w:r>
        <w:t xml:space="preserve">Sekä olemassa olevissa että uusissa asennuksissa ja valitun sähkökaavion käytön helpottamiseksi kaapit, jotka sisältävät yleiset suojaukset ja muut sähköajoneuvojen </w:t>
      </w:r>
      <w:r>
        <w:lastRenderedPageBreak/>
        <w:t>latauslaitteet, voidaan sijoittaa tähän tarkoitukseen osoitettuihin tiloihin tai yleisiin tiloihin.</w:t>
      </w:r>
    </w:p>
    <w:p w14:paraId="3AA0FB18" w14:textId="5CA8F82A" w:rsidR="005074AB" w:rsidRPr="009064BC" w:rsidRDefault="005074AB" w:rsidP="00904550">
      <w:pPr>
        <w:ind w:left="567"/>
        <w:jc w:val="both"/>
        <w:rPr>
          <w:rFonts w:cstheme="minorHAnsi"/>
        </w:rPr>
      </w:pPr>
      <w:r>
        <w:t xml:space="preserve">Sähköajoneuvojen latausta koskeva sähköinen esiasennus rakennuksissa tai kiinteistökokonaisuuksissa sijaitseviin tai niiden yhteydessä oleviin pysäköintialueisiin helpottaa minkä tahansa mahdollisen asennuskaavion myöhempää käyttöä. Tähän on sisällyttävä seuraavat osatekijät: </w:t>
      </w:r>
    </w:p>
    <w:p w14:paraId="4CCD8B27" w14:textId="732EDA20" w:rsidR="005074AB" w:rsidRPr="009064BC" w:rsidRDefault="005074AB" w:rsidP="005074AB">
      <w:pPr>
        <w:numPr>
          <w:ilvl w:val="0"/>
          <w:numId w:val="12"/>
        </w:numPr>
        <w:ind w:left="1418" w:hanging="284"/>
        <w:jc w:val="both"/>
        <w:rPr>
          <w:rFonts w:cstheme="minorHAnsi"/>
        </w:rPr>
      </w:pPr>
      <w:r>
        <w:t>Kaapeleiden johtojärjestelmien asentaminen mittarien keskittämisestä lähtien ja pysäköintialueiden pääväylien varsille, jotta virtaa voidaan myöhemmin syöttää latausasemille, jotka voivat sijaita yksittäisillä pysäköintipaikoilla tai pysäköintialueilla. Jos esiasennus on suunniteltu 100 prosentille paikoista, kaapeleiden johtojärjestelmien on ulotuttava jokaiselle paikalle. Jos esiasennusta ei ole suunniteltu 100 prosentille paikoista, on määriteltävä kaapeleiden johtojärjestelmien lakisääteisen tarjoamisen täyttymisen kannalta huomioon otettavat paikat, ja kyseisten järjestelmien on ulotuttava kuhunkin näistä paikoista.</w:t>
      </w:r>
    </w:p>
    <w:p w14:paraId="0460434B" w14:textId="6073EA36" w:rsidR="005074AB" w:rsidRPr="009064BC" w:rsidRDefault="005074AB" w:rsidP="00281B93">
      <w:pPr>
        <w:numPr>
          <w:ilvl w:val="0"/>
          <w:numId w:val="12"/>
        </w:numPr>
        <w:jc w:val="both"/>
        <w:rPr>
          <w:rFonts w:cstheme="minorHAnsi"/>
        </w:rPr>
      </w:pPr>
      <w:r>
        <w:t>Mittarien keskittäminen on mitoitettava sähköajoneuvon lataamista varten valitun sähkökaavion mukaisesti ja (ITC) BT-16:ssa määritetyn mukaisesti. Varamoduulit on asennettava vähintään 20 prosentille niistä autotallipaikoista, jotka eivät ole asuinrakennusten yhteydessä, ja vaikka kaikki paikat olisivat asuinrakennusten yhteydessä, vähintään yksi varamoduuli on asennettava. Näihin varamoduuleihin on kyettävä sijoittamaan päämittari ja mittariin liittyvät ylivirtasuojalaitteet joko varokkeilla tai katkaisimilla.</w:t>
      </w:r>
    </w:p>
    <w:p w14:paraId="7C024BD7" w14:textId="5A6D76AB" w:rsidR="005074AB" w:rsidRPr="009064BC" w:rsidRDefault="005074AB" w:rsidP="005074AB">
      <w:pPr>
        <w:ind w:left="1416"/>
        <w:jc w:val="both"/>
        <w:rPr>
          <w:rFonts w:cstheme="minorHAnsi"/>
        </w:rPr>
      </w:pPr>
      <w:r>
        <w:t>Latausasemaan ja sen automaattisiin suojakatkaisimiin asennettujen pistorasioiden tai liitinten on oltava jonkin 5.4 kohdassa esitetyn vaihtoehdon mukaisia.”</w:t>
      </w:r>
    </w:p>
    <w:p w14:paraId="3C2EF0D1" w14:textId="7C25EDED" w:rsidR="00324D93" w:rsidRPr="009064BC" w:rsidRDefault="00441D3E" w:rsidP="00CA5D2D">
      <w:pPr>
        <w:jc w:val="both"/>
        <w:rPr>
          <w:rFonts w:cstheme="minorHAnsi"/>
        </w:rPr>
      </w:pPr>
      <w:r>
        <w:t>Kolme. Muutetaan TEKNISEN LISÄOHJEEN (ITC) BT-52 5.4 kohdan ensimmäinen alakohta seuraavasti:</w:t>
      </w:r>
    </w:p>
    <w:p w14:paraId="1D0AA4C9" w14:textId="6013C719" w:rsidR="00527DF1" w:rsidRDefault="00324D93" w:rsidP="00CA5D2D">
      <w:pPr>
        <w:jc w:val="both"/>
        <w:rPr>
          <w:color w:val="FF0000"/>
        </w:rPr>
      </w:pPr>
      <w:r>
        <w:t xml:space="preserve">”5.4 Liitäntäpiste. </w:t>
      </w:r>
      <w:bookmarkStart w:id="1" w:name="_Hlk81468651"/>
      <w:r>
        <w:t xml:space="preserve">Liitäntäpisteen on sijaittava sen paikan vieressä, johon virtaa syötetään, ja asennettava pysyvästi suojakoteloon. </w:t>
      </w:r>
    </w:p>
    <w:bookmarkEnd w:id="1"/>
    <w:p w14:paraId="346E72DC" w14:textId="2F609E5D" w:rsidR="00441D3E" w:rsidRPr="00527DF1" w:rsidRDefault="00527DF1" w:rsidP="00CA5D2D">
      <w:pPr>
        <w:jc w:val="both"/>
        <w:rPr>
          <w:color w:val="FF0000"/>
        </w:rPr>
      </w:pPr>
      <w:r>
        <w:t xml:space="preserve">Pistorasioiden ja liitinten asennuskorkeuden on oltava vähintään 60 senttimetriä maanpinnan yläpuolella. </w:t>
      </w:r>
      <w:bookmarkStart w:id="2" w:name="_Hlk81468224"/>
      <w:r>
        <w:t>Jos latausasema on tarkoitettu yleiseen käyttöön, enimmäiskorkeus on 120 senttimetriä. Esteettömissä pysäköintipaikoissa pistorasioiden ja liitinten on erotuttava ympäristöstä värikontrastin avulla, ja niiden on sijaittava 80–120 senttimetrin korkeudella ja vähintään 35 senttimetrin etäisyydellä kulmista.”</w:t>
      </w:r>
      <w:bookmarkEnd w:id="2"/>
    </w:p>
    <w:p w14:paraId="33BA3231" w14:textId="6E4F1E78" w:rsidR="005074AB" w:rsidRPr="00D47CC2" w:rsidRDefault="005074AB" w:rsidP="00CA5D2D">
      <w:pPr>
        <w:jc w:val="both"/>
        <w:rPr>
          <w:rFonts w:cstheme="minorHAnsi"/>
          <w:bCs/>
          <w:i/>
          <w:iCs/>
        </w:rPr>
      </w:pPr>
      <w:r>
        <w:t xml:space="preserve">Toinen loppusäännös. </w:t>
      </w:r>
      <w:r>
        <w:rPr>
          <w:i/>
        </w:rPr>
        <w:t>Euroopan unionin lainsäädännön saattaminen osaksi kansallista lainsäädäntöä.</w:t>
      </w:r>
    </w:p>
    <w:p w14:paraId="09244551" w14:textId="77777777" w:rsidR="005074AB" w:rsidRPr="009064BC" w:rsidRDefault="005074AB" w:rsidP="00CA5D2D">
      <w:pPr>
        <w:jc w:val="both"/>
        <w:rPr>
          <w:rFonts w:cstheme="minorHAnsi"/>
        </w:rPr>
      </w:pPr>
      <w:r>
        <w:t>Tällä kuninkaan asetuksella saatetaan osaksi Espanjan lainsäädäntöä rakennusten energiatehokkuudesta annetun direktiivin 2010/31/EU ja energiatehokkuudesta annetun direktiivin 2012/27/EU muuttamisesta 30 päivänä toukokuuta 2018 annetun EUROOPAN PARLAMENTIN JA NEUVOSTON DIREKTIIVIN (EU) 2018/844 8 artiklan 2, 3 ja 5 kohta.</w:t>
      </w:r>
    </w:p>
    <w:p w14:paraId="106D513A" w14:textId="7AD1ED46" w:rsidR="005074AB" w:rsidRPr="00C760C9" w:rsidRDefault="005074AB" w:rsidP="005074AB">
      <w:pPr>
        <w:jc w:val="both"/>
        <w:rPr>
          <w:rFonts w:cstheme="minorHAnsi"/>
          <w:bCs/>
          <w:i/>
          <w:iCs/>
        </w:rPr>
      </w:pPr>
      <w:r>
        <w:lastRenderedPageBreak/>
        <w:t xml:space="preserve">Kolmas loppusäännös. </w:t>
      </w:r>
      <w:r>
        <w:rPr>
          <w:i/>
        </w:rPr>
        <w:t>Voimaantulo</w:t>
      </w:r>
    </w:p>
    <w:p w14:paraId="74B6AB2B" w14:textId="74C92419" w:rsidR="001035FC" w:rsidRDefault="005074AB" w:rsidP="000A2592">
      <w:pPr>
        <w:jc w:val="both"/>
        <w:rPr>
          <w:rFonts w:cstheme="minorHAnsi"/>
          <w:color w:val="FF0000"/>
        </w:rPr>
      </w:pPr>
      <w:r>
        <w:t>Tämä kuninkaan asetus tulee voimaan seuraavana päivänä siitä, kun se on julkaistu Espanjan virallisessa lehdessä.</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Madrid, [päivämäärä]                          </w:t>
      </w:r>
    </w:p>
    <w:p w14:paraId="28C0A3AF" w14:textId="7E6F82AF" w:rsidR="007F6E00" w:rsidRPr="00243027" w:rsidRDefault="00D47CC2" w:rsidP="00726501">
      <w:pPr>
        <w:jc w:val="center"/>
        <w:rPr>
          <w:rFonts w:cstheme="minorHAnsi"/>
          <w:sz w:val="24"/>
          <w:szCs w:val="24"/>
        </w:rPr>
      </w:pPr>
      <w:r>
        <w:rPr>
          <w:sz w:val="24"/>
        </w:rPr>
        <w:t>LIIKENNE-, LIIKKUVUUS- JA KAUPUNKIMINISTERI</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HALLITUKSEN KOLMAS VARAPÄÄMINISTERI JA EKOLOGISESTA SIIRTYMÄSTÄ JA VÄESTÖHAASTEISTA VASTAAVA MINISTERI</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6121" w14:textId="77777777" w:rsidR="00E330EB" w:rsidRDefault="00E330EB" w:rsidP="003B5AE7">
      <w:pPr>
        <w:spacing w:after="0" w:line="240" w:lineRule="auto"/>
      </w:pPr>
      <w:r>
        <w:separator/>
      </w:r>
    </w:p>
  </w:endnote>
  <w:endnote w:type="continuationSeparator" w:id="0">
    <w:p w14:paraId="4A8B2379" w14:textId="77777777" w:rsidR="00E330EB" w:rsidRDefault="00E330EB"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Luonnos kuninkaan asetukseksi 17 päivänä maaliskuuta 2006 annetulla kuninkaan asetuksella 314/2006 hyväksyttyjen teknisten rakennusmääräysten muuttamisesta</w:t>
    </w:r>
  </w:p>
  <w:p w14:paraId="53C3F409" w14:textId="5B87674E" w:rsidR="00251439" w:rsidRPr="00C864A9" w:rsidRDefault="00251439" w:rsidP="00D214B0">
    <w:pPr>
      <w:pStyle w:val="Footer"/>
      <w:rPr>
        <w:i/>
        <w:sz w:val="15"/>
        <w:szCs w:val="15"/>
      </w:rPr>
    </w:pPr>
    <w:r>
      <w:rPr>
        <w:i/>
        <w:sz w:val="15"/>
      </w:rPr>
      <w:t>Versio eurooppalaiseen julkiseen tiedotukseen. Lokakuu 2021</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4A85" w14:textId="77777777" w:rsidR="00E330EB" w:rsidRDefault="00E330EB" w:rsidP="003B5AE7">
      <w:pPr>
        <w:spacing w:after="0" w:line="240" w:lineRule="auto"/>
      </w:pPr>
      <w:r>
        <w:separator/>
      </w:r>
    </w:p>
  </w:footnote>
  <w:footnote w:type="continuationSeparator" w:id="0">
    <w:p w14:paraId="0D77733A" w14:textId="77777777" w:rsidR="00E330EB" w:rsidRDefault="00E330EB"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KEHITYS-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MINISTERIÖ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5E75"/>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6987</Words>
  <Characters>39832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2021-11-05T10:20:00Z</dcterms:modified>
</cp:coreProperties>
</file>