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14B6" w14:textId="63C93123" w:rsidR="005074AB" w:rsidRPr="00EA32C0" w:rsidRDefault="005074AB" w:rsidP="00EA32C0">
      <w:pPr>
        <w:jc w:val="both"/>
        <w:rPr>
          <w:rFonts w:cstheme="minorHAnsi"/>
          <w:b/>
        </w:rPr>
      </w:pPr>
      <w:r>
        <w:rPr>
          <w:b/>
        </w:rPr>
        <w:t>Nacrt Kraljevske uredbe od</w:t>
      </w:r>
      <w:r>
        <w:rPr>
          <w:b/>
        </w:rPr>
        <w:tab/>
      </w:r>
      <w:r>
        <w:rPr>
          <w:b/>
        </w:rPr>
        <w:tab/>
        <w:t>, o izmjeni Tehničkog propisa o gradnji odobrenog Kraljevskom uredbom 314/2006 od 17. ožujka</w:t>
      </w:r>
    </w:p>
    <w:p w14:paraId="42548872" w14:textId="172DDCC5" w:rsidR="005074AB" w:rsidRPr="003934E5" w:rsidRDefault="005074AB" w:rsidP="005074AB">
      <w:pPr>
        <w:jc w:val="both"/>
        <w:rPr>
          <w:rFonts w:cstheme="minorHAnsi"/>
        </w:rPr>
      </w:pPr>
      <w:r>
        <w:t>Zakon 38/1999 od 5. studenoga o građevinskim propisima definira Tehnički propis o gradnji (CTE) kao regulatorni okvir kojim se utvrđuju osnovni zahtjevi kvalitete za zgrade i njihove instalacije te kojim se omogućuje ispunjavanje osnovnih zahtjeva utvrđenih u članku 3. Tehnički propis o gradnji (CTE) predviđen tim zakonom odobren je Kraljevskom uredbom 314/2006 od 17. ožujka. Temeljnim dokumentima koji čine dio II. CTE-a utvrđuju se i, prema potrebi, kvantificiraju osnovni zahtjevi utvrđeni u dijelu I. postavljanjem ciljnih razina ili ograničenja izvedbe ili drugih parametara. Osobito, u osnovnom dokumentu DB-HE „Ušteda energije” navode se i kvantificiraju zahtjevi za energetsku učinkovitost koje novoizgrađene zgrade moraju ispuniti, kao i intervencije u pogledu postojećih zgrada.</w:t>
      </w:r>
    </w:p>
    <w:p w14:paraId="400360D8" w14:textId="77777777" w:rsidR="005074AB" w:rsidRPr="003934E5" w:rsidRDefault="005074AB" w:rsidP="005074AB">
      <w:pPr>
        <w:jc w:val="both"/>
        <w:rPr>
          <w:rFonts w:cstheme="minorHAnsi"/>
        </w:rPr>
      </w:pPr>
      <w:r>
        <w:t>Direktiva (EU) 2018/844 Europskog parlamenta i Vijeća o izmjeni Direktive 2010/31/EU o energetskim svojstvima zgrada i Direktive 2012/27/EU o energetskoj učinkovitosti donesena je 30. svibnja 2018.</w:t>
      </w:r>
    </w:p>
    <w:p w14:paraId="0B5B2276" w14:textId="142A5C6B" w:rsidR="005A6E61" w:rsidRPr="003934E5" w:rsidRDefault="005074AB" w:rsidP="005A6E61">
      <w:pPr>
        <w:jc w:val="both"/>
        <w:rPr>
          <w:rFonts w:cstheme="minorHAnsi"/>
        </w:rPr>
      </w:pPr>
      <w:r>
        <w:t>Ovom se Direktivom utvrđuju uvjeti za razvoj minimalne infrastrukture koja je potrebna za pametno punjenje električnih vozila na parkiralištima u zgradama. Stoga su i građevinski sektor i sektor mobilnosti strateška područja za sveobuhvatnu dekarbonizaciju gospodarstva, s regulatornim okvirom čiji je cilj poticanje inovacija, održivosti i energetske učinkovitosti u tim sektorima.</w:t>
      </w:r>
    </w:p>
    <w:p w14:paraId="4245C855" w14:textId="1828DE90" w:rsidR="005A6E61" w:rsidRPr="003934E5" w:rsidRDefault="005A6E61" w:rsidP="005A6E61">
      <w:pPr>
        <w:jc w:val="both"/>
        <w:rPr>
          <w:rFonts w:cstheme="minorHAnsi"/>
        </w:rPr>
      </w:pPr>
      <w:r>
        <w:t>S druge strane, razvoj infrastrukture za pametno punjenje električnih vozila pridonijet će sustavu gospodarenja energijom i fleksibilnosti, upotrebi obnovljivih izvora energije i poboljšanju kvalitete zraka, a energetska učinkovitost optimizirat će se digitalizacijom zgrada i uključivanjem novih tehnologija u područje.</w:t>
      </w:r>
    </w:p>
    <w:p w14:paraId="45A016F5" w14:textId="74A214E6" w:rsidR="005A6E61" w:rsidRPr="003934E5" w:rsidRDefault="005A6E61" w:rsidP="005A6E61">
      <w:pPr>
        <w:jc w:val="both"/>
        <w:rPr>
          <w:rFonts w:cstheme="minorHAnsi"/>
        </w:rPr>
      </w:pPr>
      <w:r>
        <w:t xml:space="preserve">Integriranim nacionalnim energetskim i klimatskim planom za razdoblje 2021.–2030. (PNIEC) koji je Španjolska podnijela Europskoj komisiji predviđa se promicanje električne mobilnosti kao mjere za smanjenje potrošnje energije i emisija vozila kroz regulatornu prilagodbu i uključivanjem zakonodavstva Europske unije kojim se omogućuje uvođenje infrastrukture za punjenje električnih vozila u skladu s razvojem elektrifikacije voznog parka, kao i drugim mehanizmima poticanja i potpore. </w:t>
      </w:r>
    </w:p>
    <w:p w14:paraId="3BF925DC" w14:textId="3FA9F544" w:rsidR="00A75681" w:rsidRPr="000E4F56" w:rsidRDefault="00C33374" w:rsidP="00A75681">
      <w:pPr>
        <w:jc w:val="both"/>
        <w:rPr>
          <w:rFonts w:cstheme="minorHAnsi"/>
        </w:rPr>
      </w:pPr>
      <w:r>
        <w:t>Kako bi se postigli ti ciljevi i u tom pogledu djelomično prenijela Direktiva, ovom Kraljevskom uredbom u Tehnički propis o gradnji uvodi se novi zahtjev za osnovnu uštedu energije koji se odnosi na minimalne dodjele za infrastrukturu za punjenje električnih vozila, koji se razrađuje u novom odjeljku HE 6 „Minimalni infrastrukturni objekti za punjenje električnih vozila” dokumenta o osnovnim uštedama energije. Kako bi se osigurali uvjeti za dostupnost mjestu za punjenje na pristupačnim parkirališnim mjestima, mijenja se osnovni dokument DB-SUA „Sigurnost uporabe i dostupnost”.</w:t>
      </w:r>
    </w:p>
    <w:p w14:paraId="7140FEE8" w14:textId="77777777" w:rsidR="00A75681" w:rsidRPr="000E4F56" w:rsidRDefault="00A75681" w:rsidP="00A75681">
      <w:pPr>
        <w:jc w:val="both"/>
      </w:pPr>
    </w:p>
    <w:p w14:paraId="3F754C26" w14:textId="778AE3BE" w:rsidR="00A75681" w:rsidRPr="000E4F56" w:rsidRDefault="00A75681" w:rsidP="00A75681">
      <w:pPr>
        <w:jc w:val="both"/>
        <w:rPr>
          <w:rFonts w:cstheme="minorHAnsi"/>
        </w:rPr>
      </w:pPr>
      <w:r>
        <w:t xml:space="preserve">S druge strane, u skladu s odredbama Zakona 7/2021 od 20. svibnja o klimatskim promjenama i energetskoj tranziciji, jedinstvenom dodatnom odredbom Kraljevske uredbe 314/2006 od 17. ožujka, kojom se odobrava Tehnički propis o gradnji, utvrđuju se sljedeći zahtjevi za minimalne odredbe za infrastrukturu za punjenje električnih vozila u postojećim zgradama koje </w:t>
      </w:r>
      <w:r>
        <w:lastRenderedPageBreak/>
        <w:t xml:space="preserve">nisu privatne stambene namjene, a koje imaju parkiralište s više od dvadeset parkirnih mjesta, unutarnje ili na dodijeljenom vanjskom prostoru, a koje nisu uključene u područje primjene odjeljka HE6 osnovnog dokumenta o uštedi energije. Zakonom 7/2021 od 20. svibnja o klimatskim promjenama i energetskoj tranziciji utvrđuje se obveza da se ta odredba utvrđena u Tehničkom propisu o gradnji počne primjenjivati prije 1. siječnja 2023. </w:t>
      </w:r>
    </w:p>
    <w:p w14:paraId="1192FDEB" w14:textId="77777777" w:rsidR="005074AB" w:rsidRPr="009064BC" w:rsidRDefault="005074AB" w:rsidP="005074AB">
      <w:pPr>
        <w:jc w:val="both"/>
        <w:rPr>
          <w:rFonts w:cstheme="minorHAnsi"/>
        </w:rPr>
      </w:pPr>
      <w:r>
        <w:t>Naposljetku, kako bi se dovršila regulacija infrastrukture za punjenje električnih vozila, mijenja se Dopunska tehnička uputa (ITC) BT-52 Elektrotehničkog propisa za niski napon, odobrena Kraljevskom uredbom 1053/2014 od 12. prosinca, te se mijenjaju druge dopunske tehničke upute.</w:t>
      </w:r>
    </w:p>
    <w:p w14:paraId="53205125" w14:textId="62D4F2A6" w:rsidR="005A6E61" w:rsidRPr="009064BC" w:rsidRDefault="005074AB" w:rsidP="005A6E61">
      <w:pPr>
        <w:jc w:val="both"/>
        <w:rPr>
          <w:rFonts w:cstheme="minorHAnsi"/>
        </w:rPr>
      </w:pPr>
      <w:r>
        <w:t xml:space="preserve">Nadalje, kao mjeru za promicanje obnovljivih izvora energije, poboljšanje konkurentnosti proizvodnih sektora i poticanje potrošača da se više uključe u upravljanje svojom energijom, PNIEC predviđa razvoj vlastite potrošnje energije iz obnovljivih izvora i distribuirane proizvodnje u stambenim i poslovnim područjima. </w:t>
      </w:r>
    </w:p>
    <w:p w14:paraId="4F23D1D3" w14:textId="56BE7436" w:rsidR="005074AB" w:rsidRPr="009064BC" w:rsidRDefault="005A6E61" w:rsidP="005074AB">
      <w:pPr>
        <w:jc w:val="both"/>
        <w:rPr>
          <w:rFonts w:cstheme="minorHAnsi"/>
        </w:rPr>
      </w:pPr>
      <w:r>
        <w:t xml:space="preserve">U tom pogledu, odobrenje Kraljevske uredbe 244/2019 od 5. travnja, kojom se uređuju administrativni, tehnički i gospodarski uvjeti za vlastitu potrošnju električne energije, omogućilo je, među ostalim, zajedničku potrošnju vlastite energije i istodobno smanjilo upravne postupke za provedbu vlastite potrošnje. Stoga se smatra da postojeći pravni okvir omogućuje proširenje područja primjene osnovnog zahtjeva HE 5 koji se odnosi na minimalnu proizvodnju električne energije tako što ga čini primjenjivim u zgradama za privatnu stambenu uporabu i snižavanjem praga od kojeg se zahtjev primjenjuje za izgrađene površine u zgradama svih namjena. </w:t>
      </w:r>
    </w:p>
    <w:p w14:paraId="2C3560FF" w14:textId="60FA6548" w:rsidR="005074AB" w:rsidRDefault="005074AB" w:rsidP="005074AB">
      <w:pPr>
        <w:jc w:val="both"/>
        <w:rPr>
          <w:rFonts w:cstheme="minorHAnsi"/>
        </w:rPr>
      </w:pPr>
      <w:r>
        <w:t>Osim toga, nakon što su uočene pogreške i tiskarske greške u Kraljevskoj uredbi 732/2019 od 20. prosinca o izmjeni Tehničkog propisa o gradnji, odobrenog Kraljevskom uredbom 314/2006 od 17. ožujka, objavljenom u „BOE” (Službeni list) br. 311 od 27. prosinca 2019., ovime se provode odgovarajući ispravci. S druge strane, kako bi se pojasnio način primjene osnovnog dokumenta DB-HE o „Uštedi energije” nakon njegova ažuriranja navedenom Kraljevskom uredbom 732/2019, smatra se da je potrebno izmijeniti tekst nekih pododjeljaka odjeljka HE 1 o uvjetima za kontrolu potražnje za energijom i Priloga A o terminologiji navedenog temeljnog dokumenta.</w:t>
      </w:r>
    </w:p>
    <w:p w14:paraId="010C68C8" w14:textId="6D1CCB96" w:rsidR="00E26B23" w:rsidRDefault="00E26B23" w:rsidP="00B65F28">
      <w:pPr>
        <w:jc w:val="both"/>
        <w:rPr>
          <w:rFonts w:cstheme="minorHAnsi"/>
          <w:bCs/>
        </w:rPr>
      </w:pPr>
      <w:r>
        <w:t xml:space="preserve">Izmjena Tehničkog propisa koja se odnosi na uključivanje novog odjeljka HE 6 „Minimalne odredbe za infrastrukturu za punjenje električnih vozila” osnovnog dokumenta o uštedi energije, kao i izmjena Kraljevske uredbe 1053/2014 od 12. prosinca kojom se odobrava nova Dopunska tehnička uputa (ITC) BT 52 uključena u prvu konačnu odredbu i jedinstvena dodatna odredba Kraljevske uredbe 314/2006 od 17. ožujka kojom se odobrava Tehnički propis o gradnji dio su pravnih reformi predviđenih u Planu za oporavak, transformaciju i otpornost (PRTR). Konkretno, prva sastavnica PRTR-a o „Planu za održivu, sigurnu i povezanu mobilnost u gradskim i metropolskim okruženjima” odnosi se na odobrenje ove Kraljevske uredbe o provedbi prethodno navedenih pravnih reformi u okviru reforme C1.R1 pod nazivom „Plan za uvođenje infrastrukture za punjenje i promicanje električnih vozila”.  Reforma C1.R1 osmišljena je kao zakonski, regulatorni i strateški okvir za olakšavanje uvođenja infrastrukture za punjenje radi promicanja električnih vozila u Španjolskoj te ima dvije ključne točke. Prva ključna točka uspostavljena je Odlukom TMA/178/2020 od 19. veljače o izmjeni Odluke od 16. prosinca 1997. kojom se uređuju pristupi državnim cestama, servisnim cestama i izgradnji uslužnih objekata te Kraljevskom uredbom sa zakonskom snagom 23/2020 od 23. lipnja kojom se odobravaju mjere </w:t>
      </w:r>
      <w:r>
        <w:lastRenderedPageBreak/>
        <w:t xml:space="preserve">u području energetike i drugih područja za ponovnu gospodarsku aktivaciju. Druga ključna točka reforme C1.R1. uključuje odobrenje ove Kraljevske uredbe o izmjeni tehničkog propisa o gradnji i Kraljevske uredbe 1053/2014 od 12. prosinca kojim se odobrava nova Dopunska tehnička uputa (ITC) BT 52.  Reforma C1.R1. povezana je s ulaganjem C1.I2 „Plan poticaja za postavljanje mjesta za punjenje, nabavu električnih vozila i vozila na gorive ćelije i inovacije u području elektromobilnosti, punjenja i zelenog vodika”. To ulaganje uključuje linije potpore za postavljanje stanica za punjenje navedenih u Kraljevskoj uredbi 266/2021 od 13. travnja kojom se odobrava izravna dodjela potpore autonomnim zajednicama i gradovima Ceuti i Melilli za provedbu programa poticaja povezanih s električnom mobilnošću (MOVES III) u okviru PRTR-a. </w:t>
      </w:r>
    </w:p>
    <w:p w14:paraId="65C24996" w14:textId="1073EF13" w:rsidR="003F7C25" w:rsidRPr="001C78CB" w:rsidRDefault="003F7C25" w:rsidP="005074AB">
      <w:pPr>
        <w:jc w:val="both"/>
        <w:rPr>
          <w:rFonts w:cstheme="minorHAnsi"/>
          <w:bCs/>
          <w:i/>
          <w:iCs/>
        </w:rPr>
      </w:pPr>
      <w:r>
        <w:t xml:space="preserve">Ovom Kraljevskom uredbom poštuju se (načelo nenanošenja bitne štete (DNSH)) i uvjeti za klimatsko i digitalno označivanje, u skladu s odredbama PRTR-a, Uredbom EU/2021/241 Europskog parlamenta i Vijeća od 12. veljače 2021. o uspostavi Mehanizma za oporavak i otpornost i njezinim provedbenim zakonodavstvom, posebno komunikacijom Komisije o Tehničkim smjernicama za primjenu načela nenanošenja bitne štete u okviru Uredbe o uspostavi Mehanizma za oporavak i otpornost, kao i zahtjevima Provedbene odluke Vijeća o odobrenju evaluacije Španjolskog plana za oporavak, transformaciju i otpornost. To uključuje usklađenost s posebnim uvjetima utvrđenima u dijelu 1., kao i u reformi 1. koja donosi okvir za ovu Kraljevsku uredbu, kako u pogledu načela nenanošenja bitne štete, tako i u pogledu klimatskog i digitalnog označivanja, a posebno onih navedenih u odjeljcima 3., 6. i 8. sastavnog dokumenta PRTR-a. Ulaganja u PRTR C1.I2, povezana s reformom C1.R1, također poštuju načelo nenanošenja bitne štete za okoliš i uvjete za klimatsko i digitalno označavanje. </w:t>
      </w:r>
    </w:p>
    <w:p w14:paraId="16D6EC35" w14:textId="6F02251C" w:rsidR="005074AB" w:rsidRPr="009064BC" w:rsidRDefault="005074AB" w:rsidP="005074AB">
      <w:pPr>
        <w:ind w:left="13"/>
        <w:jc w:val="both"/>
        <w:rPr>
          <w:rFonts w:cstheme="minorHAnsi"/>
        </w:rPr>
      </w:pPr>
      <w:r>
        <w:t>Ova Kraljevska uredba u skladu je s načelima nužnosti, djelotvornosti, proporcionalnosti, pravne sigurnosti, transparentnosti i učinkovitosti utvrđenima u članku 129. Zakona 39/2015 od 1. listopada o zajedničkom upravnom postupku javnih uprava. Kad je riječ o načelima nužnosti i djelotvornosti, zakonom se odgovara na obvezu prenošenja europskih direktiva u nacionalno pravo te je u skladu s ciljevima od općeg interesa, kao što su prilagodba infrastrukture za izgradnju radi promicanja održive mobilnosti i uporabe energije iz obnovljivih izvora. To će dovesti do dobrobiti društva i zaštite okoliša. Ova je Kraljevska uredba također u skladu s načelom proporcionalnosti jer pruža potrebna i dostatna sredstva za provedbu pravnog mandata predviđenog Direktivom, ali ne zahtijeva inovaciju koja može biti nepotrebna ili premašivati pravne zahtjeve, niti dovodi do ograničavanja prava građana. Ta je uredba u skladu s načelom pravne sigurnosti jer je razvijena u skladu s postupcima definiranima Zakonom Vlade 50/1997 od 27. studenoga 1997. i načelom transparentnosti jer jasno utvrđuje svoju svrhu i u svojem javno dostupnom obrazloženju u cijelosti objašnjava njezin sadržaj. Naposljetku, uredbom se također poštuje načelo učinkovitosti jer se ne nameće nikakvo administrativno opterećenje.</w:t>
      </w:r>
    </w:p>
    <w:p w14:paraId="4E30715D" w14:textId="77777777" w:rsidR="005074AB" w:rsidRPr="009064BC" w:rsidRDefault="005074AB" w:rsidP="005074AB">
      <w:pPr>
        <w:jc w:val="both"/>
        <w:rPr>
          <w:rFonts w:cstheme="minorHAnsi"/>
        </w:rPr>
      </w:pPr>
      <w:r>
        <w:t>Na ovu opću odredbu primjenjuje se postupak informiranja u području tehničkih propisa i pravila o uslugama informacijskog društva, kako je predviđeno Direktivom (EU) 2015/1535 Europskog parlamenta i Vijeća od 9. rujna 2015., kao i Kraljevskom uredbom 1337/1999 od 31. srpnja 1999.</w:t>
      </w:r>
    </w:p>
    <w:p w14:paraId="533AAB8D" w14:textId="741A459B" w:rsidR="003C546E" w:rsidRDefault="003C546E" w:rsidP="003C546E">
      <w:pPr>
        <w:jc w:val="both"/>
        <w:rPr>
          <w:rFonts w:cstheme="minorHAnsi"/>
        </w:rPr>
      </w:pPr>
      <w:r>
        <w:t>Temeljem navedenog, na prijedlog ministrice prometa, mobilnosti i programa za gradove i treće potpredsjednice vlade i ministrice ekološke tranzicije i demografskog izazova, u dogovoru s Državnim vijećem i nakon razmatranja Vijeća ministara na sastanku od</w:t>
      </w:r>
    </w:p>
    <w:p w14:paraId="72CBBED7" w14:textId="7C56F995" w:rsidR="003C546E" w:rsidRPr="009064BC" w:rsidRDefault="003C546E" w:rsidP="005074AB">
      <w:pPr>
        <w:jc w:val="both"/>
        <w:rPr>
          <w:rFonts w:cstheme="minorHAnsi"/>
        </w:rPr>
      </w:pPr>
    </w:p>
    <w:p w14:paraId="02FFC445" w14:textId="386EF3CB" w:rsidR="005074AB" w:rsidRPr="009F5D1D" w:rsidRDefault="005074AB" w:rsidP="005074AB">
      <w:pPr>
        <w:jc w:val="center"/>
        <w:rPr>
          <w:rFonts w:cstheme="minorHAnsi"/>
          <w:spacing w:val="30"/>
        </w:rPr>
      </w:pPr>
      <w:r>
        <w:lastRenderedPageBreak/>
        <w:t>UTVRĐUJE SE SLJEDEĆE:</w:t>
      </w:r>
    </w:p>
    <w:p w14:paraId="29194849" w14:textId="17EA67F9" w:rsidR="005074AB" w:rsidRPr="0033081E" w:rsidRDefault="002A5A94" w:rsidP="005074AB">
      <w:pPr>
        <w:jc w:val="both"/>
        <w:rPr>
          <w:rFonts w:cstheme="minorHAnsi"/>
          <w:bCs/>
          <w:i/>
          <w:iCs/>
        </w:rPr>
      </w:pPr>
      <w:r>
        <w:t xml:space="preserve">Jedini članak. </w:t>
      </w:r>
      <w:r>
        <w:rPr>
          <w:i/>
        </w:rPr>
        <w:t>Izmjena Tehničkog propisa o gradnji (CTE) odobrena Kraljevskom uredbom 314/2006 od 17. ožujka 2006.</w:t>
      </w:r>
    </w:p>
    <w:p w14:paraId="49F6DB5C" w14:textId="77777777" w:rsidR="005074AB" w:rsidRPr="009064BC" w:rsidRDefault="005074AB" w:rsidP="005074AB">
      <w:pPr>
        <w:jc w:val="both"/>
        <w:rPr>
          <w:rFonts w:cstheme="minorHAnsi"/>
        </w:rPr>
      </w:pPr>
      <w:r>
        <w:t>Kraljevska uredba 314/2006 od 17. ožujka 2006. o odobrenju Tehničkog propisa o gradnji (CTE) mijenja se kako slijedi:</w:t>
      </w:r>
    </w:p>
    <w:p w14:paraId="1E4A23CD" w14:textId="3CA20F16" w:rsidR="005074AB" w:rsidRPr="009064BC" w:rsidRDefault="005074AB" w:rsidP="005074AB">
      <w:pPr>
        <w:ind w:left="567" w:hanging="567"/>
        <w:jc w:val="both"/>
        <w:rPr>
          <w:rFonts w:cstheme="minorHAnsi"/>
        </w:rPr>
      </w:pPr>
      <w:r>
        <w:t>Jedan. Dio I. Tehničkog propisa o gradnji mijenja se kako slijedi:</w:t>
      </w:r>
    </w:p>
    <w:p w14:paraId="7B36765A" w14:textId="6C7BF234" w:rsidR="006B44D8" w:rsidRPr="009064BC" w:rsidRDefault="006B44D8" w:rsidP="0033081E">
      <w:pPr>
        <w:ind w:left="142" w:hanging="142"/>
        <w:jc w:val="both"/>
        <w:rPr>
          <w:rFonts w:cstheme="minorHAnsi"/>
        </w:rPr>
      </w:pPr>
      <w:r>
        <w:t>— U sadržaju naziv „15.6. Osnovni zahtjev HE5: Minimalna proizvodnja električne energije” glasi kako slijedi:</w:t>
      </w:r>
    </w:p>
    <w:p w14:paraId="750B02FB" w14:textId="5E773080" w:rsidR="006B44D8" w:rsidRPr="009064BC" w:rsidRDefault="006B44D8" w:rsidP="00F11565">
      <w:pPr>
        <w:ind w:left="426"/>
        <w:jc w:val="both"/>
        <w:rPr>
          <w:rFonts w:cstheme="minorHAnsi"/>
        </w:rPr>
      </w:pPr>
      <w:r>
        <w:t>„15.6. Osnovni zahtjev HE 5: Odjeljak HE5 Minimalna proizvodnja električne energije iz obnovljivih izvora.”</w:t>
      </w:r>
    </w:p>
    <w:p w14:paraId="0B75EAC4" w14:textId="77777777" w:rsidR="006B44D8" w:rsidRPr="009064BC" w:rsidRDefault="006B44D8" w:rsidP="006B44D8">
      <w:pPr>
        <w:numPr>
          <w:ilvl w:val="0"/>
          <w:numId w:val="9"/>
        </w:numPr>
        <w:ind w:left="142" w:hanging="142"/>
        <w:jc w:val="both"/>
        <w:rPr>
          <w:rFonts w:cstheme="minorHAnsi"/>
        </w:rPr>
      </w:pPr>
      <w:r>
        <w:t>U sadržaju, u upućivanje na članak 15. umeće se dodatna točka sa sljedećim tekstom:</w:t>
      </w:r>
    </w:p>
    <w:p w14:paraId="1C1AB680" w14:textId="1D8C7D23" w:rsidR="006B44D8" w:rsidRPr="009064BC" w:rsidRDefault="007E461E" w:rsidP="00F11565">
      <w:pPr>
        <w:ind w:left="426"/>
        <w:jc w:val="both"/>
        <w:rPr>
          <w:rFonts w:cstheme="minorHAnsi"/>
        </w:rPr>
      </w:pPr>
      <w:r>
        <w:t>„15.7. Osnovni zahtjev HE 6: Minimalni infrastrukturni objekti za punjenje električnih vozila.</w:t>
      </w:r>
    </w:p>
    <w:p w14:paraId="03B3513D" w14:textId="1133ED17" w:rsidR="001E31F3" w:rsidRPr="002C30D6" w:rsidRDefault="005074AB" w:rsidP="005074AB">
      <w:pPr>
        <w:numPr>
          <w:ilvl w:val="0"/>
          <w:numId w:val="9"/>
        </w:numPr>
        <w:ind w:left="142" w:hanging="142"/>
        <w:jc w:val="both"/>
        <w:rPr>
          <w:rFonts w:cstheme="minorHAnsi"/>
        </w:rPr>
      </w:pPr>
      <w:r>
        <w:t>U poglavlju 3. članak 15. točka 15.6. mijenja se i glasi:</w:t>
      </w:r>
    </w:p>
    <w:p w14:paraId="1E36A006" w14:textId="3C6E29CB" w:rsidR="001E31F3" w:rsidRPr="009064BC" w:rsidRDefault="00F11565" w:rsidP="00F11565">
      <w:pPr>
        <w:pStyle w:val="ListParagraph"/>
        <w:ind w:left="426"/>
        <w:jc w:val="both"/>
        <w:rPr>
          <w:rFonts w:cstheme="minorHAnsi"/>
        </w:rPr>
      </w:pPr>
      <w:r>
        <w:t>„15.6. Osnovni zahtjev HE 5: Minimalna proizvodnja električne energije iz obnovljivih izvora.</w:t>
      </w:r>
    </w:p>
    <w:p w14:paraId="4799EB9C" w14:textId="22AE3D4A" w:rsidR="001E31F3" w:rsidRPr="009064BC" w:rsidRDefault="001B0467" w:rsidP="00F11565">
      <w:pPr>
        <w:ind w:left="426"/>
        <w:jc w:val="both"/>
        <w:rPr>
          <w:rFonts w:cstheme="minorHAnsi"/>
        </w:rPr>
      </w:pPr>
      <w:r>
        <w:t>Zgrade imaju sustave za proizvodnju električne energije iz obnovljivih izvora za vlastitu uporabu ili za opskrbu mreže.”</w:t>
      </w:r>
    </w:p>
    <w:p w14:paraId="799517C6" w14:textId="6A449415" w:rsidR="005074AB" w:rsidRPr="009064BC" w:rsidRDefault="001E31F3" w:rsidP="005074AB">
      <w:pPr>
        <w:numPr>
          <w:ilvl w:val="0"/>
          <w:numId w:val="9"/>
        </w:numPr>
        <w:ind w:left="142" w:hanging="142"/>
        <w:jc w:val="both"/>
        <w:rPr>
          <w:rFonts w:cstheme="minorHAnsi"/>
        </w:rPr>
      </w:pPr>
      <w:r>
        <w:t>Na kraju članka 15. umeće se sljedeće:</w:t>
      </w:r>
    </w:p>
    <w:p w14:paraId="67BDEE2E" w14:textId="77777777" w:rsidR="005074AB" w:rsidRPr="009064BC" w:rsidRDefault="005074AB" w:rsidP="00F11565">
      <w:pPr>
        <w:ind w:left="426"/>
        <w:jc w:val="both"/>
        <w:rPr>
          <w:rFonts w:cstheme="minorHAnsi"/>
        </w:rPr>
      </w:pPr>
      <w:r>
        <w:t>„15.7. Osnovni zahtjev HE 6: Minimalni infrastrukturni objekti za punjenje električnih vozila.</w:t>
      </w:r>
    </w:p>
    <w:p w14:paraId="7C67403C" w14:textId="535BDE0B" w:rsidR="005074AB" w:rsidRDefault="005074AB" w:rsidP="00F11565">
      <w:pPr>
        <w:ind w:left="426"/>
        <w:jc w:val="both"/>
        <w:rPr>
          <w:rFonts w:cstheme="minorHAnsi"/>
        </w:rPr>
      </w:pPr>
      <w:r>
        <w:t>Zgrade imaju minimalnu infrastrukturu koja omogućuje punjenje električnih vozila.”</w:t>
      </w:r>
    </w:p>
    <w:p w14:paraId="6F674517" w14:textId="77777777" w:rsidR="002A5A94" w:rsidRPr="000E4F56" w:rsidRDefault="002A5A94" w:rsidP="002A5A94">
      <w:pPr>
        <w:pStyle w:val="ListParagraph"/>
        <w:numPr>
          <w:ilvl w:val="0"/>
          <w:numId w:val="9"/>
        </w:numPr>
        <w:ind w:left="142" w:hanging="142"/>
        <w:jc w:val="both"/>
        <w:rPr>
          <w:rFonts w:cstheme="minorHAnsi"/>
        </w:rPr>
      </w:pPr>
      <w:r>
        <w:t>Umeće se sljedeća dodatna odredba:</w:t>
      </w:r>
    </w:p>
    <w:p w14:paraId="2417D1DC" w14:textId="3DAEE52F" w:rsidR="002A5A94" w:rsidRPr="0033081E" w:rsidRDefault="002A5A94" w:rsidP="002A5A94">
      <w:pPr>
        <w:ind w:left="426"/>
        <w:jc w:val="both"/>
        <w:rPr>
          <w:rFonts w:cstheme="minorHAnsi"/>
          <w:bCs/>
          <w:i/>
          <w:iCs/>
        </w:rPr>
      </w:pPr>
      <w:r>
        <w:t xml:space="preserve">„Jedina dodatna odredba. </w:t>
      </w:r>
      <w:r>
        <w:rPr>
          <w:i/>
        </w:rPr>
        <w:t>Minimalni infrastrukturni objekti za punjenje električnih vozila u zgradama koje nisu privatne stambene zgrade s više od dvadeset parkirnih mjesta.</w:t>
      </w:r>
    </w:p>
    <w:p w14:paraId="71CE31DD" w14:textId="72E1754E" w:rsidR="0067270E" w:rsidRPr="008F4D49" w:rsidRDefault="0067270E" w:rsidP="0067270E">
      <w:pPr>
        <w:ind w:left="426"/>
        <w:jc w:val="both"/>
      </w:pPr>
      <w:r>
        <w:t>U skladu s odredbama Zakona 7/2021 od 20. svibnja o klimatskim promjenama i energetskoj tranziciji, prije 1. siječnja 2023. sve zgrade za uporabu koje nisu privatne stambene namjene koje imaju parkiralište s više od dvadeset parkirnih mjesta, unutarnje ili na određenom vanjskom prostoru, moraju imati sljedeće minimalne infrastrukture za punjenje električnih vozila:</w:t>
      </w:r>
    </w:p>
    <w:p w14:paraId="2339A7CE" w14:textId="2F683544" w:rsidR="0067270E" w:rsidRPr="00DC3EE9" w:rsidRDefault="0067270E" w:rsidP="00675D0E">
      <w:pPr>
        <w:ind w:left="426"/>
        <w:jc w:val="both"/>
        <w:rPr>
          <w:rFonts w:cstheme="minorHAnsi"/>
        </w:rPr>
      </w:pPr>
      <w:r>
        <w:t>— općenito, jedna stanica za punjenje mora biti ugrađena na svakih 40 parkirnih mjesta ili ekvivalentan broj mjesta za do 1 000 parkirnih mjesta, a jedna dodatna stanica za punjenje za svakih dodatnih 100 mjesta ili ekvivalent. Alternativno, traži se općinska dozvola ili odobrenje za radove potrebne za provedbu te infrastrukture za punjenje ili, u slučaju da se na vlasnika zgrade primjenjuje Zakon 9/2017, od 8. studenoga o ugovorima u javnom sektoru, kojim se u Španjolsko pravo prenose direktive Europskog parlamenta i Vijeća 2014/23/EU i 2014/24/EU od 26. veljače 2014., natječaj za navedene radove ili projekt ili tehnički dokument potreban za definiranje istog pokreće se objavom na odgovarajućoj platformi za ugovaranje</w:t>
      </w:r>
      <w:bookmarkStart w:id="0" w:name="_Hlk74840570"/>
      <w:r>
        <w:t xml:space="preserve">. Radovi koji se smatraju službenim na temelju zahtjeva za izdavanje </w:t>
      </w:r>
      <w:r>
        <w:lastRenderedPageBreak/>
        <w:t>općinske dozvole ili odobrenja moraju započeti unutar najduljeg roka valjanosti dozvole u skladu s mjerodavnim propisima, a ako to nije moguće, u roku od šest mjeseci od dana izdavanja dozvole. Radovi koji se smatraju službenim pokretanjem natječaja ili natječaja za projekt ili tehnički dokument kojim su definirani moraju započeti unutar najduljeg roka valjanosti dozvole, općinskog odobrenja ili jednakovrijednog odobrenja ili, ako to nije moguće, u roku od šest mjeseci od datuma dodjele.</w:t>
      </w:r>
    </w:p>
    <w:bookmarkEnd w:id="0"/>
    <w:p w14:paraId="58AB7358" w14:textId="65977551" w:rsidR="00F90C96" w:rsidRPr="008F4D49" w:rsidRDefault="0067270E" w:rsidP="00EA32C0">
      <w:pPr>
        <w:ind w:left="426"/>
        <w:jc w:val="both"/>
        <w:rPr>
          <w:rFonts w:cstheme="minorHAnsi"/>
        </w:rPr>
      </w:pPr>
      <w:r>
        <w:t>— u zgradama u vlasništvu opće državne uprave ili javnih tijela koja su s njom povezana ili koja joj pripadaju, jedna stanica za punjenje postavlja se na svakih 20 parkirnih mjesta ili ekvivalentan broj mjesta za do 500 parkirnih mjesta, a jedna dodatna punionica za svakih dodatnih 100 mjesta ili ekvivalent, ili alternativno, natječajni postupak za radove ili projekt ili tehnički dokument potreban za definiranje radova pokreće se objavom na odgovarajućoj platformi za nabavu. Radovi koji se smatraju službenim pokretanjem natječaja ili natječaja za projekt ili tehnički dokument kojim su definirani moraju započeti unutar najduljeg roka valjanosti dozvole, općinskog odobrenja ili jednakovrijednog odobrenja ili, ako to nije moguće, u roku od šest mjeseci od datuma dodjele.</w:t>
      </w:r>
    </w:p>
    <w:p w14:paraId="354182C6" w14:textId="54A09FDC" w:rsidR="002A5A94" w:rsidRPr="00BA4C0D" w:rsidRDefault="002A5A94" w:rsidP="00210EA2">
      <w:pPr>
        <w:ind w:left="426"/>
        <w:jc w:val="both"/>
      </w:pPr>
      <w:r>
        <w:t>Službeno zaštićene zgrade isključene su iz ovih obveza jer su dio prijavljenog okoliša ili zbog svoje posebne arhitektonske ili povijesne vrijednosti, u mjeri u kojoj bi usklađenost sa zahtjevom mogla nerazumno izmijeniti njihov karakter ili izgled, a nepromjenjive elemente određuje službeno tijelo za zaštitu.</w:t>
      </w:r>
    </w:p>
    <w:p w14:paraId="0662362C" w14:textId="0FC45639" w:rsidR="002A5A94" w:rsidRPr="0062182D" w:rsidRDefault="002A5A94" w:rsidP="0062182D">
      <w:pPr>
        <w:pStyle w:val="ListParagraph"/>
        <w:ind w:left="426"/>
        <w:jc w:val="both"/>
        <w:rPr>
          <w:rFonts w:cstheme="minorHAnsi"/>
        </w:rPr>
      </w:pPr>
      <w:r>
        <w:t>Ova infrastruktura za punjenje električnih vozila bit će u skladu s odredbama Kraljevske uredbe 842/2002 od 2. kolovoza kojom se odobrava Elektrotehnički propis za niski napon i njegove Dopunske tehničke upute (ITC) BT 52 „Instalacije za posebne namjene. Infrastruktura za punjenje električnih vozila”, kao i odredbe stavaka 4. „Opravdanje zahtjeva” i 5. „Izgradnja, održavanje i popravci” odjeljka HE 6 „Minimalni infrastrukturni objekti za punjenje električnih vozila” osnovnog dokumenta DB-HE „Uštede energije”.</w:t>
      </w:r>
    </w:p>
    <w:p w14:paraId="0769E30E" w14:textId="6A51451B" w:rsidR="0033081E" w:rsidRPr="008F4D49" w:rsidRDefault="005074AB" w:rsidP="00D47CC2">
      <w:pPr>
        <w:jc w:val="both"/>
        <w:rPr>
          <w:rFonts w:cstheme="minorHAnsi"/>
        </w:rPr>
      </w:pPr>
      <w:r>
        <w:t xml:space="preserve">Dva. Mijenja se osnovni dokument DB-HE „Uštede energije” iz dijela II. Tehničkog propisa o gradnji, i uključuje odjeljak HE 6 „Minimalni infrastrukturni objekti za punjenje električnih vozila”, koji je uključen kao Prilog I. ovoj Kraljevskoj uredbi. </w:t>
      </w:r>
    </w:p>
    <w:p w14:paraId="5DC46FAC" w14:textId="4A465EFF" w:rsidR="005074AB" w:rsidRPr="008F4D49" w:rsidRDefault="005074AB" w:rsidP="005074AB">
      <w:pPr>
        <w:spacing w:after="162"/>
        <w:ind w:left="13"/>
        <w:jc w:val="both"/>
        <w:rPr>
          <w:rFonts w:cstheme="minorHAnsi"/>
        </w:rPr>
      </w:pPr>
      <w:r>
        <w:t>U osnovni dokument DB-HE unose se i sljedeće izmjene:</w:t>
      </w:r>
    </w:p>
    <w:p w14:paraId="53FD09BA" w14:textId="1FBEE4B0" w:rsidR="005074AB" w:rsidRPr="009064BC" w:rsidRDefault="005074AB" w:rsidP="006424FF">
      <w:pPr>
        <w:numPr>
          <w:ilvl w:val="0"/>
          <w:numId w:val="13"/>
        </w:numPr>
        <w:spacing w:after="162"/>
        <w:ind w:left="720" w:hanging="295"/>
        <w:jc w:val="both"/>
        <w:rPr>
          <w:rFonts w:cstheme="minorHAnsi"/>
        </w:rPr>
      </w:pPr>
      <w:r>
        <w:t>U odjeljku „Uvod” u prvom podstavku stavka „I. Predmet” u rečenici „Odjeljci ovog DB-a odgovaraju osnovnim zahtjevima HE 0 do HE 5”, umjesto „HE 5” umeće se „HE 6”.</w:t>
      </w:r>
    </w:p>
    <w:p w14:paraId="7957EC48" w14:textId="441BEE49" w:rsidR="006F5E38" w:rsidRPr="009064BC" w:rsidRDefault="006F5E38" w:rsidP="006424FF">
      <w:pPr>
        <w:numPr>
          <w:ilvl w:val="0"/>
          <w:numId w:val="13"/>
        </w:numPr>
        <w:spacing w:after="162"/>
        <w:ind w:left="720" w:hanging="295"/>
        <w:jc w:val="both"/>
        <w:rPr>
          <w:rFonts w:cstheme="minorHAnsi"/>
        </w:rPr>
      </w:pPr>
      <w:r>
        <w:t>U odjeljku „Uvod” u stavku I. „Predmet” upućivanje na članak 15.6. dijela I. CTE-a mijenja se i glasi:</w:t>
      </w:r>
    </w:p>
    <w:p w14:paraId="5F1636DD" w14:textId="77777777" w:rsidR="006F5E38" w:rsidRPr="009064BC" w:rsidRDefault="006F5E38" w:rsidP="009064BC">
      <w:pPr>
        <w:pStyle w:val="ListParagraph"/>
        <w:ind w:left="709"/>
        <w:contextualSpacing w:val="0"/>
        <w:jc w:val="both"/>
        <w:rPr>
          <w:rFonts w:cstheme="minorHAnsi"/>
        </w:rPr>
      </w:pPr>
      <w:r>
        <w:t>„15.6. Osnovni zahtjev HE 5: Minimalna proizvodnja električne energije iz obnovljivih izvora.</w:t>
      </w:r>
    </w:p>
    <w:p w14:paraId="6BB983CA" w14:textId="72439AD8" w:rsidR="006F5E38" w:rsidRPr="009064BC" w:rsidRDefault="006F5E38" w:rsidP="009064BC">
      <w:pPr>
        <w:pStyle w:val="ListParagraph"/>
        <w:spacing w:after="162"/>
        <w:ind w:left="709"/>
        <w:contextualSpacing w:val="0"/>
        <w:jc w:val="both"/>
        <w:rPr>
          <w:rFonts w:cstheme="minorHAnsi"/>
        </w:rPr>
      </w:pPr>
      <w:r>
        <w:t>Zgrade imaju sustave za proizvodnju električne energije iz obnovljivih izvora za vlastitu uporabu ili za opskrbu mreže.”</w:t>
      </w:r>
    </w:p>
    <w:p w14:paraId="2D6B0228" w14:textId="7AFD12CA" w:rsidR="005074AB" w:rsidRPr="009064BC" w:rsidRDefault="005074AB" w:rsidP="006424FF">
      <w:pPr>
        <w:numPr>
          <w:ilvl w:val="0"/>
          <w:numId w:val="13"/>
        </w:numPr>
        <w:spacing w:after="162"/>
        <w:ind w:left="720" w:hanging="295"/>
        <w:jc w:val="both"/>
        <w:rPr>
          <w:rFonts w:cstheme="minorHAnsi"/>
        </w:rPr>
      </w:pPr>
      <w:r>
        <w:t>U odjeljku „Uvod” u stavku I. „Predmet”, u upućivanju na članak 15. dijela I. CTE-a na kraju se dodaje još jedna točka sa sljedećim tekstom:</w:t>
      </w:r>
    </w:p>
    <w:p w14:paraId="7D3E8D59" w14:textId="77777777" w:rsidR="005074AB" w:rsidRPr="009064BC" w:rsidRDefault="005074AB" w:rsidP="006424FF">
      <w:pPr>
        <w:ind w:left="709"/>
        <w:jc w:val="both"/>
        <w:rPr>
          <w:rFonts w:cstheme="minorHAnsi"/>
        </w:rPr>
      </w:pPr>
      <w:r>
        <w:lastRenderedPageBreak/>
        <w:t>„15.7. Osnovni zahtjev HE 6: Minimalni infrastrukturni objekti za punjenje električnih vozila.</w:t>
      </w:r>
    </w:p>
    <w:p w14:paraId="63C180D9" w14:textId="77777777" w:rsidR="005074AB" w:rsidRPr="009064BC" w:rsidRDefault="005074AB" w:rsidP="006424FF">
      <w:pPr>
        <w:ind w:left="709"/>
        <w:jc w:val="both"/>
        <w:rPr>
          <w:rFonts w:cstheme="minorHAnsi"/>
        </w:rPr>
      </w:pPr>
      <w:r>
        <w:t>Zgrade imaju minimalnu infrastrukturu koja omogućuje punjenje električnih vozila.”</w:t>
      </w:r>
    </w:p>
    <w:p w14:paraId="2CCB9F35" w14:textId="1C8D3E4F" w:rsidR="001B0467" w:rsidRPr="009064BC" w:rsidRDefault="001B0467" w:rsidP="006424FF">
      <w:pPr>
        <w:numPr>
          <w:ilvl w:val="0"/>
          <w:numId w:val="13"/>
        </w:numPr>
        <w:ind w:left="720" w:hanging="294"/>
        <w:jc w:val="both"/>
        <w:rPr>
          <w:rFonts w:cstheme="minorHAnsi"/>
        </w:rPr>
      </w:pPr>
      <w:r>
        <w:t>U sadržaju mijenja se naslov odjeljka HE 5, koji sada glasi kako slijedi:</w:t>
      </w:r>
    </w:p>
    <w:p w14:paraId="7DC0F11B" w14:textId="4E9858DC" w:rsidR="001B0467" w:rsidRPr="009064BC" w:rsidRDefault="001B0467" w:rsidP="001B0467">
      <w:pPr>
        <w:pStyle w:val="ListParagraph"/>
        <w:ind w:left="709"/>
        <w:jc w:val="both"/>
        <w:rPr>
          <w:rFonts w:cstheme="minorHAnsi"/>
        </w:rPr>
      </w:pPr>
      <w:r>
        <w:t>„Odjeljak HE 5 Minimalna proizvodnja električne energije iz obnovljivih izvora.”</w:t>
      </w:r>
    </w:p>
    <w:p w14:paraId="1178E5DE" w14:textId="4953BECD" w:rsidR="005074AB" w:rsidRPr="009064BC" w:rsidRDefault="005074AB" w:rsidP="006424FF">
      <w:pPr>
        <w:numPr>
          <w:ilvl w:val="0"/>
          <w:numId w:val="13"/>
        </w:numPr>
        <w:ind w:left="720" w:hanging="294"/>
        <w:jc w:val="both"/>
        <w:rPr>
          <w:rFonts w:cstheme="minorHAnsi"/>
        </w:rPr>
      </w:pPr>
      <w:r>
        <w:t>U sadržaju, u upućivanje na članak 15. umeće se dodatna točka sa sljedećim tekstom:</w:t>
      </w:r>
    </w:p>
    <w:p w14:paraId="661731BD" w14:textId="50DD66A3" w:rsidR="005074AB" w:rsidRPr="009064BC" w:rsidRDefault="00982E58" w:rsidP="00982E58">
      <w:pPr>
        <w:tabs>
          <w:tab w:val="left" w:pos="7938"/>
        </w:tabs>
        <w:ind w:left="1134" w:hanging="425"/>
        <w:contextualSpacing/>
        <w:jc w:val="both"/>
        <w:rPr>
          <w:rFonts w:cstheme="minorHAnsi"/>
        </w:rPr>
      </w:pPr>
      <w:r>
        <w:t>„Odjeljak HE 6 Minimalna infrastruktura za punjenje električnih vozila……………………………………………………………………………………..……………..</w:t>
      </w:r>
      <w:r>
        <w:tab/>
        <w:t>33</w:t>
      </w:r>
    </w:p>
    <w:p w14:paraId="22DC136D" w14:textId="3F812976" w:rsidR="005074AB" w:rsidRPr="009064BC" w:rsidRDefault="005074AB" w:rsidP="00982E58">
      <w:pPr>
        <w:numPr>
          <w:ilvl w:val="0"/>
          <w:numId w:val="10"/>
        </w:numPr>
        <w:tabs>
          <w:tab w:val="left" w:pos="7938"/>
        </w:tabs>
        <w:ind w:left="1134" w:hanging="425"/>
        <w:contextualSpacing/>
        <w:jc w:val="both"/>
        <w:rPr>
          <w:rFonts w:cstheme="minorHAnsi"/>
        </w:rPr>
      </w:pPr>
      <w:r>
        <w:t>Područje primjene........................................................................................</w:t>
      </w:r>
      <w:r>
        <w:tab/>
        <w:t>33</w:t>
      </w:r>
    </w:p>
    <w:p w14:paraId="6FE2086C" w14:textId="5F45FF18" w:rsidR="005074AB" w:rsidRPr="009064BC" w:rsidRDefault="005074AB" w:rsidP="00982E58">
      <w:pPr>
        <w:numPr>
          <w:ilvl w:val="0"/>
          <w:numId w:val="10"/>
        </w:numPr>
        <w:tabs>
          <w:tab w:val="left" w:pos="7938"/>
        </w:tabs>
        <w:ind w:left="1134" w:hanging="425"/>
        <w:contextualSpacing/>
        <w:jc w:val="both"/>
        <w:rPr>
          <w:rFonts w:cstheme="minorHAnsi"/>
        </w:rPr>
      </w:pPr>
      <w:r>
        <w:t>Opis zahtjeva……………………………………………………………………</w:t>
      </w:r>
      <w:r>
        <w:tab/>
        <w:t>34</w:t>
      </w:r>
    </w:p>
    <w:p w14:paraId="4D6A108B" w14:textId="59207892" w:rsidR="005074AB" w:rsidRPr="009064BC" w:rsidRDefault="005074AB" w:rsidP="00982E58">
      <w:pPr>
        <w:numPr>
          <w:ilvl w:val="0"/>
          <w:numId w:val="10"/>
        </w:numPr>
        <w:tabs>
          <w:tab w:val="left" w:pos="7938"/>
        </w:tabs>
        <w:ind w:left="1134" w:hanging="425"/>
        <w:contextualSpacing/>
        <w:jc w:val="both"/>
        <w:rPr>
          <w:rFonts w:cstheme="minorHAnsi"/>
        </w:rPr>
      </w:pPr>
      <w:r>
        <w:t>Kvantifikacija zahtjeva.......................................................................</w:t>
      </w:r>
      <w:r>
        <w:tab/>
        <w:t>34</w:t>
      </w:r>
    </w:p>
    <w:p w14:paraId="79098154" w14:textId="4DBE57AC" w:rsidR="005074AB" w:rsidRPr="009064BC" w:rsidRDefault="005074AB" w:rsidP="00982E58">
      <w:pPr>
        <w:numPr>
          <w:ilvl w:val="0"/>
          <w:numId w:val="10"/>
        </w:numPr>
        <w:tabs>
          <w:tab w:val="left" w:pos="7938"/>
        </w:tabs>
        <w:ind w:left="1134" w:hanging="425"/>
        <w:contextualSpacing/>
        <w:jc w:val="both"/>
        <w:rPr>
          <w:rFonts w:cstheme="minorHAnsi"/>
        </w:rPr>
      </w:pPr>
      <w:r>
        <w:t>Obrazloženje zahtjeva……………………………………………………………………</w:t>
      </w:r>
      <w:r>
        <w:tab/>
        <w:t>34</w:t>
      </w:r>
    </w:p>
    <w:p w14:paraId="7CB375BD" w14:textId="21786528" w:rsidR="005074AB" w:rsidRPr="009064BC" w:rsidRDefault="005074AB" w:rsidP="00982E58">
      <w:pPr>
        <w:numPr>
          <w:ilvl w:val="0"/>
          <w:numId w:val="10"/>
        </w:numPr>
        <w:tabs>
          <w:tab w:val="left" w:pos="7938"/>
        </w:tabs>
        <w:ind w:left="1134" w:hanging="425"/>
        <w:contextualSpacing/>
        <w:jc w:val="both"/>
        <w:rPr>
          <w:rFonts w:cstheme="minorHAnsi"/>
        </w:rPr>
      </w:pPr>
      <w:r>
        <w:t>Izgradnja, održavanje i popravci……………………………………………………...</w:t>
      </w:r>
      <w:r w:rsidR="00001BDD">
        <w:rPr>
          <w:lang w:val="el-GR"/>
        </w:rPr>
        <w:t>.............</w:t>
      </w:r>
      <w:r>
        <w:t>.35</w:t>
      </w:r>
    </w:p>
    <w:p w14:paraId="0BB8C82D" w14:textId="09943AE3" w:rsidR="005074AB" w:rsidRPr="009064BC" w:rsidRDefault="006424FF" w:rsidP="00982E58">
      <w:pPr>
        <w:tabs>
          <w:tab w:val="left" w:pos="7938"/>
        </w:tabs>
        <w:ind w:left="1843" w:hanging="425"/>
        <w:contextualSpacing/>
        <w:jc w:val="both"/>
        <w:rPr>
          <w:rFonts w:cstheme="minorHAnsi"/>
        </w:rPr>
      </w:pPr>
      <w:r>
        <w:t>5.1.</w:t>
      </w:r>
      <w:r>
        <w:tab/>
        <w:t>Izvršenje……………………………………………………………………………………….</w:t>
      </w:r>
      <w:r>
        <w:tab/>
        <w:t>35</w:t>
      </w:r>
    </w:p>
    <w:p w14:paraId="4AE42B35" w14:textId="32FC8D35" w:rsidR="005074AB" w:rsidRPr="009064BC" w:rsidRDefault="005074AB" w:rsidP="00982E58">
      <w:pPr>
        <w:tabs>
          <w:tab w:val="left" w:pos="7938"/>
        </w:tabs>
        <w:ind w:left="1843" w:hanging="425"/>
        <w:contextualSpacing/>
        <w:jc w:val="both"/>
        <w:rPr>
          <w:rFonts w:cstheme="minorHAnsi"/>
        </w:rPr>
      </w:pPr>
      <w:r>
        <w:t>5.2.</w:t>
      </w:r>
      <w:r>
        <w:tab/>
        <w:t>Praćenje izvršenja radova………………………………………………….</w:t>
      </w:r>
      <w:r w:rsidR="00001BDD">
        <w:rPr>
          <w:lang w:val="el-GR"/>
        </w:rPr>
        <w:t>...............</w:t>
      </w:r>
      <w:r>
        <w:t>.35</w:t>
      </w:r>
    </w:p>
    <w:p w14:paraId="2E5A6752" w14:textId="5AE20D60" w:rsidR="005074AB" w:rsidRPr="009064BC" w:rsidRDefault="005074AB" w:rsidP="00982E58">
      <w:pPr>
        <w:tabs>
          <w:tab w:val="left" w:pos="7938"/>
        </w:tabs>
        <w:ind w:left="1843" w:hanging="436"/>
        <w:contextualSpacing/>
        <w:jc w:val="both"/>
        <w:rPr>
          <w:rFonts w:cstheme="minorHAnsi"/>
        </w:rPr>
      </w:pPr>
      <w:r>
        <w:t>5.3.</w:t>
      </w:r>
      <w:r>
        <w:tab/>
        <w:t>Provjera završenih radova………………………………………………………….</w:t>
      </w:r>
      <w:r>
        <w:tab/>
        <w:t>35</w:t>
      </w:r>
    </w:p>
    <w:p w14:paraId="5D3A912D" w14:textId="1F4F85A7" w:rsidR="005074AB" w:rsidRPr="009064BC" w:rsidRDefault="005074AB" w:rsidP="00982E58">
      <w:pPr>
        <w:tabs>
          <w:tab w:val="left" w:pos="7938"/>
        </w:tabs>
        <w:ind w:left="1843" w:hanging="425"/>
        <w:contextualSpacing/>
        <w:jc w:val="both"/>
        <w:rPr>
          <w:rFonts w:cstheme="minorHAnsi"/>
        </w:rPr>
      </w:pPr>
      <w:r>
        <w:t>5.4.</w:t>
      </w:r>
      <w:r>
        <w:tab/>
        <w:t>Održavanje i popravci zgrade………………………..…………..</w:t>
      </w:r>
      <w:r w:rsidR="00001BDD">
        <w:rPr>
          <w:lang w:val="el-GR"/>
        </w:rPr>
        <w:t>.....................</w:t>
      </w:r>
      <w:r>
        <w:t>35”</w:t>
      </w:r>
    </w:p>
    <w:p w14:paraId="2AE043C4" w14:textId="77777777" w:rsidR="005074AB" w:rsidRPr="009064BC" w:rsidRDefault="005074AB" w:rsidP="005074AB">
      <w:pPr>
        <w:ind w:left="1418"/>
        <w:contextualSpacing/>
        <w:jc w:val="both"/>
        <w:rPr>
          <w:rFonts w:cstheme="minorHAnsi"/>
        </w:rPr>
      </w:pPr>
    </w:p>
    <w:p w14:paraId="3A1C5505" w14:textId="4B9D9EA3" w:rsidR="0026457E" w:rsidRDefault="0026457E" w:rsidP="0026457E">
      <w:pPr>
        <w:numPr>
          <w:ilvl w:val="0"/>
          <w:numId w:val="13"/>
        </w:numPr>
        <w:ind w:left="720" w:hanging="295"/>
        <w:jc w:val="both"/>
        <w:rPr>
          <w:rFonts w:cstheme="minorHAnsi"/>
        </w:rPr>
      </w:pPr>
      <w:r>
        <w:t>U odjeljku HE 0 „Ograničenja potrošnje energije”, u stavku 4.1. „Postupak izračuna”, u podstavku 9. riječi „Priznati dokument” zamjenjuju se riječima „Priznati dokument energetskog certifikata za zgrade”.</w:t>
      </w:r>
    </w:p>
    <w:p w14:paraId="3222E360" w14:textId="2F90CB7E" w:rsidR="0067340E" w:rsidRPr="0067340E" w:rsidRDefault="006C16B4" w:rsidP="0026457E">
      <w:pPr>
        <w:numPr>
          <w:ilvl w:val="0"/>
          <w:numId w:val="13"/>
        </w:numPr>
        <w:ind w:left="720" w:hanging="295"/>
        <w:jc w:val="both"/>
        <w:rPr>
          <w:rFonts w:cstheme="minorHAnsi"/>
        </w:rPr>
      </w:pPr>
      <w:r>
        <w:t>U odjeljku HE 0 „Ograničenja potrošnje energije”, u stavku 4.1. „Postupak izračuna”, podstavak 9. postaje podstavak 11. i dodaju se sljedeći podstavci:</w:t>
      </w:r>
    </w:p>
    <w:p w14:paraId="3392DEB4" w14:textId="73112890" w:rsidR="0067340E" w:rsidRDefault="0067340E" w:rsidP="0067340E">
      <w:pPr>
        <w:ind w:left="1134" w:hanging="425"/>
        <w:contextualSpacing/>
        <w:jc w:val="both"/>
        <w:rPr>
          <w:rFonts w:cstheme="minorHAnsi"/>
        </w:rPr>
      </w:pPr>
      <w:r>
        <w:t>„9.</w:t>
      </w:r>
      <w:r>
        <w:tab/>
        <w:t>Izračun energetske bilance potrebne za provjeru zahtjeva iz ovog BD-a provodi se u skladu s normom UNE-EN ISO 52000-1:2019: Sveobuhvatna procjena energetskih svojstava zgrada. Dio 1.: Opći okvir i postupci, primjenom faktora izvoza K</w:t>
      </w:r>
      <w:r>
        <w:rPr>
          <w:vertAlign w:val="subscript"/>
        </w:rPr>
        <w:t>exp</w:t>
      </w:r>
      <w:r>
        <w:t xml:space="preserve"> = 0.”</w:t>
      </w:r>
    </w:p>
    <w:p w14:paraId="744E1B50" w14:textId="4419E002" w:rsidR="00B233D0" w:rsidRDefault="00B233D0" w:rsidP="0026457E">
      <w:pPr>
        <w:ind w:left="1134" w:hanging="425"/>
        <w:jc w:val="both"/>
        <w:rPr>
          <w:rFonts w:cstheme="minorHAnsi"/>
        </w:rPr>
      </w:pPr>
      <w:r>
        <w:t>„10.</w:t>
      </w:r>
      <w:r>
        <w:tab/>
        <w:t>Za potrebe raspodjele različitih usluga, distribucija električne energije proizvedene na licu mjesta, u svakom vremenskom intervalu, izračunava se razmjerno potrošnji električne energije predmetne potrošnje (grijanje, hlađenje, ventilacija, PTV, i dodatno, u tercijarnoj uporabi, rasvjeta).”</w:t>
      </w:r>
    </w:p>
    <w:p w14:paraId="78947690" w14:textId="66930B3C" w:rsidR="005074AB" w:rsidRPr="009064BC" w:rsidRDefault="005074AB" w:rsidP="0026457E">
      <w:pPr>
        <w:numPr>
          <w:ilvl w:val="0"/>
          <w:numId w:val="13"/>
        </w:numPr>
        <w:ind w:left="720" w:hanging="294"/>
        <w:jc w:val="both"/>
        <w:rPr>
          <w:rFonts w:cstheme="minorHAnsi"/>
        </w:rPr>
      </w:pPr>
      <w:r>
        <w:t>U odjeljku HE 1 „Uvjeti za kontrolu potražnje za energijom” u stavku 3.1.1. „Propuštanje topline kroz oplatu” dodaje se sljedeći podstavak:</w:t>
      </w:r>
    </w:p>
    <w:p w14:paraId="729573A3" w14:textId="05413AE2" w:rsidR="005074AB" w:rsidRPr="009064BC" w:rsidRDefault="005074AB" w:rsidP="006424FF">
      <w:pPr>
        <w:ind w:left="1134" w:hanging="425"/>
        <w:jc w:val="both"/>
        <w:rPr>
          <w:rFonts w:cstheme="minorHAnsi"/>
        </w:rPr>
      </w:pPr>
      <w:r>
        <w:t>„6.</w:t>
      </w:r>
      <w:r>
        <w:tab/>
        <w:t>Alternativno, zgrade ili, u slučaju djelomične intervencije na postojećim zgradama, dijelovi zgrada na kojima se provode intervencije, čiji su zahtjevi za grijanjem i hlađenjem u oba slučaja manji od 15 kWh/m</w:t>
      </w:r>
      <w:r>
        <w:rPr>
          <w:vertAlign w:val="superscript"/>
        </w:rPr>
        <w:t>2</w:t>
      </w:r>
      <w:r>
        <w:t xml:space="preserve">, mogu se isključiti iz usklađenosti s </w:t>
      </w:r>
      <w:r>
        <w:rPr>
          <w:i/>
        </w:rPr>
        <w:t>ukupnim koeficijentom prijenosa topline kroz oplatu (K)</w:t>
      </w:r>
      <w:r>
        <w:t>.”</w:t>
      </w:r>
    </w:p>
    <w:p w14:paraId="49941342" w14:textId="77777777" w:rsidR="00802B87" w:rsidRDefault="005074AB" w:rsidP="00802B87">
      <w:pPr>
        <w:numPr>
          <w:ilvl w:val="0"/>
          <w:numId w:val="13"/>
        </w:numPr>
        <w:ind w:left="709" w:hanging="283"/>
        <w:contextualSpacing/>
        <w:jc w:val="both"/>
        <w:rPr>
          <w:rFonts w:cstheme="minorHAnsi"/>
        </w:rPr>
      </w:pPr>
      <w:r>
        <w:t>U odjeljku HE 1 „Uvjeti za kontrolu potražnje za energijom” u stavku 3.1.3. „Zračna propusnost oplate” dodaje se sljedeći novi podstavak 3.:</w:t>
      </w:r>
    </w:p>
    <w:p w14:paraId="1D58DEB1" w14:textId="0D8F3294" w:rsidR="005074AB" w:rsidRPr="00802B87" w:rsidRDefault="005074AB" w:rsidP="00802B87">
      <w:pPr>
        <w:ind w:left="709"/>
        <w:contextualSpacing/>
        <w:jc w:val="both"/>
        <w:rPr>
          <w:rFonts w:cstheme="minorHAnsi"/>
        </w:rPr>
      </w:pPr>
      <w:r>
        <w:t xml:space="preserve">„U slučaju izmjena, prethodno navedena tablica 3.1.3.a-HE1 primjenjuje se samo na one elemente </w:t>
      </w:r>
      <w:r>
        <w:rPr>
          <w:i/>
        </w:rPr>
        <w:t>oplate</w:t>
      </w:r>
      <w:r>
        <w:t xml:space="preserve"> koji su zamijenjeni, ugrađeni ili znatno izmijenjeni;”</w:t>
      </w:r>
    </w:p>
    <w:p w14:paraId="7563FEDE" w14:textId="74826D79" w:rsidR="005074AB" w:rsidRDefault="005074AB" w:rsidP="00836E07">
      <w:pPr>
        <w:ind w:left="709"/>
        <w:jc w:val="both"/>
        <w:rPr>
          <w:rFonts w:cstheme="minorHAnsi"/>
        </w:rPr>
      </w:pPr>
      <w:r>
        <w:lastRenderedPageBreak/>
        <w:t>Numeriranje postojećih podstavaka 3. i 4. stavka 3.1.3. „Zračna propusnost oplate” zamjenjuje se s 4 odnosno 5.</w:t>
      </w:r>
    </w:p>
    <w:p w14:paraId="50F02663" w14:textId="6089A86E" w:rsidR="00E57D62" w:rsidRDefault="00E57D62" w:rsidP="0085697E">
      <w:pPr>
        <w:pStyle w:val="ListParagraph"/>
        <w:numPr>
          <w:ilvl w:val="0"/>
          <w:numId w:val="20"/>
        </w:numPr>
        <w:spacing w:line="257" w:lineRule="auto"/>
        <w:ind w:left="709" w:hanging="283"/>
        <w:contextualSpacing w:val="0"/>
        <w:jc w:val="both"/>
        <w:rPr>
          <w:rFonts w:cstheme="minorHAnsi"/>
        </w:rPr>
      </w:pPr>
      <w:r>
        <w:t>U odjeljku HE 3 „Uvjeti za rasvjetne instalacije”, u tablici 3.1.-HE3 Granična vrijednost učinkovitosti instalacije (VEEI</w:t>
      </w:r>
      <w:r>
        <w:rPr>
          <w:vertAlign w:val="subscript"/>
        </w:rPr>
        <w:t>lim</w:t>
      </w:r>
      <w:r>
        <w:t xml:space="preserve">), riječi „Trgovine i male trgovine” zamjenjuju se riječima „Trgovine i male trgovine </w:t>
      </w:r>
      <w:r>
        <w:rPr>
          <w:rFonts w:ascii="Calibri" w:hAnsi="Calibri"/>
          <w:vertAlign w:val="subscript"/>
        </w:rPr>
        <w:t>(10)</w:t>
      </w:r>
      <w:r>
        <w:t>” i dodaje se sljedeća bilješka:</w:t>
      </w:r>
    </w:p>
    <w:p w14:paraId="149506FB" w14:textId="5E891A3B" w:rsidR="00C40409" w:rsidRDefault="00E57D62" w:rsidP="00C40409">
      <w:pPr>
        <w:pStyle w:val="ListParagraph"/>
        <w:spacing w:line="257" w:lineRule="auto"/>
        <w:ind w:left="709"/>
        <w:contextualSpacing w:val="0"/>
        <w:jc w:val="both"/>
        <w:rPr>
          <w:rFonts w:eastAsia="Arial" w:cstheme="minorHAnsi"/>
          <w:kern w:val="2"/>
          <w:szCs w:val="24"/>
        </w:rPr>
      </w:pPr>
      <w:r>
        <w:t>„</w:t>
      </w:r>
      <w:r>
        <w:rPr>
          <w:vertAlign w:val="superscript"/>
        </w:rPr>
        <w:t>(10)</w:t>
      </w:r>
      <w:r>
        <w:t xml:space="preserve"> Izraz trgovina odnosi se i na male neovisne trgovine i na dio za komercijalnu uporabu koji se obično ne nalazi u trgovačkim centrima.”</w:t>
      </w:r>
    </w:p>
    <w:p w14:paraId="00451B2B" w14:textId="20875D3F" w:rsidR="00C40409" w:rsidRDefault="00C40409" w:rsidP="00154A68">
      <w:pPr>
        <w:pStyle w:val="ListParagraph"/>
        <w:numPr>
          <w:ilvl w:val="0"/>
          <w:numId w:val="20"/>
        </w:numPr>
        <w:spacing w:line="257" w:lineRule="auto"/>
        <w:ind w:left="709" w:hanging="283"/>
        <w:jc w:val="both"/>
        <w:rPr>
          <w:rFonts w:eastAsia="Arial" w:cstheme="minorHAnsi"/>
          <w:kern w:val="2"/>
          <w:szCs w:val="24"/>
        </w:rPr>
      </w:pPr>
      <w:r>
        <w:t>U odjeljku HE 4 Minimalni doprinos obnovljive energije zadovoljavanju potražnje za toplom vodom u kućanstvu, stavak 2. „Opis zahtjeva”, članak 1. glasi kako slijedi:</w:t>
      </w:r>
    </w:p>
    <w:p w14:paraId="14B0818B" w14:textId="77777777" w:rsidR="00C40409" w:rsidRPr="00C40409" w:rsidRDefault="00C40409" w:rsidP="00C40409">
      <w:pPr>
        <w:pStyle w:val="ListParagraph"/>
        <w:spacing w:line="257" w:lineRule="auto"/>
        <w:ind w:left="709"/>
        <w:jc w:val="both"/>
        <w:rPr>
          <w:rFonts w:eastAsia="Arial" w:cstheme="minorHAnsi"/>
          <w:kern w:val="2"/>
          <w:szCs w:val="24"/>
          <w:lang w:eastAsia="zh-CN" w:bidi="hi-IN"/>
        </w:rPr>
      </w:pPr>
    </w:p>
    <w:p w14:paraId="4CC04391" w14:textId="1C9A9342" w:rsidR="00C40409" w:rsidRPr="00C40409" w:rsidRDefault="00C40409" w:rsidP="00C40409">
      <w:pPr>
        <w:pStyle w:val="ListParagraph"/>
        <w:spacing w:line="257" w:lineRule="auto"/>
        <w:ind w:left="1134" w:hanging="425"/>
        <w:contextualSpacing w:val="0"/>
        <w:jc w:val="both"/>
        <w:rPr>
          <w:rFonts w:eastAsia="Arial" w:cstheme="minorHAnsi"/>
          <w:kern w:val="2"/>
          <w:szCs w:val="24"/>
        </w:rPr>
      </w:pPr>
      <w:r>
        <w:t>„1.</w:t>
      </w:r>
      <w:r>
        <w:tab/>
        <w:t>Zgrade u velikoj mjeri ispunjavaju svoje potrebe za PTV-om i grijanjem vode za grijane unutarnje bazene koristeći u velikoj mjeri energiju iz obnovljivih izvora ili obnovljivih procesa kogeneracije; bilo proizvedeno u samoj zgradi ili putem priključka na sustav daljinskog grijanja.”</w:t>
      </w:r>
    </w:p>
    <w:p w14:paraId="4E4E1F9B" w14:textId="2DA4132B" w:rsidR="00836E07" w:rsidRPr="00E57D62" w:rsidRDefault="00836E07" w:rsidP="009064BC">
      <w:pPr>
        <w:pStyle w:val="ListParagraph"/>
        <w:numPr>
          <w:ilvl w:val="0"/>
          <w:numId w:val="13"/>
        </w:numPr>
        <w:ind w:left="709" w:hanging="283"/>
        <w:contextualSpacing w:val="0"/>
        <w:jc w:val="both"/>
        <w:rPr>
          <w:rFonts w:cstheme="minorHAnsi"/>
        </w:rPr>
      </w:pPr>
      <w:r>
        <w:t>U odjeljku HE 5 Minimalna proizvodnja električne energije, naslov se mijenja u:</w:t>
      </w:r>
    </w:p>
    <w:p w14:paraId="1835914C" w14:textId="7892C477" w:rsidR="005074AB" w:rsidRPr="009064BC" w:rsidRDefault="00836E07" w:rsidP="006F5E38">
      <w:pPr>
        <w:pStyle w:val="ListParagraph"/>
        <w:ind w:left="709"/>
        <w:contextualSpacing w:val="0"/>
        <w:jc w:val="both"/>
        <w:rPr>
          <w:rFonts w:cstheme="minorHAnsi"/>
        </w:rPr>
      </w:pPr>
      <w:r>
        <w:t>„Odjeljak HE 5 Minimalna proizvodnja električne energije iz obnovljivih izvora.”</w:t>
      </w:r>
    </w:p>
    <w:p w14:paraId="5A13D3D2" w14:textId="6E7AA8ED" w:rsidR="005074AB" w:rsidRPr="009064BC" w:rsidRDefault="005074AB" w:rsidP="00CC005A">
      <w:pPr>
        <w:numPr>
          <w:ilvl w:val="0"/>
          <w:numId w:val="13"/>
        </w:numPr>
        <w:ind w:left="720" w:hanging="294"/>
        <w:jc w:val="both"/>
        <w:rPr>
          <w:rFonts w:cstheme="minorHAnsi"/>
        </w:rPr>
      </w:pPr>
      <w:r>
        <w:t xml:space="preserve">U odjeljku HE 5 Minimalna proizvodnja električne energije, stavak 1. „Područje primjene” glasi kako slijedi: </w:t>
      </w:r>
    </w:p>
    <w:p w14:paraId="45B1F681" w14:textId="77777777" w:rsidR="005074AB" w:rsidRPr="009064BC" w:rsidRDefault="005074AB" w:rsidP="00CC005A">
      <w:pPr>
        <w:ind w:left="1134" w:hanging="425"/>
        <w:jc w:val="both"/>
        <w:rPr>
          <w:rFonts w:cstheme="minorHAnsi"/>
        </w:rPr>
      </w:pPr>
      <w:r>
        <w:t>„1.</w:t>
      </w:r>
      <w:r>
        <w:tab/>
        <w:t xml:space="preserve">Ovaj se stavak primjenjuje u sljedećim slučajevima: </w:t>
      </w:r>
    </w:p>
    <w:p w14:paraId="10C39280" w14:textId="4335D1B7" w:rsidR="002F2BD0" w:rsidRPr="003934E5" w:rsidRDefault="005074AB" w:rsidP="002F2BD0">
      <w:pPr>
        <w:numPr>
          <w:ilvl w:val="0"/>
          <w:numId w:val="8"/>
        </w:numPr>
        <w:ind w:left="1418" w:hanging="284"/>
        <w:contextualSpacing/>
        <w:jc w:val="both"/>
        <w:rPr>
          <w:rFonts w:cstheme="minorHAnsi"/>
        </w:rPr>
      </w:pPr>
      <w:r>
        <w:t>novoizgrađene zgrade veće od 1 000 m</w:t>
      </w:r>
      <w:r>
        <w:rPr>
          <w:vertAlign w:val="superscript"/>
        </w:rPr>
        <w:t>2</w:t>
      </w:r>
      <w:r>
        <w:t>;</w:t>
      </w:r>
    </w:p>
    <w:p w14:paraId="288E1AFC" w14:textId="6CE90E6C" w:rsidR="002F2BD0" w:rsidRPr="003934E5" w:rsidRDefault="002F2BD0" w:rsidP="002F2BD0">
      <w:pPr>
        <w:numPr>
          <w:ilvl w:val="0"/>
          <w:numId w:val="8"/>
        </w:numPr>
        <w:ind w:left="1418" w:hanging="284"/>
        <w:contextualSpacing/>
        <w:jc w:val="both"/>
        <w:rPr>
          <w:rFonts w:cstheme="minorHAnsi"/>
        </w:rPr>
      </w:pPr>
      <w:r>
        <w:t>proširenja postojećih zgrada, kada je izgrađena površina povećana za više od 1 000 m</w:t>
      </w:r>
      <w:r>
        <w:rPr>
          <w:vertAlign w:val="superscript"/>
        </w:rPr>
        <w:t>2</w:t>
      </w:r>
      <w:r>
        <w:t>.</w:t>
      </w:r>
    </w:p>
    <w:p w14:paraId="647D0A9C" w14:textId="63F54BFD" w:rsidR="005074AB" w:rsidRPr="009064BC" w:rsidRDefault="005074AB" w:rsidP="005074AB">
      <w:pPr>
        <w:numPr>
          <w:ilvl w:val="0"/>
          <w:numId w:val="8"/>
        </w:numPr>
        <w:ind w:left="1418" w:hanging="284"/>
        <w:contextualSpacing/>
        <w:jc w:val="both"/>
        <w:rPr>
          <w:rFonts w:cstheme="minorHAnsi"/>
        </w:rPr>
      </w:pPr>
      <w:r>
        <w:t>postojeće zgrade koje su u potpunosti obnovljene ili u kojima postoji karakteristična promjena uporabe, ako prelaze 1 000 m</w:t>
      </w:r>
      <w:r>
        <w:rPr>
          <w:vertAlign w:val="superscript"/>
        </w:rPr>
        <w:t>2</w:t>
      </w:r>
      <w:r>
        <w:t xml:space="preserve"> izgrađene površine.</w:t>
      </w:r>
    </w:p>
    <w:p w14:paraId="2BDE8293" w14:textId="74B0ACD8" w:rsidR="001B0467" w:rsidRPr="003934E5" w:rsidRDefault="00D76296" w:rsidP="001B0467">
      <w:pPr>
        <w:ind w:left="1134"/>
        <w:jc w:val="both"/>
        <w:rPr>
          <w:rFonts w:cstheme="minorHAnsi"/>
        </w:rPr>
      </w:pPr>
      <w:r>
        <w:t xml:space="preserve">Smatra se da izgrađena površina uključuje površinu parkirališta unutar zgrade i isključuje zajedničke vanjske prostore.” </w:t>
      </w:r>
    </w:p>
    <w:p w14:paraId="067F87BA" w14:textId="3B6D1449" w:rsidR="005074AB" w:rsidRPr="003934E5" w:rsidRDefault="001B0467" w:rsidP="001B0467">
      <w:pPr>
        <w:pStyle w:val="ListParagraph"/>
        <w:numPr>
          <w:ilvl w:val="0"/>
          <w:numId w:val="13"/>
        </w:numPr>
        <w:ind w:left="709" w:hanging="284"/>
        <w:contextualSpacing w:val="0"/>
        <w:jc w:val="both"/>
        <w:rPr>
          <w:rFonts w:cstheme="minorHAnsi"/>
        </w:rPr>
      </w:pPr>
      <w:r>
        <w:t>U odjeljku HE 5 „Minimalna proizvodnja električne energije”, prvi podstavak stavka 2. „Opis zahtjeva” glasi kako slijedi:</w:t>
      </w:r>
    </w:p>
    <w:p w14:paraId="477CF5F6" w14:textId="719B0DCE" w:rsidR="001B0467" w:rsidRPr="003934E5" w:rsidRDefault="003934E5" w:rsidP="003934E5">
      <w:pPr>
        <w:pStyle w:val="ListParagraph"/>
        <w:ind w:left="1134" w:hanging="425"/>
        <w:contextualSpacing w:val="0"/>
        <w:jc w:val="both"/>
        <w:rPr>
          <w:rFonts w:cstheme="minorHAnsi"/>
        </w:rPr>
      </w:pPr>
      <w:r>
        <w:t>„1.</w:t>
      </w:r>
      <w:r>
        <w:tab/>
        <w:t>Zgrade imaju sustave za proizvodnju električne energije iz obnovljivih izvora za vlastitu uporabu ili za opskrbu mreže.”</w:t>
      </w:r>
    </w:p>
    <w:p w14:paraId="6586AED4" w14:textId="66518836" w:rsidR="005074AB" w:rsidRPr="003934E5" w:rsidRDefault="005074AB" w:rsidP="00262992">
      <w:pPr>
        <w:pStyle w:val="ListParagraph"/>
        <w:numPr>
          <w:ilvl w:val="0"/>
          <w:numId w:val="13"/>
        </w:numPr>
        <w:ind w:left="709" w:hanging="283"/>
        <w:jc w:val="both"/>
        <w:rPr>
          <w:rFonts w:cstheme="minorHAnsi"/>
        </w:rPr>
      </w:pPr>
      <w:r>
        <w:t>U odjeljku HE 5 „Minimalna proizvodnja električne energije”, stavak 3. „Kvantifikacija zahtjeva” glasi kako slijedi:</w:t>
      </w:r>
    </w:p>
    <w:p w14:paraId="7AEDE70F" w14:textId="4971BFFF" w:rsidR="005074AB" w:rsidRPr="003934E5" w:rsidRDefault="005074AB" w:rsidP="00CC005A">
      <w:pPr>
        <w:spacing w:before="60"/>
        <w:ind w:left="1134" w:hanging="425"/>
        <w:jc w:val="both"/>
        <w:rPr>
          <w:rFonts w:eastAsia="Arial" w:cstheme="minorHAnsi"/>
          <w:kern w:val="2"/>
          <w:szCs w:val="24"/>
        </w:rPr>
      </w:pPr>
      <w:r>
        <w:t>„1.</w:t>
      </w:r>
      <w:r>
        <w:tab/>
        <w:t xml:space="preserve">Minimalna </w:t>
      </w:r>
      <w:r>
        <w:rPr>
          <w:i/>
        </w:rPr>
        <w:t>snaga za instalaciju</w:t>
      </w:r>
      <w:r>
        <w:t xml:space="preserve"> P</w:t>
      </w:r>
      <w:r>
        <w:rPr>
          <w:vertAlign w:val="subscript"/>
        </w:rPr>
        <w:t>min</w:t>
      </w:r>
      <w:r>
        <w:t xml:space="preserve"> je najniži rezultat dobiven iz sljedeće dvije jednadžbe: </w:t>
      </w:r>
    </w:p>
    <w:p w14:paraId="13C627CF" w14:textId="4FFC04B6" w:rsidR="005074AB" w:rsidRPr="003934E5" w:rsidRDefault="001E31F3" w:rsidP="005074AB">
      <w:pPr>
        <w:spacing w:before="60"/>
        <w:ind w:left="2127" w:hanging="993"/>
        <w:jc w:val="both"/>
        <w:rPr>
          <w:rFonts w:eastAsia="Arial" w:cstheme="minorHAnsi"/>
          <w:kern w:val="2"/>
          <w:szCs w:val="24"/>
        </w:rPr>
      </w:pPr>
      <w:r>
        <w:t>P</w:t>
      </w:r>
      <w:r>
        <w:rPr>
          <w:vertAlign w:val="subscript"/>
        </w:rPr>
        <w:t>1</w:t>
      </w:r>
      <w:r>
        <w:t xml:space="preserve"> = F</w:t>
      </w:r>
      <w:r>
        <w:rPr>
          <w:vertAlign w:val="subscript"/>
        </w:rPr>
        <w:t>pr;el</w:t>
      </w:r>
      <w:r>
        <w:t xml:space="preserve"> · S</w:t>
      </w:r>
    </w:p>
    <w:p w14:paraId="667B6FED" w14:textId="0FB9ED9C" w:rsidR="001E31F3" w:rsidRPr="008E713D" w:rsidRDefault="001E31F3" w:rsidP="005074AB">
      <w:pPr>
        <w:spacing w:before="60"/>
        <w:ind w:left="2127" w:hanging="993"/>
        <w:jc w:val="both"/>
        <w:rPr>
          <w:rFonts w:eastAsia="Arial" w:cstheme="minorHAnsi"/>
          <w:kern w:val="2"/>
          <w:szCs w:val="24"/>
        </w:rPr>
      </w:pPr>
      <w:r>
        <w:t>P</w:t>
      </w:r>
      <w:r>
        <w:rPr>
          <w:vertAlign w:val="subscript"/>
        </w:rPr>
        <w:t>2</w:t>
      </w:r>
      <w:r>
        <w:t xml:space="preserve"> = 0,1 · (0,5 · S</w:t>
      </w:r>
      <w:r>
        <w:rPr>
          <w:vertAlign w:val="subscript"/>
        </w:rPr>
        <w:t>c</w:t>
      </w:r>
      <w:r>
        <w:t xml:space="preserve"> - S</w:t>
      </w:r>
      <w:r>
        <w:rPr>
          <w:vertAlign w:val="subscript"/>
        </w:rPr>
        <w:t>oc</w:t>
      </w:r>
      <w:r>
        <w:t xml:space="preserve"> )</w:t>
      </w:r>
    </w:p>
    <w:p w14:paraId="33F1DF55" w14:textId="77777777" w:rsidR="005074AB" w:rsidRPr="00C249FB" w:rsidRDefault="005074AB" w:rsidP="005074AB">
      <w:pPr>
        <w:spacing w:before="60"/>
        <w:ind w:left="1134"/>
        <w:jc w:val="both"/>
        <w:rPr>
          <w:rFonts w:eastAsia="Arial" w:cstheme="minorHAnsi"/>
          <w:kern w:val="2"/>
          <w:szCs w:val="24"/>
        </w:rPr>
      </w:pPr>
      <w:r>
        <w:t>gdje je:</w:t>
      </w:r>
    </w:p>
    <w:p w14:paraId="61117D05" w14:textId="670BE156" w:rsidR="005074AB" w:rsidRDefault="005074AB" w:rsidP="005074AB">
      <w:pPr>
        <w:spacing w:before="60"/>
        <w:ind w:left="2126" w:hanging="567"/>
        <w:contextualSpacing/>
        <w:jc w:val="both"/>
        <w:rPr>
          <w:rFonts w:eastAsia="Arial" w:cstheme="minorHAnsi"/>
          <w:kern w:val="2"/>
          <w:szCs w:val="24"/>
        </w:rPr>
      </w:pPr>
      <w:r>
        <w:lastRenderedPageBreak/>
        <w:t>P</w:t>
      </w:r>
      <w:r>
        <w:rPr>
          <w:vertAlign w:val="subscript"/>
        </w:rPr>
        <w:t>min</w:t>
      </w:r>
      <w:r>
        <w:tab/>
      </w:r>
      <w:r>
        <w:rPr>
          <w:i/>
        </w:rPr>
        <w:t xml:space="preserve">snaga za instalaciju </w:t>
      </w:r>
      <w:r>
        <w:t>[kW];</w:t>
      </w:r>
    </w:p>
    <w:p w14:paraId="4DD09CC6" w14:textId="0B7C6032" w:rsidR="00D45636" w:rsidRPr="003934E5" w:rsidRDefault="00D45636" w:rsidP="005074AB">
      <w:pPr>
        <w:spacing w:before="60"/>
        <w:ind w:left="2126" w:hanging="567"/>
        <w:contextualSpacing/>
        <w:jc w:val="both"/>
        <w:rPr>
          <w:rFonts w:eastAsia="Arial" w:cstheme="minorHAnsi"/>
          <w:kern w:val="2"/>
          <w:szCs w:val="24"/>
        </w:rPr>
      </w:pPr>
      <w:r>
        <w:t>F</w:t>
      </w:r>
      <w:r>
        <w:rPr>
          <w:vertAlign w:val="subscript"/>
        </w:rPr>
        <w:t>pr;el</w:t>
      </w:r>
      <w:r>
        <w:tab/>
        <w:t>faktor proizvodnje energije, koji uzima vrijednost 0,005 za privatnu stambenu uporabu i 0,010 za druge namjene [kW/m</w:t>
      </w:r>
      <w:r>
        <w:rPr>
          <w:vertAlign w:val="superscript"/>
        </w:rPr>
        <w:t>2</w:t>
      </w:r>
      <w:r>
        <w:t>];</w:t>
      </w:r>
    </w:p>
    <w:p w14:paraId="76F60B0B" w14:textId="4CB9482B" w:rsidR="005074AB" w:rsidRPr="003934E5" w:rsidRDefault="005074AB" w:rsidP="005074AB">
      <w:pPr>
        <w:spacing w:before="60"/>
        <w:ind w:left="2126" w:hanging="567"/>
        <w:contextualSpacing/>
        <w:jc w:val="both"/>
        <w:rPr>
          <w:rFonts w:eastAsia="Arial" w:cstheme="minorHAnsi"/>
          <w:kern w:val="2"/>
          <w:szCs w:val="24"/>
        </w:rPr>
      </w:pPr>
      <w:r>
        <w:t>S</w:t>
      </w:r>
      <w:r>
        <w:tab/>
        <w:t>površina izgrađenog područja zgrade [m</w:t>
      </w:r>
      <w:r>
        <w:rPr>
          <w:vertAlign w:val="superscript"/>
        </w:rPr>
        <w:t>2</w:t>
      </w:r>
      <w:r>
        <w:t>];</w:t>
      </w:r>
    </w:p>
    <w:p w14:paraId="22E0EB96" w14:textId="1BEA5C90" w:rsidR="00262992" w:rsidRPr="003934E5" w:rsidRDefault="00262992" w:rsidP="00262992">
      <w:pPr>
        <w:spacing w:before="60"/>
        <w:ind w:left="2126" w:hanging="567"/>
        <w:contextualSpacing/>
        <w:jc w:val="both"/>
        <w:rPr>
          <w:rFonts w:cstheme="minorHAnsi"/>
        </w:rPr>
      </w:pPr>
      <w:r>
        <w:t>S</w:t>
      </w:r>
      <w:r>
        <w:rPr>
          <w:vertAlign w:val="subscript"/>
        </w:rPr>
        <w:t>c</w:t>
      </w:r>
      <w:r>
        <w:tab/>
        <w:t>površina neprometnog krova ili krova dostupnog samo za popravke [m</w:t>
      </w:r>
      <w:r>
        <w:rPr>
          <w:vertAlign w:val="superscript"/>
        </w:rPr>
        <w:t>2</w:t>
      </w:r>
      <w:r>
        <w:t>];</w:t>
      </w:r>
    </w:p>
    <w:p w14:paraId="3D939F32" w14:textId="65BA2EC5" w:rsidR="00A515D1" w:rsidRPr="009064BC" w:rsidRDefault="00262992" w:rsidP="00262992">
      <w:pPr>
        <w:spacing w:before="60"/>
        <w:ind w:left="2127" w:hanging="567"/>
        <w:jc w:val="both"/>
        <w:rPr>
          <w:rFonts w:eastAsia="Arial" w:cstheme="minorHAnsi"/>
          <w:kern w:val="2"/>
          <w:szCs w:val="24"/>
        </w:rPr>
      </w:pPr>
      <w:r>
        <w:t>S</w:t>
      </w:r>
      <w:r>
        <w:rPr>
          <w:vertAlign w:val="subscript"/>
        </w:rPr>
        <w:t>oc</w:t>
      </w:r>
      <w:r>
        <w:tab/>
        <w:t>površina neprometnog krova ili krova dostupnog samo za popravke na kojem se nalaze toplinski solarni kolektori [m</w:t>
      </w:r>
      <w:r>
        <w:rPr>
          <w:vertAlign w:val="superscript"/>
        </w:rPr>
        <w:t>2</w:t>
      </w:r>
      <w:r>
        <w:t>].</w:t>
      </w:r>
    </w:p>
    <w:p w14:paraId="539F8AB0" w14:textId="583A6FA1" w:rsidR="005074AB" w:rsidRPr="009064BC" w:rsidRDefault="007769F1" w:rsidP="00CC005A">
      <w:pPr>
        <w:ind w:left="1134" w:hanging="425"/>
        <w:jc w:val="both"/>
        <w:rPr>
          <w:rFonts w:eastAsia="Arial" w:cstheme="minorHAnsi"/>
          <w:kern w:val="2"/>
          <w:szCs w:val="24"/>
        </w:rPr>
      </w:pPr>
      <w:r>
        <w:t>2</w:t>
      </w:r>
      <w:r>
        <w:tab/>
        <w:t xml:space="preserve">U zgradama u kojima se, zbog urbanih ili arhitektonskih razloga ili zbog toga što su službeno zaštićene zgrade i kojima je tijelo koje dodjeljuje službenu zaštitu odredilo nepromjenjive elemente, ne može postići najmanja </w:t>
      </w:r>
      <w:r>
        <w:rPr>
          <w:i/>
        </w:rPr>
        <w:t>snaga za instalaciju</w:t>
      </w:r>
      <w:r>
        <w:t>, ta se nemogućnost opravdava analizom različitih alternativa i usvaja se rješenje koje doseže najveću moguću instaliranu snagu.”</w:t>
      </w:r>
    </w:p>
    <w:p w14:paraId="2A986A64" w14:textId="7E05FC12" w:rsidR="005074AB" w:rsidRPr="003934E5" w:rsidRDefault="005074AB" w:rsidP="009064BC">
      <w:pPr>
        <w:pStyle w:val="ListParagraph"/>
        <w:numPr>
          <w:ilvl w:val="0"/>
          <w:numId w:val="13"/>
        </w:numPr>
        <w:spacing w:before="60"/>
        <w:ind w:left="709" w:hanging="283"/>
        <w:jc w:val="both"/>
        <w:rPr>
          <w:rFonts w:eastAsia="Arial" w:cstheme="minorHAnsi"/>
          <w:kern w:val="2"/>
          <w:szCs w:val="24"/>
        </w:rPr>
      </w:pPr>
      <w:r>
        <w:t>U odjeljku HE 5 „Minimalna proizvodnja električne energije” u stavku 4. „Opravdanje zahtjeva” dodaje se sljedeće:</w:t>
      </w:r>
    </w:p>
    <w:p w14:paraId="1F522FCD" w14:textId="0464CEFA" w:rsidR="005074AB" w:rsidRPr="003934E5" w:rsidRDefault="00CC005A" w:rsidP="00982E58">
      <w:pPr>
        <w:ind w:left="1134" w:hanging="425"/>
        <w:jc w:val="both"/>
        <w:rPr>
          <w:rFonts w:cstheme="minorHAnsi"/>
        </w:rPr>
      </w:pPr>
      <w:r>
        <w:t>(c)</w:t>
      </w:r>
      <w:r>
        <w:tab/>
        <w:t xml:space="preserve">prema potrebi, razlozi koji sprečavaju postizanje najmanje potrebne </w:t>
      </w:r>
      <w:r>
        <w:rPr>
          <w:i/>
        </w:rPr>
        <w:t>snage za instalaciju</w:t>
      </w:r>
      <w:r>
        <w:t>, analiza alternativa i usvojeno rješenje kako bi se postigla najveća moguća instalirana snaga.”</w:t>
      </w:r>
    </w:p>
    <w:p w14:paraId="2F009607" w14:textId="478B8572" w:rsidR="005074AB" w:rsidRPr="003934E5" w:rsidRDefault="005074AB" w:rsidP="009064BC">
      <w:pPr>
        <w:pStyle w:val="ListParagraph"/>
        <w:numPr>
          <w:ilvl w:val="0"/>
          <w:numId w:val="13"/>
        </w:numPr>
        <w:ind w:left="709" w:hanging="283"/>
        <w:jc w:val="both"/>
        <w:rPr>
          <w:rFonts w:cstheme="minorHAnsi"/>
        </w:rPr>
      </w:pPr>
      <w:r>
        <w:t>U Prilog A „Terminologija” unose se sljedeće izmjene:</w:t>
      </w:r>
    </w:p>
    <w:p w14:paraId="44885A1E" w14:textId="0F9B0783" w:rsidR="005074AB" w:rsidRPr="009064BC" w:rsidRDefault="005074AB" w:rsidP="005074AB">
      <w:pPr>
        <w:ind w:left="709" w:hanging="142"/>
        <w:jc w:val="both"/>
        <w:rPr>
          <w:rFonts w:cstheme="minorHAnsi"/>
        </w:rPr>
      </w:pPr>
      <w:r>
        <w:t>— U definiciji pojma „Solarna kontrola (q</w:t>
      </w:r>
      <w:r>
        <w:rPr>
          <w:vertAlign w:val="subscript"/>
        </w:rPr>
        <w:t>sol;jul</w:t>
      </w:r>
      <w:r>
        <w:t>)” točka na kraju definicije komponente formule „H</w:t>
      </w:r>
      <w:r>
        <w:rPr>
          <w:vertAlign w:val="subscript"/>
        </w:rPr>
        <w:t>sol;jul</w:t>
      </w:r>
      <w:r>
        <w:t>” zamjenjuje se točkom sa zarezom, a definicija druge komponente formule dodaje se kako slijedi:</w:t>
      </w:r>
    </w:p>
    <w:p w14:paraId="3DF606FE" w14:textId="65F10CC5" w:rsidR="005074AB" w:rsidRPr="009064BC" w:rsidRDefault="005074AB" w:rsidP="00A5780E">
      <w:pPr>
        <w:ind w:left="709"/>
        <w:jc w:val="both"/>
        <w:rPr>
          <w:rFonts w:cstheme="minorHAnsi"/>
        </w:rPr>
      </w:pPr>
      <w:r>
        <w:t>„A</w:t>
      </w:r>
      <w:r>
        <w:rPr>
          <w:vertAlign w:val="subscript"/>
        </w:rPr>
        <w:t>util</w:t>
      </w:r>
      <w:r>
        <w:t>područje za koje se smatra da je u skladu sa stavkom 4.6. odjeljka HE 0.”</w:t>
      </w:r>
    </w:p>
    <w:p w14:paraId="22770CCD" w14:textId="56BB680A" w:rsidR="005074AB" w:rsidRPr="009064BC" w:rsidRDefault="005074AB" w:rsidP="005074AB">
      <w:pPr>
        <w:ind w:left="709" w:hanging="142"/>
        <w:jc w:val="both"/>
        <w:rPr>
          <w:rFonts w:cstheme="minorHAnsi"/>
        </w:rPr>
      </w:pPr>
      <w:r>
        <w:t>— U definiciji pojma „Konačna energija” tekst „Energija koju potrošači kupuju u obliku električne energije, goriva ili drugih goriva koja se izravno upotrebljavaju” zamjenjuje se tekstom „Energija koja se isporučuje sustavima zgrade za pružanje usluga. Ta se opskrba obično pruža putem goriva, proizvodnje na licu mjesta ili posebnih mreža (električna energija, plin, grijanje ili hlađenje, itd.)”.</w:t>
      </w:r>
    </w:p>
    <w:p w14:paraId="4C32D5BC" w14:textId="77777777" w:rsidR="005074AB" w:rsidRPr="009064BC" w:rsidRDefault="005074AB" w:rsidP="005074AB">
      <w:pPr>
        <w:ind w:left="709" w:hanging="142"/>
        <w:jc w:val="both"/>
        <w:rPr>
          <w:rFonts w:cstheme="minorHAnsi"/>
        </w:rPr>
      </w:pPr>
      <w:r>
        <w:t>— U definiciji pojma „Toplinska propusnost (U)” na kraju definicije dodaje se sljedeća rečenica:</w:t>
      </w:r>
    </w:p>
    <w:p w14:paraId="553E6F27" w14:textId="77777777" w:rsidR="005074AB" w:rsidRPr="009064BC" w:rsidRDefault="005074AB" w:rsidP="00A5780E">
      <w:pPr>
        <w:ind w:left="709"/>
        <w:jc w:val="both"/>
        <w:rPr>
          <w:rFonts w:cstheme="minorHAnsi"/>
        </w:rPr>
      </w:pPr>
      <w:r>
        <w:t>„Izraženo u W/m</w:t>
      </w:r>
      <w:r>
        <w:rPr>
          <w:vertAlign w:val="superscript"/>
        </w:rPr>
        <w:t>2</w:t>
      </w:r>
      <w:r>
        <w:t>K.”</w:t>
      </w:r>
    </w:p>
    <w:p w14:paraId="573B0D8C" w14:textId="4E8B3B75" w:rsidR="005074AB" w:rsidRPr="009064BC" w:rsidRDefault="005074AB" w:rsidP="009064BC">
      <w:pPr>
        <w:pStyle w:val="ListParagraph"/>
        <w:numPr>
          <w:ilvl w:val="0"/>
          <w:numId w:val="13"/>
        </w:numPr>
        <w:ind w:left="709" w:hanging="283"/>
        <w:jc w:val="both"/>
        <w:rPr>
          <w:rFonts w:cstheme="minorHAnsi"/>
        </w:rPr>
      </w:pPr>
      <w:r>
        <w:t>Sljedeći pojmovi uključeni su u Prilog A „Terminologija”:</w:t>
      </w:r>
    </w:p>
    <w:p w14:paraId="0F83A0A9" w14:textId="31436021" w:rsidR="005074AB" w:rsidRPr="003934E5" w:rsidRDefault="005074AB" w:rsidP="00CC005A">
      <w:pPr>
        <w:spacing w:before="200" w:after="120" w:line="240" w:lineRule="auto"/>
        <w:ind w:left="709"/>
        <w:jc w:val="both"/>
        <w:rPr>
          <w:rFonts w:eastAsia="Arial" w:cstheme="minorHAnsi"/>
          <w:kern w:val="2"/>
          <w:szCs w:val="24"/>
        </w:rPr>
      </w:pPr>
      <w:r>
        <w:t>„</w:t>
      </w:r>
      <w:r>
        <w:rPr>
          <w:b/>
          <w:i/>
        </w:rPr>
        <w:t>Pomoćna oprema</w:t>
      </w:r>
      <w:r>
        <w:t>: električna ili elektronička oprema povezana s rasvjetom, različita za svaki tip</w:t>
      </w:r>
      <w:r>
        <w:rPr>
          <w:i/>
        </w:rPr>
        <w:t xml:space="preserve"> rasvjete</w:t>
      </w:r>
      <w:r>
        <w:t>, čija je funkcija paljenje i kontrola radnih uvjeta. Ova pomoćna oprema, osim ako je elektronička, nastaje kombinacijom startera, predspojnog uređaja i kondenzatora.</w:t>
      </w:r>
    </w:p>
    <w:p w14:paraId="47B71CFB" w14:textId="447664D0" w:rsidR="005074AB" w:rsidRPr="00431D05" w:rsidRDefault="00547307" w:rsidP="00CC005A">
      <w:pPr>
        <w:spacing w:before="200" w:after="100" w:line="240" w:lineRule="auto"/>
        <w:ind w:left="709"/>
        <w:jc w:val="both"/>
        <w:rPr>
          <w:rFonts w:eastAsia="Arial" w:cstheme="minorHAnsi"/>
          <w:bCs/>
          <w:iCs/>
          <w:kern w:val="2"/>
        </w:rPr>
      </w:pPr>
      <w:r>
        <w:t>„</w:t>
      </w:r>
      <w:r>
        <w:rPr>
          <w:b/>
          <w:i/>
        </w:rPr>
        <w:t>Stanica za punjenje</w:t>
      </w:r>
      <w:r>
        <w:t xml:space="preserve">: skup elemenata potrebnih za spajanje </w:t>
      </w:r>
      <w:r>
        <w:rPr>
          <w:i/>
        </w:rPr>
        <w:t>električnog vozila</w:t>
      </w:r>
      <w:r>
        <w:t xml:space="preserve"> na fiksnu električnu instalaciju za punjenje. </w:t>
      </w:r>
      <w:r>
        <w:rPr>
          <w:i/>
        </w:rPr>
        <w:t>Stanice za punjenje</w:t>
      </w:r>
      <w:r>
        <w:t xml:space="preserve"> klasificirane su kao:</w:t>
      </w:r>
    </w:p>
    <w:p w14:paraId="56DF9BC1" w14:textId="77777777" w:rsidR="005074AB" w:rsidRPr="00431D05" w:rsidRDefault="005074AB" w:rsidP="005074AB">
      <w:pPr>
        <w:spacing w:before="200" w:after="100" w:line="240" w:lineRule="auto"/>
        <w:ind w:left="1418" w:hanging="284"/>
        <w:jc w:val="both"/>
        <w:rPr>
          <w:rFonts w:eastAsia="Arial" w:cstheme="minorHAnsi"/>
          <w:bCs/>
          <w:iCs/>
          <w:kern w:val="2"/>
        </w:rPr>
      </w:pPr>
      <w:r>
        <w:lastRenderedPageBreak/>
        <w:t>1.</w:t>
      </w:r>
      <w:r>
        <w:tab/>
        <w:t xml:space="preserve">Jedno mjesto za punjenje, koje se sastoji od potrebnih zaštita, jedne ili više utičnica koje nisu specifične za </w:t>
      </w:r>
      <w:r>
        <w:rPr>
          <w:i/>
        </w:rPr>
        <w:t>električno vozilo</w:t>
      </w:r>
      <w:r>
        <w:t xml:space="preserve"> i, ako je primjenjivo, ovojnice.</w:t>
      </w:r>
    </w:p>
    <w:p w14:paraId="5B671B65" w14:textId="3FFFFEF0" w:rsidR="005074AB" w:rsidRPr="00431D05" w:rsidRDefault="005074AB" w:rsidP="005074AB">
      <w:pPr>
        <w:spacing w:before="200" w:after="100" w:line="240" w:lineRule="auto"/>
        <w:ind w:left="1418" w:hanging="284"/>
        <w:jc w:val="both"/>
        <w:rPr>
          <w:rFonts w:eastAsia="Arial" w:cstheme="minorHAnsi"/>
          <w:b/>
          <w:bCs/>
          <w:i/>
          <w:iCs/>
          <w:kern w:val="2"/>
        </w:rPr>
      </w:pPr>
      <w:r>
        <w:t>2.</w:t>
      </w:r>
      <w:r>
        <w:tab/>
        <w:t xml:space="preserve">Mjesto za punjenje tipa SAVE </w:t>
      </w:r>
      <w:r>
        <w:rPr>
          <w:i/>
        </w:rPr>
        <w:t>(Poseban sustav napajanja električnih vozila)</w:t>
      </w:r>
      <w:r>
        <w:t>.”</w:t>
      </w:r>
    </w:p>
    <w:p w14:paraId="1D92DB31" w14:textId="44506109" w:rsidR="005074AB" w:rsidRPr="003934E5" w:rsidRDefault="00547307" w:rsidP="00CC005A">
      <w:pPr>
        <w:spacing w:before="200" w:after="100" w:line="240" w:lineRule="auto"/>
        <w:ind w:left="709"/>
        <w:jc w:val="both"/>
        <w:rPr>
          <w:rFonts w:eastAsia="Arial" w:cstheme="minorHAnsi"/>
          <w:kern w:val="2"/>
        </w:rPr>
      </w:pPr>
      <w:r>
        <w:t>„</w:t>
      </w:r>
      <w:r>
        <w:rPr>
          <w:b/>
          <w:i/>
        </w:rPr>
        <w:t>Infrastruktura za punjenje električnih vozila:</w:t>
      </w:r>
      <w:r>
        <w:t xml:space="preserve"> skup fizičkih i logičkih uređaja namijenjenih za punjenje </w:t>
      </w:r>
      <w:r>
        <w:rPr>
          <w:i/>
        </w:rPr>
        <w:t>električnih vozila</w:t>
      </w:r>
      <w:r>
        <w:t xml:space="preserve"> koji ispunjavaju zahtjeve u pogledu sigurnosti i dostupnosti koji su predviđeni za svaki pojedini slučaj u Elektrotehničkom propisu za niski napon, koji mogu pružati potpunu i sveobuhvatnu uslugu punjenja. Uključuje </w:t>
      </w:r>
      <w:r>
        <w:rPr>
          <w:i/>
        </w:rPr>
        <w:t>stanice za punjenje</w:t>
      </w:r>
      <w:r>
        <w:t>, upravljački sustav, električne vodove, električne upravljačke i zaštitne ploče i mjernu opremu, namijenjene isključivo za punjenje električnih vozila.”</w:t>
      </w:r>
    </w:p>
    <w:p w14:paraId="5C699291" w14:textId="5BE34863" w:rsidR="005074AB" w:rsidRPr="003934E5" w:rsidRDefault="00547307" w:rsidP="00547307">
      <w:pPr>
        <w:spacing w:before="200" w:after="100" w:line="240" w:lineRule="auto"/>
        <w:ind w:left="709"/>
        <w:jc w:val="both"/>
        <w:rPr>
          <w:rFonts w:eastAsia="Arial" w:cstheme="minorHAnsi"/>
          <w:kern w:val="2"/>
        </w:rPr>
      </w:pPr>
      <w:r>
        <w:t>„</w:t>
      </w:r>
      <w:r>
        <w:rPr>
          <w:b/>
          <w:i/>
        </w:rPr>
        <w:t>Poseban sustav napajanja električnih vozila (SAVE)</w:t>
      </w:r>
      <w:r>
        <w:t xml:space="preserve">: sklop opreme sastavljen za napajanje električnom energijom za punjenje </w:t>
      </w:r>
      <w:r>
        <w:rPr>
          <w:i/>
        </w:rPr>
        <w:t>električnog vozila</w:t>
      </w:r>
      <w:r>
        <w:t xml:space="preserve"> uključujući zaštitu stanice za punjenje, priključnog kabela (s faznim, neutralnim i zaštitnim vodičima) baze ili priključka utičnice i, ako je primjenjivo, pretvarača izmjenične i istosmjerne struje. Taj sustav, prema potrebi, omogućuje komunikaciju između </w:t>
      </w:r>
      <w:r>
        <w:rPr>
          <w:i/>
        </w:rPr>
        <w:t>električnog vozila</w:t>
      </w:r>
      <w:r>
        <w:t xml:space="preserve"> i fiksne instalacije.”</w:t>
      </w:r>
    </w:p>
    <w:p w14:paraId="5928BE95" w14:textId="4E74D790" w:rsidR="005074AB" w:rsidRPr="003934E5" w:rsidRDefault="00547307" w:rsidP="00CC005A">
      <w:pPr>
        <w:spacing w:before="200" w:after="100" w:line="240" w:lineRule="auto"/>
        <w:ind w:left="709"/>
        <w:jc w:val="both"/>
        <w:rPr>
          <w:rFonts w:eastAsia="Arial" w:cstheme="minorHAnsi"/>
          <w:strike/>
          <w:kern w:val="2"/>
        </w:rPr>
      </w:pPr>
      <w:r>
        <w:t>„</w:t>
      </w:r>
      <w:r>
        <w:rPr>
          <w:b/>
          <w:i/>
        </w:rPr>
        <w:t>Privatna stambena namjena</w:t>
      </w:r>
      <w:r>
        <w:t>: Zgrada ili površina namijenjena stalnom boravištu, bez obzira na vrstu zgrade: samostojeća kuća, stambena zgrada itd., i za javni i privatni razvoj.”</w:t>
      </w:r>
    </w:p>
    <w:p w14:paraId="0B244847" w14:textId="4B38DAFA" w:rsidR="005074AB" w:rsidRDefault="00547307" w:rsidP="00CC005A">
      <w:pPr>
        <w:spacing w:before="200" w:after="100" w:line="240" w:lineRule="auto"/>
        <w:ind w:left="709"/>
        <w:jc w:val="both"/>
        <w:rPr>
          <w:rFonts w:eastAsia="Arial" w:cstheme="minorHAnsi"/>
          <w:kern w:val="2"/>
          <w:szCs w:val="24"/>
        </w:rPr>
      </w:pPr>
      <w:r>
        <w:t>„</w:t>
      </w:r>
      <w:r>
        <w:rPr>
          <w:b/>
          <w:i/>
        </w:rPr>
        <w:t>Električno vozilo</w:t>
      </w:r>
      <w:r>
        <w:t>: motorno vozilo opremljeno pogonskom skupinom s najmanje jednim neperifernim električnim mehanizmom koji radi kao pretvarač energije i opremljeno sustavom za pohranu električne energije s mogućnošću ponovnog punjenja, koji se može napuniti izvana.”</w:t>
      </w:r>
    </w:p>
    <w:p w14:paraId="5F3597CA" w14:textId="51707A46" w:rsidR="0026457E" w:rsidRPr="0026457E" w:rsidRDefault="0026457E" w:rsidP="0026457E">
      <w:pPr>
        <w:pStyle w:val="ListParagraph"/>
        <w:numPr>
          <w:ilvl w:val="0"/>
          <w:numId w:val="13"/>
        </w:numPr>
        <w:spacing w:before="200" w:after="100" w:line="240" w:lineRule="auto"/>
        <w:ind w:left="641" w:hanging="357"/>
        <w:contextualSpacing w:val="0"/>
        <w:jc w:val="both"/>
        <w:rPr>
          <w:rFonts w:eastAsia="Arial" w:cstheme="minorHAnsi"/>
          <w:kern w:val="2"/>
          <w:szCs w:val="24"/>
        </w:rPr>
      </w:pPr>
      <w:r>
        <w:t>U Prilogu D podstavku 4. tekst „Priznati dokument” zamjenjuje se tekstom „Priznati dokument energetskog certifikata za zgrade”.</w:t>
      </w:r>
    </w:p>
    <w:p w14:paraId="5FD4478D" w14:textId="2E4A3E9F" w:rsidR="00033600" w:rsidRPr="00033600" w:rsidRDefault="00033600" w:rsidP="0026457E">
      <w:pPr>
        <w:pStyle w:val="ListParagraph"/>
        <w:numPr>
          <w:ilvl w:val="0"/>
          <w:numId w:val="13"/>
        </w:numPr>
        <w:spacing w:before="200" w:after="100" w:line="240" w:lineRule="auto"/>
        <w:ind w:left="641" w:hanging="357"/>
        <w:contextualSpacing w:val="0"/>
        <w:jc w:val="both"/>
        <w:rPr>
          <w:rFonts w:eastAsia="Arial" w:cstheme="minorHAnsi"/>
          <w:kern w:val="2"/>
        </w:rPr>
      </w:pPr>
      <w:r>
        <w:t>U Prilogu H Određivanje propusnosti zraka kod zgrada, nakon naslova odjeljka, tekst „Određivanje propusnosti zraka kod zgrada mora se provesti jednom od sljedećih metoda.” i u stavku 1. Određivanje ispitivanjem, tekst „Vrijednost omjera promjene zraka na 50 Pa, n50, može se dobiti ispitivanjem prema metodi B norme UNE-EN 13829:2002 Određivanje propusnosti zraka kod zgrada. Metoda regulacije tlaka pomoću ventilatora.” zamjenjuje se sljedećim: „Vrijednost omjera promjene zraka pri 50 Pa, n50 dobiva se ispitivanjem primjenom metode 1 ili 2 norme UNE-EN ISO 9972: 2019. Toplinske značajke zgrada. Određivanje propusnosti zraka kod zgrada. Metoda razlike tlakova.”.</w:t>
      </w:r>
    </w:p>
    <w:p w14:paraId="153946FB" w14:textId="274D0F0F" w:rsidR="001E0B70" w:rsidRPr="003934E5" w:rsidRDefault="001E0B70" w:rsidP="005074AB">
      <w:pPr>
        <w:ind w:left="13"/>
        <w:jc w:val="both"/>
        <w:rPr>
          <w:rFonts w:cstheme="minorHAnsi"/>
        </w:rPr>
      </w:pPr>
      <w:r>
        <w:t>Tri.</w:t>
      </w:r>
      <w:r>
        <w:rPr>
          <w:b/>
        </w:rPr>
        <w:t xml:space="preserve"> </w:t>
      </w:r>
      <w:r>
        <w:t xml:space="preserve">U osnovni dokument DB-SUA „Sigurnost u uporabi i dostupnost”, koji je uključen u dio II. Tehničkog propisa o gradnji, uvode se sljedeće izmjene: </w:t>
      </w:r>
    </w:p>
    <w:p w14:paraId="05134A28" w14:textId="08B7B404" w:rsidR="00A5780E" w:rsidRDefault="001E0B70" w:rsidP="00D722CA">
      <w:pPr>
        <w:ind w:left="13"/>
        <w:jc w:val="both"/>
        <w:rPr>
          <w:rFonts w:cstheme="minorHAnsi"/>
        </w:rPr>
      </w:pPr>
      <w:r>
        <w:t>U odjeljku SUA 9 „Pristupačnost” u Prilogu A „Terminologija”, definicija „Dostupnog parkirnog mjesta” sada uključuje crticu s tekstom:</w:t>
      </w:r>
    </w:p>
    <w:p w14:paraId="791B9B63" w14:textId="2AEB4586" w:rsidR="00D722CA" w:rsidRPr="009064BC" w:rsidRDefault="0078611E" w:rsidP="0078611E">
      <w:pPr>
        <w:ind w:left="709"/>
        <w:jc w:val="both"/>
        <w:rPr>
          <w:rFonts w:cstheme="minorHAnsi"/>
        </w:rPr>
      </w:pPr>
      <w:r>
        <w:t>„– U slučaju da dostupno parkirno mjesto ima stanicu za punjenje električnih vozila, plan dostupnosti također obuhvaća i ovu stanicu za punjenje. Izlazi za napajanje i priključci tih stanica za punjenje kromatski su u suprotnosti s okolinom, postavljeni na visini između 80 i 120 cm, a udaljenost od kutova mora biti najmanje 35 cm.”</w:t>
      </w:r>
    </w:p>
    <w:p w14:paraId="09F57FB9" w14:textId="78225EA3" w:rsidR="005074AB" w:rsidRPr="009064BC" w:rsidRDefault="00DF5914" w:rsidP="005074AB">
      <w:pPr>
        <w:ind w:left="13"/>
        <w:jc w:val="both"/>
        <w:rPr>
          <w:rFonts w:cstheme="minorHAnsi"/>
        </w:rPr>
      </w:pPr>
      <w:r>
        <w:lastRenderedPageBreak/>
        <w:t>Četiri. U osnovni dokument DB-HS „Zdravstvena ispravnost”, koji je uključen u dio II. Tehničkog propisa o gradnji, uvodi se sljedeća izmjena:</w:t>
      </w:r>
    </w:p>
    <w:p w14:paraId="6B818CBA" w14:textId="77777777" w:rsidR="002E7342" w:rsidRDefault="005074AB" w:rsidP="002E7342">
      <w:pPr>
        <w:pStyle w:val="ListParagraph"/>
        <w:numPr>
          <w:ilvl w:val="0"/>
          <w:numId w:val="22"/>
        </w:numPr>
        <w:jc w:val="both"/>
        <w:rPr>
          <w:rFonts w:cstheme="minorHAnsi"/>
        </w:rPr>
      </w:pPr>
      <w:r>
        <w:t>U odjeljku HS 4 „Opskrba vodom” u stavku 3.2.2.1. pod točkom 2. rečenica „minimalni doprinos solarne energije za proizvodnju tople vode u kućanstvu” zamjenjuje se rečenicom „minimalni doprinos obnovljive energije za pokrivanje potražnje za toplom vodom u kućanstvu”.</w:t>
      </w:r>
    </w:p>
    <w:p w14:paraId="49ACE665" w14:textId="4B95E48B" w:rsidR="005074AB" w:rsidRPr="003934E5" w:rsidRDefault="002F25C7" w:rsidP="009064BC">
      <w:pPr>
        <w:jc w:val="both"/>
        <w:rPr>
          <w:rFonts w:eastAsia="Arial" w:cstheme="minorHAnsi"/>
          <w:kern w:val="2"/>
        </w:rPr>
      </w:pPr>
      <w:r>
        <w:t>Pet. Izvršeni su sljedeći ispravci uočenih pogrešaka i tiskarskih grešaka u osnovnom dokumentu DB-HE „Ušteda energije” iz dijela II. Tehničkog propisa o gradnji:</w:t>
      </w:r>
    </w:p>
    <w:p w14:paraId="67BFDFA6" w14:textId="6609A07E" w:rsidR="00D612CE" w:rsidRPr="007F1589" w:rsidRDefault="002A5A94" w:rsidP="00D612CE">
      <w:pPr>
        <w:numPr>
          <w:ilvl w:val="0"/>
          <w:numId w:val="15"/>
        </w:numPr>
        <w:spacing w:before="200" w:after="100" w:line="240" w:lineRule="auto"/>
        <w:jc w:val="both"/>
        <w:rPr>
          <w:rFonts w:eastAsia="Arial" w:cstheme="minorHAnsi"/>
          <w:kern w:val="2"/>
        </w:rPr>
      </w:pPr>
      <w:r>
        <w:t>U odjeljku HE 0, stavku 1. Područje primjene, podstavak 1., gdje glasi: „...ako ukupna proširena korisna površina prelazi 50 m</w:t>
      </w:r>
      <w:r>
        <w:rPr>
          <w:vertAlign w:val="superscript"/>
        </w:rPr>
        <w:t>2</w:t>
      </w:r>
      <w:r>
        <w:t>;”, trebalo bi glasiti „...ako proširena korisna površina prelazi 50 m</w:t>
      </w:r>
      <w:r>
        <w:rPr>
          <w:vertAlign w:val="superscript"/>
        </w:rPr>
        <w:t>2</w:t>
      </w:r>
      <w:r>
        <w:t>;”.</w:t>
      </w:r>
    </w:p>
    <w:p w14:paraId="1C45277B" w14:textId="4D7F13E0" w:rsidR="007F1589" w:rsidRDefault="00033444" w:rsidP="00D612CE">
      <w:pPr>
        <w:numPr>
          <w:ilvl w:val="0"/>
          <w:numId w:val="15"/>
        </w:numPr>
        <w:spacing w:before="200" w:after="100" w:line="240" w:lineRule="auto"/>
        <w:jc w:val="both"/>
        <w:rPr>
          <w:rFonts w:eastAsia="Arial" w:cstheme="minorHAnsi"/>
          <w:kern w:val="2"/>
        </w:rPr>
      </w:pPr>
      <w:r>
        <w:t>U odjeljku HE 0, stavku 3. Kvantifikacija zahtjeva, podstavak 3.1. Potrošnja neobnovljive primarne energije, točka 2., gdje glasi: „... C</w:t>
      </w:r>
      <w:r>
        <w:rPr>
          <w:vertAlign w:val="subscript"/>
        </w:rPr>
        <w:t>ep'nren,lim</w:t>
      </w:r>
      <w:r>
        <w:t>...„, trebalo bi glasiti „... C</w:t>
      </w:r>
      <w:r>
        <w:rPr>
          <w:vertAlign w:val="subscript"/>
        </w:rPr>
        <w:t>ep,nren,lim</w:t>
      </w:r>
      <w:r>
        <w:t>...”.</w:t>
      </w:r>
    </w:p>
    <w:p w14:paraId="154CDFEF" w14:textId="5322C794" w:rsidR="00E87B89" w:rsidRPr="00C40409" w:rsidRDefault="00E87B89" w:rsidP="00E87B89">
      <w:pPr>
        <w:numPr>
          <w:ilvl w:val="0"/>
          <w:numId w:val="15"/>
        </w:numPr>
        <w:spacing w:before="200" w:after="100" w:line="240" w:lineRule="auto"/>
        <w:jc w:val="both"/>
        <w:rPr>
          <w:rFonts w:eastAsia="Arial" w:cstheme="minorHAnsi"/>
          <w:kern w:val="2"/>
        </w:rPr>
      </w:pPr>
      <w:r>
        <w:t>U odjeljku HE 0, stavku 3. Kvantifikacija zahtjeva, podstavak 3.2. Ukupna potrošnja primarne energije, točka 1., gdje glasi: “... C</w:t>
      </w:r>
      <w:r>
        <w:rPr>
          <w:vertAlign w:val="subscript"/>
        </w:rPr>
        <w:t>ep'tot</w:t>
      </w:r>
      <w:r>
        <w:t>...”, trebalo bi glasiti: „... C</w:t>
      </w:r>
      <w:r>
        <w:rPr>
          <w:vertAlign w:val="subscript"/>
        </w:rPr>
        <w:t>ep,tot</w:t>
      </w:r>
      <w:r>
        <w:t>...”.</w:t>
      </w:r>
    </w:p>
    <w:p w14:paraId="090F812B" w14:textId="4B3E0C74" w:rsidR="005074AB" w:rsidRPr="00E87B89" w:rsidRDefault="00033444" w:rsidP="005074AB">
      <w:pPr>
        <w:numPr>
          <w:ilvl w:val="0"/>
          <w:numId w:val="15"/>
        </w:numPr>
        <w:spacing w:before="200" w:after="100" w:line="240" w:lineRule="auto"/>
        <w:jc w:val="both"/>
        <w:rPr>
          <w:rFonts w:eastAsia="Arial" w:cstheme="minorHAnsi"/>
          <w:kern w:val="2"/>
        </w:rPr>
      </w:pPr>
      <w:r>
        <w:t>U odjeljku HE 0, stavku 3. Kvantifikacija zahtjeva, podstavak 3.2. Ukupna potrošnja primarne energije, točka 2., gdje glasi: „... C</w:t>
      </w:r>
      <w:r>
        <w:rPr>
          <w:vertAlign w:val="subscript"/>
        </w:rPr>
        <w:t>ep,tot</w:t>
      </w:r>
      <w:r>
        <w:t>...”, trebalo bi glasiti: „... C</w:t>
      </w:r>
      <w:r>
        <w:rPr>
          <w:vertAlign w:val="subscript"/>
        </w:rPr>
        <w:t>ep,tot</w:t>
      </w:r>
      <w:r>
        <w:t>...”.</w:t>
      </w:r>
    </w:p>
    <w:p w14:paraId="3E0C5510" w14:textId="77777777" w:rsidR="00E87B89" w:rsidRPr="00E87B89" w:rsidRDefault="00E87B89" w:rsidP="00E87B89">
      <w:pPr>
        <w:numPr>
          <w:ilvl w:val="0"/>
          <w:numId w:val="15"/>
        </w:numPr>
        <w:spacing w:before="200" w:after="100" w:line="240" w:lineRule="auto"/>
        <w:jc w:val="both"/>
        <w:rPr>
          <w:rFonts w:eastAsia="Arial" w:cstheme="minorHAnsi"/>
          <w:kern w:val="2"/>
        </w:rPr>
      </w:pPr>
      <w:r>
        <w:t>U odjeljku HE 0, tablice 3.1.a-HE0 i 3.2.a-HE0 u kurzivu imaju izraz „</w:t>
      </w:r>
      <w:r>
        <w:rPr>
          <w:i/>
        </w:rPr>
        <w:t>privatna stambena uporaba</w:t>
      </w:r>
      <w:r>
        <w:t>”. U stavku 3.1. Potrošnja neobnovljive primarne energije, podstavku 2., i stavku 3.2. Ukupna potrošnja primarne energije, podstavku 2., izraz „</w:t>
      </w:r>
      <w:r>
        <w:rPr>
          <w:i/>
        </w:rPr>
        <w:t>privatna stambena uporaba</w:t>
      </w:r>
      <w:r>
        <w:t>” treba biti u kurzivu.</w:t>
      </w:r>
    </w:p>
    <w:p w14:paraId="7A281569" w14:textId="77777777" w:rsidR="00E87B89" w:rsidRPr="00E87B89" w:rsidRDefault="00E87B89" w:rsidP="00E87B89">
      <w:pPr>
        <w:numPr>
          <w:ilvl w:val="0"/>
          <w:numId w:val="15"/>
        </w:numPr>
        <w:spacing w:before="200" w:after="100" w:line="240" w:lineRule="auto"/>
        <w:jc w:val="both"/>
        <w:rPr>
          <w:rFonts w:eastAsia="Arial" w:cstheme="minorHAnsi"/>
          <w:kern w:val="2"/>
        </w:rPr>
      </w:pPr>
      <w:r>
        <w:t>U odjeljku HE 0, stavku 4.3. Zahtjevi i radni uvjeti za unutrašnjost, postavku 2., izraz „</w:t>
      </w:r>
      <w:r>
        <w:rPr>
          <w:i/>
        </w:rPr>
        <w:t>privatna stambena uporaba</w:t>
      </w:r>
      <w:r>
        <w:t>” treba biti u kurzivu.</w:t>
      </w:r>
    </w:p>
    <w:p w14:paraId="26708F84" w14:textId="52569E21" w:rsidR="00E87B89" w:rsidRPr="00E87B89" w:rsidRDefault="00E87B89" w:rsidP="00E87B89">
      <w:pPr>
        <w:numPr>
          <w:ilvl w:val="0"/>
          <w:numId w:val="15"/>
        </w:numPr>
        <w:spacing w:before="200" w:after="100" w:line="240" w:lineRule="auto"/>
        <w:jc w:val="both"/>
        <w:rPr>
          <w:rFonts w:eastAsia="Arial" w:cstheme="minorHAnsi"/>
          <w:kern w:val="2"/>
        </w:rPr>
      </w:pPr>
      <w:r>
        <w:t>U odjeljku HE 0, stavku 4.5. Referentni sustavi u privatnoj stambenoj uporabi, izraz „</w:t>
      </w:r>
      <w:r>
        <w:rPr>
          <w:i/>
        </w:rPr>
        <w:t>privatna stambena namjena</w:t>
      </w:r>
      <w:r>
        <w:t>” treba biti u kurzivu i u naslovu i u podstavku 1.</w:t>
      </w:r>
    </w:p>
    <w:p w14:paraId="1F72D64C" w14:textId="6874C4DE" w:rsidR="00C40409" w:rsidRDefault="00C40409" w:rsidP="00A06D23">
      <w:pPr>
        <w:pStyle w:val="ListParagraph"/>
        <w:numPr>
          <w:ilvl w:val="0"/>
          <w:numId w:val="15"/>
        </w:numPr>
        <w:contextualSpacing w:val="0"/>
        <w:jc w:val="both"/>
        <w:rPr>
          <w:rFonts w:eastAsia="Arial" w:cstheme="minorHAnsi"/>
          <w:kern w:val="2"/>
        </w:rPr>
      </w:pPr>
      <w:r>
        <w:t>U odjeljku HE 1, stavku 3. Kvantifikacija zahtjeva, podstavku 3.11. Propuštanje topline kroz oplatu, izraz „kompaktnost” u tablicama 3.1.1.b-HE1 i 3.1.1.c-HE1, treba biti u kurzivu.</w:t>
      </w:r>
    </w:p>
    <w:p w14:paraId="25EC06BF" w14:textId="5171D538" w:rsidR="00861802" w:rsidRDefault="009A285F" w:rsidP="00861802">
      <w:pPr>
        <w:pStyle w:val="ListParagraph"/>
        <w:numPr>
          <w:ilvl w:val="0"/>
          <w:numId w:val="15"/>
        </w:numPr>
        <w:contextualSpacing w:val="0"/>
        <w:jc w:val="both"/>
        <w:rPr>
          <w:rFonts w:eastAsia="Arial" w:cstheme="minorHAnsi"/>
          <w:kern w:val="2"/>
        </w:rPr>
      </w:pPr>
      <w:r>
        <w:t>U odjeljku HE 1, stavku 3. Kvantifikacija zahtjeva, podstavku 3.11. Propuštanje topline kroz oplatu, izraz „kompaktnost” u bilješkama tablice u tablicama 3.1.1.b-HE1 i 3.1.1.c-HE1 i izraz „kompaktnost” u bilješci uz tablicu 3.1.1.c-HE1 treba biti u kurzivu.</w:t>
      </w:r>
    </w:p>
    <w:p w14:paraId="170DB451" w14:textId="250D994A" w:rsidR="00AB7DDB" w:rsidRDefault="00AB7DDB" w:rsidP="00861802">
      <w:pPr>
        <w:pStyle w:val="ListParagraph"/>
        <w:numPr>
          <w:ilvl w:val="0"/>
          <w:numId w:val="15"/>
        </w:numPr>
        <w:contextualSpacing w:val="0"/>
        <w:jc w:val="both"/>
        <w:rPr>
          <w:rFonts w:eastAsia="Arial" w:cstheme="minorHAnsi"/>
          <w:kern w:val="2"/>
        </w:rPr>
      </w:pPr>
      <w:r>
        <w:t>U odjeljku HE 1, stavku 3. Kvantifikacija zahtjeva, pododjeljku 3.1.1. Propuštanje topline kroz oplatu, točki 3., izraz „</w:t>
      </w:r>
      <w:r>
        <w:rPr>
          <w:i/>
        </w:rPr>
        <w:t>privatna stambena uporaba</w:t>
      </w:r>
      <w:r>
        <w:t>” treba biti u kurzivu i u točki 3. i u tablici 3.1.1.b-HE1.</w:t>
      </w:r>
    </w:p>
    <w:p w14:paraId="2D388CBC" w14:textId="0E99E67B" w:rsidR="00D3439E" w:rsidRPr="00D3439E" w:rsidRDefault="00D3439E" w:rsidP="00D3439E">
      <w:pPr>
        <w:pStyle w:val="ListParagraph"/>
        <w:numPr>
          <w:ilvl w:val="0"/>
          <w:numId w:val="15"/>
        </w:numPr>
        <w:contextualSpacing w:val="0"/>
        <w:jc w:val="both"/>
        <w:rPr>
          <w:rFonts w:eastAsia="Arial" w:cstheme="minorHAnsi"/>
          <w:kern w:val="2"/>
        </w:rPr>
      </w:pPr>
      <w:r>
        <w:t>U odjeljku HE 1, stavku 3. Kvantifikacija zahtjeva, pododjeljku 3.1.1. Propuštanje topline kroz oplatu, izraz „oplata” u tablici 3.1.1.c-HE1, treba biti u kurzivu.</w:t>
      </w:r>
    </w:p>
    <w:p w14:paraId="73A3DBC7" w14:textId="3265FAE2" w:rsidR="00840E76" w:rsidRDefault="009A285F" w:rsidP="00C06D5A">
      <w:pPr>
        <w:pStyle w:val="ListParagraph"/>
        <w:numPr>
          <w:ilvl w:val="0"/>
          <w:numId w:val="15"/>
        </w:numPr>
        <w:ind w:left="714" w:hanging="357"/>
        <w:contextualSpacing w:val="0"/>
        <w:jc w:val="both"/>
        <w:rPr>
          <w:rFonts w:eastAsia="Arial" w:cstheme="minorHAnsi"/>
          <w:kern w:val="2"/>
        </w:rPr>
      </w:pPr>
      <w:r>
        <w:t>U odjeljku HE 1, stavku 3. Kvantifikacija zahtjeva, podstavku 3.1.2. Solarna kontrola oplate, gdje se navodi: „Tablica 3.1.2-HE1 Granična vrijednost solarnog kontrolnog parametra qsol;jul,lim [KWh/m</w:t>
      </w:r>
      <w:r>
        <w:rPr>
          <w:vertAlign w:val="superscript"/>
        </w:rPr>
        <w:t>2</w:t>
      </w:r>
      <w:r>
        <w:t xml:space="preserve">·mes]”, trebalo bi glasiti „sun; jul,lim” kao indeks: </w:t>
      </w:r>
      <w:r>
        <w:lastRenderedPageBreak/>
        <w:t>„Tablica 3.1.2-HE1 Granična vrijednost solarnog kontrolnog parametra q</w:t>
      </w:r>
      <w:r>
        <w:rPr>
          <w:vertAlign w:val="subscript"/>
        </w:rPr>
        <w:t>sol;jul,lim</w:t>
      </w:r>
      <w:r>
        <w:t xml:space="preserve"> [KWh/m</w:t>
      </w:r>
      <w:r>
        <w:rPr>
          <w:vertAlign w:val="superscript"/>
        </w:rPr>
        <w:t>2</w:t>
      </w:r>
      <w:r>
        <w:t>·mes]”.</w:t>
      </w:r>
    </w:p>
    <w:p w14:paraId="0D568F6A" w14:textId="54EC4798" w:rsidR="00080851" w:rsidRDefault="00080851" w:rsidP="00080851">
      <w:pPr>
        <w:pStyle w:val="ListParagraph"/>
        <w:numPr>
          <w:ilvl w:val="0"/>
          <w:numId w:val="15"/>
        </w:numPr>
        <w:contextualSpacing w:val="0"/>
        <w:jc w:val="both"/>
        <w:rPr>
          <w:rFonts w:eastAsia="Arial" w:cstheme="minorHAnsi"/>
          <w:kern w:val="2"/>
        </w:rPr>
      </w:pPr>
      <w:r>
        <w:t>U odjeljku HE 1, stavku 3. Kvantifikacija zahtjeva, podstavku 3.1.3. Zračna propusnost oplate, izraz „oplata” treba biti u kurzivu.</w:t>
      </w:r>
    </w:p>
    <w:p w14:paraId="6C69F09F" w14:textId="174D853F" w:rsidR="00C06D5A" w:rsidRDefault="003E1EAB" w:rsidP="003F6E54">
      <w:pPr>
        <w:pStyle w:val="ListParagraph"/>
        <w:numPr>
          <w:ilvl w:val="0"/>
          <w:numId w:val="15"/>
        </w:numPr>
        <w:contextualSpacing w:val="0"/>
        <w:jc w:val="both"/>
        <w:rPr>
          <w:rFonts w:eastAsia="Arial" w:cstheme="minorHAnsi"/>
          <w:kern w:val="2"/>
        </w:rPr>
      </w:pPr>
      <w:r>
        <w:t>U odjeljku HE 1, stavku 3. Kvantifikacija zahtjeva, podstavku 3.1.3. Zračna propusnost oplate, izraz „kompaktnost” u tablici 3.1.3.b-HE1, izraz „kompaktnost” u podnožju tablice 3.1.3.b-HE1 i izraz „privatna stambena uporaba” u podstavku 3., trebaju biti u kurzivu.</w:t>
      </w:r>
    </w:p>
    <w:p w14:paraId="6B53827F" w14:textId="3E4A46B4" w:rsidR="001C0414" w:rsidRPr="001C0414" w:rsidRDefault="003E1EAB" w:rsidP="003F6E54">
      <w:pPr>
        <w:pStyle w:val="ListParagraph"/>
        <w:numPr>
          <w:ilvl w:val="0"/>
          <w:numId w:val="15"/>
        </w:numPr>
        <w:contextualSpacing w:val="0"/>
        <w:jc w:val="both"/>
        <w:rPr>
          <w:rFonts w:eastAsia="Arial" w:cstheme="minorHAnsi"/>
          <w:kern w:val="2"/>
        </w:rPr>
      </w:pPr>
      <w:r>
        <w:t>U odjeljku HE 1, stavku 4. Opravdanje zahtjeva, izraz „kompaktnost” u podstavku 4.1. točki (b) i izraz „privatna stambena uporaba” u podstavku 4.1. točki (g) trebaju biti u kurzivu.</w:t>
      </w:r>
    </w:p>
    <w:p w14:paraId="32DB053F" w14:textId="46389233" w:rsidR="005074AB" w:rsidRPr="003934E5" w:rsidRDefault="005074AB" w:rsidP="005074AB">
      <w:pPr>
        <w:numPr>
          <w:ilvl w:val="0"/>
          <w:numId w:val="15"/>
        </w:numPr>
        <w:spacing w:before="200" w:after="100" w:line="240" w:lineRule="auto"/>
        <w:jc w:val="both"/>
        <w:rPr>
          <w:rFonts w:eastAsia="Arial" w:cstheme="minorHAnsi"/>
          <w:kern w:val="2"/>
        </w:rPr>
      </w:pPr>
      <w:r>
        <w:t>U odjeljku HE 4, stavku 3. Kvalifikacija zahtjeva, podstavku 3.1. Minimalni doprinos obnovljivih izvora energije za PTV-a i/ili grijanje bazena, točka 4., u kojoj se navodi: „...više od 2,5 kad se aktiviraju električno i više od 1,15 kada se aktiviraju toplinskom energijom...” trebalo bi glasiti „... jednako ili više od 2,5 kada se aktiviraju električno i jednako ili više od 1,15 kada se aktiviraju toplinskom energijom...”.</w:t>
      </w:r>
    </w:p>
    <w:p w14:paraId="17650553" w14:textId="65DABA62" w:rsidR="005074AB" w:rsidRPr="003934E5" w:rsidRDefault="003E1EAB" w:rsidP="005074AB">
      <w:pPr>
        <w:numPr>
          <w:ilvl w:val="0"/>
          <w:numId w:val="15"/>
        </w:numPr>
        <w:spacing w:before="200" w:after="100" w:line="240" w:lineRule="auto"/>
        <w:jc w:val="both"/>
        <w:rPr>
          <w:rFonts w:eastAsia="Arial" w:cstheme="minorHAnsi"/>
          <w:kern w:val="2"/>
        </w:rPr>
      </w:pPr>
      <w:r>
        <w:t>U odjeljku HE 4, stavku 3. Kvalifikacija zahtjeva, podstavku 3.1. Minimalni doprinos obnovljivih izvora energije za PTV-a i/ili grijanje bazena, podstavku 5., gdje se navodi: „... stambene zgrade...” trebalo bi glasiti „... zgrade za privatne stambene namjene...”</w:t>
      </w:r>
    </w:p>
    <w:p w14:paraId="198A06EA" w14:textId="307304FC" w:rsidR="005074AB" w:rsidRPr="009064BC" w:rsidRDefault="003E1EAB" w:rsidP="00547307">
      <w:pPr>
        <w:numPr>
          <w:ilvl w:val="0"/>
          <w:numId w:val="15"/>
        </w:numPr>
        <w:ind w:left="714" w:hanging="357"/>
        <w:jc w:val="both"/>
        <w:rPr>
          <w:rFonts w:cstheme="minorHAnsi"/>
        </w:rPr>
      </w:pPr>
      <w:r>
        <w:t xml:space="preserve">U odjeljku HE 4, prije stavka „5.1. „Izvršenje” umeće se sljedeće: „5. Izgradnja, održavanje i popravci” kao naslov. </w:t>
      </w:r>
    </w:p>
    <w:p w14:paraId="5F37F69A" w14:textId="6CD803CA" w:rsidR="005074AB" w:rsidRPr="00840E76" w:rsidRDefault="005074AB" w:rsidP="00547307">
      <w:pPr>
        <w:numPr>
          <w:ilvl w:val="0"/>
          <w:numId w:val="15"/>
        </w:numPr>
        <w:spacing w:before="200" w:after="100" w:line="240" w:lineRule="auto"/>
        <w:ind w:left="714" w:hanging="357"/>
        <w:jc w:val="both"/>
        <w:rPr>
          <w:rFonts w:eastAsia="Arial" w:cstheme="minorHAnsi"/>
          <w:kern w:val="2"/>
        </w:rPr>
      </w:pPr>
      <w:r>
        <w:t>Na stranici 140553., Priloga A Terminologija, u definiciji „Ukupnog koeficijenta prijenosa topline (putem oplate zgrade) (K)”, gdje glasi: „... K = X Hx/int...” trebalo bi glasiti „x”, „x” i „int” kao indeks: „... K = Σ</w:t>
      </w:r>
      <w:r>
        <w:rPr>
          <w:vertAlign w:val="subscript"/>
        </w:rPr>
        <w:t>x</w:t>
      </w:r>
      <w:r>
        <w:t xml:space="preserve"> H</w:t>
      </w:r>
      <w:r>
        <w:rPr>
          <w:vertAlign w:val="subscript"/>
        </w:rPr>
        <w:t>x</w:t>
      </w:r>
      <w:r>
        <w:t xml:space="preserve"> / A</w:t>
      </w:r>
      <w:r>
        <w:rPr>
          <w:vertAlign w:val="subscript"/>
        </w:rPr>
        <w:t>int</w:t>
      </w:r>
      <w:r>
        <w:t>...”.</w:t>
      </w:r>
    </w:p>
    <w:p w14:paraId="36164C8D" w14:textId="457C8028" w:rsidR="00840E76" w:rsidRDefault="003E1EAB" w:rsidP="00840E76">
      <w:pPr>
        <w:numPr>
          <w:ilvl w:val="0"/>
          <w:numId w:val="15"/>
        </w:numPr>
        <w:spacing w:before="200" w:after="100" w:line="240" w:lineRule="auto"/>
        <w:jc w:val="both"/>
        <w:rPr>
          <w:rFonts w:eastAsia="Arial" w:cstheme="minorHAnsi"/>
          <w:kern w:val="2"/>
        </w:rPr>
      </w:pPr>
      <w:r>
        <w:t>U Prilogu A Terminologija, u definiciji „kompaktnosti”, izraz „kompaktnost” u drugom stavku treba biti u kurzivu.</w:t>
      </w:r>
    </w:p>
    <w:p w14:paraId="544D530D" w14:textId="09FE0403" w:rsidR="003F6E54" w:rsidRPr="003934E5" w:rsidRDefault="003F6E54" w:rsidP="003F6E54">
      <w:pPr>
        <w:numPr>
          <w:ilvl w:val="0"/>
          <w:numId w:val="15"/>
        </w:numPr>
        <w:spacing w:before="200" w:after="100" w:line="240" w:lineRule="auto"/>
        <w:jc w:val="both"/>
        <w:rPr>
          <w:rFonts w:eastAsia="Arial" w:cstheme="minorHAnsi"/>
          <w:kern w:val="2"/>
        </w:rPr>
      </w:pPr>
      <w:r>
        <w:t>U Prilogu A Terminologija, u definiciji „operativni uvjeti”, izraz „privatna stambena namjena” treba biti u kurzivu.</w:t>
      </w:r>
    </w:p>
    <w:p w14:paraId="00FC699C" w14:textId="7DE692E3" w:rsidR="005074AB" w:rsidRPr="003934E5" w:rsidRDefault="003E1EAB" w:rsidP="005074AB">
      <w:pPr>
        <w:numPr>
          <w:ilvl w:val="0"/>
          <w:numId w:val="15"/>
        </w:numPr>
        <w:spacing w:before="200" w:after="100" w:line="240" w:lineRule="auto"/>
        <w:jc w:val="both"/>
        <w:rPr>
          <w:rFonts w:eastAsia="Arial" w:cstheme="minorHAnsi"/>
          <w:kern w:val="2"/>
        </w:rPr>
      </w:pPr>
      <w:r>
        <w:t>U Prilogu A Terminologija, u definiciji „potrošnja neobnovljive primarne energije”, gdje glasi: „... Potrošnja neobnovljive primarne energije...” trebalo bi glasiti „ep, nren” u indeks: „... Potrošnja neobnovljive primarne energije (C</w:t>
      </w:r>
      <w:r>
        <w:rPr>
          <w:vertAlign w:val="subscript"/>
        </w:rPr>
        <w:t>ep,nren</w:t>
      </w:r>
      <w:r>
        <w:t>)...”.</w:t>
      </w:r>
    </w:p>
    <w:p w14:paraId="6E6C3C38" w14:textId="5B03794E" w:rsidR="005074AB" w:rsidRPr="003934E5" w:rsidRDefault="003E1EAB" w:rsidP="005074AB">
      <w:pPr>
        <w:numPr>
          <w:ilvl w:val="0"/>
          <w:numId w:val="15"/>
        </w:numPr>
        <w:spacing w:before="200" w:after="100" w:line="240" w:lineRule="auto"/>
        <w:jc w:val="both"/>
        <w:rPr>
          <w:rFonts w:eastAsia="Arial" w:cstheme="minorHAnsi"/>
          <w:kern w:val="2"/>
        </w:rPr>
      </w:pPr>
      <w:r>
        <w:t>U Prilogu A Terminologija, u definiciji „Ukupna potrošnja primarne energije”, gdje glasi: „... Ukupna potrošnja primarne energije...” trebalo bi glasiti „ep,tot” u indeks: „... Ukupna potrošnja primarne energije (C</w:t>
      </w:r>
      <w:r>
        <w:rPr>
          <w:vertAlign w:val="subscript"/>
        </w:rPr>
        <w:t>ep,tot</w:t>
      </w:r>
      <w:r>
        <w:t>)...”.</w:t>
      </w:r>
    </w:p>
    <w:p w14:paraId="7D78A910" w14:textId="4F934047" w:rsidR="00171BC6" w:rsidRPr="003F6E54" w:rsidRDefault="003E1EAB" w:rsidP="00FB3F17">
      <w:pPr>
        <w:numPr>
          <w:ilvl w:val="0"/>
          <w:numId w:val="15"/>
        </w:numPr>
        <w:spacing w:before="200" w:after="100" w:line="240" w:lineRule="auto"/>
        <w:jc w:val="both"/>
        <w:rPr>
          <w:rFonts w:eastAsia="Arial" w:cstheme="minorHAnsi"/>
          <w:kern w:val="2"/>
        </w:rPr>
      </w:pPr>
      <w:r>
        <w:t>U Prilogu A Terminologija, u definiciji „solarne kontrole (q</w:t>
      </w:r>
      <w:r>
        <w:rPr>
          <w:vertAlign w:val="subscript"/>
        </w:rPr>
        <w:t>sol;ju</w:t>
      </w:r>
      <w:r>
        <w:t>)”, gdje glasi: „... korisna površina prostora...” treba glasiti: „... korisna površina stambenih prostora...”.</w:t>
      </w:r>
    </w:p>
    <w:p w14:paraId="5F15C0C7" w14:textId="0371978A" w:rsidR="003F6E54" w:rsidRDefault="003F6E54" w:rsidP="003F6E54">
      <w:pPr>
        <w:numPr>
          <w:ilvl w:val="0"/>
          <w:numId w:val="15"/>
        </w:numPr>
        <w:spacing w:before="200" w:after="100" w:line="240" w:lineRule="auto"/>
        <w:jc w:val="both"/>
        <w:rPr>
          <w:rFonts w:eastAsia="Arial" w:cstheme="minorHAnsi"/>
          <w:kern w:val="2"/>
        </w:rPr>
      </w:pPr>
      <w:r>
        <w:t>U Prilogu A Terminologija, u definiciji „klimatizirani stambeni prostor”, izraz „privatna stambena namjena” treba biti u kurzivu.</w:t>
      </w:r>
    </w:p>
    <w:p w14:paraId="37CF326B" w14:textId="7A62E78A" w:rsidR="003F6E54" w:rsidRDefault="003F6E54" w:rsidP="003F6E54">
      <w:pPr>
        <w:numPr>
          <w:ilvl w:val="0"/>
          <w:numId w:val="15"/>
        </w:numPr>
        <w:spacing w:before="200" w:after="100" w:line="240" w:lineRule="auto"/>
        <w:jc w:val="both"/>
        <w:rPr>
          <w:rFonts w:eastAsia="Arial" w:cstheme="minorHAnsi"/>
          <w:kern w:val="2"/>
        </w:rPr>
      </w:pPr>
      <w:r>
        <w:lastRenderedPageBreak/>
        <w:t>U Prilogu A Terminologija, u definiciji „prestanak uporabe”, izraz „privatna stambena namjena” u drugom podstavku trebao bi biti u kurzivu.</w:t>
      </w:r>
    </w:p>
    <w:p w14:paraId="3F599B22" w14:textId="2380EDD2" w:rsidR="003F6E54" w:rsidRDefault="003F6E54" w:rsidP="003F6E54">
      <w:pPr>
        <w:numPr>
          <w:ilvl w:val="0"/>
          <w:numId w:val="15"/>
        </w:numPr>
        <w:spacing w:before="200" w:after="100" w:line="240" w:lineRule="auto"/>
        <w:jc w:val="both"/>
        <w:rPr>
          <w:rFonts w:eastAsia="Arial" w:cstheme="minorHAnsi"/>
          <w:kern w:val="2"/>
        </w:rPr>
      </w:pPr>
      <w:r>
        <w:t>U Prilogu A Terminologija, u definiciji „Vrijednost energetske učinkovitosti instalacije (VEEI)” izraz „privatna stambena namjena” treba biti u kurzivu.</w:t>
      </w:r>
    </w:p>
    <w:p w14:paraId="24304584" w14:textId="5B24531B" w:rsidR="003F6E54" w:rsidRPr="00840E76" w:rsidRDefault="003F6E54" w:rsidP="003F6E54">
      <w:pPr>
        <w:numPr>
          <w:ilvl w:val="0"/>
          <w:numId w:val="15"/>
        </w:numPr>
        <w:spacing w:before="200" w:after="100" w:line="240" w:lineRule="auto"/>
        <w:jc w:val="both"/>
        <w:rPr>
          <w:rFonts w:eastAsia="Arial" w:cstheme="minorHAnsi"/>
          <w:kern w:val="2"/>
        </w:rPr>
      </w:pPr>
      <w:r>
        <w:t>U Prilogu C Razmatranja za definiciju oplate izraz „oplata” u naslovu treba biti u kurzivu.</w:t>
      </w:r>
    </w:p>
    <w:p w14:paraId="6DC93123" w14:textId="1B19CD34" w:rsidR="00840E76" w:rsidRDefault="003E1EAB" w:rsidP="007075D9">
      <w:pPr>
        <w:numPr>
          <w:ilvl w:val="0"/>
          <w:numId w:val="15"/>
        </w:numPr>
        <w:spacing w:before="200" w:after="100" w:line="240" w:lineRule="auto"/>
        <w:jc w:val="both"/>
        <w:rPr>
          <w:rFonts w:eastAsia="Arial" w:cstheme="minorHAnsi"/>
          <w:kern w:val="2"/>
        </w:rPr>
      </w:pPr>
      <w:r>
        <w:t>U Prilogu D Radni uvjeti i profili uporabe, izrazi „Radni uvjeti” i „Profili uporabe”, u naslovu, u podstavku 2. i tablicama Tablica A-Prilog D, Tablica b-Prilog D i Tablica c-Prilog D trebaju biti u kurzivu.</w:t>
      </w:r>
    </w:p>
    <w:p w14:paraId="47E1F5F1" w14:textId="3014A77D" w:rsidR="007075D9" w:rsidRDefault="007075D9" w:rsidP="007075D9">
      <w:pPr>
        <w:numPr>
          <w:ilvl w:val="0"/>
          <w:numId w:val="15"/>
        </w:numPr>
        <w:spacing w:before="200" w:after="100" w:line="240" w:lineRule="auto"/>
        <w:jc w:val="both"/>
        <w:rPr>
          <w:rFonts w:eastAsia="Arial" w:cstheme="minorHAnsi"/>
          <w:kern w:val="2"/>
        </w:rPr>
      </w:pPr>
      <w:r>
        <w:t>U Prilogu E Indikativne vrijednosti propuštanja, izraz „privatna stambena namjena” u stavku 1. treba biti u kurzivu.</w:t>
      </w:r>
    </w:p>
    <w:p w14:paraId="236A2713" w14:textId="24851D32" w:rsidR="007075D9" w:rsidRDefault="007075D9" w:rsidP="007075D9">
      <w:pPr>
        <w:numPr>
          <w:ilvl w:val="0"/>
          <w:numId w:val="15"/>
        </w:numPr>
        <w:spacing w:before="200" w:after="100" w:line="240" w:lineRule="auto"/>
        <w:jc w:val="both"/>
        <w:rPr>
          <w:rFonts w:eastAsia="Arial" w:cstheme="minorHAnsi"/>
          <w:kern w:val="2"/>
        </w:rPr>
      </w:pPr>
      <w:r>
        <w:t>U Prilogu F Referentna potražnja za PTV-om izraz „privatna stambena namjena” treba biti u kurzivu i u stavku 1. i u Tablici a-Prilog F.</w:t>
      </w:r>
    </w:p>
    <w:p w14:paraId="799F7AD6" w14:textId="746A1CEA" w:rsidR="005074AB" w:rsidRPr="007075D9" w:rsidRDefault="003E1EAB" w:rsidP="00847CB0">
      <w:pPr>
        <w:numPr>
          <w:ilvl w:val="0"/>
          <w:numId w:val="15"/>
        </w:numPr>
        <w:spacing w:before="200" w:after="100" w:line="240" w:lineRule="auto"/>
        <w:jc w:val="both"/>
        <w:rPr>
          <w:rFonts w:eastAsia="Arial" w:cstheme="minorHAnsi"/>
          <w:kern w:val="2"/>
        </w:rPr>
      </w:pPr>
      <w:r>
        <w:t>U Prilogu H Određivanje propusnosti zraka kod zgrada, u stavku 2. Određivanje referentnim vrijednostima, gdje glasi: „... 2. Vrijednost omjera promjene zraka na 50 Pa, n50 može se izračunati iz sljedeće jednadžbe:” treba glasiti: „... 1. Vrijednost omjera promjene zraka pri 50 Pa, n50 referentnim vrijednostima dobiva se iz sljedeće jednadžbe:”, gdje glasi: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 treba glasiti: „n</w:t>
      </w:r>
      <w:r>
        <w:rPr>
          <w:vertAlign w:val="subscript"/>
        </w:rPr>
        <w:t>50</w:t>
      </w:r>
      <w:r>
        <w:t xml:space="preserve"> = 0,629 · (C</w:t>
      </w:r>
      <w:r>
        <w:rPr>
          <w:vertAlign w:val="subscript"/>
        </w:rPr>
        <w:t>o</w:t>
      </w:r>
      <w:r>
        <w:t xml:space="preserve"> · A</w:t>
      </w:r>
      <w:r>
        <w:rPr>
          <w:vertAlign w:val="subscript"/>
        </w:rPr>
        <w:t>o</w:t>
      </w:r>
      <w:r>
        <w:t xml:space="preserve"> + C</w:t>
      </w:r>
      <w:r>
        <w:rPr>
          <w:vertAlign w:val="subscript"/>
        </w:rPr>
        <w:t>h</w:t>
      </w:r>
      <w:r>
        <w:t xml:space="preserve"> · A</w:t>
      </w:r>
      <w:r>
        <w:rPr>
          <w:vertAlign w:val="subscript"/>
        </w:rPr>
        <w:t>h</w:t>
      </w:r>
      <w:r>
        <w:t>) / V</w:t>
      </w:r>
      <w:r>
        <w:rPr>
          <w:vertAlign w:val="subscript"/>
        </w:rPr>
        <w:t>in</w:t>
      </w:r>
      <w:r>
        <w:t>”, gdje glasi: „V je unutarnji volumen oplate, u [m</w:t>
      </w:r>
      <w:r>
        <w:rPr>
          <w:vertAlign w:val="superscript"/>
        </w:rPr>
        <w:t>3</w:t>
      </w:r>
      <w:r>
        <w:t>]” treba glasiti: „V</w:t>
      </w:r>
      <w:r>
        <w:rPr>
          <w:vertAlign w:val="subscript"/>
        </w:rPr>
        <w:t>int</w:t>
      </w:r>
      <w:r>
        <w:t xml:space="preserve"> je unutarnji volumen zraka </w:t>
      </w:r>
      <w:r>
        <w:rPr>
          <w:i/>
        </w:rPr>
        <w:t>oplate</w:t>
      </w:r>
      <w:r>
        <w:t>, u [m</w:t>
      </w:r>
      <w:r>
        <w:rPr>
          <w:vertAlign w:val="superscript"/>
        </w:rPr>
        <w:t>3</w:t>
      </w:r>
      <w:r>
        <w:t>]”, i gdje glasi: „A</w:t>
      </w:r>
      <w:r>
        <w:rPr>
          <w:vertAlign w:val="subscript"/>
        </w:rPr>
        <w:t>o</w:t>
      </w:r>
      <w:r>
        <w:t xml:space="preserve"> je površina neprozirnog dijela oplate, u [m</w:t>
      </w:r>
      <w:r>
        <w:rPr>
          <w:vertAlign w:val="superscript"/>
        </w:rPr>
        <w:t>2</w:t>
      </w:r>
      <w:r>
        <w:t>]” treba glasiti: „A</w:t>
      </w:r>
      <w:r>
        <w:rPr>
          <w:vertAlign w:val="subscript"/>
        </w:rPr>
        <w:t>o</w:t>
      </w:r>
      <w:r>
        <w:t xml:space="preserve"> je površina neprozirnog dijela </w:t>
      </w:r>
      <w:r>
        <w:rPr>
          <w:i/>
        </w:rPr>
        <w:t>oplate</w:t>
      </w:r>
      <w:r>
        <w:t xml:space="preserve"> u dodiru s vanjskim zrakom na [m</w:t>
      </w:r>
      <w:r>
        <w:rPr>
          <w:vertAlign w:val="superscript"/>
        </w:rPr>
        <w:t>2</w:t>
      </w:r>
      <w:r>
        <w:t>]”.</w:t>
      </w:r>
    </w:p>
    <w:p w14:paraId="25E43F9C" w14:textId="79111767" w:rsidR="007075D9" w:rsidRPr="003934E5" w:rsidRDefault="007075D9" w:rsidP="007075D9">
      <w:pPr>
        <w:numPr>
          <w:ilvl w:val="0"/>
          <w:numId w:val="15"/>
        </w:numPr>
        <w:spacing w:before="200" w:after="100" w:line="240" w:lineRule="auto"/>
        <w:jc w:val="both"/>
        <w:rPr>
          <w:rFonts w:eastAsia="Arial" w:cstheme="minorHAnsi"/>
          <w:kern w:val="2"/>
        </w:rPr>
      </w:pPr>
      <w:r>
        <w:t>U Prilogu H Određivanje propusnosti zraka kod zgrada izraz „oplata” trebao bi biti u kurzivu u opisu pojmova V</w:t>
      </w:r>
      <w:r>
        <w:rPr>
          <w:vertAlign w:val="subscript"/>
        </w:rPr>
        <w:t>int</w:t>
      </w:r>
      <w:r>
        <w:t>, C</w:t>
      </w:r>
      <w:r>
        <w:rPr>
          <w:vertAlign w:val="subscript"/>
        </w:rPr>
        <w:t>o</w:t>
      </w:r>
      <w:r>
        <w:t>, C</w:t>
      </w:r>
      <w:r>
        <w:rPr>
          <w:vertAlign w:val="subscript"/>
        </w:rPr>
        <w:t>h</w:t>
      </w:r>
      <w:r>
        <w:t>, A</w:t>
      </w:r>
      <w:r>
        <w:rPr>
          <w:vertAlign w:val="subscript"/>
        </w:rPr>
        <w:t>h</w:t>
      </w:r>
      <w:r>
        <w:t xml:space="preserve"> i u Tablici a-Prilog H</w:t>
      </w:r>
    </w:p>
    <w:p w14:paraId="7A548AE7" w14:textId="77777777" w:rsidR="0024794E" w:rsidRDefault="002F25C7" w:rsidP="0024794E">
      <w:pPr>
        <w:spacing w:before="200" w:after="100" w:line="240" w:lineRule="auto"/>
        <w:jc w:val="both"/>
        <w:rPr>
          <w:rFonts w:eastAsia="Arial" w:cstheme="minorHAnsi"/>
          <w:kern w:val="2"/>
          <w:szCs w:val="24"/>
        </w:rPr>
      </w:pPr>
      <w:r>
        <w:t xml:space="preserve">Šest. Ispravci uočenih pogrešaka i tiskarskih grešaka su kako slijedi: Osnovni dokument DB-HS „Zdravstvena ispravnost” uključen u dio II. Tehničkog propisa o gradnji: </w:t>
      </w:r>
    </w:p>
    <w:p w14:paraId="169CA6E1" w14:textId="77777777"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U odjeljku HS 4 „Dovod vode” u podstavku 6.2. točka „(e) cijevi od polivinil klorida klorirane (PVC-C) u skladu s UNE-EN ISO 15874-1:2013, UNE-EN ISO 15874-2:2013 i UNE-EN ISO 15874-3:2013;” zamjenjuje se točkom „(e) cijevi polikloriranih vinil klorida (PVC-C) u skladu s UNE-EN ISO 15877-1:2009 (+UNE-EN ISO 15877-1:2009/A1): 2011.), UNE-EN ISO 15877-2:2009 (+UNE-EN ISO 15877-2:2009/A1: 2011.) i UNE-EN ISO 15877-3:2009 (+UNE-EN ISO 15877-3:2009/A1: 2011.);”.</w:t>
      </w:r>
    </w:p>
    <w:p w14:paraId="3C70C58A" w14:textId="2B44818E"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U odjeljku HS 4 „Dovod vode” u stavku 6.2. točka „(h) polibutilen cijevi (PB) u skladu s UNE-EN ISO 15876-1:2017, UNE-EN ISO 15876-2:2017 i UNE-EN ISO 15876-3:2017;” zamjenjuje se točkom „(h) polibutilen cijevi (PB) u skladu s UNE-EN ISO 15876-1:2017, UNE-EN ISO 15876-2:2017 i UNE-EN ISO 15876-3:2017;”.</w:t>
      </w:r>
    </w:p>
    <w:p w14:paraId="48BF6FE7" w14:textId="7ED2365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U Dodatku C. Referentne norme, gdje glasi: „Plastični cijevni sustavi za instalacije s toplom i hladnom vodom. Polibutilen (PB). 1. dio: Općenito” treba glasiti: „Plastični cijevni sustavi za instalacije s toplom i hladnom vodom. Polibuten (PB). 1. dio: Općenito</w:t>
      </w:r>
    </w:p>
    <w:p w14:paraId="35A52A28" w14:textId="2205E891"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t>U Dodatku C. Referentne norme, gdje glasi: „Plastični cijevni sustavi za instalacije s toplom i hladnom vodom. Polibutilen (PB). 2. dio: Cijevi” treba glasiti: „Plastični cijevni sustavi za instalacije s toplom i hladnom vodom. Polibuten (PB). 2. dio: Cijevi.</w:t>
      </w:r>
    </w:p>
    <w:p w14:paraId="31E52182" w14:textId="7D5C8545" w:rsidR="0024794E" w:rsidRPr="0024794E" w:rsidRDefault="0024794E" w:rsidP="0024794E">
      <w:pPr>
        <w:pStyle w:val="ListParagraph"/>
        <w:numPr>
          <w:ilvl w:val="0"/>
          <w:numId w:val="26"/>
        </w:numPr>
        <w:spacing w:before="200" w:after="100" w:line="240" w:lineRule="auto"/>
        <w:jc w:val="both"/>
        <w:rPr>
          <w:rFonts w:eastAsia="Arial" w:cstheme="minorHAnsi"/>
          <w:kern w:val="2"/>
          <w:szCs w:val="24"/>
        </w:rPr>
      </w:pPr>
      <w:r>
        <w:lastRenderedPageBreak/>
        <w:t>U Dodatku C. Referentne norme, gdje glasi: „Plastični cijevni sustavi za instalacije s toplom i hladnom vodom. Polibutilen (PB). 3. dio: Priključci” treba glasiti: „Plastični cijevni sustavi za instalacije s toplom i hladnom vodom. Polibuten (PB). 3. dio: Priključci.</w:t>
      </w:r>
    </w:p>
    <w:p w14:paraId="7B4F5591" w14:textId="1AFCAEDB" w:rsidR="00AB00C9" w:rsidRPr="0024794E" w:rsidRDefault="0024794E" w:rsidP="0024794E">
      <w:pPr>
        <w:pStyle w:val="ListParagraph"/>
        <w:numPr>
          <w:ilvl w:val="0"/>
          <w:numId w:val="26"/>
        </w:numPr>
        <w:spacing w:before="200" w:after="100" w:line="240" w:lineRule="auto"/>
        <w:jc w:val="both"/>
        <w:rPr>
          <w:rFonts w:eastAsia="Arial" w:cstheme="minorHAnsi"/>
          <w:kern w:val="2"/>
          <w:szCs w:val="24"/>
        </w:rPr>
      </w:pPr>
      <w:r>
        <w:t>U Dodatku C. Referentne norme, nakon upućivanja na normu „UNE-EN ISO 15876-3: 2017</w:t>
      </w:r>
      <w:r>
        <w:tab/>
        <w:t>Plastični cijevni sustavi za instalacije s toplom i hladnom vodom. Polibuten (PB). 3. dio: Priključci” dodaju se sljedeće norme:</w:t>
      </w:r>
    </w:p>
    <w:p w14:paraId="5A496CEC" w14:textId="6500843E" w:rsidR="00AD074F" w:rsidRDefault="00AD074F" w:rsidP="0024794E">
      <w:pPr>
        <w:pStyle w:val="ListParagraph"/>
        <w:spacing w:after="120"/>
        <w:ind w:left="709"/>
        <w:jc w:val="both"/>
      </w:pPr>
      <w:r>
        <w:t xml:space="preserve">„UNE-EN ISO 15877-1:2009 Plastični cijevni sustavi za instalacije s toplom i hladnom vodom. Klorirani poli (vinil klorid) (PVC-C). 1. dio: Opće odredbe (+UNE-EN ISO 15877-1:2009/A1:2011) </w:t>
      </w:r>
    </w:p>
    <w:p w14:paraId="2A3E9EAB" w14:textId="77777777" w:rsidR="00AD074F" w:rsidRDefault="00AD074F" w:rsidP="0024794E">
      <w:pPr>
        <w:pStyle w:val="ListParagraph"/>
        <w:spacing w:after="120"/>
        <w:ind w:left="709"/>
        <w:jc w:val="both"/>
      </w:pPr>
    </w:p>
    <w:p w14:paraId="13BBCC1D" w14:textId="5E8C5E6F" w:rsidR="00AD074F" w:rsidRDefault="00AD074F" w:rsidP="0024794E">
      <w:pPr>
        <w:pStyle w:val="ListParagraph"/>
        <w:spacing w:after="120"/>
        <w:ind w:left="709"/>
        <w:jc w:val="both"/>
      </w:pPr>
      <w:r>
        <w:t xml:space="preserve">UNE-EN ISO 15877-2:2009 Plastični cijevni sustavi za instalacije s toplom i hladnom vodom. Klorirani poli (vinil klorid) (PVC-C). 2. dio: Cijevi. (+UNE-EN ISO 15877-2:2009/A1:2011) </w:t>
      </w:r>
    </w:p>
    <w:p w14:paraId="68B6455D" w14:textId="77777777" w:rsidR="00AD074F" w:rsidRDefault="00AD074F" w:rsidP="0024794E">
      <w:pPr>
        <w:pStyle w:val="ListParagraph"/>
        <w:spacing w:after="120"/>
        <w:ind w:left="709"/>
        <w:jc w:val="both"/>
      </w:pPr>
    </w:p>
    <w:p w14:paraId="52605DFD" w14:textId="76152F49" w:rsidR="00AD074F" w:rsidRDefault="00802B87" w:rsidP="0024794E">
      <w:pPr>
        <w:pStyle w:val="ListParagraph"/>
        <w:spacing w:after="120"/>
        <w:ind w:left="709"/>
        <w:jc w:val="both"/>
      </w:pPr>
      <w:r>
        <w:t>UNE-EN ISO 15877-3:2009 Plastični cijevni sustavi za instalacije s toplom i hladnom vodom. Klorirani poli (vinil klorid) (PVC-C). 3. dio: Priključci. (+UNE-EN ISO 15877-3:2009/A1:2011)</w:t>
      </w:r>
    </w:p>
    <w:p w14:paraId="30F2E766" w14:textId="038A7758" w:rsidR="005074AB" w:rsidRPr="00431D05" w:rsidRDefault="005074AB" w:rsidP="005074AB">
      <w:pPr>
        <w:jc w:val="both"/>
        <w:rPr>
          <w:rFonts w:cstheme="minorHAnsi"/>
          <w:bCs/>
          <w:i/>
          <w:iCs/>
        </w:rPr>
      </w:pPr>
      <w:r>
        <w:t xml:space="preserve">Prva prijelazna odredba. </w:t>
      </w:r>
      <w:r>
        <w:rPr>
          <w:i/>
        </w:rPr>
        <w:t>Zgrade izuzete od odredaba ove Kraljevske uredbe.</w:t>
      </w:r>
    </w:p>
    <w:p w14:paraId="71A41130" w14:textId="7184244B" w:rsidR="005074AB" w:rsidRPr="009064BC" w:rsidRDefault="005074AB" w:rsidP="005074AB">
      <w:pPr>
        <w:jc w:val="both"/>
        <w:rPr>
          <w:rFonts w:cstheme="minorHAnsi"/>
        </w:rPr>
      </w:pPr>
      <w:r>
        <w:t xml:space="preserve">Izmjene Tehničkog propisa o gradnji (CTE) donesene ovom Kraljevskom uredbom ne primjenjuju se na nove zgrade ili radove na postojećim zgradama za koje je, u oba slučaja, već podnesen zahtjev za izdavanje općinske dozvole za radove u trenutku stupanja na snagu ove Kraljevske uredbe. </w:t>
      </w:r>
    </w:p>
    <w:p w14:paraId="6E353956" w14:textId="262DE845" w:rsidR="007B11B1" w:rsidRDefault="005074AB" w:rsidP="005074AB">
      <w:pPr>
        <w:jc w:val="both"/>
        <w:rPr>
          <w:rFonts w:cstheme="minorHAnsi"/>
        </w:rPr>
      </w:pPr>
      <w:r>
        <w:t>Takvi radovi počinju unutar maksimalnog razdoblja valjanosti navedene dozvole, u skladu s propisima koji je reguliraju ili, ako to nije moguće, u roku od šest mjeseci od izdavanja navedene dozvole. Ako nisu, projekti se moraju prilagoditi izmjenama CTE-a koje su odobrene ovom Kraljevskom uredbom.</w:t>
      </w:r>
    </w:p>
    <w:p w14:paraId="78DABA03" w14:textId="77777777" w:rsidR="005074AB" w:rsidRPr="00D47CC2" w:rsidRDefault="005074AB" w:rsidP="005074AB">
      <w:pPr>
        <w:jc w:val="both"/>
        <w:rPr>
          <w:rFonts w:cstheme="minorHAnsi"/>
          <w:bCs/>
          <w:i/>
          <w:iCs/>
        </w:rPr>
      </w:pPr>
      <w:r>
        <w:t xml:space="preserve">Druga prijelazna odredba. </w:t>
      </w:r>
      <w:r>
        <w:rPr>
          <w:i/>
        </w:rPr>
        <w:t>Zgrade za koje je primjena odredaba ove Kraljevske uredbe dobrovoljna.</w:t>
      </w:r>
    </w:p>
    <w:p w14:paraId="047CBC16" w14:textId="1E288EF7" w:rsidR="00CA5D2D" w:rsidRPr="00B24946" w:rsidRDefault="005074AB" w:rsidP="005074AB">
      <w:pPr>
        <w:jc w:val="both"/>
        <w:rPr>
          <w:rFonts w:cstheme="minorHAnsi"/>
        </w:rPr>
      </w:pPr>
      <w:r>
        <w:t xml:space="preserve">Izmjene Tehničkog propisa o gradnji odobrene ovom Kraljevskom uredbom dobrovoljno se primjenjuju na nove građevinske radove i na radove na postojećim zgradama za koje je u oba slučaja zatražena općinska dozvola za radove u roku od šest mjeseci od stupanja na snagu ove Kraljevske uredbe. </w:t>
      </w:r>
    </w:p>
    <w:p w14:paraId="0F321A96" w14:textId="5FE37BEE" w:rsidR="00CA5D2D" w:rsidRDefault="00CA5D2D" w:rsidP="00CA5D2D">
      <w:pPr>
        <w:jc w:val="both"/>
        <w:rPr>
          <w:rFonts w:cstheme="minorHAnsi"/>
        </w:rPr>
      </w:pPr>
      <w:r>
        <w:t>Takvi radovi počinju unutar maksimalnog razdoblja valjanosti navedene dozvole, u skladu s propisima koji je reguliraju ili, ako to nije moguće, u roku od šest mjeseci od izdavanja navedene dozvole. Ako nisu, projekti se moraju prilagoditi izmjenama CTE-a koje su odobrene ovom Kraljevskom uredbom.</w:t>
      </w:r>
    </w:p>
    <w:p w14:paraId="1B48DE1E" w14:textId="77777777" w:rsidR="005074AB" w:rsidRPr="00D47CC2" w:rsidRDefault="005074AB" w:rsidP="005074AB">
      <w:pPr>
        <w:jc w:val="both"/>
        <w:rPr>
          <w:rFonts w:cstheme="minorHAnsi"/>
          <w:bCs/>
          <w:i/>
          <w:iCs/>
        </w:rPr>
      </w:pPr>
      <w:r>
        <w:t xml:space="preserve">Treća prijelazna odredba. </w:t>
      </w:r>
      <w:r>
        <w:rPr>
          <w:i/>
        </w:rPr>
        <w:t>Zgrade za koje je obvezna primjena odredaba ove Kraljevske uredbe.</w:t>
      </w:r>
    </w:p>
    <w:p w14:paraId="557DDCCB" w14:textId="624E2145" w:rsidR="005074AB" w:rsidRDefault="005074AB" w:rsidP="005074AB">
      <w:pPr>
        <w:jc w:val="both"/>
        <w:rPr>
          <w:rFonts w:cstheme="minorHAnsi"/>
        </w:rPr>
      </w:pPr>
      <w:r>
        <w:t>Primjena izmjena Tehničkog propisa o gradnji (CTE) donesenih ovom Kraljevskom uredbom obvezna je za nove zgrade ili radove na postojećim zgradama za koje je podnesen zahtjev za izdavanje općinske dozvole za gradnju nakon devet mjeseci od stupanja na snagu ove odredbe.</w:t>
      </w:r>
    </w:p>
    <w:p w14:paraId="588C44EA" w14:textId="52803F33" w:rsidR="005074AB" w:rsidRPr="00D47CC2" w:rsidRDefault="005074AB" w:rsidP="005074AB">
      <w:pPr>
        <w:jc w:val="both"/>
        <w:rPr>
          <w:rFonts w:cstheme="minorHAnsi"/>
          <w:bCs/>
          <w:i/>
          <w:iCs/>
        </w:rPr>
      </w:pPr>
      <w:r>
        <w:t xml:space="preserve">Prva završna odredba. </w:t>
      </w:r>
      <w:r>
        <w:rPr>
          <w:i/>
        </w:rPr>
        <w:t xml:space="preserve">Izmjenom Kraljevske uredbe 1053/2014 od 12. prosinca kojom se odobrava nova Dodatna tehnička uputa (ITC) BT 52 „Instalacije za posebne namjene. </w:t>
      </w:r>
      <w:r>
        <w:rPr>
          <w:i/>
        </w:rPr>
        <w:lastRenderedPageBreak/>
        <w:t>Infrastruktura za punjenje električnih vozila” Elektrotehničkih propisa za niski napon, odobrena Kraljevskom uredbom 842/2002 od 2. kolovoza, mijenjaju se i druge dodatne tehničke upute.</w:t>
      </w:r>
    </w:p>
    <w:p w14:paraId="183CB7CD" w14:textId="78A1B469" w:rsidR="005074AB" w:rsidRPr="009064BC" w:rsidRDefault="005074AB" w:rsidP="005074AB">
      <w:pPr>
        <w:jc w:val="both"/>
        <w:rPr>
          <w:rFonts w:cstheme="minorHAnsi"/>
        </w:rPr>
      </w:pPr>
      <w:r>
        <w:t>Jedan. Prva dodatna odredba Kraljevske uredbe 1053/2014 od 12. prosinca, kojom se odobrava nova Dopunska tehnička uputa (ITC) BT 52, mijenja se i glasi kako slijedi:</w:t>
      </w:r>
    </w:p>
    <w:p w14:paraId="6C63F170" w14:textId="77777777" w:rsidR="005074AB" w:rsidRPr="009064BC" w:rsidRDefault="005074AB" w:rsidP="005074AB">
      <w:pPr>
        <w:ind w:left="567"/>
        <w:jc w:val="both"/>
        <w:rPr>
          <w:rFonts w:cstheme="minorHAnsi"/>
        </w:rPr>
      </w:pPr>
      <w:r>
        <w:t>„Prva dodatna odredba. Minimalni strukturni objekti za punjenje električnih vozila na parkiralištima koja nisu namijenjena zgradama, koja su novogradnja ili predmet opsežnih obnova, te na javnim cestama.</w:t>
      </w:r>
    </w:p>
    <w:p w14:paraId="0E953183" w14:textId="4FD205B4" w:rsidR="005074AB" w:rsidRPr="00EB58A5" w:rsidRDefault="005074AB" w:rsidP="00B2615A">
      <w:pPr>
        <w:numPr>
          <w:ilvl w:val="0"/>
          <w:numId w:val="11"/>
        </w:numPr>
        <w:ind w:left="1418" w:hanging="284"/>
        <w:contextualSpacing/>
        <w:jc w:val="both"/>
        <w:rPr>
          <w:rFonts w:cstheme="minorHAnsi"/>
        </w:rPr>
      </w:pPr>
      <w:r>
        <w:t xml:space="preserve">Na novoizgrađenim parkiralištima ili parkiralištima na kojima se provodi opsežna obnova a koja se ne nalaze u zgradi ili na nju nadovezuju, a time i izvan područja primjene Dokumenta o osnovnoj uštedi energije (DB HE) Tehničkog propisa o gradnji, mora se postaviti najmanje jedna punionica za svakih 40 parkirnih mjesta. Parkiralište se smatra novogradnjom kada se projekt izgradnje podnese nadležnoj javnoj upravi na obradu nakon stupanja na snagu ove Kraljevske uredbe. </w:t>
      </w:r>
    </w:p>
    <w:p w14:paraId="0C99327A" w14:textId="0AD5DDFE" w:rsidR="005074AB" w:rsidRPr="009064BC" w:rsidRDefault="005074AB" w:rsidP="002F659F">
      <w:pPr>
        <w:numPr>
          <w:ilvl w:val="0"/>
          <w:numId w:val="11"/>
        </w:numPr>
        <w:ind w:left="1418" w:hanging="284"/>
        <w:contextualSpacing/>
        <w:jc w:val="both"/>
        <w:rPr>
          <w:rFonts w:cstheme="minorHAnsi"/>
        </w:rPr>
      </w:pPr>
      <w:r>
        <w:t>Moraju se zajamčiti instalacije potrebne za opskrbu stanica za punjenje smještenih u prostorima za električna vozila na javnim cestama predviđenima u nadopćinskim ili općinskim Planovima održive mobilnosti.”</w:t>
      </w:r>
    </w:p>
    <w:p w14:paraId="6C323B86" w14:textId="77777777" w:rsidR="005074AB" w:rsidRPr="009064BC" w:rsidRDefault="005074AB" w:rsidP="005074AB">
      <w:pPr>
        <w:ind w:left="1494"/>
        <w:contextualSpacing/>
        <w:jc w:val="both"/>
        <w:rPr>
          <w:rFonts w:cstheme="minorHAnsi"/>
        </w:rPr>
      </w:pPr>
    </w:p>
    <w:p w14:paraId="5E226F46" w14:textId="77777777" w:rsidR="005074AB" w:rsidRPr="009064BC" w:rsidRDefault="005074AB" w:rsidP="005074AB">
      <w:pPr>
        <w:jc w:val="both"/>
        <w:rPr>
          <w:rFonts w:cstheme="minorHAnsi"/>
        </w:rPr>
      </w:pPr>
      <w:r>
        <w:t>Dva. Odjeljak 3.2. DODATNA TEHNIČKA UPUTA (INSTRUCCIÓN TÉCNICA COMPLEMENTARIA – ITC) BT-52 mijenja se i glasi:</w:t>
      </w:r>
    </w:p>
    <w:p w14:paraId="6A13CA56" w14:textId="2BC47FB2" w:rsidR="005074AB" w:rsidRPr="009064BC" w:rsidRDefault="005074AB" w:rsidP="005074AB">
      <w:pPr>
        <w:ind w:left="567"/>
        <w:jc w:val="both"/>
        <w:rPr>
          <w:rFonts w:cstheme="minorHAnsi"/>
        </w:rPr>
      </w:pPr>
      <w:r>
        <w:t xml:space="preserve">„3.2 Instalacija na parkiralištima ili zajedničkim parkirališnim mjestima koja graniče sa zgradama ili građevinskim kompleksima. </w:t>
      </w:r>
    </w:p>
    <w:p w14:paraId="14463364" w14:textId="6F4941EA" w:rsidR="005074AB" w:rsidRPr="003934E5" w:rsidRDefault="005074AB" w:rsidP="005074AB">
      <w:pPr>
        <w:ind w:left="567"/>
        <w:jc w:val="both"/>
        <w:rPr>
          <w:rFonts w:cstheme="minorHAnsi"/>
        </w:rPr>
      </w:pPr>
      <w:r>
        <w:t xml:space="preserve">Električne instalacije za punjenje </w:t>
      </w:r>
      <w:r>
        <w:rPr>
          <w:i/>
        </w:rPr>
        <w:t>električnih vozila</w:t>
      </w:r>
      <w:r>
        <w:t xml:space="preserve"> smještene na parkiralištima ili parkiralištima unutar zgrada ili parkiralištima koja se nadovezuju na zgrade ili stambene objekte moraju slijediti bilo koji od prethodno opisanih sustava.</w:t>
      </w:r>
      <w:r>
        <w:rPr>
          <w:color w:val="000000" w:themeColor="text1"/>
        </w:rPr>
        <w:t xml:space="preserve"> </w:t>
      </w:r>
      <w:r>
        <w:t>U istoj se zgradi mogu koristiti različiti dijagrami pod uvjetom da su ispunjeni svi zahtjevi utvrđeni u ovom (ITC) BT-52.</w:t>
      </w:r>
    </w:p>
    <w:p w14:paraId="642E3740" w14:textId="7634F88A" w:rsidR="005074AB" w:rsidRPr="009064BC" w:rsidRDefault="005074AB" w:rsidP="005074AB">
      <w:pPr>
        <w:ind w:left="567"/>
        <w:jc w:val="both"/>
        <w:rPr>
          <w:rFonts w:cstheme="minorHAnsi"/>
        </w:rPr>
      </w:pPr>
      <w:r>
        <w:t>U sustavu 4.a strujni krug za punjenje mora biti u skladu s uvjetima instalacije opisanima u (ITC) BT-15, upotrebom kabela i sustava za vođenje kabela istih vrsta i karakteristika kao i za pojedinačno priključivanje, a presjek kabela izračunava se u skladu s općim zahtjevima odjeljka 5. ovog ITC-a. Nije potrebno predvidjeti proširenje presjeka kabela kako bi se odredio promjer ili poprečne dimenzije sustava za vođenje kabela koji će se koristiti.</w:t>
      </w:r>
    </w:p>
    <w:p w14:paraId="5C0A8DBB" w14:textId="77777777" w:rsidR="005074AB" w:rsidRPr="009064BC" w:rsidRDefault="005074AB" w:rsidP="005074AB">
      <w:pPr>
        <w:ind w:left="567"/>
        <w:jc w:val="both"/>
        <w:rPr>
          <w:rFonts w:cstheme="minorHAnsi"/>
        </w:rPr>
      </w:pPr>
      <w:r>
        <w:t>Sustav 4.b upotrebljava se kada je napajanje punionica projektirano kao sastavni dio ili produžetak električne instalacije koja služi za opće usluge garaže.</w:t>
      </w:r>
    </w:p>
    <w:p w14:paraId="1BEC25F6" w14:textId="7E6AD67A" w:rsidR="005074AB" w:rsidRPr="009064BC" w:rsidRDefault="00D676D8" w:rsidP="005074AB">
      <w:pPr>
        <w:ind w:left="567"/>
        <w:jc w:val="both"/>
        <w:rPr>
          <w:rFonts w:cstheme="minorHAnsi"/>
        </w:rPr>
      </w:pPr>
      <w:r>
        <w:t>Kako u postojećim tako i u novim instalacijama, a kako bi se olakšala uporaba odabranog električnog sustava, tablice s općom zaštitom i drugim uređajima za punjenje električnih vozila mogu se nalaziti u prostorijama namijenjenima za tu svrhu ili u zajedničkim prostorima.</w:t>
      </w:r>
    </w:p>
    <w:p w14:paraId="3AA0FB18" w14:textId="5CA8F82A" w:rsidR="005074AB" w:rsidRPr="009064BC" w:rsidRDefault="005074AB" w:rsidP="00904550">
      <w:pPr>
        <w:ind w:left="567"/>
        <w:jc w:val="both"/>
        <w:rPr>
          <w:rFonts w:cstheme="minorHAnsi"/>
        </w:rPr>
      </w:pPr>
      <w:r>
        <w:t xml:space="preserve">Električna predinstalacija za punjenje električnih vozila na parkiralištima koja se nalaze u zgradama ili se nadovezuju na zgrade ili stambene objekte olakšava naknadnu uporabu bilo kojeg od mogućih instalacijskih sustava. To uključuje sljedeće elemente: </w:t>
      </w:r>
    </w:p>
    <w:p w14:paraId="4CCD8B27" w14:textId="732EDA20" w:rsidR="005074AB" w:rsidRPr="009064BC" w:rsidRDefault="005074AB" w:rsidP="005074AB">
      <w:pPr>
        <w:numPr>
          <w:ilvl w:val="0"/>
          <w:numId w:val="12"/>
        </w:numPr>
        <w:ind w:left="1418" w:hanging="284"/>
        <w:jc w:val="both"/>
        <w:rPr>
          <w:rFonts w:cstheme="minorHAnsi"/>
        </w:rPr>
      </w:pPr>
      <w:r>
        <w:lastRenderedPageBreak/>
        <w:t>Ugradnja sustava za vođenje kabela od centralizacije brojila i uz glavne ceste na parkiralištima kako bi se kasnije mogle napajati punionice koje se mogu nalaziti na pojedinačnim parkirnim mjestima ili parkiralištima. Ako je predinstalacija planirana za 100 % prostora, sustavi za vođenje kabela moraju doseći svako parkirno mjesto. Ako predinstalacija nije planirana za 100 % prostora, određuju se prostori za koje se razmatra sukladnost s regulatornim odredbama o sustavima za vođenje kabela i ti sustavi moraju doprijeti do svakog od tih prostora.</w:t>
      </w:r>
    </w:p>
    <w:p w14:paraId="0460434B" w14:textId="6073EA36" w:rsidR="005074AB" w:rsidRPr="009064BC" w:rsidRDefault="005074AB" w:rsidP="00281B93">
      <w:pPr>
        <w:numPr>
          <w:ilvl w:val="0"/>
          <w:numId w:val="12"/>
        </w:numPr>
        <w:jc w:val="both"/>
        <w:rPr>
          <w:rFonts w:cstheme="minorHAnsi"/>
        </w:rPr>
      </w:pPr>
      <w:r>
        <w:t>Centralizacija brojila određuje se prema električnoj shemi odabranoj za punjenje električnog vozila i kako je navedeno u (ITC) BT-16. Pričuvni moduli moraju biti ugrađeni za najmanje 20 % garažnih prostora koji nisu povezani s stambenim prostorom, a ako su svi prostori povezani s stambenim objektima najmanje jedan pričuvni modul. Ti pričuvni moduli moraju imati kapacitet za smještaj glavnog brojila i uređaja za zaštitu od preopterećenja povezanih s mjeračem, bilo s osiguračima ili prekidačima strujnih krugova.</w:t>
      </w:r>
    </w:p>
    <w:p w14:paraId="7C024BD7" w14:textId="5A6D76AB" w:rsidR="005074AB" w:rsidRPr="009064BC" w:rsidRDefault="005074AB" w:rsidP="005074AB">
      <w:pPr>
        <w:ind w:left="1416"/>
        <w:jc w:val="both"/>
        <w:rPr>
          <w:rFonts w:cstheme="minorHAnsi"/>
        </w:rPr>
      </w:pPr>
      <w:r>
        <w:t>Utičnice ili priključci ugrađeni u stanicu za punjenje i njezini automatski zaštitni prekidači moraju biti u skladu s jednom od mogućnosti navedenih u odjeljku 5.4.”</w:t>
      </w:r>
    </w:p>
    <w:p w14:paraId="3C2EF0D1" w14:textId="7C25EDED" w:rsidR="00324D93" w:rsidRPr="009064BC" w:rsidRDefault="00441D3E" w:rsidP="00CA5D2D">
      <w:pPr>
        <w:jc w:val="both"/>
        <w:rPr>
          <w:rFonts w:cstheme="minorHAnsi"/>
        </w:rPr>
      </w:pPr>
      <w:r>
        <w:t>Tri. Prvi podstavak odjeljak 5.4. DODATNE TEHNIČKE UPUTE (ITC) BT-52 mijenja se i glasi:</w:t>
      </w:r>
    </w:p>
    <w:p w14:paraId="1D0AA4C9" w14:textId="6013C719" w:rsidR="00527DF1" w:rsidRDefault="00324D93" w:rsidP="00CA5D2D">
      <w:pPr>
        <w:jc w:val="both"/>
        <w:rPr>
          <w:color w:val="FF0000"/>
        </w:rPr>
      </w:pPr>
      <w:r>
        <w:t xml:space="preserve">„5.4. Mjesto priključenja. </w:t>
      </w:r>
      <w:bookmarkStart w:id="1" w:name="_Hlk81468651"/>
      <w:r>
        <w:t xml:space="preserve">Mjesto priključenja mora biti smješteno pored kvadrata za napajanje i mora biti trajno instalirano u ograđenom prostoru. </w:t>
      </w:r>
    </w:p>
    <w:bookmarkEnd w:id="1"/>
    <w:p w14:paraId="346E72DC" w14:textId="2F609E5D" w:rsidR="00441D3E" w:rsidRPr="00527DF1" w:rsidRDefault="00527DF1" w:rsidP="00CA5D2D">
      <w:pPr>
        <w:jc w:val="both"/>
        <w:rPr>
          <w:color w:val="FF0000"/>
        </w:rPr>
      </w:pPr>
      <w:r>
        <w:t xml:space="preserve">Minimalna visina ugradnje utičnica i priključaka je 60 cm iznad razine tla. </w:t>
      </w:r>
      <w:bookmarkStart w:id="2" w:name="_Hlk81468224"/>
      <w:r>
        <w:t>Ako je stanica za punjenje namijenjena za javnu uporabu, najveća visina iznosi 120 cm. Na pristupačnim parkirnim mjestima, utičnice i priključci moraju imati kromatski kontrast s okolinom, moraju biti smješteni na visini između 80 i 120 cm, a udaljenost od kutnih spojeva mora biti najmanje 35 cm.”</w:t>
      </w:r>
      <w:bookmarkEnd w:id="2"/>
    </w:p>
    <w:p w14:paraId="33BA3231" w14:textId="6E4F1E78" w:rsidR="005074AB" w:rsidRPr="00D47CC2" w:rsidRDefault="005074AB" w:rsidP="00CA5D2D">
      <w:pPr>
        <w:jc w:val="both"/>
        <w:rPr>
          <w:rFonts w:cstheme="minorHAnsi"/>
          <w:bCs/>
          <w:i/>
          <w:iCs/>
        </w:rPr>
      </w:pPr>
      <w:r>
        <w:t xml:space="preserve">Druga završna odredba. </w:t>
      </w:r>
      <w:r>
        <w:rPr>
          <w:i/>
        </w:rPr>
        <w:t>Prenošenje prava Europske unije.</w:t>
      </w:r>
    </w:p>
    <w:p w14:paraId="09244551" w14:textId="77777777" w:rsidR="005074AB" w:rsidRPr="009064BC" w:rsidRDefault="005074AB" w:rsidP="00CA5D2D">
      <w:pPr>
        <w:jc w:val="both"/>
        <w:rPr>
          <w:rFonts w:cstheme="minorHAnsi"/>
        </w:rPr>
      </w:pPr>
      <w:r>
        <w:t>Ovom Kraljevskom uredbom u Španjolsko pravo prenose se članci 8.2., 8.3. i 8.5. DIREKTIVE (EU) 2018/844 EUROPSKOG PARLAMENTA I VIJEĆA od 30. svibnja 2018. o izmjeni Direktive 2010/31/EU o energetskim svojstvima zgrada i Direktive 2012/27/EU o energetskoj učinkovitosti.</w:t>
      </w:r>
    </w:p>
    <w:p w14:paraId="106D513A" w14:textId="7AD1ED46" w:rsidR="005074AB" w:rsidRPr="00C760C9" w:rsidRDefault="005074AB" w:rsidP="005074AB">
      <w:pPr>
        <w:jc w:val="both"/>
        <w:rPr>
          <w:rFonts w:cstheme="minorHAnsi"/>
          <w:bCs/>
          <w:i/>
          <w:iCs/>
        </w:rPr>
      </w:pPr>
      <w:r>
        <w:t xml:space="preserve">Treća završna odredba. </w:t>
      </w:r>
      <w:r>
        <w:rPr>
          <w:i/>
        </w:rPr>
        <w:t>Stupanje na snagu.</w:t>
      </w:r>
    </w:p>
    <w:p w14:paraId="74B6AB2B" w14:textId="74C92419" w:rsidR="001035FC" w:rsidRDefault="005074AB" w:rsidP="000A2592">
      <w:pPr>
        <w:jc w:val="both"/>
        <w:rPr>
          <w:rFonts w:cstheme="minorHAnsi"/>
          <w:color w:val="FF0000"/>
        </w:rPr>
      </w:pPr>
      <w:r>
        <w:t>Ova Kraljevska uredba stupa na snagu na dan objave u Službenom listu.</w:t>
      </w:r>
    </w:p>
    <w:p w14:paraId="2DB25505" w14:textId="77777777" w:rsidR="004B5FCD" w:rsidRPr="00A5780E" w:rsidRDefault="004B5FCD" w:rsidP="000A2592">
      <w:pPr>
        <w:jc w:val="both"/>
        <w:rPr>
          <w:rFonts w:cstheme="minorHAnsi"/>
          <w:sz w:val="20"/>
          <w:szCs w:val="20"/>
        </w:rPr>
      </w:pPr>
    </w:p>
    <w:p w14:paraId="09FCE810" w14:textId="4EC16D11" w:rsidR="007F6E00" w:rsidRPr="00A5780E" w:rsidRDefault="00B718CD" w:rsidP="00726501">
      <w:pPr>
        <w:jc w:val="center"/>
        <w:rPr>
          <w:rFonts w:cstheme="minorHAnsi"/>
          <w:sz w:val="24"/>
          <w:szCs w:val="24"/>
        </w:rPr>
      </w:pPr>
      <w:r>
        <w:rPr>
          <w:sz w:val="24"/>
        </w:rPr>
        <w:t xml:space="preserve">U Madridu, dana                          </w:t>
      </w:r>
    </w:p>
    <w:p w14:paraId="28C0A3AF" w14:textId="7E6F82AF" w:rsidR="007F6E00" w:rsidRPr="00243027" w:rsidRDefault="00D47CC2" w:rsidP="00726501">
      <w:pPr>
        <w:jc w:val="center"/>
        <w:rPr>
          <w:rFonts w:cstheme="minorHAnsi"/>
          <w:sz w:val="24"/>
          <w:szCs w:val="24"/>
        </w:rPr>
      </w:pPr>
      <w:r>
        <w:rPr>
          <w:sz w:val="24"/>
        </w:rPr>
        <w:t>MINISTRICA PROMETA, MOBILNOSTI I PROGRAMA ZA GRADOVE</w:t>
      </w:r>
    </w:p>
    <w:p w14:paraId="2E0E23B7" w14:textId="7629F143" w:rsidR="007F6E00" w:rsidRPr="00243027" w:rsidRDefault="00D47CC2" w:rsidP="007F6E00">
      <w:pPr>
        <w:jc w:val="center"/>
        <w:rPr>
          <w:rFonts w:cstheme="minorHAnsi"/>
          <w:sz w:val="24"/>
          <w:szCs w:val="24"/>
        </w:rPr>
      </w:pPr>
      <w:r>
        <w:rPr>
          <w:sz w:val="24"/>
        </w:rPr>
        <w:t>Raquel Sánchez Jiménez</w:t>
      </w:r>
    </w:p>
    <w:p w14:paraId="20EDBF72" w14:textId="356D76E7" w:rsidR="00C73E8C" w:rsidRPr="00243027" w:rsidRDefault="00C760C9" w:rsidP="007F6E00">
      <w:pPr>
        <w:jc w:val="center"/>
        <w:rPr>
          <w:rFonts w:cstheme="minorHAnsi"/>
          <w:sz w:val="24"/>
          <w:szCs w:val="24"/>
        </w:rPr>
      </w:pPr>
      <w:r>
        <w:rPr>
          <w:sz w:val="24"/>
        </w:rPr>
        <w:t>TREĆA POTPREDSJEDNICA VLADE I MINISTRICA EKOLOŠKE TRANZICIJE I DEMOGRAFSKOG IZAZOVA</w:t>
      </w:r>
    </w:p>
    <w:p w14:paraId="023B4DFC" w14:textId="0D381527" w:rsidR="00C73E8C" w:rsidRPr="00A5780E" w:rsidRDefault="00C73E8C" w:rsidP="007F6E00">
      <w:pPr>
        <w:jc w:val="center"/>
        <w:rPr>
          <w:rFonts w:cstheme="minorHAnsi"/>
          <w:sz w:val="24"/>
          <w:szCs w:val="24"/>
        </w:rPr>
      </w:pPr>
      <w:r>
        <w:rPr>
          <w:sz w:val="24"/>
        </w:rPr>
        <w:lastRenderedPageBreak/>
        <w:t>Teresa Ribera Rodríguez</w:t>
      </w:r>
    </w:p>
    <w:sectPr w:rsidR="00C73E8C" w:rsidRPr="00A5780E" w:rsidSect="008231A4">
      <w:headerReference w:type="default" r:id="rId8"/>
      <w:footerReference w:type="default" r:id="rId9"/>
      <w:headerReference w:type="firs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F9B1" w14:textId="77777777" w:rsidR="004D1636" w:rsidRDefault="004D1636" w:rsidP="003B5AE7">
      <w:pPr>
        <w:spacing w:after="0" w:line="240" w:lineRule="auto"/>
      </w:pPr>
      <w:r>
        <w:separator/>
      </w:r>
    </w:p>
  </w:endnote>
  <w:endnote w:type="continuationSeparator" w:id="0">
    <w:p w14:paraId="23878521" w14:textId="77777777" w:rsidR="004D1636" w:rsidRDefault="004D1636" w:rsidP="003B5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1139" w14:textId="16F26D8C" w:rsidR="00251439" w:rsidRPr="00D214B0" w:rsidRDefault="00251439" w:rsidP="00D214B0">
    <w:pPr>
      <w:pStyle w:val="Footer"/>
      <w:rPr>
        <w:i/>
        <w:sz w:val="15"/>
        <w:szCs w:val="15"/>
      </w:rPr>
    </w:pPr>
    <w:r>
      <w:rPr>
        <w:i/>
        <w:sz w:val="15"/>
      </w:rPr>
      <w:t>Nacrt Kraljevske uredbe o izmjeni Tehničkog propisa o gradnji odobrenog Kraljevskom uredbom 314/2006 od 17. ožujka.</w:t>
    </w:r>
  </w:p>
  <w:p w14:paraId="53C3F409" w14:textId="5B87674E" w:rsidR="00251439" w:rsidRPr="00C864A9" w:rsidRDefault="00251439" w:rsidP="00D214B0">
    <w:pPr>
      <w:pStyle w:val="Footer"/>
      <w:rPr>
        <w:i/>
        <w:sz w:val="15"/>
        <w:szCs w:val="15"/>
      </w:rPr>
    </w:pPr>
    <w:r>
      <w:rPr>
        <w:i/>
        <w:sz w:val="15"/>
      </w:rPr>
      <w:t>Verzija za europske javne informacije. Listopad 2021.</w:t>
    </w:r>
  </w:p>
  <w:p w14:paraId="5A7C5B16" w14:textId="50AC60C2" w:rsidR="00251439" w:rsidRPr="00724333" w:rsidRDefault="00251439" w:rsidP="00724333">
    <w:pPr>
      <w:pStyle w:val="Footer"/>
      <w:jc w:val="right"/>
      <w:rPr>
        <w:i/>
        <w:sz w:val="14"/>
        <w:szCs w:val="14"/>
      </w:rPr>
    </w:pPr>
    <w:r>
      <w:fldChar w:fldCharType="begin"/>
    </w:r>
    <w:r>
      <w:instrText>PAGE   \* MERGEFORMAT</w:instrText>
    </w:r>
    <w:r>
      <w:fldChar w:fldCharType="separate"/>
    </w:r>
    <w:r w:rsidR="001310AB">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0BA4A" w14:textId="77777777" w:rsidR="004D1636" w:rsidRDefault="004D1636" w:rsidP="003B5AE7">
      <w:pPr>
        <w:spacing w:after="0" w:line="240" w:lineRule="auto"/>
      </w:pPr>
      <w:r>
        <w:separator/>
      </w:r>
    </w:p>
  </w:footnote>
  <w:footnote w:type="continuationSeparator" w:id="0">
    <w:p w14:paraId="07B153E2" w14:textId="77777777" w:rsidR="004D1636" w:rsidRDefault="004D1636" w:rsidP="003B5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32625" w14:textId="4A8FE43D" w:rsidR="00251439" w:rsidRDefault="00251439">
    <w:pPr>
      <w:pStyle w:val="Header"/>
    </w:pPr>
    <w:r>
      <w:t xml:space="preserve">                                                                                                                                                       </w:t>
    </w:r>
    <w:r>
      <w:rPr>
        <w:noProof/>
      </w:rPr>
      <w:drawing>
        <wp:inline distT="0" distB="0" distL="0" distR="0" wp14:anchorId="20966383" wp14:editId="3C84ECB3">
          <wp:extent cx="619125" cy="647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47700"/>
                  </a:xfrm>
                  <a:prstGeom prst="rect">
                    <a:avLst/>
                  </a:prstGeom>
                  <a:noFill/>
                </pic:spPr>
              </pic:pic>
            </a:graphicData>
          </a:graphic>
        </wp:inline>
      </w:drawing>
    </w:r>
  </w:p>
  <w:p w14:paraId="10BC8656" w14:textId="481F1BB0" w:rsidR="00251439" w:rsidRDefault="002514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C9EF0" w14:textId="114BE53B"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jc w:val="both"/>
      <w:rPr>
        <w:rFonts w:ascii="Arial Narrow" w:eastAsia="Times New Roman" w:hAnsi="Arial Narrow" w:cs="Times New Roman"/>
        <w:b/>
        <w:sz w:val="16"/>
        <w:szCs w:val="24"/>
      </w:rPr>
    </w:pPr>
    <w:r>
      <w:rPr>
        <w:rFonts w:ascii="Arial" w:hAnsi="Arial"/>
        <w:b/>
        <w:sz w:val="18"/>
      </w:rPr>
      <w:t xml:space="preserve">   </w:t>
    </w:r>
    <w:r>
      <w:rPr>
        <w:rFonts w:ascii="Arial Narrow" w:hAnsi="Arial Narrow"/>
        <w:b/>
        <w:sz w:val="16"/>
      </w:rPr>
      <w:t xml:space="preserve"> </w:t>
    </w:r>
    <w:r>
      <w:rPr>
        <w:rFonts w:ascii="Arial Narrow" w:hAnsi="Arial Narrow"/>
        <w:b/>
        <w:sz w:val="16"/>
      </w:rPr>
      <w:tab/>
    </w:r>
    <w:r>
      <w:rPr>
        <w:rFonts w:ascii="Arial Narrow" w:hAnsi="Arial Narrow"/>
        <w:b/>
        <w:sz w:val="16"/>
      </w:rPr>
      <w:tab/>
    </w:r>
  </w:p>
  <w:p w14:paraId="79A3B465" w14:textId="13E7A8FD" w:rsidR="00251439"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Narrow" w:hAnsi="Arial Narrow"/>
        <w:b/>
        <w:noProof/>
        <w:sz w:val="16"/>
      </w:rPr>
      <w:drawing>
        <wp:anchor distT="0" distB="0" distL="114300" distR="114300" simplePos="0" relativeHeight="251659264" behindDoc="0" locked="0" layoutInCell="1" allowOverlap="1" wp14:anchorId="40951893" wp14:editId="22CFAD9A">
          <wp:simplePos x="0" y="0"/>
          <wp:positionH relativeFrom="margin">
            <wp:align>left</wp:align>
          </wp:positionH>
          <wp:positionV relativeFrom="paragraph">
            <wp:posOffset>15875</wp:posOffset>
          </wp:positionV>
          <wp:extent cx="607060" cy="640080"/>
          <wp:effectExtent l="0" t="0" r="2540" b="7620"/>
          <wp:wrapNone/>
          <wp:docPr id="8" name="Imagen 8" descr="EScudo de Españ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 España">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7060" cy="6400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b/>
        <w:sz w:val="18"/>
      </w:rPr>
      <w:t xml:space="preserve">MINISTARSTVO </w:t>
    </w:r>
  </w:p>
  <w:p w14:paraId="54CA275E" w14:textId="4F0B2553"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ind w:left="708" w:firstLine="708"/>
      <w:jc w:val="both"/>
      <w:rPr>
        <w:rFonts w:ascii="Arial" w:eastAsia="Times New Roman" w:hAnsi="Arial" w:cs="Arial"/>
        <w:b/>
        <w:sz w:val="18"/>
        <w:szCs w:val="18"/>
      </w:rPr>
    </w:pPr>
    <w:r>
      <w:rPr>
        <w:rFonts w:ascii="Arial" w:hAnsi="Arial"/>
        <w:b/>
        <w:sz w:val="18"/>
      </w:rPr>
      <w:t xml:space="preserve">RAZVOJA </w:t>
    </w:r>
  </w:p>
  <w:p w14:paraId="76954C5B" w14:textId="1EEE839A" w:rsidR="00251439" w:rsidRPr="007D01D1" w:rsidRDefault="00251439" w:rsidP="007D01D1">
    <w:pPr>
      <w:widowControl w:val="0"/>
      <w:pBdr>
        <w:top w:val="single" w:sz="6" w:space="0" w:color="FFFFFF"/>
        <w:left w:val="single" w:sz="6" w:space="0" w:color="FFFFFF"/>
        <w:bottom w:val="single" w:sz="6" w:space="0" w:color="FFFFFF"/>
        <w:right w:val="single" w:sz="6" w:space="0" w:color="FFFFFF"/>
      </w:pBdr>
      <w:spacing w:after="0" w:line="240" w:lineRule="auto"/>
      <w:jc w:val="both"/>
      <w:rPr>
        <w:rFonts w:ascii="Times New Roman" w:eastAsia="Times New Roman" w:hAnsi="Times New Roman" w:cs="Times New Roman"/>
        <w:sz w:val="20"/>
        <w:szCs w:val="20"/>
      </w:rPr>
    </w:pPr>
    <w:r>
      <w:rPr>
        <w:rFonts w:ascii="Arial" w:hAnsi="Arial"/>
        <w:b/>
        <w:sz w:val="16"/>
      </w:rPr>
      <w:tab/>
    </w:r>
    <w:r>
      <w:rPr>
        <w:rFonts w:ascii="Arial" w:hAnsi="Arial"/>
        <w:b/>
        <w:sz w:val="16"/>
      </w:rPr>
      <w:tab/>
    </w:r>
  </w:p>
  <w:p w14:paraId="79D490F3" w14:textId="7D0527DA" w:rsidR="00251439" w:rsidRDefault="00251439">
    <w:pPr>
      <w:pStyle w:val="Header"/>
      <w:rPr>
        <w:rFonts w:ascii="Arial" w:eastAsia="Times New Roman" w:hAnsi="Arial" w:cs="Arial"/>
        <w:b/>
        <w:sz w:val="24"/>
        <w:szCs w:val="24"/>
        <w:lang w:eastAsia="es-ES"/>
      </w:rPr>
    </w:pPr>
  </w:p>
  <w:p w14:paraId="49D6D679" w14:textId="64072241" w:rsidR="00251439" w:rsidRDefault="00251439">
    <w:pPr>
      <w:pStyle w:val="Header"/>
    </w:pPr>
  </w:p>
  <w:p w14:paraId="00BA0649" w14:textId="52EEC367" w:rsidR="00251439" w:rsidRDefault="00251439">
    <w:pPr>
      <w:pStyle w:val="Header"/>
    </w:pPr>
  </w:p>
  <w:p w14:paraId="2CCB3AC8" w14:textId="77777777" w:rsidR="00251439" w:rsidRDefault="002514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14"/>
    <w:multiLevelType w:val="hybridMultilevel"/>
    <w:tmpl w:val="542C774E"/>
    <w:lvl w:ilvl="0" w:tplc="B2BAFBE0">
      <w:start w:val="1"/>
      <w:numFmt w:val="decimal"/>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 w15:restartNumberingAfterBreak="0">
    <w:nsid w:val="037E37B5"/>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2128D4"/>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106A9D"/>
    <w:multiLevelType w:val="hybridMultilevel"/>
    <w:tmpl w:val="60C833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261454"/>
    <w:multiLevelType w:val="hybridMultilevel"/>
    <w:tmpl w:val="131C936C"/>
    <w:lvl w:ilvl="0" w:tplc="2EB8C15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B832F5F"/>
    <w:multiLevelType w:val="hybridMultilevel"/>
    <w:tmpl w:val="C7525166"/>
    <w:lvl w:ilvl="0" w:tplc="9264891E">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6" w15:restartNumberingAfterBreak="0">
    <w:nsid w:val="1DCD7FAC"/>
    <w:multiLevelType w:val="multilevel"/>
    <w:tmpl w:val="768EBD0A"/>
    <w:lvl w:ilvl="0">
      <w:start w:val="15"/>
      <w:numFmt w:val="decimal"/>
      <w:lvlText w:val="%1"/>
      <w:lvlJc w:val="left"/>
      <w:pPr>
        <w:ind w:left="375" w:hanging="375"/>
      </w:pPr>
      <w:rPr>
        <w:rFonts w:hint="default"/>
      </w:rPr>
    </w:lvl>
    <w:lvl w:ilvl="1">
      <w:start w:val="6"/>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1FBB6F6B"/>
    <w:multiLevelType w:val="hybridMultilevel"/>
    <w:tmpl w:val="BDDE631E"/>
    <w:lvl w:ilvl="0" w:tplc="0C0A0017">
      <w:start w:val="1"/>
      <w:numFmt w:val="lowerLetter"/>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3F2211B"/>
    <w:multiLevelType w:val="multilevel"/>
    <w:tmpl w:val="614C401A"/>
    <w:styleLink w:val="WWNum3"/>
    <w:lvl w:ilvl="0">
      <w:start w:val="1"/>
      <w:numFmt w:val="decimal"/>
      <w:lvlText w:val="%1."/>
      <w:lvlJc w:val="left"/>
      <w:pPr>
        <w:ind w:left="360" w:hanging="360"/>
      </w:pPr>
    </w:lvl>
    <w:lvl w:ilvl="1">
      <w:start w:val="1"/>
      <w:numFmt w:val="none"/>
      <w:suff w:val="nothing"/>
      <w:lvlText w:val="%2"/>
      <w:lvlJc w:val="left"/>
      <w:pPr>
        <w:ind w:left="1080" w:hanging="360"/>
      </w:pPr>
    </w:lvl>
    <w:lvl w:ilvl="2">
      <w:start w:val="1"/>
      <w:numFmt w:val="none"/>
      <w:suff w:val="nothing"/>
      <w:lvlText w:val="%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9" w15:restartNumberingAfterBreak="0">
    <w:nsid w:val="2D7A4F97"/>
    <w:multiLevelType w:val="hybridMultilevel"/>
    <w:tmpl w:val="CCE87788"/>
    <w:lvl w:ilvl="0" w:tplc="3C366EA8">
      <w:start w:val="1"/>
      <w:numFmt w:val="lowerLetter"/>
      <w:lvlText w:val="%1)"/>
      <w:lvlJc w:val="left"/>
      <w:pPr>
        <w:ind w:left="373" w:hanging="360"/>
      </w:pPr>
      <w:rPr>
        <w:rFonts w:hint="default"/>
      </w:rPr>
    </w:lvl>
    <w:lvl w:ilvl="1" w:tplc="0C0A0019" w:tentative="1">
      <w:start w:val="1"/>
      <w:numFmt w:val="lowerLetter"/>
      <w:lvlText w:val="%2."/>
      <w:lvlJc w:val="left"/>
      <w:pPr>
        <w:ind w:left="1093" w:hanging="360"/>
      </w:pPr>
    </w:lvl>
    <w:lvl w:ilvl="2" w:tplc="0C0A001B" w:tentative="1">
      <w:start w:val="1"/>
      <w:numFmt w:val="lowerRoman"/>
      <w:lvlText w:val="%3."/>
      <w:lvlJc w:val="right"/>
      <w:pPr>
        <w:ind w:left="1813" w:hanging="180"/>
      </w:pPr>
    </w:lvl>
    <w:lvl w:ilvl="3" w:tplc="0C0A000F" w:tentative="1">
      <w:start w:val="1"/>
      <w:numFmt w:val="decimal"/>
      <w:lvlText w:val="%4."/>
      <w:lvlJc w:val="left"/>
      <w:pPr>
        <w:ind w:left="2533" w:hanging="360"/>
      </w:pPr>
    </w:lvl>
    <w:lvl w:ilvl="4" w:tplc="0C0A0019" w:tentative="1">
      <w:start w:val="1"/>
      <w:numFmt w:val="lowerLetter"/>
      <w:lvlText w:val="%5."/>
      <w:lvlJc w:val="left"/>
      <w:pPr>
        <w:ind w:left="3253" w:hanging="360"/>
      </w:pPr>
    </w:lvl>
    <w:lvl w:ilvl="5" w:tplc="0C0A001B" w:tentative="1">
      <w:start w:val="1"/>
      <w:numFmt w:val="lowerRoman"/>
      <w:lvlText w:val="%6."/>
      <w:lvlJc w:val="right"/>
      <w:pPr>
        <w:ind w:left="3973" w:hanging="180"/>
      </w:pPr>
    </w:lvl>
    <w:lvl w:ilvl="6" w:tplc="0C0A000F" w:tentative="1">
      <w:start w:val="1"/>
      <w:numFmt w:val="decimal"/>
      <w:lvlText w:val="%7."/>
      <w:lvlJc w:val="left"/>
      <w:pPr>
        <w:ind w:left="4693" w:hanging="360"/>
      </w:pPr>
    </w:lvl>
    <w:lvl w:ilvl="7" w:tplc="0C0A0019" w:tentative="1">
      <w:start w:val="1"/>
      <w:numFmt w:val="lowerLetter"/>
      <w:lvlText w:val="%8."/>
      <w:lvlJc w:val="left"/>
      <w:pPr>
        <w:ind w:left="5413" w:hanging="360"/>
      </w:pPr>
    </w:lvl>
    <w:lvl w:ilvl="8" w:tplc="0C0A001B" w:tentative="1">
      <w:start w:val="1"/>
      <w:numFmt w:val="lowerRoman"/>
      <w:lvlText w:val="%9."/>
      <w:lvlJc w:val="right"/>
      <w:pPr>
        <w:ind w:left="6133" w:hanging="180"/>
      </w:pPr>
    </w:lvl>
  </w:abstractNum>
  <w:abstractNum w:abstractNumId="10" w15:restartNumberingAfterBreak="0">
    <w:nsid w:val="33EA6229"/>
    <w:multiLevelType w:val="hybridMultilevel"/>
    <w:tmpl w:val="14BCE4D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38E60D7E"/>
    <w:multiLevelType w:val="hybridMultilevel"/>
    <w:tmpl w:val="7400A8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DD4218E"/>
    <w:multiLevelType w:val="hybridMultilevel"/>
    <w:tmpl w:val="B40A7106"/>
    <w:lvl w:ilvl="0" w:tplc="1EEEEE46">
      <w:start w:val="4"/>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44DF5CF3"/>
    <w:multiLevelType w:val="hybridMultilevel"/>
    <w:tmpl w:val="836675F0"/>
    <w:lvl w:ilvl="0" w:tplc="74E61344">
      <w:start w:val="2"/>
      <w:numFmt w:val="bullet"/>
      <w:lvlText w:val="-"/>
      <w:lvlJc w:val="left"/>
      <w:pPr>
        <w:ind w:left="6456"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5324F99"/>
    <w:multiLevelType w:val="hybridMultilevel"/>
    <w:tmpl w:val="0EB6E110"/>
    <w:lvl w:ilvl="0" w:tplc="10388CB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48BD3646"/>
    <w:multiLevelType w:val="hybridMultilevel"/>
    <w:tmpl w:val="EB6644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B276012"/>
    <w:multiLevelType w:val="hybridMultilevel"/>
    <w:tmpl w:val="264A6ABA"/>
    <w:lvl w:ilvl="0" w:tplc="99B8C12C">
      <w:start w:val="1"/>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7" w15:restartNumberingAfterBreak="0">
    <w:nsid w:val="68A1395B"/>
    <w:multiLevelType w:val="hybridMultilevel"/>
    <w:tmpl w:val="670A681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975788C"/>
    <w:multiLevelType w:val="hybridMultilevel"/>
    <w:tmpl w:val="CAACE7F4"/>
    <w:lvl w:ilvl="0" w:tplc="4CEAFD42">
      <w:start w:val="1"/>
      <w:numFmt w:val="bullet"/>
      <w:lvlText w:val=""/>
      <w:lvlJc w:val="left"/>
      <w:pPr>
        <w:ind w:left="1004" w:hanging="360"/>
      </w:pPr>
      <w:rPr>
        <w:rFonts w:ascii="Symbol" w:hAnsi="Symbol" w:hint="default"/>
      </w:rPr>
    </w:lvl>
    <w:lvl w:ilvl="1" w:tplc="040A0003" w:tentative="1">
      <w:start w:val="1"/>
      <w:numFmt w:val="bullet"/>
      <w:lvlText w:val="o"/>
      <w:lvlJc w:val="left"/>
      <w:pPr>
        <w:ind w:left="1724" w:hanging="360"/>
      </w:pPr>
      <w:rPr>
        <w:rFonts w:ascii="Courier New" w:hAnsi="Courier New" w:cs="Courier New" w:hint="default"/>
      </w:rPr>
    </w:lvl>
    <w:lvl w:ilvl="2" w:tplc="040A0005" w:tentative="1">
      <w:start w:val="1"/>
      <w:numFmt w:val="bullet"/>
      <w:lvlText w:val=""/>
      <w:lvlJc w:val="left"/>
      <w:pPr>
        <w:ind w:left="2444" w:hanging="360"/>
      </w:pPr>
      <w:rPr>
        <w:rFonts w:ascii="Wingdings" w:hAnsi="Wingdings" w:hint="default"/>
      </w:rPr>
    </w:lvl>
    <w:lvl w:ilvl="3" w:tplc="040A0001" w:tentative="1">
      <w:start w:val="1"/>
      <w:numFmt w:val="bullet"/>
      <w:lvlText w:val=""/>
      <w:lvlJc w:val="left"/>
      <w:pPr>
        <w:ind w:left="3164" w:hanging="360"/>
      </w:pPr>
      <w:rPr>
        <w:rFonts w:ascii="Symbol" w:hAnsi="Symbol" w:hint="default"/>
      </w:rPr>
    </w:lvl>
    <w:lvl w:ilvl="4" w:tplc="040A0003" w:tentative="1">
      <w:start w:val="1"/>
      <w:numFmt w:val="bullet"/>
      <w:lvlText w:val="o"/>
      <w:lvlJc w:val="left"/>
      <w:pPr>
        <w:ind w:left="3884" w:hanging="360"/>
      </w:pPr>
      <w:rPr>
        <w:rFonts w:ascii="Courier New" w:hAnsi="Courier New" w:cs="Courier New" w:hint="default"/>
      </w:rPr>
    </w:lvl>
    <w:lvl w:ilvl="5" w:tplc="040A0005" w:tentative="1">
      <w:start w:val="1"/>
      <w:numFmt w:val="bullet"/>
      <w:lvlText w:val=""/>
      <w:lvlJc w:val="left"/>
      <w:pPr>
        <w:ind w:left="4604" w:hanging="360"/>
      </w:pPr>
      <w:rPr>
        <w:rFonts w:ascii="Wingdings" w:hAnsi="Wingdings" w:hint="default"/>
      </w:rPr>
    </w:lvl>
    <w:lvl w:ilvl="6" w:tplc="040A0001" w:tentative="1">
      <w:start w:val="1"/>
      <w:numFmt w:val="bullet"/>
      <w:lvlText w:val=""/>
      <w:lvlJc w:val="left"/>
      <w:pPr>
        <w:ind w:left="5324" w:hanging="360"/>
      </w:pPr>
      <w:rPr>
        <w:rFonts w:ascii="Symbol" w:hAnsi="Symbol" w:hint="default"/>
      </w:rPr>
    </w:lvl>
    <w:lvl w:ilvl="7" w:tplc="040A0003" w:tentative="1">
      <w:start w:val="1"/>
      <w:numFmt w:val="bullet"/>
      <w:lvlText w:val="o"/>
      <w:lvlJc w:val="left"/>
      <w:pPr>
        <w:ind w:left="6044" w:hanging="360"/>
      </w:pPr>
      <w:rPr>
        <w:rFonts w:ascii="Courier New" w:hAnsi="Courier New" w:cs="Courier New" w:hint="default"/>
      </w:rPr>
    </w:lvl>
    <w:lvl w:ilvl="8" w:tplc="040A0005" w:tentative="1">
      <w:start w:val="1"/>
      <w:numFmt w:val="bullet"/>
      <w:lvlText w:val=""/>
      <w:lvlJc w:val="left"/>
      <w:pPr>
        <w:ind w:left="6764" w:hanging="360"/>
      </w:pPr>
      <w:rPr>
        <w:rFonts w:ascii="Wingdings" w:hAnsi="Wingdings" w:hint="default"/>
      </w:rPr>
    </w:lvl>
  </w:abstractNum>
  <w:abstractNum w:abstractNumId="19" w15:restartNumberingAfterBreak="0">
    <w:nsid w:val="69C14C67"/>
    <w:multiLevelType w:val="hybridMultilevel"/>
    <w:tmpl w:val="3EA0DAC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E93567D"/>
    <w:multiLevelType w:val="hybridMultilevel"/>
    <w:tmpl w:val="76C60BD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32804DE"/>
    <w:multiLevelType w:val="hybridMultilevel"/>
    <w:tmpl w:val="043CBBB6"/>
    <w:lvl w:ilvl="0" w:tplc="DD4072F8">
      <w:start w:val="7"/>
      <w:numFmt w:val="bullet"/>
      <w:lvlText w:val="-"/>
      <w:lvlJc w:val="left"/>
      <w:pPr>
        <w:ind w:left="927" w:hanging="360"/>
      </w:pPr>
      <w:rPr>
        <w:rFonts w:ascii="Arial" w:eastAsiaTheme="minorHAnsi"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2" w15:restartNumberingAfterBreak="0">
    <w:nsid w:val="74CD22FD"/>
    <w:multiLevelType w:val="multilevel"/>
    <w:tmpl w:val="DFA8C284"/>
    <w:lvl w:ilvl="0">
      <w:start w:val="15"/>
      <w:numFmt w:val="decimal"/>
      <w:lvlText w:val="%1"/>
      <w:lvlJc w:val="left"/>
      <w:pPr>
        <w:ind w:left="375" w:hanging="375"/>
      </w:pPr>
      <w:rPr>
        <w:rFonts w:hint="default"/>
      </w:rPr>
    </w:lvl>
    <w:lvl w:ilvl="1">
      <w:start w:val="6"/>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546" w:hanging="72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5790" w:hanging="108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034" w:hanging="1440"/>
      </w:pPr>
      <w:rPr>
        <w:rFonts w:hint="default"/>
      </w:rPr>
    </w:lvl>
    <w:lvl w:ilvl="8">
      <w:start w:val="1"/>
      <w:numFmt w:val="decimal"/>
      <w:lvlText w:val="%1.%2.%3.%4.%5.%6.%7.%8.%9"/>
      <w:lvlJc w:val="left"/>
      <w:pPr>
        <w:ind w:left="8976" w:hanging="1440"/>
      </w:pPr>
      <w:rPr>
        <w:rFonts w:hint="default"/>
      </w:rPr>
    </w:lvl>
  </w:abstractNum>
  <w:num w:numId="1">
    <w:abstractNumId w:val="18"/>
  </w:num>
  <w:num w:numId="2">
    <w:abstractNumId w:val="21"/>
  </w:num>
  <w:num w:numId="3">
    <w:abstractNumId w:val="8"/>
  </w:num>
  <w:num w:numId="4">
    <w:abstractNumId w:val="8"/>
    <w:lvlOverride w:ilvl="0">
      <w:startOverride w:val="1"/>
    </w:lvlOverride>
  </w:num>
  <w:num w:numId="5">
    <w:abstractNumId w:val="1"/>
  </w:num>
  <w:num w:numId="6">
    <w:abstractNumId w:val="19"/>
  </w:num>
  <w:num w:numId="7">
    <w:abstractNumId w:val="3"/>
  </w:num>
  <w:num w:numId="8">
    <w:abstractNumId w:val="14"/>
  </w:num>
  <w:num w:numId="9">
    <w:abstractNumId w:val="13"/>
  </w:num>
  <w:num w:numId="10">
    <w:abstractNumId w:val="0"/>
  </w:num>
  <w:num w:numId="11">
    <w:abstractNumId w:val="16"/>
  </w:num>
  <w:num w:numId="12">
    <w:abstractNumId w:val="5"/>
  </w:num>
  <w:num w:numId="13">
    <w:abstractNumId w:val="7"/>
  </w:num>
  <w:num w:numId="14">
    <w:abstractNumId w:val="9"/>
  </w:num>
  <w:num w:numId="15">
    <w:abstractNumId w:val="11"/>
  </w:num>
  <w:num w:numId="16">
    <w:abstractNumId w:val="15"/>
  </w:num>
  <w:num w:numId="17">
    <w:abstractNumId w:val="10"/>
  </w:num>
  <w:num w:numId="18">
    <w:abstractNumId w:val="6"/>
  </w:num>
  <w:num w:numId="19">
    <w:abstractNumId w:val="22"/>
  </w:num>
  <w:num w:numId="20">
    <w:abstractNumId w:val="7"/>
  </w:num>
  <w:num w:numId="21">
    <w:abstractNumId w:val="4"/>
  </w:num>
  <w:num w:numId="22">
    <w:abstractNumId w:val="2"/>
  </w:num>
  <w:num w:numId="23">
    <w:abstractNumId w:val="12"/>
  </w:num>
  <w:num w:numId="24">
    <w:abstractNumId w:val="12"/>
  </w:num>
  <w:num w:numId="25">
    <w:abstractNumId w:val="20"/>
  </w:num>
  <w:num w:numId="26">
    <w:abstractNumId w:val="1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D0B"/>
    <w:rsid w:val="00000058"/>
    <w:rsid w:val="00001BDD"/>
    <w:rsid w:val="000046C4"/>
    <w:rsid w:val="00006AA4"/>
    <w:rsid w:val="00016C0D"/>
    <w:rsid w:val="0002077F"/>
    <w:rsid w:val="0002652E"/>
    <w:rsid w:val="00032DFF"/>
    <w:rsid w:val="00033444"/>
    <w:rsid w:val="00033600"/>
    <w:rsid w:val="0005593E"/>
    <w:rsid w:val="0006038F"/>
    <w:rsid w:val="000616BC"/>
    <w:rsid w:val="0006744F"/>
    <w:rsid w:val="0007292F"/>
    <w:rsid w:val="00080851"/>
    <w:rsid w:val="00085400"/>
    <w:rsid w:val="00086A13"/>
    <w:rsid w:val="00093490"/>
    <w:rsid w:val="00095644"/>
    <w:rsid w:val="000A2592"/>
    <w:rsid w:val="000A5EC7"/>
    <w:rsid w:val="000A7580"/>
    <w:rsid w:val="000B7AFC"/>
    <w:rsid w:val="000B7F32"/>
    <w:rsid w:val="000C3B4D"/>
    <w:rsid w:val="000D0D60"/>
    <w:rsid w:val="000D2B8F"/>
    <w:rsid w:val="000D3991"/>
    <w:rsid w:val="000D3A71"/>
    <w:rsid w:val="000E4AF3"/>
    <w:rsid w:val="000E4F56"/>
    <w:rsid w:val="000F2A2B"/>
    <w:rsid w:val="000F3571"/>
    <w:rsid w:val="000F63EE"/>
    <w:rsid w:val="000F64D2"/>
    <w:rsid w:val="001027EF"/>
    <w:rsid w:val="00102A9F"/>
    <w:rsid w:val="001035FC"/>
    <w:rsid w:val="00110498"/>
    <w:rsid w:val="00111A60"/>
    <w:rsid w:val="00115C6B"/>
    <w:rsid w:val="00125FF0"/>
    <w:rsid w:val="001310AB"/>
    <w:rsid w:val="00154A68"/>
    <w:rsid w:val="00164A38"/>
    <w:rsid w:val="001710E9"/>
    <w:rsid w:val="00171BC6"/>
    <w:rsid w:val="00177AFA"/>
    <w:rsid w:val="00182065"/>
    <w:rsid w:val="0018403E"/>
    <w:rsid w:val="001942D6"/>
    <w:rsid w:val="001A4A03"/>
    <w:rsid w:val="001B0467"/>
    <w:rsid w:val="001B10E7"/>
    <w:rsid w:val="001B6C79"/>
    <w:rsid w:val="001C0414"/>
    <w:rsid w:val="001C3441"/>
    <w:rsid w:val="001C3958"/>
    <w:rsid w:val="001C3F11"/>
    <w:rsid w:val="001C78CB"/>
    <w:rsid w:val="001D6633"/>
    <w:rsid w:val="001D6759"/>
    <w:rsid w:val="001D7BA9"/>
    <w:rsid w:val="001E0B70"/>
    <w:rsid w:val="001E31F3"/>
    <w:rsid w:val="001F5EE6"/>
    <w:rsid w:val="001F6F43"/>
    <w:rsid w:val="002074C0"/>
    <w:rsid w:val="00210EA2"/>
    <w:rsid w:val="0021457A"/>
    <w:rsid w:val="00216F0F"/>
    <w:rsid w:val="00221EB9"/>
    <w:rsid w:val="0022470C"/>
    <w:rsid w:val="00234353"/>
    <w:rsid w:val="00241F86"/>
    <w:rsid w:val="00243027"/>
    <w:rsid w:val="0024794E"/>
    <w:rsid w:val="00251439"/>
    <w:rsid w:val="0025354C"/>
    <w:rsid w:val="00262992"/>
    <w:rsid w:val="0026457E"/>
    <w:rsid w:val="00281B93"/>
    <w:rsid w:val="00293928"/>
    <w:rsid w:val="002A5A94"/>
    <w:rsid w:val="002A5D7C"/>
    <w:rsid w:val="002C30D6"/>
    <w:rsid w:val="002D0113"/>
    <w:rsid w:val="002D7D1C"/>
    <w:rsid w:val="002E2C72"/>
    <w:rsid w:val="002E7342"/>
    <w:rsid w:val="002F03DF"/>
    <w:rsid w:val="002F25C7"/>
    <w:rsid w:val="002F2BD0"/>
    <w:rsid w:val="002F659F"/>
    <w:rsid w:val="00310A8D"/>
    <w:rsid w:val="00317A77"/>
    <w:rsid w:val="00317BE2"/>
    <w:rsid w:val="00324D93"/>
    <w:rsid w:val="00326CA0"/>
    <w:rsid w:val="0033081E"/>
    <w:rsid w:val="00336E42"/>
    <w:rsid w:val="003442DE"/>
    <w:rsid w:val="003444BA"/>
    <w:rsid w:val="00352537"/>
    <w:rsid w:val="00375290"/>
    <w:rsid w:val="00377681"/>
    <w:rsid w:val="00377FE2"/>
    <w:rsid w:val="003817E2"/>
    <w:rsid w:val="00382FCD"/>
    <w:rsid w:val="003934E5"/>
    <w:rsid w:val="00396131"/>
    <w:rsid w:val="003968DF"/>
    <w:rsid w:val="003B2168"/>
    <w:rsid w:val="003B5AE7"/>
    <w:rsid w:val="003B70CD"/>
    <w:rsid w:val="003C546E"/>
    <w:rsid w:val="003C6C30"/>
    <w:rsid w:val="003E1EAB"/>
    <w:rsid w:val="003E7B36"/>
    <w:rsid w:val="003F44CA"/>
    <w:rsid w:val="003F6E54"/>
    <w:rsid w:val="003F7C25"/>
    <w:rsid w:val="00402FD4"/>
    <w:rsid w:val="00421ADC"/>
    <w:rsid w:val="00431D05"/>
    <w:rsid w:val="00441D3E"/>
    <w:rsid w:val="00452BAA"/>
    <w:rsid w:val="00452C31"/>
    <w:rsid w:val="00455B6D"/>
    <w:rsid w:val="00462063"/>
    <w:rsid w:val="004701A9"/>
    <w:rsid w:val="00480D71"/>
    <w:rsid w:val="00491CEA"/>
    <w:rsid w:val="004A10E7"/>
    <w:rsid w:val="004B45D1"/>
    <w:rsid w:val="004B5FCD"/>
    <w:rsid w:val="004D10CA"/>
    <w:rsid w:val="004D1636"/>
    <w:rsid w:val="004D3BD7"/>
    <w:rsid w:val="004E4176"/>
    <w:rsid w:val="004E508B"/>
    <w:rsid w:val="004F1A17"/>
    <w:rsid w:val="004F2B25"/>
    <w:rsid w:val="004F3383"/>
    <w:rsid w:val="005074AB"/>
    <w:rsid w:val="005105C6"/>
    <w:rsid w:val="0051117E"/>
    <w:rsid w:val="00520863"/>
    <w:rsid w:val="00524DE3"/>
    <w:rsid w:val="00527DF1"/>
    <w:rsid w:val="0053798E"/>
    <w:rsid w:val="00537B01"/>
    <w:rsid w:val="005433BB"/>
    <w:rsid w:val="005437FF"/>
    <w:rsid w:val="00547307"/>
    <w:rsid w:val="0054795D"/>
    <w:rsid w:val="00554EE5"/>
    <w:rsid w:val="005712DA"/>
    <w:rsid w:val="00586671"/>
    <w:rsid w:val="00586E69"/>
    <w:rsid w:val="00591233"/>
    <w:rsid w:val="005A107B"/>
    <w:rsid w:val="005A374C"/>
    <w:rsid w:val="005A6E61"/>
    <w:rsid w:val="005B0B9B"/>
    <w:rsid w:val="005B52A2"/>
    <w:rsid w:val="005D7D8A"/>
    <w:rsid w:val="005F57F5"/>
    <w:rsid w:val="00602DC7"/>
    <w:rsid w:val="006156E2"/>
    <w:rsid w:val="0062182D"/>
    <w:rsid w:val="00621F3C"/>
    <w:rsid w:val="006374D4"/>
    <w:rsid w:val="006424FF"/>
    <w:rsid w:val="00646DF9"/>
    <w:rsid w:val="00656C4A"/>
    <w:rsid w:val="006705CB"/>
    <w:rsid w:val="0067270E"/>
    <w:rsid w:val="0067340E"/>
    <w:rsid w:val="00675931"/>
    <w:rsid w:val="00675D0E"/>
    <w:rsid w:val="006960DA"/>
    <w:rsid w:val="006A0AAE"/>
    <w:rsid w:val="006A7F44"/>
    <w:rsid w:val="006B0CA4"/>
    <w:rsid w:val="006B41B9"/>
    <w:rsid w:val="006B44D8"/>
    <w:rsid w:val="006C16B4"/>
    <w:rsid w:val="006C222B"/>
    <w:rsid w:val="006D270F"/>
    <w:rsid w:val="006D63EB"/>
    <w:rsid w:val="006F5E38"/>
    <w:rsid w:val="007075D9"/>
    <w:rsid w:val="007104CA"/>
    <w:rsid w:val="00714745"/>
    <w:rsid w:val="00724333"/>
    <w:rsid w:val="00726501"/>
    <w:rsid w:val="00745C42"/>
    <w:rsid w:val="00750391"/>
    <w:rsid w:val="00760689"/>
    <w:rsid w:val="00760DFC"/>
    <w:rsid w:val="00761C8F"/>
    <w:rsid w:val="00762E62"/>
    <w:rsid w:val="0076421A"/>
    <w:rsid w:val="007769F1"/>
    <w:rsid w:val="007835B3"/>
    <w:rsid w:val="0078611E"/>
    <w:rsid w:val="007902B8"/>
    <w:rsid w:val="007943D1"/>
    <w:rsid w:val="007A6B25"/>
    <w:rsid w:val="007A6FD5"/>
    <w:rsid w:val="007B11B1"/>
    <w:rsid w:val="007B2844"/>
    <w:rsid w:val="007B745B"/>
    <w:rsid w:val="007C43B8"/>
    <w:rsid w:val="007C7A29"/>
    <w:rsid w:val="007D01D1"/>
    <w:rsid w:val="007E461E"/>
    <w:rsid w:val="007E7916"/>
    <w:rsid w:val="007F1589"/>
    <w:rsid w:val="007F27CB"/>
    <w:rsid w:val="007F6E00"/>
    <w:rsid w:val="00802B87"/>
    <w:rsid w:val="00822D0E"/>
    <w:rsid w:val="008231A4"/>
    <w:rsid w:val="00832A7B"/>
    <w:rsid w:val="00836E07"/>
    <w:rsid w:val="008409FA"/>
    <w:rsid w:val="00840E76"/>
    <w:rsid w:val="008411DF"/>
    <w:rsid w:val="00844FC7"/>
    <w:rsid w:val="00847CB0"/>
    <w:rsid w:val="0085697E"/>
    <w:rsid w:val="00861802"/>
    <w:rsid w:val="00893B19"/>
    <w:rsid w:val="0089545C"/>
    <w:rsid w:val="008A2754"/>
    <w:rsid w:val="008B44F1"/>
    <w:rsid w:val="008B6E85"/>
    <w:rsid w:val="008D0228"/>
    <w:rsid w:val="008E4C35"/>
    <w:rsid w:val="008E57F3"/>
    <w:rsid w:val="008E713D"/>
    <w:rsid w:val="008F4D49"/>
    <w:rsid w:val="009038AF"/>
    <w:rsid w:val="00904550"/>
    <w:rsid w:val="009064BC"/>
    <w:rsid w:val="0091543E"/>
    <w:rsid w:val="00921020"/>
    <w:rsid w:val="00922BA1"/>
    <w:rsid w:val="009277B6"/>
    <w:rsid w:val="00930637"/>
    <w:rsid w:val="00932D4B"/>
    <w:rsid w:val="00941763"/>
    <w:rsid w:val="0094331D"/>
    <w:rsid w:val="00982E58"/>
    <w:rsid w:val="00983E8A"/>
    <w:rsid w:val="00993E06"/>
    <w:rsid w:val="00995550"/>
    <w:rsid w:val="00997C7B"/>
    <w:rsid w:val="009A285F"/>
    <w:rsid w:val="009A76D6"/>
    <w:rsid w:val="009B455D"/>
    <w:rsid w:val="009C27C1"/>
    <w:rsid w:val="009D07FB"/>
    <w:rsid w:val="009D2D65"/>
    <w:rsid w:val="009D4D72"/>
    <w:rsid w:val="009E6521"/>
    <w:rsid w:val="009F3C32"/>
    <w:rsid w:val="009F5D1D"/>
    <w:rsid w:val="00A00D67"/>
    <w:rsid w:val="00A06D23"/>
    <w:rsid w:val="00A11949"/>
    <w:rsid w:val="00A1231F"/>
    <w:rsid w:val="00A15B8F"/>
    <w:rsid w:val="00A22E8C"/>
    <w:rsid w:val="00A231A5"/>
    <w:rsid w:val="00A314E0"/>
    <w:rsid w:val="00A31E16"/>
    <w:rsid w:val="00A37E8A"/>
    <w:rsid w:val="00A421E3"/>
    <w:rsid w:val="00A5056B"/>
    <w:rsid w:val="00A515D1"/>
    <w:rsid w:val="00A5780E"/>
    <w:rsid w:val="00A64E23"/>
    <w:rsid w:val="00A66C84"/>
    <w:rsid w:val="00A7353A"/>
    <w:rsid w:val="00A736D2"/>
    <w:rsid w:val="00A75681"/>
    <w:rsid w:val="00A83B79"/>
    <w:rsid w:val="00A84EDD"/>
    <w:rsid w:val="00A879E1"/>
    <w:rsid w:val="00A929A6"/>
    <w:rsid w:val="00A94A66"/>
    <w:rsid w:val="00A95EFB"/>
    <w:rsid w:val="00AA1645"/>
    <w:rsid w:val="00AB00C9"/>
    <w:rsid w:val="00AB01BA"/>
    <w:rsid w:val="00AB13E8"/>
    <w:rsid w:val="00AB1410"/>
    <w:rsid w:val="00AB398E"/>
    <w:rsid w:val="00AB39AB"/>
    <w:rsid w:val="00AB3E33"/>
    <w:rsid w:val="00AB4061"/>
    <w:rsid w:val="00AB7DDB"/>
    <w:rsid w:val="00AC2883"/>
    <w:rsid w:val="00AC6B49"/>
    <w:rsid w:val="00AD074F"/>
    <w:rsid w:val="00AD196A"/>
    <w:rsid w:val="00AE13F1"/>
    <w:rsid w:val="00AE5C9E"/>
    <w:rsid w:val="00AF5007"/>
    <w:rsid w:val="00AF5F8F"/>
    <w:rsid w:val="00B11927"/>
    <w:rsid w:val="00B233D0"/>
    <w:rsid w:val="00B23F9A"/>
    <w:rsid w:val="00B24946"/>
    <w:rsid w:val="00B2615A"/>
    <w:rsid w:val="00B2710C"/>
    <w:rsid w:val="00B27B56"/>
    <w:rsid w:val="00B33280"/>
    <w:rsid w:val="00B36793"/>
    <w:rsid w:val="00B46FDD"/>
    <w:rsid w:val="00B5187B"/>
    <w:rsid w:val="00B5455B"/>
    <w:rsid w:val="00B65F28"/>
    <w:rsid w:val="00B718CD"/>
    <w:rsid w:val="00B771BB"/>
    <w:rsid w:val="00B93550"/>
    <w:rsid w:val="00BA4C0D"/>
    <w:rsid w:val="00BA5813"/>
    <w:rsid w:val="00BB2E11"/>
    <w:rsid w:val="00BC1DD1"/>
    <w:rsid w:val="00BC5667"/>
    <w:rsid w:val="00BC7571"/>
    <w:rsid w:val="00BD43CA"/>
    <w:rsid w:val="00BF3C0E"/>
    <w:rsid w:val="00C06110"/>
    <w:rsid w:val="00C06D5A"/>
    <w:rsid w:val="00C101D1"/>
    <w:rsid w:val="00C101D9"/>
    <w:rsid w:val="00C11A71"/>
    <w:rsid w:val="00C249FB"/>
    <w:rsid w:val="00C2799B"/>
    <w:rsid w:val="00C33374"/>
    <w:rsid w:val="00C40409"/>
    <w:rsid w:val="00C454DB"/>
    <w:rsid w:val="00C536C9"/>
    <w:rsid w:val="00C56AFE"/>
    <w:rsid w:val="00C629FF"/>
    <w:rsid w:val="00C73E8C"/>
    <w:rsid w:val="00C760C9"/>
    <w:rsid w:val="00C828D4"/>
    <w:rsid w:val="00C864A9"/>
    <w:rsid w:val="00CA5D2D"/>
    <w:rsid w:val="00CA6776"/>
    <w:rsid w:val="00CA7BF5"/>
    <w:rsid w:val="00CB0CC2"/>
    <w:rsid w:val="00CB41FB"/>
    <w:rsid w:val="00CB78B4"/>
    <w:rsid w:val="00CC005A"/>
    <w:rsid w:val="00CC24B2"/>
    <w:rsid w:val="00CD7447"/>
    <w:rsid w:val="00CE7BEE"/>
    <w:rsid w:val="00D06F11"/>
    <w:rsid w:val="00D11FA7"/>
    <w:rsid w:val="00D214B0"/>
    <w:rsid w:val="00D32919"/>
    <w:rsid w:val="00D3439E"/>
    <w:rsid w:val="00D347BD"/>
    <w:rsid w:val="00D372F4"/>
    <w:rsid w:val="00D44383"/>
    <w:rsid w:val="00D45636"/>
    <w:rsid w:val="00D47CC2"/>
    <w:rsid w:val="00D5553D"/>
    <w:rsid w:val="00D55D29"/>
    <w:rsid w:val="00D56840"/>
    <w:rsid w:val="00D612CE"/>
    <w:rsid w:val="00D676D8"/>
    <w:rsid w:val="00D722CA"/>
    <w:rsid w:val="00D76296"/>
    <w:rsid w:val="00D85FB9"/>
    <w:rsid w:val="00D87872"/>
    <w:rsid w:val="00DA1748"/>
    <w:rsid w:val="00DA2B8F"/>
    <w:rsid w:val="00DB22B5"/>
    <w:rsid w:val="00DC3EE9"/>
    <w:rsid w:val="00DC6A97"/>
    <w:rsid w:val="00DD1CC9"/>
    <w:rsid w:val="00DE093A"/>
    <w:rsid w:val="00DE2988"/>
    <w:rsid w:val="00DE4292"/>
    <w:rsid w:val="00DE7274"/>
    <w:rsid w:val="00DF08A3"/>
    <w:rsid w:val="00DF380E"/>
    <w:rsid w:val="00DF5914"/>
    <w:rsid w:val="00DF5A31"/>
    <w:rsid w:val="00E047E3"/>
    <w:rsid w:val="00E104C8"/>
    <w:rsid w:val="00E26B23"/>
    <w:rsid w:val="00E330EB"/>
    <w:rsid w:val="00E35F60"/>
    <w:rsid w:val="00E44DB1"/>
    <w:rsid w:val="00E50D07"/>
    <w:rsid w:val="00E534C0"/>
    <w:rsid w:val="00E57D62"/>
    <w:rsid w:val="00E72CE6"/>
    <w:rsid w:val="00E87B89"/>
    <w:rsid w:val="00E90358"/>
    <w:rsid w:val="00E940EE"/>
    <w:rsid w:val="00E953CE"/>
    <w:rsid w:val="00EA32C0"/>
    <w:rsid w:val="00EB524D"/>
    <w:rsid w:val="00EB58A5"/>
    <w:rsid w:val="00EC16EA"/>
    <w:rsid w:val="00EC5D8C"/>
    <w:rsid w:val="00ED040A"/>
    <w:rsid w:val="00ED2920"/>
    <w:rsid w:val="00ED2FAD"/>
    <w:rsid w:val="00EE2146"/>
    <w:rsid w:val="00EE3728"/>
    <w:rsid w:val="00EF534F"/>
    <w:rsid w:val="00F0074D"/>
    <w:rsid w:val="00F017E3"/>
    <w:rsid w:val="00F11565"/>
    <w:rsid w:val="00F12AD6"/>
    <w:rsid w:val="00F279C2"/>
    <w:rsid w:val="00F342EB"/>
    <w:rsid w:val="00F357D9"/>
    <w:rsid w:val="00F400B0"/>
    <w:rsid w:val="00F60185"/>
    <w:rsid w:val="00F616E3"/>
    <w:rsid w:val="00F63E14"/>
    <w:rsid w:val="00F63FAE"/>
    <w:rsid w:val="00F672D7"/>
    <w:rsid w:val="00F75228"/>
    <w:rsid w:val="00F7778D"/>
    <w:rsid w:val="00F83DB3"/>
    <w:rsid w:val="00F90C96"/>
    <w:rsid w:val="00F95D0B"/>
    <w:rsid w:val="00FA7CE9"/>
    <w:rsid w:val="00FB308E"/>
    <w:rsid w:val="00FB3F17"/>
    <w:rsid w:val="00FC3764"/>
    <w:rsid w:val="00FD4F9C"/>
    <w:rsid w:val="00FF037E"/>
    <w:rsid w:val="00FF25EB"/>
    <w:rsid w:val="00FF30D9"/>
    <w:rsid w:val="00FF35BA"/>
    <w:rsid w:val="00FF73A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21F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29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unhideWhenUsed/>
    <w:qFormat/>
    <w:rsid w:val="000F3571"/>
    <w:pPr>
      <w:keepNext/>
      <w:suppressAutoHyphens/>
      <w:spacing w:before="240" w:after="60" w:line="240" w:lineRule="auto"/>
      <w:outlineLvl w:val="3"/>
    </w:pPr>
    <w:rPr>
      <w:rFonts w:ascii="Calibri" w:eastAsia="Times New Roman" w:hAnsi="Calibri" w:cs="Times New Roman"/>
      <w:b/>
      <w:b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E8A"/>
    <w:pPr>
      <w:ind w:left="720"/>
      <w:contextualSpacing/>
    </w:pPr>
  </w:style>
  <w:style w:type="character" w:styleId="CommentReference">
    <w:name w:val="annotation reference"/>
    <w:basedOn w:val="DefaultParagraphFont"/>
    <w:unhideWhenUsed/>
    <w:rsid w:val="00F12AD6"/>
    <w:rPr>
      <w:sz w:val="16"/>
      <w:szCs w:val="16"/>
    </w:rPr>
  </w:style>
  <w:style w:type="paragraph" w:styleId="CommentText">
    <w:name w:val="annotation text"/>
    <w:basedOn w:val="Normal"/>
    <w:link w:val="CommentTextChar"/>
    <w:unhideWhenUsed/>
    <w:qFormat/>
    <w:rsid w:val="00F12AD6"/>
    <w:pPr>
      <w:spacing w:line="240" w:lineRule="auto"/>
    </w:pPr>
    <w:rPr>
      <w:sz w:val="20"/>
      <w:szCs w:val="20"/>
    </w:rPr>
  </w:style>
  <w:style w:type="character" w:customStyle="1" w:styleId="CommentTextChar">
    <w:name w:val="Comment Text Char"/>
    <w:basedOn w:val="DefaultParagraphFont"/>
    <w:link w:val="CommentText"/>
    <w:uiPriority w:val="99"/>
    <w:semiHidden/>
    <w:rsid w:val="00F12AD6"/>
    <w:rPr>
      <w:sz w:val="20"/>
      <w:szCs w:val="20"/>
    </w:rPr>
  </w:style>
  <w:style w:type="paragraph" w:styleId="BalloonText">
    <w:name w:val="Balloon Text"/>
    <w:basedOn w:val="Normal"/>
    <w:link w:val="BalloonTextChar"/>
    <w:uiPriority w:val="99"/>
    <w:semiHidden/>
    <w:unhideWhenUsed/>
    <w:rsid w:val="00F1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A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5056B"/>
    <w:rPr>
      <w:b/>
      <w:bCs/>
    </w:rPr>
  </w:style>
  <w:style w:type="character" w:customStyle="1" w:styleId="CommentSubjectChar">
    <w:name w:val="Comment Subject Char"/>
    <w:basedOn w:val="CommentTextChar"/>
    <w:link w:val="CommentSubject"/>
    <w:uiPriority w:val="99"/>
    <w:semiHidden/>
    <w:rsid w:val="00A5056B"/>
    <w:rPr>
      <w:b/>
      <w:bCs/>
      <w:sz w:val="20"/>
      <w:szCs w:val="20"/>
    </w:rPr>
  </w:style>
  <w:style w:type="paragraph" w:styleId="Header">
    <w:name w:val="header"/>
    <w:basedOn w:val="Normal"/>
    <w:link w:val="HeaderChar"/>
    <w:uiPriority w:val="99"/>
    <w:unhideWhenUsed/>
    <w:rsid w:val="003B5AE7"/>
    <w:pPr>
      <w:tabs>
        <w:tab w:val="center" w:pos="4252"/>
        <w:tab w:val="right" w:pos="8504"/>
      </w:tabs>
      <w:spacing w:after="0" w:line="240" w:lineRule="auto"/>
    </w:pPr>
  </w:style>
  <w:style w:type="character" w:customStyle="1" w:styleId="HeaderChar">
    <w:name w:val="Header Char"/>
    <w:basedOn w:val="DefaultParagraphFont"/>
    <w:link w:val="Header"/>
    <w:uiPriority w:val="99"/>
    <w:rsid w:val="003B5AE7"/>
  </w:style>
  <w:style w:type="paragraph" w:styleId="Footer">
    <w:name w:val="footer"/>
    <w:basedOn w:val="Normal"/>
    <w:link w:val="FooterChar"/>
    <w:uiPriority w:val="99"/>
    <w:unhideWhenUsed/>
    <w:rsid w:val="003B5AE7"/>
    <w:pPr>
      <w:tabs>
        <w:tab w:val="center" w:pos="4252"/>
        <w:tab w:val="right" w:pos="8504"/>
      </w:tabs>
      <w:spacing w:after="0" w:line="240" w:lineRule="auto"/>
    </w:pPr>
  </w:style>
  <w:style w:type="character" w:customStyle="1" w:styleId="FooterChar">
    <w:name w:val="Footer Char"/>
    <w:basedOn w:val="DefaultParagraphFont"/>
    <w:link w:val="Footer"/>
    <w:uiPriority w:val="99"/>
    <w:rsid w:val="003B5AE7"/>
  </w:style>
  <w:style w:type="table" w:styleId="TableGrid">
    <w:name w:val="Table Grid"/>
    <w:basedOn w:val="TableNormal"/>
    <w:uiPriority w:val="39"/>
    <w:rsid w:val="0033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0B0"/>
    <w:pPr>
      <w:autoSpaceDE w:val="0"/>
      <w:autoSpaceDN w:val="0"/>
      <w:adjustRightInd w:val="0"/>
      <w:spacing w:after="0" w:line="240" w:lineRule="auto"/>
    </w:pPr>
    <w:rPr>
      <w:rFonts w:ascii="Arial" w:hAnsi="Arial" w:cs="Arial"/>
      <w:color w:val="000000"/>
      <w:sz w:val="24"/>
      <w:szCs w:val="24"/>
    </w:rPr>
  </w:style>
  <w:style w:type="character" w:customStyle="1" w:styleId="st1">
    <w:name w:val="st1"/>
    <w:basedOn w:val="DefaultParagraphFont"/>
    <w:rsid w:val="00CE7BEE"/>
  </w:style>
  <w:style w:type="paragraph" w:customStyle="1" w:styleId="CTENumeracion">
    <w:name w:val="CTE_Numeracion"/>
    <w:basedOn w:val="Normal"/>
    <w:rsid w:val="00016C0D"/>
    <w:pPr>
      <w:spacing w:before="60" w:after="60" w:line="240" w:lineRule="auto"/>
      <w:ind w:left="357" w:hanging="357"/>
      <w:jc w:val="both"/>
    </w:pPr>
    <w:rPr>
      <w:rFonts w:ascii="Arial" w:eastAsia="Times New Roman" w:hAnsi="Arial" w:cs="Times New Roman"/>
      <w:sz w:val="20"/>
      <w:szCs w:val="24"/>
      <w:lang w:eastAsia="es-ES"/>
    </w:rPr>
  </w:style>
  <w:style w:type="character" w:customStyle="1" w:styleId="CTEModTachaprob">
    <w:name w:val="CTE_Mod_Tach_aprob"/>
    <w:rsid w:val="00D06F11"/>
    <w:rPr>
      <w:strike w:val="0"/>
      <w:dstrike w:val="0"/>
      <w:shd w:val="clear" w:color="auto" w:fill="FFFF00"/>
    </w:rPr>
  </w:style>
  <w:style w:type="paragraph" w:styleId="BodyTextIndent2">
    <w:name w:val="Body Text Indent 2"/>
    <w:basedOn w:val="Normal"/>
    <w:link w:val="BodyTextIndent2Char"/>
    <w:uiPriority w:val="99"/>
    <w:semiHidden/>
    <w:unhideWhenUsed/>
    <w:rsid w:val="00D06F11"/>
    <w:pPr>
      <w:suppressAutoHyphens/>
      <w:spacing w:after="120" w:line="480" w:lineRule="auto"/>
      <w:ind w:left="283"/>
    </w:pPr>
    <w:rPr>
      <w:rFonts w:ascii="Times New Roman" w:eastAsia="Times New Roman" w:hAnsi="Times New Roman" w:cs="Times New Roman"/>
      <w:sz w:val="20"/>
      <w:szCs w:val="20"/>
      <w:lang w:eastAsia="zh-CN"/>
    </w:rPr>
  </w:style>
  <w:style w:type="character" w:customStyle="1" w:styleId="BodyTextIndent2Char">
    <w:name w:val="Body Text Indent 2 Char"/>
    <w:basedOn w:val="DefaultParagraphFont"/>
    <w:link w:val="BodyTextIndent2"/>
    <w:uiPriority w:val="99"/>
    <w:semiHidden/>
    <w:rsid w:val="00D06F11"/>
    <w:rPr>
      <w:rFonts w:ascii="Times New Roman" w:eastAsia="Times New Roman" w:hAnsi="Times New Roman" w:cs="Times New Roman"/>
      <w:sz w:val="20"/>
      <w:szCs w:val="20"/>
      <w:lang w:eastAsia="zh-CN"/>
    </w:rPr>
  </w:style>
  <w:style w:type="paragraph" w:customStyle="1" w:styleId="CteTtulo3">
    <w:name w:val="CteTítulo3"/>
    <w:basedOn w:val="Normal"/>
    <w:next w:val="Normal"/>
    <w:autoRedefine/>
    <w:rsid w:val="000F3571"/>
    <w:pPr>
      <w:keepNext/>
      <w:numPr>
        <w:ilvl w:val="2"/>
      </w:numPr>
      <w:spacing w:before="60" w:after="120" w:line="240" w:lineRule="auto"/>
      <w:ind w:left="851"/>
      <w:jc w:val="both"/>
      <w:outlineLvl w:val="3"/>
    </w:pPr>
    <w:rPr>
      <w:rFonts w:ascii="Arial" w:eastAsia="Times New Roman" w:hAnsi="Arial" w:cs="Times New Roman"/>
      <w:b/>
      <w:bCs/>
      <w:lang w:eastAsia="zh-CN"/>
    </w:rPr>
  </w:style>
  <w:style w:type="paragraph" w:customStyle="1" w:styleId="CteAnejo-TituloSeccion">
    <w:name w:val="CteAnejo-TituloSeccion"/>
    <w:basedOn w:val="Normal"/>
    <w:rsid w:val="00D06F11"/>
    <w:pPr>
      <w:keepNext/>
      <w:spacing w:before="480" w:line="240" w:lineRule="auto"/>
      <w:outlineLvl w:val="0"/>
    </w:pPr>
    <w:rPr>
      <w:rFonts w:ascii="Arial" w:eastAsia="Times New Roman" w:hAnsi="Arial" w:cs="Times New Roman"/>
      <w:b/>
      <w:bCs/>
      <w:sz w:val="32"/>
      <w:szCs w:val="24"/>
      <w:lang w:eastAsia="es-ES"/>
    </w:rPr>
  </w:style>
  <w:style w:type="character" w:customStyle="1" w:styleId="EstiloCTEModTachaprob16ptNegritaSinTachado">
    <w:name w:val="Estilo CTE_Mod_Tach_aprob + 16 pt Negrita Sin Tachado"/>
    <w:rsid w:val="00D06F11"/>
    <w:rPr>
      <w:rFonts w:ascii="Arial" w:hAnsi="Arial"/>
      <w:b/>
      <w:bCs/>
      <w:strike/>
      <w:dstrike w:val="0"/>
      <w:sz w:val="32"/>
      <w:bdr w:val="none" w:sz="0" w:space="0" w:color="auto"/>
      <w:shd w:val="clear" w:color="auto" w:fill="auto"/>
    </w:rPr>
  </w:style>
  <w:style w:type="character" w:customStyle="1" w:styleId="EstiloCTEModTachaprobSinTachado">
    <w:name w:val="Estilo CTE_Mod_Tach_aprob + Sin Tachado"/>
    <w:rsid w:val="00D06F11"/>
    <w:rPr>
      <w:strike/>
      <w:dstrike w:val="0"/>
      <w:bdr w:val="none" w:sz="0" w:space="0" w:color="auto"/>
      <w:shd w:val="clear" w:color="auto" w:fill="auto"/>
    </w:rPr>
  </w:style>
  <w:style w:type="paragraph" w:styleId="BodyText">
    <w:name w:val="Body Text"/>
    <w:basedOn w:val="Normal"/>
    <w:link w:val="BodyTextChar"/>
    <w:uiPriority w:val="99"/>
    <w:semiHidden/>
    <w:unhideWhenUsed/>
    <w:rsid w:val="000F3571"/>
    <w:pPr>
      <w:spacing w:after="120"/>
    </w:pPr>
  </w:style>
  <w:style w:type="character" w:customStyle="1" w:styleId="BodyTextChar">
    <w:name w:val="Body Text Char"/>
    <w:basedOn w:val="DefaultParagraphFont"/>
    <w:link w:val="BodyText"/>
    <w:uiPriority w:val="99"/>
    <w:semiHidden/>
    <w:rsid w:val="000F3571"/>
  </w:style>
  <w:style w:type="character" w:customStyle="1" w:styleId="Heading4Char">
    <w:name w:val="Heading 4 Char"/>
    <w:basedOn w:val="DefaultParagraphFont"/>
    <w:link w:val="Heading4"/>
    <w:uiPriority w:val="9"/>
    <w:rsid w:val="000F3571"/>
    <w:rPr>
      <w:rFonts w:ascii="Calibri" w:eastAsia="Times New Roman" w:hAnsi="Calibri" w:cs="Times New Roman"/>
      <w:b/>
      <w:bCs/>
      <w:sz w:val="28"/>
      <w:szCs w:val="28"/>
      <w:lang w:eastAsia="zh-CN"/>
    </w:rPr>
  </w:style>
  <w:style w:type="paragraph" w:customStyle="1" w:styleId="nota">
    <w:name w:val="nota"/>
    <w:basedOn w:val="Normal"/>
    <w:rsid w:val="000F3571"/>
    <w:pPr>
      <w:tabs>
        <w:tab w:val="left" w:pos="1122"/>
        <w:tab w:val="left" w:pos="1309"/>
      </w:tabs>
      <w:spacing w:after="0" w:line="240" w:lineRule="auto"/>
      <w:jc w:val="both"/>
    </w:pPr>
    <w:rPr>
      <w:rFonts w:ascii="Arial" w:eastAsia="Times New Roman" w:hAnsi="Arial" w:cs="Arial"/>
      <w:bCs/>
      <w:sz w:val="20"/>
      <w:szCs w:val="24"/>
      <w:lang w:eastAsia="es-ES"/>
    </w:rPr>
  </w:style>
  <w:style w:type="paragraph" w:customStyle="1" w:styleId="Ttulo1CTE">
    <w:name w:val="Título1CTE"/>
    <w:basedOn w:val="Heading1"/>
    <w:next w:val="Normal"/>
    <w:autoRedefine/>
    <w:rsid w:val="00ED2920"/>
    <w:pPr>
      <w:keepLines w:val="0"/>
      <w:spacing w:after="200" w:line="240" w:lineRule="auto"/>
      <w:jc w:val="both"/>
    </w:pPr>
    <w:rPr>
      <w:rFonts w:ascii="Arial" w:eastAsia="Times New Roman" w:hAnsi="Arial" w:cs="Arial"/>
      <w:b/>
      <w:bCs/>
      <w:color w:val="auto"/>
      <w:kern w:val="32"/>
      <w:sz w:val="28"/>
      <w:lang w:eastAsia="es-ES"/>
    </w:rPr>
  </w:style>
  <w:style w:type="character" w:customStyle="1" w:styleId="Heading1Char">
    <w:name w:val="Heading 1 Char"/>
    <w:basedOn w:val="DefaultParagraphFont"/>
    <w:link w:val="Heading1"/>
    <w:uiPriority w:val="9"/>
    <w:rsid w:val="00ED2920"/>
    <w:rPr>
      <w:rFonts w:asciiTheme="majorHAnsi" w:eastAsiaTheme="majorEastAsia" w:hAnsiTheme="majorHAnsi" w:cstheme="majorBidi"/>
      <w:color w:val="2E74B5" w:themeColor="accent1" w:themeShade="BF"/>
      <w:sz w:val="32"/>
      <w:szCs w:val="32"/>
    </w:rPr>
  </w:style>
  <w:style w:type="paragraph" w:customStyle="1" w:styleId="artculo-tex">
    <w:name w:val="artículo-tex"/>
    <w:basedOn w:val="Normal"/>
    <w:rsid w:val="007902B8"/>
    <w:pPr>
      <w:pBdr>
        <w:top w:val="single" w:sz="4" w:space="1" w:color="00000A"/>
        <w:left w:val="single" w:sz="4" w:space="4" w:color="00000A"/>
        <w:bottom w:val="single" w:sz="4" w:space="1" w:color="00000A"/>
        <w:right w:val="single" w:sz="4" w:space="4" w:color="00000A"/>
      </w:pBdr>
      <w:suppressAutoHyphens/>
      <w:autoSpaceDN w:val="0"/>
      <w:spacing w:before="60" w:after="60" w:line="240" w:lineRule="auto"/>
      <w:textAlignment w:val="baseline"/>
    </w:pPr>
    <w:rPr>
      <w:rFonts w:ascii="Arial" w:eastAsia="Arial" w:hAnsi="Arial" w:cs="Arial"/>
      <w:kern w:val="3"/>
      <w:szCs w:val="24"/>
      <w:lang w:eastAsia="es-ES" w:bidi="hi-IN"/>
    </w:rPr>
  </w:style>
  <w:style w:type="numbering" w:customStyle="1" w:styleId="WWNum3">
    <w:name w:val="WWNum3"/>
    <w:basedOn w:val="NoList"/>
    <w:rsid w:val="007902B8"/>
    <w:pPr>
      <w:numPr>
        <w:numId w:val="3"/>
      </w:numPr>
    </w:pPr>
  </w:style>
  <w:style w:type="paragraph" w:styleId="Revision">
    <w:name w:val="Revision"/>
    <w:hidden/>
    <w:uiPriority w:val="99"/>
    <w:semiHidden/>
    <w:rsid w:val="009064BC"/>
    <w:pPr>
      <w:spacing w:after="0" w:line="240" w:lineRule="auto"/>
    </w:pPr>
  </w:style>
  <w:style w:type="paragraph" w:styleId="NormalWeb">
    <w:name w:val="Normal (Web)"/>
    <w:basedOn w:val="Normal"/>
    <w:uiPriority w:val="99"/>
    <w:semiHidden/>
    <w:unhideWhenUsed/>
    <w:rsid w:val="004D10CA"/>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7654">
      <w:bodyDiv w:val="1"/>
      <w:marLeft w:val="0"/>
      <w:marRight w:val="0"/>
      <w:marTop w:val="0"/>
      <w:marBottom w:val="0"/>
      <w:divBdr>
        <w:top w:val="none" w:sz="0" w:space="0" w:color="auto"/>
        <w:left w:val="none" w:sz="0" w:space="0" w:color="auto"/>
        <w:bottom w:val="none" w:sz="0" w:space="0" w:color="auto"/>
        <w:right w:val="none" w:sz="0" w:space="0" w:color="auto"/>
      </w:divBdr>
    </w:div>
    <w:div w:id="60955575">
      <w:bodyDiv w:val="1"/>
      <w:marLeft w:val="0"/>
      <w:marRight w:val="0"/>
      <w:marTop w:val="0"/>
      <w:marBottom w:val="0"/>
      <w:divBdr>
        <w:top w:val="none" w:sz="0" w:space="0" w:color="auto"/>
        <w:left w:val="none" w:sz="0" w:space="0" w:color="auto"/>
        <w:bottom w:val="none" w:sz="0" w:space="0" w:color="auto"/>
        <w:right w:val="none" w:sz="0" w:space="0" w:color="auto"/>
      </w:divBdr>
    </w:div>
    <w:div w:id="121000711">
      <w:bodyDiv w:val="1"/>
      <w:marLeft w:val="0"/>
      <w:marRight w:val="0"/>
      <w:marTop w:val="0"/>
      <w:marBottom w:val="0"/>
      <w:divBdr>
        <w:top w:val="none" w:sz="0" w:space="0" w:color="auto"/>
        <w:left w:val="none" w:sz="0" w:space="0" w:color="auto"/>
        <w:bottom w:val="none" w:sz="0" w:space="0" w:color="auto"/>
        <w:right w:val="none" w:sz="0" w:space="0" w:color="auto"/>
      </w:divBdr>
    </w:div>
    <w:div w:id="376441447">
      <w:bodyDiv w:val="1"/>
      <w:marLeft w:val="0"/>
      <w:marRight w:val="0"/>
      <w:marTop w:val="0"/>
      <w:marBottom w:val="0"/>
      <w:divBdr>
        <w:top w:val="none" w:sz="0" w:space="0" w:color="auto"/>
        <w:left w:val="none" w:sz="0" w:space="0" w:color="auto"/>
        <w:bottom w:val="none" w:sz="0" w:space="0" w:color="auto"/>
        <w:right w:val="none" w:sz="0" w:space="0" w:color="auto"/>
      </w:divBdr>
    </w:div>
    <w:div w:id="396248004">
      <w:bodyDiv w:val="1"/>
      <w:marLeft w:val="0"/>
      <w:marRight w:val="0"/>
      <w:marTop w:val="0"/>
      <w:marBottom w:val="0"/>
      <w:divBdr>
        <w:top w:val="none" w:sz="0" w:space="0" w:color="auto"/>
        <w:left w:val="none" w:sz="0" w:space="0" w:color="auto"/>
        <w:bottom w:val="none" w:sz="0" w:space="0" w:color="auto"/>
        <w:right w:val="none" w:sz="0" w:space="0" w:color="auto"/>
      </w:divBdr>
    </w:div>
    <w:div w:id="509684053">
      <w:bodyDiv w:val="1"/>
      <w:marLeft w:val="0"/>
      <w:marRight w:val="0"/>
      <w:marTop w:val="0"/>
      <w:marBottom w:val="0"/>
      <w:divBdr>
        <w:top w:val="none" w:sz="0" w:space="0" w:color="auto"/>
        <w:left w:val="none" w:sz="0" w:space="0" w:color="auto"/>
        <w:bottom w:val="none" w:sz="0" w:space="0" w:color="auto"/>
        <w:right w:val="none" w:sz="0" w:space="0" w:color="auto"/>
      </w:divBdr>
    </w:div>
    <w:div w:id="546919842">
      <w:bodyDiv w:val="1"/>
      <w:marLeft w:val="0"/>
      <w:marRight w:val="0"/>
      <w:marTop w:val="0"/>
      <w:marBottom w:val="0"/>
      <w:divBdr>
        <w:top w:val="none" w:sz="0" w:space="0" w:color="auto"/>
        <w:left w:val="none" w:sz="0" w:space="0" w:color="auto"/>
        <w:bottom w:val="none" w:sz="0" w:space="0" w:color="auto"/>
        <w:right w:val="none" w:sz="0" w:space="0" w:color="auto"/>
      </w:divBdr>
    </w:div>
    <w:div w:id="722481125">
      <w:bodyDiv w:val="1"/>
      <w:marLeft w:val="0"/>
      <w:marRight w:val="0"/>
      <w:marTop w:val="0"/>
      <w:marBottom w:val="0"/>
      <w:divBdr>
        <w:top w:val="none" w:sz="0" w:space="0" w:color="auto"/>
        <w:left w:val="none" w:sz="0" w:space="0" w:color="auto"/>
        <w:bottom w:val="none" w:sz="0" w:space="0" w:color="auto"/>
        <w:right w:val="none" w:sz="0" w:space="0" w:color="auto"/>
      </w:divBdr>
    </w:div>
    <w:div w:id="770051861">
      <w:bodyDiv w:val="1"/>
      <w:marLeft w:val="0"/>
      <w:marRight w:val="0"/>
      <w:marTop w:val="0"/>
      <w:marBottom w:val="0"/>
      <w:divBdr>
        <w:top w:val="none" w:sz="0" w:space="0" w:color="auto"/>
        <w:left w:val="none" w:sz="0" w:space="0" w:color="auto"/>
        <w:bottom w:val="none" w:sz="0" w:space="0" w:color="auto"/>
        <w:right w:val="none" w:sz="0" w:space="0" w:color="auto"/>
      </w:divBdr>
    </w:div>
    <w:div w:id="1072502409">
      <w:bodyDiv w:val="1"/>
      <w:marLeft w:val="0"/>
      <w:marRight w:val="0"/>
      <w:marTop w:val="0"/>
      <w:marBottom w:val="0"/>
      <w:divBdr>
        <w:top w:val="none" w:sz="0" w:space="0" w:color="auto"/>
        <w:left w:val="none" w:sz="0" w:space="0" w:color="auto"/>
        <w:bottom w:val="none" w:sz="0" w:space="0" w:color="auto"/>
        <w:right w:val="none" w:sz="0" w:space="0" w:color="auto"/>
      </w:divBdr>
    </w:div>
    <w:div w:id="1357737051">
      <w:bodyDiv w:val="1"/>
      <w:marLeft w:val="0"/>
      <w:marRight w:val="0"/>
      <w:marTop w:val="0"/>
      <w:marBottom w:val="0"/>
      <w:divBdr>
        <w:top w:val="none" w:sz="0" w:space="0" w:color="auto"/>
        <w:left w:val="none" w:sz="0" w:space="0" w:color="auto"/>
        <w:bottom w:val="none" w:sz="0" w:space="0" w:color="auto"/>
        <w:right w:val="none" w:sz="0" w:space="0" w:color="auto"/>
      </w:divBdr>
    </w:div>
    <w:div w:id="1387997225">
      <w:bodyDiv w:val="1"/>
      <w:marLeft w:val="0"/>
      <w:marRight w:val="0"/>
      <w:marTop w:val="0"/>
      <w:marBottom w:val="0"/>
      <w:divBdr>
        <w:top w:val="none" w:sz="0" w:space="0" w:color="auto"/>
        <w:left w:val="none" w:sz="0" w:space="0" w:color="auto"/>
        <w:bottom w:val="none" w:sz="0" w:space="0" w:color="auto"/>
        <w:right w:val="none" w:sz="0" w:space="0" w:color="auto"/>
      </w:divBdr>
    </w:div>
    <w:div w:id="1499466132">
      <w:bodyDiv w:val="1"/>
      <w:marLeft w:val="0"/>
      <w:marRight w:val="0"/>
      <w:marTop w:val="0"/>
      <w:marBottom w:val="0"/>
      <w:divBdr>
        <w:top w:val="none" w:sz="0" w:space="0" w:color="auto"/>
        <w:left w:val="none" w:sz="0" w:space="0" w:color="auto"/>
        <w:bottom w:val="none" w:sz="0" w:space="0" w:color="auto"/>
        <w:right w:val="none" w:sz="0" w:space="0" w:color="auto"/>
      </w:divBdr>
    </w:div>
    <w:div w:id="1542666667">
      <w:bodyDiv w:val="1"/>
      <w:marLeft w:val="0"/>
      <w:marRight w:val="0"/>
      <w:marTop w:val="0"/>
      <w:marBottom w:val="0"/>
      <w:divBdr>
        <w:top w:val="none" w:sz="0" w:space="0" w:color="auto"/>
        <w:left w:val="none" w:sz="0" w:space="0" w:color="auto"/>
        <w:bottom w:val="none" w:sz="0" w:space="0" w:color="auto"/>
        <w:right w:val="none" w:sz="0" w:space="0" w:color="auto"/>
      </w:divBdr>
    </w:div>
    <w:div w:id="1667325047">
      <w:bodyDiv w:val="1"/>
      <w:marLeft w:val="0"/>
      <w:marRight w:val="0"/>
      <w:marTop w:val="0"/>
      <w:marBottom w:val="0"/>
      <w:divBdr>
        <w:top w:val="none" w:sz="0" w:space="0" w:color="auto"/>
        <w:left w:val="none" w:sz="0" w:space="0" w:color="auto"/>
        <w:bottom w:val="none" w:sz="0" w:space="0" w:color="auto"/>
        <w:right w:val="none" w:sz="0" w:space="0" w:color="auto"/>
      </w:divBdr>
    </w:div>
    <w:div w:id="21339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334,55,Diapositiva 55"/></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FEA9B-792F-40C8-B620-4B433326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6575</Words>
  <Characters>37484</Characters>
  <Application>Microsoft Office Word</Application>
  <DocSecurity>0</DocSecurity>
  <Lines>312</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2021-10-05T06:19:00Z</dcterms:created>
  <dcterms:modified xsi:type="dcterms:W3CDTF">2021-11-03T08:24:00Z</dcterms:modified>
</cp:coreProperties>
</file>