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3C93123" w:rsidR="005074AB" w:rsidRPr="00EA32C0" w:rsidRDefault="005074AB" w:rsidP="00EA32C0">
      <w:pPr>
        <w:jc w:val="both"/>
        <w:rPr>
          <w:rFonts w:cstheme="minorHAnsi"/>
          <w:b/>
        </w:rPr>
      </w:pPr>
      <w:r>
        <w:rPr>
          <w:b/>
        </w:rPr>
        <w:t>Karaļa dekrēta projekts,</w:t>
      </w:r>
      <w:r>
        <w:rPr>
          <w:b/>
        </w:rPr>
        <w:tab/>
      </w:r>
      <w:r>
        <w:rPr>
          <w:b/>
        </w:rPr>
        <w:tab/>
        <w:t xml:space="preserve"> ar ko groza Būvniecības Tehnisko kodeksu, kas apstiprināts ar Karaļa 17. dekrētu Nr. 314/2006. Marts</w:t>
      </w:r>
    </w:p>
    <w:p w14:paraId="42548872" w14:textId="172DDCC5" w:rsidR="005074AB" w:rsidRPr="003934E5" w:rsidRDefault="005074AB" w:rsidP="005074AB">
      <w:pPr>
        <w:jc w:val="both"/>
        <w:rPr>
          <w:rFonts w:cstheme="minorHAnsi"/>
        </w:rPr>
      </w:pPr>
      <w:r>
        <w:t>5. novembra Likumā Nr. 38/1999 par būvnoteikumiem Ēku Tehniskais kodekss (CTE) ir definēts kā tiesiskais regulējums, kas nosaka kvalitātes pamatprasības ēkām un to iekārtām un nodrošina atbilstību 3. pantā noteiktajām pamatprasībām. Šajā likumā paredzētais Būvniecības tehniskais kodekss (CTE) tika apstiprināts ar Karaļa 17. marta dekrētu Nr. 314/2006. Pamatdokumenti, kas veido CTE II daļu, ir izklāstīti un attiecīgā gadījumā kvantificē I daļā noteiktās pamatprasības, nosakot darbības uzlabošanas mērķa līmeņus vai robežvērtības, vai citus parametrus. Jo īpaši BP-HE pamatdokumentā “Energotaupība” ir noteiktas un kvantitatīvi noteiktas energoefektivitātes prasības, kas jāievēro jaunceltnēm, kā arī pasākumi attiecībā uz esošajām ēkām.</w:t>
      </w:r>
    </w:p>
    <w:p w14:paraId="400360D8" w14:textId="77777777" w:rsidR="005074AB" w:rsidRPr="003934E5" w:rsidRDefault="005074AB" w:rsidP="005074AB">
      <w:pPr>
        <w:jc w:val="both"/>
        <w:rPr>
          <w:rFonts w:cstheme="minorHAnsi"/>
        </w:rPr>
      </w:pPr>
      <w:r>
        <w:t>2018. gada 30. maijā tika pieņemta Eiropas Parlamenta un Padomes Direktīva (ES) 2018/844, ar ko groza Direktīvu 2010/31/ES par ēku energoefektivitāti un Direktīvu 2012/27/ES par energoefektivitāti.</w:t>
      </w:r>
    </w:p>
    <w:p w14:paraId="0B5B2276" w14:textId="142A5C6B" w:rsidR="005A6E61" w:rsidRPr="003934E5" w:rsidRDefault="005074AB" w:rsidP="005A6E61">
      <w:pPr>
        <w:jc w:val="both"/>
        <w:rPr>
          <w:rFonts w:cstheme="minorHAnsi"/>
        </w:rPr>
      </w:pPr>
      <w:r>
        <w:t>Šī direktīva paredz nosacījumus, lai izstrādātu minimālo infrastruktūru, kas vajadzīga viedai uzlādei elektrotransportlīdzekļu stāvvietās ēkās. Tādējādi gan būvniecības, gan mobilitātes nozares ir stratēģiskas jomas ekonomikas vispārējai dekarbonizācijai ar tiesisko regulējumu, kura mērķis ir veicināt inovāciju, ilgtspēju un energoefektivitāti šajās nozarēs.</w:t>
      </w:r>
    </w:p>
    <w:p w14:paraId="4245C855" w14:textId="1828DE90" w:rsidR="005A6E61" w:rsidRPr="003934E5" w:rsidRDefault="005A6E61" w:rsidP="005A6E61">
      <w:pPr>
        <w:jc w:val="both"/>
        <w:rPr>
          <w:rFonts w:cstheme="minorHAnsi"/>
        </w:rPr>
      </w:pPr>
      <w:r>
        <w:t>Savukārt infrastruktūras attīstība viedai elektrotransportlīdzekļu uzlādei veicinās enerģijas pārvaldību un elastīgumu, atjaunojamo energoresursu izmantošanu un gaisa kvalitātes uzlabošanu, un tās energoefektivitāte tiks optimizēta, padarot ēkas digitālākas un iekļaujot šajā jomā jaunas tehnoloģijas.</w:t>
      </w:r>
    </w:p>
    <w:p w14:paraId="45A016F5" w14:textId="74A214E6" w:rsidR="005A6E61" w:rsidRPr="003934E5" w:rsidRDefault="005A6E61" w:rsidP="005A6E61">
      <w:pPr>
        <w:jc w:val="both"/>
        <w:rPr>
          <w:rFonts w:cstheme="minorHAnsi"/>
        </w:rPr>
      </w:pPr>
      <w:r>
        <w:t xml:space="preserve">Savukārt integrētajā nacionālajā enerģētikas un klimata plānā 2021.–2030. gadam (PNIEC), ko Spānija iesniedza Eiropas Komisijai, ir paredzēts veicināt elektromobilitāti kā pasākumu enerģijas patēriņa un transportlīdzekļu emisiju samazināšanai, regulējot un iekļaujot Eiropas Savienības tiesību aktus, kas ļauj ieviest elektrotransportlīdzekļu uzlādes infrastruktūru atbilstīgi transportlīdzekļu parka elektrifikācijas attīstībai, kā arī izmantojot citus veicināšanas un atbalsta mehānismus. </w:t>
      </w:r>
    </w:p>
    <w:p w14:paraId="3BF925DC" w14:textId="3FA9F544" w:rsidR="00A75681" w:rsidRPr="000E4F56" w:rsidRDefault="00C33374" w:rsidP="00A75681">
      <w:pPr>
        <w:jc w:val="both"/>
        <w:rPr>
          <w:rFonts w:cstheme="minorHAnsi"/>
        </w:rPr>
      </w:pPr>
      <w:r>
        <w:t>Lai sasniegtu šos mērķus un daļēji transponētu direktīvu šajā sakarā, ar šo Karaļa dekrētu Ēku inženiertehniskajā kodeksā ievieš jaunu energotaupības pamatprasību attiecībā uz minimālajiem piešķīrumiem elektrotransportlīdzekļu uzlādes infrastruktūrai, kas tiek izstrādāta Enerģijas ietaupījuma pamatdokumenta HE 6. iedaļā “Minimālās uzlādes infrastruktūras iekārtas elektrotransportlīdzekļiem”. Lai nodrošinātu pieejamības nosacījumus uzlādes punktiem pieejamās autostāvvietās, groza pamatdokumentu DB-SUA “Lietošanas drošība un pieejamība”.</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t xml:space="preserve">Savukārt un saskaņā ar 20. maija Likuma Nr. 7/2021 par klimata pārmaiņām un enerģētikas pārkārtošanu noteikumiem 17. marta Karaļa Dekrētā Nr. 314/2006, ar kuru tiek apstiprināts Ēku Tehniskais kodekss, ir noteiktas šādas prasības attiecībā uz minimālo noteikumu minimumu attiecībā uz elektrotransportlīdzekļu uzlādes infrastruktūru esošajās ēkās, kas nav privātas dzīvojamās ēkas, kurās ir vairāk nekā divdesmit stāvvietas vai nu iekštelpās, vai noteiktā āra platībā un kuras nav iekļautas Pamatdokumenta par enerģijas taupīšanu HE6 iedaļas </w:t>
      </w:r>
      <w:r>
        <w:lastRenderedPageBreak/>
        <w:t xml:space="preserve">piemērošanas jomā. 20. maija Likumā Nr. 7/2021 par klimata pārmaiņām un enerģētikas pārkārtošanu ir noteikts pienākums nodrošināt, lai šis noteikums, kas noteikts Ēku Tehniskajā kodeksā, būtu spēkā līdz 2023. gada 1. janvārim. </w:t>
      </w:r>
    </w:p>
    <w:p w14:paraId="1192FDEB" w14:textId="77777777" w:rsidR="005074AB" w:rsidRPr="009064BC" w:rsidRDefault="005074AB" w:rsidP="005074AB">
      <w:pPr>
        <w:jc w:val="both"/>
        <w:rPr>
          <w:rFonts w:cstheme="minorHAnsi"/>
        </w:rPr>
      </w:pPr>
      <w:r>
        <w:t>Visbeidzot, lai pabeigtu elektrotransportlīdzekļu uzlādes infrastruktūras regulēšanu, tiek grozīta ar Karaļa 12. decembra dekrētu 1053/2014 apstiprinātā Zemsprieguma elektrotehnisko noteikumu BT-52 papildinošā tehniskā instrukcija (ITC) un grozītas citas papildu tehniskās instrukcijas.</w:t>
      </w:r>
    </w:p>
    <w:p w14:paraId="53205125" w14:textId="62D4F2A6" w:rsidR="005A6E61" w:rsidRPr="009064BC" w:rsidRDefault="005074AB" w:rsidP="005A6E61">
      <w:pPr>
        <w:jc w:val="both"/>
        <w:rPr>
          <w:rFonts w:cstheme="minorHAnsi"/>
        </w:rPr>
      </w:pPr>
      <w:r>
        <w:t xml:space="preserve">Turklāt, lai veicinātu atjaunojamo energoresursu izmantošanu, uzlabotu ražošanas nozaru konkurētspēju un mudinātu patērētājus vairāk iesaistīties enerģijas apsaimniekošanā, PNIEC paredz attīstīt pašpatēriņu, izmantojot atjaunojamo enerģiju, un sadalītu ražošanu dzīvojamās un uzņēmējdarbības teritorijās. </w:t>
      </w:r>
    </w:p>
    <w:p w14:paraId="4F23D1D3" w14:textId="56BE7436" w:rsidR="005074AB" w:rsidRPr="009064BC" w:rsidRDefault="005A6E61" w:rsidP="005074AB">
      <w:pPr>
        <w:jc w:val="both"/>
        <w:rPr>
          <w:rFonts w:cstheme="minorHAnsi"/>
        </w:rPr>
      </w:pPr>
      <w:r>
        <w:t xml:space="preserve">Šajā ziņā 5. aprīļa Karaļa dekrēta Nr. 244/2019 apstiprināšana, kas regulē elektroenerģijas pašpatēriņa administratīvos, tehniskos un ekonomiskos nosacījumus, cita starpā ir ļāvusi īstenot kolektīvu pašpatēriņu un vienlaikus ir samazinājusi administratīvās procedūras pašpatēriņa īstenošanai. Tāpēc tiek uzskatīts, ka pašreizējais tiesiskais regulējums ļauj paplašināt HE 5 pamatprasības darbības jomu attiecībā uz minimālo elektroenerģijas ražošanu, gan padarot to piemērojamām ēkām, kas paredzētas privātai lietošanai dzīvojamās ēkās, gan pazeminot celtās platības robežvērtību ēkās, kurās šī prasība ir piemērojama. </w:t>
      </w:r>
    </w:p>
    <w:p w14:paraId="2C3560FF" w14:textId="60FA6548" w:rsidR="005074AB" w:rsidRDefault="005074AB" w:rsidP="005074AB">
      <w:pPr>
        <w:jc w:val="both"/>
        <w:rPr>
          <w:rFonts w:cstheme="minorHAnsi"/>
        </w:rPr>
      </w:pPr>
      <w:r>
        <w:t>Turklāt pēc tam, kad Karaļa 20. decembra Dekrētā Nr. 732/2019, ar ko groza ar Karaļa 17. marta Karaļa dekrētu Nr. 314/2006 apstiprināto Ēku tehnisko kodeksu, kurš publicēts 2019. gada 27. decembra “BOE” Nr. 311, ir konstatētas kļūdas un drukas kļūdas, ar šo tiek veikti attiecīgi labojumi. Savukārt, lai precizētu pamatdokumenta DB-HE par “Enerģijas taupīšanu” piemērošanas veidu pēc tā atjaunināšanas ar iepriekš minēto Karaļa dekrētu Nr. 732/2019, tiek uzskatīts par nepieciešamu grozīt formulējumu dažās iedaļās HE 1. iedaļā par nosacījumiem enerģijas pieprasījuma kontrolei un A pielikumā par terminoloģiju iepriekš minētajā pamatdokumentā.</w:t>
      </w:r>
    </w:p>
    <w:p w14:paraId="010C68C8" w14:textId="6D1CCB96" w:rsidR="00E26B23" w:rsidRDefault="00E26B23" w:rsidP="00B65F28">
      <w:pPr>
        <w:jc w:val="both"/>
        <w:rPr>
          <w:rFonts w:cstheme="minorHAnsi"/>
          <w:bCs/>
        </w:rPr>
      </w:pPr>
      <w:r>
        <w:t xml:space="preserve">Tehniskā kodeksa grozījums, kas saistīts ar jaunās HE 6. iedaļas “Minimālie noteikumi elektrotransportlīdzekļu uzlādes infrastruktūrai” iekļaušanu pamatdokumentā par enerģijas taupīšanu, kā arī grozījumi Karaļa 12. decembra Dekrētā Nr. 1053/2014, ar ko apstiprina jaunu papildu tehnisko instrukciju (ITC) BT 52, kas iekļauta 17. marta Karaļa dekrēta Nr. 314/2006 pirmajā nobeiguma noteikumā un vienotajā papildu noteikumā, ar ko apstiprina Būvniecības Tehnisko kodeksu, ir daļa no tiesiskajām reformām, kas paredzētas atveseļošanas, pārveides un noturības plānā (PRTR). Konkrēti PRTR 1. komponents “Ilgtspējīgas, drošas un savienotas mobilitātes triecienu plāns pilsētu un lielpilsētu vidē” paredz apstiprināt šo Karaļa dekrētu, ar ko īsteno iepriekš minētās juridiskās reformas C1.R1 reformā “Plāns uzlādes infrastruktūras ieviešanai un elektrisko transportlīdzekļu veicināšanai”.  C1.R1 reforma ir izstrādāta kā normatīvs, reglamentējošs un stratēģisks satvars, lai atvieglotu uzlādes infrastruktūras ieviešanu elektrisko transportlīdzekļu veicināšanai Spānijā, un tai ir divi atskaites punkti. Pirmais no tiem ir izveidots ar 19. februāra Rīkojumu TMA/178/2020, ar ko groza 1997. gada 16. decembra rīkojumu, ar ko reglamentē piekļuvi valsts ceļiem, apkalpes ceļiem un apkalpes vietu būvniecību, un ar Karaļa 23. jūnija Dekrētu Nr. 23/2020, ar ko apstiprina pasākumus enerģētikas jomā un citās ekonomikas atjaunošanas jomās. Otrais C1.R1 reformas pavērsiens ietver šā Karaļa dekrēta, ar ko groza Būvniecības tehnisko kodeksu, un Karaļa 12. decembra dekrēta Nr. 1053/2014 </w:t>
      </w:r>
      <w:r>
        <w:lastRenderedPageBreak/>
        <w:t xml:space="preserve">apstiprināšanu, ar ko apstiprina jaunu papildu tehnisko instrukciju (ITC) BT 52.  Reforma C1.R1. ir saistīta ar ieguldījumu C1.I2 “Plāns uzlādes punktu uzstādīšanai, elektrisko un degvielas transportlīdzekļu iegādei un inovācijai elektromobilitātes, uzlādes un zaļā ūdeņraža jomā”. Šis ieguldījums ietver atbalsta līnijas uzlādes staciju uzstādīšanai, kas noteiktas Karaļa 13. aprīļa Dekrētā Nr. 266/2021, ar ko apstiprina tiešu atbalsta piešķiršanu autonomajām kopienām un Seūtas un Meliļas pilsētām ar elektrisko mobilitāti saistītu stimulu programmu (MOVES III) īstenošanai PRTR ietvaros. </w:t>
      </w:r>
    </w:p>
    <w:p w14:paraId="65C24996" w14:textId="1073EF13" w:rsidR="003F7C25" w:rsidRPr="001C78CB" w:rsidRDefault="003F7C25" w:rsidP="005074AB">
      <w:pPr>
        <w:jc w:val="both"/>
        <w:rPr>
          <w:rFonts w:cstheme="minorHAnsi"/>
          <w:bCs/>
          <w:i/>
          <w:iCs/>
        </w:rPr>
      </w:pPr>
      <w:r>
        <w:t xml:space="preserve">Šajā Karaļa dekrētā ir ievērots (princips “nenodarīt būtisku kaitējumu” (DNSH) un nosacījumi klimatam un digitālajam marķējumam saskaņā ar PRTR, Eiropas Parlamenta un Padomes 2021. gada 12. februāra Regulu (ES) 2021/241, ar ko izveido noturības un atveseļošanas mehānismu, un tās īstenošanas tiesību akti, jo īpaši Komisijas paziņojums par būtiska kaitējuma principa piemērošanu saskaņā ar noturības un atveseļošanas mehānisma regulu, kā arī prasības, kas noteiktas Padomes Īstenošanas lēmumā par Spānijas atveseļošanas, pārveides un noturības plāna novērtējuma apstiprināšanu. Tas ietver atbilstību īpašajiem nosacījumiem, kas izklāstīti 1. komponentā, kā arī 1. reformā, kurā ir izstrādāts šis Karaļa dekrēts, gan attiecībā uz DNSH principu, gan klimata un digitālo marķējumu, un jo īpaši tiem, kas izklāstīti PRTR komponenta dokumenta 3., 6. un 8. iedaļā. PRTR ieguldījumos C1.I2, kas saistīti ar reformu C1.R1, tiek ievērots arī princips, ka netiek nodarīts būtisks kaitējums videi, kā arī klimata un digitālā marķējuma nosacījumi. </w:t>
      </w:r>
    </w:p>
    <w:p w14:paraId="16D6EC35" w14:textId="6F02251C" w:rsidR="005074AB" w:rsidRPr="009064BC" w:rsidRDefault="005074AB" w:rsidP="005074AB">
      <w:pPr>
        <w:ind w:left="13"/>
        <w:jc w:val="both"/>
        <w:rPr>
          <w:rFonts w:cstheme="minorHAnsi"/>
        </w:rPr>
      </w:pPr>
      <w:r>
        <w:t>Šis Karaļa dekrēts atbilst nepieciešamības, efektivitātes, proporcionalitātes, tiesiskās noteiktības, pārskatāmības un efektivitātes principiem, kas noteikti 129. pantā 1. oktobra Likumā Nr. 39/2015 par valsts pārvaldes iestāžu kopējo administratīvo procedūru. Attiecībā uz nepieciešamības un efektivitātes principiem tiesību akti atbilst pienākumam transponēt Eiropas direktīvas valsts tiesību aktos un atbilst vispārējas nozīmes mērķiem, piemēram, ēku infrastruktūras pielāgošanai, lai veicinātu ilgtspējīgu mobilitāti un atjaunojamās enerģijas izmantošanu. Tā rezultātā tiks nodrošināta sabiedrības labklājība un vides aizsardzība. Šis Karaļa dekrēts atbilst arī proporcionalitātes principam, jo tas nodrošina nepieciešamos un pietiekamus līdzekļus, lai īstenotu direktīvā paredzētās juridiskās pilnvaras, bet neprasa jauninājumus, kas varētu būt nevajadzīgi vai pārsniegtu juridiskās prasības, nedz arī pilsoņu tiesību ierobežošanu. Šie noteikumi atbilst tiesiskās noteiktības principam, jo tie ir izstrādāti saskaņā ar kārtību, kas noteikta 1997. gada 27. novembra Valdības likumā 50/1997, un pārskatāmības principu, jo tajā ir skaidri norādīts tās mērķis un publiski pieejamais paskaidrojuma raksts pilnībā izskaidro tā saturu. Visbeidzot, tas atbilst arī efektivitātes principam, jo tas nerada nekādu administratīvo slogu.</w:t>
      </w:r>
    </w:p>
    <w:p w14:paraId="4E30715D" w14:textId="77777777" w:rsidR="005074AB" w:rsidRPr="009064BC" w:rsidRDefault="005074AB" w:rsidP="005074AB">
      <w:pPr>
        <w:jc w:val="both"/>
        <w:rPr>
          <w:rFonts w:cstheme="minorHAnsi"/>
        </w:rPr>
      </w:pPr>
      <w:r>
        <w:t>Uz šo vispārīgo noteikumu attiecas informēšanas procedūra tehnisko noteikumu un informācijas sabiedrības pakalpojumu noteikumu jomā, kas paredzēta Eiropas Parlamenta un Padomes 2015. gada 9. septembra Direktīvā (ES) 2015/1535, kā arī 1999. gada 31. jūlija Karaļa dekrētā Nr. 1337/1999.</w:t>
      </w:r>
    </w:p>
    <w:p w14:paraId="533AAB8D" w14:textId="741A459B" w:rsidR="003C546E" w:rsidRDefault="003C546E" w:rsidP="003C546E">
      <w:pPr>
        <w:jc w:val="both"/>
        <w:rPr>
          <w:rFonts w:cstheme="minorHAnsi"/>
        </w:rPr>
      </w:pPr>
      <w:r>
        <w:t>Līdz ar to pēc Transporta, mobilitātes un pilsētprogrammas ministra un valdības trešā premjerministra vietnieka un ekoloģiskās pārejas un demogrāfisko problēmu ministra priekšlikuma, vienojoties ar Valsts padomi un pēc apspriedēm Ministru padomes sanāksmē</w:t>
      </w:r>
    </w:p>
    <w:p w14:paraId="72CBBED7" w14:textId="7C56F995" w:rsidR="003C546E" w:rsidRPr="009064BC" w:rsidRDefault="003C546E" w:rsidP="005074AB">
      <w:pPr>
        <w:jc w:val="both"/>
        <w:rPr>
          <w:rFonts w:cstheme="minorHAnsi"/>
        </w:rPr>
      </w:pPr>
    </w:p>
    <w:p w14:paraId="02FFC445" w14:textId="386EF3CB" w:rsidR="005074AB" w:rsidRPr="009F5D1D" w:rsidRDefault="005074AB" w:rsidP="005074AB">
      <w:pPr>
        <w:jc w:val="center"/>
        <w:rPr>
          <w:rFonts w:cstheme="minorHAnsi"/>
          <w:spacing w:val="30"/>
        </w:rPr>
      </w:pPr>
      <w:r>
        <w:t>IZDOD ŠĀDU DEKRĒTU.</w:t>
      </w:r>
    </w:p>
    <w:p w14:paraId="29194849" w14:textId="17EA67F9" w:rsidR="005074AB" w:rsidRPr="0033081E" w:rsidRDefault="002A5A94" w:rsidP="005074AB">
      <w:pPr>
        <w:jc w:val="both"/>
        <w:rPr>
          <w:rFonts w:cstheme="minorHAnsi"/>
          <w:bCs/>
          <w:i/>
          <w:iCs/>
        </w:rPr>
      </w:pPr>
      <w:r>
        <w:lastRenderedPageBreak/>
        <w:t xml:space="preserve">Vienīgais pants. </w:t>
      </w:r>
      <w:r>
        <w:rPr>
          <w:i/>
        </w:rPr>
        <w:t>Grozījumi Būvniecības Tehniskajā kodeksā (CTE), kas apstiprināts ar Karaļa 2006. gada 17. marta dekrētu Nr. 314/2006.</w:t>
      </w:r>
    </w:p>
    <w:p w14:paraId="49F6DB5C" w14:textId="77777777" w:rsidR="005074AB" w:rsidRPr="009064BC" w:rsidRDefault="005074AB" w:rsidP="005074AB">
      <w:pPr>
        <w:jc w:val="both"/>
        <w:rPr>
          <w:rFonts w:cstheme="minorHAnsi"/>
        </w:rPr>
      </w:pPr>
      <w:r>
        <w:t>Karaļa 2006. gada 17. marta Dekrētu Nr. 314/2006, ar ko apstiprina Būvniecības tehnisko kodeksu (CTE), groza šādi:</w:t>
      </w:r>
    </w:p>
    <w:p w14:paraId="1E4A23CD" w14:textId="3CA20F16" w:rsidR="005074AB" w:rsidRPr="009064BC" w:rsidRDefault="005074AB" w:rsidP="005074AB">
      <w:pPr>
        <w:ind w:left="567" w:hanging="567"/>
        <w:jc w:val="both"/>
        <w:rPr>
          <w:rFonts w:cstheme="minorHAnsi"/>
        </w:rPr>
      </w:pPr>
      <w:r>
        <w:t>1. Ēku tehniskā kodeksa I daļu groza šādi:</w:t>
      </w:r>
    </w:p>
    <w:p w14:paraId="7B36765A" w14:textId="6C7BF234" w:rsidR="006B44D8" w:rsidRPr="009064BC" w:rsidRDefault="006B44D8" w:rsidP="0033081E">
      <w:pPr>
        <w:ind w:left="142" w:hanging="142"/>
        <w:jc w:val="both"/>
        <w:rPr>
          <w:rFonts w:cstheme="minorHAnsi"/>
        </w:rPr>
      </w:pPr>
      <w:r>
        <w:t>— Satura rādītājā nosaukumu "15.6. Pamatprasība HE5: Minimālā elektroenerģijas ražošana" lasa šādi:</w:t>
      </w:r>
    </w:p>
    <w:p w14:paraId="750B02FB" w14:textId="5E773080" w:rsidR="006B44D8" w:rsidRPr="009064BC" w:rsidRDefault="006B44D8" w:rsidP="00F11565">
      <w:pPr>
        <w:ind w:left="426"/>
        <w:jc w:val="both"/>
        <w:rPr>
          <w:rFonts w:cstheme="minorHAnsi"/>
        </w:rPr>
      </w:pPr>
      <w:r>
        <w:t>“15.6. Pamatprasība HE 5: HE5. iedaļa Minimālā elektroenerģijas ražošana no atjaunojamajiem energoresursiem.”</w:t>
      </w:r>
    </w:p>
    <w:p w14:paraId="0B75EAC4" w14:textId="77777777" w:rsidR="006B44D8" w:rsidRPr="009064BC" w:rsidRDefault="006B44D8" w:rsidP="006B44D8">
      <w:pPr>
        <w:numPr>
          <w:ilvl w:val="0"/>
          <w:numId w:val="9"/>
        </w:numPr>
        <w:ind w:left="142" w:hanging="142"/>
        <w:jc w:val="both"/>
        <w:rPr>
          <w:rFonts w:cstheme="minorHAnsi"/>
        </w:rPr>
      </w:pPr>
      <w:r>
        <w:t>Atsaucē uz 15. pantu indeksā iekļauj papildu punktu ar šādu tekstu:</w:t>
      </w:r>
    </w:p>
    <w:p w14:paraId="1C1AB680" w14:textId="1D8C7D23" w:rsidR="006B44D8" w:rsidRPr="009064BC" w:rsidRDefault="007E461E" w:rsidP="00F11565">
      <w:pPr>
        <w:ind w:left="426"/>
        <w:jc w:val="both"/>
        <w:rPr>
          <w:rFonts w:cstheme="minorHAnsi"/>
        </w:rPr>
      </w:pPr>
      <w:r>
        <w:t>“15.7. Pamatprasība HE6: Minimālās uzlādes infrastruktūras iekārtas elektrotransportlīdzekļiem.</w:t>
      </w:r>
    </w:p>
    <w:p w14:paraId="03B3513D" w14:textId="1133ED17" w:rsidR="001E31F3" w:rsidRPr="002C30D6" w:rsidRDefault="005074AB" w:rsidP="005074AB">
      <w:pPr>
        <w:numPr>
          <w:ilvl w:val="0"/>
          <w:numId w:val="9"/>
        </w:numPr>
        <w:ind w:left="142" w:hanging="142"/>
        <w:jc w:val="both"/>
        <w:rPr>
          <w:rFonts w:cstheme="minorHAnsi"/>
        </w:rPr>
      </w:pPr>
      <w:r>
        <w:t>Pielikuma 3. nodaļas 15. panta 15.6. punktu groza šādi:</w:t>
      </w:r>
    </w:p>
    <w:p w14:paraId="1E36A006" w14:textId="3C6E29CB" w:rsidR="001E31F3" w:rsidRPr="009064BC" w:rsidRDefault="00F11565" w:rsidP="00F11565">
      <w:pPr>
        <w:pStyle w:val="ListParagraph"/>
        <w:ind w:left="426"/>
        <w:jc w:val="both"/>
        <w:rPr>
          <w:rFonts w:cstheme="minorHAnsi"/>
        </w:rPr>
      </w:pPr>
      <w:r>
        <w:t>“15.6 Pamatprasība HE 5: Minimālā elektroenerģijas ražošana no atjaunojamajiem energoresursiem.</w:t>
      </w:r>
    </w:p>
    <w:p w14:paraId="4799EB9C" w14:textId="22AE3D4A" w:rsidR="001E31F3" w:rsidRPr="009064BC" w:rsidRDefault="001B0467" w:rsidP="00F11565">
      <w:pPr>
        <w:ind w:left="426"/>
        <w:jc w:val="both"/>
        <w:rPr>
          <w:rFonts w:cstheme="minorHAnsi"/>
        </w:rPr>
      </w:pPr>
      <w:r>
        <w:t>Ēkās ir elektroenerģijas ražošanas sistēmas no atjaunojamajiem energoresursiem pašu patēriņam vai elektrotīkla apgūšanai.”</w:t>
      </w:r>
    </w:p>
    <w:p w14:paraId="799517C6" w14:textId="6A449415" w:rsidR="005074AB" w:rsidRPr="009064BC" w:rsidRDefault="001E31F3" w:rsidP="005074AB">
      <w:pPr>
        <w:numPr>
          <w:ilvl w:val="0"/>
          <w:numId w:val="9"/>
        </w:numPr>
        <w:ind w:left="142" w:hanging="142"/>
        <w:jc w:val="both"/>
        <w:rPr>
          <w:rFonts w:cstheme="minorHAnsi"/>
        </w:rPr>
      </w:pPr>
      <w:r>
        <w:t>Regulas 15. panta beigās iekļauj šādu tekstu:</w:t>
      </w:r>
    </w:p>
    <w:p w14:paraId="67BDEE2E" w14:textId="77777777" w:rsidR="005074AB" w:rsidRPr="009064BC" w:rsidRDefault="005074AB" w:rsidP="00F11565">
      <w:pPr>
        <w:ind w:left="426"/>
        <w:jc w:val="both"/>
        <w:rPr>
          <w:rFonts w:cstheme="minorHAnsi"/>
        </w:rPr>
      </w:pPr>
      <w:r>
        <w:t>“15.7 Pamatprasība HE 6: Minimālās uzlādes infrastruktūras iekārtas elektrotransportlīdzekļiem.</w:t>
      </w:r>
    </w:p>
    <w:p w14:paraId="7C67403C" w14:textId="535BDE0B" w:rsidR="005074AB" w:rsidRDefault="005074AB" w:rsidP="00F11565">
      <w:pPr>
        <w:ind w:left="426"/>
        <w:jc w:val="both"/>
        <w:rPr>
          <w:rFonts w:cstheme="minorHAnsi"/>
        </w:rPr>
      </w:pPr>
      <w:r>
        <w:t>Ēkās ir minimālā infrastruktūra, kas ļauj uzlādēt elektriskos transportlīdzekļus.”</w:t>
      </w:r>
    </w:p>
    <w:p w14:paraId="6F674517" w14:textId="77777777" w:rsidR="002A5A94" w:rsidRPr="000E4F56" w:rsidRDefault="002A5A94" w:rsidP="002A5A94">
      <w:pPr>
        <w:pStyle w:val="ListParagraph"/>
        <w:numPr>
          <w:ilvl w:val="0"/>
          <w:numId w:val="9"/>
        </w:numPr>
        <w:ind w:left="142" w:hanging="142"/>
        <w:jc w:val="both"/>
        <w:rPr>
          <w:rFonts w:cstheme="minorHAnsi"/>
        </w:rPr>
      </w:pPr>
      <w:r>
        <w:t>Iekļauj šādu papildu noteikumu:</w:t>
      </w:r>
    </w:p>
    <w:p w14:paraId="2417D1DC" w14:textId="3DAEE52F" w:rsidR="002A5A94" w:rsidRPr="0033081E" w:rsidRDefault="002A5A94" w:rsidP="002A5A94">
      <w:pPr>
        <w:ind w:left="426"/>
        <w:jc w:val="both"/>
        <w:rPr>
          <w:rFonts w:cstheme="minorHAnsi"/>
          <w:bCs/>
          <w:i/>
          <w:iCs/>
        </w:rPr>
      </w:pPr>
      <w:r>
        <w:t xml:space="preserve">“Vienots papildu noteikums. </w:t>
      </w:r>
      <w:r>
        <w:rPr>
          <w:i/>
        </w:rPr>
        <w:t>Minimālās uzlādes infrastruktūras iekārtas elektrotransportlīdzekļiem ēkās, kas nav privātas dzīvojamās ēkas ar vairāk nekā divdesmit stāvvietām.</w:t>
      </w:r>
    </w:p>
    <w:p w14:paraId="71CE31DD" w14:textId="72E1754E" w:rsidR="0067270E" w:rsidRPr="008F4D49" w:rsidRDefault="0067270E" w:rsidP="0067270E">
      <w:pPr>
        <w:ind w:left="426"/>
        <w:jc w:val="both"/>
      </w:pPr>
      <w:r>
        <w:t>Saskaņā ar 20. maija Likuma Nr. 7/2021 “Par klimata pārmaiņām un enerģētikas pārkārtošanu” noteikumiem līdz 2023. gada 1. janvārim visās ēkās, kas nav privātas dzīvojamās ēkas un kurās ir stāvvietas ar vairāk nekā divdesmit stāvvietām, vai nu paredzētās āra telpās, vai kādā no tām, jābūt šādām minimālajām elektrotransportlīdzekļu uzlādes infrastruktūras iekārtām:</w:t>
      </w:r>
    </w:p>
    <w:p w14:paraId="2339A7CE" w14:textId="2F683544" w:rsidR="0067270E" w:rsidRPr="00DC3EE9" w:rsidRDefault="0067270E" w:rsidP="00675D0E">
      <w:pPr>
        <w:ind w:left="426"/>
        <w:jc w:val="both"/>
        <w:rPr>
          <w:rFonts w:cstheme="minorHAnsi"/>
        </w:rPr>
      </w:pPr>
      <w:r>
        <w:t xml:space="preserve">— parasti vienu uzlādes staciju uzstāda uz katrām 40 stāvvietām vai līdzvērtīgām vietām līdz 1000 vietām un vienu papildu uzlādes staciju uz katrām papildu 100 vai līdzvērtīgiem stāvvietām. Alternatīvi tiek pieprasīta pašvaldības licence vai atļauja veikt darbus, kas nepieciešami šīs uzlādes infrastruktūras izpildei, vai, ja uz ēkas īpašnieku attiecas 8. novembra Likums Nr. 9/2017 par publiskā sektora līgumiem, ar ko Spānijas tiesību aktos transponē Eiropas Parlamenta un Padomes 2014. gada 26. februāra Direktīvas 2014/23/ES un 2014/24/ES, minēto būvdarbu konkursu vai projektu, vai tehnisko dokumentu, kas </w:t>
      </w:r>
      <w:r>
        <w:lastRenderedPageBreak/>
        <w:t>nepieciešams tā definēšanai, izsludina ar paziņojumu par attiecīgo līgumslēgšanas platformu</w:t>
      </w:r>
      <w:bookmarkStart w:id="0" w:name="_Hlk74840570"/>
      <w:r>
        <w:t>. Darbiem, ko ierēdnis veicis, iesniedzot pašvaldības atļaujas vai atļaujas pieteikumu, ir jāsākas maksimāli pieļaujamā atļaujas efektivitātes termiņā saskaņā ar attiecīgajiem noteikumiem un, ja tas nav iespējams, sešu mēnešu laikā no atļaujas izsniegšanas dienas. Darbiem, kas oficiāli veikti, uzsākot konkursu vai projektu, vai tehnisko dokumentu, kas tos nosaka, jāsākas maksimāli pieļaujamā atļaujas, pašvaldības atļaujas vai līdzvērtīgas atļaujas termiņā vai, ja tas nav iespējams, sešu mēnešu laikā no to piešķiršanas dienas.</w:t>
      </w:r>
    </w:p>
    <w:bookmarkEnd w:id="0"/>
    <w:p w14:paraId="58AB7358" w14:textId="65977551" w:rsidR="00F90C96" w:rsidRPr="008F4D49" w:rsidRDefault="0067270E" w:rsidP="00EA32C0">
      <w:pPr>
        <w:ind w:left="426"/>
        <w:jc w:val="both"/>
        <w:rPr>
          <w:rFonts w:cstheme="minorHAnsi"/>
        </w:rPr>
      </w:pPr>
      <w:r>
        <w:t>— valsts Vispārējai administrācijai vai ar to saistītām vai tai piederošām publiskām iestādēm piederošās ēkās ierīko vienu uzlādes staciju uz katrām 20 stāvvietām vai līdzvērtīgām līdz 500 vietām un vienu papildu uzlādes staciju uz katrām papildu 100 vai līdzvērtīgām telpām, vai arī konkursa procedūru par būvdarbiem vai projektu, vai tehnisko dokumentu, kas nepieciešams būvdarbu definēšanai, uzsāk ar paziņojumu attiecīgajā iepirkuma platformā. Darbiem, kas oficiāli veikti, uzsākot konkursu vai projektu, vai tehnisko dokumentu, kas tos nosaka, jāsākas maksimāli pieļaujamā atļaujas, pašvaldības atļaujas vai līdzvērtīgas atļaujas termiņā vai, ja tas nav iespējams, sešu mēnešu laikā no to piešķiršanas dienas.</w:t>
      </w:r>
    </w:p>
    <w:p w14:paraId="354182C6" w14:textId="54A09FDC" w:rsidR="002A5A94" w:rsidRPr="00BA4C0D" w:rsidRDefault="002A5A94" w:rsidP="00210EA2">
      <w:pPr>
        <w:ind w:left="426"/>
        <w:jc w:val="both"/>
      </w:pPr>
      <w:r>
        <w:t>Oficiāli aizsargājamas ēkas ir izslēgtas no šiem pienākumiem, jo tās ir daļa no deklarētās vides vai to īpašās arhitektūras vai vēsturiskās vērtības dēļ, ciktāl prasības ievērošana varētu nepamatoti mainīt to raksturu vai izskatu, un valsts aizsardzības iestāde nosaka nemaināmos elementus.</w:t>
      </w:r>
    </w:p>
    <w:p w14:paraId="0662362C" w14:textId="0FC45639" w:rsidR="002A5A94" w:rsidRPr="0062182D" w:rsidRDefault="002A5A94" w:rsidP="0062182D">
      <w:pPr>
        <w:pStyle w:val="ListParagraph"/>
        <w:ind w:left="426"/>
        <w:jc w:val="both"/>
        <w:rPr>
          <w:rFonts w:cstheme="minorHAnsi"/>
        </w:rPr>
      </w:pPr>
      <w:r>
        <w:t>Šī elektrotransportlīdzekļu uzlādes infrastruktūra atbildīs 2. augusta Karaļa dekrēta Nr. 842/2002 noteikumiem, ar ko apstiprina zemsprieguma elektrotehniskos noteikumus un to papildu tehniskās instrukcijas (ITC) BT 52 "Iekārtas īpašiem mērķiem. Elektrotransportlīdzekļu uzlādes infrastruktūra", kā arī 4. iedaļas noteikumi. “Prasības pamatojums” un 5. Pamatdokumenta DB-HE "Enerģijas ietaupījums" HE 6. iedaļas "Minimālās uzlādes infrastruktūras iekārtas elektrotransportlīdzekļiem" "Būvniecība, apkope un uzturēšana".”</w:t>
      </w:r>
    </w:p>
    <w:p w14:paraId="0769E30E" w14:textId="6A51451B" w:rsidR="0033081E" w:rsidRPr="008F4D49" w:rsidRDefault="005074AB" w:rsidP="00D47CC2">
      <w:pPr>
        <w:jc w:val="both"/>
        <w:rPr>
          <w:rFonts w:cstheme="minorHAnsi"/>
        </w:rPr>
      </w:pPr>
      <w:r>
        <w:t xml:space="preserve">2. Groza Ēku tehniskā kodeksa II daļā iekļauto pamatdokumentu DB-HE “Enerģijas ietaupījums”, iekļaujot HE 6. iedaļu “Minimālās uzlādes infrastruktūras iekārtas elektrotransportlīdzekļiem”, kas ir iekļauta šā Karaļa dekrēta I pielikumā. </w:t>
      </w:r>
    </w:p>
    <w:p w14:paraId="5DC46FAC" w14:textId="4A465EFF" w:rsidR="005074AB" w:rsidRPr="008F4D49" w:rsidRDefault="005074AB" w:rsidP="005074AB">
      <w:pPr>
        <w:spacing w:after="162"/>
        <w:ind w:left="13"/>
        <w:jc w:val="both"/>
        <w:rPr>
          <w:rFonts w:cstheme="minorHAnsi"/>
        </w:rPr>
      </w:pPr>
      <w:r>
        <w:t>Pamatdokumentā DB-HE ir izdarīti šādi grozījumi:</w:t>
      </w:r>
    </w:p>
    <w:p w14:paraId="53FD09BA" w14:textId="1FBEE4B0" w:rsidR="005074AB" w:rsidRPr="009064BC" w:rsidRDefault="005074AB" w:rsidP="006424FF">
      <w:pPr>
        <w:numPr>
          <w:ilvl w:val="0"/>
          <w:numId w:val="13"/>
        </w:numPr>
        <w:spacing w:after="162"/>
        <w:ind w:left="720" w:hanging="295"/>
        <w:jc w:val="both"/>
        <w:rPr>
          <w:rFonts w:cstheme="minorHAnsi"/>
        </w:rPr>
      </w:pPr>
      <w:r>
        <w:t>“Ievada” iedaļas “I Priekšmets” pirmajā daļā “Šā BP iedaļas atbilst pamatprasībām HE 0 a līdz HE 5”, nevis “HE 5”, būtu jāparādās “HE 6”.</w:t>
      </w:r>
    </w:p>
    <w:p w14:paraId="7957EC48" w14:textId="441BEE49" w:rsidR="006F5E38" w:rsidRPr="009064BC" w:rsidRDefault="006F5E38" w:rsidP="006424FF">
      <w:pPr>
        <w:numPr>
          <w:ilvl w:val="0"/>
          <w:numId w:val="13"/>
        </w:numPr>
        <w:spacing w:after="162"/>
        <w:ind w:left="720" w:hanging="295"/>
        <w:jc w:val="both"/>
        <w:rPr>
          <w:rFonts w:cstheme="minorHAnsi"/>
        </w:rPr>
      </w:pPr>
      <w:r>
        <w:t>“Ievadā” I iedaļā “Priekšmets” atsauci uz CTE I daļas 15.6. pantu groza šādi:</w:t>
      </w:r>
    </w:p>
    <w:p w14:paraId="5F1636DD" w14:textId="77777777" w:rsidR="006F5E38" w:rsidRPr="009064BC" w:rsidRDefault="006F5E38" w:rsidP="009064BC">
      <w:pPr>
        <w:pStyle w:val="ListParagraph"/>
        <w:ind w:left="709"/>
        <w:contextualSpacing w:val="0"/>
        <w:jc w:val="both"/>
        <w:rPr>
          <w:rFonts w:cstheme="minorHAnsi"/>
        </w:rPr>
      </w:pPr>
      <w:r>
        <w:t>“15.6 Pamatprasība HE 5: Minimālā elektroenerģijas ražošana no atjaunojamajiem energoresursiem.</w:t>
      </w:r>
    </w:p>
    <w:p w14:paraId="6BB983CA" w14:textId="72439AD8" w:rsidR="006F5E38" w:rsidRPr="009064BC" w:rsidRDefault="006F5E38" w:rsidP="009064BC">
      <w:pPr>
        <w:pStyle w:val="ListParagraph"/>
        <w:spacing w:after="162"/>
        <w:ind w:left="709"/>
        <w:contextualSpacing w:val="0"/>
        <w:jc w:val="both"/>
        <w:rPr>
          <w:rFonts w:cstheme="minorHAnsi"/>
        </w:rPr>
      </w:pPr>
      <w:r>
        <w:t>Ēkās ir elektroenerģijas ražošanas sistēmas no atjaunojamajiem energoresursiem pašu patēriņam vai elektrotīkla apgūšanai.”</w:t>
      </w:r>
    </w:p>
    <w:p w14:paraId="2D6B0228" w14:textId="7AFD12CA" w:rsidR="005074AB" w:rsidRPr="009064BC" w:rsidRDefault="005074AB" w:rsidP="006424FF">
      <w:pPr>
        <w:numPr>
          <w:ilvl w:val="0"/>
          <w:numId w:val="13"/>
        </w:numPr>
        <w:spacing w:after="162"/>
        <w:ind w:left="720" w:hanging="295"/>
        <w:jc w:val="both"/>
        <w:rPr>
          <w:rFonts w:cstheme="minorHAnsi"/>
        </w:rPr>
      </w:pPr>
      <w:r>
        <w:t>“Ievada” I iedaļā “Priekšmets” atsaucei uz CTE I daļas 15. pantu CTE beigās iekļauj papildu punktu ar šādu tekstu:</w:t>
      </w:r>
    </w:p>
    <w:p w14:paraId="7D3E8D59" w14:textId="77777777" w:rsidR="005074AB" w:rsidRPr="009064BC" w:rsidRDefault="005074AB" w:rsidP="006424FF">
      <w:pPr>
        <w:ind w:left="709"/>
        <w:jc w:val="both"/>
        <w:rPr>
          <w:rFonts w:cstheme="minorHAnsi"/>
        </w:rPr>
      </w:pPr>
      <w:r>
        <w:lastRenderedPageBreak/>
        <w:t>“15.7. Pamatprasība HE 6: Minimālās uzlādes infrastruktūras iekārtas elektrotransportlīdzekļiem.</w:t>
      </w:r>
    </w:p>
    <w:p w14:paraId="63C180D9" w14:textId="77777777" w:rsidR="005074AB" w:rsidRPr="009064BC" w:rsidRDefault="005074AB" w:rsidP="006424FF">
      <w:pPr>
        <w:ind w:left="709"/>
        <w:jc w:val="both"/>
        <w:rPr>
          <w:rFonts w:cstheme="minorHAnsi"/>
        </w:rPr>
      </w:pPr>
      <w:r>
        <w:t>Ēkās ir minimālā infrastruktūra, kas ļauj uzlādēt elektriskos transportlīdzekļus.”</w:t>
      </w:r>
    </w:p>
    <w:p w14:paraId="2CCB9F35" w14:textId="1C8D3E4F" w:rsidR="001B0467" w:rsidRPr="009064BC" w:rsidRDefault="001B0467" w:rsidP="006424FF">
      <w:pPr>
        <w:numPr>
          <w:ilvl w:val="0"/>
          <w:numId w:val="13"/>
        </w:numPr>
        <w:ind w:left="720" w:hanging="294"/>
        <w:jc w:val="both"/>
        <w:rPr>
          <w:rFonts w:cstheme="minorHAnsi"/>
        </w:rPr>
      </w:pPr>
      <w:r>
        <w:t>Satura rādītājā HE 5 iedaļas virsrakstu groza šādi:</w:t>
      </w:r>
    </w:p>
    <w:p w14:paraId="7DC0F11B" w14:textId="4E9858DC" w:rsidR="001B0467" w:rsidRPr="009064BC" w:rsidRDefault="001B0467" w:rsidP="001B0467">
      <w:pPr>
        <w:pStyle w:val="ListParagraph"/>
        <w:ind w:left="709"/>
        <w:jc w:val="both"/>
        <w:rPr>
          <w:rFonts w:cstheme="minorHAnsi"/>
        </w:rPr>
      </w:pPr>
      <w:r>
        <w:t>“HE 5. iedaļa Minimālā elektroenerģijas ražošana no atjaunojamajiem energoresursiem.”</w:t>
      </w:r>
    </w:p>
    <w:p w14:paraId="1178E5DE" w14:textId="4953BECD" w:rsidR="005074AB" w:rsidRPr="009064BC" w:rsidRDefault="005074AB" w:rsidP="006424FF">
      <w:pPr>
        <w:numPr>
          <w:ilvl w:val="0"/>
          <w:numId w:val="13"/>
        </w:numPr>
        <w:ind w:left="720" w:hanging="294"/>
        <w:jc w:val="both"/>
        <w:rPr>
          <w:rFonts w:cstheme="minorHAnsi"/>
        </w:rPr>
      </w:pPr>
      <w:r>
        <w:t>Atsaucē uz 15. pantu indeksā iekļauj papildu punktu ar šādu tekstu:</w:t>
      </w:r>
    </w:p>
    <w:p w14:paraId="661731BD" w14:textId="7D5B27B5" w:rsidR="005074AB" w:rsidRPr="009064BC" w:rsidRDefault="00982E58" w:rsidP="00982E58">
      <w:pPr>
        <w:tabs>
          <w:tab w:val="left" w:pos="7938"/>
        </w:tabs>
        <w:ind w:left="1134" w:hanging="425"/>
        <w:contextualSpacing/>
        <w:jc w:val="both"/>
        <w:rPr>
          <w:rFonts w:cstheme="minorHAnsi"/>
        </w:rPr>
      </w:pPr>
      <w:r>
        <w:t>“HE 6. iedaļa Minimālās uzlādes infrastruktūras iekārtas elektrotransportlīdzekļiem……………………………………………………………………</w:t>
      </w:r>
      <w:r w:rsidR="00652951" w:rsidRPr="00652951">
        <w:t>........</w:t>
      </w:r>
      <w:r>
        <w:t>33</w:t>
      </w:r>
    </w:p>
    <w:p w14:paraId="22DC136D" w14:textId="3F812976" w:rsidR="005074AB" w:rsidRPr="009064BC" w:rsidRDefault="005074AB" w:rsidP="00982E58">
      <w:pPr>
        <w:numPr>
          <w:ilvl w:val="0"/>
          <w:numId w:val="10"/>
        </w:numPr>
        <w:tabs>
          <w:tab w:val="left" w:pos="7938"/>
        </w:tabs>
        <w:ind w:left="1134" w:hanging="425"/>
        <w:contextualSpacing/>
        <w:jc w:val="both"/>
        <w:rPr>
          <w:rFonts w:cstheme="minorHAnsi"/>
        </w:rPr>
      </w:pPr>
      <w:r>
        <w:t>Piemērošanas joma........................................................................................</w:t>
      </w:r>
      <w:r>
        <w:tab/>
        <w:t>33</w:t>
      </w:r>
    </w:p>
    <w:p w14:paraId="6FE2086C" w14:textId="5F45FF18" w:rsidR="005074AB" w:rsidRPr="009064BC" w:rsidRDefault="005074AB" w:rsidP="00982E58">
      <w:pPr>
        <w:numPr>
          <w:ilvl w:val="0"/>
          <w:numId w:val="10"/>
        </w:numPr>
        <w:tabs>
          <w:tab w:val="left" w:pos="7938"/>
        </w:tabs>
        <w:ind w:left="1134" w:hanging="425"/>
        <w:contextualSpacing/>
        <w:jc w:val="both"/>
        <w:rPr>
          <w:rFonts w:cstheme="minorHAnsi"/>
        </w:rPr>
      </w:pPr>
      <w:r>
        <w:t>Prasības apraksts……………………………………………………………………</w:t>
      </w:r>
      <w:r>
        <w:tab/>
        <w:t>34</w:t>
      </w:r>
    </w:p>
    <w:p w14:paraId="4D6A108B" w14:textId="59207892" w:rsidR="005074AB" w:rsidRPr="009064BC" w:rsidRDefault="005074AB" w:rsidP="00982E58">
      <w:pPr>
        <w:numPr>
          <w:ilvl w:val="0"/>
          <w:numId w:val="10"/>
        </w:numPr>
        <w:tabs>
          <w:tab w:val="left" w:pos="7938"/>
        </w:tabs>
        <w:ind w:left="1134" w:hanging="425"/>
        <w:contextualSpacing/>
        <w:jc w:val="both"/>
        <w:rPr>
          <w:rFonts w:cstheme="minorHAnsi"/>
        </w:rPr>
      </w:pPr>
      <w:r>
        <w:t>Prasības kvantitatīva noteikšana………………………………………………………………..</w:t>
      </w:r>
      <w:r>
        <w:tab/>
        <w:t>34</w:t>
      </w:r>
    </w:p>
    <w:p w14:paraId="79098154" w14:textId="4DBE57AC" w:rsidR="005074AB" w:rsidRPr="009064BC" w:rsidRDefault="005074AB" w:rsidP="00982E58">
      <w:pPr>
        <w:numPr>
          <w:ilvl w:val="0"/>
          <w:numId w:val="10"/>
        </w:numPr>
        <w:tabs>
          <w:tab w:val="left" w:pos="7938"/>
        </w:tabs>
        <w:ind w:left="1134" w:hanging="425"/>
        <w:contextualSpacing/>
        <w:jc w:val="both"/>
        <w:rPr>
          <w:rFonts w:cstheme="minorHAnsi"/>
        </w:rPr>
      </w:pPr>
      <w:r>
        <w:t>Prasības pamatojums……………………………………………………………………</w:t>
      </w:r>
      <w:r>
        <w:tab/>
        <w:t>34</w:t>
      </w:r>
    </w:p>
    <w:p w14:paraId="7CB375BD" w14:textId="2A4F3840" w:rsidR="005074AB" w:rsidRPr="009064BC" w:rsidRDefault="005074AB" w:rsidP="00982E58">
      <w:pPr>
        <w:numPr>
          <w:ilvl w:val="0"/>
          <w:numId w:val="10"/>
        </w:numPr>
        <w:tabs>
          <w:tab w:val="left" w:pos="7938"/>
        </w:tabs>
        <w:ind w:left="1134" w:hanging="425"/>
        <w:contextualSpacing/>
        <w:jc w:val="both"/>
        <w:rPr>
          <w:rFonts w:cstheme="minorHAnsi"/>
        </w:rPr>
      </w:pPr>
      <w:r>
        <w:t>Būvniecība, uzturēšana un uzturēšana...................................................</w:t>
      </w:r>
      <w:r w:rsidR="00652951">
        <w:rPr>
          <w:lang w:val="el-GR"/>
        </w:rPr>
        <w:t>..........</w:t>
      </w:r>
      <w:r>
        <w:t>35</w:t>
      </w:r>
    </w:p>
    <w:p w14:paraId="0BB8C82D" w14:textId="5A6A8F1B" w:rsidR="005074AB" w:rsidRPr="009064BC" w:rsidRDefault="006424FF" w:rsidP="00982E58">
      <w:pPr>
        <w:tabs>
          <w:tab w:val="left" w:pos="7938"/>
        </w:tabs>
        <w:ind w:left="1843" w:hanging="425"/>
        <w:contextualSpacing/>
        <w:jc w:val="both"/>
        <w:rPr>
          <w:rFonts w:cstheme="minorHAnsi"/>
        </w:rPr>
      </w:pPr>
      <w:r>
        <w:t>5.1</w:t>
      </w:r>
      <w:r>
        <w:tab/>
        <w:t>Izpilde……………………………………………………………………………………….</w:t>
      </w:r>
      <w:r w:rsidR="00652951">
        <w:rPr>
          <w:lang w:val="el-GR"/>
        </w:rPr>
        <w:t>........</w:t>
      </w:r>
      <w:r>
        <w:t>35</w:t>
      </w:r>
    </w:p>
    <w:p w14:paraId="4AE42B35" w14:textId="09F3A354" w:rsidR="005074AB" w:rsidRPr="009064BC" w:rsidRDefault="005074AB" w:rsidP="00982E58">
      <w:pPr>
        <w:tabs>
          <w:tab w:val="left" w:pos="7938"/>
        </w:tabs>
        <w:ind w:left="1843" w:hanging="425"/>
        <w:contextualSpacing/>
        <w:jc w:val="both"/>
        <w:rPr>
          <w:rFonts w:cstheme="minorHAnsi"/>
        </w:rPr>
      </w:pPr>
      <w:r>
        <w:t>5.2</w:t>
      </w:r>
      <w:r>
        <w:tab/>
        <w:t>Būvdarbu izpildes uzraudzība.................................................</w:t>
      </w:r>
      <w:r w:rsidR="00652951">
        <w:rPr>
          <w:lang w:val="el-GR"/>
        </w:rPr>
        <w:t>............</w:t>
      </w:r>
      <w:r>
        <w:t>..35</w:t>
      </w:r>
    </w:p>
    <w:p w14:paraId="2E5A6752" w14:textId="1691C01D" w:rsidR="005074AB" w:rsidRPr="009064BC" w:rsidRDefault="005074AB" w:rsidP="00982E58">
      <w:pPr>
        <w:tabs>
          <w:tab w:val="left" w:pos="7938"/>
        </w:tabs>
        <w:ind w:left="1843" w:hanging="436"/>
        <w:contextualSpacing/>
        <w:jc w:val="both"/>
        <w:rPr>
          <w:rFonts w:cstheme="minorHAnsi"/>
        </w:rPr>
      </w:pPr>
      <w:r>
        <w:t>5.3</w:t>
      </w:r>
      <w:r>
        <w:tab/>
        <w:t>Pabeigtā darba pārbaude…………………………………………………</w:t>
      </w:r>
      <w:r w:rsidR="00652951">
        <w:rPr>
          <w:lang w:val="el-GR"/>
        </w:rPr>
        <w:t>......</w:t>
      </w:r>
      <w:r>
        <w:t>……….</w:t>
      </w:r>
      <w:r>
        <w:tab/>
        <w:t>35</w:t>
      </w:r>
    </w:p>
    <w:p w14:paraId="5D3A912D" w14:textId="20556A2F" w:rsidR="005074AB" w:rsidRPr="009064BC" w:rsidRDefault="005074AB" w:rsidP="00982E58">
      <w:pPr>
        <w:tabs>
          <w:tab w:val="left" w:pos="7938"/>
        </w:tabs>
        <w:ind w:left="1843" w:hanging="425"/>
        <w:contextualSpacing/>
        <w:jc w:val="both"/>
        <w:rPr>
          <w:rFonts w:cstheme="minorHAnsi"/>
        </w:rPr>
      </w:pPr>
      <w:r>
        <w:t>5.4</w:t>
      </w:r>
      <w:r>
        <w:tab/>
        <w:t>Ēkas apkope un uzturēšana………………………..…………..</w:t>
      </w:r>
      <w:r w:rsidR="00652951">
        <w:rPr>
          <w:lang w:val="el-GR"/>
        </w:rPr>
        <w:t>..........................</w:t>
      </w:r>
      <w:r>
        <w:t>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t>HE 0. iedaļas “Enerģijas patēriņa ierobežojumi” 4.1. iedaļā “Aprēķina procedūra” 9. punktā vārdus “Atzītais dokuments” aizstāj ar vārdiem “Ēku energosertifikācijas dokuments”.</w:t>
      </w:r>
    </w:p>
    <w:p w14:paraId="3222E360" w14:textId="2F90CB7E" w:rsidR="0067340E" w:rsidRPr="0067340E" w:rsidRDefault="006C16B4" w:rsidP="0026457E">
      <w:pPr>
        <w:numPr>
          <w:ilvl w:val="0"/>
          <w:numId w:val="13"/>
        </w:numPr>
        <w:ind w:left="720" w:hanging="295"/>
        <w:jc w:val="both"/>
        <w:rPr>
          <w:rFonts w:cstheme="minorHAnsi"/>
        </w:rPr>
      </w:pPr>
      <w:r>
        <w:t>HE 0. iedaļā “Enerģijas patēriņa ierobežojumi” 4.1. iedaļā “Aprēķina procedūra” 9. punkts kļūst par 11. punktu un pievieno šādas daļas:</w:t>
      </w:r>
    </w:p>
    <w:p w14:paraId="3392DEB4" w14:textId="73112890" w:rsidR="0067340E" w:rsidRDefault="0067340E" w:rsidP="0067340E">
      <w:pPr>
        <w:ind w:left="1134" w:hanging="425"/>
        <w:contextualSpacing/>
        <w:jc w:val="both"/>
        <w:rPr>
          <w:rFonts w:cstheme="minorHAnsi"/>
        </w:rPr>
      </w:pPr>
      <w:r>
        <w:t>9</w:t>
      </w:r>
      <w:r>
        <w:tab/>
        <w:t>Enerģijas bilances aprēķinu, kas vajadzīgs, lai pārbaudītu šā BD prasības, veic saskaņā ar UNE-EN ISO 52000–1:2019: Ēku energoefektivitātes vispārējs novērtējums. 1. daļa. Vispārējā sistēma un procedūras, izmantojot eksporta koeficientu K</w:t>
      </w:r>
      <w:r>
        <w:rPr>
          <w:vertAlign w:val="subscript"/>
        </w:rPr>
        <w:t>exp</w:t>
      </w:r>
      <w:r>
        <w:t xml:space="preserve"> = 0.”</w:t>
      </w:r>
    </w:p>
    <w:p w14:paraId="744E1B50" w14:textId="4419E002" w:rsidR="00B233D0" w:rsidRDefault="00B233D0" w:rsidP="0026457E">
      <w:pPr>
        <w:ind w:left="1134" w:hanging="425"/>
        <w:jc w:val="both"/>
        <w:rPr>
          <w:rFonts w:cstheme="minorHAnsi"/>
        </w:rPr>
      </w:pPr>
      <w:r>
        <w:t>10</w:t>
      </w:r>
      <w:r>
        <w:tab/>
        <w:t>Lai sadalītu dažādus pakalpojumus, uz vietas saražotās elektroenerģijas sadali katrā laika intervālā aprēķina proporcionāli attiecīgā patēriņa elektroenerģijas patēriņam (apkure, dzesēšana, ventilācija, ACS un terciārā izmantošana, kā arī apgaismojums).”</w:t>
      </w:r>
    </w:p>
    <w:p w14:paraId="78947690" w14:textId="66930B3C" w:rsidR="005074AB" w:rsidRPr="009064BC" w:rsidRDefault="005074AB" w:rsidP="0026457E">
      <w:pPr>
        <w:numPr>
          <w:ilvl w:val="0"/>
          <w:numId w:val="13"/>
        </w:numPr>
        <w:ind w:left="720" w:hanging="294"/>
        <w:jc w:val="both"/>
        <w:rPr>
          <w:rFonts w:cstheme="minorHAnsi"/>
        </w:rPr>
      </w:pPr>
      <w:r>
        <w:t>HE 1 iedaļā “Enerģijas pieprasījuma kontroles nosacījumi” 3.1.1. iedaļā “siltuma apvalka pārvade” pievieno šādu daļu:</w:t>
      </w:r>
    </w:p>
    <w:p w14:paraId="729573A3" w14:textId="05413AE2" w:rsidR="005074AB" w:rsidRPr="009064BC" w:rsidRDefault="005074AB" w:rsidP="006424FF">
      <w:pPr>
        <w:ind w:left="1134" w:hanging="425"/>
        <w:jc w:val="both"/>
        <w:rPr>
          <w:rFonts w:cstheme="minorHAnsi"/>
        </w:rPr>
      </w:pPr>
      <w:r>
        <w:t>6</w:t>
      </w:r>
      <w:r>
        <w:tab/>
        <w:t>Alternatīvi ēkas vai — daļējas iejaukšanās gadījumā esošās ēkās — ēku daļas, kurās tiek veiktas intervences un kuru siltumapgādes un dzesēšanas pieprasījums abos gadījumos ir mazāks par 15 kWh/m</w:t>
      </w:r>
      <w:r>
        <w:rPr>
          <w:vertAlign w:val="superscript"/>
        </w:rPr>
        <w:t>2</w:t>
      </w:r>
      <w:r>
        <w:t xml:space="preserve">, var izslēgt no atbilstības </w:t>
      </w:r>
      <w:r>
        <w:rPr>
          <w:i/>
        </w:rPr>
        <w:t>vispārējam siltuma pārneses koeficientam caur siltumnesēju (K)</w:t>
      </w:r>
      <w:r>
        <w:t>.”</w:t>
      </w:r>
    </w:p>
    <w:p w14:paraId="49941342" w14:textId="77777777" w:rsidR="00802B87" w:rsidRDefault="005074AB" w:rsidP="00802B87">
      <w:pPr>
        <w:numPr>
          <w:ilvl w:val="0"/>
          <w:numId w:val="13"/>
        </w:numPr>
        <w:ind w:left="709" w:hanging="283"/>
        <w:contextualSpacing/>
        <w:jc w:val="both"/>
        <w:rPr>
          <w:rFonts w:cstheme="minorHAnsi"/>
        </w:rPr>
      </w:pPr>
      <w:r>
        <w:t>HE 1 iedaļā “Enerģijas pieprasījuma kontroles nosacījumi” 3.1.3. iedaļā “siltuma apvalka gaisa caurlaidība” pievieno šādu jaunu 3. punktu:</w:t>
      </w:r>
    </w:p>
    <w:p w14:paraId="1D58DEB1" w14:textId="0D8F3294" w:rsidR="005074AB" w:rsidRPr="00802B87" w:rsidRDefault="005074AB" w:rsidP="00802B87">
      <w:pPr>
        <w:ind w:left="709"/>
        <w:contextualSpacing/>
        <w:jc w:val="both"/>
        <w:rPr>
          <w:rFonts w:cstheme="minorHAnsi"/>
        </w:rPr>
      </w:pPr>
      <w:r>
        <w:lastRenderedPageBreak/>
        <w:t xml:space="preserve">“Pārveidojumu gadījumā 3.1.3.a-HE1 tabulu piemēro tikai tiem </w:t>
      </w:r>
      <w:r>
        <w:rPr>
          <w:i/>
        </w:rPr>
        <w:t>siltuma apvalka</w:t>
      </w:r>
      <w:r>
        <w:t xml:space="preserve"> elementiem, kas ir aizstāti, iekļauti vai būtiski pārveidoti;”</w:t>
      </w:r>
    </w:p>
    <w:p w14:paraId="7563FEDE" w14:textId="74826D79" w:rsidR="005074AB" w:rsidRDefault="005074AB" w:rsidP="00836E07">
      <w:pPr>
        <w:ind w:left="709"/>
        <w:jc w:val="both"/>
        <w:rPr>
          <w:rFonts w:cstheme="minorHAnsi"/>
        </w:rPr>
      </w:pPr>
      <w:r>
        <w:t>3.1.3. iedaļas “siltuma apvalka gaisa caurlaidība” 3. un 4. punkta numerāciju attiecīgi aizstāj ar 4. un 5. punktu.</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t>HE 3. iedaļā “Apgaismes iekārtu nosacījumi” 3.1.-HE3 tabulā “Uzstādīšanas efektivitātes robežvērtība” (VEEI</w:t>
      </w:r>
      <w:r>
        <w:rPr>
          <w:vertAlign w:val="subscript"/>
        </w:rPr>
        <w:t>lim</w:t>
      </w:r>
      <w:r>
        <w:t xml:space="preserve">) vārdus “Lielveikali un mazie veikali” aizstāj ar vārdiem “Lielveikali un mazie veikali </w:t>
      </w:r>
      <w:r>
        <w:rPr>
          <w:rFonts w:ascii="Calibri" w:hAnsi="Calibri"/>
          <w:vertAlign w:val="subscript"/>
        </w:rPr>
        <w:t>(10)</w:t>
      </w:r>
      <w:r>
        <w:t>” un pievieno šādu zemsvītras piezīmi:</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t>“</w:t>
      </w:r>
      <w:r>
        <w:rPr>
          <w:vertAlign w:val="superscript"/>
        </w:rPr>
        <w:t>(10)</w:t>
      </w:r>
      <w:r>
        <w:t xml:space="preserve"> Termins ”veikals“ attiecas gan uz maziem neatkarīgiem veikaliem, gan uz daļu komerciālai izmantošanai, ko tirdzniecības centros parasti neizmanto.”</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HE 4. iedaļas “Minimālais atjaunojamo energoresursu enerģijas ieguldījums mājsaimniecības karstā ūdens pieprasījuma apmierināšanai” 2. iedaļā “Prasības apraksts” 1. pants ir šāds:</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Ēkas lielā mērā apmierina savas vajadzības pēc ACS un ūdens apkures iekštelpu baseinos, kuros izmanto koģenerācijas procesu no atjaunojamiem energoresursiem; vai nu pašā ēkā, vai arī savienojot to ar centralizētās siltumapgādes sistēmu.”</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t>HE 5. iedaļā “Minimālā elektroenerģijas ražošana” nosaukums kļūst šāds:</w:t>
      </w:r>
    </w:p>
    <w:p w14:paraId="1835914C" w14:textId="7892C477" w:rsidR="005074AB" w:rsidRPr="009064BC" w:rsidRDefault="00836E07" w:rsidP="006F5E38">
      <w:pPr>
        <w:pStyle w:val="ListParagraph"/>
        <w:ind w:left="709"/>
        <w:contextualSpacing w:val="0"/>
        <w:jc w:val="both"/>
        <w:rPr>
          <w:rFonts w:cstheme="minorHAnsi"/>
        </w:rPr>
      </w:pPr>
      <w:r>
        <w:t>“HE 5. iedaļa Minimālā elektroenerģijas ražošana no atjaunojamajiem energoresursiem.”</w:t>
      </w:r>
    </w:p>
    <w:p w14:paraId="5A13D3D2" w14:textId="6E7AA8ED" w:rsidR="005074AB" w:rsidRPr="009064BC" w:rsidRDefault="005074AB" w:rsidP="00CC005A">
      <w:pPr>
        <w:numPr>
          <w:ilvl w:val="0"/>
          <w:numId w:val="13"/>
        </w:numPr>
        <w:ind w:left="720" w:hanging="294"/>
        <w:jc w:val="both"/>
        <w:rPr>
          <w:rFonts w:cstheme="minorHAnsi"/>
        </w:rPr>
      </w:pPr>
      <w:r>
        <w:t xml:space="preserve">HE 5. iedaļā “Minimālā elektroenerģijas ražošana” 1. iedaļa “Darbības joma” ir formulēta šādi: </w:t>
      </w:r>
    </w:p>
    <w:p w14:paraId="45B1F681" w14:textId="77777777" w:rsidR="005074AB" w:rsidRPr="009064BC" w:rsidRDefault="005074AB" w:rsidP="00CC005A">
      <w:pPr>
        <w:ind w:left="1134" w:hanging="425"/>
        <w:jc w:val="both"/>
        <w:rPr>
          <w:rFonts w:cstheme="minorHAnsi"/>
        </w:rPr>
      </w:pPr>
      <w:r>
        <w:t>1</w:t>
      </w:r>
      <w:r>
        <w:tab/>
        <w:t xml:space="preserve">Šo iedaļu piemēro šādos gadījumos: </w:t>
      </w:r>
    </w:p>
    <w:p w14:paraId="10C39280" w14:textId="4335D1B7" w:rsidR="002F2BD0" w:rsidRPr="003934E5" w:rsidRDefault="005074AB" w:rsidP="002F2BD0">
      <w:pPr>
        <w:numPr>
          <w:ilvl w:val="0"/>
          <w:numId w:val="8"/>
        </w:numPr>
        <w:ind w:left="1418" w:hanging="284"/>
        <w:contextualSpacing/>
        <w:jc w:val="both"/>
        <w:rPr>
          <w:rFonts w:cstheme="minorHAnsi"/>
        </w:rPr>
      </w:pPr>
      <w:r>
        <w:t>jaunceltnes, ja tās pārsniedz 1 000 m</w:t>
      </w:r>
      <w:r>
        <w:rPr>
          <w:vertAlign w:val="superscript"/>
        </w:rPr>
        <w:t>2</w:t>
      </w:r>
      <w:r>
        <w:t>;</w:t>
      </w:r>
    </w:p>
    <w:p w14:paraId="288E1AFC" w14:textId="6CE90E6C" w:rsidR="002F2BD0" w:rsidRPr="003934E5" w:rsidRDefault="002F2BD0" w:rsidP="002F2BD0">
      <w:pPr>
        <w:numPr>
          <w:ilvl w:val="0"/>
          <w:numId w:val="8"/>
        </w:numPr>
        <w:ind w:left="1418" w:hanging="284"/>
        <w:contextualSpacing/>
        <w:jc w:val="both"/>
        <w:rPr>
          <w:rFonts w:cstheme="minorHAnsi"/>
        </w:rPr>
      </w:pPr>
      <w:r>
        <w:t>esošo ēku paplašinājumi, kad apbūvētā teritorija ir palielināta par vairāk nekā 1 000 m</w:t>
      </w:r>
      <w:r>
        <w:rPr>
          <w:vertAlign w:val="superscript"/>
        </w:rPr>
        <w:t>2</w:t>
      </w:r>
      <w:r>
        <w:t>.</w:t>
      </w:r>
    </w:p>
    <w:p w14:paraId="647D0A9C" w14:textId="63F54BFD" w:rsidR="005074AB" w:rsidRPr="009064BC" w:rsidRDefault="005074AB" w:rsidP="005074AB">
      <w:pPr>
        <w:numPr>
          <w:ilvl w:val="0"/>
          <w:numId w:val="8"/>
        </w:numPr>
        <w:ind w:left="1418" w:hanging="284"/>
        <w:contextualSpacing/>
        <w:jc w:val="both"/>
        <w:rPr>
          <w:rFonts w:cstheme="minorHAnsi"/>
        </w:rPr>
      </w:pPr>
      <w:r>
        <w:t>esošas ēkas, kas ir pilnībā atjaunotas vai kur mainās to lietošanas īpašības, ja tās pārsniedz 1 000 m</w:t>
      </w:r>
      <w:r>
        <w:rPr>
          <w:vertAlign w:val="superscript"/>
        </w:rPr>
        <w:t>2</w:t>
      </w:r>
      <w:r>
        <w:t xml:space="preserve"> no uzbūvētās virsmas.</w:t>
      </w:r>
    </w:p>
    <w:p w14:paraId="2BDE8293" w14:textId="74B0ACD8" w:rsidR="001B0467" w:rsidRPr="003934E5" w:rsidRDefault="00D76296" w:rsidP="001B0467">
      <w:pPr>
        <w:ind w:left="1134"/>
        <w:jc w:val="both"/>
        <w:rPr>
          <w:rFonts w:cstheme="minorHAnsi"/>
        </w:rPr>
      </w:pPr>
      <w:r>
        <w:t xml:space="preserve">Uzskata, ka apbūvētā platība ietver stāvvietu platību ēkas iekšienē un neietver kopējās āra platības.”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HE 5. iedaļā “Minimālā elektroenerģijas ražošana” 2. iedaļas “Prasības raksturojums” pirmā daļa ir formulēta šādi:</w:t>
      </w:r>
    </w:p>
    <w:p w14:paraId="477CF5F6" w14:textId="719B0DCE" w:rsidR="001B0467" w:rsidRPr="003934E5" w:rsidRDefault="003934E5" w:rsidP="003934E5">
      <w:pPr>
        <w:pStyle w:val="ListParagraph"/>
        <w:ind w:left="1134" w:hanging="425"/>
        <w:contextualSpacing w:val="0"/>
        <w:jc w:val="both"/>
        <w:rPr>
          <w:rFonts w:cstheme="minorHAnsi"/>
        </w:rPr>
      </w:pPr>
      <w:r>
        <w:t>1</w:t>
      </w:r>
      <w:r>
        <w:tab/>
        <w:t>Ēkās ir elektroenerģijas ražošanas sistēmas no atjaunojamajiem energoresursiem pašu patēriņam vai elektrotīkla apgūšanai.”</w:t>
      </w:r>
    </w:p>
    <w:p w14:paraId="6586AED4" w14:textId="66518836" w:rsidR="005074AB" w:rsidRPr="003934E5" w:rsidRDefault="005074AB" w:rsidP="00262992">
      <w:pPr>
        <w:pStyle w:val="ListParagraph"/>
        <w:numPr>
          <w:ilvl w:val="0"/>
          <w:numId w:val="13"/>
        </w:numPr>
        <w:ind w:left="709" w:hanging="283"/>
        <w:jc w:val="both"/>
        <w:rPr>
          <w:rFonts w:cstheme="minorHAnsi"/>
        </w:rPr>
      </w:pPr>
      <w:r>
        <w:t>HE 5. iedaļā “Minimālā elektroenerģijas ražošana” 3. iedaļa “Prasības kvantifikācija” ir formulēta šādi:</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t xml:space="preserve">Minimālā </w:t>
      </w:r>
      <w:r>
        <w:rPr>
          <w:i/>
        </w:rPr>
        <w:t>jauda uzstādīt</w:t>
      </w:r>
      <w:r>
        <w:t xml:space="preserve"> P</w:t>
      </w:r>
      <w:r>
        <w:rPr>
          <w:vertAlign w:val="subscript"/>
        </w:rPr>
        <w:t>min</w:t>
      </w:r>
      <w:r>
        <w:t xml:space="preserve"> ir zemākais no rezultāta, ko iegūst, izmantojot šādus divus vienādojumus: </w:t>
      </w:r>
    </w:p>
    <w:p w14:paraId="13C627CF" w14:textId="4FFC04B6" w:rsidR="005074AB" w:rsidRPr="003934E5" w:rsidRDefault="001E31F3" w:rsidP="005074AB">
      <w:pPr>
        <w:spacing w:before="60"/>
        <w:ind w:left="2127" w:hanging="993"/>
        <w:jc w:val="both"/>
        <w:rPr>
          <w:rFonts w:eastAsia="Arial" w:cstheme="minorHAnsi"/>
          <w:kern w:val="2"/>
          <w:szCs w:val="24"/>
        </w:rPr>
      </w:pPr>
      <w:r>
        <w:t>P</w:t>
      </w:r>
      <w:r>
        <w:rPr>
          <w:vertAlign w:val="subscript"/>
        </w:rPr>
        <w:t xml:space="preserve"> 1</w:t>
      </w:r>
      <w:r>
        <w:t xml:space="preserve"> = F</w:t>
      </w:r>
      <w:r>
        <w:rPr>
          <w:vertAlign w:val="subscript"/>
        </w:rPr>
        <w:t>pr;el</w:t>
      </w:r>
      <w:r>
        <w:t>· S</w:t>
      </w:r>
    </w:p>
    <w:p w14:paraId="667B6FED" w14:textId="0FB9ED9C" w:rsidR="001E31F3" w:rsidRPr="008E713D" w:rsidRDefault="001E31F3" w:rsidP="005074AB">
      <w:pPr>
        <w:spacing w:before="60"/>
        <w:ind w:left="2127" w:hanging="993"/>
        <w:jc w:val="both"/>
        <w:rPr>
          <w:rFonts w:eastAsia="Arial" w:cstheme="minorHAnsi"/>
          <w:kern w:val="2"/>
          <w:szCs w:val="24"/>
        </w:rPr>
      </w:pPr>
      <w:r>
        <w:lastRenderedPageBreak/>
        <w:t>P</w:t>
      </w:r>
      <w:r>
        <w:rPr>
          <w:vertAlign w:val="subscript"/>
        </w:rPr>
        <w:t>2</w:t>
      </w:r>
      <w:r>
        <w:t xml:space="preserve"> = 0,1· (0,5· S</w:t>
      </w:r>
      <w:r>
        <w:rPr>
          <w:vertAlign w:val="subscript"/>
        </w:rPr>
        <w:t>c</w:t>
      </w:r>
      <w:r>
        <w:t xml:space="preserve"> — S</w:t>
      </w:r>
      <w:r>
        <w:rPr>
          <w:vertAlign w:val="subscript"/>
        </w:rPr>
        <w:t>oc</w:t>
      </w:r>
      <w:r>
        <w:t>)</w:t>
      </w:r>
    </w:p>
    <w:p w14:paraId="33F1DF55" w14:textId="77777777" w:rsidR="005074AB" w:rsidRPr="00C249FB" w:rsidRDefault="005074AB" w:rsidP="005074AB">
      <w:pPr>
        <w:spacing w:before="60"/>
        <w:ind w:left="1134"/>
        <w:jc w:val="both"/>
        <w:rPr>
          <w:rFonts w:eastAsia="Arial" w:cstheme="minorHAnsi"/>
          <w:kern w:val="2"/>
          <w:szCs w:val="24"/>
        </w:rPr>
      </w:pPr>
      <w:r>
        <w:t>kur</w:t>
      </w:r>
    </w:p>
    <w:p w14:paraId="61117D05" w14:textId="670BE156" w:rsidR="005074AB" w:rsidRDefault="005074AB" w:rsidP="005074AB">
      <w:pPr>
        <w:spacing w:before="60"/>
        <w:ind w:left="2126" w:hanging="567"/>
        <w:contextualSpacing/>
        <w:jc w:val="both"/>
        <w:rPr>
          <w:rFonts w:eastAsia="Arial" w:cstheme="minorHAnsi"/>
          <w:kern w:val="2"/>
          <w:szCs w:val="24"/>
        </w:rPr>
      </w:pPr>
      <w:r>
        <w:t>P</w:t>
      </w:r>
      <w:r>
        <w:rPr>
          <w:vertAlign w:val="subscript"/>
        </w:rPr>
        <w:t>min</w:t>
      </w:r>
      <w:r>
        <w:tab/>
      </w:r>
      <w:r>
        <w:rPr>
          <w:i/>
        </w:rPr>
        <w:t xml:space="preserve"> jauda uzstādīt </w:t>
      </w:r>
      <w:r>
        <w:t>[kW];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t>F</w:t>
      </w:r>
      <w:r>
        <w:rPr>
          <w:vertAlign w:val="subscript"/>
        </w:rPr>
        <w:t>pr;el</w:t>
      </w:r>
      <w:r>
        <w:tab/>
        <w:t>elektroenerģijas ražošanas koeficients, kas ņem vērtību 0,005 privātam patēriņam un 0,010 citiem lietojumiem [kW/m</w:t>
      </w:r>
      <w:r>
        <w:rPr>
          <w:vertAlign w:val="superscript"/>
        </w:rPr>
        <w:t xml:space="preserve"> 2</w:t>
      </w:r>
      <w:r>
        <w: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S</w:t>
      </w:r>
      <w:r>
        <w:tab/>
        <w:t>ēkas apbūvētās platības platība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t>S</w:t>
      </w:r>
      <w:r>
        <w:rPr>
          <w:vertAlign w:val="subscript"/>
        </w:rPr>
        <w:t xml:space="preserve"> c</w:t>
      </w:r>
      <w:r>
        <w:tab/>
        <w:t>nepārvietojama jumta virsmas laukums vai pieejams tikai uzturēšanai [m</w:t>
      </w:r>
      <w:r>
        <w:rPr>
          <w:vertAlign w:val="superscript"/>
        </w:rPr>
        <w:t>2</w:t>
      </w:r>
      <w:r>
        <w:t>];</w:t>
      </w:r>
    </w:p>
    <w:p w14:paraId="3D939F32" w14:textId="65BA2EC5" w:rsidR="00A515D1" w:rsidRPr="009064BC" w:rsidRDefault="00262992" w:rsidP="00262992">
      <w:pPr>
        <w:spacing w:before="60"/>
        <w:ind w:left="2127" w:hanging="567"/>
        <w:jc w:val="both"/>
        <w:rPr>
          <w:rFonts w:eastAsia="Arial" w:cstheme="minorHAnsi"/>
          <w:kern w:val="2"/>
          <w:szCs w:val="24"/>
        </w:rPr>
      </w:pPr>
      <w:r>
        <w:t>S</w:t>
      </w:r>
      <w:r>
        <w:rPr>
          <w:vertAlign w:val="subscript"/>
        </w:rPr>
        <w:t>oc</w:t>
      </w:r>
      <w:r>
        <w:tab/>
        <w:t>nepārvietojama jumta virsmas laukums vai pieejams uzturēšanai, ko aizņem tikai saules siltumsūkņi [m</w:t>
      </w:r>
      <w:r>
        <w:rPr>
          <w:vertAlign w:val="superscript"/>
        </w:rPr>
        <w:t>2</w:t>
      </w:r>
      <w:r>
        <w:t>].</w:t>
      </w:r>
    </w:p>
    <w:p w14:paraId="539F8AB0" w14:textId="583A6FA1" w:rsidR="005074AB" w:rsidRPr="009064BC" w:rsidRDefault="007769F1" w:rsidP="00CC005A">
      <w:pPr>
        <w:ind w:left="1134" w:hanging="425"/>
        <w:jc w:val="both"/>
        <w:rPr>
          <w:rFonts w:eastAsia="Arial" w:cstheme="minorHAnsi"/>
          <w:kern w:val="2"/>
          <w:szCs w:val="24"/>
        </w:rPr>
      </w:pPr>
      <w:r>
        <w:t>2</w:t>
      </w:r>
      <w:r>
        <w:tab/>
        <w:t xml:space="preserve">Ēkās, kurās pilsētas vai arhitektonisku iemeslu dēļ vai tāpēc, ka tās ir oficiāli aizsargātas ēkas, kur oficiālā aizsardzība ir tā, kas nosaka nemaināmos elementus, nevar sasniegt minimālo </w:t>
      </w:r>
      <w:r>
        <w:rPr>
          <w:i/>
        </w:rPr>
        <w:t>jaudu uzstādīt</w:t>
      </w:r>
      <w:r>
        <w:t>, šo neiespējamību pamato, analizējot dažādas alternatīvas, un pieņem risinājumu, kas sasniedz maksimālo iespējamo uzstādīto jaudu.”</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t>HE 5. iedaļā “Minimālā elektroenerģijas ražošana” 4. iedaļā “Prasības pamatojums” pievieno šādu tekstu:</w:t>
      </w:r>
    </w:p>
    <w:p w14:paraId="1F522FCD" w14:textId="0464CEFA" w:rsidR="005074AB" w:rsidRPr="003934E5" w:rsidRDefault="00CC005A" w:rsidP="00982E58">
      <w:pPr>
        <w:ind w:left="1134" w:hanging="425"/>
        <w:jc w:val="both"/>
        <w:rPr>
          <w:rFonts w:cstheme="minorHAnsi"/>
        </w:rPr>
      </w:pPr>
      <w:r>
        <w:t>c)</w:t>
      </w:r>
      <w:r>
        <w:tab/>
        <w:t xml:space="preserve">vajadzības gadījumā iemesli, kas neļauj sasniegt minimālo nepieciešamo </w:t>
      </w:r>
      <w:r>
        <w:rPr>
          <w:i/>
        </w:rPr>
        <w:t>jaudu uzstādīt</w:t>
      </w:r>
      <w:r>
        <w:t>, alternatīvu analīze un risinājums, kas pieņemts, lai sasniegtu maksimālo iespējamo uzstādīto jaudu.”</w:t>
      </w:r>
    </w:p>
    <w:p w14:paraId="2F009607" w14:textId="478B8572" w:rsidR="005074AB" w:rsidRPr="003934E5" w:rsidRDefault="005074AB" w:rsidP="009064BC">
      <w:pPr>
        <w:pStyle w:val="ListParagraph"/>
        <w:numPr>
          <w:ilvl w:val="0"/>
          <w:numId w:val="13"/>
        </w:numPr>
        <w:ind w:left="709" w:hanging="283"/>
        <w:jc w:val="both"/>
        <w:rPr>
          <w:rFonts w:cstheme="minorHAnsi"/>
        </w:rPr>
      </w:pPr>
      <w:r>
        <w:t>A pielikumā “Terminoloģija” izdara šādus grozījumus:</w:t>
      </w:r>
    </w:p>
    <w:p w14:paraId="44885A1E" w14:textId="0F9B0783" w:rsidR="005074AB" w:rsidRPr="009064BC" w:rsidRDefault="005074AB" w:rsidP="005074AB">
      <w:pPr>
        <w:ind w:left="709" w:hanging="142"/>
        <w:jc w:val="both"/>
        <w:rPr>
          <w:rFonts w:cstheme="minorHAnsi"/>
        </w:rPr>
      </w:pPr>
      <w:r>
        <w:t>— Termina “Saules kontrole (q</w:t>
      </w:r>
      <w:r>
        <w:rPr>
          <w:vertAlign w:val="subscript"/>
        </w:rPr>
        <w:t>sol;jul</w:t>
      </w:r>
      <w:r>
        <w:t>)” definīciju pilnībā aizstāj ar semikolu formulas “H</w:t>
      </w:r>
      <w:r>
        <w:rPr>
          <w:vertAlign w:val="subscript"/>
        </w:rPr>
        <w:t>sol; jul</w:t>
      </w:r>
      <w:r>
        <w:t>” komponenta definīcijas beigās un citas formulas sastāvdaļas definīciju pievieno šādi:</w:t>
      </w:r>
    </w:p>
    <w:p w14:paraId="3DF606FE" w14:textId="65F10CC5" w:rsidR="005074AB" w:rsidRPr="009064BC" w:rsidRDefault="005074AB" w:rsidP="00A5780E">
      <w:pPr>
        <w:ind w:left="709"/>
        <w:jc w:val="both"/>
        <w:rPr>
          <w:rFonts w:cstheme="minorHAnsi"/>
        </w:rPr>
      </w:pPr>
      <w:r>
        <w:t>“A</w:t>
      </w:r>
      <w:r>
        <w:rPr>
          <w:vertAlign w:val="subscript"/>
        </w:rPr>
        <w:t>til</w:t>
      </w:r>
      <w:r>
        <w:t xml:space="preserve"> apgabals, ko uzskata par atbilstošu HE 0. 4.6. iedaļai.”</w:t>
      </w:r>
    </w:p>
    <w:p w14:paraId="22770CCD" w14:textId="56BB680A" w:rsidR="005074AB" w:rsidRPr="009064BC" w:rsidRDefault="005074AB" w:rsidP="005074AB">
      <w:pPr>
        <w:ind w:left="709" w:hanging="142"/>
        <w:jc w:val="both"/>
        <w:rPr>
          <w:rFonts w:cstheme="minorHAnsi"/>
        </w:rPr>
      </w:pPr>
      <w:r>
        <w:t>— Termina "galīgā enerģija" definīcijā formulējumu "Vai tas, ko patērētāji iegādājas elektroenerģijas, kurināmā vai cita kurināmā veidā, ko tieši izmanto" aizstāj ar "Tas ir tas, ko piegādā ēku sistēmām, lai sniegtu pakalpojumus. Šo piegādi parasti nodrošina, izmantojot kurināmo, ražošanu uz vietas vai īpašus tīklus (elektroenerģiju, gāzi, siltumenerģiju vai aukstumapgādi utt.)”.</w:t>
      </w:r>
    </w:p>
    <w:p w14:paraId="4C32D5BC" w14:textId="77777777" w:rsidR="005074AB" w:rsidRPr="009064BC" w:rsidRDefault="005074AB" w:rsidP="005074AB">
      <w:pPr>
        <w:ind w:left="709" w:hanging="142"/>
        <w:jc w:val="both"/>
        <w:rPr>
          <w:rFonts w:cstheme="minorHAnsi"/>
        </w:rPr>
      </w:pPr>
      <w:r>
        <w:t>Termina “termiskā caurlaidība (U)” definīcijā pievieno šādu teikumu:</w:t>
      </w:r>
    </w:p>
    <w:p w14:paraId="553E6F27" w14:textId="77777777" w:rsidR="005074AB" w:rsidRPr="009064BC" w:rsidRDefault="005074AB" w:rsidP="00A5780E">
      <w:pPr>
        <w:ind w:left="709"/>
        <w:jc w:val="both"/>
        <w:rPr>
          <w:rFonts w:cstheme="minorHAnsi"/>
        </w:rPr>
      </w:pPr>
      <w:r>
        <w:t>“Izteikts W/m</w:t>
      </w:r>
      <w:r>
        <w:rPr>
          <w:vertAlign w:val="superscript"/>
        </w:rPr>
        <w:t>2</w:t>
      </w:r>
      <w:r>
        <w:t>K.”</w:t>
      </w:r>
    </w:p>
    <w:p w14:paraId="573B0D8C" w14:textId="4E8B3B75" w:rsidR="005074AB" w:rsidRPr="009064BC" w:rsidRDefault="005074AB" w:rsidP="009064BC">
      <w:pPr>
        <w:pStyle w:val="ListParagraph"/>
        <w:numPr>
          <w:ilvl w:val="0"/>
          <w:numId w:val="13"/>
        </w:numPr>
        <w:ind w:left="709" w:hanging="283"/>
        <w:jc w:val="both"/>
        <w:rPr>
          <w:rFonts w:cstheme="minorHAnsi"/>
        </w:rPr>
      </w:pPr>
      <w:r>
        <w:t>A pielikumā “Terminoloģija” ir iekļauti šādi termini:</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Palīgiekārtas</w:t>
      </w:r>
      <w:r>
        <w:t>: elektriskās vai elektroniskās iekārtas, kas saistītas ar gaismu, atšķiras katra tipa</w:t>
      </w:r>
      <w:r>
        <w:rPr>
          <w:i/>
        </w:rPr>
        <w:t xml:space="preserve"> gaismai</w:t>
      </w:r>
      <w:r>
        <w:t>, kuru funkcija ir aizdegšanās un darbības apstākļu kontrole. Šo palīgiekārtu, ja vien tā nav elektroniska, veido startera, balasta un kondensatora kombinācija.</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lastRenderedPageBreak/>
        <w:t>“</w:t>
      </w:r>
      <w:r>
        <w:rPr>
          <w:b/>
          <w:i/>
        </w:rPr>
        <w:t>Uzlādes stacija</w:t>
      </w:r>
      <w:r>
        <w:t xml:space="preserve">: elementu komplekts, kas nepieciešams, lai savienotu </w:t>
      </w:r>
      <w:r>
        <w:rPr>
          <w:i/>
        </w:rPr>
        <w:t xml:space="preserve"> elektrisko transportlīdzekli</w:t>
      </w:r>
      <w:r>
        <w:t xml:space="preserve"> ar stacionāro elektroinstalāciju, kas nepieciešama uzlādei. </w:t>
      </w:r>
      <w:r>
        <w:rPr>
          <w:i/>
        </w:rPr>
        <w:t>Uzlādes stacijas</w:t>
      </w:r>
      <w:r>
        <w:t xml:space="preserve"> klasificē kā:</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t>1.</w:t>
      </w:r>
      <w:r>
        <w:tab/>
        <w:t xml:space="preserve">Vienots uzlādes punkts, kas sastāv no nepieciešamās aizsardzības, vienas vai vairākām kontaktligzdām, kas nav raksturīgas </w:t>
      </w:r>
      <w:r>
        <w:rPr>
          <w:i/>
        </w:rPr>
        <w:t>elektriskajam transportlīdzeklim</w:t>
      </w:r>
      <w:r>
        <w:t>, un attiecīgā gadījumā apvalkam.</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rPr>
      </w:pPr>
      <w:r>
        <w:t>2.</w:t>
      </w:r>
      <w:r>
        <w:tab/>
        <w:t xml:space="preserve">SAVE </w:t>
      </w:r>
      <w:r>
        <w:rPr>
          <w:i/>
        </w:rPr>
        <w:t>(Īpaša elektrotransportlīdzekļu barošanas sistēma)</w:t>
      </w:r>
      <w:r>
        <w:t xml:space="preserve"> tipa uzlādes punkts.”</w:t>
      </w:r>
    </w:p>
    <w:p w14:paraId="1D92DB31" w14:textId="44506109" w:rsidR="005074AB" w:rsidRPr="003934E5" w:rsidRDefault="00547307" w:rsidP="00CC005A">
      <w:pPr>
        <w:spacing w:before="200" w:after="100" w:line="240" w:lineRule="auto"/>
        <w:ind w:left="709"/>
        <w:jc w:val="both"/>
        <w:rPr>
          <w:rFonts w:eastAsia="Arial" w:cstheme="minorHAnsi"/>
          <w:kern w:val="2"/>
        </w:rPr>
      </w:pPr>
      <w:r>
        <w:t>“</w:t>
      </w:r>
      <w:r>
        <w:rPr>
          <w:b/>
          <w:i/>
        </w:rPr>
        <w:t>Elektrisko transportlīdzekļu uzlādes infrastruktūra:</w:t>
      </w:r>
      <w:r>
        <w:t xml:space="preserve"> tādu fizisku un loģisku ierīču komplekts, kas paredzētas, lai uzlādētu </w:t>
      </w:r>
      <w:r>
        <w:rPr>
          <w:i/>
        </w:rPr>
        <w:t>elektriskos transportlīdzekļus</w:t>
      </w:r>
      <w:r>
        <w:t xml:space="preserve">, atbilst drošības un pieejamības prasībām, kuras katram gadījumam paredzētas Zemsprieguma elektrotehniskajos noteikumos, kas spēj nodrošināt pilnīgu un visaptverošu uzlādes pakalpojumu. Tas ietver </w:t>
      </w:r>
      <w:r>
        <w:rPr>
          <w:i/>
        </w:rPr>
        <w:t>uzlādes stacijas</w:t>
      </w:r>
      <w:r>
        <w:t>, vadības sistēmu, elektriskos cauruļvadus, elektriskās vadības un aizsardzības paneļus un mērīšanas iekārtas, ja tās paredzētas tikai elektrisko transportlīdzekļu uzlādei.”</w:t>
      </w:r>
    </w:p>
    <w:p w14:paraId="5C699291" w14:textId="5BE34863" w:rsidR="005074AB" w:rsidRPr="003934E5" w:rsidRDefault="00547307" w:rsidP="00547307">
      <w:pPr>
        <w:spacing w:before="200" w:after="100" w:line="240" w:lineRule="auto"/>
        <w:ind w:left="709"/>
        <w:jc w:val="both"/>
        <w:rPr>
          <w:rFonts w:eastAsia="Arial" w:cstheme="minorHAnsi"/>
          <w:kern w:val="2"/>
        </w:rPr>
      </w:pPr>
      <w:r>
        <w:t>“</w:t>
      </w:r>
      <w:r>
        <w:rPr>
          <w:b/>
          <w:i/>
        </w:rPr>
        <w:t>Specifiskā elektrotransportlīdzekļu energosistēma (SAVE)</w:t>
      </w:r>
      <w:r>
        <w:t xml:space="preserve">: iekārtu komplekts, kas samontēts, lai piegādātu elektroenerģiju, lai uzlādētu </w:t>
      </w:r>
      <w:r>
        <w:rPr>
          <w:i/>
        </w:rPr>
        <w:t>elektrisko transportlīdzekli</w:t>
      </w:r>
      <w:r>
        <w:t xml:space="preserve">, ieskaitot uzlādes stacijas aizsardzību, savienojuma kabeli (ar fāzi, neitrāliem un aizsardzības vadītājiem) kontaktligzdas pamatni vai savienotāju un, attiecīgā gadījumā, mainīgu nepārtraukto pārveidotāju. Šī sistēma vajadzības gadījumā nodrošina saziņu starp </w:t>
      </w:r>
      <w:r>
        <w:rPr>
          <w:i/>
        </w:rPr>
        <w:t>elektrisko transportlīdzekli</w:t>
      </w:r>
      <w:r>
        <w:t xml:space="preserve"> un stacionāro uzstādīšanu.”</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t>“</w:t>
      </w:r>
      <w:r>
        <w:rPr>
          <w:b/>
          <w:i/>
        </w:rPr>
        <w:t>Privāts dzīvojamo ēku lietojums</w:t>
      </w:r>
      <w:r>
        <w:t>: Ēka vai teritorija, kas paredzēta pastāvīgai dzīvesvietai, neatkarīgi no ēkas veida: savrupmājas, daudzdzīvokļu ēkas u. c., gan valsts, gan privātai attīstībai.”</w:t>
      </w:r>
    </w:p>
    <w:p w14:paraId="0B244847" w14:textId="4B38DAFA" w:rsidR="005074AB" w:rsidRDefault="00547307" w:rsidP="00CC005A">
      <w:pPr>
        <w:spacing w:before="200" w:after="100" w:line="240" w:lineRule="auto"/>
        <w:ind w:left="709"/>
        <w:jc w:val="both"/>
        <w:rPr>
          <w:rFonts w:eastAsia="Arial" w:cstheme="minorHAnsi"/>
          <w:kern w:val="2"/>
          <w:szCs w:val="24"/>
        </w:rPr>
      </w:pPr>
      <w:r>
        <w:t>“</w:t>
      </w:r>
      <w:r>
        <w:rPr>
          <w:b/>
          <w:i/>
        </w:rPr>
        <w:t>Elektriskie transportlīdzekļi</w:t>
      </w:r>
      <w:r>
        <w:t>: mehāniskais transportlīdzeklis aprīkots ar vilces grupu ar vismaz vienu neperifēru elektromehānismu, kas darbojas kā enerģijas pārveidotājs, un ir aprīkots ar atkārtoti uzlādējamu elektroenerģijas akumulēšanas sistēmu, ko var uzlādēt no ārpuses.”</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t>D pielikuma 4. punktā tekstu “Atzīts dokuments” aizstāj ar “Ēku energosertifikācijai apstiprināts dokuments”.</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H pielikumā "Ēkas gaisa caurlaidības noteikšana pēc iedaļas nosaukuma" frāzi "Ēkas gaisa caurlaidības noteikšana jāveic, izmantojot vienu no šādām metodēm" un 1. iedaļā "Noteikšana ar testu" formulējumu "Gaisa izmaiņu koeficienta vērtība pie 50 Pa, n50, var iegūt, testējot saskaņā ar UNE-EN 13829:2002 B metodi. Necaurlaidības noteikšana ēkās. Spiediena noteikšanas metodi ar ventilatoru." aizstāj ar šādu: “Gaisa maiņas koeficienta vērtību pie 50 Pa, n50, izmantojot testēšanu, iegūst, izmantojot UNE-EN ISO 9972 1. vai 2. metodi: 2019 Ēku termiskais sniegums. Ēku gaisa caurlaidības noteikšana. Ventilatora spiediena noteikšanas metode.”.</w:t>
      </w:r>
    </w:p>
    <w:p w14:paraId="153946FB" w14:textId="274D0F0F" w:rsidR="001E0B70" w:rsidRPr="003934E5" w:rsidRDefault="001E0B70" w:rsidP="005074AB">
      <w:pPr>
        <w:ind w:left="13"/>
        <w:jc w:val="both"/>
        <w:rPr>
          <w:rFonts w:cstheme="minorHAnsi"/>
        </w:rPr>
      </w:pPr>
      <w:r>
        <w:t>3.</w:t>
      </w:r>
      <w:r>
        <w:rPr>
          <w:b/>
        </w:rPr>
        <w:t xml:space="preserve"> </w:t>
      </w:r>
      <w:r>
        <w:t xml:space="preserve">Pamatdokumentā DB-SUA “Drošība lietošanā un piekļūstamība”, kas iekļauts Ēku tehniskā kodeksa II daļā, ir ieviesti šādi grozījumi: </w:t>
      </w:r>
    </w:p>
    <w:p w14:paraId="05134A28" w14:textId="08B7B404" w:rsidR="00A5780E" w:rsidRDefault="001E0B70" w:rsidP="00D722CA">
      <w:pPr>
        <w:ind w:left="13"/>
        <w:jc w:val="both"/>
        <w:rPr>
          <w:rFonts w:cstheme="minorHAnsi"/>
        </w:rPr>
      </w:pPr>
      <w:r>
        <w:t>SUA 9. iedaļā “Pieejamība” A pielikuma “Terminoloģija” definīcijā “pieejama stāvvieta” tagad ir iekļauta defise ar šādu tekstu:</w:t>
      </w:r>
    </w:p>
    <w:p w14:paraId="791B9B63" w14:textId="2AEB4586" w:rsidR="00D722CA" w:rsidRPr="009064BC" w:rsidRDefault="0078611E" w:rsidP="0078611E">
      <w:pPr>
        <w:ind w:left="709"/>
        <w:jc w:val="both"/>
        <w:rPr>
          <w:rFonts w:cstheme="minorHAnsi"/>
        </w:rPr>
      </w:pPr>
      <w:r>
        <w:lastRenderedPageBreak/>
        <w:t>“- Ja pieejamajai autostāvvietai ir elektrotransportlīdzekļu uzlādes stacija, pieejamais maršruts aptver arī šo uzlādes staciju. Šo uzlādes staciju elektroenerģijas izvadiem un savienotājiem jābūt hromatiski kontrastētiem ar vidi, novietotiem 80 līdz 120 cm augstumā, un attālumam no stūriem jābūt vismaz 35 cm.”</w:t>
      </w:r>
    </w:p>
    <w:p w14:paraId="09F57FB9" w14:textId="78225EA3" w:rsidR="005074AB" w:rsidRPr="009064BC" w:rsidRDefault="00DF5914" w:rsidP="005074AB">
      <w:pPr>
        <w:ind w:left="13"/>
        <w:jc w:val="both"/>
        <w:rPr>
          <w:rFonts w:cstheme="minorHAnsi"/>
        </w:rPr>
      </w:pPr>
      <w:r>
        <w:t>Ceturtais punkts. Pamatdokumentā DB-HS “Veselība”, kas iekļauts Ēku tehniskā kodeksa II daļā, tiek ieviests šāds grozījums:</w:t>
      </w:r>
    </w:p>
    <w:p w14:paraId="6B818CBA" w14:textId="77777777" w:rsidR="002E7342" w:rsidRDefault="005074AB" w:rsidP="002E7342">
      <w:pPr>
        <w:pStyle w:val="ListParagraph"/>
        <w:numPr>
          <w:ilvl w:val="0"/>
          <w:numId w:val="22"/>
        </w:numPr>
        <w:jc w:val="both"/>
        <w:rPr>
          <w:rFonts w:cstheme="minorHAnsi"/>
        </w:rPr>
      </w:pPr>
      <w:r>
        <w:t>HS 4. iedaļas “Ūdensapgāde” 3.2.2.1. iedaļas 2. punktā teikumu “saules enerģijas minimālais ieguldījums mājsaimniecības karstā ūdens ražošanā” aizstāj ar teikumu “atjaunojamās enerģijas minimālais ieguldījums mājsaimniecības karstā ūdens pieprasījuma apmierināšanā”.</w:t>
      </w:r>
    </w:p>
    <w:p w14:paraId="49ACE665" w14:textId="4B95E48B" w:rsidR="005074AB" w:rsidRPr="003934E5" w:rsidRDefault="002F25C7" w:rsidP="009064BC">
      <w:pPr>
        <w:jc w:val="both"/>
        <w:rPr>
          <w:rFonts w:eastAsia="Arial" w:cstheme="minorHAnsi"/>
          <w:kern w:val="2"/>
        </w:rPr>
      </w:pPr>
      <w:r>
        <w:t>Piektais punkts. Ir veikti šādi kļūdu labojumi, kas norādīti Pamatdokumentā DB-HE “Enerģijas ietaupījums”, kas iekļauts Ēku tehniskā kodeksa II daļā:</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t>HE 0. iedaļas 1. iedaļā “Darbības joma”, 1. punkts, kur tas ir formulēts šādi: “...ja kopējā paplašinātā lietderīgā platība pārsniedz 50 m</w:t>
      </w:r>
      <w:r>
        <w:rPr>
          <w:vertAlign w:val="superscript"/>
        </w:rPr>
        <w:t>2</w:t>
      </w:r>
      <w:r>
        <w:t>;”, būtu jālasa “...ja paplašinātā izmantojamā platība pārsniedz 50 m</w:t>
      </w:r>
      <w:r>
        <w:rPr>
          <w:vertAlign w:val="superscript"/>
        </w:rPr>
        <w:t>2</w:t>
      </w:r>
      <w:r>
        <w:t>;”.</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t>HE 0. iedaļas 3. iedaļas “Prasības kvantifikācija” 3.1. iedaļas “Neatjaunojamās primārās enerģijas patēriņš” 2. punktā, kur tas ir šāds: “... C</w:t>
      </w:r>
      <w:r>
        <w:rPr>
          <w:vertAlign w:val="subscript"/>
        </w:rPr>
        <w:t>ep’nren,lim</w:t>
      </w:r>
      <w:r>
        <w:t>...“, tas jālasa”... C</w:t>
      </w:r>
      <w:r>
        <w:rPr>
          <w:vertAlign w:val="subscript"/>
        </w:rPr>
        <w:t>ep,nren,lim</w:t>
      </w:r>
      <w: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t>HE 0. iedaļas 3. iedaļas “Prasības kvantifikācija” 3.2. iedaļas “Kopējais primārās enerģijas patēriņš” 1. punktā, kur tas ir šāds: “... C</w:t>
      </w:r>
      <w:r>
        <w:rPr>
          <w:vertAlign w:val="subscript"/>
        </w:rPr>
        <w:t>ep’tot</w:t>
      </w:r>
      <w:r>
        <w:t>...", tas jālasa: “... C</w:t>
      </w:r>
      <w:r>
        <w:rPr>
          <w:vertAlign w:val="subscript"/>
        </w:rPr>
        <w:t>ep, tot</w:t>
      </w:r>
      <w:r>
        <w:t>...”.</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HE 0. iedaļas 3. iedaļas “Prasības kvantifikācija” 3.2. iedaļas “Kopējais primārās enerģijas patēriņš” 2. punktā, kur tas ir šāds: “... C</w:t>
      </w:r>
      <w:r>
        <w:rPr>
          <w:vertAlign w:val="subscript"/>
        </w:rPr>
        <w:t>ep,tot</w:t>
      </w:r>
      <w:r>
        <w:t>...", tas jālasa: “... C</w:t>
      </w:r>
      <w:r>
        <w:rPr>
          <w:vertAlign w:val="subscript"/>
        </w:rPr>
        <w:t>ep, tot</w:t>
      </w:r>
      <w:r>
        <w:t>...”.</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t>Iedaļas HE 0. tabulā 3.1.a-HE0 un 3.2.a-HE0 tabulā slīprakstā jābūt terminam “</w:t>
      </w:r>
      <w:r>
        <w:rPr>
          <w:i/>
        </w:rPr>
        <w:t>privātai izmantošanai mājsaimniecībās</w:t>
      </w:r>
      <w:r>
        <w:t>”. 3.1. iedaļā “Neatjaunojamo energoresursu primārās enerģijas patēriņš” 2. un 3.2. iedaļā “Kopējais primārās enerģijas patēriņš” 2. iedaļā terminam “</w:t>
      </w:r>
      <w:r>
        <w:rPr>
          <w:i/>
        </w:rPr>
        <w:t>privātam mājoklim</w:t>
      </w:r>
      <w:r>
        <w:t>” jābūt kursīvā.</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HE 0. iedaļā 4.3. iedaļā “Iekšējie pieprasījumi un darbības apstākļi” 2. iedaļā terminam “</w:t>
      </w:r>
      <w:r>
        <w:rPr>
          <w:i/>
        </w:rPr>
        <w:t>privātai lietošanai mājokļos</w:t>
      </w:r>
      <w:r>
        <w:t>” jābūt kursīvā.</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t>HE 0. iedaļā 4.5. iedaļa Atsauces sistēmas privātai lietošanai mājsaimniecībās gan nosaukumā, gan 1. punktā būtu jānorāda termins “</w:t>
      </w:r>
      <w:r>
        <w:rPr>
          <w:i/>
        </w:rPr>
        <w:t>privātai lietošanai mājokļos</w:t>
      </w:r>
      <w:r>
        <w:t>”.</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t>HE 1 iedaļas 3. iedaļas “Prasības kvantifikācija” 3.11. iedaļa. Siltuma apvalka caurlaidībai, terminam “kompaktums” 3.1.1.b-HE1 tabulā un 3.1.1.c-HE1 tabulā jābūt kursīvā.</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t>HE 1 iedaļas 3. iedaļas “Prasības kvantifikācija” 3.11. iedaļa. Siltuma apvalka caurlaidībai, terminam “kompaktums” tabulas 3.1.1.b-HE1 zemsvītras piezīmē un 3.1.1.c-HE1 tabulā un terminam “kompaktums” 3.1.1.c-HE1 tabulas zemsvītras piezīmē jābūt kursīvā.</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t>HE 1 iedaļas 3. iedaļas “Prasības kvantifikācija” 3.1.1. iedaļa. Termoapvalka caurlaidība, 3. iedaļa, termins “</w:t>
      </w:r>
      <w:r>
        <w:rPr>
          <w:i/>
        </w:rPr>
        <w:t>privātai lietošanai mājokļos</w:t>
      </w:r>
      <w:r>
        <w:t>” būtu jākoriģē gan 3. punktā, gan 3.1.1.b-HE1 tabulā.</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t>HE 1 iedaļas 3. iedaļas “Prasības kvantifikācija” 3.1.1. iedaļa. Siltuma apvalka caurlaidībai, terminam “termiskā aploksne” 3.1.1.c-HE1 tabulā jābūt kursīvā.</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lastRenderedPageBreak/>
        <w:t>HE 1 iedaļas 3. iedaļas “Prasības kvantifikācija” 3.1.2. iedaļā Siltuma apvalka saules kontrole, ja tā nosaka: “Saules kontroles parametra QSOL, jul,lim [KWh/m</w:t>
      </w:r>
      <w:r>
        <w:rPr>
          <w:vertAlign w:val="superscript"/>
        </w:rPr>
        <w:t xml:space="preserve"> 2</w:t>
      </w:r>
      <w:r>
        <w:t>·mes] robežvērtība 3.1.2.-HE1” jālasa šādi: “3.1.2.-HE1 tabula Saules kontroles parametra robežvērtība q</w:t>
      </w:r>
      <w:r>
        <w:rPr>
          <w:vertAlign w:val="subscript"/>
        </w:rPr>
        <w:t>sol; jul,lim</w:t>
      </w:r>
      <w:r>
        <w:t xml:space="preserve"> [KWh/m</w:t>
      </w:r>
      <w:r>
        <w:rPr>
          <w:vertAlign w:val="superscript"/>
        </w:rPr>
        <w:t xml:space="preserve"> 2</w:t>
      </w:r>
      <w:r>
        <w:t>·mes]”.</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t>HE 1 iedaļas 3. iedaļas “prasības kvantifikācija” 3.1.3. iedaļā “siltuma apvalka gaisa caurlaidība” terminam “termiskā apvalka” jābūt kursīvā.</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t>HE 1 iedaļas 3. iedaļas “prasības kvantifikācija”, 3.1.3. iedaļas “siltuma apvalka gaisa caurlaidība” terminam “kompaktums” 3.1.3.b-HE1 tabulā, terminam “kompaktums” 3.1.3.b-HE1 tabulā un terminam “privāta izmantošana dzīvojamām vajadzībām” 3. punktā jābūt slīprakstā.</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t>HE 1 iedaļas 4. iedaļā “prasības pamatojums”, 4.1. punkta b) apakšpunktā minētajam terminam “kompaktums” un 4.1. punkta g) apakšpunktā minētajam terminam “privātai izmantošanai mājsaimniecībās” jābūt kursīvā.</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t>HE 4 iedaļas 3. iedaļas “Prasības kvantifikācija” 3.1. iedaļas “Minimālais atjaunojamo energoresursu ieguldījums DHW un/vai baseinu apsildei” 4. punktā, kur teikts: “...vairāk nekā 2,5, darbinot ar elektrību, un lielāks par 1,15, ja to darbina ar siltumenerģiju...” lasa “... vienāds ar vai lielāks par 2,5, ja to darbina elektriski, un vienāds ar vai lielāks par 1,15, ja to darbina ar siltumenerģiju...”.</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t>HE 4 iedaļas 3. iedaļas “Prasības kvantifikācija” 3.1. iedaļas “Minimālais atjaunojamo energoresursu ieguldījums DHW un/vai baseinu apsildei” 5. punktā, kur teikts: “... dzīvojamās ēkas...” būtu jālasa šādi: “... ēkas privātai dzīvošanai...”</w:t>
      </w:r>
    </w:p>
    <w:p w14:paraId="198A06EA" w14:textId="307304FC" w:rsidR="005074AB" w:rsidRPr="009064BC" w:rsidRDefault="003E1EAB" w:rsidP="00547307">
      <w:pPr>
        <w:numPr>
          <w:ilvl w:val="0"/>
          <w:numId w:val="15"/>
        </w:numPr>
        <w:ind w:left="714" w:hanging="357"/>
        <w:jc w:val="both"/>
        <w:rPr>
          <w:rFonts w:cstheme="minorHAnsi"/>
        </w:rPr>
      </w:pPr>
      <w:r>
        <w:t xml:space="preserve">HE 4 iedaļā pirms iedaļas "5.1. “Izpilde" iekļauj šādu tekstu: "5. Būvniecība, apkope un uzturēšana" kā nosaukumu.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t>140553. lappusē A pielikumā Terminoloģija, definīcijā “Kopējais siltuma pārvades koeficients (caur ēkas siltumpārklājumu) (K)”, kur tas ir šāds: “... K = X Hx/Aint..." ar "x", "x" un "int" jālasa kā apakšraksts: “... K = Σ</w:t>
      </w:r>
      <w:r>
        <w:rPr>
          <w:vertAlign w:val="subscript"/>
        </w:rPr>
        <w:t>x</w:t>
      </w:r>
      <w:r>
        <w:t xml:space="preserve"> H</w:t>
      </w:r>
      <w:r>
        <w:rPr>
          <w:vertAlign w:val="subscript"/>
        </w:rPr>
        <w:t>x</w:t>
      </w:r>
      <w:r>
        <w:t>/A</w:t>
      </w:r>
      <w:r>
        <w:rPr>
          <w:vertAlign w:val="subscript"/>
        </w:rPr>
        <w:t>int</w:t>
      </w:r>
      <w:r>
        <w:t>...”.</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t>A pielikuma terminoloģijas definīcijā otrajā daļā vārdam “kompaktums” jābūt kursīvā.</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t>A pielikuma terminoloģijā termina “Darbības nosacījumi” definīcijā termins “izmantošana privātām vajadzībām” ir jāieraksta kursīvā.</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A pielikumā terminoloģija definīcijā “neatjaunojamas primārās enerģijas patēriņš”, kur tas ir šāds: “... Neatjaunojamās primārās enerģijas patēriņš..." tas apakšrakstā ar "ep,nren" būtu jālasa šādi: “... Neatjaunojamās primārās enerģijas patēriņš (C</w:t>
      </w:r>
      <w:r>
        <w:rPr>
          <w:vertAlign w:val="subscript"/>
        </w:rPr>
        <w:t>ep,nren</w:t>
      </w:r>
      <w:r>
        <w:t>)...”.</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A pielikumā terminoloģija definīcijā “Kopējais primārās enerģijas patēriņš”, kur teikts: “... Kopējais primārās enerģijas patēriņš..." tas apakšrakstā būtu jālasa ar "ep,tot": “... Kopējais primārās enerģijas patēriņš (C</w:t>
      </w:r>
      <w:r>
        <w:rPr>
          <w:vertAlign w:val="subscript"/>
        </w:rPr>
        <w:t>ep,tot</w:t>
      </w:r>
      <w:r>
        <w:t>)...”.</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t>A pielikumā terminoloģija definīcijā “saules kontrole (q</w:t>
      </w:r>
      <w:r>
        <w:rPr>
          <w:vertAlign w:val="subscript"/>
        </w:rPr>
        <w:t>sol;ju</w:t>
      </w:r>
      <w:r>
        <w:t>)”, kur tā ir šāda: “... telpu lietderīgā virsma...” tā būtu jālasa: “... dzīves telpu lietderīgā virsma...”.</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t>A pielikuma terminoloģijā termina “Nosacīta dzīvojamā telpa” definīcijā terminam “privātu dzīvojamo telpu izmantošana” jābūt kursīvā.</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lastRenderedPageBreak/>
        <w:t>A pielikuma terminoloģijā termina “lietošanas periods” definīcijā termins “lietošana privātām vajadzībām” otrajā daļā ir jāieraksta kursīvā.</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t>A pielikuma terminoloģijā definīcijā “Iekārtas energoefektivitātes vērtība (VEEI)” terminam “privātās dzīvojamās telpās” jābūt kursīvā.</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C pielikumā Apsvērumi termiskā apvalka definīcijai nosaukumā terminam “termiskā apvalka” jābūt kursīvā.</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t>D pielikuma nosaukumā termini “Darbības nosacījumi” un “Izmantošanas profili” nosaukumā jānorāda kursīvā, 2. punktā un tabulās “a tabulas D pielikums, b tabulas D pielikums un c tabulas D pielikums”.</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E pielikumā “caurlaidības indikatīvās vērtības” 1. iedaļā lietotajam terminam “privāta izmantošana mājokļos” jābūt kursīvā.</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t>F pielikuma AKS atsauces pieprasījumā terminam “privātai izmantošanai mājokļos” jābūt kursīvā gan 1. iedaļā, gan a tabulas F pielikumā.</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t>H pielikuma “Ēkas gaisa caurlaidības noteikšana” 2. iedaļā “Norādīšana ar atsauces vērtībām”, kur tā ir šāda: “... 2. Gaisa izmaiņu attiecības vērtību pie 50 Pa, n50, var aprēķināt, izmantojot šādu vienādojumu:" tā jālasa: “... 1. Gaisa izmaiņu attiecības vērtību pie 50 Pa, n50 ar atsauces vērtībām iegūst, izmantojot šādu izteiksmi:" kur tā ir: “N</w:t>
      </w:r>
      <w:r>
        <w:rPr>
          <w:vertAlign w:val="subscript"/>
        </w:rPr>
        <w:t xml:space="preserve"> 50</w:t>
      </w:r>
      <w:r>
        <w:t xml:space="preserve"> = 0,629· (C</w:t>
      </w:r>
      <w:r>
        <w:rPr>
          <w:vertAlign w:val="subscript"/>
        </w:rPr>
        <w:t>o</w:t>
      </w:r>
      <w:r>
        <w:t>· A</w:t>
      </w:r>
      <w:r>
        <w:rPr>
          <w:vertAlign w:val="subscript"/>
        </w:rPr>
        <w:t xml:space="preserve"> o</w:t>
      </w:r>
      <w:r>
        <w:t xml:space="preserve"> + C· A</w:t>
      </w:r>
      <w:r>
        <w:rPr>
          <w:vertAlign w:val="subscript"/>
        </w:rPr>
        <w:t xml:space="preserve"> h</w:t>
      </w:r>
      <w:r>
        <w:t>)/V” ir šāds: “N</w:t>
      </w:r>
      <w:r>
        <w:rPr>
          <w:vertAlign w:val="subscript"/>
        </w:rPr>
        <w:t xml:space="preserve"> 50</w:t>
      </w:r>
      <w:r>
        <w:t xml:space="preserve"> = 0,629· (C</w:t>
      </w:r>
      <w:r>
        <w:rPr>
          <w:vertAlign w:val="subscript"/>
        </w:rPr>
        <w:t>o</w:t>
      </w:r>
      <w:r>
        <w:t>· A</w:t>
      </w:r>
      <w:r>
        <w:rPr>
          <w:vertAlign w:val="subscript"/>
        </w:rPr>
        <w:t xml:space="preserve"> o</w:t>
      </w:r>
      <w:r>
        <w:t xml:space="preserve"> + C· A</w:t>
      </w:r>
      <w:r>
        <w:rPr>
          <w:vertAlign w:val="subscript"/>
        </w:rPr>
        <w:t>h</w:t>
      </w:r>
      <w:r>
        <w:t>)/V</w:t>
      </w:r>
      <w:r>
        <w:rPr>
          <w:vertAlign w:val="subscript"/>
        </w:rPr>
        <w:t>in</w:t>
      </w:r>
      <w:r>
        <w:t>”, kur tas ir šāds: “V ir siltuma apvalka iekšējais tilpums [m</w:t>
      </w:r>
      <w:r>
        <w:rPr>
          <w:vertAlign w:val="superscript"/>
        </w:rPr>
        <w:t>3</w:t>
      </w:r>
      <w:r>
        <w:t>]” ir šāds: “V</w:t>
      </w:r>
      <w:r>
        <w:rPr>
          <w:vertAlign w:val="subscript"/>
        </w:rPr>
        <w:t>int</w:t>
      </w:r>
      <w:r>
        <w:t xml:space="preserve"> ir </w:t>
      </w:r>
      <w:r>
        <w:rPr>
          <w:i/>
        </w:rPr>
        <w:t>siltuma apvalka iekšējais gaisa tilpums</w:t>
      </w:r>
      <w:r>
        <w:t>, in [m</w:t>
      </w:r>
      <w:r>
        <w:rPr>
          <w:vertAlign w:val="superscript"/>
        </w:rPr>
        <w:t xml:space="preserve"> 3</w:t>
      </w:r>
      <w:r>
        <w:t>]”, un kur tas ir šāds: “A</w:t>
      </w:r>
      <w:r>
        <w:rPr>
          <w:vertAlign w:val="subscript"/>
        </w:rPr>
        <w:t>o</w:t>
      </w:r>
      <w:r>
        <w:t xml:space="preserve"> ir termiskā apvalka necaurspīdīgās daļas virsma [m</w:t>
      </w:r>
      <w:r>
        <w:rPr>
          <w:vertAlign w:val="superscript"/>
        </w:rPr>
        <w:t>2</w:t>
      </w:r>
      <w:r>
        <w:t>]”; tā ir jālasa šādi: “A</w:t>
      </w:r>
      <w:r>
        <w:rPr>
          <w:vertAlign w:val="subscript"/>
        </w:rPr>
        <w:t>o</w:t>
      </w:r>
      <w:r>
        <w:t xml:space="preserve"> ir virsmas necaurspīdīgā daļa no </w:t>
      </w:r>
      <w:r>
        <w:rPr>
          <w:i/>
        </w:rPr>
        <w:t>siltuma apvalka</w:t>
      </w:r>
      <w:r>
        <w:t xml:space="preserve"> saskarē ar āra gaisu, pie [m</w:t>
      </w:r>
      <w:r>
        <w:rPr>
          <w:vertAlign w:val="superscript"/>
        </w:rPr>
        <w:t xml:space="preserve"> 2</w:t>
      </w:r>
      <w:r>
        <w:t>]”.</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t>H pielikumā “Ēkas gaisa caurlaidības noteikšana” terminam “termiskais apvalks” jābūt kursīvā, aprakstot terminus V</w:t>
      </w:r>
      <w:r>
        <w:rPr>
          <w:vertAlign w:val="subscript"/>
        </w:rPr>
        <w:t>int</w:t>
      </w:r>
      <w:r>
        <w:t>, C</w:t>
      </w:r>
      <w:r>
        <w:rPr>
          <w:vertAlign w:val="subscript"/>
        </w:rPr>
        <w:t>o</w:t>
      </w:r>
      <w:r>
        <w:t>, C</w:t>
      </w:r>
      <w:r>
        <w:rPr>
          <w:vertAlign w:val="subscript"/>
        </w:rPr>
        <w:t>h</w:t>
      </w:r>
      <w:r>
        <w:t>, A</w:t>
      </w:r>
      <w:r>
        <w:rPr>
          <w:vertAlign w:val="subscript"/>
        </w:rPr>
        <w:t>h</w:t>
      </w:r>
      <w:r>
        <w:t xml:space="preserve"> un a-tabulas H pielikumā.</w:t>
      </w:r>
    </w:p>
    <w:p w14:paraId="7A548AE7" w14:textId="77777777" w:rsidR="0024794E" w:rsidRDefault="002F25C7" w:rsidP="0024794E">
      <w:pPr>
        <w:spacing w:before="200" w:after="100" w:line="240" w:lineRule="auto"/>
        <w:jc w:val="both"/>
        <w:rPr>
          <w:rFonts w:eastAsia="Arial" w:cstheme="minorHAnsi"/>
          <w:kern w:val="2"/>
          <w:szCs w:val="24"/>
        </w:rPr>
      </w:pPr>
      <w:r>
        <w:t xml:space="preserve">Seši gadi. Kļūdu labojumus veic šādi: Būvtehniskā kodeksa II daļā iekļautais pamatdokuments DB-HS “Sanitārija”: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HS 4. iedaļas "Ūdensapgāde" 6.2. iedaļā burtu "e) hlorēta (PVC-C) polivinilhlorīda caurules saskaņā ar UNE-EN ISO 15874–1:2013, UNE-EN ISO 15874–2:2013 un UNE-EN ISO 15874–3:2013;" aizstāj ar burtu "e) polihlorīta vinilhlorīda (PVC-C) caurules saskaņā ar UNE-EN ISO 15877–1:2009 (+UNE-EN ISO 15877–1:2009/A1): 2011), UNE-EN ISO 15877–2:2009 (+UNE-EN ISO 15877–2:2009/A1: 2011) un UNE-EN ISO 15877–3:2009 (+UNE-EN ISO 15877–3:2009/A1: 2011);”.</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HS 4. iedaļā “Ūdensapgāde” 6.2. iedaļā burtu “h) polibutilēna caurules (PB) saskaņā ar UNE-EN ISO 15876–1:2017, UNE-EN ISO 15876–2:2017 un UNE-EN ISO 15876–3:2017;” aizstāj ar burtu “h) polibutilēna caurules (PB) saskaņā ar UNE-EN ISO 15876–1:2017, UNE-EN ISO 15876–2:2017 un UNE-EN ISO 15876–3:2017;”.</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C papildinājumā “Atsauces standarti”, kur tie ir šādi: “Plastmasas cauruļvadu sistēmas karstā un aukstā ūdens apgādei. Polibutilēns (PB). 1. daļa. Vispārīgi" jālasa šādi: “Plastmasas cauruļvadu sistēmas karstā un aukstā ūdens apgādei. Polibutēns (PB). 1. daļa. Vispārīgi</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 xml:space="preserve">C papildinājumā “Atsauces standarti”, kur tie ir šādi: “Plastmasas cauruļvadu sistēmas karstā un aukstā ūdens apgādei. Polibutilēns (PB). 2. daļa. Caurules" tas jālasa: </w:t>
      </w:r>
      <w:r>
        <w:lastRenderedPageBreak/>
        <w:t>“Plastmasas cauruļvadu sistēmas karstā un aukstā ūdens apgādei. Polibutēns (PB). 2. daļa. Caurules.</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C papildinājumā “Atsauces standarti”, kur tie ir šādi: “Plastmasas cauruļvadu sistēmas karstā un aukstā ūdens apgādei. Polibutilēns (PB). 3. daļa. Veidgabali" jālasa: “Plastmasas cauruļvadu sistēmas karstā un aukstā ūdens apgādei. Polibutēns (PB). 3. daļa. Veidgabali.</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t>C papildinājumā "Atsauces standarti" aiz atsauces uz standartu "UNE-EN ISO 15876–3: 2017</w:t>
      </w:r>
      <w:r>
        <w:tab/>
        <w:t>Plastmasas cauruļvadu sistēmas karstā un aukstā ūdens apgādei. Polibutēns (PB). 3. daļa. Veidgabali" atbilst šādiem standartiem:</w:t>
      </w:r>
    </w:p>
    <w:p w14:paraId="5A496CEC" w14:textId="6500843E" w:rsidR="00AD074F" w:rsidRDefault="00AD074F" w:rsidP="0024794E">
      <w:pPr>
        <w:pStyle w:val="ListParagraph"/>
        <w:spacing w:after="120"/>
        <w:ind w:left="709"/>
        <w:jc w:val="both"/>
      </w:pPr>
      <w:r>
        <w:t xml:space="preserve">“UNE-EN ISO 15877–1:2009 Plastmasas cauruļvadu sistēmas karstā un aukstā ūdens iekārtām. Hlorēts poli(vinilhlorīds) (PVH-C). 1. daļa. Vispārīgi noteikumi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t xml:space="preserve">UNE-EN ISO 15877–2:2009 Plastmasas cauruļvadu sistēmas karstā un aukstā ūdens iekārtām. Hlorēts poli(vinilhlorīds) (PVH-C). 2. daļa. Caurules. (+UNE-EN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t>UNE-EN ISO 15877–3:2009 Plastmasas cauruļvadu sistēmas karstā un aukstā ūdens iekārtām. Hlorēts poli(vinilhlorīds) (PVH-C). 3. daļa. Veidgabali. (+UNE-EN ISO 15877–3:2009/A1:2011)</w:t>
      </w:r>
    </w:p>
    <w:p w14:paraId="30F2E766" w14:textId="038A7758" w:rsidR="005074AB" w:rsidRPr="00431D05" w:rsidRDefault="005074AB" w:rsidP="005074AB">
      <w:pPr>
        <w:jc w:val="both"/>
        <w:rPr>
          <w:rFonts w:cstheme="minorHAnsi"/>
          <w:bCs/>
          <w:i/>
          <w:iCs/>
        </w:rPr>
      </w:pPr>
      <w:r>
        <w:t xml:space="preserve">Pirmais pārejas noteikums. </w:t>
      </w:r>
      <w:r>
        <w:rPr>
          <w:i/>
        </w:rPr>
        <w:t>Ēkas, uz kurām neattiecas šī Karaļa dekrēta noteikumi.</w:t>
      </w:r>
    </w:p>
    <w:p w14:paraId="71A41130" w14:textId="7184244B" w:rsidR="005074AB" w:rsidRPr="009064BC" w:rsidRDefault="005074AB" w:rsidP="005074AB">
      <w:pPr>
        <w:jc w:val="both"/>
        <w:rPr>
          <w:rFonts w:cstheme="minorHAnsi"/>
        </w:rPr>
      </w:pPr>
      <w:r>
        <w:t xml:space="preserve">Ar šo Karaļa dekrētu pieņemtie Būvniecības tehniskā kodeksa (CTE) grozījumi neattiecas uz jaunām ēkām vai esošo ēku darbiem, kas abos gadījumos jau ir pieprasījuši pašvaldības būvatļauju brīdī, kad šis Karaļa dekrēts stājas spēkā. </w:t>
      </w:r>
    </w:p>
    <w:p w14:paraId="6E353956" w14:textId="262DE845" w:rsidR="007B11B1" w:rsidRDefault="005074AB" w:rsidP="005074AB">
      <w:pPr>
        <w:jc w:val="both"/>
        <w:rPr>
          <w:rFonts w:cstheme="minorHAnsi"/>
        </w:rPr>
      </w:pPr>
      <w:r>
        <w:t>Šādi darbi sākas minētās atļaujas maksimālajā efektivitātes periodā saskaņā ar tās reglamentējošiem noteikumiem vai, ja tādas nav, sešu mēnešu laikā pēc minētās atļaujas piešķiršanas. Pretējā gadījumā projekti jāpielāgo CTE grozījumiem, kas apstiprināti ar šo Karaļa dekrētu.</w:t>
      </w:r>
    </w:p>
    <w:p w14:paraId="78DABA03" w14:textId="77777777" w:rsidR="005074AB" w:rsidRPr="00D47CC2" w:rsidRDefault="005074AB" w:rsidP="005074AB">
      <w:pPr>
        <w:jc w:val="both"/>
        <w:rPr>
          <w:rFonts w:cstheme="minorHAnsi"/>
          <w:bCs/>
          <w:i/>
          <w:iCs/>
        </w:rPr>
      </w:pPr>
      <w:r>
        <w:t xml:space="preserve">Otrais pārejas noteikums. </w:t>
      </w:r>
      <w:r>
        <w:rPr>
          <w:i/>
        </w:rPr>
        <w:t>Ēkas, kurām šā Karaļa dekrēta noteikumu piemērošana ir brīvprātīga.</w:t>
      </w:r>
    </w:p>
    <w:p w14:paraId="047CBC16" w14:textId="1E288EF7" w:rsidR="00CA5D2D" w:rsidRPr="00B24946" w:rsidRDefault="005074AB" w:rsidP="005074AB">
      <w:pPr>
        <w:jc w:val="both"/>
        <w:rPr>
          <w:rFonts w:cstheme="minorHAnsi"/>
        </w:rPr>
      </w:pPr>
      <w:r>
        <w:t xml:space="preserve">Ar šo Karaļa dekrētu apstiprinātie Būvniecības tehniskā kodeksa grozījumi brīvprātīgi attiecas uz jauniem būvdarbiem un esošo ēku būvdarbiem, kuriem abos gadījumos sešu mēnešu laikā pēc šā Karaļa dekrēta stāšanās spēkā tiek pieprasīta pašvaldības būvatļauja. </w:t>
      </w:r>
    </w:p>
    <w:p w14:paraId="0F321A96" w14:textId="5FE37BEE" w:rsidR="00CA5D2D" w:rsidRDefault="00CA5D2D" w:rsidP="00CA5D2D">
      <w:pPr>
        <w:jc w:val="both"/>
        <w:rPr>
          <w:rFonts w:cstheme="minorHAnsi"/>
        </w:rPr>
      </w:pPr>
      <w:r>
        <w:t>Šādi darbi sākas minētās atļaujas maksimālajā efektivitātes periodā saskaņā ar tās reglamentējošiem noteikumiem vai, ja tādas nav, sešu mēnešu laikā pēc minētās atļaujas piešķiršanas. Pretējā gadījumā projekti jāpielāgo CTE grozījumiem, kas apstiprināti ar šo Karaļa dekrētu.</w:t>
      </w:r>
    </w:p>
    <w:p w14:paraId="1B48DE1E" w14:textId="77777777" w:rsidR="005074AB" w:rsidRPr="00D47CC2" w:rsidRDefault="005074AB" w:rsidP="005074AB">
      <w:pPr>
        <w:jc w:val="both"/>
        <w:rPr>
          <w:rFonts w:cstheme="minorHAnsi"/>
          <w:bCs/>
          <w:i/>
          <w:iCs/>
        </w:rPr>
      </w:pPr>
      <w:r>
        <w:t xml:space="preserve">Trešais pārejas noteikums. </w:t>
      </w:r>
      <w:r>
        <w:rPr>
          <w:i/>
        </w:rPr>
        <w:t>Ēkas, kurām šajā Karaļa dekrētā paredzētie noteikumi ir obligāti jāpiemēro.</w:t>
      </w:r>
    </w:p>
    <w:p w14:paraId="557DDCCB" w14:textId="624E2145" w:rsidR="005074AB" w:rsidRDefault="005074AB" w:rsidP="005074AB">
      <w:pPr>
        <w:jc w:val="both"/>
        <w:rPr>
          <w:rFonts w:cstheme="minorHAnsi"/>
        </w:rPr>
      </w:pPr>
      <w:r>
        <w:t>Ēku tehniskā kodeksa (CTE) grozījumu, kas pieņemti ar šo Karaļa dekrētu, piemērošana ir obligāta attiecībā uz jaunām ēkām vai esošo ēku darbiem, par kuriem pašvaldības būvatļauju pieprasa vēlāk nekā deviņus mēnešus pēc šā noteikuma stāšanās spēkā.</w:t>
      </w:r>
    </w:p>
    <w:p w14:paraId="588C44EA" w14:textId="52803F33" w:rsidR="005074AB" w:rsidRPr="00D47CC2" w:rsidRDefault="005074AB" w:rsidP="005074AB">
      <w:pPr>
        <w:jc w:val="both"/>
        <w:rPr>
          <w:rFonts w:cstheme="minorHAnsi"/>
          <w:bCs/>
          <w:i/>
          <w:iCs/>
        </w:rPr>
      </w:pPr>
      <w:r>
        <w:lastRenderedPageBreak/>
        <w:t xml:space="preserve">Pirmais nobeiguma noteikums. </w:t>
      </w:r>
      <w:r>
        <w:rPr>
          <w:i/>
        </w:rPr>
        <w:t>Grozījumi Karaļa 12. decembra Dekrētā Nr. 1053/2014, ar ko apstiprina jaunu papildu tehnisko instrukciju (ITC) BT 52 "Īpaša lietojuma iekārtas. Elektrotransportlīdzekļu uzlādes infrastruktūra", grozīti ar Karaļa 2. augusta dekrētu Nr. 842/2002 apstiprinātie zemsprieguma elektrotehniskie noteikumi un citi papildu tehniskie norādījumi.</w:t>
      </w:r>
    </w:p>
    <w:p w14:paraId="183CB7CD" w14:textId="78A1B469" w:rsidR="005074AB" w:rsidRPr="009064BC" w:rsidRDefault="005074AB" w:rsidP="005074AB">
      <w:pPr>
        <w:jc w:val="both"/>
        <w:rPr>
          <w:rFonts w:cstheme="minorHAnsi"/>
        </w:rPr>
      </w:pPr>
      <w:r>
        <w:t>1. Pirmo papildu noteikumu Karaļa 12. decembra Dekrētā Nr. 1053/2014, ar ko apstiprina jaunu papildu tehnisko instrukciju (ITC) BT 52, groza šādi:</w:t>
      </w:r>
    </w:p>
    <w:p w14:paraId="6C63F170" w14:textId="77777777" w:rsidR="005074AB" w:rsidRPr="009064BC" w:rsidRDefault="005074AB" w:rsidP="005074AB">
      <w:pPr>
        <w:ind w:left="567"/>
        <w:jc w:val="both"/>
        <w:rPr>
          <w:rFonts w:cstheme="minorHAnsi"/>
        </w:rPr>
      </w:pPr>
      <w:r>
        <w:t>“Pirmais papildu noteikums. Būvobjektu minimums elektrotransportlīdzekļu uzlādei autostāvvietās, kas nav izvietotas uz ēkām, kuras ir no jauna uzbūvētas vai uz kurām attiecas būtiska renovācija, un uz koplietošanas ceļiem.</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Jaunbūvētās autostāvvietās vai tajās, kurās veic būtiskus atjaunošanas darbus, kas neatrodas ēkā vai tai blakus un tādējādi neietilpst Ēku tehniskā kodeksa Energotaupības pamatdokumenta (DB HE) darbības jomā, jāuzstāda vismaz viena uzlādes stacija uz katrām 40 stāvvietām. Autostāvvietu uzskata par no jauna uzbūvētu, ja būvniecības projekts ir iesniegts kompetentai valsts pārvaldei pārstrādei pēc šā Karaļa dekrēta stāšanās spēkā. </w:t>
      </w:r>
    </w:p>
    <w:p w14:paraId="0C99327A" w14:textId="0AD5DDFE" w:rsidR="005074AB" w:rsidRPr="009064BC" w:rsidRDefault="005074AB" w:rsidP="002F659F">
      <w:pPr>
        <w:numPr>
          <w:ilvl w:val="0"/>
          <w:numId w:val="11"/>
        </w:numPr>
        <w:ind w:left="1418" w:hanging="284"/>
        <w:contextualSpacing/>
        <w:jc w:val="both"/>
        <w:rPr>
          <w:rFonts w:cstheme="minorHAnsi"/>
        </w:rPr>
      </w:pPr>
      <w:r>
        <w:t>Ir jāgarantē iekārtas, kas vajadzīgas, lai apgādātu uzlādes stacijas, kas atrodas elektrotransportlīdzekļu telpās uz koplietošanas ceļiem, kuri paredzēti pašvaldību vai pašvaldību ilgtspējīgas mobilitātes plānos.”</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t>2. INSTRUCCIÓN TÉCNICA COMPLEMENTARIA (ITC) BT-52 3.2. iedaļu groza šādi:</w:t>
      </w:r>
    </w:p>
    <w:p w14:paraId="6A13CA56" w14:textId="2BC47FB2" w:rsidR="005074AB" w:rsidRPr="009064BC" w:rsidRDefault="005074AB" w:rsidP="005074AB">
      <w:pPr>
        <w:ind w:left="567"/>
        <w:jc w:val="both"/>
        <w:rPr>
          <w:rFonts w:cstheme="minorHAnsi"/>
        </w:rPr>
      </w:pPr>
      <w:r>
        <w:t xml:space="preserve">“3.2 Ierīkošana autostāvvietās vai kolektīvās stāvvietās, kas atrodas blakus ēkām vai ēku kompleksiem. </w:t>
      </w:r>
    </w:p>
    <w:p w14:paraId="14463364" w14:textId="6F4941EA" w:rsidR="005074AB" w:rsidRPr="003934E5" w:rsidRDefault="005074AB" w:rsidP="005074AB">
      <w:pPr>
        <w:ind w:left="567"/>
        <w:jc w:val="both"/>
        <w:rPr>
          <w:rFonts w:cstheme="minorHAnsi"/>
        </w:rPr>
      </w:pPr>
      <w:r>
        <w:t xml:space="preserve">Elektroinstalācijas, lai uzlādētu </w:t>
      </w:r>
      <w:r>
        <w:rPr>
          <w:i/>
        </w:rPr>
        <w:t>elektriskos transportlīdzekļus</w:t>
      </w:r>
      <w:r>
        <w:t>, atrodas autostāvvietās vai autoparkos, kas atrodas ēkās vai dzīvojamos īpašumos vai pie tām, atbilst jebkurai no iepriekš aprakstītajām shēmām.</w:t>
      </w:r>
      <w:r>
        <w:rPr>
          <w:color w:val="000000" w:themeColor="text1"/>
        </w:rPr>
        <w:t xml:space="preserve"> </w:t>
      </w:r>
      <w:r>
        <w:t>Vienā ēkā var izmantot dažādas diagrammas, ja ir izpildītas visas šajā (ITC) BT-52 noteiktās prasības.</w:t>
      </w:r>
    </w:p>
    <w:p w14:paraId="642E3740" w14:textId="7634F88A" w:rsidR="005074AB" w:rsidRPr="009064BC" w:rsidRDefault="005074AB" w:rsidP="005074AB">
      <w:pPr>
        <w:ind w:left="567"/>
        <w:jc w:val="both"/>
        <w:rPr>
          <w:rFonts w:cstheme="minorHAnsi"/>
        </w:rPr>
      </w:pPr>
      <w:r>
        <w:t>4.a shēmā uzlādes ķēde atbilst (ITC) BT-15 aprakstītajiem uzstādīšanas nosacījumiem, izmantojot tāda paša veida un raksturlielumu kabeļus un vadīšanas sistēmas kā atsevišķam apvedceļam, un kabeļa daļu aprēķina saskaņā ar šā ITC 5. iedaļas vispārīgajām prasībām. Nav nepieciešams paredzēt kabeļu sekcijas pagarinājumu, lai noteiktu izmantojamās vadīšanas sistēmas diametru vai šķērsvirziena izmērus.</w:t>
      </w:r>
    </w:p>
    <w:p w14:paraId="5C0A8DBB" w14:textId="77777777" w:rsidR="005074AB" w:rsidRPr="009064BC" w:rsidRDefault="005074AB" w:rsidP="005074AB">
      <w:pPr>
        <w:ind w:left="567"/>
        <w:jc w:val="both"/>
        <w:rPr>
          <w:rFonts w:cstheme="minorHAnsi"/>
        </w:rPr>
      </w:pPr>
      <w:r>
        <w:t>4.b shēmu izmanto, ja uzlādes staciju piegāde ir elektroiekārtas, kas apkalpo garāžu vispārējos pakalpojumus, neatņemama sastāvdaļa vai paplašinājums.</w:t>
      </w:r>
    </w:p>
    <w:p w14:paraId="1BEC25F6" w14:textId="7E6AD67A" w:rsidR="005074AB" w:rsidRPr="009064BC" w:rsidRDefault="00D676D8" w:rsidP="005074AB">
      <w:pPr>
        <w:ind w:left="567"/>
        <w:jc w:val="both"/>
        <w:rPr>
          <w:rFonts w:cstheme="minorHAnsi"/>
        </w:rPr>
      </w:pPr>
      <w:r>
        <w:t>Gan esošajās, gan jaunajās iekārtās un lai atvieglotu izvēlētās elektrosistēmas izmantošanu, galdi, kuros ir vispārējā aizsardzība un citas ierīces elektrotransportlīdzekļu uzlādei, var atrasties šim nolūkam paredzētās telpās vai koplietošanas telpās.</w:t>
      </w:r>
    </w:p>
    <w:p w14:paraId="3AA0FB18" w14:textId="5CA8F82A" w:rsidR="005074AB" w:rsidRPr="009064BC" w:rsidRDefault="005074AB" w:rsidP="00904550">
      <w:pPr>
        <w:ind w:left="567"/>
        <w:jc w:val="both"/>
        <w:rPr>
          <w:rFonts w:cstheme="minorHAnsi"/>
        </w:rPr>
      </w:pPr>
      <w:r>
        <w:t xml:space="preserve">Elektromobiļu uzlādei autostāvvietās, kas atrodas vai ir savienotas ar ēkām vai ēku kompleksiem, ir jāatvieglo jebkuras iespējamās uzstādīšanas shēmas turpmāka izmantošana. Tas ietver šādus elementus: </w:t>
      </w:r>
    </w:p>
    <w:p w14:paraId="4CCD8B27" w14:textId="732EDA20" w:rsidR="005074AB" w:rsidRPr="009064BC" w:rsidRDefault="005074AB" w:rsidP="005074AB">
      <w:pPr>
        <w:numPr>
          <w:ilvl w:val="0"/>
          <w:numId w:val="12"/>
        </w:numPr>
        <w:ind w:left="1418" w:hanging="284"/>
        <w:jc w:val="both"/>
        <w:rPr>
          <w:rFonts w:cstheme="minorHAnsi"/>
        </w:rPr>
      </w:pPr>
      <w:r>
        <w:lastRenderedPageBreak/>
        <w:t>Kabeļu vadīšanas sistēmu uzstādīšana no skaitītāju centralizācijas un pie autostāvvietu galvenajiem ceļiem, lai vēlāk varētu darbināt uzlādes stacijas, kas var atrasties atsevišķās stāvvietās vai autostāvvietās. Ja priekšuzstādīšana ir plānota 100 % telpu, kabeļu vadīšanas sistēmas sasniedz katru telpu. Ja priekšuzstādīšana nav plānota 100 % telpu, nosaka telpas, kuras uzskata par atbilstīgām kabeļu vadīšanas sistēmu normatīvajiem noteikumiem, un šīs sistēmas sasniedz katru no šīm telpām.</w:t>
      </w:r>
    </w:p>
    <w:p w14:paraId="0460434B" w14:textId="6073EA36" w:rsidR="005074AB" w:rsidRPr="009064BC" w:rsidRDefault="005074AB" w:rsidP="00281B93">
      <w:pPr>
        <w:numPr>
          <w:ilvl w:val="0"/>
          <w:numId w:val="12"/>
        </w:numPr>
        <w:jc w:val="both"/>
        <w:rPr>
          <w:rFonts w:cstheme="minorHAnsi"/>
        </w:rPr>
      </w:pPr>
      <w:r>
        <w:t>Skaitītāju centralizāciju veic saskaņā ar elektrisko shēmu, kas izvēlēta elektrotransportlīdzekļa uzlādei, un kā noteikts (ITC) BT-16. Rezerves moduļus uzstāda vismaz 20 % no garāžas telpām, kas nav saistītas ar mājokli, un pat tad, ja visas telpas ir saistītas ar mājokļiem, vismaz vienu rezerves moduli. Šiem rezerves moduļiem jābūt iespējai izmitināt galveno skaitītāju un ar mērītāju saistītās pārslodzes aizsardzības ierīces vai nu ar drošinātājiem, vai jaudas slēdžiem.</w:t>
      </w:r>
    </w:p>
    <w:p w14:paraId="7C024BD7" w14:textId="5A6D76AB" w:rsidR="005074AB" w:rsidRPr="009064BC" w:rsidRDefault="005074AB" w:rsidP="005074AB">
      <w:pPr>
        <w:ind w:left="1416"/>
        <w:jc w:val="both"/>
        <w:rPr>
          <w:rFonts w:cstheme="minorHAnsi"/>
        </w:rPr>
      </w:pPr>
      <w:r>
        <w:t>Uzlādes stacijā uzstādītās kontaktligzdas vai savienotāji un to automātiskie aizsargslēdži atbilst vienai no 5.4. iedaļā minētajām iespējām.”</w:t>
      </w:r>
    </w:p>
    <w:p w14:paraId="3C2EF0D1" w14:textId="7C25EDED" w:rsidR="00324D93" w:rsidRPr="009064BC" w:rsidRDefault="00441D3E" w:rsidP="00CA5D2D">
      <w:pPr>
        <w:jc w:val="both"/>
        <w:rPr>
          <w:rFonts w:cstheme="minorHAnsi"/>
        </w:rPr>
      </w:pPr>
      <w:r>
        <w:t>3. PAPILDU TEHNISKĀS INSTRUKCIJAS (ITC) BT-52 5.4. iedaļas pirmo daļu groza šādi:</w:t>
      </w:r>
    </w:p>
    <w:p w14:paraId="1D0AA4C9" w14:textId="6013C719" w:rsidR="00527DF1" w:rsidRDefault="00324D93" w:rsidP="00CA5D2D">
      <w:pPr>
        <w:jc w:val="both"/>
        <w:rPr>
          <w:color w:val="FF0000"/>
        </w:rPr>
      </w:pPr>
      <w:r>
        <w:t xml:space="preserve">“5.4 Savienojuma punkts. </w:t>
      </w:r>
      <w:bookmarkStart w:id="1" w:name="_Hlk81468651"/>
      <w:r>
        <w:t xml:space="preserve">Pieslēgumpunktu novieto blakus piegādājamajam kvadrātam, un to pastāvīgi uzstāda kamerā. </w:t>
      </w:r>
    </w:p>
    <w:bookmarkEnd w:id="1"/>
    <w:p w14:paraId="346E72DC" w14:textId="2F609E5D" w:rsidR="00441D3E" w:rsidRPr="00527DF1" w:rsidRDefault="00527DF1" w:rsidP="00CA5D2D">
      <w:pPr>
        <w:jc w:val="both"/>
        <w:rPr>
          <w:color w:val="FF0000"/>
        </w:rPr>
      </w:pPr>
      <w:r>
        <w:t xml:space="preserve">Kontaktligzdu un savienotāju minimālais uzstādīšanas augstums ir 60 cm virs zemes. </w:t>
      </w:r>
      <w:bookmarkStart w:id="2" w:name="_Hlk81468224"/>
      <w:r>
        <w:t>Ja uzlādes stacija ir paredzēta publiskai lietošanai, maksimālais augstums ir 120 cm. Pieejamās stāvvietās kontaktligzdas un savienotāji ir ar hromatisku kontrastu ar apkārtni, atrodas 80 līdz 120 cm augstumā, un attālums līdz stūra krustojumiem ir vismaz 35 cm.”</w:t>
      </w:r>
      <w:bookmarkEnd w:id="2"/>
    </w:p>
    <w:p w14:paraId="33BA3231" w14:textId="6E4F1E78" w:rsidR="005074AB" w:rsidRPr="00D47CC2" w:rsidRDefault="005074AB" w:rsidP="00CA5D2D">
      <w:pPr>
        <w:jc w:val="both"/>
        <w:rPr>
          <w:rFonts w:cstheme="minorHAnsi"/>
          <w:bCs/>
          <w:i/>
          <w:iCs/>
        </w:rPr>
      </w:pPr>
      <w:r>
        <w:t xml:space="preserve">Otrais nobeiguma noteikums. </w:t>
      </w:r>
      <w:r>
        <w:rPr>
          <w:i/>
        </w:rPr>
        <w:t>Eiropas Savienības tiesību aktu transponēšana.</w:t>
      </w:r>
    </w:p>
    <w:p w14:paraId="09244551" w14:textId="77777777" w:rsidR="005074AB" w:rsidRPr="009064BC" w:rsidRDefault="005074AB" w:rsidP="00CA5D2D">
      <w:pPr>
        <w:jc w:val="both"/>
        <w:rPr>
          <w:rFonts w:cstheme="minorHAnsi"/>
        </w:rPr>
      </w:pPr>
      <w:r>
        <w:t>Ar šo Karaļa dekrētu Spānijas tiesību aktos transponē 8.2., 8.3. un 8.5. pantu EIROPAS PARLAMENTA UN PADOMES DIREKTĪVAI (ES) 2018/844 (2018. gada 30. maijs), ar ko groza Direktīvu 2010/31/ES par ēku energoefektivitāti un Direktīvu 2012/27/ES par energoefektivitāti.</w:t>
      </w:r>
    </w:p>
    <w:p w14:paraId="106D513A" w14:textId="7AD1ED46" w:rsidR="005074AB" w:rsidRPr="00C760C9" w:rsidRDefault="005074AB" w:rsidP="005074AB">
      <w:pPr>
        <w:jc w:val="both"/>
        <w:rPr>
          <w:rFonts w:cstheme="minorHAnsi"/>
          <w:bCs/>
          <w:i/>
          <w:iCs/>
        </w:rPr>
      </w:pPr>
      <w:r>
        <w:t xml:space="preserve">Trešais nobeiguma noteikums. </w:t>
      </w:r>
      <w:r>
        <w:rPr>
          <w:i/>
        </w:rPr>
        <w:t>Stāšanās spēkā</w:t>
      </w:r>
    </w:p>
    <w:p w14:paraId="74B6AB2B" w14:textId="74C92419" w:rsidR="001035FC" w:rsidRDefault="005074AB" w:rsidP="000A2592">
      <w:pPr>
        <w:jc w:val="both"/>
        <w:rPr>
          <w:rFonts w:cstheme="minorHAnsi"/>
          <w:color w:val="FF0000"/>
        </w:rPr>
      </w:pPr>
      <w:r>
        <w:t>Šis Karaļa dekrēts stājas spēkā nākamajā dienā pēc tā publicēšanas valsts oficiālajā laikrakstā (“Boletín Oficial del Estado”).</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Pr>
          <w:sz w:val="24"/>
        </w:rPr>
        <w:t xml:space="preserve">Madride,                          </w:t>
      </w:r>
    </w:p>
    <w:p w14:paraId="28C0A3AF" w14:textId="7E6F82AF" w:rsidR="007F6E00" w:rsidRPr="00243027" w:rsidRDefault="00D47CC2" w:rsidP="00726501">
      <w:pPr>
        <w:jc w:val="center"/>
        <w:rPr>
          <w:rFonts w:cstheme="minorHAnsi"/>
          <w:sz w:val="24"/>
          <w:szCs w:val="24"/>
        </w:rPr>
      </w:pPr>
      <w:r>
        <w:rPr>
          <w:sz w:val="24"/>
        </w:rPr>
        <w:t>TRANSPORTA, MOBILITĀTES UN PILSĒTPROGRAMMAS MINISTRS</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356D76E7" w:rsidR="00C73E8C" w:rsidRPr="00243027" w:rsidRDefault="00C760C9" w:rsidP="007F6E00">
      <w:pPr>
        <w:jc w:val="center"/>
        <w:rPr>
          <w:rFonts w:cstheme="minorHAnsi"/>
          <w:sz w:val="24"/>
          <w:szCs w:val="24"/>
        </w:rPr>
      </w:pPr>
      <w:r>
        <w:rPr>
          <w:sz w:val="24"/>
        </w:rPr>
        <w:t>VALDĪBAS PREMJERMINISTRA TREŠAIS VIETNIEKS UN EKOLOĢISKĀS PĀREJAS UN DEMOGRĀFISKO PROBLĒMU MINISTRS</w:t>
      </w:r>
    </w:p>
    <w:p w14:paraId="023B4DFC" w14:textId="0D381527" w:rsidR="00C73E8C" w:rsidRPr="00A5780E" w:rsidRDefault="00C73E8C" w:rsidP="007F6E00">
      <w:pPr>
        <w:jc w:val="center"/>
        <w:rPr>
          <w:rFonts w:cstheme="minorHAnsi"/>
          <w:sz w:val="24"/>
          <w:szCs w:val="24"/>
        </w:rPr>
      </w:pPr>
      <w:r>
        <w:rPr>
          <w:sz w:val="24"/>
        </w:rPr>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8604" w14:textId="77777777" w:rsidR="00D378AA" w:rsidRDefault="00D378AA" w:rsidP="003B5AE7">
      <w:pPr>
        <w:spacing w:after="0" w:line="240" w:lineRule="auto"/>
      </w:pPr>
      <w:r>
        <w:separator/>
      </w:r>
    </w:p>
  </w:endnote>
  <w:endnote w:type="continuationSeparator" w:id="0">
    <w:p w14:paraId="0D5A0BCF" w14:textId="77777777" w:rsidR="00D378AA" w:rsidRDefault="00D378AA"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Karaļa dekrēta projekts, ar ko groza Būvniecības tehnisko kodeksu, kas apstiprināts ar Karaļa 17. marta dekrētu Nr. 314/2006.</w:t>
    </w:r>
  </w:p>
  <w:p w14:paraId="53C3F409" w14:textId="5B87674E" w:rsidR="00251439" w:rsidRPr="00C864A9" w:rsidRDefault="00251439" w:rsidP="00D214B0">
    <w:pPr>
      <w:pStyle w:val="Footer"/>
      <w:rPr>
        <w:i/>
        <w:sz w:val="15"/>
        <w:szCs w:val="15"/>
      </w:rPr>
    </w:pPr>
    <w:r>
      <w:rPr>
        <w:i/>
        <w:sz w:val="15"/>
      </w:rPr>
      <w:t>Versija Eiropas publiskajai informācijai. 2021. gada oktobris</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B700" w14:textId="77777777" w:rsidR="00D378AA" w:rsidRDefault="00D378AA" w:rsidP="003B5AE7">
      <w:pPr>
        <w:spacing w:after="0" w:line="240" w:lineRule="auto"/>
      </w:pPr>
      <w:r>
        <w:separator/>
      </w:r>
    </w:p>
  </w:footnote>
  <w:footnote w:type="continuationSeparator" w:id="0">
    <w:p w14:paraId="482B9E72" w14:textId="77777777" w:rsidR="00D378AA" w:rsidRDefault="00D378AA"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18"/>
      </w:rPr>
      <w:t xml:space="preserve">ATTĪSTĪBAS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MINISTRIJA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701A9"/>
    <w:rsid w:val="00480D71"/>
    <w:rsid w:val="00491CEA"/>
    <w:rsid w:val="004A10E7"/>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2951"/>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689"/>
    <w:rsid w:val="00760DFC"/>
    <w:rsid w:val="00761C8F"/>
    <w:rsid w:val="00762E62"/>
    <w:rsid w:val="0076421A"/>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D06F11"/>
    <w:rsid w:val="00D11FA7"/>
    <w:rsid w:val="00D214B0"/>
    <w:rsid w:val="00D32919"/>
    <w:rsid w:val="00D3439E"/>
    <w:rsid w:val="00D347BD"/>
    <w:rsid w:val="00D372F4"/>
    <w:rsid w:val="00D378AA"/>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6363</Words>
  <Characters>36272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2021-11-03T08:25:00Z</dcterms:modified>
</cp:coreProperties>
</file>