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Предлага се на Министерския съвет да одобри следният проект на разпоредба:</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Проект на кралски указ за изменение на Техническия строителен кодекс, одобрен с Кралски указ 314/2006 от 17 март.</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Закон 38/1999 от 5 ноември относно строителните наредби определя Техническия строителен кодекс (ТСК) като регулаторна рамка, която установява основните изисквания за качество на сградите и техните инсталации и която позволява спазването на основните изисквания, установени в член 3. Техническият строителен кодекс (ТСК), предвиден в този закон, е одобрен с Кралски указ 314/2006 от 17 март. Основните документи, които съставляват част II от КТИ, определят и, когато е целесъобразно, количествено изразяват основните изисквания, заложени в част I, чрез определяне на целеви равнища или граници на изпълнение или други параметри. По-специално в основния документ на DB-HE „Икономии на енергия“ се определят и определят количествено изискванията за енергийна ефективност, на които трябва да отговарят новопостроените сгради, както и интервенциите по отношение на съществуващи сгради.</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На 30 май 2018 г. беше приета Директива (ЕС) 2018/844 на Европейския парламент и на Съвета за изменение на Директива 2010/31/ЕС относно енергийните характеристики на сградите и Директива 2012/27/ЕС относно енергийната ефективност.</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Настоящата директива насърчава въвеждането на специфични условия за изпълнение на инфраструктура за зареждане на електрически превозни средства в паркинги в сгради. По този начин както строителният сектор, така и секторът на мобилността са стратегически области за цялостната декарбонизация на икономиката с регулаторна рамка, която има за цел да стимулира иновациите, устойчивостта и енергийната ефективност в тези сектори.</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От своя страна, развитието на инфраструктурата за интелигентно зареждане на електрически превозни средства ще допринесе за управлението на енергията и гъвкавостта, използването на възобновяеми енергийни източници и подобряването на качеството на въздуха, а енергийната ефективност ще бъде оптимизирана чрез превръщането на сградите в по-дигитални и въвеждането на нови технологии в тази област.</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От своя страна интегрираният национален план в областта на енергетиката и климата за периода 2021—2030 г. (PNIEC), представен от Испания на Европейската комисия, предвижда насърчаването на електрическата мобилност като мярка за намаляване на потреблението на енергия и емисиите от превозните средства чрез </w:t>
      </w:r>
      <w:r>
        <w:rPr>
          <w:rFonts w:ascii="Calibri" w:hAnsi="Calibri"/>
          <w:sz w:val="22"/>
        </w:rPr>
        <w:lastRenderedPageBreak/>
        <w:t xml:space="preserve">регулаторно адаптиране и включване на правото на Европейския съюз, което позволява разгръщането на инфраструктура за зареждане на електрически превозни средства в съответствие с развитието на електрификацията на автомобилния парк, както и чрез други механизми за насърчаване и подкрепа.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За да се постигнат тези цели и за да се транспонира частично директивата в това отношение, с настоящия кралски указ в Техническия строителен кодекс се въвежда ново основно изискване за икономия на енергия, свързано с минималните разпределения за инфраструктурата за зареждане на електрически превозни средства, което се разработва в новия раздел HE 6 „Минимални съоръжения за инфраструктурата за зареждане на електрически превозни средства“ от основния документ DB-HE „Енергоспестяване“.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От друга страна трябва да се отбележи, че Закон 7/2021 от 20 май относно изменението на климата и енергийния преход, в член 15, параграф 10, се отнася до ТСК за тази наредба за минимални разпоредби за инфраструктурата за зареждане на електрически превозни средства в съществуващи сгради, предназначени за употреба, различна от частното жилищно ползване, които имат паркинг с повече от двадесет паркоместа, както вътре, така и в определено външно пространство, разпоредби, които трябва да са установени преди 1 януари 2023 г. Тези минимални разпределения обаче в крайна сметка са определени с Кралски указ-закон 29/2021 от 21 декември, който приема спешни мерки в областта на енергетиката за насърчаване на електрическата мобилност, потреблението на собствена електроенергия и използването на енергия от възобновяеми източници, което включва това изискване в член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За да се завърши регулирането на инфраструктурите за зареждане на електрически превозни средства, Кралски указ 1053/2014 от 12 декември, също се изменя, одобрявайки нова допълнителна техническа инструкция (ДТИ) ВТ 52 „Инсталации със специално предназначение. Инфраструктура за зареждане на електрически превозни средства“, на Регламента за електротехниката за ниско напрежение, одобрена с Кралски указ 842/2002 от 2 август, и се изменят други допълнителни технически инструкции за тях.</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Освен това, като мярка за насърчаване на енергията от възобновяеми източници, подобряване на конкурентоспособността на производствените сектори и стимулиране на потребителите да се ангажират в по-голяма степен в управлението на тяхната енергия, в PNIEC се предвижда развитие на собственото потребление с енергия от възобновяеми източници и разпределено производство в жилищни и бизнес райони.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В това отношение одобряването на Кралски указ № 244/2019 от 5 април, който урежда административните, техническите и икономическите условия за собствено потребление на електроенергия, позволи, наред с други аспекти, колективното потребление на собствена електроенергия и същевременно намали административните процедури за осъществяване на собственото потребление. Поради това се счита, че настоящата правна рамка позволява да се разшири обхватът на основното изискване HE 5, свързано с минималното производство на електроенергия от възобновяеми енергоизточници, както като то стане приложимо в сгради за частно жилищно ползване, така и като се намали прагът на застроената площ в сгради с всякакво предназначение, от които се прилага изискването.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В допълнение се счита за необходимо да се изменят някои раздели на основните документи DB-HE „Енергоспестяване“</w:t>
      </w:r>
      <w:r>
        <w:t xml:space="preserve"> </w:t>
      </w:r>
      <w:bookmarkStart w:id="0" w:name="_Hlk92819359"/>
      <w:bookmarkEnd w:id="0"/>
      <w:r>
        <w:t xml:space="preserve"> </w:t>
      </w:r>
      <w:r>
        <w:rPr>
          <w:rFonts w:ascii="Calibri" w:hAnsi="Calibri"/>
          <w:sz w:val="22"/>
        </w:rPr>
        <w:t xml:space="preserve">и DB-HS „Здраве“, за да се улесни тяхното прилагане, както и бързата промяна на основния документ DB-SUA „Безопасност на използване и достъпност“, за да се включат критерии за достъпност за зарядни станции в достъпни места за паркиране.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Изменението на ТСК във връзка с включването на новия раздел HE 6 „Минимални разпоредби за инфраструктурата за зареждане на електрически превозни средства“ от основния документ относно енергоспестяването, както и изменението на Кралски указ 1053/2014 от 12 декември, с който се одобрява нова допълнителна техническа инструкция (ДТИ) BT 52, включена в първата заключителна разпоредба, са част от регулаторните реформи, предвидени в Плана за възстановяване, трансформация и устойчивост (ПВТУ). По-</w:t>
      </w:r>
      <w:r>
        <w:rPr>
          <w:rFonts w:ascii="Calibri" w:hAnsi="Calibri"/>
          <w:sz w:val="22"/>
        </w:rPr>
        <w:lastRenderedPageBreak/>
        <w:t xml:space="preserve">специално компонент 1 на ПВТУ „Устойчив, безопасен и свързан план за шокова мобилност в градска и столична среда“ включва одобрението на този кралски указ за прилагане на гореспоменатите регулаторни реформи в рамките на реформата C1.R1, наречена „План за разгръщане на инфраструктура за зареждане и насърчаване на електрически превозни средства“.  Реформата на C1.R1 е замислена като законова, регулаторна и стратегическа рамка за улесняване на разгръщането на инфраструктура за зареждане с цел насърчаване на електрическите превозни средства в Испания и има два основни етапа. Първият от тях е съставен със Заповед TMA/178/2020 от 19 февруари за изменение на Наредбата от 16 декември 1997 г., с която се урежда достъпът до държавни пътища, обслужващи пътища и изграждане на обслужващи съоръжения, и с Кралски указ 23/2020 от 23 юни, с който се одобряват мерки в областта на енергетиката и други области за икономическо възобновяване. Вторият етап от реформата на C1.R1 включва одобрението на настоящия Кралски указ за изменение на Кодекса за техническо строителство и Кралски указ 1053/2014 от 12 декември, с който се одобрява нова допълнителна техническа инструкция (ДТИ) BT 52.  Времевият етап за тази реформа е влизането в сила на Кралския указ, който го урежда преди 30 юни 2022 г. Реформа C1.R1. е свързана с инвестиция C1.I2 „План за стимулиране на инсталирането на зарядни точки, придобиването на електрически превозни средства и превозни средства с горивни клетки и иновациите в областта на електромобилността, зареждането и зеления водород.“ Тази инвестиция включва линии на помощ за инсталирането на станции за зареждане, посочени в Кралски указ 266/2021 от 13 април, с който се одобрява прякото предоставяне на помощ на автономните области и градовете Сеута и Мелила за изпълнението на програми за стимулиране, свързани с електрическата мобилност (MOVES III) в рамките на ПВТУ.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Настоящият кралски указ зачита (принципа за ненанасяне на значителни вреди) и условията за климатично и цифрово етикетиране, в съответствие с разпоредбите на ПВТУ, Регламент (ЕС) 2021/241 на Европейския парламент и на Съвета от 12 февруари 2021 г. за създаване на Механизъм за устойчивост и възстановяване и законодателството за неговото прилагане, и по-специално Съобщението на Комисията „Технически насоки относно прилагането на принципа за ненанасяне на значителни вреди съгласно Регламента за механизма за устойчивост и възстановяване“, както и изискванията на решението за изпълнение на Съвета за одобряване на оценката на испанския план за възстановяване, трансформация и устойчивост. Това включва спазването на специфичните условия, посочени в Компонент 1, както и в Реформа 1, в която е включен настоящият кралски указ, както по отношение на принципа DNSH, така и по отношение на климатичното и цифровото етикетиране, и по-специално тези, посочени в раздели 3, 6 и 8 от документа за Компонент ПВТУ. Инвестициите в ПВТУ C1.I2, свързани с реформа C1.R1, също спазват принципа за ненанасяне на значителни вреди за околната среда и условията за климатично и цифрово етикетиране.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 xml:space="preserve">Настоящият кралски указ е в съответствие с принципите на необходимост, ефективност, пропорционалност, правна сигурност, прозрачност и ефикасност, установени в член 129 от Закон 39/2015 от 1 октомври относно общата административна процедура на публичните администрации. Що се отнася до принципите на необходимост и ефективност, законът отговаря на задължението за транспониране на европейските директиви в националното законодателство и е в съответствие с цели от общ интерес, като адаптирането на строителната инфраструктура с цел насърчаване на устойчивата мобилност и използването на енергия от възобновяеми източници. Това ще доведе до повишаване на благосъстоянието на обществото и до опазване на околната среда. Този кралски указ също така е в съответствие с принципа на пропорционалност, тъй като предоставя необходимите и достатъчни средства за изпълнение на правния мандат, предвиден в директивата, но не изисква нововъведение, което може да бъде ненужно или надхвърлящо законовите изисквания, нито води до ограничаване на правата на гражданите. Този регламент отговаря на принципа на правна сигурност, тъй като е разработен в съответствие с процедурите, определени в Закон 50/1997 на правителството от 27 ноември 1997 г., и принципа на прозрачност, тъй като ясно определя целта си, а публично достъпният обяснителен </w:t>
      </w:r>
      <w:r>
        <w:rPr>
          <w:rFonts w:ascii="Calibri" w:hAnsi="Calibri"/>
          <w:sz w:val="22"/>
        </w:rPr>
        <w:lastRenderedPageBreak/>
        <w:t>меморандум обяснява изцяло съдържанието му. И накрая, той отговаря и на принципа на ефективност, тъй като не налага никаква административна тежест.</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Тази обща разпоредба е предмет на процедурите от предишни обществени консултации и обществени изслушвания и информация, установени в член 26 от Закон 50/1997 на правителството от 27 ноември, както и на информационните процедури в областта на техническите регламенти и правила относно услугите на информационното общество, предвидена в Директива (ЕС) 2015/1535 на Европейския парламент и на Съвета от 9 септември 2015 г. и в Кралски указ 1337/1999 от 31 юли 1999 г.</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По силата на това, по предложение на министъра на транспорта, мобилността и програмата за градовете и министъра на екологичния преход и демографското предизвикателство, със съгласието на Държавния съвет и след обсъждане от Министерския съвет на неговото заседание на</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СЕ ПОСТАНОВЯВА СЛЕДНОТО:</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Единичен член. </w:t>
      </w:r>
      <w:r>
        <w:rPr>
          <w:rFonts w:ascii="Calibri" w:hAnsi="Calibri"/>
          <w:i/>
          <w:sz w:val="22"/>
        </w:rPr>
        <w:t>Изменение на Техническия строителен кодекс (ТСК), одобрено с Кралски указ 314/2006 от 17 март 2006 г.</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Техническият строителен кодекс (ТСК), одобрен с Кралски указ 314/2006 от 17 март, се изменя, както следва:</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Едно. Показалецът в част I се изменя, както следва:</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Текстът „15.6. Основно изискване HE5: Минимално производство на електроенергия“ се чете, както следва:</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Основно изискване НЕ 5: Минимално производство на електроенергия от възобновяеми източници“</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В позоваването на член 15 се добавя допълнителна точка със следния текст:</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Основно изискване HE6: Минимално оборудване на инфраструктурата за зареждане на електрически превозни средства.</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Две. Член 15 от част I се изменя, както следва:</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Точка 15.6 се изменя, както следва:</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Основно изискване НЕ 5:  Минимално производство на електроенергия от възобновяеми източници.</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Сградите трябва да разполагат със системи за производство на електроенергия от възобновяеми източници за собствена употреба или за захранване на електропреносната мрежа.“</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Добавя се нов раздел 15.7 със следното съдържание:</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Основно изискване НЕ 6:  Минимално оборудване на инфраструктурата за зареждане на електрически превозни средства.</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Сградите трябва да имат минимална инфраструктура, позволяваща зареждането на електрически превозни средства.“</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Три. В основния документ DB-HE „Енергоспестяване“ се правят и следните изменения, включително в част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В първата алинея на раздел „I Предмет“ на „Въведение“ в изречението „Раздели от настоящия DB съответстват на основните изисквания от НЕ 0 а до НЕ 5“, вместо „HE 5“,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lastRenderedPageBreak/>
        <w:t>В раздел  I „Предмет“ на „Въведение“ позоваването на член 15.6 от част I на СТЕ се изменя, както следва:</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Основно изискване НЕ 5:  Минимално производство на електроенергия от възобновяеми източници.</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Сградите трябва да разполагат със системи за производство на електроенергия от възобновяеми източници за собствена употреба или за захранване на електропреносната мрежа.“</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В раздел I „Предмет“ на „Въведение“ се добавя допълнителна точка във препратката към член 15 от част I на СТЕ в края на СТЕ, със следния текст:</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Основно изискване НЕ 6: Минимално оборудване на инфраструктурата за зареждане на електрически превозни средства.</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Сградите трябва да имат минимална инфраструктура, позволяваща зареждането на </w:t>
      </w:r>
      <w:r>
        <w:rPr>
          <w:rFonts w:ascii="Calibri" w:hAnsi="Calibri"/>
          <w:i/>
          <w:sz w:val="22"/>
        </w:rPr>
        <w:t>електрически превозни средства</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В съдържанието заглавието на раздел HE 5 се изменя, за да гласи:</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„Раздел HE 5 Минимално производство на електроенергия от възобновяеми източници.“</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В позоваването на член 15 от индекса се добавя допълнителна точка със следния текст:</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„Раздел HE 6 Минимални съоръжения на инфраструктурата за зареждане на електрически превозни средства</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Приложно поле</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Описание на изискването</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Количествена оценка на изискването</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Обосновка на изискването</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Строителство, техническо обслужване и поддръжка</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Изпълнение</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Мониторинг на изпълнението на строителните работи</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Проверка на завършената работа</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Техническо обслужване и поддръжка на сградата“</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НЕ 0, раздел 1 Обхват, параграф 1, текстът: „... когато общата разширена полезна площ надвишава 50 m</w:t>
      </w:r>
      <w:r>
        <w:rPr>
          <w:rFonts w:ascii="Calibri" w:hAnsi="Calibri"/>
          <w:sz w:val="22"/>
          <w:vertAlign w:val="superscript"/>
        </w:rPr>
        <w:t>2</w:t>
      </w:r>
      <w:r>
        <w:rPr>
          <w:rFonts w:ascii="Calibri" w:hAnsi="Calibri"/>
          <w:sz w:val="22"/>
        </w:rPr>
        <w:t>;“, се заменя с „... където разширената използваема площ надвишава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HE 0, раздел 3 Количествена оценка на изискването, раздел 3.1 Потребление на невъзобновяема първична енергия</w:t>
      </w:r>
      <w:bookmarkStart w:id="1" w:name="_Hlk96944651"/>
      <w:r>
        <w:rPr>
          <w:rFonts w:ascii="Calibri" w:hAnsi="Calibri"/>
          <w:sz w:val="22"/>
        </w:rPr>
        <w:t>,</w:t>
      </w:r>
      <w:bookmarkEnd w:id="1"/>
      <w:r>
        <w:rPr>
          <w:rFonts w:ascii="Calibri" w:hAnsi="Calibri"/>
          <w:sz w:val="22"/>
        </w:rPr>
        <w:t xml:space="preserve"> параграф 1, </w:t>
      </w:r>
      <w:bookmarkStart w:id="2" w:name="_Hlk96943118"/>
      <w:r>
        <w:rPr>
          <w:rFonts w:ascii="Calibri" w:hAnsi="Calibri"/>
          <w:sz w:val="22"/>
        </w:rPr>
        <w:t>терминът „Cep,nren“ се заменя с „C</w:t>
      </w:r>
      <w:r>
        <w:rPr>
          <w:rFonts w:ascii="Calibri" w:hAnsi="Calibri"/>
          <w:sz w:val="22"/>
          <w:vertAlign w:val="subscript"/>
        </w:rPr>
        <w:t>ep,nren</w:t>
      </w:r>
      <w:r>
        <w:rPr>
          <w:rFonts w:ascii="Calibri" w:hAnsi="Calibri"/>
          <w:sz w:val="22"/>
        </w:rPr>
        <w:t>“, а терминът „Cep,nren,lim“ се заменя с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HE 0, раздел 3 Количествена оценка на изискването, раздел 3.1 Потребление на невъзобновяема първична енергия, параграф 2, терминът „Cep,nren,lim“ се заменя с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НЕ 0, раздел 3 Количествена оценка на изискването, раздел 3.2. Общо потребление на първична енергия, параграф 1, терминът „Cep,tot“ се заменя с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HE 0, раздел 3 Количествена оценка на изискването, раздел 3.2 Общо потребление на първична енергия, параграф 2, терминът „Cep,tot,lim“ се заменя с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В раздел НЕ 0, раздел 3 Количествена оценка на изискването, терминът „</w:t>
      </w:r>
      <w:r>
        <w:rPr>
          <w:rFonts w:ascii="Calibri" w:hAnsi="Calibri"/>
          <w:i/>
          <w:sz w:val="22"/>
        </w:rPr>
        <w:t xml:space="preserve"> за частно жилищно ползване“ </w:t>
      </w:r>
      <w:r>
        <w:rPr>
          <w:rFonts w:ascii="Calibri" w:hAnsi="Calibri"/>
          <w:sz w:val="22"/>
        </w:rPr>
        <w:t xml:space="preserve"> трябва да бъде в курсив.</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HE 0, в раздел 4.1 „Процедура за изчисляване“, в параграф 9 думите „признат документ“ се заменят с „признат документ за енергийно сертифициране на сгради“.</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В раздел HE 0, в раздел 4.1 „Процедура за изчисляване“ параграф 9 става параграф 11 и се добавят следните алинеи:</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Изчисляването на енергийния баланс, необходим за проверката на изискванията на настоящия BD, се извършва в съответствие с UNE-EN ISO 52000—1:2019: </w:t>
      </w:r>
      <w:r>
        <w:rPr>
          <w:rFonts w:ascii="Calibri" w:hAnsi="Calibri"/>
          <w:i/>
          <w:sz w:val="22"/>
        </w:rPr>
        <w:t>Цялостна оценка на енергийните характеристики на сградите. Част 1: обща рамка и процедури</w:t>
      </w:r>
      <w:r>
        <w:rPr>
          <w:rFonts w:ascii="Calibri" w:hAnsi="Calibri"/>
          <w:sz w:val="22"/>
        </w:rPr>
        <w:t>, като се използва експортен фактор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За целите на разпределянето на различните услуги разпределението на електроенергията, произведена на място, за всеки интервал от време се изчислява пропорционално на консумацията на електроенергия от съответното потребление (отопление, охлаждане, вентилация, ACS и за третично ползване, освен това осветление).“</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В раздел НЕ 0, раздел 4.3 Вътрешни заявки и оперативни условия, параграф 2, терминът „</w:t>
      </w:r>
      <w:r>
        <w:rPr>
          <w:rFonts w:ascii="Calibri" w:hAnsi="Calibri"/>
          <w:i/>
          <w:sz w:val="22"/>
        </w:rPr>
        <w:t>за частно жилищно ползване</w:t>
      </w:r>
      <w:r>
        <w:rPr>
          <w:rFonts w:ascii="Calibri" w:hAnsi="Calibri"/>
          <w:sz w:val="22"/>
        </w:rPr>
        <w:t>“ следва да бъде в курсив.</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В раздел HE 0, раздел 4.5 Референтни системи в частни жилищни сгради терминът „</w:t>
      </w:r>
      <w:r>
        <w:rPr>
          <w:rFonts w:ascii="Calibri" w:hAnsi="Calibri"/>
          <w:i/>
          <w:sz w:val="22"/>
        </w:rPr>
        <w:t>частни жилищни сгради</w:t>
      </w:r>
      <w:r>
        <w:rPr>
          <w:rFonts w:ascii="Calibri" w:hAnsi="Calibri"/>
          <w:sz w:val="22"/>
        </w:rPr>
        <w:t>“ трябва да бъде изписан с курсив както в заглавието, така и в параграф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В раздел НЕ 1, раздел 3 Количествена оценка на изискването, раздел 3.1.1. Топлопреминаване на </w:t>
      </w:r>
      <w:r>
        <w:rPr>
          <w:rFonts w:ascii="Calibri" w:hAnsi="Calibri"/>
          <w:i/>
          <w:sz w:val="22"/>
        </w:rPr>
        <w:t>обвивката</w:t>
      </w:r>
      <w:r>
        <w:rPr>
          <w:rFonts w:ascii="Calibri" w:hAnsi="Calibri"/>
          <w:sz w:val="22"/>
        </w:rPr>
        <w:t>, терминът „компактност“ в таблици 3.1.1.б-HE1 и таблици 3.1.1.в-HE1, следва да бъде в курсив.</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В раздел НЕ 1, раздел 3 Количествена оценка на изискването, раздел 3.1.1. Топлопреминаване на </w:t>
      </w:r>
      <w:r>
        <w:rPr>
          <w:rFonts w:ascii="Calibri" w:hAnsi="Calibri"/>
          <w:i/>
          <w:sz w:val="22"/>
        </w:rPr>
        <w:t>обвивката</w:t>
      </w:r>
      <w:r>
        <w:rPr>
          <w:rFonts w:ascii="Calibri" w:hAnsi="Calibri"/>
          <w:sz w:val="22"/>
        </w:rPr>
        <w:t>, терминът „компактност“ в бележките под линия 3.1.1.б-HE1 и таблици 3.1.1.в-HE1 и терминът „компактност“ в бележката под линия в таблица 3.1.1.в-HE1 следва да бъдат в курсив.</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В раздел НЕ 1, раздел 3 Количествена оценка на изискването, раздел 3.1.1. Топлопреминаване на </w:t>
      </w:r>
      <w:r>
        <w:rPr>
          <w:rFonts w:ascii="Calibri" w:hAnsi="Calibri"/>
          <w:i/>
          <w:sz w:val="22"/>
        </w:rPr>
        <w:t>обвивката</w:t>
      </w:r>
      <w:r>
        <w:rPr>
          <w:rFonts w:ascii="Calibri" w:hAnsi="Calibri"/>
          <w:sz w:val="22"/>
        </w:rPr>
        <w:t>, раздел 3, терминът „</w:t>
      </w:r>
      <w:r>
        <w:rPr>
          <w:rFonts w:ascii="Calibri" w:hAnsi="Calibri"/>
          <w:i/>
          <w:sz w:val="22"/>
        </w:rPr>
        <w:t>Частно жилищно ползване</w:t>
      </w:r>
      <w:r>
        <w:rPr>
          <w:rFonts w:ascii="Calibri" w:hAnsi="Calibri"/>
          <w:sz w:val="22"/>
        </w:rPr>
        <w:t>“ следва да бъде в курсив както в параграф 3, така и в таблица 3.1.1.б-HE1.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В раздел НЕ 1, раздел 3 Количествена оценка на изискването, раздел 3.1.1. Топлопреминаване на </w:t>
      </w:r>
      <w:r>
        <w:rPr>
          <w:rFonts w:ascii="Calibri" w:hAnsi="Calibri"/>
          <w:i/>
          <w:sz w:val="22"/>
        </w:rPr>
        <w:t>обвивката</w:t>
      </w:r>
      <w:r>
        <w:rPr>
          <w:rFonts w:ascii="Calibri" w:hAnsi="Calibri"/>
          <w:sz w:val="22"/>
        </w:rPr>
        <w:t>, терминът „топлоизолационната обвивка“ в таблици 3.1.1.б-HE1 и таблици 3.1.1.c-HE1, следва да бъде в курсив.</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В раздел HE 1, раздел 3 Количествена оценка на изискването, в раздел 3.1.1 „</w:t>
      </w:r>
      <w:r>
        <w:rPr>
          <w:rFonts w:ascii="Calibri" w:hAnsi="Calibri"/>
          <w:i/>
          <w:sz w:val="22"/>
        </w:rPr>
        <w:t>Пропускливост на топлоизолационната обвивка</w:t>
      </w:r>
      <w:r>
        <w:rPr>
          <w:rFonts w:ascii="Calibri" w:hAnsi="Calibri"/>
          <w:sz w:val="22"/>
        </w:rPr>
        <w:t>“ се добавя следната алинея:</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Като алтернатива, сградите или, в случай на частична намеса върху съществуващи сгради, части от сгради, върху които се извършват интервенции, чиито нужди от отопление и охлаждане са по-малки и в двата случая, от 15 kWh/m</w:t>
      </w:r>
      <w:r>
        <w:rPr>
          <w:rFonts w:ascii="Calibri" w:hAnsi="Calibri"/>
          <w:sz w:val="22"/>
          <w:vertAlign w:val="superscript"/>
        </w:rPr>
        <w:t>2</w:t>
      </w:r>
      <w:r>
        <w:rPr>
          <w:rFonts w:ascii="Calibri" w:hAnsi="Calibri"/>
          <w:sz w:val="22"/>
        </w:rPr>
        <w:t xml:space="preserve"> могат да бъдат изключени от спазването на изискванията на </w:t>
      </w:r>
      <w:r>
        <w:rPr>
          <w:rFonts w:ascii="Calibri" w:hAnsi="Calibri"/>
          <w:i/>
          <w:sz w:val="22"/>
        </w:rPr>
        <w:t>общия коефициент на топлопреминаване през топлинната обвивка</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В раздел HE 1, раздел 3 „Количествено определяне на изискването“, раздел 3.1.2 „Слънчево управление на топлоизолационната обвивка“, текстът: „Таблица 3.1.2-HE1 Гранична стойност на параметъра за управление на слънчевата енергия qsol;jul,lim [Kwh/m2·mes]</w:t>
      </w:r>
      <w:r>
        <w:rPr>
          <w:rFonts w:ascii="Calibri" w:hAnsi="Calibri"/>
          <w:sz w:val="22"/>
          <w:vertAlign w:val="superscript"/>
        </w:rPr>
        <w:t>2</w:t>
      </w:r>
      <w:r>
        <w:rPr>
          <w:rFonts w:ascii="Calibri" w:hAnsi="Calibri"/>
          <w:sz w:val="22"/>
        </w:rPr>
        <w:t>·mes]“ се заменя с: „Таблица 3.1.2-HE1 Гранична стойност на параметъра за управление на слънчевата енергия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В раздел НЕ 1, раздел 3 Количествена оценка на изискването, раздел 3.1.3 Въздушна пропускливост на топлинната обвивка, терминът „топлинна обвивка“ трябва да бъде в курсив както в заглавието на раздела, така и в заглавието на таблица 3.1.3.а-HE1.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В раздел HE 1, раздел НЕ 1, раздел 3 Количествена оценка на изискването, раздел 3.1.3 „Въздухопропускливост на </w:t>
      </w:r>
      <w:r>
        <w:rPr>
          <w:rFonts w:ascii="Calibri" w:hAnsi="Calibri"/>
          <w:i/>
          <w:sz w:val="22"/>
        </w:rPr>
        <w:t>топлоизолационната обвивка</w:t>
      </w:r>
      <w:r>
        <w:rPr>
          <w:rFonts w:ascii="Calibri" w:hAnsi="Calibri"/>
          <w:sz w:val="22"/>
        </w:rPr>
        <w:t>“ се добавя следният нов параграф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„В случай на изменения таблица 3.1.3.a-HE1 по-горе се прилага само за онези елементи на </w:t>
      </w:r>
      <w:r>
        <w:rPr>
          <w:rFonts w:ascii="Calibri" w:hAnsi="Calibri"/>
          <w:i/>
          <w:sz w:val="22"/>
        </w:rPr>
        <w:t>топлоизолационната обвивка</w:t>
      </w:r>
      <w:r>
        <w:rPr>
          <w:rFonts w:ascii="Calibri" w:hAnsi="Calibri"/>
          <w:sz w:val="22"/>
        </w:rPr>
        <w:t>, които са заменени, вградени или съществено изменени;“</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Номерацията на настоящите параграфи 3 и 4 от раздел 3.1.3 „Въздухопропускливост на </w:t>
      </w:r>
      <w:r>
        <w:rPr>
          <w:rFonts w:ascii="Calibri" w:hAnsi="Calibri"/>
          <w:i/>
          <w:sz w:val="22"/>
        </w:rPr>
        <w:t>топлоизолационната обвивка</w:t>
      </w:r>
      <w:r>
        <w:rPr>
          <w:rFonts w:ascii="Calibri" w:hAnsi="Calibri"/>
          <w:sz w:val="22"/>
        </w:rPr>
        <w:t>“ се заменя съответно с 4 и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В раздел HE 1, раздел 3 Количествена оценка на изискването, раздел 3.1.3 Въздухопропускливост на </w:t>
      </w:r>
      <w:r>
        <w:rPr>
          <w:rFonts w:ascii="Calibri" w:hAnsi="Calibri"/>
          <w:i/>
          <w:sz w:val="22"/>
        </w:rPr>
        <w:t>топлоизолационната обвивка</w:t>
      </w:r>
      <w:r>
        <w:rPr>
          <w:rFonts w:ascii="Calibri" w:hAnsi="Calibri"/>
          <w:sz w:val="22"/>
        </w:rPr>
        <w:t>, терминът „компактност“ в таблица 3.1.3.б-HE1, терминът „компактност“ в таблицата в таблица 3.1.3.б-HE1 и терминът „частно жилищно ползване“ в параграф 3 следва да бъдат в курсив.</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В раздел HE 1, раздел 3 Количествена оценка на изискването, раздел 3.1.3 Въздухопропускливост на </w:t>
      </w:r>
      <w:r>
        <w:rPr>
          <w:rFonts w:ascii="Calibri" w:hAnsi="Calibri"/>
          <w:i/>
          <w:sz w:val="22"/>
        </w:rPr>
        <w:t>топлоизолационната обвивка</w:t>
      </w:r>
      <w:r>
        <w:rPr>
          <w:rFonts w:ascii="Calibri" w:hAnsi="Calibri"/>
          <w:sz w:val="22"/>
        </w:rPr>
        <w:t>, таблица 3.1.3.б-HE1, където гласи „m</w:t>
      </w:r>
      <w:r>
        <w:rPr>
          <w:rFonts w:ascii="Calibri" w:hAnsi="Calibri"/>
          <w:sz w:val="22"/>
          <w:vertAlign w:val="superscript"/>
        </w:rPr>
        <w:t>3</w:t>
      </w:r>
      <w:r>
        <w:rPr>
          <w:rFonts w:ascii="Calibri" w:hAnsi="Calibri"/>
          <w:sz w:val="22"/>
        </w:rPr>
        <w:t>/m2“, трябва да гласи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с 2 като суперскрипт.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В раздел HE 1, раздел 4 Обосноваване на изискването, терминът „компактност“ в раздел 4.1.б) и терминът „частно жилищно ползване“ в раздел 4.1.ж) следва да бъдат в курсив.</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В раздел HE 3, в таблицата 3.1-НЕ3 Гранична стойност на ефективност на инсталацията (VEEI</w:t>
      </w:r>
      <w:r>
        <w:rPr>
          <w:rFonts w:ascii="Calibri" w:hAnsi="Calibri"/>
          <w:sz w:val="22"/>
          <w:vertAlign w:val="subscript"/>
        </w:rPr>
        <w:t>lim</w:t>
      </w:r>
      <w:r>
        <w:rPr>
          <w:rFonts w:ascii="Calibri" w:hAnsi="Calibri"/>
          <w:sz w:val="22"/>
        </w:rPr>
        <w:t xml:space="preserve">) думите „магазини и малки магазини“ се заменят с „магазини и малки магазини </w:t>
      </w:r>
      <w:r>
        <w:rPr>
          <w:rFonts w:ascii="Calibri" w:hAnsi="Calibri"/>
          <w:sz w:val="22"/>
          <w:vertAlign w:val="superscript"/>
        </w:rPr>
        <w:t>(10)</w:t>
      </w:r>
      <w:r>
        <w:rPr>
          <w:rFonts w:ascii="Calibri" w:hAnsi="Calibri"/>
          <w:sz w:val="22"/>
        </w:rPr>
        <w:t>“ и се добавя следната бележка под линия:</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Терминът магазин се отнася както за малки независими магазини, така и за частта за търговска употреба, която не се използва често в търговските центрове.“ </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В раздел НЕ 3, раздел 3.3 Контролни и регулаторни системи, параграф 2, който гласи „... може да бъде заменен с един от следните два варианта: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управление на активирането и дезактивирането чрез система за откриване на присъствие във времето; или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система с натискане на бутони със зададено време.“</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трябва да гласи „...може да се замени с един от следните два варианта: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управление на активирането и деактивирането от </w:t>
      </w:r>
      <w:r>
        <w:rPr>
          <w:rFonts w:ascii="Calibri" w:hAnsi="Calibri"/>
          <w:i/>
          <w:sz w:val="22"/>
        </w:rPr>
        <w:t>система за откриване на присъствие във времето</w:t>
      </w:r>
      <w:r>
        <w:rPr>
          <w:rFonts w:ascii="Calibri" w:hAnsi="Calibri"/>
          <w:sz w:val="22"/>
        </w:rPr>
        <w:t xml:space="preserve">, или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система с таймер</w:t>
      </w:r>
      <w:r>
        <w:rPr>
          <w:rFonts w:ascii="Calibri" w:hAnsi="Calibri"/>
          <w:sz w:val="22"/>
        </w:rPr>
        <w:t xml:space="preserve"> посредством бутон.“</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В раздел НЕ 3, раздел 4 Обосновка на изискването, параграф 1, буква б), където гласи „...ефективността на използваните </w:t>
      </w:r>
      <w:r>
        <w:rPr>
          <w:rFonts w:ascii="Calibri" w:hAnsi="Calibri"/>
          <w:i/>
          <w:sz w:val="22"/>
        </w:rPr>
        <w:t>лампи</w:t>
      </w:r>
      <w:r>
        <w:rPr>
          <w:rFonts w:ascii="Calibri" w:hAnsi="Calibri"/>
          <w:sz w:val="22"/>
        </w:rPr>
        <w:t xml:space="preserve"> (по отношение на lum/W)“ следва да се чете „...ефективността на използваните </w:t>
      </w:r>
      <w:r>
        <w:rPr>
          <w:rFonts w:ascii="Calibri" w:hAnsi="Calibri"/>
          <w:i/>
          <w:sz w:val="22"/>
        </w:rPr>
        <w:t>лампи</w:t>
      </w:r>
      <w:r>
        <w:rPr>
          <w:rFonts w:ascii="Calibri" w:hAnsi="Calibri"/>
          <w:sz w:val="22"/>
        </w:rPr>
        <w:t xml:space="preserve"> (по отношение на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В раздел HE 4, раздел 2 „Описание на изискването“, параграф 1 се чете, както следва:</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lastRenderedPageBreak/>
        <w:t xml:space="preserve">„1 Сградите трябва да задоволяват нуждите си от DHW и отопление на вода за отопляеми закрити басейни, като използват </w:t>
      </w:r>
      <w:r>
        <w:rPr>
          <w:rFonts w:ascii="Calibri" w:hAnsi="Calibri"/>
          <w:i/>
          <w:sz w:val="22"/>
        </w:rPr>
        <w:t>енергия от възобновяеми източници</w:t>
      </w:r>
      <w:r>
        <w:rPr>
          <w:rFonts w:ascii="Calibri" w:hAnsi="Calibri"/>
          <w:sz w:val="22"/>
        </w:rPr>
        <w:t xml:space="preserve"> или възобновяеми процеси на когенерация в голяма степен; или генерирани в самата сграда, или чрез свързване към </w:t>
      </w:r>
      <w:r>
        <w:rPr>
          <w:rFonts w:ascii="Calibri" w:hAnsi="Calibri"/>
          <w:i/>
          <w:sz w:val="22"/>
        </w:rPr>
        <w:t>централна отоплителна система</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В раздел НЕ 4, раздел 3 „Количествена оценка на изискването“, раздел 3.1 Минимален принос от възобновяеми източници за отопление на DHW и/или басейн, параграф 4, текстът: </w:t>
      </w:r>
      <w:bookmarkStart w:id="3" w:name="_Hlk96945986"/>
      <w:r>
        <w:rPr>
          <w:rFonts w:ascii="Calibri" w:hAnsi="Calibri"/>
          <w:sz w:val="22"/>
        </w:rPr>
        <w:t>„...</w:t>
      </w:r>
      <w:bookmarkEnd w:id="3"/>
      <w:r>
        <w:rPr>
          <w:rFonts w:ascii="Calibri" w:hAnsi="Calibri"/>
          <w:sz w:val="22"/>
        </w:rPr>
        <w:t>повече от 2,5 при електрическо задействане и по-голямо от 1,15 при работа с топлинна енергия...“ се заменя с „... равно на или по-голямо от 2,5 при електрически режим на работа и равно на или по-голямо от 1,15 при работа с топлинна енергия...“.</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В раздел НЕ 4, раздел 3 „Количествена оценка на изискването“, раздел 3.1 Минимален принос от възобновяеми източници за отопление на DHW и/или басейн, параграф 5, текстът: „... жилищни сгради...“ се заменя с „... сгради за </w:t>
      </w:r>
      <w:r>
        <w:rPr>
          <w:rFonts w:ascii="Calibri" w:hAnsi="Calibri"/>
          <w:i/>
          <w:sz w:val="22"/>
        </w:rPr>
        <w:t>частно жилищно ползване</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В раздел HE 4, преди раздел „5.1. „Изпълнение“ се добавя следното: „5. Строителство, техническо обслужване и поддръжка“ като заглавие.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В раздел НЕ 5, заглавието „Раздел HE 5 Минимално производство на електроенергия“ е заменено от „Раздел НЕ 5</w:t>
      </w:r>
      <w:r>
        <w:t xml:space="preserve"> </w:t>
      </w:r>
      <w:bookmarkStart w:id="4" w:name="_Hlk92123384"/>
      <w:r>
        <w:rPr>
          <w:rFonts w:ascii="Calibri" w:hAnsi="Calibri"/>
          <w:sz w:val="22"/>
        </w:rPr>
        <w:t>Минимално производство на електроенергия</w:t>
      </w:r>
      <w:bookmarkEnd w:id="4"/>
      <w:r>
        <w:rPr>
          <w:rFonts w:ascii="Calibri" w:hAnsi="Calibri"/>
          <w:sz w:val="22"/>
        </w:rPr>
        <w:t xml:space="preserve"> от възобновяеми източници.“</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В раздел HE 5, параграф 1 „Обхват“ гласи следното: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Настоящият раздел се прилага в следните случаи: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а) новопостроени сгради, когато те надвишават 1 000 m</w:t>
      </w:r>
      <w:r>
        <w:rPr>
          <w:rFonts w:ascii="Calibri" w:hAnsi="Calibri"/>
          <w:sz w:val="22"/>
          <w:vertAlign w:val="superscript"/>
        </w:rPr>
        <w:t xml:space="preserve">2 </w:t>
      </w:r>
      <w:r>
        <w:rPr>
          <w:rFonts w:ascii="Calibri" w:hAnsi="Calibri"/>
          <w:sz w:val="22"/>
        </w:rPr>
        <w:t xml:space="preserve"> застроена площ;</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б) разширения на съществуващи сгради, когато застроената площ се увеличава с повече от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в) съществуващи сгради, които са напълно обновени, или при промяна на предназначението им, когато те надвишават 1 000 m</w:t>
      </w:r>
      <w:r>
        <w:rPr>
          <w:rFonts w:ascii="Calibri" w:hAnsi="Calibri"/>
          <w:sz w:val="22"/>
          <w:vertAlign w:val="superscript"/>
        </w:rPr>
        <w:t>2</w:t>
      </w:r>
      <w:r>
        <w:rPr>
          <w:rFonts w:ascii="Calibri" w:hAnsi="Calibri"/>
          <w:sz w:val="22"/>
        </w:rPr>
        <w:t xml:space="preserve"> застроена площ.</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Счита се, че застроената площ включва площта на зоните за паркиране вътре в сградата и изключва общите открити площи.“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В раздел HE 5, първата алинея от раздел 2 „Характеристика на изискването“ гласи следното:</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Сградите трябва да разполагат със системи за производство на електроенергия от възобновяеми източници за собствена употреба или за захранване на електропреносната мрежа.“</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В раздел HE 5, параграф 3 „Количествена оценка на изискването“ гласи следното:</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Минималната мощност за инсталиране</w:t>
      </w:r>
      <w:r>
        <w:rPr>
          <w:rFonts w:ascii="Calibri" w:hAnsi="Calibri"/>
          <w:sz w:val="22"/>
        </w:rPr>
        <w:t xml:space="preserve"> P</w:t>
      </w:r>
      <w:r>
        <w:rPr>
          <w:rFonts w:ascii="Calibri" w:hAnsi="Calibri"/>
          <w:sz w:val="22"/>
          <w:vertAlign w:val="subscript"/>
        </w:rPr>
        <w:t>min</w:t>
      </w:r>
      <w:r>
        <w:rPr>
          <w:rFonts w:ascii="Calibri" w:hAnsi="Calibri"/>
          <w:sz w:val="22"/>
        </w:rPr>
        <w:t xml:space="preserve"> трябва да бъде най-ниската стойност на резултата от следните две уравнения: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където:</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 xml:space="preserve">мощност за инсталиране </w:t>
      </w:r>
      <w:r>
        <w:rPr>
          <w:rFonts w:ascii="Calibri" w:hAnsi="Calibri"/>
          <w:sz w:val="22"/>
        </w:rPr>
        <w:t>[kW];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фактор за производство на електроенергия, който взема стойността 0,005 за частно жилищно ползване и 0,010 за други употреби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 стойност на застроената площ на сградата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площ на покрив, който не е предназначен за движение или е достъпен само за поддръжка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lastRenderedPageBreak/>
        <w:t>S</w:t>
      </w:r>
      <w:r>
        <w:rPr>
          <w:rFonts w:ascii="Calibri" w:hAnsi="Calibri"/>
          <w:sz w:val="22"/>
          <w:vertAlign w:val="subscript"/>
        </w:rPr>
        <w:t>oc</w:t>
      </w:r>
      <w:r>
        <w:rPr>
          <w:rFonts w:ascii="Calibri" w:hAnsi="Calibri"/>
          <w:sz w:val="22"/>
        </w:rPr>
        <w:tab/>
        <w:t>площ на покрив, който не е предназначен за движение или е достъпен за поддръжка и е зает само от термични слънчеви колектори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В сгради, в които, поради причини, свързани с градската или архитектурната архитектура, или защото те са официално защитени сгради, където органът, предоставящ официалната защита, определя непроменимите елементи, не може да бъде достигната минималната мощност </w:t>
      </w:r>
      <w:r>
        <w:rPr>
          <w:rFonts w:ascii="Calibri" w:hAnsi="Calibri"/>
          <w:i/>
          <w:sz w:val="22"/>
        </w:rPr>
        <w:t>за инсталиране</w:t>
      </w:r>
      <w:r>
        <w:rPr>
          <w:rFonts w:ascii="Calibri" w:hAnsi="Calibri"/>
          <w:sz w:val="22"/>
        </w:rPr>
        <w:t>, тази невъзможност се обосновава чрез анализ на различните алтернативи и се приема решението, което достига максималната възможна мощност.“</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В раздел НЕ 5, в параграф 4 „Обосновка на изискването“ се добавя следното:</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в) когато е целесъобразно, причини, които възпрепятстват достигането на минимално изискваната </w:t>
      </w:r>
      <w:r>
        <w:rPr>
          <w:rFonts w:ascii="Calibri" w:hAnsi="Calibri"/>
          <w:i/>
          <w:sz w:val="22"/>
        </w:rPr>
        <w:t>мощност за инсталиране</w:t>
      </w:r>
      <w:r>
        <w:rPr>
          <w:rFonts w:ascii="Calibri" w:hAnsi="Calibri"/>
          <w:sz w:val="22"/>
        </w:rPr>
        <w:t>, анализ на алтернативите и на приетото решение за постигане на максималната възможна инсталирана мощност.“</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В основния документ DB-HE „Енергоспестяване“, се добавя раздел HE 6 със заглавие „Минимални </w:t>
      </w:r>
      <w:r>
        <w:rPr>
          <w:rFonts w:ascii="Calibri" w:hAnsi="Calibri"/>
          <w:i/>
          <w:sz w:val="22"/>
        </w:rPr>
        <w:t>инфраструктурни съоръжения за зареждане на електрически превозни средства</w:t>
      </w:r>
      <w:r>
        <w:rPr>
          <w:rFonts w:ascii="Calibri" w:hAnsi="Calibri"/>
          <w:sz w:val="22"/>
        </w:rPr>
        <w:t xml:space="preserve">“ и следното съдържание: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t xml:space="preserve"> </w:t>
      </w:r>
      <w:r>
        <w:rPr>
          <w:rFonts w:ascii="Calibri" w:hAnsi="Calibri"/>
          <w:sz w:val="22"/>
        </w:rPr>
        <w:t xml:space="preserve">„Раздел HE 6 Минимални </w:t>
      </w:r>
      <w:r>
        <w:rPr>
          <w:rFonts w:ascii="Calibri" w:hAnsi="Calibri"/>
          <w:i/>
          <w:sz w:val="22"/>
        </w:rPr>
        <w:t>съоръжения за зареждане на електрически превозни средств</w:t>
      </w:r>
      <w:r>
        <w:rPr>
          <w:rFonts w:ascii="Calibri" w:hAnsi="Calibri"/>
          <w:sz w:val="22"/>
        </w:rPr>
        <w:br/>
      </w:r>
      <w:bookmarkEnd w:id="5"/>
      <w:r>
        <w:t xml:space="preserve"> </w:t>
      </w:r>
      <w:bookmarkEnd w:id="6"/>
      <w:r>
        <w:rPr>
          <w:i/>
        </w:rPr>
        <w:t>а</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Приложно поле</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Изискванията, посочени в настоящия раздел, се прилагат за сгради, които имат паркинг, вътре или извън сградата, в следните случаи:</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а) новопостроени сгради;</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б) съществуващи сгради, в следните случаи:</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промени в характерното използване на сградата;</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разширения, в случаите, които включват интервенции в паркинга и повърхностната площ или застроения обем на единицата или </w:t>
      </w:r>
      <w:r>
        <w:rPr>
          <w:rFonts w:ascii="Calibri" w:hAnsi="Calibri"/>
          <w:i/>
          <w:sz w:val="22"/>
        </w:rPr>
        <w:t xml:space="preserve"> единици за използване</w:t>
      </w:r>
      <w:r>
        <w:rPr>
          <w:rFonts w:ascii="Calibri" w:hAnsi="Calibri"/>
          <w:sz w:val="22"/>
        </w:rPr>
        <w:t>, на които се извършва интервенцията, се увеличава с повече от 10 %, а увеличената използваема площ е по-голяма от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преустройства, които включват интервенции в паркинга и които обновяват над 25 % от общата повърхностна площ на окончателната </w:t>
      </w:r>
      <w:r>
        <w:rPr>
          <w:rFonts w:ascii="Calibri" w:hAnsi="Calibri"/>
          <w:i/>
          <w:sz w:val="22"/>
        </w:rPr>
        <w:t>топлоизолационна обвивка</w:t>
      </w:r>
      <w:r>
        <w:rPr>
          <w:rFonts w:ascii="Calibri" w:hAnsi="Calibri"/>
          <w:sz w:val="22"/>
        </w:rPr>
        <w:t xml:space="preserve"> на сградата;</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интервенции в електрическата инсталация на сградата, засягащи повече от 50 % от мощността, инсталирана в сградата преди интервенцията, в случаите, когато паркингът се намира вътре в сградата </w:t>
      </w:r>
      <w:r>
        <w:rPr>
          <w:rFonts w:ascii="Calibri" w:hAnsi="Calibri"/>
          <w:sz w:val="22"/>
          <w:u w:color="FF0000"/>
        </w:rPr>
        <w:t>, при условие че предприемачът, извършващ такава намеса има право да действа в зоната за паркиране</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интервенции в електрическата инсталация на паркинга, засягащи повече от 50 % от мощността, инсталирана на паркинга преди интервенцията.</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Следните попадат извън приложното поле:</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а) сгради за ползване, различни от частни жилища, с паркинг с не повече от 10 паркоместа;</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б) съществуващи сгради за ползване, различни от частни жилища с паркинг с не повече от 20 паркоместа, и съществуващи сгради за </w:t>
      </w:r>
      <w:r>
        <w:rPr>
          <w:rFonts w:ascii="Calibri" w:hAnsi="Calibri"/>
          <w:i/>
          <w:sz w:val="22"/>
        </w:rPr>
        <w:t>частно жилищно ползване</w:t>
      </w:r>
      <w:r>
        <w:rPr>
          <w:rFonts w:ascii="Calibri" w:hAnsi="Calibri"/>
          <w:sz w:val="22"/>
        </w:rPr>
        <w:t xml:space="preserve">, когато и в двата случая разходите за спазване на настоящия параграф надвишават 7 % от разходите за разширяване, промяна в използването или саниране, които пораждат задължението за съответствие. За да се определят разходите за интервенциите, посочени </w:t>
      </w:r>
      <w:r>
        <w:rPr>
          <w:rFonts w:ascii="Calibri" w:hAnsi="Calibri"/>
          <w:sz w:val="22"/>
        </w:rPr>
        <w:lastRenderedPageBreak/>
        <w:t>по-горе, се вземат предвид техните действителни и ефективни разходи, които се разбират като разходи за тяхното физическо строителство;</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в) сгради, които са официално защитени, тъй като са част от декларирана околна среда или поради специфичната си архитектурна или историческа стойност са изключени от тези задължения, доколкото спазването на изискванията, установено в този раздел, би могло необосновано да промени техния характер или външен вид, и официалният орган за защита определя непроменимите елементи.</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Описание на изискването</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Сградите трябва да имат минимална инфраструктура, позволяваща зареждането на </w:t>
      </w:r>
      <w:r>
        <w:rPr>
          <w:rFonts w:ascii="Calibri" w:hAnsi="Calibri"/>
          <w:i/>
          <w:sz w:val="22"/>
        </w:rPr>
        <w:t>електрически превозни средства</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Тази </w:t>
      </w:r>
      <w:r>
        <w:rPr>
          <w:rFonts w:ascii="Calibri" w:hAnsi="Calibri"/>
          <w:i/>
          <w:sz w:val="22"/>
        </w:rPr>
        <w:t>инфраструктура за зареждане на електрически превозни средства</w:t>
      </w:r>
      <w:r>
        <w:rPr>
          <w:rFonts w:ascii="Calibri" w:hAnsi="Calibri"/>
          <w:sz w:val="22"/>
        </w:rPr>
        <w:t xml:space="preserve"> ще отговаря на разпоредбите на действащия Регламент за електротехниката за ниско напрежение и неговите Допълнителни технически инструкции (ДТИ) BT 52 „Инсталации със специално предназначение. Инфраструктура за зареждане на </w:t>
      </w:r>
      <w:r>
        <w:rPr>
          <w:rFonts w:ascii="Calibri" w:hAnsi="Calibri"/>
          <w:i/>
          <w:sz w:val="22"/>
        </w:rPr>
        <w:t>електрически превозни средства</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Количествена оценка на изискването</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В сгради за </w:t>
      </w:r>
      <w:r>
        <w:rPr>
          <w:rFonts w:ascii="Calibri" w:hAnsi="Calibri"/>
          <w:i/>
          <w:sz w:val="22"/>
        </w:rPr>
        <w:t xml:space="preserve">частно жилищно използване </w:t>
      </w:r>
      <w:r>
        <w:rPr>
          <w:rFonts w:ascii="Calibri" w:hAnsi="Calibri"/>
          <w:sz w:val="22"/>
        </w:rPr>
        <w:t>ще бъдат монтирани окабеляващи системи, за да се даде възможност за бъдещо захранване на</w:t>
      </w:r>
      <w:r>
        <w:rPr>
          <w:rFonts w:ascii="Calibri" w:hAnsi="Calibri"/>
          <w:i/>
          <w:sz w:val="22"/>
        </w:rPr>
        <w:t xml:space="preserve"> зарядни станции</w:t>
      </w:r>
      <w:r>
        <w:rPr>
          <w:rFonts w:ascii="Calibri" w:hAnsi="Calibri"/>
          <w:sz w:val="22"/>
        </w:rPr>
        <w:t xml:space="preserve"> за 100 % от паркоместата.</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В сгради, които не са за частно жилищно ползване, ще бъдат монтирани окабеляващи системи, които да позволят бъдещо захранване на </w:t>
      </w:r>
      <w:r>
        <w:rPr>
          <w:rFonts w:ascii="Calibri" w:hAnsi="Calibri"/>
          <w:i/>
          <w:sz w:val="22"/>
        </w:rPr>
        <w:t>зарядни станции</w:t>
      </w:r>
      <w:r>
        <w:rPr>
          <w:rFonts w:ascii="Calibri" w:hAnsi="Calibri"/>
          <w:sz w:val="22"/>
        </w:rPr>
        <w:t xml:space="preserve"> за най-малко 20 % от паркоместата.</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Освен това ще бъде монтирана </w:t>
      </w:r>
      <w:r>
        <w:rPr>
          <w:rFonts w:ascii="Calibri" w:hAnsi="Calibri"/>
          <w:i/>
          <w:sz w:val="22"/>
        </w:rPr>
        <w:t xml:space="preserve">зарядна станция </w:t>
      </w:r>
      <w:r>
        <w:rPr>
          <w:rFonts w:ascii="Calibri" w:hAnsi="Calibri"/>
          <w:sz w:val="22"/>
        </w:rPr>
        <w:t>за всеки 40 паркоместа или част от тях.</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В сгради за ползване, различни от частно жилищно ползване, собственост на Общата държавна администрация или на публични органи, свързани с нея или зависими от нея, обезпечаването трябва да бъде по-голямо от това, което обикновено е установено, с монтирането на</w:t>
      </w:r>
      <w:r>
        <w:rPr>
          <w:rFonts w:ascii="Calibri" w:hAnsi="Calibri"/>
          <w:color w:val="1F497D"/>
          <w:sz w:val="22"/>
        </w:rPr>
        <w:t xml:space="preserve"> </w:t>
      </w:r>
      <w:r>
        <w:rPr>
          <w:rFonts w:ascii="Calibri" w:hAnsi="Calibri"/>
          <w:sz w:val="22"/>
        </w:rPr>
        <w:t xml:space="preserve">една </w:t>
      </w:r>
      <w:r>
        <w:rPr>
          <w:rFonts w:ascii="Calibri" w:hAnsi="Calibri"/>
          <w:i/>
          <w:sz w:val="22"/>
        </w:rPr>
        <w:t>зарядна станция</w:t>
      </w:r>
      <w:r>
        <w:rPr>
          <w:rFonts w:ascii="Calibri" w:hAnsi="Calibri"/>
          <w:sz w:val="22"/>
        </w:rPr>
        <w:t xml:space="preserve"> за всеки 20 паркоместа или част от тях.</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В случай на паркинги с достъпни паркоместа, както е посочено в основния документ за безопасност при употреба и достъпност (DB SUA), за всеки 5 достъпни паркоместа се монтира по една </w:t>
      </w:r>
      <w:r>
        <w:rPr>
          <w:rFonts w:ascii="Calibri" w:hAnsi="Calibri"/>
          <w:i/>
          <w:sz w:val="22"/>
        </w:rPr>
        <w:t>зарядна станция</w:t>
      </w:r>
      <w:r>
        <w:rPr>
          <w:rFonts w:ascii="Calibri" w:hAnsi="Calibri"/>
          <w:sz w:val="22"/>
        </w:rPr>
        <w:t xml:space="preserve">. </w:t>
      </w:r>
      <w:r>
        <w:rPr>
          <w:rFonts w:ascii="Calibri" w:hAnsi="Calibri"/>
          <w:i/>
          <w:sz w:val="22"/>
        </w:rPr>
        <w:t>Зарядните станции</w:t>
      </w:r>
      <w:r>
        <w:rPr>
          <w:rFonts w:ascii="Calibri" w:hAnsi="Calibri"/>
          <w:sz w:val="22"/>
        </w:rPr>
        <w:t xml:space="preserve"> на тези места се отчитат за целите на съответствието с количествената оценка на изискването.</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За сгради, които имат единици за </w:t>
      </w:r>
      <w:r>
        <w:rPr>
          <w:rFonts w:ascii="Calibri" w:hAnsi="Calibri"/>
          <w:i/>
          <w:sz w:val="22"/>
        </w:rPr>
        <w:t xml:space="preserve">частно жилищно ползване </w:t>
      </w:r>
      <w:r>
        <w:rPr>
          <w:rFonts w:ascii="Calibri" w:hAnsi="Calibri"/>
          <w:sz w:val="22"/>
        </w:rPr>
        <w:t>заедно с единици за различно ползване, където зоните за паркиране, свързани с всяко ползване, не са ясно разграничени, се прилага критерият за характерното използване на сградата.</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Обосновка на изискването</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За да се докаже, че дадена сграда отговаря на изискванията на настоящия основен документ, проектните документи включват следната информация за сградата или съответната част от нея:</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а) схема на свързване, използвана за оразмеряване, както е описано в регламента за електротехниката за ниско напрежение;</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б) описание на главните канали и подготвените тръбопроводи, като се посочва процентът на паркоместата с окабеляващи системи и минималният изискван процент;</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в) брой монтирани </w:t>
      </w:r>
      <w:r>
        <w:rPr>
          <w:rFonts w:ascii="Calibri" w:hAnsi="Calibri"/>
          <w:i/>
          <w:sz w:val="22"/>
        </w:rPr>
        <w:t>зарядни станции</w:t>
      </w:r>
      <w:r>
        <w:rPr>
          <w:rFonts w:ascii="Calibri" w:hAnsi="Calibri"/>
          <w:sz w:val="22"/>
        </w:rPr>
        <w:t xml:space="preserve"> и минимален брой в резултат на количествената оценка на изискването;</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г) видове </w:t>
      </w:r>
      <w:r>
        <w:rPr>
          <w:rFonts w:ascii="Calibri" w:hAnsi="Calibri"/>
          <w:i/>
          <w:sz w:val="22"/>
        </w:rPr>
        <w:t>зарядни станции</w:t>
      </w:r>
      <w:r>
        <w:rPr>
          <w:rFonts w:ascii="Calibri" w:hAnsi="Calibri"/>
          <w:sz w:val="22"/>
        </w:rPr>
        <w:t xml:space="preserve"> и техните номинални мощности.</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Строителство, техническо обслужване и поддръжка</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Изпълнение</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Строителните работи на сградата се извършват в съответствие с проекта и неговите изменения, разрешени от строителния ръководител при съгласие на възложителя, приложимото законодателство, спецификациите на регламента за електротехниката за ниско напрежение и в допълнителната техническа инструкция ITC BT-52 „Инсталации със специално предназначение. Инфраструктура за зареждане </w:t>
      </w:r>
      <w:r>
        <w:rPr>
          <w:rFonts w:ascii="Calibri" w:hAnsi="Calibri"/>
          <w:i/>
          <w:sz w:val="22"/>
        </w:rPr>
        <w:t>електрически превозни средства</w:t>
      </w:r>
      <w:r>
        <w:rPr>
          <w:rFonts w:ascii="Calibri" w:hAnsi="Calibri"/>
          <w:sz w:val="22"/>
        </w:rPr>
        <w:t>“, съгласно стандартите за добра строителна практика и инструкциите на строителния ръководител и ръководителя по изпълнението на проекта, както е посочено в член 7 от част I на ТСК.</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Мониторинг на изпълнението на строителните работи</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Изпълнението на</w:t>
      </w:r>
      <w:r>
        <w:rPr>
          <w:rFonts w:ascii="Calibri" w:hAnsi="Calibri"/>
          <w:color w:val="FF0000"/>
          <w:sz w:val="22"/>
        </w:rPr>
        <w:t xml:space="preserve"> </w:t>
      </w:r>
      <w:r>
        <w:rPr>
          <w:rFonts w:ascii="Calibri" w:hAnsi="Calibri"/>
          <w:sz w:val="22"/>
        </w:rPr>
        <w:t>работата се следи в съответствие със спецификациите на проекта, неговите приложения и изменения, разрешени от строителния ръководител и инструкциите на ръководителя по изпълнението на проекта, съгласно спецификациите на регламента за електротехниката за ниско напрежение, в съответствие с член 7, параграф 3 от част I на ТСК и други приложими разпоредби.</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Изпълнението на работата се проверява, за да се гарантира, че инспекциите се извършват с необходимата честота, съгласно спецификациите на проекта.</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Всички изменения, направени по време на изпълнението на строителните работи, се записват в завършената документация за строителството и във всички случаи трябва да бъдат изпълнени минималните условия, посочени в настоящия основен документ.</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Документацията, свързана с характеристиките на продуктите, оборудването и системите, вградени в сградата, се включва в Книгата на сградата.</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Проверка на завършената работа</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Проверката на завършените строителни работи трябва да отговаря на критериите, посочени в член 7, параграф 4 от част I от ТСК.</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Този раздел от основния документ не предвижда окончателни изпитвания.</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Техническо обслужване и поддръжка на сградата</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Планът за поддръжка, включен в сградната книга, включва експлоатацията и честотата, необходими за поддръжката, с течение на времето, на проектните и експлоатационните параметри на </w:t>
      </w:r>
      <w:r>
        <w:rPr>
          <w:rFonts w:ascii="Calibri" w:hAnsi="Calibri"/>
          <w:i/>
          <w:sz w:val="22"/>
        </w:rPr>
        <w:t>инфраструктурата за зареждане на електрически превозни средства</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По същия начин Книгата на сградата ще документира всички интервенции, независимо дали са ремонт, обновяване или рехабилитация, извършени през целия експлоатационен срок на сградата.“</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мм) В приложение А термините „първоначално осветяване“ и „отразяване“ се заличават.</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lastRenderedPageBreak/>
        <w:t xml:space="preserve">нн) В приложение А, в определението за </w:t>
      </w:r>
      <w:r>
        <w:rPr>
          <w:rFonts w:ascii="Calibri" w:hAnsi="Calibri"/>
          <w:i/>
          <w:sz w:val="22"/>
        </w:rPr>
        <w:t>„Общ коефициент на топлопредаване (през топлоизолационната обвивка на сградата) (K)“</w:t>
      </w:r>
      <w:r>
        <w:rPr>
          <w:rFonts w:ascii="Calibri" w:hAnsi="Calibri"/>
          <w:sz w:val="22"/>
        </w:rPr>
        <w:t>, където гласи: “... K = X Hx/Aint...“ да се чете с „x“, „x“ и „int“ като индекс: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/A</w:t>
      </w:r>
      <w:r>
        <w:rPr>
          <w:rFonts w:ascii="Calibri" w:hAnsi="Calibri"/>
          <w:sz w:val="22"/>
          <w:vertAlign w:val="subscript"/>
        </w:rPr>
        <w:t>int</w:t>
      </w:r>
      <w:r>
        <w:rPr>
          <w:rFonts w:ascii="Calibri" w:hAnsi="Calibri"/>
          <w:sz w:val="22"/>
        </w:rPr>
        <w:t>...“, термините „париетодинамични стени“ и „стени на Тромб“ трябва да са в курсив.</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В приложение А, в определението за „компактност“, думата „компактност“ във втория параграф следва да бъде в курсив.</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оо) В приложение А, в определението за „оперативни условия“, терминът „частно жилищно ползване“ следва да бъде в курсив.</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пп) В приложение А, в определението за „Първично енергопотребление от невъзобновяеми източници“, където гласи: “... Първично енергопотребление от невъзобновяеми източници...“ следва да се чете с „ep,nren“ в индекса: “... Първично енергопотребление от невъзобновяеми източници (C</w:t>
      </w:r>
      <w:r>
        <w:rPr>
          <w:rFonts w:ascii="Calibri" w:hAnsi="Calibri"/>
          <w:sz w:val="22"/>
          <w:vertAlign w:val="subscript"/>
        </w:rPr>
        <w:t>ep,nren</w:t>
      </w:r>
      <w:r>
        <w:rPr>
          <w:rFonts w:ascii="Calibri" w:hAnsi="Calibri"/>
          <w:sz w:val="22"/>
        </w:rPr>
        <w:t>)...първично енергопотребление.</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рр) В приложение А, в определението за „Общо първично енергопотребление“, където то гласи: “... Общо първично енергопотребление...“ следва да се чете с „ep,tot“ в индекса: “... Общо първично енергопотребление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сс) В приложение А, в определението за „слънчево управление (q</w:t>
      </w:r>
      <w:r>
        <w:rPr>
          <w:rFonts w:ascii="Calibri" w:hAnsi="Calibri"/>
          <w:sz w:val="22"/>
          <w:vertAlign w:val="subscript"/>
        </w:rPr>
        <w:t>sol;ju</w:t>
      </w:r>
      <w:r>
        <w:rPr>
          <w:rFonts w:ascii="Calibri" w:hAnsi="Calibri"/>
          <w:sz w:val="22"/>
        </w:rPr>
        <w:t>)“, където гласи: "... полезната площ на пространствата..." трябва да се чете: "... полезната площ на жилищните помещения...". Точката и новият параграф в края на определението на компонента на формулата „Hsol;jul“ се заменя с точка и запетая и се добавя определението за друг компонент на формулата, както следва:</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"Зона </w:t>
      </w:r>
      <w:r>
        <w:rPr>
          <w:rFonts w:ascii="Calibri" w:hAnsi="Calibri"/>
          <w:sz w:val="22"/>
          <w:vertAlign w:val="subscript"/>
        </w:rPr>
        <w:t xml:space="preserve"> на полезност, </w:t>
      </w:r>
      <w:r>
        <w:rPr>
          <w:rFonts w:ascii="Calibri" w:hAnsi="Calibri"/>
          <w:sz w:val="22"/>
        </w:rPr>
        <w:t xml:space="preserve"> считана за в съответствие с точка 4.6 от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тт) В приложение А, в определението на понятието „крайна енергия“ текстът „Това е тази, която се закупува от потребителите под формата на електричество или горива, които се използват директно“ се заменя с „Това е тази, която се доставя на сградните системи за предоставяне на услуги; това обикновено се доставя чрез горива, производство на място или специфични мрежи (електроенергия, газ, централно топлоснабдяване или охлаждане и т.н.)“.</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уу) В приложение А, в определението за „климатизирано жилищно пространство“, терминът „частно жилищно ползване“ трябва да бъде в курсив.</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фф) В приложение А, в определението за „период на използване“ терминът „частно жилищно ползване“ във втория параграф следва да бъде в курсив.</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хх) В приложение А, в определението на термина „коефициент на топлопреминаване (U)“ в края на определението се добавя следното изречение:</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„Изразено в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цц) В приложение А, в определението за „стойност на енергийната ефективност на инсталацията (VEEI)“ терминът „частно жилищно ползване“ следва да бъде в курсив.</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чч) В приложение А „Терминология“ са включени следните термини:</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Спомагателно оборудване</w:t>
      </w:r>
      <w:r>
        <w:rPr>
          <w:rFonts w:ascii="Calibri" w:hAnsi="Calibri"/>
          <w:i/>
          <w:sz w:val="22"/>
        </w:rPr>
        <w:t>:</w:t>
      </w:r>
      <w:r>
        <w:rPr>
          <w:rFonts w:ascii="Calibri" w:hAnsi="Calibri"/>
          <w:b/>
          <w:sz w:val="22"/>
        </w:rPr>
        <w:t xml:space="preserve"> </w:t>
      </w:r>
      <w:r>
        <w:rPr>
          <w:rFonts w:ascii="Calibri" w:hAnsi="Calibri"/>
          <w:sz w:val="22"/>
        </w:rPr>
        <w:t xml:space="preserve">електрическо или електронно оборудване, свързано със светлината, различно за всеки тип светлина, чиято функция е запалването и управлението на работните условия. Това </w:t>
      </w:r>
      <w:r>
        <w:rPr>
          <w:rFonts w:ascii="Calibri" w:hAnsi="Calibri"/>
          <w:sz w:val="22"/>
        </w:rPr>
        <w:lastRenderedPageBreak/>
        <w:t>спомагателно оборудване, освен ако е електронно, се образува от комбинация от стартер, баласт и кондензатор.</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Зарядна станция</w:t>
      </w:r>
      <w:r>
        <w:rPr>
          <w:rFonts w:ascii="Calibri" w:hAnsi="Calibri"/>
          <w:i/>
          <w:sz w:val="22"/>
        </w:rPr>
        <w:t>:</w:t>
      </w:r>
      <w:r>
        <w:rPr>
          <w:rFonts w:ascii="Calibri" w:hAnsi="Calibri"/>
          <w:b/>
          <w:sz w:val="22"/>
        </w:rPr>
        <w:t xml:space="preserve"> </w:t>
      </w:r>
      <w:r>
        <w:rPr>
          <w:rFonts w:ascii="Calibri" w:hAnsi="Calibri"/>
          <w:sz w:val="22"/>
        </w:rPr>
        <w:t xml:space="preserve">набор от елементи, необходими за свързване на електрическо превозно средство към фиксираната електрическа инсталация, необходима за зареждане. </w:t>
      </w:r>
      <w:r>
        <w:rPr>
          <w:rFonts w:ascii="Calibri" w:hAnsi="Calibri"/>
          <w:i/>
          <w:sz w:val="22"/>
        </w:rPr>
        <w:t>Зарядните станции</w:t>
      </w:r>
      <w:r>
        <w:rPr>
          <w:rFonts w:ascii="Calibri" w:hAnsi="Calibri"/>
          <w:sz w:val="22"/>
        </w:rPr>
        <w:t xml:space="preserve"> се класифицират като:</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Единична зарядна точка, състояща се от необходимите защити, едно или повече контакти, които не са специфични за </w:t>
      </w:r>
      <w:r>
        <w:rPr>
          <w:rFonts w:ascii="Calibri" w:hAnsi="Calibri"/>
          <w:i/>
          <w:sz w:val="22"/>
        </w:rPr>
        <w:t>превозното средство</w:t>
      </w:r>
      <w:r>
        <w:rPr>
          <w:rFonts w:ascii="Calibri" w:hAnsi="Calibri"/>
          <w:sz w:val="22"/>
        </w:rPr>
        <w:t xml:space="preserve"> и, когато е приложимо, за обвивката.</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Зарядна точка тип ССЕЕПС</w:t>
      </w:r>
      <w:r>
        <w:rPr>
          <w:rFonts w:ascii="Calibri" w:hAnsi="Calibri"/>
          <w:i/>
          <w:sz w:val="22"/>
        </w:rPr>
        <w:t xml:space="preserve"> (специфична система за електрозахранване на електрически превозни средства)</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Инфраструктура за зареждане на електрически превозни средства</w:t>
      </w:r>
      <w:r>
        <w:rPr>
          <w:rFonts w:ascii="Calibri" w:hAnsi="Calibri"/>
          <w:i/>
          <w:sz w:val="22"/>
        </w:rPr>
        <w:t>:</w:t>
      </w:r>
      <w:r>
        <w:rPr>
          <w:rFonts w:ascii="Calibri" w:hAnsi="Calibri"/>
          <w:b/>
          <w:sz w:val="22"/>
        </w:rPr>
        <w:t xml:space="preserve"> </w:t>
      </w:r>
      <w:r>
        <w:rPr>
          <w:rFonts w:ascii="Calibri" w:hAnsi="Calibri"/>
          <w:sz w:val="22"/>
        </w:rPr>
        <w:t xml:space="preserve">набор от физически и логически устройства, предназначени за зареждане на електрически превозни средства отговарящи на изискванията за безопасност и достъпност, предвидени за всеки отделен случай от Електротехническия регламент за ниско напрежение, способни да осигурят пълно и цялостно зареждане. Тя включва </w:t>
      </w:r>
      <w:r>
        <w:rPr>
          <w:rFonts w:ascii="Calibri" w:hAnsi="Calibri"/>
          <w:i/>
          <w:sz w:val="22"/>
        </w:rPr>
        <w:t>зарядни станции</w:t>
      </w:r>
      <w:r>
        <w:rPr>
          <w:rFonts w:ascii="Calibri" w:hAnsi="Calibri"/>
          <w:sz w:val="22"/>
        </w:rPr>
        <w:t xml:space="preserve">, системата за управление, електрическите тръбопроводи, електрическите табла за управление и защита и измервателното оборудване, когато те са изключително за зареждане на </w:t>
      </w:r>
      <w:r>
        <w:rPr>
          <w:rFonts w:ascii="Calibri" w:hAnsi="Calibri"/>
          <w:i/>
          <w:sz w:val="22"/>
        </w:rPr>
        <w:t>електрически превозни средства</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Специфична система за захранване на електрическо превозно средство (SAVE)</w:t>
      </w:r>
      <w:r>
        <w:rPr>
          <w:rFonts w:ascii="Calibri" w:hAnsi="Calibri"/>
          <w:i/>
          <w:sz w:val="22"/>
        </w:rPr>
        <w:t>:</w:t>
      </w:r>
      <w:r>
        <w:rPr>
          <w:rFonts w:ascii="Calibri" w:hAnsi="Calibri"/>
          <w:sz w:val="22"/>
        </w:rPr>
        <w:t xml:space="preserve"> комплект от оборудване, сглобено за осигуряване на електрическа енергия за зареждане на електрическо превозно средство, включващ защити на зарядната станция, свързващия кабел (с фазови, нулеви и защитни проводници) основата на контакта или съединителя и, когато е приложимо, променливотоков преобразувател. Тази система трябва, когато е целесъобразно, да позволява комуникация между </w:t>
      </w:r>
      <w:r>
        <w:rPr>
          <w:rFonts w:ascii="Calibri" w:hAnsi="Calibri"/>
          <w:i/>
          <w:sz w:val="22"/>
        </w:rPr>
        <w:t>електрическото превозно средство</w:t>
      </w:r>
      <w:r>
        <w:rPr>
          <w:rFonts w:ascii="Calibri" w:hAnsi="Calibri"/>
          <w:sz w:val="22"/>
        </w:rPr>
        <w:t xml:space="preserve"> и неподвижната инсталация.“</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Частно жилищно ползване</w:t>
      </w:r>
      <w:r>
        <w:rPr>
          <w:rFonts w:ascii="Calibri" w:hAnsi="Calibri"/>
          <w:sz w:val="22"/>
        </w:rPr>
        <w:t>: Сграда или площ, предназначена за постоянно пребиваване, независимо от вида на сградата: еднофамилна къща, жилищна сграда и т.н., както за публично, така и за частно строителство</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Електрическо превозно средство</w:t>
      </w:r>
      <w:r>
        <w:rPr>
          <w:rFonts w:ascii="Calibri" w:hAnsi="Calibri"/>
          <w:sz w:val="22"/>
        </w:rPr>
        <w:t>: моторно превозно средство, оборудвано с група задвижване с поне един непериферен електрически механизъм, работещ като преобразувател на енергия, и оборудвано с презаредима система за натрупване на електроенергия, която може да се презарежда отвън.“</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шш) В приложение В терминът „топлоизолационна обвивка“ в заглавието и терминът „необитаеми пространства“ в раздел 1, буква а) трябва да са в курсив.</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щщ) В приложение Г, термините „Оперативни условия“, „профили на употреба“ и „частно жилищно ползване“ трябва да бъдат в курсив в заглавието, параграф 2 и в таблиците, таблица а-приложение Г, таблица б-приложение Г и таблица в-приложение Г.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ааа) В приложение Г, параграф „2 </w:t>
      </w:r>
      <w:r>
        <w:rPr>
          <w:rFonts w:ascii="Calibri" w:hAnsi="Calibri"/>
          <w:i/>
          <w:sz w:val="22"/>
        </w:rPr>
        <w:t xml:space="preserve">оперативни условия </w:t>
      </w:r>
      <w:r>
        <w:rPr>
          <w:rFonts w:ascii="Calibri" w:hAnsi="Calibri"/>
          <w:sz w:val="22"/>
        </w:rPr>
        <w:t xml:space="preserve"> и </w:t>
      </w:r>
      <w:r>
        <w:rPr>
          <w:rFonts w:ascii="Calibri" w:hAnsi="Calibri"/>
          <w:i/>
          <w:sz w:val="22"/>
        </w:rPr>
        <w:t>профил на употреба</w:t>
      </w:r>
      <w:r>
        <w:rPr>
          <w:rFonts w:ascii="Calibri" w:hAnsi="Calibri"/>
          <w:sz w:val="22"/>
        </w:rPr>
        <w:t xml:space="preserve">...“ следва да бъде преномериран „3 </w:t>
      </w:r>
      <w:r>
        <w:rPr>
          <w:rFonts w:ascii="Calibri" w:hAnsi="Calibri"/>
          <w:i/>
          <w:sz w:val="22"/>
        </w:rPr>
        <w:t xml:space="preserve">Оперативни условия </w:t>
      </w:r>
      <w:r>
        <w:rPr>
          <w:rFonts w:ascii="Calibri" w:hAnsi="Calibri"/>
          <w:sz w:val="22"/>
        </w:rPr>
        <w:t xml:space="preserve"> и </w:t>
      </w:r>
      <w:r>
        <w:rPr>
          <w:rFonts w:ascii="Calibri" w:hAnsi="Calibri"/>
          <w:i/>
          <w:sz w:val="22"/>
        </w:rPr>
        <w:t>профил на употреба</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ббб) В приложение Г, в параграф 4 текстът „Признат документ“ се заменя с „Признат документ за енергийно сертифициране на сгради“.</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ввв) В приложение Д терминът „частно жилищно ползване“ в раздел 1 следва да бъде в курсив.</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ггг) В приложение Е, терминът „частно жилищно ползване“ следва да бъде в курсив както в раздел 1, така и в таблица а-приложение Е.</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ддд) В приложение З, след заглавието на раздела се вмъква следната формулировка: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„Определяне на </w:t>
      </w:r>
      <w:r>
        <w:rPr>
          <w:rFonts w:ascii="Calibri" w:hAnsi="Calibri"/>
          <w:i/>
          <w:sz w:val="22"/>
        </w:rPr>
        <w:t xml:space="preserve">въздухопропускливостта </w:t>
      </w:r>
      <w:r>
        <w:rPr>
          <w:rFonts w:ascii="Calibri" w:hAnsi="Calibri"/>
          <w:sz w:val="22"/>
        </w:rPr>
        <w:t xml:space="preserve">на сградата трябва да се извърши по един от следните методи.“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еее) В приложение З, формулировката „Стойността на съотношението на изменението на въздуха при 50 Pa, n50, може да се получи чрез изпитване по метод B на UNE-EN 13829:2002 Определяне на херметичността на въздуха в сградите. Метод на създаване на налягане с помощта на вентилатор.“ се заменя със следното: „Стойността на </w:t>
      </w:r>
      <w:r>
        <w:rPr>
          <w:rFonts w:ascii="Calibri" w:hAnsi="Calibri"/>
          <w:i/>
          <w:sz w:val="22"/>
        </w:rPr>
        <w:t>коефициента на изменение на въздуха</w:t>
      </w:r>
      <w:r>
        <w:rPr>
          <w:rFonts w:ascii="Calibri" w:hAnsi="Calibri"/>
          <w:sz w:val="22"/>
        </w:rPr>
        <w:t xml:space="preserve"> при 50 Pa, n</w:t>
      </w:r>
      <w:r>
        <w:rPr>
          <w:rFonts w:ascii="Calibri" w:hAnsi="Calibri"/>
          <w:sz w:val="22"/>
          <w:vertAlign w:val="subscript"/>
        </w:rPr>
        <w:t>50</w:t>
      </w:r>
      <w:r>
        <w:rPr>
          <w:rFonts w:ascii="Calibri" w:hAnsi="Calibri"/>
          <w:sz w:val="22"/>
        </w:rPr>
        <w:t xml:space="preserve"> чрез изпитване се получава по метод 1 или 2 на UNE-EN ISO 9972: 2019 </w:t>
      </w:r>
      <w:r>
        <w:rPr>
          <w:rFonts w:ascii="Calibri" w:hAnsi="Calibri"/>
          <w:i/>
          <w:sz w:val="22"/>
        </w:rPr>
        <w:t>Термични характеристики на сградите. Определяне на въздухопропускливостта на сгради. Метод на създаване на налягане с помощта на вентилатор.“.</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жжж) В раздел З, раздел 2, който гласи: „... 2. Стойността на съотношението на промяната на въздуха при 50 Pa, n</w:t>
      </w:r>
      <w:r>
        <w:rPr>
          <w:rFonts w:ascii="Calibri" w:hAnsi="Calibri"/>
          <w:sz w:val="22"/>
          <w:vertAlign w:val="subscript"/>
        </w:rPr>
        <w:t>50</w:t>
      </w:r>
      <w:r>
        <w:rPr>
          <w:rFonts w:ascii="Calibri" w:hAnsi="Calibri"/>
          <w:sz w:val="22"/>
        </w:rPr>
        <w:t xml:space="preserve">, може да се изчисли по следната формула:“, трябва да се чете: „... 1. Стойността на </w:t>
      </w:r>
      <w:r>
        <w:rPr>
          <w:rFonts w:ascii="Calibri" w:hAnsi="Calibri"/>
          <w:i/>
          <w:sz w:val="22"/>
        </w:rPr>
        <w:t>съотношението на изменението на въздуха</w:t>
      </w:r>
      <w:r>
        <w:rPr>
          <w:rFonts w:ascii="Calibri" w:hAnsi="Calibri"/>
          <w:sz w:val="22"/>
        </w:rPr>
        <w:t xml:space="preserve"> при 50 Pa, n</w:t>
      </w:r>
      <w:r>
        <w:rPr>
          <w:rFonts w:ascii="Calibri" w:hAnsi="Calibri"/>
          <w:sz w:val="22"/>
          <w:vertAlign w:val="subscript"/>
        </w:rPr>
        <w:t>50</w:t>
      </w:r>
      <w:r>
        <w:rPr>
          <w:rFonts w:ascii="Calibri" w:hAnsi="Calibri"/>
          <w:sz w:val="22"/>
        </w:rPr>
        <w:t xml:space="preserve"> чрез еталонни стойности се получава от следния израз:“, където гласи: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да се чете: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където се чете: „V е вътрешният обем на топлоизолационната обвивка в [m</w:t>
      </w:r>
      <w:r>
        <w:rPr>
          <w:rFonts w:ascii="Calibri" w:hAnsi="Calibri"/>
          <w:sz w:val="22"/>
          <w:vertAlign w:val="superscript"/>
        </w:rPr>
        <w:t>3</w:t>
      </w:r>
      <w:r>
        <w:rPr>
          <w:rFonts w:ascii="Calibri" w:hAnsi="Calibri"/>
          <w:sz w:val="22"/>
        </w:rPr>
        <w:t>]“ да се чете: „V</w:t>
      </w:r>
      <w:r>
        <w:rPr>
          <w:rFonts w:ascii="Calibri" w:hAnsi="Calibri"/>
          <w:sz w:val="22"/>
          <w:vertAlign w:val="subscript"/>
        </w:rPr>
        <w:t>int</w:t>
      </w:r>
      <w:r>
        <w:rPr>
          <w:rFonts w:ascii="Calibri" w:hAnsi="Calibri"/>
          <w:sz w:val="22"/>
        </w:rPr>
        <w:t xml:space="preserve"> е обемът на вътрешния въздух на </w:t>
      </w:r>
      <w:r>
        <w:rPr>
          <w:rFonts w:ascii="Calibri" w:hAnsi="Calibri"/>
          <w:i/>
          <w:sz w:val="22"/>
        </w:rPr>
        <w:t>топлоизолационната обвивка</w:t>
      </w:r>
      <w:r>
        <w:rPr>
          <w:rFonts w:ascii="Calibri" w:hAnsi="Calibri"/>
          <w:sz w:val="22"/>
        </w:rPr>
        <w:t>, в [m</w:t>
      </w:r>
      <w:r>
        <w:rPr>
          <w:rFonts w:ascii="Calibri" w:hAnsi="Calibri"/>
          <w:sz w:val="22"/>
          <w:vertAlign w:val="superscript"/>
        </w:rPr>
        <w:t>3</w:t>
      </w:r>
      <w:r>
        <w:rPr>
          <w:rFonts w:ascii="Calibri" w:hAnsi="Calibri"/>
          <w:sz w:val="22"/>
        </w:rPr>
        <w:t>]“, и където гласи: „A</w:t>
      </w:r>
      <w:r>
        <w:rPr>
          <w:rFonts w:ascii="Calibri" w:hAnsi="Calibri"/>
          <w:sz w:val="22"/>
          <w:vertAlign w:val="subscript"/>
        </w:rPr>
        <w:t>o</w:t>
      </w:r>
      <w:r>
        <w:rPr>
          <w:rFonts w:ascii="Calibri" w:hAnsi="Calibri"/>
          <w:sz w:val="22"/>
        </w:rPr>
        <w:t xml:space="preserve"> е повърхността на непрозрачната част на </w:t>
      </w:r>
      <w:r>
        <w:rPr>
          <w:rFonts w:ascii="Calibri" w:hAnsi="Calibri"/>
          <w:i/>
          <w:sz w:val="22"/>
        </w:rPr>
        <w:t>топлоизолационната обвивка</w:t>
      </w:r>
      <w:r>
        <w:rPr>
          <w:rFonts w:ascii="Calibri" w:hAnsi="Calibri"/>
          <w:sz w:val="22"/>
        </w:rPr>
        <w:t xml:space="preserve"> в [m</w:t>
      </w:r>
      <w:r>
        <w:rPr>
          <w:rFonts w:ascii="Calibri" w:hAnsi="Calibri"/>
          <w:sz w:val="22"/>
          <w:vertAlign w:val="superscript"/>
        </w:rPr>
        <w:t>2</w:t>
      </w:r>
      <w:r>
        <w:rPr>
          <w:rFonts w:ascii="Calibri" w:hAnsi="Calibri"/>
          <w:sz w:val="22"/>
        </w:rPr>
        <w:t>]“ да се чете: „A</w:t>
      </w:r>
      <w:r>
        <w:rPr>
          <w:rFonts w:ascii="Calibri" w:hAnsi="Calibri"/>
          <w:sz w:val="22"/>
          <w:vertAlign w:val="subscript"/>
        </w:rPr>
        <w:t>o</w:t>
      </w:r>
      <w:r>
        <w:rPr>
          <w:rFonts w:ascii="Calibri" w:hAnsi="Calibri"/>
          <w:sz w:val="22"/>
        </w:rPr>
        <w:t xml:space="preserve"> е повърхността на непрозрачната част на </w:t>
      </w:r>
      <w:r>
        <w:rPr>
          <w:rFonts w:ascii="Calibri" w:hAnsi="Calibri"/>
          <w:i/>
          <w:sz w:val="22"/>
        </w:rPr>
        <w:t>топлоизолационната обвивка</w:t>
      </w:r>
      <w:r>
        <w:rPr>
          <w:rFonts w:ascii="Calibri" w:hAnsi="Calibri"/>
          <w:sz w:val="22"/>
        </w:rPr>
        <w:t xml:space="preserve"> в контакт с външен въздух при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ззз) В приложение З, термините „топлоизолационна обвивка“ и „отвори“ следва да бъде в курсив в описанието на термините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и в таблица а-приложение З.</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Четвърто.</w:t>
      </w:r>
      <w:r>
        <w:rPr>
          <w:rFonts w:ascii="Calibri" w:hAnsi="Calibri"/>
          <w:b/>
          <w:sz w:val="22"/>
        </w:rPr>
        <w:t xml:space="preserve"> </w:t>
      </w:r>
      <w:r>
        <w:rPr>
          <w:rFonts w:ascii="Calibri" w:hAnsi="Calibri"/>
          <w:sz w:val="22"/>
        </w:rPr>
        <w:t xml:space="preserve">В основния документ DB-SUA „Безопасност при употреба и достъпност“, включен в част II на Техническия строителен кодекс се въвеждат следните промени: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В приложение А определението за „достъпно паркомясто“ включва тире с текста:</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В случай че </w:t>
      </w:r>
      <w:r>
        <w:rPr>
          <w:rFonts w:ascii="Calibri" w:hAnsi="Calibri"/>
          <w:i/>
          <w:sz w:val="22"/>
        </w:rPr>
        <w:t>достъпно паркомясто</w:t>
      </w:r>
      <w:r>
        <w:rPr>
          <w:rFonts w:ascii="Calibri" w:hAnsi="Calibri"/>
          <w:sz w:val="22"/>
        </w:rPr>
        <w:t xml:space="preserve"> има зарядна станция за електрически превозни средства,</w:t>
      </w:r>
      <w:r>
        <w:rPr>
          <w:rFonts w:ascii="Calibri" w:hAnsi="Calibri"/>
          <w:i/>
          <w:sz w:val="22"/>
        </w:rPr>
        <w:t xml:space="preserve"> достъпният маршрут</w:t>
      </w:r>
      <w:r>
        <w:rPr>
          <w:rFonts w:ascii="Calibri" w:hAnsi="Calibri"/>
          <w:sz w:val="22"/>
        </w:rPr>
        <w:t xml:space="preserve"> трябва да включва и тази зарядна станция. Електрическите контакти и съединителите на тези станции за зареждане трябва да бъдат хроматично контрастиращи с околната среда, поставени на височина между 80 и 120 cm, а разстоянието от ъглите трябва да бъде най-малко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Пето. В основния документ DB-HS „Здраве“, включен в част II, се въвеждат следните изменения:</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а) В раздел HS 4, в раздел 3.2.2.1, точка 2, изречението „минималният принос на слънчевата енергия за производството на топла вода за битови нужди“ се заменя с изречението „минималният принос на енергията от възобновяеми източници за покриване на нуждите на топла вода за битови нужди“.</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б) В раздел 4 от HS, в раздел 6.2. буквата „д) хлорирани тръби от поливинилхлорид (PVC-C) съгласно UNE-EN ISO 15874-1:2013, UNE-EN ISO 15874-2:2013 и UNE-EN ISO 15874-3:2013;“ се заменя с буквата „д) тръби от полихлориран винилхлорид (PVC-C) съгласно UNE-EN ISO 15877-1:2009 (+UNE-EN ISO 15877-1:2009/A1): 2011 г.), UNE-EN ISO 15877—2:2009 (+UNE-EN ISO 15877—2:2009/A1:  2011 г.) и UNE-EN ISO 15877—3:2009 (+UNE-EN ISO 15877—3:2009/A1: 2011 г.);“.</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в) В раздел HS 4, в раздел 6.2. буквата „з) полибутиленови тръби (PB) съгласно UNE-EN ISO 15876-1:2017, UNE-EN ISO 15876-2:2017 и UNE-EN ISO 15876-3:2017;“ се заменя с буквата „з) полибутиленови тръби (PB) съгласно UNE-EN ISO 15876-1:2017, UNE-EN ISO 15876-2:2017 и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г) В</w:t>
      </w:r>
      <w:r>
        <w:rPr>
          <w:rFonts w:ascii="Calibri" w:hAnsi="Calibri"/>
          <w:b/>
          <w:sz w:val="22"/>
        </w:rPr>
        <w:t xml:space="preserve"> </w:t>
      </w:r>
      <w:r>
        <w:rPr>
          <w:rFonts w:ascii="Calibri" w:hAnsi="Calibri"/>
          <w:sz w:val="22"/>
        </w:rPr>
        <w:t>раздел HS 4, приложение В, където гласи: „Пластмасови тръбопроводни системи за инсталации за топла и студена вода. Полибутилен (PB). Част 1: Общи положения“ да се чете: „Пластмасови тръбопроводни системи за инсталации за топла и студена вода. Полибутен (PB). Част 1: Общи положения</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д) В</w:t>
      </w:r>
      <w:r>
        <w:rPr>
          <w:rFonts w:ascii="Calibri" w:hAnsi="Calibri"/>
          <w:b/>
          <w:sz w:val="22"/>
        </w:rPr>
        <w:t xml:space="preserve"> </w:t>
      </w:r>
      <w:r>
        <w:rPr>
          <w:rFonts w:ascii="Calibri" w:hAnsi="Calibri"/>
          <w:sz w:val="22"/>
        </w:rPr>
        <w:t>раздел HS 4, приложение В, където гласи: „Пластмасови тръбопроводни системи за инсталации за топла и студена вода. Полибутилен (PB). Част 2: Тръби“ да се чете: „Пластмасови тръбопроводни системи за инсталации за топла и студена вода. Полибутен (PB). Част 2: Тръби.</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е) В</w:t>
      </w:r>
      <w:r>
        <w:rPr>
          <w:rFonts w:ascii="Calibri" w:hAnsi="Calibri"/>
          <w:b/>
          <w:sz w:val="22"/>
        </w:rPr>
        <w:t xml:space="preserve"> </w:t>
      </w:r>
      <w:r>
        <w:rPr>
          <w:rFonts w:ascii="Calibri" w:hAnsi="Calibri"/>
          <w:sz w:val="22"/>
        </w:rPr>
        <w:t>раздел HS 4, приложение В, където гласи: „Пластмасови тръбопроводни системи за инсталации за топла и студена вода. Полибутилен (PB). Част 3: Фитинги“ да се чете: „Пластмасови тръбопроводни системи за инсталации за топла и студена вода. Полибутен (PB). Част 3: Фитинги.</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ж) В раздел HS 4, приложение В, след позоваването на стандарт „UNE-EN ISO 15876-3 се вмъква следното: 2017</w:t>
      </w:r>
      <w:r>
        <w:rPr>
          <w:rFonts w:ascii="Calibri" w:hAnsi="Calibri"/>
          <w:sz w:val="22"/>
        </w:rPr>
        <w:tab/>
        <w:t>Пластмасови тръбни системи за инсталации за топла и студена вода. Полибутен (PB). Част 3: Фитинги“ следните стандарти:</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„UN-EN ISO 15877—1:2009 Тръбни системи от пластмаси за инсталации за топла и студена вода. Хлориран поли (винилхлорид) (PVC-C). Част 1: Общи разпоредби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Пластмасови тръбни системи за инсталации за топла и студена вода. Хлориран поли (винилхлорид) (PVC-C). Част 2: Тръби.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Пластмасови тръбни системи за инсталации за топла и студена вода. Хлориран поли (винилхлорид) (PVC-C). Част 3: Фитинги.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Първа прехода разпоредба. </w:t>
      </w:r>
      <w:r>
        <w:rPr>
          <w:rFonts w:ascii="Calibri" w:hAnsi="Calibri"/>
          <w:i/>
          <w:sz w:val="22"/>
        </w:rPr>
        <w:t>Сгради, освободени от разпоредбите на този кралски указ.</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Измененията на Техническия строителен кодекс (ТСК), приети с настоящия кралски указ, не се прилагат за нови сгради или строителни работи по съществуващи сгради, които и в двата случая вече са кандидатствали за разрешение за общински строителни работи към момента на влизане в сила на настоящия кралски указ.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Тези работи започват в рамките на максималния период на ефективност на посоченото разрешително, в съответствие с правилника за дейността му, или, ако това не е така, в рамките на шест месеца от издаването на това разрешително. В противен случай проектите трябва да бъдат адаптирани към измененията на ТСК, одобрени с настоящия кралски указ.</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Втора преходна разпоредба. </w:t>
      </w:r>
      <w:r>
        <w:rPr>
          <w:rFonts w:ascii="Calibri" w:hAnsi="Calibri"/>
          <w:i/>
          <w:sz w:val="22"/>
        </w:rPr>
        <w:t>Сгради, за които прилагането на разпоредбите на настоящия кралски указ е доброволно.</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Измененията на Техническия строителен кодекс, одобрени с настоящия кралски указ, се прилагат доброволно за нови строежи и за строежи на съществуващи сгради, за които и в двата случая е поискано общинско разрешение за строеж в срок от шест месеца от влизането в сила на настоящия кралски указ.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Тези работи трябва да започнат в рамките на максималния срок на действие на посоченото разрешително, в съответствие с приложимите разпоредби, или, ако това не е възможно, в рамките на шест месеца от </w:t>
      </w:r>
      <w:r>
        <w:rPr>
          <w:rFonts w:ascii="Calibri" w:hAnsi="Calibri"/>
          <w:sz w:val="22"/>
        </w:rPr>
        <w:lastRenderedPageBreak/>
        <w:t>издаването на разрешителното. В противен случай проектите трябва да бъдат адаптирани към измененията на ТСК, одобрени с настоящия кралски указ.</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Трета преходна разпоредба. </w:t>
      </w:r>
      <w:r>
        <w:rPr>
          <w:rFonts w:ascii="Calibri" w:hAnsi="Calibri"/>
          <w:i/>
          <w:sz w:val="22"/>
        </w:rPr>
        <w:t>Сгради, за които прилагането на разпоредбите на настоящия кралски указ е задължително.</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Прилагането на измененията на Техническия строителен кодекс (CTE), приети с настоящия кралски указ, е задължително за нови сгради или за работи по съществуващи сгради, които кандидатстват за разрешение за общински строежи по-късно от девет месеца след влизането в сила на настоящата разпоредба.</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Първа заключителна разпоредба. </w:t>
      </w:r>
      <w:r>
        <w:rPr>
          <w:rFonts w:ascii="Calibri" w:hAnsi="Calibri"/>
          <w:i/>
          <w:sz w:val="22"/>
        </w:rPr>
        <w:t>Изменение на Кралски указ 1053/2014 от 12 декември за одобряване на нова допълнителна техническа инструкция (ITC) BT 52 „Инструкции със специално предназначение“. Инфраструктура за презареждане на електрически превозни средства“, от наредбите за електротехниката за ниско напрежение, одобрени с Кралски указ 842/2002 от 2 август, и други допълнителни технически инструкции.</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Кралски указ 1053/2014 от 12 декември за одобряване на нова допълнителна техническа инструкция (ITC) BT 52 „Инструкции със специално предназначение. Инфраструктура за презареждане на електрически превозни средства“, от наредбите за електротехниката за ниско напрежение, одобрени с Кралски указ 842/2002 от 2 август, и други допълнителни технически инструкции се изменя както следва: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Едно. Първата допълнителна разпоредба се изменя и гласи, както следва:</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„Първа допълнителна разпоредба. Минимални конструктивни съоръжения за зареждане на електрически превозни средства в паркинги, които не са предназначени за сгради, новопостроени или подложени на основен ремонт, както и на обществени пътища.</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В новопостроените паркинги или в тези, които са в процес на основен ремонт и не са разположени в сграда или в близост до нея, и следователно са извън обхвата на основния документ за енергийни икономии (DB HE) на Техническия строителен кодекс, трябва да се инсталира поне една зарядна станция на всеки 40 паркоместа или част от тях. Паркингът се счита за новопостроен, когато строителният проект е представен на компетентната публична администрация за обработка след влизането в сила на настоящия кралски указ.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Трябва да бъдат гарантирани инсталациите, необходими за снабдяване на станциите за зареждане, разположени в помещенията за електрически превозни средства по обществените пътища, предвидени в надобщинските или общинските планове за устойчива мобилност.“</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Две. Раздел 3.2 от INSTRUCCIÓN TÉCNICA complementaria (ITC) BT-52 се изменя, както следва:</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Инсталиране на паркинги или колективни паркоместа, прилежащи към сгради или сградни комплекси.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Електрическите инсталации за зареждане на </w:t>
      </w:r>
      <w:r>
        <w:rPr>
          <w:rFonts w:ascii="Calibri" w:hAnsi="Calibri"/>
          <w:color w:val="000000"/>
          <w:sz w:val="22"/>
        </w:rPr>
        <w:t>електрически превозни средства</w:t>
      </w:r>
      <w:r>
        <w:rPr>
          <w:rFonts w:ascii="Calibri" w:hAnsi="Calibri"/>
          <w:sz w:val="22"/>
        </w:rPr>
        <w:t xml:space="preserve"> разположени на паркинги или паркинги вътре в или прикрепени към сгради или жилищни сгради, трябва да следват някоя от описаните по-горе схеми.</w:t>
      </w:r>
      <w:r>
        <w:rPr>
          <w:rFonts w:ascii="Calibri" w:hAnsi="Calibri"/>
          <w:color w:val="000000"/>
          <w:sz w:val="22"/>
        </w:rPr>
        <w:t xml:space="preserve"> </w:t>
      </w:r>
      <w:r>
        <w:rPr>
          <w:rFonts w:ascii="Calibri" w:hAnsi="Calibri"/>
          <w:sz w:val="22"/>
        </w:rPr>
        <w:t>В една и съща сграда могат да се използват различни схеми, при условие че са изпълнени всички изисквания, определени в настоящия (ДТИ)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В схема 4а веригата за зареждане трябва да следва условията за монтаж, описани в (ДТИ) BT-15, като се използват кабели и проводящи системи от същите видове и характеристики, както за отделен обходен път, и частта от кабела се изчислява в съответствие с общите изисквания на раздел 5 от настоящата ДТИ. Не е необходимо да се предвижда разширяване на сечението на кабелите, за да се определят диаметърът или напречните размери на системата за проводимост, която да се използва.</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Схема 4б се използва, когато захранването на станциите за зареждане е проектирано като неразделна част или разширение на електрическата инсталация, обслужваща общите услуги на гаражите.</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Както в съществуващите, така и в новите инсталации, както и с цел да се улесни използването на избраната електрическа схема, масите с обща защита и други устройства за зареждане на електрически превозни средства могат да бъдат разположени в помещенията, предназначени за тази цел, или в общи части.</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Предварителната електрическа инсталация за зареждане на електрически превозни средства в паркинги, разположени или прилежащи към сгради или сградни комплекси, трябва да улеснява последващото използване на всяка от възможните схеми за инсталиране. Това включва следните елементи: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а) Инсталиране на кабелни проводящи системи от централизирането на измервателни уреди и по главните пътища на паркингите, за да може по-късно да се захранват зарядните станции, които могат да бъдат разположени в отделните паркоместа или паркинги. Когато предварителното инсталиране е планирано за 100 % от помещенията, системите за кабелна проводимост трябва да достигат до всяко от помещенията. Когато предварителното инсталиране не е планирано за 100 % от помещенията, трябва да се определят помещенията, за които се счита, че отговарят на нормативните изисквания за системите за кабелна проводимост, като тези системи трябва да достигнат до всяко от тези помещения.</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б) Централизирането на измервателните уреди се оразмерява според електрическата схема, избрана за зареждане на електрическото превозно средство, и както е посочено в (ДТИ) BT-16. Инсталират се резервни модули за най-малко 20 % от гаражните помещения, които не са свързани с жилище, и дори ако всички помещения са свързани с жилища, най-малко един резервен модул. Тези резервни модули трябва да имат капацитет за поставяне на главния измервателен уред и устройствата за защита от свръхток, свързани с измервателния уред, или с предпазители, или с прекъсвачи.</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Щепселните изходи или съединителите, монтирани на станцията за зареждане, и нейните автоматични защитни прекъсвачи трябва да отговарят на една от възможностите, посочени в раздел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Три. Първата алинея от раздел 5.4 от ДОПЪЛНИТЕЛЕН ТЕХНИЧЕСКИ ИНСТРУЦИЯ (ДТИ) BT-52 се изменя, както следва:</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Точка на свързване.  </w:t>
      </w:r>
      <w:bookmarkStart w:id="26" w:name="_Hlk81468651"/>
      <w:r>
        <w:rPr>
          <w:rFonts w:ascii="Calibri" w:hAnsi="Calibri"/>
          <w:sz w:val="22"/>
        </w:rPr>
        <w:t xml:space="preserve">Точката на свързване се намира в непосредствена близост до захранваната квадратура и е трайно монтирана в корпус.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Минималната монтажна височина на щепселите и съединителите трябва да бъде 60 cm над нивото на земната повърхност. </w:t>
      </w:r>
      <w:bookmarkStart w:id="27" w:name="_Hlk81468224"/>
      <w:r>
        <w:rPr>
          <w:rFonts w:ascii="Calibri" w:hAnsi="Calibri"/>
          <w:sz w:val="22"/>
        </w:rPr>
        <w:t>Ако зарядната станция е предназначена за обществено ползване, максималната височина е 120 cm. В достъпните места за паркиране щепселите и съединителите трябва да имат хроматичен контраст с околността, да са разположени на височина между 80 и 120 cm, а разстоянието до ъгловите възли трябва да бъде най-малко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Втора заключителна разпоредба. </w:t>
      </w:r>
      <w:r>
        <w:rPr>
          <w:rFonts w:ascii="Calibri" w:hAnsi="Calibri"/>
          <w:i/>
          <w:sz w:val="22"/>
        </w:rPr>
        <w:t>Транспониране на правото на Европейския съюз.</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С настоящия Кралски указ се транспонират в испанското право членове 8.2, 8.4, 8.5 и 8.6 от Директива 2010/31/ЕС на Европейския парламент и на Съвета относно енергийните характеристики на сградите, изменена с Директива (ЕС) 2018/844 на Европейския парламент и на Съвета от 30 май 2018 година за изменение на Директива 2010/31/ЕС</w:t>
      </w:r>
      <w:r>
        <w:t xml:space="preserve"> </w:t>
      </w:r>
      <w:bookmarkStart w:id="28" w:name="_Hlk92814279"/>
      <w:r>
        <w:rPr>
          <w:rFonts w:ascii="Calibri" w:hAnsi="Calibri"/>
          <w:sz w:val="22"/>
        </w:rPr>
        <w:t>относно енергийните характеристики на сградите</w:t>
      </w:r>
      <w:bookmarkEnd w:id="28"/>
      <w:r>
        <w:rPr>
          <w:rFonts w:ascii="Calibri" w:hAnsi="Calibri"/>
          <w:sz w:val="22"/>
        </w:rPr>
        <w:t xml:space="preserve"> и Директива 2012/27/ЕС относно енергийната ефективност.</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Трета заключителна разпоредба. </w:t>
      </w:r>
      <w:r>
        <w:rPr>
          <w:rFonts w:ascii="Calibri" w:hAnsi="Calibri"/>
          <w:i/>
          <w:sz w:val="22"/>
        </w:rPr>
        <w:t>Влизане в сила.</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Настоящият Кралски указ влиза в сила в деня след неговото публикуване в Държавен вестник.</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ДА СЕ ПРЕДСТАВИ НА СЪВЕТА НА МИНИСТРИТЕ</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Мадрид, на            2022 г.</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МИНИСТЪРЪТ НА ТРАНСПОРТА, МОБИЛНОСТТА И ПРОГРАМАТА ЗА ГРАДОВЕТЕ</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ТРЕТИ ЗАМЕСТНИК МИНИСТЪР-ПРЕДСЕДАТЕЛ НА ПРАВИТЕЛСТВОТО И МИНИСТЪР ПО ВЪПРОСИТЕ НА ЕКОЛОГИЧНИЯ ПРЕХОД И ДЕМОГРАФСКОТО ПРЕДИЗВИКАТЕЛСТВО</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5185" w14:textId="77777777" w:rsidR="00210713" w:rsidRDefault="00210713">
      <w:r>
        <w:separator/>
      </w:r>
    </w:p>
  </w:endnote>
  <w:endnote w:type="continuationSeparator" w:id="0">
    <w:p w14:paraId="509BEF0F" w14:textId="77777777" w:rsidR="00210713" w:rsidRDefault="0021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64E6" w14:textId="77777777" w:rsidR="00210713" w:rsidRDefault="00210713">
      <w:r>
        <w:separator/>
      </w:r>
    </w:p>
  </w:footnote>
  <w:footnote w:type="continuationSeparator" w:id="0">
    <w:p w14:paraId="07079683" w14:textId="77777777" w:rsidR="00210713" w:rsidRDefault="0021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204"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39" w:type="dxa"/>
      <w:jc w:val="center"/>
      <w:tblLayout w:type="fixed"/>
      <w:tblCellMar>
        <w:left w:w="70" w:type="dxa"/>
        <w:right w:w="70" w:type="dxa"/>
      </w:tblCellMar>
      <w:tblLook w:val="0000" w:firstRow="0" w:lastRow="0" w:firstColumn="0" w:lastColumn="0" w:noHBand="0" w:noVBand="0"/>
    </w:tblPr>
    <w:tblGrid>
      <w:gridCol w:w="1352"/>
      <w:gridCol w:w="3715"/>
      <w:gridCol w:w="2013"/>
      <w:gridCol w:w="3759"/>
    </w:tblGrid>
    <w:tr w:rsidR="00546D77" w14:paraId="1E577442" w14:textId="77777777" w:rsidTr="00B5523C">
      <w:trPr>
        <w:cantSplit/>
        <w:trHeight w:val="574"/>
        <w:jc w:val="center"/>
      </w:trPr>
      <w:tc>
        <w:tcPr>
          <w:tcW w:w="1352"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56.95pt;height:59.45pt" fillcolor="window">
                <v:imagedata r:id="rId1" o:title=""/>
              </v:shape>
              <o:OLEObject Type="Embed" ProgID="Word.Picture.8" ShapeID="_x0000_i1139" DrawAspect="Content" ObjectID="_1724479205" r:id="rId2"/>
            </w:object>
          </w:r>
        </w:p>
      </w:tc>
      <w:tc>
        <w:tcPr>
          <w:tcW w:w="3715"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МИНИСТЕРСТВО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НА ТРАНСПОРТА, МОБИЛНОСТТА И ПРОГРАМАТА ЗА ГРАДОВЕТЕ</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МИНИСТЕРСТВО НА ЕКОЛОГИЧНИЯ ПРЕХОД И ДЕМОГРАФСКОТО ПРЕДИЗВИКАТЕЛСТВО</w:t>
          </w:r>
        </w:p>
      </w:tc>
      <w:tc>
        <w:tcPr>
          <w:tcW w:w="2013"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59"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B5523C">
      <w:trPr>
        <w:cantSplit/>
        <w:trHeight w:hRule="exact" w:val="133"/>
        <w:jc w:val="center"/>
      </w:trPr>
      <w:tc>
        <w:tcPr>
          <w:tcW w:w="1352" w:type="dxa"/>
          <w:vMerge/>
        </w:tcPr>
        <w:p w14:paraId="1C13B7EF" w14:textId="77777777" w:rsidR="00546D77" w:rsidRDefault="00546D77">
          <w:pPr>
            <w:pStyle w:val="Header"/>
            <w:tabs>
              <w:tab w:val="clear" w:pos="4252"/>
              <w:tab w:val="clear" w:pos="8504"/>
            </w:tabs>
            <w:ind w:left="-41" w:right="1176"/>
          </w:pPr>
        </w:p>
      </w:tc>
      <w:tc>
        <w:tcPr>
          <w:tcW w:w="3715"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13"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59"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B5523C">
      <w:trPr>
        <w:cantSplit/>
        <w:trHeight w:hRule="exact" w:val="574"/>
        <w:jc w:val="center"/>
      </w:trPr>
      <w:tc>
        <w:tcPr>
          <w:tcW w:w="1352" w:type="dxa"/>
          <w:vMerge/>
        </w:tcPr>
        <w:p w14:paraId="6B5B66CA" w14:textId="77777777" w:rsidR="00546D77" w:rsidRDefault="00546D77">
          <w:pPr>
            <w:pStyle w:val="Header"/>
            <w:tabs>
              <w:tab w:val="clear" w:pos="4252"/>
              <w:tab w:val="clear" w:pos="8504"/>
            </w:tabs>
            <w:ind w:left="-41" w:right="1176"/>
          </w:pPr>
        </w:p>
      </w:tc>
      <w:tc>
        <w:tcPr>
          <w:tcW w:w="3715"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13"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59"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СПРАВОЧЕН №:</w:t>
          </w:r>
        </w:p>
      </w:tc>
    </w:tr>
    <w:tr w:rsidR="00546D77" w14:paraId="245FEC80" w14:textId="77777777" w:rsidTr="00B5523C">
      <w:trPr>
        <w:cantSplit/>
        <w:trHeight w:hRule="exact" w:val="806"/>
        <w:jc w:val="center"/>
      </w:trPr>
      <w:tc>
        <w:tcPr>
          <w:tcW w:w="1352" w:type="dxa"/>
          <w:vMerge/>
        </w:tcPr>
        <w:p w14:paraId="28B5929C" w14:textId="77777777" w:rsidR="00546D77" w:rsidRDefault="00546D77">
          <w:pPr>
            <w:pStyle w:val="Header"/>
            <w:tabs>
              <w:tab w:val="clear" w:pos="4252"/>
              <w:tab w:val="clear" w:pos="8504"/>
            </w:tabs>
            <w:ind w:left="-41" w:right="1176"/>
          </w:pPr>
        </w:p>
      </w:tc>
      <w:tc>
        <w:tcPr>
          <w:tcW w:w="3715"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13"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59"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СПРАВОЧЕН № 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10713"/>
    <w:rsid w:val="002B64A6"/>
    <w:rsid w:val="004D344F"/>
    <w:rsid w:val="00513973"/>
    <w:rsid w:val="00546D77"/>
    <w:rsid w:val="00717198"/>
    <w:rsid w:val="007C6042"/>
    <w:rsid w:val="008577E8"/>
    <w:rsid w:val="008D3E08"/>
    <w:rsid w:val="00991C0F"/>
    <w:rsid w:val="009B305A"/>
    <w:rsid w:val="00B00277"/>
    <w:rsid w:val="00B369EC"/>
    <w:rsid w:val="00B5523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bg-BG"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2</TotalTime>
  <Pages>18</Pages>
  <Words>7553</Words>
  <Characters>44398</Characters>
  <Application>Microsoft Office Word</Application>
  <DocSecurity>0</DocSecurity>
  <Lines>679</Lines>
  <Paragraphs>246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2022-09-12T07:14:00Z</dcterms:created>
  <dcterms:modified xsi:type="dcterms:W3CDTF">2022-09-12T07:14:00Z</dcterms:modified>
</cp:coreProperties>
</file>