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Ministru padomei tiek ierosināts apstiprināt šādu noteikumu projektu:</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Karaļa dekrēta projekts, ar ko groza Būvniecības tehnisko kodeksu, kas apstiprināts ar Karaļa 17. marta dekrētu Nr. 314/2006.</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Pr="0090212B" w:rsidRDefault="00C93CCC">
            <w:pPr>
              <w:tabs>
                <w:tab w:val="left" w:pos="1080"/>
              </w:tabs>
              <w:spacing w:line="360" w:lineRule="atLeast"/>
              <w:ind w:left="357" w:right="170"/>
              <w:jc w:val="both"/>
              <w:rPr>
                <w:rFonts w:ascii="Arial" w:hAnsi="Arial"/>
                <w:b/>
                <w:sz w:val="28"/>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Pr="0090212B" w:rsidRDefault="008577E8" w:rsidP="008577E8">
      <w:pPr>
        <w:pStyle w:val="FootnoteText"/>
        <w:tabs>
          <w:tab w:val="left" w:pos="-3969"/>
        </w:tabs>
        <w:spacing w:after="120"/>
        <w:ind w:left="567" w:right="55" w:firstLine="533"/>
        <w:jc w:val="both"/>
        <w:rPr>
          <w:rFonts w:ascii="Arial" w:hAnsi="Arial" w:cs="Arial"/>
          <w:sz w:val="24"/>
          <w:szCs w:val="24"/>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5. novembra Likumā Nr. 38/1999 par būvnoteikumiem Ēku Tehniskais kodekss (CTE) ir definēts kā tiesiskais regulējums, kas nosaka kvalitātes pamatprasības ēkām un to iekārtām un nodrošina atbilstību 3. pantā noteiktajām pamatprasībām. Šajā likumā paredzētais Būvniecības tehniskais kodekss (CTE) tika apstiprināts ar Karaļa 17. marta dekrētu Nr. 314/2006. Pamatdokumenti, kas veido CTE II daļu, ir izklāstīti un attiecīgā gadījumā kvantificē I daļā noteiktās pamatprasības, nosakot darbības uzlabošanas mērķa līmeņus vai robežvērtības, vai citus parametrus. Jo īpaši BP-HE pamatdokumentā “Energotaupība” ir noteiktas un kvantitatīvi noteiktas energoefektivitātes prasības, kas jāievēro jaunceltnēm, kā arī pasākumi attiecībā uz esošajām ēkām.</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2018. gada 30. maijā tika pieņemta Eiropas Parlamenta un Padomes Direktīva (ES) 2018/844, ar ko groza Direktīvu 2010/31/ES par ēku energoefektivitāti un Direktīvu 2012/27/ES par energoefektivitāti.</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Šī direktīva mudina ieviest īpašas prasības elektrisko transportlīdzekļu uzlādes infrastruktūras ieviešanai ēku autostāvvietās. Tādējādi gan būvniecības, gan mobilitātes nozares ir stratēģiskas jomas ekonomikas vispārējai dekarbonizācijai ar tiesisko regulējumu, kura mērķis ir veicināt inovāciju, ilgtspēju un energoefektivitāti šajās nozarēs.</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Savukārt infrastruktūras attīstība inteliģentai elektrotransportlīdzekļu uzlādei veicinās enerģijas pārvaldību un elastīgumu, atjaunojamo energoresursu izmantošanu un gaisa kvalitātes uzlabošanu, un tās energoefektivitāte tiks optimizēta, padarot ēkas digitālākas un iekļaujot šajā jomā jaunas tehnoloģijas.</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Savukārt integrētajā nacionālajā enerģētikas un klimata plānā 2021.–2030. gadam (PNIEC), ko Spānija iesniedza Eiropas Komisijai, ir paredzēts veicināt elektromobilitāti kā pasākumu enerģijas patēriņa un transportlīdzekļu emisiju samazināšanai, regulējot un iekļaujot Eiropas Savienības tiesību aktus, kas ļauj ieviest elektrotransportlīdzekļu uzlādes infrastruktūru atbilstīgi transportlīdzekļu parka elektrifikācijas attīstībai, kā arī izmantojot citus veicināšanas un atbalsta mehānismus.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Lai sasniegtu šos mērķus un daļēji transponētu direktīvu šajā sakarā, ar šo Karaļa dekrētu Ēku inženiertehniskajā kodeksā ievieš jaunu energotaupības pamatprasību attiecībā uz minimālajiem piešķīrumiem elektrotransportlīdzekļu uzlādes infrastruktūrai, kas tiek izstrādāta “Enerģijas ietaupījumu” pamatdokumenta DB-HE 6. iedaļā “Minimālās uzlādes infrastruktūras iekārtas elektrotransportlīdzekļiem”.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No otras puses, jāņem vērā, ka 20. maija likuma 7/2021 par klimata pārmaiņām un pāreju uz enerģētiku 15. panta 10. punktā ir atsauce uz CTE šai regulai, lai noteiktu elektrisko transportlīdzekļu uzlādes infrastruktūras minimālos noteikumus esošajām ēkām, kas nav paredzētas privātai dzīvojamai izmantošanai un kurām ir autostāvvieta ar vairāk nekā divdesmit vietām iekštelpās vai tam piešķirtā ārtelpā, noteikumi, kuriem jābūt spēkā līdz 2023. gada 1. janvārim. Tomēr šie minimālie piešķīrumi beidzot ir noteikti Karaļa 21. decembra Dekrētlikumā Nr. 29/2021, ar ko pieņem steidzamus pasākumus enerģētikas jomā, lai veicinātu elektromobilitāti, pašpatēriņu un atjaunojamo energoresursu enerģijas izmantošanu, kas ietver šo prasību 4. pantā.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Lai pabeigtu elektrisko transportlīdzekļu uzlādes infrastruktūru regulēšanu, tiek grozīts arī 12. decembra Karaļa dekrēts 1053/2014, ar ko apstiprina jaunu Papildu tehnisko instrukciju (ITC) BT 52 “Īpaša mērķa instalācijas. Infrastruktūra elektrisko transportlīdzekļu uzlādēšanai”, tiek grozīti Zemsprieguma elektrotehniskie noteikumi, kas apstiprināti ar 2. augusta Karaļa dekrētu 842/2002, un citi to papildinošie tehniskie norādījumi.</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Turklāt, lai veicinātu atjaunojamo energoresursu izmantošanu, uzlabotu ražošanas nozaru konkurētspēju un mudinātu patērētājus vairāk iesaistīties enerģijas apsaimniekošanā, PNIEC paredz attīstīt pašpatēriņu, izmantojot atjaunojamo enerģiju, un sadalītu ražošanu dzīvojamās un uzņēmējdarbības teritorijās.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Šajā ziņā 5. aprīļa Karaļa dekrēta Nr. 244/2019 apstiprināšana, kas regulē elektroenerģijas pašpatēriņa administratīvos, tehniskos un ekonomiskos nosacījumus, cita starpā ir ļāvusi īstenot kolektīvu pašpatēriņu un vienlaikus ir samazinājusi administratīvās procedūras pašpatēriņa īstenošanai. Tāpēc tiek uzskatīts, ka pašreizējais tiesiskais regulējums ļauj paplašināt HE 5 pamatprasības darbības jomu attiecībā uz minimālo elektroenerģijas ražošanu no atjaunojamiem enerģijas avotiem, gan padarot to piemērojamām ēkām, kas paredzētas privātai lietošanai dzīvojamās ēkās, gan pazeminot celtās platības robežvērtību ēkās, kurās šī prasība ir piemērojama.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Turklāt tiek uzskatīts par nepieciešamu grozīt dažas pamatdokumentu DB-HE “Enerģijas taupīšana”</w:t>
      </w:r>
      <w:r>
        <w:t xml:space="preserve"> </w:t>
      </w:r>
      <w:bookmarkStart w:id="0" w:name="_Hlk92819359"/>
      <w:bookmarkEnd w:id="0"/>
      <w:r>
        <w:rPr>
          <w:rFonts w:ascii="Calibri" w:hAnsi="Calibri"/>
          <w:sz w:val="22"/>
        </w:rPr>
        <w:t xml:space="preserve">un DB-HS “Veselība” sadaļas, lai atvieglotu to piemērošanu, un pamatdokumenta DB-SUA “Lietošanas drošība un pieejamība” tūlītēju grozīšanu, lai iekļautu pieejamības kritērijus uzlādes stacijām pieejamās autostāvvietās.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CTE grozījumi saistībā ar pamatdokumenta DB-HE par enerģijas taupīšanu jaunās HE 6 sadaļas “Minimālie noteikumi elektrisko transportlīdzekļu uzlādes infrastruktūrai” iekļaušanu, kā arī grozījumi 12. decembra Karaļa dekrētā 1053/2014, kas apstiprina jaunu Papildu tehnisko instrukciju (ITC) BT 52, kas iekļauta pirmajā nobeiguma noteikumā, ir daļa no regulējuma reformām, kas paredzētas Atveseļošanas, transformācijas un noturības plānā (PRTR). Konkrēti PRTR 1. komponents “Ilgtspējīgas, drošas un savienotas mobilitātes triecienu plāns pilsētu un lielpilsētu vidē” paredz apstiprināt šo Karaļa dekrētu, ar ko īsteno iepriekš minētās juridiskās reformas C1.R1 reformā “Plāns uzlādes infrastruktūras ieviešanai un elektrisko transportlīdzekļu veicināšanai”.  C1.R1 reforma ir izstrādāta kā normatīvs, reglamentējošs un stratēģisks satvars, lai atvieglotu uzlādes infrastruktūras ieviešanu elektrisko transportlīdzekļu veicināšanai Spānijā, un tai ir divi atskaites punkti. Pirmais no tiem ir izveidots ar 19. februāra Rīkojumu TMA/178/2020, ar ko groza 1997. gada 16. decembra rīkojumu, ar ko reglamentē piekļuvi valsts ceļiem, apkalpes ceļiem un apkalpes vietu būvniecību, un ar Karaļa 23. jūnija Dekrētu Nr. 23/2020, ar ko apstiprina pasākumus enerģētikas jomā un citās ekonomikas atjaunošanas jomās. Otrais C1.R1 reformas pavērsiens ietver šā Karaļa dekrēta, ar ko groza Būvniecības tehnisko kodeksu, un Karaļa 12. decembra dekrēta Nr. 1053/2014 apstiprināšanu, ar ko apstiprina jaunu papildu tehnisko instrukciju (ITC) BT 52.  Laika saistību izpildes atskaites punkts šai reformai ir Karaļa dekrēta stāšanās spēkā līdz 2022. gada 30. jūnijam. Reforma C1.R1. ir saistīta ar ieguldījumu C1.I2 “Plāns uzlādes punktu uzstādīšanai, elektrisko un degvielas transportlīdzekļu iegādei un inovācijai elektromobilitātes, uzlādes un zaļā ūdeņraža jomā”. Šis ieguldījums ietver atbalsta līnijas uzlādes staciju uzstādīšanai, kas noteiktas Karaļa 13. aprīļa Dekrētā Nr. 266/2021, ar ko apstiprina tiešu atbalsta piešķiršanu autonomajām kopienām un Seūtas un Meliļas pilsētām ar elektrisko mobilitāti saistītu stimulu programmu (MOVES III) īstenošanai PRTR ietvaros.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lastRenderedPageBreak/>
        <w:t xml:space="preserve">Šajā Karaļa dekrētā ir ievērots (princips “nenodarīt būtisku kaitējumu” (DNSH) un nosacījumi klimatam un digitālajam marķējumam saskaņā ar PRTR, Eiropas Parlamenta un Padomes 2021. gada 12. februāra Regulu (ES) 2021/241, ar ko izveido noturības un atveseļošanas mehānismu, un tās īstenošanas tiesību akti, jo īpaši Komisijas paziņojums par būtiska kaitējuma principa piemērošanu saskaņā ar noturības un atveseļošanas mehānisma regulu, kā arī prasības, kas noteiktas Padomes Īstenošanas lēmumā par Spānijas atveseļošanas, pārveides un noturības plāna novērtējuma apstiprināšanu. Tas ietver atbilstību īpašajiem nosacījumiem, kas izklāstīti 1. komponentā, kā arī 1. reformā, kurā ir izstrādāts šis Karaļa dekrēts, gan attiecībā uz DNSH principu, gan klimata un digitālo marķējumu, un jo īpaši tiem, kas izklāstīti PRTR komponenta dokumenta 3., 6. un 8. iedaļā. PRTR ieguldījumos C1.I2, kas saistīti ar reformu C1.R1, tiek ievērots arī princips, ka netiek nodarīts būtisks kaitējums videi, kā arī klimata un digitālā marķējuma nosacījumi.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Šis Karaļa dekrēts atbilst nepieciešamības, efektivitātes, proporcionalitātes, tiesiskās noteiktības, pārskatāmības un efektivitātes principiem, kas noteikti 129. pantā 1. oktobra Likumā Nr. 39/2015 par valsts pārvaldes iestāžu kopējo administratīvo procedūru. Attiecībā uz nepieciešamības un efektivitātes principiem tiesību akti atbilst pienākumam transponēt Eiropas direktīvas valsts tiesību aktos un atbilst vispārējas nozīmes mērķiem, piemēram, ēku infrastruktūras pielāgošanai, lai veicinātu ilgtspējīgu mobilitāti un atjaunojamās enerģijas izmantošanu. Tā rezultātā tiks nodrošināta sabiedrības labklājība un vides aizsardzība. Šis Karaļa dekrēts atbilst arī proporcionalitātes principam, jo tas nodrošina nepieciešamos un pietiekamus līdzekļus, lai īstenotu direktīvā paredzētās juridiskās pilnvaras, bet neprasa jauninājumus, kas varētu būt nevajadzīgi vai pārsniegtu juridiskās prasības, nedz arī pilsoņu tiesību ierobežošanu. Šie noteikumi atbilst tiesiskās noteiktības principam, jo tie ir izstrādāti saskaņā ar kārtību, kas noteikta 1997. gada 27. novembra Valdības likumā 50/1997, un pārskatāmības principu, jo tajā ir skaidri norādīts tās mērķis un publiski pieejamais paskaidrojuma raksts pilnībā izskaidro tā saturu. Visbeidzot, tas atbilst arī efektivitātes principam, jo tas nerada nekādu administratīvo slogu.</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Šis vispārīgais noteikums ir pakļauts valdības 27. novembra likuma 50/1997 26. pantā noteiktajai iepriekšējas sabiedriskās apspriešanas un publiskās apspriešanas un informēšanas kārtībai, kā arī informēšanas kārtībai tehnisko noteikumu jomā par informācijas sabiedrības pakalpojumiem, kas paredzēti Eiropas Parlamenta un Padomes 2015. gada 9. septembra Direktīvā (ES) 2015/1535 un 1999. gada 31. jūlija Karaļa dekrētā 1337/1999.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Līdz ar to pēc Transporta, mobilitātes un pilsētprogrammas ministra un demogrāfisko problēmu ministra priekšlikuma, vienojoties ar Valsts padomi un pēc apspriedēm Ministru padomes sanāksmē</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IZDOD ŠĀDU DEKRĒTU.</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Vienīgais pants. </w:t>
      </w:r>
      <w:r>
        <w:rPr>
          <w:rFonts w:ascii="Calibri" w:hAnsi="Calibri"/>
          <w:i/>
          <w:sz w:val="22"/>
        </w:rPr>
        <w:t>Grozījumi Būvniecības Tehniskajā kodeksā (CTE), kas apstiprināts ar Karaļa 2006. gada 17. marta dekrētu Nr. 314/2006.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Būvniecības tehniskais kodekss (CTE), kas apstiprināts ar 17. marta Karaļa dekrētu 314/2006, tiek grozīts šādi:</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1. I daļas indeksu groza šādi:</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Formulējums "15.6. Pamatprasība HE5: Minimālā elektroenerģijas ražošana" lasa šādi:</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Pamatprasība HE 5: Minimālā elektroenerģijas ražošana no atjaunojamajiem energoresursiem”</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Atsaucē uz 15. pantu iekļauj papildu punktu ar šādu tekstu:</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Pamatprasība HE6: Minimālās uzlādes infrastruktūras iekārtas elektrotransportlīdzekļiem.</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2. Regulas I daļas 15. pantu groza šādi:</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 panta 6. punktu groza šādi:</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“15.6 Pamatprasība HE 5: Minimālā elektroenerģijas ražošana no atjaunojamajiem energoresursiem.</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Ēkās ir elektroenerģijas ražošanas sistēmas no atjaunojamajiem energoresursiem pašu patēriņam vai elektrotīkla apgūšanai.”</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Pievieno jaunu 15.7. iedaļu ar šādu saturu:</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Pamatprasība HE 6: Minimālās uzlādes infrastruktūras iekārtas elektrotransportlīdzekļiem.</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Ēkās ir minimālā infrastruktūra, kas ļauj uzlādēt elektriskos transportlīdzekļus.”</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3. Pamatdokumentā DB-HE “Enerģijas ietaupījums”, kas ietverts II daļā, ir izdarīti šādi grozījumi: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“Ievada” iedaļas “I Priekšmets” pirmajā daļā “Šā BP iedaļas atbilst pamatprasībām HE 0 a līdz HE 5”, nevis “HE 5”, būtu jāparādās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“Ievadā” I iedaļā “Priekšmets” atsauci uz CTE I daļas 15.6. pantu groza šādi:</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Pamatprasība HE 5: Minimālā elektroenerģijas ražošana no atjaunojamajiem energoresursiem.</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Ēkās ir elektroenerģijas ražošanas sistēmas no atjaunojamajiem energoresursiem pašu patēriņam vai elektrotīkla apgūšanai.”</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“Ievada” I iedaļā “Priekšmets” atsaucei uz CTE I daļas 15. pantu CTE beigās iekļauj papildu punktu ar šādu tekstu:</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Pamatprasība HE 6: Minimālās uzlādes infrastruktūras iekārtas elektrotransportlīdzekļiem.</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Ēkās ir minimālā infrastruktūra, kas ļauj uzlādēt elektriskos transportlīdzekļus.”</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Satura rādītājā HE 5 iedaļas virsrakstu groza šādi:</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“HE 5. iedaļa Minimālā elektroenerģijas ražošana no atjaunojamajiem energoresursiem.”</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Atsaucē uz 15. pantu indeksā iekļauj papildu punktu ar šādu tekstu:</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“HE 6. iedaļa Minimālās uzlādes infrastruktūras iekārtas elektrotransportlīdzekļiem</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Piemērošanas joma</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Prasības apraksts</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Prasības kvantitatīva noteikšana</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Prasības pamatojums</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Būvniecība, uzturēšana un uzturēšana</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Izpilde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Būvdarbu izpildes uzraudzība</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Pabeigtā darba pārbaude</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Ēkas apkope un uzturēšana</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iedaļas 1. iedaļā “Darbības joma”, 1. punkts, teksts: “...ja kopējā paplašinātā lietderīgā platība pārsniedz 50 m</w:t>
      </w:r>
      <w:r>
        <w:rPr>
          <w:rFonts w:ascii="Calibri" w:hAnsi="Calibri"/>
          <w:sz w:val="22"/>
          <w:vertAlign w:val="superscript"/>
        </w:rPr>
        <w:t>2</w:t>
      </w:r>
      <w:r>
        <w:rPr>
          <w:rFonts w:ascii="Calibri" w:hAnsi="Calibri"/>
          <w:sz w:val="22"/>
        </w:rPr>
        <w:t>;”, būtu jālasa “...ja paplašinātā izmantojamā platība pārsniedz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iedaļas 3. iedaļā Prasības kvantificēšana, 3.1. iedaļā Neatjaunojamās primārās enerģijas patēriņš</w:t>
      </w:r>
      <w:bookmarkStart w:id="1" w:name="_Hlk96944651"/>
      <w:r>
        <w:rPr>
          <w:rFonts w:ascii="Calibri" w:hAnsi="Calibri"/>
          <w:sz w:val="22"/>
        </w:rPr>
        <w:t>,</w:t>
      </w:r>
      <w:bookmarkEnd w:id="1"/>
      <w:r>
        <w:rPr>
          <w:rFonts w:ascii="Calibri" w:hAnsi="Calibri"/>
          <w:sz w:val="22"/>
        </w:rPr>
        <w:t xml:space="preserve"> 1 punktā, </w:t>
      </w:r>
      <w:bookmarkStart w:id="2" w:name="_Hlk96943118"/>
      <w:r>
        <w:rPr>
          <w:rFonts w:ascii="Calibri" w:hAnsi="Calibri"/>
          <w:sz w:val="22"/>
        </w:rPr>
        <w:t>terminu “Cep,nren” aizstāj “C</w:t>
      </w:r>
      <w:r>
        <w:rPr>
          <w:rFonts w:ascii="Calibri" w:hAnsi="Calibri"/>
          <w:sz w:val="22"/>
          <w:vertAlign w:val="subscript"/>
        </w:rPr>
        <w:t>ep,nren</w:t>
      </w:r>
      <w:r>
        <w:rPr>
          <w:rFonts w:ascii="Calibri" w:hAnsi="Calibri"/>
          <w:sz w:val="22"/>
        </w:rPr>
        <w:t>”, un terminu “Cep,nren,lim” aizstāj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HE 0. iedaļas 3. iedaļā Prasības kvantificēšana, 3.1. iedaļā Neatjaunojamās primārās enerģijas patēriņš, 2. punktā terminu “Cep,nren,lim” aizstāj ar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iedaļas 3. iedaļas “Prasības kvantifikācija” 3.2. iedaļa. Kopējais primārās enerģijas patēriņš, 1. punktā terminu “Cep,tot” aizstāj ar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iedaļas 3. iedaļas “Prasības kvantifikācija” 3.2. iedaļas “Kopējais primārās enerģijas patēriņš” 2. punktā, terminu “Cep, tot,lim” aizstāj ar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iedaļā 3. iedaļā Prasības kvantificēšana terminam “</w:t>
      </w:r>
      <w:r>
        <w:rPr>
          <w:rFonts w:ascii="Calibri" w:hAnsi="Calibri"/>
          <w:i/>
          <w:sz w:val="22"/>
        </w:rPr>
        <w:t>privātai lietošanai mājokļos”</w:t>
      </w:r>
      <w:r>
        <w:rPr>
          <w:rFonts w:ascii="Calibri" w:hAnsi="Calibri"/>
          <w:sz w:val="22"/>
        </w:rPr>
        <w:t xml:space="preserve"> jābūt kursīvā.</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iedaļas “Enerģijas patēriņa ierobežojumi” 4.1. iedaļā “Aprēķina procedūra” 9. punktā vārdus “Atzītais dokuments” aizstāj ar vārdiem “Atzītais ēku energosertifikācijas dokuments”.</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HE 0. iedaļā “Enerģijas patēriņa ierobežojumi” 4.1. iedaļā “Aprēķina procedūra” 9. punkts kļūst par 11. punktu un pievieno šādas daļas:</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Enerģijas bilances aprēķinu, kas vajadzīgs, lai pārbaudītu šā BD prasības, veic saskaņā ar UNE-EN ISO 52000–1:2019: </w:t>
      </w:r>
      <w:r>
        <w:rPr>
          <w:rFonts w:ascii="Calibri" w:hAnsi="Calibri"/>
          <w:i/>
          <w:sz w:val="22"/>
        </w:rPr>
        <w:t xml:space="preserve">Ēku energoefektivitātes vispārējs novērtējums. </w:t>
      </w:r>
      <w:r>
        <w:rPr>
          <w:rFonts w:ascii="Calibri" w:hAnsi="Calibri"/>
          <w:sz w:val="22"/>
        </w:rPr>
        <w:t>1. daļa. Vispārējā sistēma un procedūras, izmantojot eksporta koeficientu Kexp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Lai sadalītu dažādus pakalpojumus, uz vietas saražotās elektroenerģijas sadali katrā laika intervālā aprēķina proporcionāli attiecīgā patēriņa elektroenerģijas patēriņam (apkure, dzesēšana, ventilācija, ACS un terciārā izmantošana, kā arī apgaismojums).”</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iedaļā 4.3. iedaļā “Iekšējie pieprasījumi un darbības apstākļi” 2. punktā terminam “</w:t>
      </w:r>
      <w:r>
        <w:rPr>
          <w:rFonts w:ascii="Calibri" w:hAnsi="Calibri"/>
          <w:i/>
          <w:sz w:val="22"/>
        </w:rPr>
        <w:t>privātai lietošanai mājokļos</w:t>
      </w:r>
      <w:r>
        <w:rPr>
          <w:rFonts w:ascii="Calibri" w:hAnsi="Calibri"/>
          <w:sz w:val="22"/>
        </w:rPr>
        <w:t>” jābūt kursīvā.</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HE 0. iedaļā 4.5. iedaļa Atsauces sistēmas privātai lietošanai mājsaimniecībās gan nosaukumā, gan 1. punktā būtu jānorāda termins “</w:t>
      </w:r>
      <w:r>
        <w:rPr>
          <w:rFonts w:ascii="Calibri" w:hAnsi="Calibri"/>
          <w:i/>
          <w:sz w:val="22"/>
        </w:rPr>
        <w:t>privātai lietošanai mājokļos</w:t>
      </w:r>
      <w:r>
        <w:rPr>
          <w:rFonts w:ascii="Calibri" w:hAnsi="Calibri"/>
          <w:sz w:val="22"/>
        </w:rPr>
        <w:t>”.</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iedaļas 3. iedaļas “Prasības kvantifikācija” 3.1.1. iedaļa. Siltuma apvalka caurlaidībai, terminam “kompaktums” 3.1.1.b-HE1 tabulā un 3.1.1.c-HE1 tabulā jābūt kursīvā.</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iedaļas 3. iedaļas “Prasības kvantifikācija” 3.1.1. iedaļa. Siltuma apvalka caurlaidībai, terminam “kompaktums” tabulas 3.1.1.b-HE1 zemsvītras piezīmē un 3.1.1.c-HE1 tabulā un terminam “kompaktums” 3.1.1.c-HE1 tabulas zemsvītras piezīmē jābūt kursīvā.</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iedaļas 3. iedaļas “Prasības kvantifikācija” 3.1.1. iedaļa. Termoapvalka caurlaidība, 3. iedaļa, termins “privātai lietošanai mājokļos” būtu jākoriģē gan 3. punktā, gan 3.1.1.b-HE1 tabulā.</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iedaļas 3. iedaļas “Prasības kvantifikācija” 3.1.1. iedaļa. Siltuma apvalka caurlaidībai, terminam “</w:t>
      </w:r>
      <w:r>
        <w:rPr>
          <w:rFonts w:ascii="Calibri" w:hAnsi="Calibri"/>
          <w:i/>
          <w:sz w:val="22"/>
        </w:rPr>
        <w:t>siltuma apvalks</w:t>
      </w:r>
      <w:r>
        <w:rPr>
          <w:rFonts w:ascii="Calibri" w:hAnsi="Calibri"/>
          <w:sz w:val="22"/>
        </w:rPr>
        <w:t>” 3.1.1.b-HE1 tabulā un 3.1.1.c-HE1 tabulā jābūt kursīvā.</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HE 1 iedaļā, 3. punktā Prasības kvantitatīva noteikšana 3.1.1. iedaļā “</w:t>
      </w:r>
      <w:r>
        <w:rPr>
          <w:rFonts w:ascii="Calibri" w:hAnsi="Calibri"/>
          <w:i/>
          <w:sz w:val="22"/>
        </w:rPr>
        <w:t>siltuma apvalka pārvade</w:t>
      </w:r>
      <w:r>
        <w:rPr>
          <w:rFonts w:ascii="Calibri" w:hAnsi="Calibri"/>
          <w:sz w:val="22"/>
        </w:rPr>
        <w:t>” pievieno šādu daļu:</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Alternatīvi ēkas vai — daļējas iejaukšanās gadījumā esošās ēkās — ēku daļas, kurās tiek veiktas intervences un kuru siltumapgādes un dzesēšanas pieprasījums abos gadījumos ir mazāks par 15 kWh/m2, var izslēgt no atbilstības vispārējam siltuma pārneses koeficientam caur siltumnesēju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HE 1 iedaļas 3. iedaļas “Prasības kvantifikācija” 3.1.2. iedaļā Siltuma apvalka saules kontrole, teksts: “3.1.2.-HE1 tabula Saules kontroles parametra robežvērtība qsol; jul,lim [Kwh/m</w:t>
      </w:r>
      <w:r>
        <w:rPr>
          <w:rFonts w:ascii="Calibri" w:hAnsi="Calibri"/>
          <w:sz w:val="22"/>
          <w:vertAlign w:val="superscript"/>
        </w:rPr>
        <w:t>2</w:t>
      </w:r>
      <w:r>
        <w:rPr>
          <w:rFonts w:ascii="Calibri" w:hAnsi="Calibri"/>
          <w:sz w:val="22"/>
        </w:rPr>
        <w:t>·mes]” aizvieto ar: “3.1.2.-HE1 tabula Saules kontroles parametra robežvērtība qsol; jul,lim [KWh/m 2·mes]”.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iedaļas 3. iedaļas Prasības kvantitatīva noteikšana, 3.1.3. iedaļā Siltuma apvalka gaisa caurlaidība terminam "siltuma apvalks" ir jābūt slīprakstā gan sadaļas nosaukumā, gan 3.1.3.a-HE1 tabulas nosaukumā.</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HE 1 iedaļā, 3. iedaļā Prasības kvantitatīva noteikšana 3.1.3. iedaļā “</w:t>
      </w:r>
      <w:r>
        <w:rPr>
          <w:rFonts w:ascii="Calibri" w:hAnsi="Calibri"/>
          <w:i/>
          <w:sz w:val="22"/>
        </w:rPr>
        <w:t>siltuma apvalka</w:t>
      </w:r>
      <w:r>
        <w:rPr>
          <w:rFonts w:ascii="Calibri" w:hAnsi="Calibri"/>
          <w:sz w:val="22"/>
        </w:rPr>
        <w:t xml:space="preserve"> gaisa caurlaidība” pievieno šādu jaunu 3. punktu:</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“Pārveidojumu gadījumā 3.1.3.a-HE1 tabulu piemēro tikai tiem </w:t>
      </w:r>
      <w:r>
        <w:rPr>
          <w:rFonts w:ascii="Calibri" w:hAnsi="Calibri"/>
          <w:i/>
          <w:sz w:val="22"/>
        </w:rPr>
        <w:t>siltuma apvalka</w:t>
      </w:r>
      <w:r>
        <w:rPr>
          <w:rFonts w:ascii="Calibri" w:hAnsi="Calibri"/>
          <w:sz w:val="22"/>
        </w:rPr>
        <w:t xml:space="preserve"> elementiem, kas ir aizstāti, iekļauti vai būtiski pārveidoti;”</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3.1.3. iedaļas “siltuma apvalka gaisa caurlaidība” 3. un 4. punkta numerāciju attiecīgi aizstāj ar 4. un 5. punktu.</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iedaļas 3. iedaļas “prasības kvantifikācija”, 3.1.3. iedaļas “siltuma apvalka gaisa caurlaidība” terminam “kompaktums” 3.1.3.b-HE1 tabulā, terminam “kompaktums” 3.1.3.b-HE1 tabulā un terminam “privāta izmantošana dzīvojamām vajadzībām” 3. punktā jābūt slīprakstā.</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HE 1 iedaļas 3. iedaļā Prasības kvantitatīva noteikšana, 3.1.3. iedaļa </w:t>
      </w:r>
      <w:r>
        <w:rPr>
          <w:rFonts w:ascii="Calibri" w:hAnsi="Calibri"/>
          <w:i/>
          <w:sz w:val="22"/>
        </w:rPr>
        <w:t>siltuma apvalka</w:t>
      </w:r>
      <w:r>
        <w:rPr>
          <w:rFonts w:ascii="Calibri" w:hAnsi="Calibri"/>
          <w:sz w:val="22"/>
        </w:rPr>
        <w:t xml:space="preserve"> gaisa caurlaidība, 3.1.3.b-HE1 tabulā, kur teikts “m</w:t>
      </w:r>
      <w:r>
        <w:rPr>
          <w:rFonts w:ascii="Calibri" w:hAnsi="Calibri"/>
          <w:sz w:val="22"/>
          <w:vertAlign w:val="superscript"/>
        </w:rPr>
        <w:t>3</w:t>
      </w:r>
      <w:r>
        <w:rPr>
          <w:rFonts w:ascii="Calibri" w:hAnsi="Calibri"/>
          <w:sz w:val="22"/>
        </w:rPr>
        <w:t>/m2”, jālasa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ar 2 augšrakstā.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iedaļas 4. iedaļā “prasības pamatojums”, 4.1. punkta b) apakšpunktā minētajam terminam “kompaktums” un 4.1. punkta g) apakšpunktā minētajam terminam “privātai izmantošanai mājsaimniecībās” jābūt kursīvā.</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HE 3. iedaļā, 3.1.-HE3 tabulā “Uzstādīšanas efektivitātes robežvērtība” (VEEI</w:t>
      </w:r>
      <w:r>
        <w:rPr>
          <w:rFonts w:ascii="Calibri" w:hAnsi="Calibri"/>
          <w:sz w:val="22"/>
          <w:vertAlign w:val="subscript"/>
        </w:rPr>
        <w:t>lim</w:t>
      </w:r>
      <w:r>
        <w:rPr>
          <w:rFonts w:ascii="Calibri" w:hAnsi="Calibri"/>
          <w:sz w:val="22"/>
        </w:rPr>
        <w:t xml:space="preserve">) vārdus “Lielveikali un mazie veikali” aizstāj ar vārdiem “Lielveikali un mazie veikali </w:t>
      </w:r>
      <w:r>
        <w:rPr>
          <w:rFonts w:ascii="Calibri" w:hAnsi="Calibri"/>
          <w:sz w:val="22"/>
          <w:vertAlign w:val="superscript"/>
        </w:rPr>
        <w:t>(10)</w:t>
      </w:r>
      <w:r>
        <w:rPr>
          <w:rFonts w:ascii="Calibri" w:hAnsi="Calibri"/>
          <w:sz w:val="22"/>
        </w:rPr>
        <w:t>” un pievieno šādu zemsvītras piezīmi:</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Termins ”veikals“ attiecas gan uz maziem neatkarīgiem veikaliem, gan uz daļu komerciālai izmantošanai, ko tirdzniecības centros parasti neizmanto.”</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HE 3. iedaļas 3.3. iedaļas “Kontroles un regulatīvās sistēmas” 2. punktā ir noteikts: “...var aizstāt ar vienu no šādiem diviem variantiem: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aktivizācijas un deaktivācijas kontrole, izmantojot klātbūtnes noteikšanas sistēmu ar noteiktu laiku; vai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laika spiedpogu sistēma.”</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jālasa šādi: “...var aizstāt ar vienu no šādām divām iespējām: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aktivizēšanas un deaktivizācijas kontrole, ko veic </w:t>
      </w:r>
      <w:r>
        <w:rPr>
          <w:rFonts w:ascii="Calibri" w:hAnsi="Calibri"/>
          <w:i/>
          <w:sz w:val="22"/>
        </w:rPr>
        <w:t>laika noteikšanas sistēma</w:t>
      </w:r>
      <w:r>
        <w:rPr>
          <w:rFonts w:ascii="Calibri" w:hAnsi="Calibri"/>
          <w:sz w:val="22"/>
        </w:rPr>
        <w:t xml:space="preserve">, vai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taimera sistēma</w:t>
      </w:r>
      <w:r>
        <w:rPr>
          <w:rFonts w:ascii="Calibri" w:hAnsi="Calibri"/>
          <w:sz w:val="22"/>
        </w:rPr>
        <w:t xml:space="preserve"> ar spiedpogu.”</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HE 3. iedaļas 4. iedaļas prasības pamatojuma 1. punkta b) apakšpunktā, kurā teikts: “...izmantoto </w:t>
      </w:r>
      <w:r>
        <w:rPr>
          <w:rFonts w:ascii="Calibri" w:hAnsi="Calibri"/>
          <w:i/>
          <w:sz w:val="22"/>
        </w:rPr>
        <w:t>lampu</w:t>
      </w:r>
      <w:r>
        <w:rPr>
          <w:rFonts w:ascii="Calibri" w:hAnsi="Calibri"/>
          <w:sz w:val="22"/>
        </w:rPr>
        <w:t xml:space="preserve"> efektivitāte (lm/W)” ir jālasa “...izmantoto </w:t>
      </w:r>
      <w:r>
        <w:rPr>
          <w:rFonts w:ascii="Calibri" w:hAnsi="Calibri"/>
          <w:i/>
          <w:sz w:val="22"/>
        </w:rPr>
        <w:t>lampu</w:t>
      </w:r>
      <w:r>
        <w:rPr>
          <w:rFonts w:ascii="Calibri" w:hAnsi="Calibri"/>
          <w:sz w:val="22"/>
        </w:rPr>
        <w:t xml:space="preserve"> efektivitāte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HE 4. iedaļas 2. iedaļas Prasības apraksta 1. punktu izsaka šādi:</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Lielā mērā ēku vajadzības pēc karstā ūdens un ūdens sildīšanas apsildāmiem iekštelpu baseiniem nodrošina, izmantojot </w:t>
      </w:r>
      <w:r>
        <w:rPr>
          <w:rFonts w:ascii="Calibri" w:hAnsi="Calibri"/>
          <w:i/>
          <w:sz w:val="22"/>
        </w:rPr>
        <w:t>enerģiju no atjaunojamiem avotiem</w:t>
      </w:r>
      <w:r>
        <w:rPr>
          <w:rFonts w:ascii="Calibri" w:hAnsi="Calibri"/>
          <w:sz w:val="22"/>
        </w:rPr>
        <w:t xml:space="preserve"> vai atjaunojamiem koģenerācijas procesiem; vai nu pašā ēkā, vai arī savienojot to ar </w:t>
      </w:r>
      <w:r>
        <w:rPr>
          <w:rFonts w:ascii="Calibri" w:hAnsi="Calibri"/>
          <w:i/>
          <w:sz w:val="22"/>
        </w:rPr>
        <w:t>centralizētās siltumapgādes sistēmu</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 xml:space="preserve"> HE 4. iedaļas 3. iedaļas “Prasības kvantifikācija” 3.1. iedaļas “Minimālais atjaunojamo energoresursu ieguldījums DHW un/vai baseinu apsildei” 4. punktā, teksts: </w:t>
      </w:r>
      <w:bookmarkStart w:id="3" w:name="_Hlk96945986"/>
      <w:r>
        <w:rPr>
          <w:rFonts w:ascii="Calibri" w:hAnsi="Calibri"/>
          <w:sz w:val="22"/>
        </w:rPr>
        <w:t>“</w:t>
      </w:r>
      <w:bookmarkEnd w:id="3"/>
      <w:r>
        <w:rPr>
          <w:rFonts w:ascii="Calibri" w:hAnsi="Calibri"/>
          <w:sz w:val="22"/>
        </w:rPr>
        <w:t>...vairāk nekā 2,5, darbinot ar elektrību, un lielāks par 1,15, ja to darbina ar siltumenerģiju...” lasa “... vienāds ar vai lielāks par 2,5, ja to darbina elektriski, un vienāds ar vai lielāks par 1,15, ja to darbina ar siltumenerģiju...”.</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HE 4. iedaļas 3. iedaļas “Prasības kvantifikācija” 3.1. iedaļas “Minimālais atjaunojamo energoresursu ieguldījums DHW un/vai baseinu apsildei” 5. punktā, teksts: “... dzīvojamās ēkas...” ir jāaizstāj ar “... </w:t>
      </w:r>
      <w:r>
        <w:rPr>
          <w:rFonts w:ascii="Calibri" w:hAnsi="Calibri"/>
          <w:i/>
          <w:sz w:val="22"/>
        </w:rPr>
        <w:t>ēkas privātai dzīvošanai</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HE 4. iedaļā pirms 5.1. iedaļas. “Izpilde" iekļauj šādu tekstu: "5. Būvniecība, apkope un uzturēšana" kā nosaukumu.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HE 5. iedaļā virsrakstu “HE 5. iedaļa Minimālā elektroenerģijas ražošana” aizstāj ar “HE 5. iedaļa</w:t>
      </w:r>
      <w:r>
        <w:t xml:space="preserve"> </w:t>
      </w:r>
      <w:bookmarkStart w:id="4" w:name="_Hlk92123384"/>
      <w:r>
        <w:rPr>
          <w:rFonts w:ascii="Calibri" w:hAnsi="Calibri"/>
          <w:sz w:val="22"/>
        </w:rPr>
        <w:t>Minimālā elektroenerģijas ražošana</w:t>
      </w:r>
      <w:bookmarkEnd w:id="4"/>
      <w:r>
        <w:t xml:space="preserve"> </w:t>
      </w:r>
      <w:r>
        <w:rPr>
          <w:rFonts w:ascii="Calibri" w:hAnsi="Calibri"/>
          <w:sz w:val="22"/>
        </w:rPr>
        <w:t>no atjaunojamiem avotiem”.</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HE 5. iedaļā 1. iedaļa “Darbības joma” ir formulēta šādi: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Šo iedaļu piemēro šādos gadījumos: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jaunceltnes, ja tās pārsniedz 1000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esošo ēku paplašinājumi, kad apbūvētā teritorija ir palielināta par vairāk nekā 1000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esošas ēkas, kas ir pilnībā atjaunotas vai kur mainās to lietošanas īpašības, ja tās pārsniedz 1000 m</w:t>
      </w:r>
      <w:r>
        <w:rPr>
          <w:rFonts w:ascii="Calibri" w:hAnsi="Calibri"/>
          <w:sz w:val="22"/>
          <w:vertAlign w:val="superscript"/>
        </w:rPr>
        <w:t>2</w:t>
      </w:r>
      <w:r>
        <w:rPr>
          <w:rFonts w:ascii="Calibri" w:hAnsi="Calibri"/>
          <w:sz w:val="22"/>
        </w:rPr>
        <w:t xml:space="preserve"> no uzbūvētās virsmas.</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Uzskata, ka apbūvētā platība ietver stāvvietu platību ēkas iekšienē un neietver kopējās āra platības.”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HE 5. iedaļā 2. iedaļas “Prasības raksturojums” pirmā daļa ir formulēta šādi:</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Ēkās ir elektroenerģijas ražošanas sistēmas no atjaunojamajiem energoresursiem pašu patēriņam vai elektrotīkla apgūšanai.”</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HE 5. iedaļā 3. iedaļa “Prasības kvantifikācija” ir formulēta šādi:</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Minimālā jauda uzstādīt Pmin ir zemākais no rezultāta, ko iegūst, izmantojot šādus divus vienādojumus: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 xml:space="preserve"> 1</w:t>
      </w:r>
      <w:r>
        <w:rPr>
          <w:rFonts w:ascii="Calibri" w:hAnsi="Calibri"/>
          <w:sz w:val="22"/>
        </w:rPr>
        <w:t xml:space="preserve"> = F</w:t>
      </w:r>
      <w:r>
        <w:rPr>
          <w:rFonts w:ascii="Calibri" w:hAnsi="Calibri"/>
          <w:sz w:val="22"/>
          <w:vertAlign w:val="subscript"/>
        </w:rPr>
        <w:t>pr;el</w:t>
      </w:r>
      <w:r>
        <w:rPr>
          <w:rFonts w:ascii="Calibri" w:hAnsi="Calibri"/>
          <w:sz w:val="22"/>
        </w:rPr>
        <w:t>·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kur</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Pmin</w:t>
      </w:r>
      <w:r>
        <w:rPr>
          <w:rFonts w:ascii="Calibri" w:hAnsi="Calibri"/>
          <w:sz w:val="22"/>
        </w:rPr>
        <w:tab/>
        <w:t xml:space="preserve"> jauda uzstādīt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pr;el</w:t>
      </w:r>
      <w:r>
        <w:rPr>
          <w:rFonts w:ascii="Calibri" w:hAnsi="Calibri"/>
          <w:sz w:val="22"/>
        </w:rPr>
        <w:tab/>
        <w:t>elektroenerģijas ražošanas koeficients, kas ņem vērtību 0,005 privātam patēriņam un 0,010 citiem lietojumiem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ēkas apbūvētās platības platība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 c</w:t>
      </w:r>
      <w:r>
        <w:rPr>
          <w:rFonts w:ascii="Calibri" w:hAnsi="Calibri"/>
          <w:sz w:val="22"/>
        </w:rPr>
        <w:tab/>
        <w:t>nepārvietojama jumta virsmas laukums vai pieejams tikai uzturēšanai [m2];</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Soc</w:t>
      </w:r>
      <w:r>
        <w:rPr>
          <w:rFonts w:ascii="Calibri" w:hAnsi="Calibri"/>
          <w:sz w:val="22"/>
        </w:rPr>
        <w:tab/>
        <w:t>nepārvietojama jumta virsmas laukums vai pieejams uzturēšanai, ko aizņem tikai saules siltumsūkņi [m2].</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Ēkās, kurās pilsētas vai arhitektonisku iemeslu dēļ vai tāpēc, ka tās ir oficiāli aizsargātas ēkas, kur oficiālā aizsardzība ir tā, kas nosaka nemaināmos elementus, nevar sasniegt minimālo </w:t>
      </w:r>
      <w:r>
        <w:rPr>
          <w:rFonts w:ascii="Calibri" w:hAnsi="Calibri"/>
          <w:i/>
          <w:sz w:val="22"/>
        </w:rPr>
        <w:t>jaudu uzstādīt</w:t>
      </w:r>
      <w:r>
        <w:rPr>
          <w:rFonts w:ascii="Calibri" w:hAnsi="Calibri"/>
          <w:sz w:val="22"/>
        </w:rPr>
        <w:t>, šo neiespējamību pamato, analizējot dažādas alternatīvas, un pieņem risinājumu, kas sasniedz maksimālo iespējamo uzstādīto jaudu.”</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HE 5. iedaļas 4. iedaļā “Prasības pamatojums” pievieno šādu tekstu:</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lastRenderedPageBreak/>
        <w:t xml:space="preserve">c) vajadzības gadījumā iemesli, kas neļauj sasniegt minimālo nepieciešamo </w:t>
      </w:r>
      <w:r>
        <w:rPr>
          <w:rFonts w:ascii="Calibri" w:hAnsi="Calibri"/>
          <w:i/>
          <w:sz w:val="22"/>
        </w:rPr>
        <w:t>jaudu uzstādīt</w:t>
      </w:r>
      <w:r>
        <w:rPr>
          <w:rFonts w:ascii="Calibri" w:hAnsi="Calibri"/>
          <w:sz w:val="22"/>
        </w:rPr>
        <w:t>, alternatīvu analīze un risinājums, kas pieņemts, lai sasniegtu maksimālo iespējamo uzstādīto jaudu.”</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Pamatdokumentā DB-HE “Energotaupība” pievieno HE 6. iedaļu ar nosaukumu “Minimālās </w:t>
      </w:r>
      <w:r>
        <w:rPr>
          <w:rFonts w:ascii="Calibri" w:hAnsi="Calibri"/>
          <w:i/>
          <w:sz w:val="22"/>
        </w:rPr>
        <w:t>uzlādes infrastruktūras iekārtas elektrotransportlīdzekļiem</w:t>
      </w:r>
      <w:r>
        <w:rPr>
          <w:rFonts w:ascii="Calibri" w:hAnsi="Calibri"/>
          <w:sz w:val="22"/>
        </w:rPr>
        <w:t xml:space="preserve">” un šādu saturu: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t xml:space="preserve"> </w:t>
      </w:r>
      <w:r>
        <w:rPr>
          <w:rFonts w:ascii="Calibri" w:hAnsi="Calibri"/>
          <w:sz w:val="22"/>
        </w:rPr>
        <w:t xml:space="preserve">“HE 6. iedaļa Minimālās </w:t>
      </w:r>
      <w:r>
        <w:rPr>
          <w:rFonts w:ascii="Calibri" w:hAnsi="Calibri"/>
          <w:i/>
          <w:sz w:val="22"/>
        </w:rPr>
        <w:t>uzlādes infrastruktūras iespējas elektriskajiem transportlīdzekļiem</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Darbības joma</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Šajā iedaļā noteiktās prasības attiecas uz ēkām, kurām ir autostāvvietas zona vai nu ēkā, vai ārpus tās, šādos gadījumos:</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jaunceltas ēkas;</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jau esošas ēkas šādos gadījumos:</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izmaiņas ēkas raksturīgajā izmantošanā;</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paplašinājumi gadījumos, kas ietver iejaukšanos autostāvvietā un vienības vai </w:t>
      </w:r>
      <w:r>
        <w:rPr>
          <w:rFonts w:ascii="Calibri" w:hAnsi="Calibri"/>
          <w:i/>
          <w:sz w:val="22"/>
        </w:rPr>
        <w:t>lietošanas vienību</w:t>
      </w:r>
      <w:r>
        <w:rPr>
          <w:rFonts w:ascii="Calibri" w:hAnsi="Calibri"/>
          <w:sz w:val="22"/>
        </w:rPr>
        <w:t>, kurās notiek iejaukšanās, platību vai izbūvēto tilpumu, palielina par vairāk nekā 10 %, un palielinātā izmantojamā platība ir lielāka par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reformas, kas ietver intervenci autostāvvietā un atjauno vairāk nekā 25 % no ēkas galīgā </w:t>
      </w:r>
      <w:r>
        <w:rPr>
          <w:rFonts w:ascii="Calibri" w:hAnsi="Calibri"/>
          <w:i/>
          <w:sz w:val="22"/>
        </w:rPr>
        <w:t>siltuma apvalka</w:t>
      </w:r>
      <w:r>
        <w:rPr>
          <w:rFonts w:ascii="Calibri" w:hAnsi="Calibri"/>
          <w:sz w:val="22"/>
        </w:rPr>
        <w:t xml:space="preserve"> no kopējās platības;</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iejaukšanās ēkas elektroinstalācijā, kas ietekmē vairāk nekā 50 % no ēkā pirms iejaukšanās uzstādītās elektroenerģijas, gadījumos, kad autostāvvieta atrodas ēkas iekšpusē</w:t>
      </w:r>
      <w:r>
        <w:rPr>
          <w:rFonts w:ascii="Calibri" w:hAnsi="Calibri"/>
          <w:sz w:val="22"/>
          <w:u w:color="FF0000"/>
        </w:rPr>
        <w:t>, ar noteikumu, ka attīstītājs ir tiesīgs rīkoties autostāvvietā, veicot šādu iejaukšanos</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iejaukšanās autostāvvietas elektroinstalācijā, kas ietekmē vairāk nekā 50 % no jaudas, kas pirms iejaukšanās uzstādīta autostāvvietā.</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Tālāk minētais neietilpst darbības jomā:</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ēkas, kas nav privātas dzīvojamās ēkas ar stāvlaukumu ne vairāk kā 10 stāvvietās;</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esošas ēkas, kas nav privātas dzīvojamās ēkas ar stāvlaukumu ar ne vairāk kā 20 stāvvietām, un esošās </w:t>
      </w:r>
      <w:r>
        <w:rPr>
          <w:rFonts w:ascii="Calibri" w:hAnsi="Calibri"/>
          <w:i/>
          <w:sz w:val="22"/>
        </w:rPr>
        <w:t>privātās dzīvojamās ēkas</w:t>
      </w:r>
      <w:r>
        <w:rPr>
          <w:rFonts w:ascii="Calibri" w:hAnsi="Calibri"/>
          <w:sz w:val="22"/>
        </w:rPr>
        <w:t>, kur abos gadījumos izmaksas, kas saistītas ar šā punkta ievērošanu, pārsniedz 7 % no paplašināšanas, izmantošanas maiņas vai renovācijas intervences izmaksām, kas rada pienākumu nodrošināt atbilstību. Lai noteiktu iepriekš minēto intervenču izmaksas, ņem vērā to faktiskās izmaksas, ar kurām saprot to faktiskās būvniecības izmaksas;</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uz ēkām, kuras ir oficiāli aizsargātas tādēļ, ka tās ietilpst deklarētā vidē vai to īpašās arhitektoniskās vai vēsturiskās vērtības dēļ, šie pienākumi neattiecas tiktāl, ciktāl šajā pantā noteikto prasību ievērošana varētu nepamatoti mainīt to raksturu vai izskatu, un oficiālajai aizsardzības iestādei ir jānosaka negrozāmie elementi.</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Prasības apraksts</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Ēkās ir minimālā infrastruktūra, kas ļauj uzlādēt elektriskos transportlīdzekļus.”</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Šī </w:t>
      </w:r>
      <w:r>
        <w:rPr>
          <w:rFonts w:ascii="Calibri" w:hAnsi="Calibri"/>
          <w:i/>
          <w:sz w:val="22"/>
        </w:rPr>
        <w:t>elektrotransportlīdzekļu uzlādes infrastruktūra</w:t>
      </w:r>
      <w:r>
        <w:rPr>
          <w:rFonts w:ascii="Calibri" w:hAnsi="Calibri"/>
          <w:sz w:val="22"/>
        </w:rPr>
        <w:t xml:space="preserve"> atbildīs spēkā esošo zemsprieguma elektrotehnisko noteikumu un to papildu tehniskās instrukcijas (ITC) BT 52 “Īpašam nolūkam paredzētas iekārtas” prasībām. Infrastruktūra </w:t>
      </w:r>
      <w:r>
        <w:rPr>
          <w:rFonts w:ascii="Calibri" w:hAnsi="Calibri"/>
          <w:i/>
          <w:sz w:val="22"/>
        </w:rPr>
        <w:lastRenderedPageBreak/>
        <w:t>elektrotransportlīdzekļu uzlādei</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Prasības kvantitatīva noteikšana</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Ēkās </w:t>
      </w:r>
      <w:r>
        <w:rPr>
          <w:rFonts w:ascii="Calibri" w:hAnsi="Calibri"/>
          <w:i/>
          <w:sz w:val="22"/>
        </w:rPr>
        <w:t>privātām dzīvojamām vajadzībām</w:t>
      </w:r>
      <w:r>
        <w:rPr>
          <w:rFonts w:ascii="Calibri" w:hAnsi="Calibri"/>
          <w:sz w:val="22"/>
        </w:rPr>
        <w:t xml:space="preserve"> tiks uzstādītas elektroinstalācijas sistēmas, lai nākotnē varētu nodrošināt </w:t>
      </w:r>
      <w:r>
        <w:rPr>
          <w:rFonts w:ascii="Calibri" w:hAnsi="Calibri"/>
          <w:i/>
          <w:sz w:val="22"/>
        </w:rPr>
        <w:t>uzlādes stacijas</w:t>
      </w:r>
      <w:r>
        <w:rPr>
          <w:rFonts w:ascii="Calibri" w:hAnsi="Calibri"/>
          <w:sz w:val="22"/>
        </w:rPr>
        <w:t xml:space="preserve"> 100 % stāvvietu.</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Ēkās, kas nav privātas dzīvojamās ēkas, tiks uzstādītas elektroinstalācijas sistēmas </w:t>
      </w:r>
      <w:r>
        <w:rPr>
          <w:rFonts w:ascii="Calibri" w:hAnsi="Calibri"/>
          <w:i/>
          <w:sz w:val="22"/>
        </w:rPr>
        <w:t xml:space="preserve">uzlādes stacijām </w:t>
      </w:r>
      <w:r>
        <w:rPr>
          <w:rFonts w:ascii="Calibri" w:hAnsi="Calibri"/>
          <w:sz w:val="22"/>
        </w:rPr>
        <w:t xml:space="preserve"> vismaz 20 % stāvvietu.</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Turklāt </w:t>
      </w:r>
      <w:r>
        <w:rPr>
          <w:rFonts w:ascii="Calibri" w:hAnsi="Calibri"/>
          <w:i/>
          <w:sz w:val="22"/>
        </w:rPr>
        <w:t>uzlādes stacija</w:t>
      </w:r>
      <w:r>
        <w:rPr>
          <w:rFonts w:ascii="Calibri" w:hAnsi="Calibri"/>
          <w:sz w:val="22"/>
        </w:rPr>
        <w:t xml:space="preserve"> tiks uzstādīta uz katrām 40 stāvvietām vai to daļām.</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Ēkās, kas nav privātas dzīvojamās ēkas, kuras pieder vispārējai valsts pārvaldei vai ar to saistītām vai no tās atkarīgām publiskām struktūrām, nodrošinājums ir lielāks par vispārpieņemto, uzstādot</w:t>
      </w:r>
      <w:r>
        <w:rPr>
          <w:rFonts w:ascii="Calibri" w:hAnsi="Calibri"/>
          <w:color w:val="1F497D"/>
          <w:sz w:val="22"/>
        </w:rPr>
        <w:t xml:space="preserve"> </w:t>
      </w:r>
      <w:r>
        <w:rPr>
          <w:rFonts w:ascii="Calibri" w:hAnsi="Calibri"/>
          <w:sz w:val="22"/>
        </w:rPr>
        <w:t xml:space="preserve">vienu </w:t>
      </w:r>
      <w:r>
        <w:rPr>
          <w:rFonts w:ascii="Calibri" w:hAnsi="Calibri"/>
          <w:i/>
          <w:sz w:val="22"/>
        </w:rPr>
        <w:t>uzlādes staciju</w:t>
      </w:r>
      <w:r>
        <w:rPr>
          <w:rFonts w:ascii="Calibri" w:hAnsi="Calibri"/>
          <w:sz w:val="22"/>
        </w:rPr>
        <w:t xml:space="preserve"> uz katrām 20 stāvvietām vai to daļām.</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Attiecībā uz autostāvvietām ar pieejamām stāvvietām, kā noteikts pamatdokumentā par lietošanas drošību un pieejamību (DB SUA), katrām 5 pieejamām stāvvietām uzstāda vienu </w:t>
      </w:r>
      <w:r>
        <w:rPr>
          <w:rFonts w:ascii="Calibri" w:hAnsi="Calibri"/>
          <w:i/>
          <w:sz w:val="22"/>
        </w:rPr>
        <w:t>uzlādes staciju</w:t>
      </w:r>
      <w:r>
        <w:rPr>
          <w:rFonts w:ascii="Calibri" w:hAnsi="Calibri"/>
          <w:sz w:val="22"/>
        </w:rPr>
        <w:t xml:space="preserve">. </w:t>
      </w:r>
      <w:r>
        <w:rPr>
          <w:rFonts w:ascii="Calibri" w:hAnsi="Calibri"/>
          <w:i/>
          <w:sz w:val="22"/>
        </w:rPr>
        <w:t>Uzlādes stacijas</w:t>
      </w:r>
      <w:r>
        <w:rPr>
          <w:rFonts w:ascii="Calibri" w:hAnsi="Calibri"/>
          <w:sz w:val="22"/>
        </w:rPr>
        <w:t xml:space="preserve"> šajās vietās uzskaita, lai nodrošinātu atbilstību prasībām.</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Ēkām, kurās ir </w:t>
      </w:r>
      <w:r>
        <w:rPr>
          <w:rFonts w:ascii="Calibri" w:hAnsi="Calibri"/>
          <w:i/>
          <w:sz w:val="22"/>
        </w:rPr>
        <w:t>privātās dzīvojamās lietošanas vienības</w:t>
      </w:r>
      <w:r>
        <w:rPr>
          <w:rFonts w:ascii="Calibri" w:hAnsi="Calibri"/>
          <w:sz w:val="22"/>
        </w:rPr>
        <w:t xml:space="preserve"> kopā ar dažāda lietojuma vienībām, kurās nav skaidri nodalītas autostāvvietas, kas saistītas ar katru lietošanas veidu, piemēro ēkai raksturīgās izmantošanas kritēriju.</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Prasības pamatojums</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Lai pierādītu, ka ēka atbilst šā pamatdokumenta prasībām, projektēšanas dokumentos par ēku vai tās attiecīgo daļu iekļauj šādu informāciju:</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elektroinstalācijas shēma, ko izmanto izmēru noteikšanai, kā aprakstīts zemsprieguma elektrotehniskajos noteikumos;</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galvenās maģistrāles un sagatavoto cauruļvadu apraksts, norādot stāvvietu procentuālo daļu ar elektroinstalācijas sistēmām un minimālo nepieciešamo procentuālo daļu;</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uzstādīto </w:t>
      </w:r>
      <w:r>
        <w:rPr>
          <w:rFonts w:ascii="Calibri" w:hAnsi="Calibri"/>
          <w:i/>
          <w:sz w:val="22"/>
        </w:rPr>
        <w:t>uzlādes staciju</w:t>
      </w:r>
      <w:r>
        <w:rPr>
          <w:rFonts w:ascii="Calibri" w:hAnsi="Calibri"/>
          <w:sz w:val="22"/>
        </w:rPr>
        <w:t xml:space="preserve"> skaits un minimālais skaits, kas izriet no prasības kvantitatīvās noteikšanas;</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w:t>
      </w:r>
      <w:r>
        <w:rPr>
          <w:rFonts w:ascii="Calibri" w:hAnsi="Calibri"/>
          <w:i/>
          <w:sz w:val="22"/>
        </w:rPr>
        <w:t>uzlādes staciju</w:t>
      </w:r>
      <w:r>
        <w:rPr>
          <w:rFonts w:ascii="Calibri" w:hAnsi="Calibri"/>
          <w:sz w:val="22"/>
        </w:rPr>
        <w:t xml:space="preserve"> veidi un to jaudas reitingi.</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Būvniecība, uzturēšana un uzturēšana</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Izpilde</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Ēkas būvdarbus veic saskaņā ar projektu un tā modifikācijām, ko apstiprinājis būvvaldnieks, vienojoties ar attīstītāju, piemērojamiem tiesību aktiem, zemsprieguma elektrotehnisko noteikumu specifikācijām un to papildu tehniskajā instrukcijā ITC BT-52 “Īpaša lietojuma iekārtas”. Infrastruktūra </w:t>
      </w:r>
      <w:r>
        <w:rPr>
          <w:rFonts w:ascii="Calibri" w:hAnsi="Calibri"/>
          <w:i/>
          <w:sz w:val="22"/>
        </w:rPr>
        <w:t xml:space="preserve">elektrisko transportlīdzekļu </w:t>
      </w:r>
      <w:r>
        <w:rPr>
          <w:rFonts w:ascii="Calibri" w:hAnsi="Calibri"/>
          <w:sz w:val="22"/>
        </w:rPr>
        <w:t xml:space="preserve"> uzlādei”, atbilstoši labas būvniecības prakses standartiem un būvniecības vadītāja un projekta īstenošanas vadītāja norādījumiem, kā minēts CTE I daļas 7. pantā.</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lastRenderedPageBreak/>
        <w:t>5.2 Būvdarbu izpildes uzraudzība</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Darbu izpildi</w:t>
      </w:r>
      <w:r>
        <w:rPr>
          <w:rFonts w:ascii="Calibri" w:hAnsi="Calibri"/>
          <w:color w:val="FF0000"/>
          <w:sz w:val="22"/>
        </w:rPr>
        <w:t xml:space="preserve"> </w:t>
      </w:r>
      <w:r>
        <w:rPr>
          <w:rFonts w:ascii="Calibri" w:hAnsi="Calibri"/>
          <w:sz w:val="22"/>
        </w:rPr>
        <w:t>uzrauga saskaņā ar projekta specifikācijām, tā pielikumiem un izmaiņām, ko apstiprinājis būvvaldnieks, un projekta īstenošanas vadītāja norādījumiem, ievērojot zemsprieguma elektrotehnisko noteikumu specifikācijas, saskaņā ar CTE I daļas 7. panta 3. punktu un citiem piemērojamiem noteikumiem.</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Darba izpildi pārbauda, lai nodrošinātu, ka pārbaudes tiek veiktas vajadzīgajā biežumā, kā noteikts projekta specifikācijās.</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Visas izmaiņas, kas veiktas būvdarbu izpildes laikā, reģistrē pabeigto darbu dokumentācijā, un visos gadījumos ir jāievēro šajā pamatdokumentā izklāstītie obligātie nosacījumi.</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Dokumentāciju, kas attiecas uz ēkā iebūvēto ražojumu, iekārtu un sistēmu īpašībām, iekļauj ēkas grāmatā.</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Pabeigtā darba pārbaude</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Pabeigto darbu pārbaudei jāatbilst kritērijiem, kas norādīti CTE I daļas 7. panta 4. punktā.</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Šajā pamatdokumenta iedaļā nav noteikti galīgie testi.</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Ēkas apkope un uzturēšana</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Būvgrāmatā ietvertajā tehniskās apkopes plānā iekļauj darbības un biežumu, kas vajadzīgs, lai laika gaitā uzturētu </w:t>
      </w:r>
      <w:r>
        <w:rPr>
          <w:rFonts w:ascii="Calibri" w:hAnsi="Calibri"/>
          <w:i/>
          <w:sz w:val="22"/>
        </w:rPr>
        <w:t>elektrotransportlīdzekļu uzlādes infrastruktūras</w:t>
      </w:r>
      <w:r>
        <w:rPr>
          <w:rFonts w:ascii="Calibri" w:hAnsi="Calibri"/>
          <w:sz w:val="22"/>
        </w:rPr>
        <w:t xml:space="preserve"> projektēšanas un veiktspējas parametrus.</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Tāpat būvgrāmatā tiks dokumentēti visi iejaukšanās pasākumi, neatkarīgi no tā, vai tie ir remontdarbi, atjaunošana vai renovācija, kas veikti visā ēkas dzīves laikā.”</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A pielikumā svītro vārdus “sākotnējais apgaismojums” un “Atstarošana”.</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A pielikumā definīcijā “</w:t>
      </w:r>
      <w:r>
        <w:rPr>
          <w:rFonts w:ascii="Calibri" w:hAnsi="Calibri"/>
          <w:i/>
          <w:sz w:val="22"/>
        </w:rPr>
        <w:t>Kopējais siltuma pārvades koeficients (caur ēkas siltumpārklājumu</w:t>
      </w:r>
      <w:r>
        <w:rPr>
          <w:rFonts w:ascii="Calibri" w:hAnsi="Calibri"/>
          <w:sz w:val="22"/>
        </w:rPr>
        <w:t>) (K)”, kur tas ir šāds: “... K = X Hx/Aint..." ar "x", "x" un "int" jālasa kā apakšraksts: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terminiem “parietodinamiskās sienas” un “Trombes sienas” jābūt slīprakstā.</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A pielikuma definīcijā “Kompaktums” otrajā daļā vārdam “kompaktums” jābūt kursīvā.</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A pielikuma definīcijā “Darbības nosacījumi” termins “izmantošana privātām vajadzībām” ir jāraksta kursīvā.</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A pielikumā definīcijā “neatjaunojamas primārās enerģijas patēriņš”, kur tas ir šāds: “... Neatjaunojamās primārās enerģijas patēriņš..." tas apakšrakstā ar "ep,nren" būtu jālasa šādi: “... Neatjaunojamās primārās enerģijas patēriņš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qq) A pielikumā definīcijā “Kopējais primārās enerģijas patēriņš”, kur teikts: “... Kopējais primārās enerģijas patēriņš..." tas apakšrakstā būtu jālasa ar "ep,tot": “... Kopējais primārās enerģijas patēriņš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A pielikumā definīcijā “saules kontrole (q</w:t>
      </w:r>
      <w:r>
        <w:rPr>
          <w:rFonts w:ascii="Calibri" w:hAnsi="Calibri"/>
          <w:sz w:val="22"/>
          <w:vertAlign w:val="subscript"/>
        </w:rPr>
        <w:t>sol;ju</w:t>
      </w:r>
      <w:r>
        <w:rPr>
          <w:rFonts w:ascii="Calibri" w:hAnsi="Calibri"/>
          <w:sz w:val="22"/>
        </w:rPr>
        <w:t>)”, kur tā ir šāda: “... telpu lietderīgā virsma...” tā būtu jālasa: “... dzīves telpu lietderīgā virsma...”. Punktu un jauno rindkopu formulas komponenta “Hsol;jul” definīcijas beigās aizstāj ar semikolu, un cita formulas komponenta definīciju pievieno šādi:</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w:t>
      </w:r>
      <w:r>
        <w:rPr>
          <w:rFonts w:ascii="Calibri" w:hAnsi="Calibri"/>
          <w:sz w:val="22"/>
          <w:vertAlign w:val="subscript"/>
        </w:rPr>
        <w:t>util</w:t>
      </w:r>
      <w:r>
        <w:rPr>
          <w:rFonts w:ascii="Calibri" w:hAnsi="Calibri"/>
          <w:sz w:val="22"/>
        </w:rPr>
        <w:t>apgabals, ko uzskata par atbilstošu HE 0. 4.6. iedaļai.”</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A pielikumā termina “galīgā enerģija” definīcijā frāzi “Tas ir tas, ko patērētāji iegādājas elektroenerģijas vai kurināmā veidā, ko tieši izmanto” aizstāj ar “Tas ir tas, kas tiek piegādāts ēku sistēmām pakalpojumu sniegšanai; to parasti piegādā ar kurināmo, ražošanu uz vietas vai īpašiem tīkliem (elektrība, gāze, centralizētā siltumapgāde vai dzesēšana utt.)”.</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tt) A pielikuma terminoloģijā “Nosacīta dzīvojamā telpa” definīcijā terminam “privātu dzīvojamo telpu izmantošana” jābūt kursīvā.</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A pielikuma terminoloģijā “lietošanas periods” definīcijā termins “lietošana privātām vajadzībām” otrajā daļā ir jāieraksta kursīvā.</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A pielikuma termina “termiskā caurlaidība (U)” definīcijas beigās pievieno šādu teikumu:</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“Izteikts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A pielikuma definīcijā “Iekārtas energoefektivitātes vērtība (VEEI)” terminam “privātās dzīvojamās telpās” jābūt kursīvā.</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A pielikumā “Terminoloģija” ir iekļauti šādi termini:</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Palīgiekārtas</w:t>
      </w:r>
      <w:r>
        <w:rPr>
          <w:rFonts w:ascii="Calibri" w:hAnsi="Calibri"/>
          <w:b/>
          <w:sz w:val="22"/>
        </w:rPr>
        <w:t xml:space="preserve">: </w:t>
      </w:r>
      <w:r>
        <w:rPr>
          <w:rFonts w:ascii="Calibri" w:hAnsi="Calibri"/>
          <w:sz w:val="22"/>
        </w:rPr>
        <w:t>elektriskās vai elektroniskās iekārtas, kas saistītas ar gaismu, atšķiras katra tipa gaismai, kuru funkcija ir aizdegšanās un darbības apstākļu kontrole. Šo palīgiekārtu, ja vien tā nav elektroniska, veido startera, balasta un kondensatora kombinācija.</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Uzlādes stacija</w:t>
      </w:r>
      <w:r>
        <w:rPr>
          <w:rFonts w:ascii="Calibri" w:hAnsi="Calibri"/>
          <w:b/>
          <w:sz w:val="22"/>
        </w:rPr>
        <w:t xml:space="preserve">: </w:t>
      </w:r>
      <w:r>
        <w:rPr>
          <w:rFonts w:ascii="Calibri" w:hAnsi="Calibri"/>
          <w:sz w:val="22"/>
        </w:rPr>
        <w:t xml:space="preserve">elementu komplekts, kas nepieciešams, lai savienotu  elektrisko transportlīdzekli ar stacionāro elektroinstalāciju, kas nepieciešama uzlādei. </w:t>
      </w:r>
      <w:r>
        <w:rPr>
          <w:rFonts w:ascii="Calibri" w:hAnsi="Calibri"/>
          <w:i/>
          <w:sz w:val="22"/>
        </w:rPr>
        <w:t>Uzlādes stacijas</w:t>
      </w:r>
      <w:r>
        <w:rPr>
          <w:rFonts w:ascii="Calibri" w:hAnsi="Calibri"/>
          <w:sz w:val="22"/>
        </w:rPr>
        <w:t xml:space="preserve"> klasificē kā:</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Vienots uzlādes punkts, kas sastāv no nepieciešamās aizsardzības, vienas vai vairākām kontaktligzdām, kas nav raksturīgas </w:t>
      </w:r>
      <w:r>
        <w:rPr>
          <w:rFonts w:ascii="Calibri" w:hAnsi="Calibri"/>
          <w:i/>
          <w:sz w:val="22"/>
        </w:rPr>
        <w:t>elektriskajam transportlīdzeklim</w:t>
      </w:r>
      <w:r>
        <w:rPr>
          <w:rFonts w:ascii="Calibri" w:hAnsi="Calibri"/>
          <w:sz w:val="22"/>
        </w:rPr>
        <w:t>, un attiecīgā gadījumā apvalkam.</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SAVE </w:t>
      </w:r>
      <w:r>
        <w:rPr>
          <w:rFonts w:ascii="Calibri" w:hAnsi="Calibri"/>
          <w:i/>
          <w:sz w:val="22"/>
        </w:rPr>
        <w:t>(Īpaša elektrotransportlīdzekļu barošanas sistēma)</w:t>
      </w:r>
      <w:r>
        <w:rPr>
          <w:rFonts w:ascii="Calibri" w:hAnsi="Calibri"/>
          <w:sz w:val="22"/>
        </w:rPr>
        <w:t xml:space="preserve"> tipa uzlādes punkts.”</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Elektrisko transportlīdzekļu uzlādes infrastruktūra</w:t>
      </w:r>
      <w:r>
        <w:rPr>
          <w:rFonts w:ascii="Calibri" w:hAnsi="Calibri"/>
          <w:b/>
          <w:sz w:val="22"/>
        </w:rPr>
        <w:t xml:space="preserve">: </w:t>
      </w:r>
      <w:r>
        <w:rPr>
          <w:rFonts w:ascii="Calibri" w:hAnsi="Calibri"/>
          <w:sz w:val="22"/>
        </w:rPr>
        <w:t>tādu fizisku un loģisku ierīču komplekts, kas paredzētas, lai uzlādētu elektriskos transportlīdzekļus, atbilst drošības un pieejamības prasībām, kuras katram gadījumam paredzētas Zemsprieguma elektrotehniskajos noteikumos, kas spēj nodrošināt pilnīgu un visaptverošu uzlādes pakalpojumu. Tas ietver uzlādes stacijas, vadības sistēmu, elektriskos cauruļvadus, elektriskās vadības un aizsardzības paneļus un mērīšanas iekārtas, ja tās paredzētas tikai elektrisko transportlīdzekļu uzlādei.”</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 xml:space="preserve">“Specifiskā elektrotransportlīdzekļu energosistēma (SAVE): iekārtu komplekts, kas samontēts, lai piegādātu elektroenerģiju, lai uzlādētu elektrisko transportlīdzekli, ieskaitot uzlādes stacijas aizsardzību, savienojuma kabeli (ar fāzi, neitrāliem un aizsardzības vadītājiem) kontaktligzdas pamatni vai savienotāju un, attiecīgā gadījumā, mainīgu nepārtraukto pārveidotāju. Šī sistēma vajadzības gadījumā nodrošina saziņu starp </w:t>
      </w:r>
      <w:r>
        <w:rPr>
          <w:rFonts w:ascii="Calibri" w:hAnsi="Calibri"/>
          <w:i/>
          <w:sz w:val="22"/>
        </w:rPr>
        <w:t>elektrisko transportlīdzekli</w:t>
      </w:r>
      <w:r>
        <w:rPr>
          <w:rFonts w:ascii="Calibri" w:hAnsi="Calibri"/>
          <w:sz w:val="22"/>
        </w:rPr>
        <w:t xml:space="preserve"> un stacionāro uzstādīšanu.”</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Privāts dzīvojamo ēku lietojums</w:t>
      </w:r>
      <w:r>
        <w:rPr>
          <w:rFonts w:ascii="Calibri" w:hAnsi="Calibri"/>
          <w:sz w:val="22"/>
        </w:rPr>
        <w:t>: Ēka vai teritorija, kas paredzēta pastāvīgai dzīvesvietai, neatkarīgi no ēkas veida: savrupmājas, daudzdzīvokļu ēkas u. c., gan valsts, gan privātai attīstībai.”</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Elektriskie transportlīdzekļi</w:t>
      </w:r>
      <w:r>
        <w:rPr>
          <w:rFonts w:ascii="Calibri" w:hAnsi="Calibri"/>
          <w:sz w:val="22"/>
        </w:rPr>
        <w:t>: mehāniskais transportlīdzeklis aprīkots ar vilces grupu ar vismaz vienu neperifēru elektromehānismu, kas darbojas kā enerģijas pārveidotājs, un ir aprīkots ar atkārtoti uzlādējamu elektroenerģijas akumulēšanas sistēmu, ko var uzlādēt no ārpuses.”</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C pielikumā terminam “siltuma apvalks” nosaukumā un terminam “neapdzīvojamas telpas” 1. punkta a) apakšpunktā jābūt slīprakstā.</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lastRenderedPageBreak/>
        <w:t xml:space="preserve">zz) D pielikumā termini “Darbības nosacījumi”, “izmantošanas profili” un “izmantošana privātām mājām” nosaukumā jānorāda kursīvā, 2. punktā un tabulās a tabulas D pielikums, b tabulas D pielikums un c tabulas D pielikums.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D pielikuma punktā “2. </w:t>
      </w:r>
      <w:r>
        <w:rPr>
          <w:rFonts w:ascii="Calibri" w:hAnsi="Calibri"/>
          <w:i/>
          <w:sz w:val="22"/>
        </w:rPr>
        <w:t>Ekspluatācijas apstākļi</w:t>
      </w:r>
      <w:r>
        <w:rPr>
          <w:rFonts w:ascii="Calibri" w:hAnsi="Calibri"/>
          <w:sz w:val="22"/>
        </w:rPr>
        <w:t xml:space="preserve"> un </w:t>
      </w:r>
      <w:r>
        <w:rPr>
          <w:rFonts w:ascii="Calibri" w:hAnsi="Calibri"/>
          <w:i/>
          <w:sz w:val="22"/>
        </w:rPr>
        <w:t>lietošanas profils</w:t>
      </w:r>
      <w:r>
        <w:rPr>
          <w:rFonts w:ascii="Calibri" w:hAnsi="Calibri"/>
          <w:sz w:val="22"/>
        </w:rPr>
        <w:t xml:space="preserve">...’ ir jānumurē ‘3 </w:t>
      </w:r>
      <w:r>
        <w:rPr>
          <w:rFonts w:ascii="Calibri" w:hAnsi="Calibri"/>
          <w:i/>
          <w:sz w:val="22"/>
        </w:rPr>
        <w:t>Ekspluatācijas apstākļi</w:t>
      </w:r>
      <w:r>
        <w:rPr>
          <w:rFonts w:ascii="Calibri" w:hAnsi="Calibri"/>
          <w:sz w:val="22"/>
        </w:rPr>
        <w:t xml:space="preserve"> un </w:t>
      </w:r>
      <w:r>
        <w:rPr>
          <w:rFonts w:ascii="Calibri" w:hAnsi="Calibri"/>
          <w:i/>
          <w:sz w:val="22"/>
        </w:rPr>
        <w:t>lietošanas profils</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D pielikuma 4. punktā tekstu “Atzīts dokuments” aizstāj ar “Ēku energosertifikācijai apstiprināts dokuments”.</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E pielikumā terminam “privāta izmantošana mājokļos” 1. iedaļā jābūt slīprakstā.</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F pielikuma terminam “privātai izmantošanai mājokļos” jābūt kursīvā gan 1. iedaļā, gan a tabulas F pielikumā.</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H pielikumā pēc iedaļas nosaukuma jāievieto šāds teksts: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r>
        <w:rPr>
          <w:rFonts w:ascii="Calibri" w:hAnsi="Calibri"/>
          <w:i/>
          <w:sz w:val="22"/>
        </w:rPr>
        <w:t>Gaisa caurlaidības</w:t>
      </w:r>
      <w:r>
        <w:rPr>
          <w:rFonts w:ascii="Calibri" w:hAnsi="Calibri"/>
          <w:sz w:val="22"/>
        </w:rPr>
        <w:t xml:space="preserve"> noteikšana ēkā jāveic ar vienu no šādām metodēm.”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H pielikumā formulējums “Gaisa izmaiņu attiecības vērtību pie 50 Pa, n50 var iegūt, pārbaudot saskaņā ar UNE-EN 13829:2002 Gaisa necaurlaidības noteikšana ēkās B metodi. Spiediena noteikšanas metodi ar ventilatoru." aizstāj ar šādu: “Gaisa maiņas koeficienta vērtību pie 50 Pa, n50, izmantojot testēšanu, iegūst, izmantojot UNE-EN ISO 9972 1. vai 2. metodi: 2019 </w:t>
      </w:r>
      <w:r>
        <w:rPr>
          <w:rFonts w:ascii="Calibri" w:hAnsi="Calibri"/>
          <w:i/>
          <w:sz w:val="22"/>
        </w:rPr>
        <w:t>Ēku termiskais sniegums. Ēku gaisa caurlaidības noteikšana. Ventilatora spiediena noteikšanas metode.”.</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H iedaļas 2. iedaļā ir formulēts šādi: “... 2. Gaisa izmaiņu attiecības vērtību pie 50 Pa, n50, var aprēķināt, izmantojot šādu vienādojumu:" tā jālasa: “... 1. Gaisa izmaiņu attiecības vērtību pie 50 Pa, n50 ar atsauces vērtībām iegūst, izmantojot šādu izteiksmi:" kur tā ir: “N 50 = 0,629· (Co· A o + C· A h)/V” ir šāds: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kur tas ir šāds: “V ir siltuma apvalka iekšējais tilpums [m</w:t>
      </w:r>
      <w:r>
        <w:rPr>
          <w:rFonts w:ascii="Calibri" w:hAnsi="Calibri"/>
          <w:sz w:val="22"/>
          <w:vertAlign w:val="superscript"/>
        </w:rPr>
        <w:t>3</w:t>
      </w:r>
      <w:r>
        <w:rPr>
          <w:rFonts w:ascii="Calibri" w:hAnsi="Calibri"/>
          <w:sz w:val="22"/>
        </w:rPr>
        <w:t xml:space="preserve">]” ir šāds: “Vint ir siltuma apvalka iekšējais gaisa tilpums, in [m 3]”, un kur tas ir šāds: “Ao ir termiskā apvalka necaurspīdīgās daļas virsma [m2]”; tā ir jālasa šādi: “Ao ir virsmas necaurspīdīgā daļa no siltuma apvalka saskarē ar āra gaisu, pie [m 2]”.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H pielikumā terminiem “siltuma apvalks” un “caurumi” jābūt kursīvā, aprakstot terminus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a tabulas H pielikumā.</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Ceturtais punkts.</w:t>
      </w:r>
      <w:r>
        <w:rPr>
          <w:rFonts w:ascii="Calibri" w:hAnsi="Calibri"/>
          <w:b/>
          <w:sz w:val="22"/>
        </w:rPr>
        <w:t xml:space="preserve"> </w:t>
      </w:r>
      <w:r>
        <w:rPr>
          <w:rFonts w:ascii="Calibri" w:hAnsi="Calibri"/>
          <w:sz w:val="22"/>
        </w:rPr>
        <w:t xml:space="preserve">Pamatdokumentā DB-SUA “Lietošanas drošība un pieejamība”, kas iekļauts Būvniecības tehniskā kodeksa II daļā, ir ieviestas šādas modifikācijas: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 pielikumā “Pieejamas stāvvietas” definīcija ietver defisi ar šādu tekstu:</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Ja </w:t>
      </w:r>
      <w:r>
        <w:rPr>
          <w:rFonts w:ascii="Calibri" w:hAnsi="Calibri"/>
          <w:i/>
          <w:sz w:val="22"/>
        </w:rPr>
        <w:t>pieejamā autostāvvieta</w:t>
      </w:r>
      <w:r>
        <w:rPr>
          <w:rFonts w:ascii="Calibri" w:hAnsi="Calibri"/>
          <w:sz w:val="22"/>
        </w:rPr>
        <w:t xml:space="preserve"> ir elektrotransportlīdzekļu uzlādes stacija, </w:t>
      </w:r>
      <w:r>
        <w:rPr>
          <w:rFonts w:ascii="Calibri" w:hAnsi="Calibri"/>
          <w:i/>
          <w:sz w:val="22"/>
        </w:rPr>
        <w:t>pieejamais maršruts</w:t>
      </w:r>
      <w:r>
        <w:rPr>
          <w:rFonts w:ascii="Calibri" w:hAnsi="Calibri"/>
          <w:sz w:val="22"/>
        </w:rPr>
        <w:t xml:space="preserve"> ietver arī šo uzlādes staciju. Šo uzlādes staciju elektroenerģijas izvadiem un savienotājiem jābūt hromatiski kontrastētiem ar vidi, novietotiem 80 līdz 120 cm augstumā, un attālumam no stūriem jābūt vismaz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Piektais punkts. Pamatdokumentā DB-HS “Veselība”, kas iekļauts II daļā, ir ieviesti šādi grozījumi: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HS 4. iedaļas 3.2.2.1. iedaļas 2. punktā teikumu “saules enerģijas minimālais ieguldījums mājsaimniecības karstā ūdens ražošanā” aizstāj ar teikumu “atjaunojamās enerģijas minimālais ieguldījums mājsaimniecības karstā ūdens pieprasījuma apmierināšanā”.</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HS 4. iedaļas 6.2. iedaļā burtu "e) hlorēta (PVC-C) polivinilhlorīda caurules saskaņā ar UNE-EN ISO 15874–1:2013, UNE-EN ISO 15874–2:2013 un UNE-EN ISO 15874–3:2013;" aizstāj ar burtu "e) polihlorīta vinilhlorīda (PVC-C) caurules saskaņā ar UNE-EN ISO 15877–1:2009 (+UNE-EN ISO 15877–1:2009/A1): 2011), UNE-EN ISO 15877–</w:t>
      </w:r>
      <w:r>
        <w:rPr>
          <w:rFonts w:ascii="Calibri" w:hAnsi="Calibri"/>
          <w:sz w:val="22"/>
        </w:rPr>
        <w:lastRenderedPageBreak/>
        <w:t>2:2009 (+UNE-EN ISO 15877–2:2009/A1: 2011) un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HS 4. iedaļas 6.2. iedaļā burtu “h) polibutilēna caurules (PB) saskaņā ar UNE-EN ISO 15876–1:2017, UNE-EN ISO 15876–2:2017 un UNE-EN ISO 15876–3:2017;” aizstāj ar burtu “h) polibutilēna caurules (PB) saskaņā ar UNE-EN ISO 15876–1:2017, UNE-EN ISO 15876–2:2017 un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w:t>
      </w:r>
      <w:r>
        <w:rPr>
          <w:rFonts w:ascii="Calibri" w:hAnsi="Calibri"/>
          <w:b/>
          <w:sz w:val="22"/>
        </w:rPr>
        <w:t xml:space="preserve"> </w:t>
      </w:r>
      <w:r>
        <w:rPr>
          <w:rFonts w:ascii="Calibri" w:hAnsi="Calibri"/>
          <w:sz w:val="22"/>
        </w:rPr>
        <w:t>HS 4. iedaļā, C pielikumā, kur tie ir šādi: “Plastmasas cauruļvadu sistēmas karstā un aukstā ūdens apgādei. Polibutilēns (PB). 1. daļa. Vispārīgi" jālasa šādi: “Plastmasas cauruļvadu sistēmas karstā un aukstā ūdens apgādei. Polibutēns (PB). 1. daļa. Vispārīgi</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w:t>
      </w:r>
      <w:r>
        <w:rPr>
          <w:rFonts w:ascii="Calibri" w:hAnsi="Calibri"/>
          <w:b/>
          <w:sz w:val="22"/>
        </w:rPr>
        <w:t xml:space="preserve"> </w:t>
      </w:r>
      <w:r>
        <w:rPr>
          <w:rFonts w:ascii="Calibri" w:hAnsi="Calibri"/>
          <w:sz w:val="22"/>
        </w:rPr>
        <w:t>HS 4. iedaļā, C pielikumā, kur tie ir šādi: “Plastmasas cauruļvadu sistēmas karstā un aukstā ūdens apgādei. Polibutilēns (PB). 2. daļa. Caurules" tas jālasa: “Plastmasas cauruļvadu sistēmas karstā un aukstā ūdens apgādei. Polibutēns (PB). 2. daļa. Caurules.</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w:t>
      </w:r>
      <w:r>
        <w:rPr>
          <w:rFonts w:ascii="Calibri" w:hAnsi="Calibri"/>
          <w:b/>
          <w:sz w:val="22"/>
        </w:rPr>
        <w:t xml:space="preserve"> </w:t>
      </w:r>
      <w:r>
        <w:rPr>
          <w:rFonts w:ascii="Calibri" w:hAnsi="Calibri"/>
          <w:sz w:val="22"/>
        </w:rPr>
        <w:t>HS 4. iedaļā, C pielikumā, kur tie ir šādi: “Plastmasas cauruļvadu sistēmas karstā un aukstā ūdens apgādei. Polibutilēns (PB). 3. daļa. Veidgabali" jālasa: “Plastmasas cauruļvadu sistēmas karstā un aukstā ūdens apgādei. Polibutēns (PB). 3. daļa. Veidgabali.</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HS 4. iedaļas C pielikumā aiz atsauces uz standartu “UNE-EN ISO 15876-3” jāiekļauj: 2017</w:t>
      </w:r>
      <w:r>
        <w:rPr>
          <w:rFonts w:ascii="Calibri" w:hAnsi="Calibri"/>
          <w:sz w:val="22"/>
        </w:rPr>
        <w:tab/>
        <w:t>Plastmasas cauruļvadu sistēmas karstā un aukstā ūdens apgādei. Polibutēns (PB). 3. daļa. Veidgabali" atbilst šādiem standartiem:</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Plastmasas cauruļvadu sistēmas karstā un aukstā ūdens iekārtām. Hlorēts poli(vinilhlorīds) (PVH-C). 1. daļa. Vispārīgi noteikumi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Plastmasas cauruļvadu sistēmas karstā un aukstā ūdens iekārtām. Hlorēts poli(vinilhlorīds) (PVH-C). 2. daļa. Caurules.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Plastmasas cauruļvadu sistēmas karstā un aukstā ūdens iekārtām. Hlorēts poli(vinilhlorīds) (PVH-C). 3. daļa. Veidgabali.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Pirmais pārejas noteikums. </w:t>
      </w:r>
      <w:r>
        <w:rPr>
          <w:rFonts w:ascii="Calibri" w:hAnsi="Calibri"/>
          <w:i/>
          <w:sz w:val="22"/>
        </w:rPr>
        <w:t>Ēkas, uz kurām neattiecas šī Karaļa dekrēta noteikumi.</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Ar šo Karaļa dekrētu pieņemtie Būvniecības tehniskā kodeksa (CTE) grozījumi neattiecas uz jaunām ēkām vai esošo ēku darbiem, kas abos gadījumos jau ir pieprasījuši pašvaldības būvatļauju brīdī, kad šis Karaļa dekrēts stājas spēkā.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Šādi darbi sākas minētās atļaujas maksimālajā efektivitātes periodā saskaņā ar tās reglamentējošiem noteikumiem vai, ja tādas nav, sešu mēnešu laikā pēc minētās atļaujas piešķiršanas. Pretējā gadījumā projekti jāpielāgo CTE grozījumiem, kas apstiprināti ar šo Karaļa dekrētu.</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Otrais pārejas noteikums. </w:t>
      </w:r>
      <w:r>
        <w:rPr>
          <w:rFonts w:ascii="Calibri" w:hAnsi="Calibri"/>
          <w:i/>
          <w:sz w:val="22"/>
        </w:rPr>
        <w:t>Ēkas, kurām šā Karaļa dekrēta noteikumu piemērošana ir brīvprātīga.</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Ar šo Karaļa dekrētu apstiprinātie Būvniecības tehniskā kodeksa grozījumi brīvprātīgi attiecas uz jauniem būvdarbiem un esošo ēku būvdarbiem, kuriem abos gadījumos sešu mēnešu laikā pēc šā Karaļa dekrēta stāšanās spēkā tiek pieprasīta pašvaldības būvatļauja.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Šādi darbi sākas minētās atļaujas maksimālajā efektivitātes periodā saskaņā ar tās reglamentējošiem noteikumiem vai, ja tādas nav, sešu mēnešu laikā pēc minētās atļaujas piešķiršanas. Pretējā gadījumā projekti jāpielāgo CTE grozījumiem, kas apstiprināti ar šo Karaļa dekrētu.</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lastRenderedPageBreak/>
        <w:t xml:space="preserve">Trešais pārejas noteikums. </w:t>
      </w:r>
      <w:r>
        <w:rPr>
          <w:rFonts w:ascii="Calibri" w:hAnsi="Calibri"/>
          <w:i/>
          <w:sz w:val="22"/>
        </w:rPr>
        <w:t>Ēkas, kurām šajā Karaļa dekrētā paredzētie noteikumi ir obligāti jāpiemēro.</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Ēku tehniskā kodeksa (CTE) grozījumu, kas pieņemti ar šo Karaļa dekrētu, piemērošana ir obligāta attiecībā uz jaunām ēkām vai esošo ēku darbiem, par kuriem pašvaldības būvatļauju pieprasa vēlāk nekā deviņus mēnešus pēc šā noteikuma stāšanās spēkā.</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Pirmais nobeiguma noteikums. </w:t>
      </w:r>
      <w:r>
        <w:rPr>
          <w:rFonts w:ascii="Calibri" w:hAnsi="Calibri"/>
          <w:i/>
          <w:sz w:val="22"/>
        </w:rPr>
        <w:t>Grozījumi Karaļa 12. decembra Dekrētā Nr. 1053/2014, ar ko apstiprina jaunu papildu tehnisko instrukciju (ITC) BT 52 "Īpaša lietojuma iekārtas. Elektrotransportlīdzekļu uzlādes infrastruktūra", grozīti ar Karaļa 2. augusta dekrētu Nr. 842/2002 apstiprinātie zemsprieguma elektrotehniskie noteikumi un citi papildu tehniskie norādījumi.</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Karaļa 12. decembra Dekrēts Nr. 1053/2014, ar ko apstiprina jaunu papildu tehnisko instrukciju (ITC) BT 52 "Īpaša lietojuma iekārtas. Elektrotransportlīdzekļu uzlādes infrastruktūra", grozīti ar Karaļa 2. augusta dekrētu Nr. 842/2002 apstiprinātie zemsprieguma elektrotehniskie noteikumi un citi papildu tehniskie norādījumi: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1. Pirmo papildu noteikumu groza un formulē šādi:</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“Pirmais papildu noteikums. Būvobjektu minimums elektrotransportlīdzekļu uzlādei autostāvvietās, kas nav izvietotas uz ēkām, kuras ir no jauna uzbūvētas vai uz kurām attiecas būtiska renovācija, un uz koplietošanas ceļiem.</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Jaunbūvētās autostāvvietās vai tajās, kurās veic būtiskus atjaunošanas darbus, kas neatrodas ēkā vai tai blakus un tādējādi neietilpst Ēku tehniskā kodeksa Energotaupības pamatdokumenta (DB HE) darbības jomā, jāuzstāda vismaz viena uzlādes stacija uz katrām 40 stāvvietām vai to daļām. Autostāvvietu uzskata par no jauna uzbūvētu, ja būvniecības projekts ir iesniegts kompetentai valsts pārvaldei pārstrādei pēc šā Karaļa dekrēta stāšanās spēkā.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Ir jāgarantē iekārtas, kas vajadzīgas, lai apgādātu uzlādes stacijas, kas atrodas elektrotransportlīdzekļu telpās uz koplietošanas ceļiem, kuri paredzēti pašvaldību vai pašvaldību ilgtspējīgas mobilitātes plānos.”</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2. INSTRUCCIÓN TÉCNICA COMPLEMENTARIA (ITC) BT-52 3.2. iedaļu groza šādi:</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Ierīkošana autostāvvietās vai kolektīvās stāvvietās, kas atrodas blakus ēkām vai ēku kompleksiem.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Elektroinstalācijas, lai uzlādētu </w:t>
      </w:r>
      <w:r>
        <w:rPr>
          <w:rFonts w:ascii="Calibri" w:hAnsi="Calibri"/>
          <w:color w:val="000000"/>
          <w:sz w:val="22"/>
        </w:rPr>
        <w:t>elektriskos transportlīdzekļus</w:t>
      </w:r>
      <w:r>
        <w:rPr>
          <w:rFonts w:ascii="Calibri" w:hAnsi="Calibri"/>
          <w:sz w:val="22"/>
        </w:rPr>
        <w:t>, atrodas autostāvvietās vai autoparkos, kas atrodas ēkās vai dzīvojamos īpašumos vai pie tām, atbilst jebkurai no iepriekš aprakstītajām shēmām.</w:t>
      </w:r>
      <w:r>
        <w:rPr>
          <w:rFonts w:ascii="Calibri" w:hAnsi="Calibri"/>
          <w:color w:val="000000"/>
          <w:sz w:val="22"/>
        </w:rPr>
        <w:t xml:space="preserve"> </w:t>
      </w:r>
      <w:r>
        <w:rPr>
          <w:rFonts w:ascii="Calibri" w:hAnsi="Calibri"/>
          <w:sz w:val="22"/>
        </w:rPr>
        <w:t>Vienā ēkā var izmantot dažādas shēmas, ja ir izpildītas visas šajā (ITC) BT-52 noteiktās prasības.</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4.a shēmā uzlādes ķēde atbilst (ITC) BT-15 aprakstītajiem uzstādīšanas nosacījumiem, izmantojot tāda paša veida un raksturlielumu kabeļus un vadīšanas sistēmas kā atsevišķam apvedceļam, un kabeļa daļu aprēķina saskaņā ar šā ITC 5. iedaļas vispārīgajām prasībām. Nav nepieciešams paredzēt kabeļu sekcijas pagarinājumu, lai noteiktu izmantojamās vadīšanas sistēmas diametru vai šķērsvirziena izmērus.</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4.b shēmu izmanto, ja uzlādes staciju piegāde ir elektroiekārtas, kas apkalpo garāžu vispārējos pakalpojumus, neatņemama sastāvdaļa vai paplašinājums.</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Gan esošajās, gan jaunajās iekārtās un lai atvieglotu izvēlētās elektrosistēmas izmantošanu, galdi, kuros ir vispārējā aizsardzība un citas ierīces elektrotransportlīdzekļu uzlādei, var atrasties šim nolūkam paredzētās telpās vai koplietošanas telpās.</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Elektromobiļu uzlādei autostāvvietās, kas atrodas vai ir savienotas ar ēkām vai ēku kompleksiem, ir jāatvieglo jebkuras iespējamās uzstādīšanas shēmas turpmāka izmantošana. Tas ietver šādus elementus: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 Kabeļu vadīšanas sistēmu uzstādīšana no skaitītāju centralizācijas un pie autostāvvietu galvenajiem ceļiem, lai vēlāk varētu darbināt uzlādes stacijas, kas var atrasties atsevišķās stāvvietās vai autostāvvietās. Ja </w:t>
      </w:r>
      <w:r>
        <w:rPr>
          <w:rFonts w:ascii="Calibri" w:hAnsi="Calibri"/>
          <w:sz w:val="22"/>
        </w:rPr>
        <w:lastRenderedPageBreak/>
        <w:t>priekšuzstādīšana ir plānota 100 % telpu, kabeļu vadīšanas sistēmas sasniedz katru telpu. Ja priekšuzstādīšana nav plānota 100 % telpu, nosaka telpas, kuras uzskata par atbilstīgām kabeļu vadīšanas sistēmu normatīvajiem noteikumiem, un šīs sistēmas sasniedz katru no šīm telpām.</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Skaitītāju centralizāciju veic saskaņā ar elektrisko shēmu, kas izvēlēta elektrotransportlīdzekļa uzlādei, un kā noteikts (ITC) BT-16. Rezerves moduļus uzstāda vismaz 20 % no garāžas telpām, kas nav saistītas ar mājokli, un pat tad, ja visas telpas ir saistītas ar mājokļiem, vismaz vienu rezerves moduli. Šiem rezerves moduļiem jābūt iespējai izmitināt galveno skaitītāju un ar mērītāju saistītās pārslodzes aizsardzības ierīces vai nu ar drošinātājiem, vai jaudas slēdžiem.</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Uzlādes stacijā uzstādītās kontaktligzdas vai savienotāji un to automātiskie aizsargslēdži atbilst vienai no 5.4. iedaļā minētajām iespējām.”</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3. PAPILDU TEHNISKĀS INSTRUKCIJAS (ITC) BT-52 5.4. iedaļas pirmo daļu groza šādi:</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Savienojuma punkts. </w:t>
      </w:r>
      <w:bookmarkStart w:id="26" w:name="_Hlk81468651"/>
      <w:r>
        <w:rPr>
          <w:rFonts w:ascii="Calibri" w:hAnsi="Calibri"/>
          <w:sz w:val="22"/>
        </w:rPr>
        <w:t xml:space="preserve">Pieslēgumpunktu novieto blakus piegādājamajam kvadrātam, un to pastāvīgi uzstāda kamerā.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Kontaktligzdu un savienotāju minimālais uzstādīšanas augstums ir 60 cm virs zemes. </w:t>
      </w:r>
      <w:bookmarkStart w:id="27" w:name="_Hlk81468224"/>
      <w:r>
        <w:rPr>
          <w:rFonts w:ascii="Calibri" w:hAnsi="Calibri"/>
          <w:sz w:val="22"/>
        </w:rPr>
        <w:t>Ja uzlādes stacija ir paredzēta publiskai lietošanai, maksimālais augstums ir 120 cm. Pieejamās stāvvietās kontaktligzdas un savienotāji ir ar hromatisku kontrastu ar apkārtni, atrodas 80 līdz 120 cm augstumā, un attālums līdz stūra krustojumiem ir vismaz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Otrais nobeiguma noteikums. </w:t>
      </w:r>
      <w:r>
        <w:rPr>
          <w:rFonts w:ascii="Calibri" w:hAnsi="Calibri"/>
          <w:i/>
          <w:sz w:val="22"/>
        </w:rPr>
        <w:t>Eiropas Savienības tiesību aktu transponēšana.</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Ar šo Karaļa dekrētu Spānijas tiesību aktos tiek transponēts 8.2., 8.4., 8.5. un 8.6. pants Eiropas Parlamenta un Padomes Direktīvā 2010/31/ES par ēku energoefektivitāti, kas grozīta ar Eiropas Parlamenta un Padomes Direktīvu (ES) 2018/844 (2018. gada 30. maijs), ar ko groza Direktīvu 2010/31/ES</w:t>
      </w:r>
      <w:r>
        <w:t xml:space="preserve"> </w:t>
      </w:r>
      <w:bookmarkStart w:id="28" w:name="_Hlk92814279"/>
      <w:r>
        <w:rPr>
          <w:rFonts w:ascii="Calibri" w:hAnsi="Calibri"/>
          <w:sz w:val="22"/>
        </w:rPr>
        <w:t>par ēku energoefektivitāti</w:t>
      </w:r>
      <w:bookmarkEnd w:id="28"/>
      <w:r>
        <w:t xml:space="preserve"> </w:t>
      </w:r>
      <w:r>
        <w:rPr>
          <w:rFonts w:ascii="Calibri" w:hAnsi="Calibri"/>
          <w:sz w:val="22"/>
        </w:rPr>
        <w:t>un Direktīvu 2012/27/ES par energoefektivitāti.</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Trešais nobeiguma noteikums. </w:t>
      </w:r>
      <w:r>
        <w:rPr>
          <w:rFonts w:ascii="Calibri" w:hAnsi="Calibri"/>
          <w:i/>
          <w:sz w:val="22"/>
        </w:rPr>
        <w:t>Stāšanās spēkā</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Šis Karaļa dekrēts stājas spēkā nākamajā dienā pēc tā publicēšanas valsts oficiālajā laikrakstā (“Boletín Oficial del Estado”).</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JĀIESNIEDZ MINISTRU PADOMEI</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Madride, 2022. gada</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TRANSPORTA, MOBILITĀTES UN PILSĒTPROGRAMMAS MINISTRS</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VALDĪBAS PREMJERMINISTRA TREŠAIS VIETNIEKS UN EKOLOĢISKĀS PĀREJAS UN DEMOGRĀFISKO PROBLĒMU MINISTRS</w:t>
            </w:r>
          </w:p>
          <w:p w14:paraId="2B70C78B" w14:textId="77777777" w:rsidR="001F7365" w:rsidRPr="0090212B" w:rsidRDefault="001F7365" w:rsidP="000D4A40">
            <w:pPr>
              <w:autoSpaceDE w:val="0"/>
              <w:autoSpaceDN w:val="0"/>
              <w:adjustRightInd w:val="0"/>
              <w:rPr>
                <w:rFonts w:asciiTheme="minorHAnsi" w:hAnsiTheme="minorHAnsi" w:cstheme="minorHAnsi"/>
                <w:sz w:val="22"/>
                <w:szCs w:val="22"/>
              </w:rPr>
            </w:pPr>
          </w:p>
          <w:p w14:paraId="20A3F7D7" w14:textId="77777777" w:rsidR="001F7365" w:rsidRPr="0090212B" w:rsidRDefault="001F7365" w:rsidP="000D4A40">
            <w:pPr>
              <w:autoSpaceDE w:val="0"/>
              <w:autoSpaceDN w:val="0"/>
              <w:adjustRightInd w:val="0"/>
              <w:rPr>
                <w:rFonts w:asciiTheme="minorHAnsi" w:hAnsiTheme="minorHAnsi" w:cstheme="minorHAnsi"/>
                <w:sz w:val="22"/>
                <w:szCs w:val="22"/>
              </w:rPr>
            </w:pPr>
          </w:p>
          <w:p w14:paraId="4D67AC80" w14:textId="77777777" w:rsidR="001F7365" w:rsidRPr="0090212B" w:rsidRDefault="001F7365" w:rsidP="000D4A40">
            <w:pPr>
              <w:autoSpaceDE w:val="0"/>
              <w:autoSpaceDN w:val="0"/>
              <w:adjustRightInd w:val="0"/>
              <w:rPr>
                <w:rFonts w:asciiTheme="minorHAnsi" w:hAnsiTheme="minorHAnsi" w:cstheme="minorHAnsi"/>
                <w:sz w:val="22"/>
                <w:szCs w:val="22"/>
              </w:rPr>
            </w:pPr>
          </w:p>
          <w:p w14:paraId="5C180639" w14:textId="77777777" w:rsidR="001F7365" w:rsidRPr="0090212B" w:rsidRDefault="001F7365" w:rsidP="000D4A40">
            <w:pPr>
              <w:autoSpaceDE w:val="0"/>
              <w:autoSpaceDN w:val="0"/>
              <w:adjustRightInd w:val="0"/>
              <w:rPr>
                <w:rFonts w:asciiTheme="minorHAnsi" w:hAnsiTheme="minorHAnsi" w:cstheme="minorHAnsi"/>
                <w:sz w:val="22"/>
                <w:szCs w:val="22"/>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90212B">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B6C4" w14:textId="77777777" w:rsidR="000C089F" w:rsidRDefault="000C089F">
      <w:r>
        <w:separator/>
      </w:r>
    </w:p>
  </w:endnote>
  <w:endnote w:type="continuationSeparator" w:id="0">
    <w:p w14:paraId="23766044" w14:textId="77777777" w:rsidR="000C089F" w:rsidRDefault="000C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0AB7" w14:textId="77777777" w:rsidR="000C089F" w:rsidRDefault="000C089F">
      <w:r>
        <w:separator/>
      </w:r>
    </w:p>
  </w:footnote>
  <w:footnote w:type="continuationSeparator" w:id="0">
    <w:p w14:paraId="5814163C" w14:textId="77777777" w:rsidR="000C089F" w:rsidRDefault="000C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2pt" fillcolor="window">
                <v:imagedata r:id="rId1" o:title=""/>
              </v:shape>
              <o:OLEObject Type="Embed" ProgID="Word.Picture.8" ShapeID="_x0000_i1025" DrawAspect="Content" ObjectID="_1725285016"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60pt" fillcolor="window">
                <v:imagedata r:id="rId1" o:title=""/>
              </v:shape>
              <o:OLEObject Type="Embed" ProgID="Word.Picture.8" ShapeID="_x0000_i1026" DrawAspect="Content" ObjectID="_1725285017"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TRANSPORTA,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MOBILITĀTES UN PILSĒTAS PROGRAMMAS MINISTRIJA</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EKOLOĢISKĀS PĀREJAS UN DEMOGRĀFISKO PROBLĒMU MINISTRIJA</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D344F"/>
    <w:rsid w:val="00513973"/>
    <w:rsid w:val="00546D77"/>
    <w:rsid w:val="00717198"/>
    <w:rsid w:val="007C6042"/>
    <w:rsid w:val="008577E8"/>
    <w:rsid w:val="008D3E08"/>
    <w:rsid w:val="0090212B"/>
    <w:rsid w:val="00991C0F"/>
    <w:rsid w:val="009B305A"/>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lv-LV"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BLANCA.dot</Template>
  <TotalTime>2</TotalTime>
  <Pages>15</Pages>
  <Words>5873</Words>
  <Characters>39351</Characters>
  <Application>Microsoft Office Word</Application>
  <DocSecurity>0</DocSecurity>
  <Lines>327</Lines>
  <Paragraphs>90</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
  <dc:description/>
  <cp:lastModifiedBy>Dimitris Dimitriadis</cp:lastModifiedBy>
  <cp:revision>5</cp:revision>
  <cp:lastPrinted>2002-07-26T08:33:00Z</cp:lastPrinted>
  <dcterms:created xsi:type="dcterms:W3CDTF">2022-06-21T10:31:00Z</dcterms:created>
  <dcterms:modified xsi:type="dcterms:W3CDTF">2022-09-21T14:04:00Z</dcterms:modified>
</cp:coreProperties>
</file>