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Proponuje się Radzie Ministrów zatwierdzenie następującego projektu aktu normatywnego:</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Projekt dekretu królewskiego zmieniającego kodeks techniczno-budowlany, zatwierdzony dekretem królewskim nr 314/2006 z dnia 17 marca 2006 r.</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Ustawa 38/1999 z dnia 5 listopada w sprawie przepisów budowlanych definiuje kodeks techniczno-budowlany (CTE) jako ramy regulacyjne, które ustanawiają podstawowe wymagania jakościowe dla budynków i ich instalacji oraz umożliwiają zgodność z podstawowymi wymogami ustanowionymi w art. 3. Przewidziany w tej ustawie kodeks techniczno-budowlany został zatwierdzony dekretem królewskim 314/2006 z dnia 17 marca. Podstawowe dokumenty, które składają się na część II CTE, określają i, w stosownych przypadkach, określają ilościowo podstawowe wymagania określone w części I poprzez określenie docelowych poziomów skuteczności działania lub wartości granicznych lub innych parametrów. W szczególności podstawowy dokument DB-HE „Oszczędzanie energii” określa i określa ilościowo wymogi w zakresie efektywności energetycznej, które muszą spełniać nowo wybudowane budynki, a także interwencje dotyczące istniejących budynków.</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W dniu 30 maja 2018 r. przyjęto dyrektywę Parlamentu Europejskiego i Rady (UE) 2018/844 zmieniającą dyrektywę 2010/31/UE w sprawie charakterystyki energetycznej budynków i dyrektywę 2012/27/UE w sprawie efektywności energetycznej.</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Dyrektywa ta zachęca do wprowadzenia szczególnych wymogów dotyczących tworzenia infrastruktury ładowania pojazdów elektrycznych na parkingach w budynkach. Zatem zarówno sektor budownictwa, jak i sektor mobilności stanowią strategiczne obszary ogólnej dekarbonizacji gospodarki, z ramami regulacyjnymi, które mają na celu pobudzenie innowacji, zrównoważonego rozwoju i efektywności energetycznej w tych sektorach.</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Z kolei rozwój infrastruktury do inteligentnego ładowania pojazdów elektrycznych przyczyni się do poprawy zarządzania energią i elastyczności wykorzystania energii, wykorzystania odnawialnych źródeł energii i poprawy jakości powietrza, a także do poprawy charakterystyki energetycznej budynków poprzez zwiększenie poziomu ich cyfryzacji i włączenie nowych technologii w tym obszarze.</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Ze swojej strony Krajowy Zintegrowany Plan na rzecz Energii i Klimatu na lata 2021-2030 (Plan Nacional Integrado de Energía y Clima 2021-2030 - PNIEC) przedłożony Komisji Europejskiej przez Hiszpanię przewiduje promowanie mobilności elektrycznej jako środka służącego zmniejszeniu zużycia energii i emisji spalin z pojazdów poprzez dostosowanie regulacyjne i włączenie prawa Unii Europejskiej umożliwiającego rozbudowę infrastruktury ładowania </w:t>
      </w:r>
      <w:r>
        <w:rPr>
          <w:rFonts w:ascii="Calibri" w:hAnsi="Calibri"/>
          <w:sz w:val="22"/>
        </w:rPr>
        <w:lastRenderedPageBreak/>
        <w:t xml:space="preserve">pojazdów elektrycznych zgodnie z rozwojem elektryfikacji floty pojazdów, a także poprzez inne mechanizmy promocji i wsparcia.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Aby osiągnąć te cele i dokonać częściowej transpozycji dyrektywy w tym zakresie, w niniejszym dekrecie królewskim wprowadza się do kodeksu techniczno-budowlanego nowy podstawowy wymóg oszczędności energii odnoszący się do minimalnych parametrów zasilania infrastruktury ładowania pojazdów elektrycznych, który jest obecnie opracowywany w nowej sekcji HE 6 „Minimalne urządzenia infrastruktury ładowania pojazdów elektrycznych” podstawowego dokumentu BD-HE „Oszczędzanie energii”.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 drugiej strony należy zauważyć, że ustawa 7/2021 z dnia 20 maja, o zmianie klimatu i transformacji energetycznej, w art. 15 ust. 10, odsyła do CTE w kontekście tego rozporządzenia w celu ustanowienia przepisów dotyczących minimalnej infrastruktury ładowania pojazdów elektrycznych dla istniejących budynków przeznaczonych do użytku innego niż prywatny użytek mieszkalny, które posiadają parking z więcej niż dwudziestoma miejscami, wewnątrz lub na wyznaczonej przestrzeni zewnętrznej – przepisów, które powinny wejść w życie przed 1 stycznia 2023 r. Te minimalne przydziały zostały jednak ostatecznie określone w dekrecie królewskim z mocą ustawy 29/2021 z dnia 21 grudnia, w którym przyjęto pilne środki w dziedzinie energii w celu promowania mobilności elektrycznej, samozużycia i wykorzystania energii odnawialnej, i który zawiera ten wymóg w art.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W celu uzupełnienia regulacji dotyczących infrastruktury ładowania pojazdów elektrycznych zmienia się również dekret królewski 1053/2014 z 12 grudnia, zatwierdzając nowe dodatkowe wytyczne techniczne (ITC) BT 52 „Instalacje specjalnego przeznaczenia. Infrastruktura do ładowania pojazdów elektrycznych” zawarte w przepisach elektrotechnicznych dotyczących niskich napięć, zatwierdzone dekretem królewskim 842/2002 z dnia 2 sierpnia oraz zmienia się inne dodatkowe wytyczne techniczne zawarte w tych samych przepisach.</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Ponadto, jako środek promowania energii ze źródeł odnawialnych, poprawy konkurencyjności sektorów produkcyjnych i większego zaangażowania konsumentów w zarządzanie ich energią, PNIEC przewiduje rozwój konsumpcji własnej z wykorzystaniem energii odnawialnej i generacji rozproszonej w sektorze mieszkaniowym i biznesowym.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W tym względzie zatwierdzenie dekretu królewskiego 244/2019 z dnia 5 kwietnia regulującego administracyjne, techniczne i ekonomiczne warunki konsumpcji energii elektrycznej na potrzeby własne umożliwiło, między innymi, zbiorowe korzystanie z energii elektrycznej i ograniczyło procedury administracyjne dotyczące wdrażania konsumpcji na własne potrzeby. W związku z tym uznaje się, że obecne ramy prawne pozwalają na rozszerzenie zakresu stosowania podstawowego wymogu HE 5 dotyczącego minimalnej produkcji energii elektrycznej ze źródeł odnawialnych na budynki przeznaczone do użytku prywatnego oraz obniżenie progu minimalnej powierzchni budowli, do której wymóg ten ma zastosowanie w budynkach o dowolnym przeznaczeniu.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Ponadto uznaje się za konieczne wprowadzenie zmian w niektórych sekcjach dokumentów podstawowych DB-HE „Oszczędzanie energii”</w:t>
      </w:r>
      <w:bookmarkStart w:id="0" w:name="_Hlk92819359"/>
      <w:bookmarkEnd w:id="0"/>
      <w:r>
        <w:rPr>
          <w:rFonts w:ascii="Calibri" w:hAnsi="Calibri"/>
          <w:sz w:val="22"/>
        </w:rPr>
        <w:t xml:space="preserve"> i DB-HS „Zdrowie” w celu ułatwienia ich stosowania oraz szybkiej modyfikacji dokumentu podstawowego DB-SUA „Bezpieczeństwo użytkowania i dostępność” w celu uwzględnienia kryteriów dostępności stacji ładowania w dostępnych miejscach parkingowych.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Zmiana CTE związana z włączeniem nowej sekcji HE 6 „Przepisy dotyczące minimalnej infrastruktury ładowania pojazdów elektrycznych” dokumentu podstawowego DB-HE w sprawie oszczędzania energii, a także zmiana dekretu królewskiego 1053/2014 z dnia 12 grudnia, która zatwierdza nowe dodatkowe wytyczne techniczne (ITC) BT 52 zawarte w pierwszym przepisie końcowym, są częścią reform regulacyjnych przewidzianych w Planie Naprawy, Transformacji i Odporności (PRTR). W szczególności w ramach komponentu 1 PRTR dotyczącego „Planu szokowego w zakresie zrównoważonej, bezpiecznej i połączonej mobilności w środowisku miejskim i metropolitalnym” przyjęto dekret królewski wdrażający wyżej wymienione reformy regulacyjne w ramach reformy C1.R1 zwanej „Planem wprowadzania infrastruktury do ładowania oraz promowania pojazdów elektrycznych”.  Reforma C1.R1 została </w:t>
      </w:r>
      <w:r>
        <w:rPr>
          <w:rFonts w:ascii="Calibri" w:hAnsi="Calibri"/>
          <w:sz w:val="22"/>
        </w:rPr>
        <w:lastRenderedPageBreak/>
        <w:t xml:space="preserve">zaprojektowana jako ramy ustawowe, regulacyjne i strategiczne, aby ułatwić rozwój infrastruktury ładowania w celu promowania pojazdów elektrycznych w Hiszpanii i ma dwa etapy kluczowe. Pierwszy z nich został określony przez rozporządzenie TMA/178/2020 z dnia 19 lutego zmieniające zarządzenie z dnia 16 grudnia 1997 r., które reguluje dostęp do dróg państwowych, dróg serwisowych i budowy obiektów usługowych, oraz dekret królewski z mocą ustawy 23/2020 z dnia 23 czerwca, który zatwierdza środki w dziedzinie energetyki i innych obszarów reaktywacji gospodarki. Drugi kluczowy etap reformy C1.R1. obejmuje zatwierdzenie niniejszego dekretu królewskiego zmieniającego kodeks techniczno-budowlany oraz dekret królewski 1053/2014 z dnia 12 grudnia zatwierdzający nowe dodatkowe wytyczne techniczne (ITC) BT 52.  Kamieniem milowym dla tej reformy jest wejście w życie przed dniem 30 czerwca 2022 r. dekretu królewskiego regulującego tę reformę. Reforma C1.R1. jest powiązana z inwestycją C1.I2 „Program zachęt do montażu punktów ładowania, zakupu pojazdów elektrycznych i pojazdów zasilanych ogniwami paliwowymi oraz innowacji w zakresie elektromobilności, ładowania i ekologicznego wodoru”. Inwestycja ta obejmuje linie pomocy dla montażu stacji ładowania określone w dekrecie królewskim 266/2021 z dnia 13 kwietnia, zatwierdzającym bezpośrednie przyznanie pomocy wspólnotom autonomicznym oraz miastom Ceuta i Melilla na realizację programów motywacyjnych związanych z mobilnością elektryczną (MOVES III) w ramach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Ten dekret królewski respektuje zasadę „nie czyń poważnych szkód” (Do No Significant Harm - DNSH) oraz warunki oznakowania klimatycznego i cyfrowego, zgodnie z postanowieniami PRTR, Rozporządzeniem Parlamentu Europejskiego i Rady (UE) z dnia 12 lutego 2021 roku ustanawiającym Mechanizm na rzecz Odbudowy i Zwiększania Odporności oraz jego przepisami wykonawczymi, w szczególności z komunikatem Komisji dotyczącym wytycznych technicznych w sprawie stosowania zasady „nie czyń poważnych szkód” na mocy rozporządzenia w sprawie Mechanizmu Odbudowy i Zwiększenia Odporności, a także z wymogami decyzji wykonawczej Rady w sprawie zatwierdzenia oceny hiszpańskiego planu odbudowy, transformacji i zwiększenia odporności. Obejmuje to przestrzeganie szczegółowych warunków przewidzianych w komponencie 1, a także w reformie 1, w której ujęty jest ten dekret królewski, zarówno w odniesieniu do zasady DNSH, jak i w odniesieniu do oznakowania klimatycznego i cyfrowego, a w szczególności warunków określonych w sekcjach 3, 6 i 8 dokumentu dotyczącego komponentów PRTR. Inwestycje PRTR C1.I2, związane z reformą C1.R1, są również zgodne z zasadą „nie czyń poważnych szkód” dla środowiska oraz warunkami oznakowania klimatycznego i cyfrowego.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Dekret królewski jest zgodny z zasadami konieczności, efektywności, proporcjonalności, pewności prawa, przejrzystości i skuteczności określonymi w art. 129 ustawy 39/2015 z dnia 1 października o powszechnym postępowaniu administracyjnym organów administracji publicznej. W odniesieniu do zasad konieczności i skuteczności prawo odpowiada na obowiązek transpozycji dyrektyw europejskich do prawa krajowego i jest zgodny z celami interesu ogólnego, takimi jak dostosowanie infrastruktury budowlanej do promowania zrównoważonej mobilności i wykorzystania energii odnawialnej. Przyczyni się to do dobrobytu społeczeństwa i ochrony środowiska. Dekret królewski jest również zgodny z zasadą proporcjonalności, ponieważ zapewnia niezbędne i wystarczające środki do wykonania mandatu prawnego przewidzianego w dyrektywie, ale nie wymaga innowacji, która może być zbędna lub wykracza poza wymogi prawne, ani nie pociąga za sobą ograniczenia praw obywateli. Rozporządzenie to jest zgodne z zasadą pewności prawa, ponieważ zostało opracowane zgodnie z procedurami określonymi w ustawie rządowej nr 50/1997 z dnia 27 listopada 1997 r. oraz z zasadą transparentności, ponieważ jasno określa jego cel, a jego publicznie dostępne uzasadnienie w pełni wyjaśnia jego treść. Ponadto jest on zgodny z zasadą efektywności, ponieważ nie nakłada żadnych obciążeń administracyjnych.</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Ten ogólny przepis został poddany rządowym procedurom wcześniejszych konsultacji publicznych i wysłuchania publicznego oraz informacji, ustanowionych w art. 26 ustawy 50/1997 z dnia 27 listopada, a także procedurze informacyjnej w zakresie przepisów technicznych i zasad dotyczących usług społeczeństwa informacyjnego, przewidzianej w dyrektywie Parlamentu Europejskiego i Rady (UE) 2015/1535 z dnia 9 września 2015 r. oraz w dekrecie królewskim 1337/1999 z dnia 31 lipca 1999 r.</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W związku z tym, na wniosek Ministra Transportu, Mobilności i Urbanizacji oraz Ministra ds. Zmian Klimatu i Wyzwań Demograficznych, w porozumieniu z Radą Stanu i w następstwie obrad Rady Ministrów na posiedzeniu dniu</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POSTANAWIA SIĘ, CO NASTĘPUJE: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Jedyny Artykuł. </w:t>
      </w:r>
      <w:r>
        <w:rPr>
          <w:rFonts w:ascii="Calibri" w:hAnsi="Calibri"/>
          <w:i/>
          <w:sz w:val="22"/>
        </w:rPr>
        <w:t>Zmiana kodeksu techniczno-budowlanego (Código Técnico de la Edificación, CTE) zatwierdzona dekretem królewskim nr 314/2006 z dnia 17 marca 2006 r.</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W kodeksie techniczno-budowlanym (CTE) zatwierdzonym dekretem królewskim 314/2006 z dnia 17 marca wprowadza się następujące zmiany:</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Jeden. W indeksie w części I wprowadza się następujące zmiany:</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Wyrażenie „15.6. Wymóg podstawowy HE 5: Minimalna produkcja energii elektrycznej" otrzymuje następujące brzmienie:</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Wymóg podstawowy HE 5: Minimalna produkcja energii elektrycznej ze źródeł odnawialnych”</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 odniesieniu do art. 15 dodaje się punkt w brzmieniu:</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Wymóg podstawowy HE 6: Minimalne urządzenia infrastruktury ładowania pojazdów elektrycznych.</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Dwa. W części I art. 15 wprowadza się następujące zmiany:</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Pkt 15.6 otrzymuje następujące brzmienie:</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Wymóg podstawowy HE 5: Minimalna produkcja energii elektrycznej ze źródeł odnawialnych.</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Budynki mają posiadać systemy wytwarzania energii elektrycznej ze źródeł odnawialnych na własny użytek lub w celu zaopatrywania sieci.”</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Dodaje się nowy pkt 15.7 w brzmieniu:</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Wymóg podstawowy HE 6: Minimalne urządzenia infrastruktury ładowania pojazdów elektrycznych.</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Budynki muszą posiadać minimalną infrastrukturę umożliwiającą ładowanie pojazdów elektrycznych”.</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Trzy. W dokumencie podstawowym DB-HE „Oszczędzanie energii” zawartym w części II wprowadza się następujące zmiany:</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W pierwszym akapicie sekcji I „Przedmiot” „Wprowadzenia”, w zdaniu „Sekcje niniejszego DB odpowiadają podstawowym wymaganiom HE 0 a do HE 5”, zamiast „HE 5”, powinno pojawić się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W sekcji I „Przedmiot” „Wprowadzenia” odniesienie do art. 15.6 części I CTE otrzymuje brzmienie:</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Wymóg podstawowy HE 5: Minimalna produkcja energii elektrycznej ze źródeł odnawialnych.</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Budynki muszą posiadać systemy wytwarzania energii elektrycznej ze źródeł odnawialnych na własny użytek lub w celu zaopatrywania sieci.”</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W sekcji I „Przedmiot” „Wprowadzenia” dodaje się dodatkowy punkt w odniesieniu do art. 15 części I CTE na końcu CTE, w brzmieniu:</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Wymóg podstawowy HE 6: Minimalne urządzenia infrastruktury ładowania pojazdów elektrycznych.</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Budynki muszą posiadać minimalną infrastrukturę umożliwiającą ładowanie </w:t>
      </w:r>
      <w:r>
        <w:rPr>
          <w:rFonts w:ascii="Calibri" w:hAnsi="Calibri"/>
          <w:i/>
          <w:sz w:val="22"/>
        </w:rPr>
        <w:t>pojazdów elektrycznych</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W spisie treści, tytuł sekcji HE 5 otrzymuje brzmienie:</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„Sekcja HE 5 Minimalna produkcja energii elektrycznej ze źródeł odnawialnych”.</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W odniesieniu do art. 15 w indeksie dodaje się punkt w brzmieniu:</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„Sekcja HE 6 Minimalna infrastruktura ładowania pojazdów elektrycznych</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Zakres stosowania</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Opis wymogu</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Ilościowe określenie wymogu</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Uzasadnienie wymogu</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Budowa, konserwacja i utrzymanie</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Wykonanie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Monitorowanie wykonania robót</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Sprawdzanie ukończonych prac</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Konserwacja i utrzymanie budynku”</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pkt 1 Zakres stosowania, ust. 1 wyrażenie: „...gdzie całkowita rozbudowana powierzchnia użytkowa przekracza 50 m</w:t>
      </w:r>
      <w:r>
        <w:rPr>
          <w:rFonts w:ascii="Calibri" w:hAnsi="Calibri"/>
          <w:sz w:val="22"/>
          <w:vertAlign w:val="superscript"/>
        </w:rPr>
        <w:t>2</w:t>
      </w:r>
      <w:r>
        <w:rPr>
          <w:rFonts w:ascii="Calibri" w:hAnsi="Calibri"/>
          <w:sz w:val="22"/>
        </w:rPr>
        <w:t>;” zastępuje się wyrażeniem „...gdzie rozbudowana powierzchnia użytkowa przekracza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pkt 3 Określenie ilościowe wymogu, ppkt 3.1 Zużycie energii pierwotnej nieodnawialnej</w:t>
      </w:r>
      <w:bookmarkStart w:id="1" w:name="_Hlk96944651"/>
      <w:r>
        <w:rPr>
          <w:rFonts w:ascii="Calibri" w:hAnsi="Calibri"/>
          <w:sz w:val="22"/>
        </w:rPr>
        <w:t>,</w:t>
      </w:r>
      <w:bookmarkEnd w:id="1"/>
      <w:r>
        <w:rPr>
          <w:rFonts w:ascii="Calibri" w:hAnsi="Calibri"/>
          <w:sz w:val="22"/>
        </w:rPr>
        <w:t xml:space="preserve"> , ust. 1, </w:t>
      </w:r>
      <w:bookmarkStart w:id="2" w:name="_Hlk96943118"/>
      <w:r>
        <w:rPr>
          <w:rFonts w:ascii="Calibri" w:hAnsi="Calibri"/>
          <w:sz w:val="22"/>
        </w:rPr>
        <w:t>wyrażenie „Cep, nren” zastępuje się wyrażeniem „C</w:t>
      </w:r>
      <w:r>
        <w:rPr>
          <w:rFonts w:ascii="Calibri" w:hAnsi="Calibri"/>
          <w:sz w:val="22"/>
          <w:vertAlign w:val="subscript"/>
        </w:rPr>
        <w:t>ep,nren</w:t>
      </w:r>
      <w:r>
        <w:rPr>
          <w:rFonts w:ascii="Calibri" w:hAnsi="Calibri"/>
          <w:sz w:val="22"/>
        </w:rPr>
        <w:t>”, a wyrażenie „Cep,nren,lim” zastępuje się wyrażeniem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pkt 3 Kwalifikacja wymogu, ppkt 3.1 Zużycie energii pierwotnej nieodnawialnej, ust. 2, wyrażenie „Cep,nren,lim” zastępuje się wyrażeniem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pkt 3 Określenie ilościowe wymogu, ppkt 3.2. Całkowite zużycie energii pierwotnej, ust. 1, wyrażenie „Cep,tot” zastępuje się wyrażeniem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pkt 3 Określenie ilościowe wymogu, ppkt 3.2 Całkowite zużycie energii pierwotnej, ust. 2, wyrażenie „Cep,tot,lim” zastępuje się wyrażeniem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pkt 3 Określenie ilościowe wymogu, termin „</w:t>
      </w:r>
      <w:r>
        <w:rPr>
          <w:rFonts w:ascii="Calibri" w:hAnsi="Calibri"/>
          <w:i/>
          <w:sz w:val="22"/>
        </w:rPr>
        <w:t>prywatne użytkowanie mieszkaniowe”</w:t>
      </w:r>
      <w:r>
        <w:rPr>
          <w:rFonts w:ascii="Calibri" w:hAnsi="Calibri"/>
          <w:sz w:val="22"/>
        </w:rPr>
        <w:t xml:space="preserve"> powinien być kursywą.</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w ppkt 4.1 „Procedura obliczania”, w ust. 9 słowa „Uznany dokument” zastępuje się słowami „Uznany dokument certyfikacji energetycznej budynków”.</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W sekcji HE 0 w ppkt 4.1 „Procedura obliczania” ust. 9 otrzymuje oznaczenie ust. 11 i dodaje się ustępy w brzmieniu:</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Obliczenia bilansu energetycznego wymaganego do weryfikacji wymagań niniejszego BD przeprowadza się zgodnie z normą UNE-EN ISO 52000-1:2019: </w:t>
      </w:r>
      <w:r>
        <w:rPr>
          <w:rFonts w:ascii="Calibri" w:hAnsi="Calibri"/>
          <w:i/>
          <w:sz w:val="22"/>
        </w:rPr>
        <w:t>Ogólna ocena charakterystyki energetycznej budynków. Część 1: ogólne ramy i procedury</w:t>
      </w:r>
      <w:r>
        <w:rPr>
          <w:rFonts w:ascii="Calibri" w:hAnsi="Calibri"/>
          <w:sz w:val="22"/>
        </w:rPr>
        <w:t>, z zastosowaniem współczynnika eksportu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„10</w:t>
      </w:r>
      <w:r>
        <w:rPr>
          <w:rFonts w:ascii="Calibri" w:hAnsi="Calibri"/>
          <w:sz w:val="22"/>
        </w:rPr>
        <w:tab/>
        <w:t>Do celów przydzielania różnych usług, dystrybucja energii elektrycznej wytwarzanej na miejscu, w każdym przedziale czasowym, jest obliczana proporcjonalnie do zużycia energii elektrycznej przez dane źródło poboru energii (ogrzewanie, chłodzenie, wentylacja, ciepła woda użytkowa i dodatkowo, w wykorzystaniu usługowym, oświetlenie)”.</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W sekcji HE 0, ppkt 4.3 Wewnętrzne zapotrzebowanie i warunki eksploatacji, ust. 2, wyrażenie „</w:t>
      </w:r>
      <w:r>
        <w:rPr>
          <w:rFonts w:ascii="Calibri" w:hAnsi="Calibri"/>
          <w:i/>
          <w:sz w:val="22"/>
        </w:rPr>
        <w:t>prywatne użytkowanie mieszkalne</w:t>
      </w:r>
      <w:r>
        <w:rPr>
          <w:rFonts w:ascii="Calibri" w:hAnsi="Calibri"/>
          <w:sz w:val="22"/>
        </w:rPr>
        <w:t>” powinno być pisane kursywą.</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W sekcji HE 0, ppkt 4.5 Systemy referencyjne w prywatnym użytkowaniu mieszkalnym, wyrażenie „</w:t>
      </w:r>
      <w:r>
        <w:rPr>
          <w:rFonts w:ascii="Calibri" w:hAnsi="Calibri"/>
          <w:i/>
          <w:sz w:val="22"/>
        </w:rPr>
        <w:t>prywatne użytkowanie mieszkalne</w:t>
      </w:r>
      <w:r>
        <w:rPr>
          <w:rFonts w:ascii="Calibri" w:hAnsi="Calibri"/>
          <w:sz w:val="22"/>
        </w:rPr>
        <w:t>” powinno być pisane kursywą zarówno w tytule, jak i w ust.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W sekcji HE 1, pkt 3 Określenie ilościowe wymogu, ppkt 3.1.1. Przepuszczalność </w:t>
      </w:r>
      <w:r>
        <w:rPr>
          <w:rFonts w:ascii="Calibri" w:hAnsi="Calibri"/>
          <w:i/>
          <w:sz w:val="22"/>
        </w:rPr>
        <w:t>przegrody termicznej</w:t>
      </w:r>
      <w:r>
        <w:rPr>
          <w:rFonts w:ascii="Calibri" w:hAnsi="Calibri"/>
          <w:sz w:val="22"/>
        </w:rPr>
        <w:t>, wyrażenie „zwartość” w tabelach 3.1.1.b-HE1 i w tabelach 3.1.1.c-HE1 powinno być pisane kursywą.</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W sekcji HE 1, pkt 3 Określenie ilościowe wymogu, ppkt 3.1.1. Przepuszczalność </w:t>
      </w:r>
      <w:r>
        <w:rPr>
          <w:rFonts w:ascii="Calibri" w:hAnsi="Calibri"/>
          <w:i/>
          <w:sz w:val="22"/>
        </w:rPr>
        <w:t>przegrody termicznej</w:t>
      </w:r>
      <w:r>
        <w:rPr>
          <w:rFonts w:ascii="Calibri" w:hAnsi="Calibri"/>
          <w:sz w:val="22"/>
        </w:rPr>
        <w:t>, wyrażenie „zwartość” w przypisach tabeli 3.1.1.b-HE1 i tabelach 3.1.1.c-HE1 oraz wyrażenie „zwartość” w przypisach tabeli 3.1.1.c-HE1 powinny być pisane kursywą.</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W sekcji HE 1, pkt 3 Określenie ilościowe wymogu, ppkt 3.1.1. Przepuszczalność </w:t>
      </w:r>
      <w:r>
        <w:rPr>
          <w:rFonts w:ascii="Calibri" w:hAnsi="Calibri"/>
          <w:i/>
          <w:sz w:val="22"/>
        </w:rPr>
        <w:t>przegrody termicznej</w:t>
      </w:r>
      <w:r>
        <w:rPr>
          <w:rFonts w:ascii="Calibri" w:hAnsi="Calibri"/>
          <w:sz w:val="22"/>
        </w:rPr>
        <w:t>, pkt 3, wyrażenie „</w:t>
      </w:r>
      <w:r>
        <w:rPr>
          <w:rFonts w:ascii="Calibri" w:hAnsi="Calibri"/>
          <w:i/>
          <w:sz w:val="22"/>
        </w:rPr>
        <w:t>prywatne użytkowanie mieszkalne</w:t>
      </w:r>
      <w:r>
        <w:rPr>
          <w:rFonts w:ascii="Calibri" w:hAnsi="Calibri"/>
          <w:sz w:val="22"/>
        </w:rPr>
        <w:t>” powinno być pisane kursywą zarówno w ust. 3, jak i w tabeli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W sekcji HE 1, pkt 3 Określenie ilościowe wymogu, ppkt 3.1.1. Przepuszczalność </w:t>
      </w:r>
      <w:r>
        <w:rPr>
          <w:rFonts w:ascii="Calibri" w:hAnsi="Calibri"/>
          <w:i/>
          <w:sz w:val="22"/>
        </w:rPr>
        <w:t>przegrody termicznej</w:t>
      </w:r>
      <w:r>
        <w:rPr>
          <w:rFonts w:ascii="Calibri" w:hAnsi="Calibri"/>
          <w:sz w:val="22"/>
        </w:rPr>
        <w:t>, wyrażenie „zwartość” w tabelach 3.1.1.b-HE1 i w tabelach 3.1.1.c-HE1 powinno być pisane kursywą.</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W sekcji HE 1 pkt 3 Określenie ilościowe wymogu w ppkt 3.1.1 „</w:t>
      </w:r>
      <w:r>
        <w:rPr>
          <w:rFonts w:ascii="Calibri" w:hAnsi="Calibri"/>
          <w:i/>
          <w:sz w:val="22"/>
        </w:rPr>
        <w:t>Przepuszczalność przegrody termicznej</w:t>
      </w:r>
      <w:r>
        <w:rPr>
          <w:rFonts w:ascii="Calibri" w:hAnsi="Calibri"/>
          <w:sz w:val="22"/>
        </w:rPr>
        <w:t>” dodaje się ustęp w brzmieniu:</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Alternatywnie, budynki lub, w przypadku częściowych interwencji w istniejących budynkach, części budynków, w których przeprowadzane są interwencje, których zapotrzebowanie na ogrzewanie i chłodzenie jest w obu przypadkach mniejsze niż 15 kWh/m</w:t>
      </w:r>
      <w:r>
        <w:rPr>
          <w:rFonts w:ascii="Calibri" w:hAnsi="Calibri"/>
          <w:sz w:val="22"/>
          <w:vertAlign w:val="superscript"/>
        </w:rPr>
        <w:t>2</w:t>
      </w:r>
      <w:r>
        <w:rPr>
          <w:rFonts w:ascii="Calibri" w:hAnsi="Calibri"/>
          <w:sz w:val="22"/>
        </w:rPr>
        <w:t xml:space="preserve">, mogą być wyłączone z wymogu zgodności ze </w:t>
      </w:r>
      <w:r>
        <w:rPr>
          <w:rFonts w:ascii="Calibri" w:hAnsi="Calibri"/>
          <w:i/>
          <w:sz w:val="22"/>
        </w:rPr>
        <w:t>współczynnikiem globalnym przenikania ciepła przez przegrodę termiczną</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W sekcji HE 1, pkt 3 Określenie ilościowe wymogu, ppkt 3.1.2 Kontrola słoneczna przegrody termicznej, wyrażenie: „Tabela 3.1.2-HE1 Wartość graniczna parametru kontroli słonecznej qsol; jul,lim [Kwh/m</w:t>
      </w:r>
      <w:r>
        <w:rPr>
          <w:rFonts w:ascii="Calibri" w:hAnsi="Calibri"/>
          <w:sz w:val="22"/>
          <w:vertAlign w:val="superscript"/>
        </w:rPr>
        <w:t>2</w:t>
      </w:r>
      <w:r>
        <w:rPr>
          <w:rFonts w:ascii="Calibri" w:hAnsi="Calibri"/>
          <w:sz w:val="22"/>
        </w:rPr>
        <w:t>·mes]” zastępuje się wyrażeniem. „Tabela 3.1.2-HE1 Wartość graniczna parametru kontroli słonecznej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W sekcji HE 1 pkt 3 Określenie ilościowe wymogu, ppkt 3.1.3 Przepuszczalność powietrza przez przegrodę termiczną, wyrażenie „przegroda termiczna” pisze się kursywą zarówno w tytule sekcji, jak i w tytule tabeli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W sekcji HE 1 pkt 3 Określenie ilościowe wymogu, w ppkt 3.1.3 „Przepuszczalność powietrza przez </w:t>
      </w:r>
      <w:r>
        <w:rPr>
          <w:rFonts w:ascii="Calibri" w:hAnsi="Calibri"/>
          <w:i/>
          <w:sz w:val="22"/>
        </w:rPr>
        <w:t>przegrodę termiczną</w:t>
      </w:r>
      <w:r>
        <w:rPr>
          <w:rFonts w:ascii="Calibri" w:hAnsi="Calibri"/>
          <w:sz w:val="22"/>
        </w:rPr>
        <w:t>” dodaje się ustęp w brzmieniu:</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W przypadku zmian, tabela 3.1.3.a-HE1 powyżej ma zastosowanie wyłącznie do tych elementów </w:t>
      </w:r>
      <w:r>
        <w:rPr>
          <w:rFonts w:ascii="Calibri" w:hAnsi="Calibri"/>
          <w:i/>
          <w:sz w:val="22"/>
        </w:rPr>
        <w:t>przegrody termicznej</w:t>
      </w:r>
      <w:r>
        <w:rPr>
          <w:rFonts w:ascii="Calibri" w:hAnsi="Calibri"/>
          <w:sz w:val="22"/>
        </w:rPr>
        <w:t>, które zostały zastąpione, włączone lub znacząco zmodyfikowane;”</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Numery obecnych ust. 3 i 4 sekcji 3.1.3 „Przepuszczalność powietrza przez </w:t>
      </w:r>
      <w:r>
        <w:rPr>
          <w:rFonts w:ascii="Calibri" w:hAnsi="Calibri"/>
          <w:i/>
          <w:sz w:val="22"/>
        </w:rPr>
        <w:t>przegrodę termiczną</w:t>
      </w:r>
      <w:r>
        <w:rPr>
          <w:rFonts w:ascii="Calibri" w:hAnsi="Calibri"/>
          <w:sz w:val="22"/>
        </w:rPr>
        <w:t>” zastępuje się odpowiednio numerami 4 i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W sekcji HE 1, sekcja 3 Określenie ilościowe wymogu, ppkt 3.1.3 Przepuszczalność powietrza przez </w:t>
      </w:r>
      <w:r>
        <w:rPr>
          <w:rFonts w:ascii="Calibri" w:hAnsi="Calibri"/>
          <w:i/>
          <w:sz w:val="22"/>
        </w:rPr>
        <w:t>przegrodę termiczną</w:t>
      </w:r>
      <w:r>
        <w:rPr>
          <w:rFonts w:ascii="Calibri" w:hAnsi="Calibri"/>
          <w:sz w:val="22"/>
        </w:rPr>
        <w:t>, wyrażenie „zwartość” w tabeli 3.1.3.b-HE1, wyrażenie „zwartość” w tabeli w tabeli 3.1.3.b-HE1 oraz wyrażenie „prywatne użytkowanie mieszkalne” w ust. 3 powinny być pisane kursywą.</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W sekcji HE 1, pkt 3 Określenie ilościowe wymogu, ppkt 3.1.3 Przepuszczalność powietrza przez </w:t>
      </w:r>
      <w:r>
        <w:rPr>
          <w:rFonts w:ascii="Calibri" w:hAnsi="Calibri"/>
          <w:i/>
          <w:sz w:val="22"/>
        </w:rPr>
        <w:t>przegrodę termiczną</w:t>
      </w:r>
      <w:r>
        <w:rPr>
          <w:rFonts w:ascii="Calibri" w:hAnsi="Calibri"/>
          <w:sz w:val="22"/>
        </w:rPr>
        <w:t>, Tabela 3.1.3.b-HE1, wyrażenie „m</w:t>
      </w:r>
      <w:r>
        <w:rPr>
          <w:rFonts w:ascii="Calibri" w:hAnsi="Calibri"/>
          <w:sz w:val="22"/>
          <w:vertAlign w:val="superscript"/>
        </w:rPr>
        <w:t>3</w:t>
      </w:r>
      <w:r>
        <w:rPr>
          <w:rFonts w:ascii="Calibri" w:hAnsi="Calibri"/>
          <w:sz w:val="22"/>
        </w:rPr>
        <w:t>/m2”, zapisuje się jako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z 2 jako indeksem górnym.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W sekcji HE 1, pkt 4 Uzasadnienie wymogu, wyrażenie „zwartość” w ppkt 4.1.b) oraz wyrażenie „prywatne użytkowanie mieszkalne” w części 4.1.g) powinny być pisane kursywą.</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W sekcji HE 3 w tabeli 3.1-HE3 Wartość graniczna sprawności instalacji (VEE</w:t>
      </w:r>
      <w:r>
        <w:rPr>
          <w:rFonts w:ascii="Calibri" w:hAnsi="Calibri"/>
          <w:sz w:val="22"/>
          <w:vertAlign w:val="subscript"/>
        </w:rPr>
        <w:t>Ilim</w:t>
      </w:r>
      <w:r>
        <w:rPr>
          <w:rFonts w:ascii="Calibri" w:hAnsi="Calibri"/>
          <w:sz w:val="22"/>
        </w:rPr>
        <w:t>) wyrażenie „Duże i małe sklepy” zastępuje się wyrażeniem „Duże i małe sklepy</w:t>
      </w:r>
      <w:r>
        <w:rPr>
          <w:rFonts w:ascii="Calibri" w:hAnsi="Calibri"/>
          <w:sz w:val="22"/>
          <w:vertAlign w:val="superscript"/>
        </w:rPr>
        <w:t>(10)</w:t>
      </w:r>
      <w:r>
        <w:rPr>
          <w:rFonts w:ascii="Calibri" w:hAnsi="Calibri"/>
          <w:sz w:val="22"/>
        </w:rPr>
        <w:t>” i dodaje się przypis w brzmieniu:</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Termin sklep odnosi się zarówno do małych niezależnych sklepów, jak i do części przeznaczonej do użytku komercyjnego, która nie jest powszechnie używana w centrach handlowych.”</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W sekcji HE 3 ppkt 3.3 Systemy kontroli i regulacji, ust. 2, który brzmi „...może zostać zastąpiony jedną z następujących dwóch opcji: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kontrola aktywacji i dezaktywacji za pomocą systemu wykrywania obecności w określonym czasie; lub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czasowy system przycisków.”</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powinien brzmieć „...może zostać zastąpione jedną z następujących dwóch opcji: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kontrola aktywacji i dezaktywacji za pomocą </w:t>
      </w:r>
      <w:r>
        <w:rPr>
          <w:rFonts w:ascii="Calibri" w:hAnsi="Calibri"/>
          <w:i/>
          <w:sz w:val="22"/>
        </w:rPr>
        <w:t>systemu wykrywania obecności w czasie</w:t>
      </w:r>
      <w:r>
        <w:rPr>
          <w:rFonts w:ascii="Calibri" w:hAnsi="Calibri"/>
          <w:sz w:val="22"/>
        </w:rPr>
        <w:t xml:space="preserve">, lub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system czasowy</w:t>
      </w:r>
      <w:r>
        <w:rPr>
          <w:rFonts w:ascii="Calibri" w:hAnsi="Calibri"/>
          <w:sz w:val="22"/>
        </w:rPr>
        <w:t xml:space="preserve"> za pomocą przycisku”.</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W sekcji HE 3, sekcja 4 Uzasadnienie wymogu, w ust. 1 lit. B) wyrażenie: „...sprawność</w:t>
      </w:r>
      <w:r>
        <w:rPr>
          <w:rFonts w:ascii="Calibri" w:hAnsi="Calibri"/>
          <w:i/>
          <w:sz w:val="22"/>
        </w:rPr>
        <w:t xml:space="preserve"> lamp</w:t>
      </w:r>
      <w:r>
        <w:rPr>
          <w:rFonts w:ascii="Calibri" w:hAnsi="Calibri"/>
          <w:sz w:val="22"/>
        </w:rPr>
        <w:t xml:space="preserve"> użytych (wyrażona w lum/W)” otrzymuje brzmienie „...sprawność</w:t>
      </w:r>
      <w:r>
        <w:rPr>
          <w:rFonts w:ascii="Calibri" w:hAnsi="Calibri"/>
          <w:i/>
          <w:sz w:val="22"/>
        </w:rPr>
        <w:t xml:space="preserve"> lamp</w:t>
      </w:r>
      <w:r>
        <w:rPr>
          <w:rFonts w:ascii="Calibri" w:hAnsi="Calibri"/>
          <w:sz w:val="22"/>
        </w:rPr>
        <w:t xml:space="preserve"> używanych (wyrażona w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W sekcji HE 4 pkt 2 Opis wymogu, ust. 1 otrzymuje brzmienie:</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Budynki muszą w dużym stopniu zaspokajać swoje potrzeby w zakresie c.w.u. i podgrzewania wody do ogrzewanych basenów wewnętrznych poprzez wykorzystanie </w:t>
      </w:r>
      <w:r>
        <w:rPr>
          <w:rFonts w:ascii="Calibri" w:hAnsi="Calibri"/>
          <w:i/>
          <w:sz w:val="22"/>
        </w:rPr>
        <w:t>energii ze źródeł odnawialnych</w:t>
      </w:r>
      <w:r>
        <w:rPr>
          <w:rFonts w:ascii="Calibri" w:hAnsi="Calibri"/>
          <w:sz w:val="22"/>
        </w:rPr>
        <w:t xml:space="preserve"> lub procesów kogeneracji odnawialnej; wytworzonej w samym budynku lub poprzez podłączenie do </w:t>
      </w:r>
      <w:r>
        <w:rPr>
          <w:rFonts w:ascii="Calibri" w:hAnsi="Calibri"/>
          <w:i/>
          <w:sz w:val="22"/>
        </w:rPr>
        <w:t>sieci ciepłowniczej</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W sekcji HE 4, sekcja 3 Określenie ilościowe wymogu, ppkt 3.1 Minimalny wkład energii ze źródeł odnawialnych w pokrycie zapotrzebowania na ciepłą wodę użytkową i/lub podgrzewanie wody basenowej, ust. 4, wyrażenie: </w:t>
      </w:r>
      <w:bookmarkStart w:id="3" w:name="_Hlk96945986"/>
      <w:r>
        <w:rPr>
          <w:rFonts w:ascii="Calibri" w:hAnsi="Calibri"/>
          <w:sz w:val="22"/>
        </w:rPr>
        <w:t xml:space="preserve">„... </w:t>
      </w:r>
      <w:bookmarkEnd w:id="3"/>
      <w:r>
        <w:rPr>
          <w:rFonts w:ascii="Calibri" w:hAnsi="Calibri"/>
          <w:sz w:val="22"/>
        </w:rPr>
        <w:t>ponad 2,5 przy zasilaniu elektrycznym i większy niż 1,15 przy zasilaniu energią cieplną...” otrzymuje brzmienie „... równy lub większy niż 2,5 przy zasilaniu elektrycznym i równy lub większy niż 1,15 przy zasilaniu energią cieplną...”.</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W sekcji HE 4, sekcja 3 Określenie ilościowe wymogu, sekcja 3.1 Minimalny wkład energii ze źródeł odnawialnych w pokrycie zapotrzebowania na ciepłą wodę użytkową i/lub podgrzewanie wody basenowej, ust. 5, który brzmi: „... budynki mieszkalne...” powinien brzmieć „... budynki do </w:t>
      </w:r>
      <w:r>
        <w:rPr>
          <w:rFonts w:ascii="Calibri" w:hAnsi="Calibri"/>
          <w:i/>
          <w:sz w:val="22"/>
        </w:rPr>
        <w:t>prywatnego użytku mieszkalnego</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W sekcji HE 5 przed ppkt „5.1 „Wykonanie” dodaje się, co następuje: „5. Budowa, konserwacja i utrzymanie" jako tytuł.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W sekcji HE 5 tytuł „Sekcja HE 5 Minimalna produkcja energii elektrycznej” otrzymuje brzmienie „Sekcja HE 5 </w:t>
      </w:r>
      <w:bookmarkStart w:id="4" w:name="_Hlk92123384"/>
      <w:r>
        <w:rPr>
          <w:rFonts w:ascii="Calibri" w:hAnsi="Calibri"/>
          <w:sz w:val="22"/>
        </w:rPr>
        <w:t>Minimalna produkcja energii elektrycznej</w:t>
      </w:r>
      <w:bookmarkEnd w:id="4"/>
      <w:r>
        <w:t xml:space="preserve"> </w:t>
      </w:r>
      <w:r>
        <w:rPr>
          <w:rFonts w:ascii="Calibri" w:hAnsi="Calibri"/>
          <w:sz w:val="22"/>
        </w:rPr>
        <w:t>ze źródeł odnawialnych”.</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W sekcji HE 5 ust. 1 „Zakres” otrzymuje brzmienie: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„1 Niniejsza sekcja ma zastosowanie w następujących przypadkach: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nowo wybudowane budynki, o powierzchni zabudowy powyżej 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rozbudowa istniejących budynków, gdy powierzchnia zabudowy zostanie zwiększona o ponad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istniejące budynki, które są całkowicie odnowione lub w przypadku zmiany ich właściwości użytkowej, gdy przekraczają one 1 000 m</w:t>
      </w:r>
      <w:r>
        <w:rPr>
          <w:rFonts w:ascii="Calibri" w:hAnsi="Calibri"/>
          <w:sz w:val="22"/>
          <w:vertAlign w:val="superscript"/>
        </w:rPr>
        <w:t>2</w:t>
      </w:r>
      <w:r>
        <w:rPr>
          <w:rFonts w:ascii="Calibri" w:hAnsi="Calibri"/>
          <w:sz w:val="22"/>
        </w:rPr>
        <w:t xml:space="preserve"> powierzchni zabudowy.</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Za powierzchnię zabudowaną uważa się powierzchnię parkingów wewnątrz budynku z wyłączeniem obszarów wspólnych na zewnątrz.”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W sekcji HE 5 pkt 2 akapit pierwszy, „Charakterystyka wymogu” otrzymuje brzmienie:</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Budynki muszą posiadać systemy wytwarzania energii elektrycznej ze źródeł odnawialnych na własny użytek lub w celu zaopatrywania sieci.”</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W sekcji HE 5 pkt 3 „Określenie ilościowe wymogu” otrzymuje brzmienie:</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Minimalna moc do zainstalowania</w:t>
      </w:r>
      <w:r>
        <w:rPr>
          <w:rFonts w:ascii="Calibri" w:hAnsi="Calibri"/>
          <w:sz w:val="22"/>
        </w:rPr>
        <w:t xml:space="preserve"> P</w:t>
      </w:r>
      <w:r>
        <w:rPr>
          <w:rFonts w:ascii="Calibri" w:hAnsi="Calibri"/>
          <w:sz w:val="22"/>
          <w:vertAlign w:val="subscript"/>
        </w:rPr>
        <w:t>min</w:t>
      </w:r>
      <w:r>
        <w:rPr>
          <w:rFonts w:ascii="Calibri" w:hAnsi="Calibri"/>
          <w:sz w:val="22"/>
        </w:rPr>
        <w:t xml:space="preserve"> jest najniższą wartością wyniku z następujących dwóch równań: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gdzie: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sz w:val="22"/>
        </w:rPr>
        <w:t>moc do zainstalowania</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w:t>
      </w:r>
      <w:r>
        <w:rPr>
          <w:rFonts w:ascii="Calibri" w:hAnsi="Calibri"/>
          <w:sz w:val="22"/>
        </w:rPr>
        <w:t>l</w:t>
      </w:r>
      <w:r>
        <w:rPr>
          <w:rFonts w:ascii="Calibri" w:hAnsi="Calibri"/>
          <w:sz w:val="22"/>
        </w:rPr>
        <w:tab/>
        <w:t>współczynnik wytwarzania energii, który przyjmuje wartość 0,005 dla prywatnego użytku mieszkalnego i 0,010 dla innych zastosowań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 powierzchnia zabudowy budynku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powierzchnia dachu nieprzeznaczona do użytkowania przez pieszych lub dostępna wyłącznie do celów konserwacyjnych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powierzchnia dachu nieprzeznaczona do użytkowania przez pieszych lub dostępna wyłącznie do celów konserwacyjnych, zajmowana przez kolektory słoneczne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W budynkach, w których ze względów urbanistycznych lub architektonicznych lub ze względu na to, że są to budynki objęte ochroną urzędową, w których to organ udzielający ochrony urzędowej określa elementy niezmienne, nie można osiągnąć minimalnej </w:t>
      </w:r>
      <w:r>
        <w:rPr>
          <w:rFonts w:ascii="Calibri" w:hAnsi="Calibri"/>
          <w:i/>
          <w:sz w:val="22"/>
        </w:rPr>
        <w:t xml:space="preserve"> mocy do zainstalowania</w:t>
      </w:r>
      <w:r>
        <w:rPr>
          <w:rFonts w:ascii="Calibri" w:hAnsi="Calibri"/>
          <w:sz w:val="22"/>
        </w:rPr>
        <w:t>, niemożność tę należy uzasadnić analizą różnych alternatyw i należy przyjąć rozwiązanie, które osiąga maksymalną możliwą moc zainstalowaną.”</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W sekcji HE 5 w pkt 4 „Uzasadnienie wymogu” dodaje się treść w brzmieniu:</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w stosownych przypadkach, przyczyny uniemożliwiające osiągnięcie minimalnej wymaganej </w:t>
      </w:r>
      <w:r>
        <w:rPr>
          <w:rFonts w:ascii="Calibri" w:hAnsi="Calibri"/>
          <w:i/>
          <w:sz w:val="22"/>
        </w:rPr>
        <w:t>mocy do zainstalowania</w:t>
      </w:r>
      <w:r>
        <w:rPr>
          <w:rFonts w:ascii="Calibri" w:hAnsi="Calibri"/>
          <w:sz w:val="22"/>
        </w:rPr>
        <w:t>, analiza alternatyw i rozwiązania przyjętego w celu osiągnięcia maksymalnej możliwej mocy zainstalowanej.”</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ll) W dokumencie podstawowym DB-HE „Oszczędzanie energii” dodaje się sekcję HE 6 z tytułem „Minimum </w:t>
      </w:r>
      <w:r>
        <w:rPr>
          <w:rFonts w:ascii="Calibri" w:hAnsi="Calibri"/>
          <w:i/>
          <w:sz w:val="22"/>
        </w:rPr>
        <w:t>obiektów infrastruktury ładowania pojazdów elektrycznych</w:t>
      </w:r>
      <w:r>
        <w:rPr>
          <w:rFonts w:ascii="Calibri" w:hAnsi="Calibri"/>
          <w:sz w:val="22"/>
        </w:rPr>
        <w:t xml:space="preserve">” oraz o następującej treści: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lastRenderedPageBreak/>
        <w:t>„Sekcja HE 6</w:t>
      </w:r>
      <w:r>
        <w:rPr>
          <w:rFonts w:ascii="Calibri" w:hAnsi="Calibri"/>
          <w:sz w:val="22"/>
        </w:rPr>
        <w:br/>
        <w:t xml:space="preserve">Minimum </w:t>
      </w:r>
      <w:r>
        <w:rPr>
          <w:rFonts w:ascii="Calibri" w:hAnsi="Calibri"/>
          <w:i/>
          <w:sz w:val="22"/>
        </w:rPr>
        <w:t>obiektów infrastruktury ładowania pojazdów elektrycznych</w:t>
      </w:r>
      <w:r>
        <w:rPr>
          <w:rFonts w:ascii="Calibri" w:hAnsi="Calibri"/>
          <w:sz w:val="22"/>
        </w:rPr>
        <w:br/>
      </w:r>
      <w:bookmarkEnd w:id="5"/>
      <w:bookmarkEnd w:id="6"/>
      <w:r>
        <w:rPr>
          <w:i/>
        </w:rPr>
        <w:t>s</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Zakres</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Wymogi określone w niniejszej sekcji mają zastosowanie do budynków, w których znajduje się parking wewnątrz lub na zewnątrz budynku, w następujących przypadkach:</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nowo wybudowanych budynków;</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istniejących budynków, w następujących przypadkach:</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zmiany w charakterystycznym użytkowaniu budynku;</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rozbudowy, w przypadkach, które obejmują interwencje na parkingu i powierzchnia lub wybudowana objętość jednostki lub</w:t>
      </w:r>
      <w:r>
        <w:rPr>
          <w:rFonts w:ascii="Calibri" w:hAnsi="Calibri"/>
          <w:i/>
          <w:sz w:val="22"/>
        </w:rPr>
        <w:t xml:space="preserve"> jednostek użytkowych</w:t>
      </w:r>
      <w:r>
        <w:rPr>
          <w:rFonts w:ascii="Calibri" w:hAnsi="Calibri"/>
          <w:sz w:val="22"/>
        </w:rPr>
        <w:t>, na których ma miejsce interwencja, jest zwiększona o więcej niż 10 %, a zwiększona powierzchnia użytkowa jest większa niż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odnowienia, które obejmują interwencje na parkingu i które dotyczą ponad 25 % całkowitej powierzchni końcowej </w:t>
      </w:r>
      <w:r>
        <w:rPr>
          <w:rFonts w:ascii="Calibri" w:hAnsi="Calibri"/>
          <w:i/>
          <w:sz w:val="22"/>
        </w:rPr>
        <w:t>przegrody termicznej</w:t>
      </w:r>
      <w:r>
        <w:rPr>
          <w:rFonts w:ascii="Calibri" w:hAnsi="Calibri"/>
          <w:sz w:val="22"/>
        </w:rPr>
        <w:t xml:space="preserve"> budynku;</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interwencje w instalację elektryczną budynku wpływające na więcej niż 50 % mocy zainstalowanej w budynku przed interwencją, w przypadkach gdy parking znajduje się wewnątrz budynku</w:t>
      </w:r>
      <w:r>
        <w:rPr>
          <w:rFonts w:ascii="Calibri" w:hAnsi="Calibri"/>
          <w:sz w:val="22"/>
          <w:u w:color="FF0000"/>
        </w:rPr>
        <w:t>, pod warunkiem że deweloper przeprowadzający taką interwencję dysponuje prawem do działania na terenie parkingu</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interwencje w instalacji elektrycznej parkingu wpływające na ponad 50 % mocy zainstalowanej na parkingu przed interwencją.</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Poza zakresem pozostają następujące elementy:</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budynki o przeznaczeniu innym niż prywatny użytek mieszkalny o powierzchni parkingowej nie większej niż 10 miejsc postojowych;</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budynki o przeznaczeniu innym niż prywatne użytkowanie mieszkalne, z parkingiem nie większym niż na 20 miejsc oraz istniejące budynki </w:t>
      </w:r>
      <w:r>
        <w:rPr>
          <w:rFonts w:ascii="Calibri" w:hAnsi="Calibri"/>
          <w:i/>
          <w:sz w:val="22"/>
        </w:rPr>
        <w:t>na prywatny użytek mieszkalny</w:t>
      </w:r>
      <w:r>
        <w:rPr>
          <w:rFonts w:ascii="Calibri" w:hAnsi="Calibri"/>
          <w:sz w:val="22"/>
        </w:rPr>
        <w:t>, przy czym w obu przypadkach koszt dostosowania do przepisów niniejszego ustępu przekracza 7 % kosztu rozbudowy, zmiany przeznaczenia lub interwencji remontowej, która powoduje obowiązek dostosowania się do przepisów. W celu określenia kosztu interwencji, o których mowa powyżej, należy uwzględnić ich rzeczywisty i efektywny koszt, rozumiany jako koszt ich fizycznej budowy;</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budynki, które są urzędowo chronione, ponieważ stanowią część zadeklarowanego środowiska lub ze względu na ich szczególną wartość architektoniczną lub historyczną, są wyłączone z tych obowiązków w takim stopniu, w jakim zgodność z wymaganiami ustanowionymi w niniejszej sekcji mogłaby bezzasadnie zmienić ich charakter lub wygląd, przy czym to urzędowy organ ochrony określa elementy niemożliwe do zmiany.</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Opis wymogu</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Budynki muszą posiadać minimalną infrastrukturę umożliwiającą ładowanie </w:t>
      </w:r>
      <w:r>
        <w:rPr>
          <w:rFonts w:ascii="Calibri" w:hAnsi="Calibri"/>
          <w:i/>
          <w:sz w:val="22"/>
        </w:rPr>
        <w:t>pojazdów elektrycznych</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Przedmiotowa </w:t>
      </w:r>
      <w:r>
        <w:rPr>
          <w:rFonts w:ascii="Calibri" w:hAnsi="Calibri"/>
          <w:i/>
          <w:sz w:val="22"/>
        </w:rPr>
        <w:t>infrastruktura do ładowania pojazdów</w:t>
      </w:r>
      <w:r>
        <w:rPr>
          <w:rFonts w:ascii="Calibri" w:hAnsi="Calibri"/>
          <w:sz w:val="22"/>
        </w:rPr>
        <w:t xml:space="preserve"> elektrycznych będzie zgodna z aktualnymi przepisami elektrotechnicznymi dotyczącymi niskich napięć oraz Dodatkową Instrukcją Techniczną (ITC) BT 52 „Instalacje </w:t>
      </w:r>
      <w:r>
        <w:rPr>
          <w:rFonts w:ascii="Calibri" w:hAnsi="Calibri"/>
          <w:sz w:val="22"/>
        </w:rPr>
        <w:lastRenderedPageBreak/>
        <w:t xml:space="preserve">specjalnego przeznaczenia. Infrastruktura do ładowania </w:t>
      </w:r>
      <w:r>
        <w:rPr>
          <w:rFonts w:ascii="Calibri" w:hAnsi="Calibri"/>
          <w:i/>
          <w:sz w:val="22"/>
        </w:rPr>
        <w:t>pojazdów elektrycznych</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Ilościowe określenie wymogu</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W budynkach na </w:t>
      </w:r>
      <w:r>
        <w:rPr>
          <w:rFonts w:ascii="Calibri" w:hAnsi="Calibri"/>
          <w:i/>
          <w:sz w:val="22"/>
        </w:rPr>
        <w:t>prywatny użytek mieszkalny</w:t>
      </w:r>
      <w:r>
        <w:rPr>
          <w:rFonts w:ascii="Calibri" w:hAnsi="Calibri"/>
          <w:sz w:val="22"/>
        </w:rPr>
        <w:t xml:space="preserve"> systemy okablowania zostaną zainstalowane, aby umożliwić przyszłe dostawy do </w:t>
      </w:r>
      <w:r>
        <w:rPr>
          <w:rFonts w:ascii="Calibri" w:hAnsi="Calibri"/>
          <w:i/>
          <w:sz w:val="22"/>
        </w:rPr>
        <w:t>stacji ładowania</w:t>
      </w:r>
      <w:r>
        <w:rPr>
          <w:rFonts w:ascii="Calibri" w:hAnsi="Calibri"/>
          <w:sz w:val="22"/>
        </w:rPr>
        <w:t xml:space="preserve"> dla 100 % miejsc parkingowych.</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W budynkach innych niż na prywatny użytek mieszkalny zostanie zainstalowane okablowanie, aby umożliwić montaż w przyszłości </w:t>
      </w:r>
      <w:r>
        <w:rPr>
          <w:rFonts w:ascii="Calibri" w:hAnsi="Calibri"/>
          <w:i/>
          <w:sz w:val="22"/>
        </w:rPr>
        <w:t>stacji ładowania</w:t>
      </w:r>
      <w:r>
        <w:rPr>
          <w:rFonts w:ascii="Calibri" w:hAnsi="Calibri"/>
          <w:sz w:val="22"/>
        </w:rPr>
        <w:t xml:space="preserve"> dla co najmniej 20 % miejsc parkingowych.</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Ponadto na każde 40 miejsc parkingowych lub ich ułamek zostanie zainstalowana </w:t>
      </w:r>
      <w:r>
        <w:rPr>
          <w:rFonts w:ascii="Calibri" w:hAnsi="Calibri"/>
          <w:i/>
          <w:sz w:val="22"/>
        </w:rPr>
        <w:t>stacja ładowania</w:t>
      </w:r>
      <w:r>
        <w:rPr>
          <w:rFonts w:ascii="Calibri" w:hAnsi="Calibri"/>
          <w:sz w:val="22"/>
        </w:rPr>
        <w:t>.</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W budynkach przeznaczonych do użytku innego niż prywatny użytek mieszkalny, będących własnością Generalnej Administracji Państwowej lub podmiotów publicznych z nią powiązanych lub od niej zależnych, udział ten powinien być większy niż ten, który został powszechnie ustalony – z instalacją</w:t>
      </w:r>
      <w:r>
        <w:rPr>
          <w:rFonts w:ascii="Calibri" w:hAnsi="Calibri"/>
          <w:color w:val="1F497D"/>
          <w:sz w:val="22"/>
        </w:rPr>
        <w:t xml:space="preserve"> </w:t>
      </w:r>
      <w:r>
        <w:rPr>
          <w:rFonts w:ascii="Calibri" w:hAnsi="Calibri"/>
          <w:sz w:val="22"/>
        </w:rPr>
        <w:t xml:space="preserve">jednej </w:t>
      </w:r>
      <w:r>
        <w:rPr>
          <w:rFonts w:ascii="Calibri" w:hAnsi="Calibri"/>
          <w:i/>
          <w:sz w:val="22"/>
        </w:rPr>
        <w:t>stacji ładowania</w:t>
      </w:r>
      <w:r>
        <w:rPr>
          <w:rFonts w:ascii="Calibri" w:hAnsi="Calibri"/>
          <w:sz w:val="22"/>
        </w:rPr>
        <w:t xml:space="preserve"> na każde 20 miejsc parkingowych lub ich ułamek.</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W przypadku parkingów z dostępnymi miejscami parkingowymi, zgodnie z dokumentem podstawowym dotyczącym bezpieczeństwa użytkowania i dostępności (DB SUA), na każde 5 dostępnych miejsc parkingowych należy zainstalować </w:t>
      </w:r>
      <w:r>
        <w:rPr>
          <w:rFonts w:ascii="Calibri" w:hAnsi="Calibri"/>
          <w:i/>
          <w:sz w:val="22"/>
        </w:rPr>
        <w:t>jedną stację ładowania</w:t>
      </w:r>
      <w:r>
        <w:rPr>
          <w:rFonts w:ascii="Calibri" w:hAnsi="Calibri"/>
          <w:sz w:val="22"/>
        </w:rPr>
        <w:t xml:space="preserve">. </w:t>
      </w:r>
      <w:r>
        <w:rPr>
          <w:rFonts w:ascii="Calibri" w:hAnsi="Calibri"/>
          <w:i/>
          <w:sz w:val="22"/>
        </w:rPr>
        <w:t>Stacje ładowania</w:t>
      </w:r>
      <w:r>
        <w:rPr>
          <w:rFonts w:ascii="Calibri" w:hAnsi="Calibri"/>
          <w:sz w:val="22"/>
        </w:rPr>
        <w:t xml:space="preserve"> w tych miejscach należy policzyć na potrzeby zgodności z określeniem ilościowym wymogu.</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W przypadku budynków, w których znajdują się lokale przeznaczone do </w:t>
      </w:r>
      <w:r>
        <w:rPr>
          <w:rFonts w:ascii="Calibri" w:hAnsi="Calibri"/>
          <w:i/>
          <w:sz w:val="22"/>
        </w:rPr>
        <w:t xml:space="preserve">prywatnego użytku mieszkalnego </w:t>
      </w:r>
      <w:r>
        <w:rPr>
          <w:rFonts w:ascii="Calibri" w:hAnsi="Calibri"/>
          <w:sz w:val="22"/>
        </w:rPr>
        <w:t>wraz z lokalami o innym przeznaczeniu, gdzie parkingi związane z każdym z tych przeznaczeń nie są wyraźnie zróżnicowane, stosuje się kryterium charakterystycznego przeznaczenia budynku.</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Uzasadnienie wymogu</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W celu wykazania, że budynek spełnia wymogi niniejszego dokumentu podstawowego, dokumentacja projektowa powinna zawierać następujące informacje dotyczące budynku lub jego odpowiedniej części:</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schemat okablowania stosowany do wymiarowania, zgodnie z opisem zawartym w przepisach elektrotechnicznych dotyczących niskich napięć;</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opis szyn głównych i przygotowanych przewodów, ze wskazaniem odsetka miejsc parkingowych z okablowaniem oraz wymaganego minimalnego udziału procentowego;</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liczba zainstalowanych </w:t>
      </w:r>
      <w:r>
        <w:rPr>
          <w:rFonts w:ascii="Calibri" w:hAnsi="Calibri"/>
          <w:i/>
          <w:sz w:val="22"/>
        </w:rPr>
        <w:t>stacji ładowania</w:t>
      </w:r>
      <w:r>
        <w:rPr>
          <w:rFonts w:ascii="Calibri" w:hAnsi="Calibri"/>
          <w:sz w:val="22"/>
        </w:rPr>
        <w:t xml:space="preserve"> oraz minimalna liczba wynikająca z określenia ilościowego wymogu;</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rodzaje </w:t>
      </w:r>
      <w:r>
        <w:rPr>
          <w:rFonts w:ascii="Calibri" w:hAnsi="Calibri"/>
          <w:i/>
          <w:sz w:val="22"/>
        </w:rPr>
        <w:t>stacji ładowania</w:t>
      </w:r>
      <w:r>
        <w:rPr>
          <w:rFonts w:ascii="Calibri" w:hAnsi="Calibri"/>
          <w:sz w:val="22"/>
        </w:rPr>
        <w:t xml:space="preserve"> i ich moc znamionowa.</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Budowa, konserwacja i utrzymanie</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Wykonanie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Roboty budowlane budynku należy wykonać zgodnie z projektem i jego zmianami zatwierdzonymi przez kierownika budowy pod warunkiem uzyskania zgody inwestora, obowiązującymi przepisami, specyfikacjami zawartymi w przepisach elektrotechnicznych dotyczących niskich napięć i Dodatkowej Instrukcji Technicznej ITC BT-52 „Instalacje specjalnego przeznaczenia. Infrastruktura do ładowania </w:t>
      </w:r>
      <w:r>
        <w:rPr>
          <w:rFonts w:ascii="Calibri" w:hAnsi="Calibri"/>
          <w:i/>
          <w:sz w:val="22"/>
        </w:rPr>
        <w:t>pojazdów elektrycznych</w:t>
      </w:r>
      <w:r>
        <w:rPr>
          <w:rFonts w:ascii="Calibri" w:hAnsi="Calibri"/>
          <w:sz w:val="22"/>
        </w:rPr>
        <w:t>”, zgodnie ze standardami dobrej praktyki budowlanej oraz instrukcjami kierownika budowy i kierownika realizacji projektu, o których mowa w art. 7 części I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lastRenderedPageBreak/>
        <w:t>5.2 Monitorowanie wykonania robót</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Wykonanie robót</w:t>
      </w:r>
      <w:r>
        <w:rPr>
          <w:rFonts w:ascii="Calibri" w:hAnsi="Calibri"/>
          <w:color w:val="FF0000"/>
          <w:sz w:val="22"/>
        </w:rPr>
        <w:t xml:space="preserve"> </w:t>
      </w:r>
      <w:r>
        <w:rPr>
          <w:rFonts w:ascii="Calibri" w:hAnsi="Calibri"/>
          <w:sz w:val="22"/>
        </w:rPr>
        <w:t>jest monitorowane zgodnie ze specyfikacją projektu, załącznikami i zmianami do nich zatwierdzonymi przez kierownika budowy oraz instrukcjami kierownika realizacji projektu, zgodnie ze specyfikacjami zawartymi w przepisach elektrotechnicznych dotyczących niskich napięć, zgodnie z art. 7 ust. 3 części I CTE i innymi obowiązującymi przepisami.</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Wykonanie robót sprawdza się w celu zapewnienia, aby inspekcje były przeprowadzane z wymaganą częstotliwością, zgodnie ze specyfikacją projektu.</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Wszelkie zmiany dokonywane podczas wykonania robót są rejestrowane w kompletnej dokumentacji robót budowlanych i we wszystkich przypadkach muszą być spełnione minimalne warunki określone w niniejszym dokumencie podstawowym.</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Dokumentacja dotycząca charakterystyki wyrobów, urządzeń i systemów wchodzących w skład budynku zostaje włączona do dokumentacji budynku.</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Sprawdzanie ukończonych prac</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Kontrola ukończonych robót musi spełniać kryteria określone w art. 7 ust. 4 części I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W niniejszej sekcji dokumentu podstawowego nie określono badań końcowych.</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Konserwacja i utrzymanie budynku</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Plan utrzymania zawarty w dokumentacji budynku obejmuje działania i częstotliwość wymaganą do utrzymania, z biegiem czasu, parametrów projektowych i eksploatacyjnych </w:t>
      </w:r>
      <w:r>
        <w:rPr>
          <w:rFonts w:ascii="Calibri" w:hAnsi="Calibri"/>
          <w:i/>
          <w:sz w:val="22"/>
        </w:rPr>
        <w:t>infrastruktury ładowania pojazdów elektrycznych</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Podobnie w dokumentacji budynku udokumentowane zostaną wszystkie interwencje, czy to naprawy, remonty lub rehabilitacje, przeprowadzane przez cały okres eksploatacji budynku”.</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w załączniku A skreśla się wyrazy „wstępne oświetlenie” i „odbicie”.</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w załączniku A definicja „</w:t>
      </w:r>
      <w:r>
        <w:rPr>
          <w:rFonts w:ascii="Calibri" w:hAnsi="Calibri"/>
          <w:i/>
          <w:sz w:val="22"/>
        </w:rPr>
        <w:t>Całkowitego współczynnika przenikania ciepła (przez przegrodę termiczną budynku</w:t>
      </w:r>
      <w:r>
        <w:rPr>
          <w:rFonts w:ascii="Calibri" w:hAnsi="Calibri"/>
          <w:sz w:val="22"/>
        </w:rPr>
        <w:t>) (K)”, która brzmi: “... K = X Hx/Aint..." powinien zawierać "x", "x" i "int" jako indeks dolny: “... K = Φ sq</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/A</w:t>
      </w:r>
      <w:r>
        <w:rPr>
          <w:rFonts w:ascii="Calibri" w:hAnsi="Calibri"/>
          <w:sz w:val="22"/>
          <w:vertAlign w:val="subscript"/>
        </w:rPr>
        <w:t>int;</w:t>
      </w:r>
      <w:r>
        <w:rPr>
          <w:rFonts w:ascii="Calibri" w:hAnsi="Calibri"/>
          <w:sz w:val="22"/>
        </w:rPr>
        <w:t>...', wyrażenia „ściany parietodynamiczne” i „Ściany Trombe” powinny być pisane kursywą.</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w załączniku A, w definicji „Zwartości” w akapicie drugim słowo „zwartość” powinno być pisane kursywą.</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w załączniku A, w definicji „warunków eksploatacji”, wyrażenie „prywatne użytkowanie mieszkalne” powinno być pisane kursywą.</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w załączniku A definicja „Zużycia energii pierwotnej ze źródeł nieodnawialnych”, która brzmi: “... Zużycie energii pierwotnej ze źródeł nieodnawialnych..." powinna zawierać "ep,nren" w indeksie dolnym: “... Zużycie energii pierwotnej ze źródeł nieodnawialnych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w załączniku A definicja „Całkowitego zużycia energii pierwotnej”, która brzmi: “... Całkowite zużycie energii pierwotnej..." powinna zawierać "ep,tot" w indeksie dolnym: “... Całkowite zużycie energii pierwotnej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w załączniku A definicja „kontroli słonecznej (q</w:t>
      </w:r>
      <w:r>
        <w:rPr>
          <w:rFonts w:ascii="Calibri" w:hAnsi="Calibri"/>
          <w:sz w:val="22"/>
          <w:vertAlign w:val="subscript"/>
        </w:rPr>
        <w:t>sol;jul</w:t>
      </w:r>
      <w:r>
        <w:rPr>
          <w:rFonts w:ascii="Calibri" w:hAnsi="Calibri"/>
          <w:sz w:val="22"/>
        </w:rPr>
        <w:t>)”, która brzmi: „... użyteczna powierzchnia przestrzeni...” powinna brzmieć: „... przydatna powierzchnia pomieszczeń mieszkalnych...”. Kropkę i nowy akapit na końcu definicji składnika wzoru „Hsol;jul” zastępuje się średnikiem, oraz dodaje się definicję innego składnika wzoru, w brzmieniu:</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„Obszar A</w:t>
      </w:r>
      <w:r>
        <w:rPr>
          <w:rFonts w:ascii="Calibri" w:hAnsi="Calibri"/>
          <w:sz w:val="22"/>
          <w:vertAlign w:val="subscript"/>
        </w:rPr>
        <w:t>util</w:t>
      </w:r>
      <w:r>
        <w:rPr>
          <w:rFonts w:ascii="Calibri" w:hAnsi="Calibri"/>
          <w:sz w:val="22"/>
        </w:rPr>
        <w:t xml:space="preserve"> uznany za zgodny z sekcją 4.6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w załączniku A, w definicji terminu „Energia końcowa” wyrażenie „Jest to energia zakupiona przez odbiorców, w postaci energii elektrycznej lub paliw zużytych bezpośrednio” zastępuje się wyrażeniem „Jest to energia dostarczona do systemów budynkowych w celu świadczenia usług; zwykle dostarczana jest w paliwie, wytwarzana na miejscu lub poprzez specjalną sieć (elektryczną, gazowniczą, ciepłowniczą lub chłodniczą itp.)”.</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w załączniku A, w definicji „Klimatyzowanej przestrzeni życiowej” termin „prywatne użytkowanie mieszkalne” powinien być pisany kursywą.</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w załączniku A w definicji „okresu użytkowania” termin „prywatne użytkowanie mieszkalne” w akapicie drugim powinien być pisany kursywą.</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w załączniku A, w definicji terminu „Transmisja termiczna (wartość U)” na końcu definicji dodaje się zdanie w brzmieniu:</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„Wyrażone w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w załączniku A, w definicji „Wartości sprawności energetycznej instalacji (VEEI)” termin „prywatne użytkowanie mieszkalne” powinien być pisany kursywą.</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w załączniku A „Terminologia” dodaje się następujące terminy:</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Sprzęt pomocniczy</w:t>
      </w:r>
      <w:r>
        <w:rPr>
          <w:rFonts w:ascii="Calibri" w:hAnsi="Calibri"/>
          <w:b/>
          <w:sz w:val="22"/>
        </w:rPr>
        <w:t xml:space="preserve">: </w:t>
      </w:r>
      <w:r>
        <w:rPr>
          <w:rFonts w:ascii="Calibri" w:hAnsi="Calibri"/>
          <w:sz w:val="22"/>
        </w:rPr>
        <w:t>sprzęt elektryczny lub elektroniczny związany ze oświetleniem, inny dla każdego typu światła, którego funkcją jest zapłon i sterowanie warunkami pracy. Ten sprzęt pomocniczy, chyba że jest elektroniczny, jest tworzony przez połączenie rozrusznika, statecznika i skraplacza.</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Stacja ładowania</w:t>
      </w:r>
      <w:r>
        <w:rPr>
          <w:rFonts w:ascii="Calibri" w:hAnsi="Calibri"/>
          <w:b/>
          <w:sz w:val="22"/>
        </w:rPr>
        <w:t xml:space="preserve">: </w:t>
      </w:r>
      <w:r>
        <w:rPr>
          <w:rFonts w:ascii="Calibri" w:hAnsi="Calibri"/>
          <w:sz w:val="22"/>
        </w:rPr>
        <w:t xml:space="preserve">zestaw elementów niezbędnych do podłączenia pojazdu elektrycznego do stałej instalacji elektrycznej wymaganej do jego ładowania. </w:t>
      </w:r>
      <w:r>
        <w:rPr>
          <w:rFonts w:ascii="Calibri" w:hAnsi="Calibri"/>
          <w:i/>
          <w:sz w:val="22"/>
        </w:rPr>
        <w:t>Stacje ładowania</w:t>
      </w:r>
      <w:r>
        <w:rPr>
          <w:rFonts w:ascii="Calibri" w:hAnsi="Calibri"/>
          <w:sz w:val="22"/>
        </w:rPr>
        <w:t xml:space="preserve"> są klasyfikowane jako:</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Pojedynczy punkt ładowania, składający się z niezbędnych zabezpieczeń, co najmniej jednego gniazdka niespecyficznego dla </w:t>
      </w:r>
      <w:r>
        <w:rPr>
          <w:rFonts w:ascii="Calibri" w:hAnsi="Calibri"/>
          <w:i/>
          <w:sz w:val="22"/>
        </w:rPr>
        <w:t>pojazdu elektrycznego</w:t>
      </w:r>
      <w:r>
        <w:rPr>
          <w:rFonts w:ascii="Calibri" w:hAnsi="Calibri"/>
          <w:sz w:val="22"/>
        </w:rPr>
        <w:t xml:space="preserve"> oraz, w stosownych przypadkach, obudowy.</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Punkt ładowania typu SAVE </w:t>
      </w:r>
      <w:r>
        <w:rPr>
          <w:rFonts w:ascii="Calibri" w:hAnsi="Calibri"/>
          <w:i/>
          <w:sz w:val="22"/>
        </w:rPr>
        <w:t>(Specific Electric Vehicle Power Supply System - Specyficzny system zasilania pojazdy elektrycznego)</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Infrastruktura ładowania pojazdów elektrycznych</w:t>
      </w:r>
      <w:r>
        <w:rPr>
          <w:rFonts w:ascii="Calibri" w:hAnsi="Calibri"/>
          <w:b/>
          <w:sz w:val="22"/>
        </w:rPr>
        <w:t xml:space="preserve">: </w:t>
      </w:r>
      <w:r>
        <w:rPr>
          <w:rFonts w:ascii="Calibri" w:hAnsi="Calibri"/>
          <w:sz w:val="22"/>
        </w:rPr>
        <w:t xml:space="preserve">zestaw urządzeń fizycznych i logicznych przeznaczonych do ładowania pojazdów elektrycznych spełniających wymogi bezpieczeństwa i dostępności przewidziane dla każdego przypadku w przepisach elektrotechnicznych dotyczących niskich napięć, zdolnych do zapewnienia pełnej i kompleksowej usługi ładowania. Obejmuje ona </w:t>
      </w:r>
      <w:r>
        <w:rPr>
          <w:rFonts w:ascii="Calibri" w:hAnsi="Calibri"/>
          <w:i/>
          <w:sz w:val="22"/>
        </w:rPr>
        <w:t>stacje ładowania</w:t>
      </w:r>
      <w:r>
        <w:rPr>
          <w:rFonts w:ascii="Calibri" w:hAnsi="Calibri"/>
          <w:sz w:val="22"/>
        </w:rPr>
        <w:t xml:space="preserve">, układ sterowania, przewody elektryczne, elektryczne panele sterowania i zabezpieczające oraz urządzenia pomiarowe, które są przeznaczone wyłącznie do ładowania </w:t>
      </w:r>
      <w:r>
        <w:rPr>
          <w:rFonts w:ascii="Calibri" w:hAnsi="Calibri"/>
          <w:i/>
          <w:sz w:val="22"/>
        </w:rPr>
        <w:t>pojazdów elektrycznych</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Specyficzny system zasilania pojazdy elektrycznego (SAVE)</w:t>
      </w:r>
      <w:r>
        <w:rPr>
          <w:rFonts w:ascii="Calibri" w:hAnsi="Calibri"/>
          <w:b/>
          <w:sz w:val="22"/>
        </w:rPr>
        <w:t>:</w:t>
      </w:r>
      <w:r>
        <w:rPr>
          <w:rFonts w:ascii="Calibri" w:hAnsi="Calibri"/>
          <w:sz w:val="22"/>
        </w:rPr>
        <w:t xml:space="preserve"> zestaw urządzeń zmontowanych w celu dostarczania energii elektrycznej do ładowania pojazdu elektrycznego, w tym zabezpieczenia stacji ładowania, kabel przyłączeniowy (z przewodami fazowymi, przewodem neutralnym i przewodem ochronnym) podstawa gniazda lub złącze oraz, w stosownych przypadkach, przetwornica AC/DC. System ten, w stosownych przypadkach, umożliwia komunikację między </w:t>
      </w:r>
      <w:r>
        <w:rPr>
          <w:rFonts w:ascii="Calibri" w:hAnsi="Calibri"/>
          <w:i/>
          <w:sz w:val="22"/>
        </w:rPr>
        <w:t>pojazdem elektrycznym</w:t>
      </w:r>
      <w:r>
        <w:rPr>
          <w:rFonts w:ascii="Calibri" w:hAnsi="Calibri"/>
          <w:sz w:val="22"/>
        </w:rPr>
        <w:t xml:space="preserve"> a instalacją stacjonarną.”</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Prywatne użytkowanie mieszkalne</w:t>
      </w:r>
      <w:r>
        <w:rPr>
          <w:rFonts w:ascii="Calibri" w:hAnsi="Calibri"/>
          <w:sz w:val="22"/>
        </w:rPr>
        <w:t>: Budynek lub teren przeznaczony na stałe miejsce zamieszkania, bez względu na rodzaj budynku: dom jednorodzinny, apartamentowiec itp., zarówno pod zabudowę publiczną, jak i prywatną”.</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lastRenderedPageBreak/>
        <w:t>„</w:t>
      </w:r>
      <w:r>
        <w:rPr>
          <w:rFonts w:ascii="Calibri" w:hAnsi="Calibri"/>
          <w:b/>
          <w:i/>
          <w:sz w:val="22"/>
        </w:rPr>
        <w:t>Pojazd elektryczny</w:t>
      </w:r>
      <w:r>
        <w:rPr>
          <w:rFonts w:ascii="Calibri" w:hAnsi="Calibri"/>
          <w:sz w:val="22"/>
        </w:rPr>
        <w:t>: pojazd silnikowy wyposażony w zespół napędowy z co najmniej jednym nieperyferyjnym mechanizmem elektrycznym działającym jako konwerter energii i wyposażony w system magazynowania energii elektrycznej wielokrotnego ładowania, który może być ładowany z zewnątrz.”</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w załączniku C termin „przegroda termiczna” w tytule i termin „przestrzeń nienadająca się do zamieszkania” w sekcji 1 lit. a) musi być kursywą.</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w załączniku D wyrażenia „Warunki eksploatacji”, „profile użytkowania” i „prywatne użytkowanie mieszkalne” muszą być pisane kursywą w tytule, ust. 2 oraz w tabeli a-załącznik D, tabeli b-załącznik D i tabeli c-załącznik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w załączniku D ust. „2 </w:t>
      </w:r>
      <w:r>
        <w:rPr>
          <w:rFonts w:ascii="Calibri" w:hAnsi="Calibri"/>
          <w:i/>
          <w:sz w:val="22"/>
        </w:rPr>
        <w:t>Warunki eksploatacji</w:t>
      </w:r>
      <w:r>
        <w:rPr>
          <w:rFonts w:ascii="Calibri" w:hAnsi="Calibri"/>
          <w:sz w:val="22"/>
        </w:rPr>
        <w:t xml:space="preserve"> i </w:t>
      </w:r>
      <w:r>
        <w:rPr>
          <w:rFonts w:ascii="Calibri" w:hAnsi="Calibri"/>
          <w:i/>
          <w:sz w:val="22"/>
        </w:rPr>
        <w:t>profil użytkowania</w:t>
      </w:r>
      <w:r>
        <w:rPr>
          <w:rFonts w:ascii="Calibri" w:hAnsi="Calibri"/>
          <w:sz w:val="22"/>
        </w:rPr>
        <w:t xml:space="preserve">...” otrzymuje oznaczenie „3 </w:t>
      </w:r>
      <w:r>
        <w:rPr>
          <w:rFonts w:ascii="Calibri" w:hAnsi="Calibri"/>
          <w:i/>
          <w:sz w:val="22"/>
        </w:rPr>
        <w:t>Warunki eksploatacji</w:t>
      </w:r>
      <w:r>
        <w:rPr>
          <w:rFonts w:ascii="Calibri" w:hAnsi="Calibri"/>
          <w:sz w:val="22"/>
        </w:rPr>
        <w:t xml:space="preserve"> i </w:t>
      </w:r>
      <w:r>
        <w:rPr>
          <w:rFonts w:ascii="Calibri" w:hAnsi="Calibri"/>
          <w:i/>
          <w:sz w:val="22"/>
        </w:rPr>
        <w:t>profil użytkowania</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w załączniku D ust. 4 wyrażenie „Uznany dokument” zastępuje się wyrażeniem „Uznany dokument do celów certyfikacji energetycznej budynków”.</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w załączniku E wyrażenie „prywatne użytkowanie mieszkaniowe” w ust. 1 powinno być kursywą.</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ddd) w załączniku F wyrażenie „prywatne użytkowanie mieszkalne” powinno być pisane kursywą zarówno w sekcji 1, jak i w tabeli a-załącznik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w załączniku H po tytule sekcji dodaje się tekst w brzmieniu: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„Określenie </w:t>
      </w:r>
      <w:r>
        <w:rPr>
          <w:rFonts w:ascii="Calibri" w:hAnsi="Calibri"/>
          <w:i/>
          <w:sz w:val="22"/>
        </w:rPr>
        <w:t xml:space="preserve">przepuszczalności powietrznej </w:t>
      </w:r>
      <w:r>
        <w:rPr>
          <w:rFonts w:ascii="Calibri" w:hAnsi="Calibri"/>
          <w:sz w:val="22"/>
        </w:rPr>
        <w:t xml:space="preserve">budynku musi zostać przeprowadzone za pomocą jednej z następujących metod”.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w załączniku H wyrażenie „Wartość współczynnika wymiany powietrza przy 50 Pa, n50, można uzyskać poprzez badanie zgodnie z metodą B UNE-EN 13829:2002 Oznaczanie szczelności powietrznej w budynkach. Metoda zwiększania ciśnienia za pomocą wentylatora." otrzymuje brzmienie: „Wartość </w:t>
      </w:r>
      <w:r>
        <w:rPr>
          <w:rFonts w:ascii="Calibri" w:hAnsi="Calibri"/>
          <w:i/>
          <w:sz w:val="22"/>
        </w:rPr>
        <w:t>współczynnika wymiany powietrza</w:t>
      </w:r>
      <w:r>
        <w:rPr>
          <w:rFonts w:ascii="Calibri" w:hAnsi="Calibri"/>
          <w:sz w:val="22"/>
        </w:rPr>
        <w:t xml:space="preserve"> przy 50 Pa, n</w:t>
      </w:r>
      <w:r>
        <w:rPr>
          <w:rFonts w:ascii="Calibri" w:hAnsi="Calibri"/>
          <w:sz w:val="22"/>
          <w:vertAlign w:val="subscript"/>
        </w:rPr>
        <w:t>50</w:t>
      </w:r>
      <w:r>
        <w:rPr>
          <w:rFonts w:ascii="Calibri" w:hAnsi="Calibri"/>
          <w:sz w:val="22"/>
        </w:rPr>
        <w:t xml:space="preserve"> w drodze badania uzyskuje się metodą 1 lub 2 według normy UNE-EN ISO 9972: 2019 </w:t>
      </w:r>
      <w:r>
        <w:rPr>
          <w:rFonts w:ascii="Calibri" w:hAnsi="Calibri"/>
          <w:i/>
          <w:sz w:val="22"/>
        </w:rPr>
        <w:t>Sprawność cieplna budynków. Określenie przepuszczalności powietrznej budynków. Metoda zwiększania ciśnienia za pomocą wentylatora.”.</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w sekcji H, pkt 2 wyrażenie: „... 2. Wartość współczynnika wymiany powietrza przy 50 Pa, n</w:t>
      </w:r>
      <w:r>
        <w:rPr>
          <w:rFonts w:ascii="Calibri" w:hAnsi="Calibri"/>
          <w:sz w:val="22"/>
          <w:vertAlign w:val="subscript"/>
        </w:rPr>
        <w:t>50</w:t>
      </w:r>
      <w:r>
        <w:rPr>
          <w:rFonts w:ascii="Calibri" w:hAnsi="Calibri"/>
          <w:sz w:val="22"/>
        </w:rPr>
        <w:t xml:space="preserve">, można obliczyć na podstawie następującego równania:” otrzymuje brzmienie: „... 1. Wartość </w:t>
      </w:r>
      <w:r>
        <w:rPr>
          <w:rFonts w:ascii="Calibri" w:hAnsi="Calibri"/>
          <w:i/>
          <w:sz w:val="22"/>
        </w:rPr>
        <w:t>współczynnika wymiany powietrza</w:t>
      </w:r>
      <w:r>
        <w:rPr>
          <w:rFonts w:ascii="Calibri" w:hAnsi="Calibri"/>
          <w:sz w:val="22"/>
        </w:rPr>
        <w:t xml:space="preserve"> przy 50 Pa, n</w:t>
      </w:r>
      <w:r>
        <w:rPr>
          <w:rFonts w:ascii="Calibri" w:hAnsi="Calibri"/>
          <w:sz w:val="22"/>
          <w:vertAlign w:val="subscript"/>
        </w:rPr>
        <w:t>50</w:t>
      </w:r>
      <w:r>
        <w:rPr>
          <w:rFonts w:ascii="Calibri" w:hAnsi="Calibri"/>
          <w:sz w:val="22"/>
        </w:rPr>
        <w:t xml:space="preserve"> przy użyciu wartości odniesienia otrzymuje się za pomocą następującego wyrażenia:' które brzmi: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otrzymuje brzmienie: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które brzmi: „V oznacza wewnętrzną objętość przegrody termicznej, w [m</w:t>
      </w:r>
      <w:r>
        <w:rPr>
          <w:rFonts w:ascii="Calibri" w:hAnsi="Calibri"/>
          <w:sz w:val="22"/>
          <w:vertAlign w:val="superscript"/>
        </w:rPr>
        <w:t>3</w:t>
      </w:r>
      <w:r>
        <w:rPr>
          <w:rFonts w:ascii="Calibri" w:hAnsi="Calibri"/>
          <w:sz w:val="22"/>
        </w:rPr>
        <w:t>]” otrzymuje brzmienie: „V</w:t>
      </w:r>
      <w:r>
        <w:rPr>
          <w:rFonts w:ascii="Calibri" w:hAnsi="Calibri"/>
          <w:sz w:val="22"/>
          <w:vertAlign w:val="subscript"/>
        </w:rPr>
        <w:t>int</w:t>
      </w:r>
      <w:r>
        <w:rPr>
          <w:rFonts w:ascii="Calibri" w:hAnsi="Calibri"/>
          <w:sz w:val="22"/>
        </w:rPr>
        <w:t xml:space="preserve"> oznacza wewnętrzną objętość powietrza </w:t>
      </w:r>
      <w:r>
        <w:rPr>
          <w:rFonts w:ascii="Calibri" w:hAnsi="Calibri"/>
          <w:i/>
          <w:sz w:val="22"/>
        </w:rPr>
        <w:t>przegrody termicznej</w:t>
      </w:r>
      <w:r>
        <w:rPr>
          <w:rFonts w:ascii="Calibri" w:hAnsi="Calibri"/>
          <w:sz w:val="22"/>
        </w:rPr>
        <w:t>, w [m</w:t>
      </w:r>
      <w:r>
        <w:rPr>
          <w:rFonts w:ascii="Calibri" w:hAnsi="Calibri"/>
          <w:sz w:val="22"/>
          <w:vertAlign w:val="superscript"/>
        </w:rPr>
        <w:t>3</w:t>
      </w:r>
      <w:r>
        <w:rPr>
          <w:rFonts w:ascii="Calibri" w:hAnsi="Calibri"/>
          <w:sz w:val="22"/>
        </w:rPr>
        <w:t>]” i które brzmi: „A</w:t>
      </w:r>
      <w:r>
        <w:rPr>
          <w:rFonts w:ascii="Calibri" w:hAnsi="Calibri"/>
          <w:sz w:val="22"/>
          <w:vertAlign w:val="subscript"/>
        </w:rPr>
        <w:t>o</w:t>
      </w:r>
      <w:r>
        <w:rPr>
          <w:rFonts w:ascii="Calibri" w:hAnsi="Calibri"/>
          <w:sz w:val="22"/>
        </w:rPr>
        <w:t xml:space="preserve"> jest powierzchnią nieprzezroczystej części </w:t>
      </w:r>
      <w:r>
        <w:rPr>
          <w:rFonts w:ascii="Calibri" w:hAnsi="Calibri"/>
          <w:i/>
          <w:sz w:val="22"/>
        </w:rPr>
        <w:t>przegrody termicznej</w:t>
      </w:r>
      <w:r>
        <w:rPr>
          <w:rFonts w:ascii="Calibri" w:hAnsi="Calibri"/>
          <w:sz w:val="22"/>
        </w:rPr>
        <w:t>, w [m</w:t>
      </w:r>
      <w:r>
        <w:rPr>
          <w:rFonts w:ascii="Calibri" w:hAnsi="Calibri"/>
          <w:sz w:val="22"/>
          <w:vertAlign w:val="superscript"/>
        </w:rPr>
        <w:t>2</w:t>
      </w:r>
      <w:r>
        <w:rPr>
          <w:rFonts w:ascii="Calibri" w:hAnsi="Calibri"/>
          <w:sz w:val="22"/>
        </w:rPr>
        <w:t>]”, otrzymuje brzmienie: „A</w:t>
      </w:r>
      <w:r>
        <w:rPr>
          <w:rFonts w:ascii="Calibri" w:hAnsi="Calibri"/>
          <w:sz w:val="22"/>
          <w:vertAlign w:val="subscript"/>
        </w:rPr>
        <w:t>o</w:t>
      </w:r>
      <w:r>
        <w:rPr>
          <w:rFonts w:ascii="Calibri" w:hAnsi="Calibri"/>
          <w:sz w:val="22"/>
        </w:rPr>
        <w:t xml:space="preserve"> jest powierzchnią nieprzezroczystej części </w:t>
      </w:r>
      <w:r>
        <w:rPr>
          <w:rFonts w:ascii="Calibri" w:hAnsi="Calibri"/>
          <w:i/>
          <w:sz w:val="22"/>
        </w:rPr>
        <w:t>przegrody termicznej</w:t>
      </w:r>
      <w:r>
        <w:rPr>
          <w:rFonts w:ascii="Calibri" w:hAnsi="Calibri"/>
          <w:sz w:val="22"/>
        </w:rPr>
        <w:t xml:space="preserve"> w kontakcie z powietrzem zewnętrznym, w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w załączniku H wyrażenie „przegroda termiczna” i „otwory” powinny być pisane kursywą w opisie terminów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oraz w tabeli a-załącznika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Cztery.</w:t>
      </w:r>
      <w:r>
        <w:rPr>
          <w:rFonts w:ascii="Calibri" w:hAnsi="Calibri"/>
          <w:b/>
          <w:sz w:val="22"/>
        </w:rPr>
        <w:t xml:space="preserve"> </w:t>
      </w:r>
      <w:r>
        <w:rPr>
          <w:rFonts w:ascii="Calibri" w:hAnsi="Calibri"/>
          <w:sz w:val="22"/>
        </w:rPr>
        <w:t xml:space="preserve">W dokumencie podstawowym DB-SUA „Bezpieczeństwo użytkowania i dostępność” zawartym w części II kodeksu techniczno-budowlanego wprowadza się następujące zmiany: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 załączniku A definicja „Dostępne miejsce parkingowe” obejmuje łącznik z tekstem:</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 W przypadku gdy </w:t>
      </w:r>
      <w:r>
        <w:rPr>
          <w:rFonts w:ascii="Calibri" w:hAnsi="Calibri"/>
          <w:i/>
          <w:sz w:val="22"/>
        </w:rPr>
        <w:t>dostępne miejsce parkingowe</w:t>
      </w:r>
      <w:r>
        <w:rPr>
          <w:rFonts w:ascii="Calibri" w:hAnsi="Calibri"/>
          <w:sz w:val="22"/>
        </w:rPr>
        <w:t xml:space="preserve"> wyposażone jest w stację ładowania pojazdów elektrycznych, </w:t>
      </w:r>
      <w:r>
        <w:rPr>
          <w:rFonts w:ascii="Calibri" w:hAnsi="Calibri"/>
          <w:i/>
          <w:sz w:val="22"/>
        </w:rPr>
        <w:t>dostępna trasa przejazdu</w:t>
      </w:r>
      <w:r>
        <w:rPr>
          <w:rFonts w:ascii="Calibri" w:hAnsi="Calibri"/>
          <w:sz w:val="22"/>
        </w:rPr>
        <w:t xml:space="preserve"> również obejmuje tę stację ładowania. Gniazda zasilania i złącza tych stacji ładowania muszą być chromatycznie skontrastowane z otoczeniem, umieszczone na wysokości od 80 do 120 cm, a odległość od narożników musi wynosić co najmniej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Pięć. W dokumencie podstawowym DB-HS „Zdrowie”, zawartym w części II, wprowadza się następujące zmiany:</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w sekcji HS 4, w pppkt 3.2.2.1 w ust. 2 zdanie „minimalny udział energii słonecznej w przygotowaniu ciepłej wody użytkowej” zastępuje się zdaniem „minimalny udział energii odnawialnej na pokrycie zapotrzebowania na ciepłą wodę użytkową”.</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w sekcji HS 4, w ppkt 6.2. literę „e) rury z polichlorku winylu chlorowanego (PVC-C), zgodne z normami UNE-EN ISO 15874-1:2013, UNE-EN ISO 15874-2:2013 i UNE-EN ISO 15874-3:2013;” zastępuje się literą „e) rury z polichlorowanego chlorku winylu (PVC-C), zgodne z normą UNE-EN ISO 15877-1:2009 (+UNE-EN ISO 15877-1:2009/A1): 2011), UNE-EN ISO 15877-2:2009 (+UNE-EN ISO 15877-2:2009/A1: 2011) oraz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w sekcji HS 4, w punkcie 6.2. literę „h) rury z polibutylenu (PB) zgodnie z normami UNE-EN ISO 15876-1:2017, UNE-EN ISO 15876-2:2017 i UNE-EN ISO 15876-3:2017;” zastępuje się literą „h) rury z polibutylenu (PB) zgodnie z normami UNE-EN ISO 15876-1:2017, UNE-EN ISO 15876-2:2017 i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w sekcji</w:t>
      </w:r>
      <w:r>
        <w:rPr>
          <w:rFonts w:ascii="Calibri" w:hAnsi="Calibri"/>
          <w:b/>
          <w:sz w:val="22"/>
        </w:rPr>
        <w:t xml:space="preserve"> </w:t>
      </w:r>
      <w:r>
        <w:rPr>
          <w:rFonts w:ascii="Calibri" w:hAnsi="Calibri"/>
          <w:sz w:val="22"/>
        </w:rPr>
        <w:t>HS 4, dodatek C, w brzmieniu: „Systemy przewodów rurowych z tworzyw sztucznych do instalacji wody ciepłej i zimnej. Polibutylen (PB). Część 1: Postanowienia ogólne", powinno brzmieć: „Systemy przewodów rurowych z tworzyw sztucznych do instalacji wody ciepłej i zimnej. Polibuten (PB). Część 1: Postanowienia ogólne</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w sekcji</w:t>
      </w:r>
      <w:r>
        <w:rPr>
          <w:rFonts w:ascii="Calibri" w:hAnsi="Calibri"/>
          <w:b/>
          <w:sz w:val="22"/>
        </w:rPr>
        <w:t xml:space="preserve"> </w:t>
      </w:r>
      <w:r>
        <w:rPr>
          <w:rFonts w:ascii="Calibri" w:hAnsi="Calibri"/>
          <w:sz w:val="22"/>
        </w:rPr>
        <w:t>HS 4, dodatek C, w brzmieniu: „Systemy przewodów rurowych z tworzyw sztucznych do instalacji wody ciepłej i zimnej. Polibutylen (PB). Część 2: Rury", powinno brzmieć: „Systemy przewodów rurowych z tworzyw sztucznych do instalacji wody ciepłej i zimnej. Polibuten (PB). Część 2: Rury</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w sekcji</w:t>
      </w:r>
      <w:r>
        <w:rPr>
          <w:rFonts w:ascii="Calibri" w:hAnsi="Calibri"/>
          <w:b/>
          <w:sz w:val="22"/>
        </w:rPr>
        <w:t xml:space="preserve"> </w:t>
      </w:r>
      <w:r>
        <w:rPr>
          <w:rFonts w:ascii="Calibri" w:hAnsi="Calibri"/>
          <w:sz w:val="22"/>
        </w:rPr>
        <w:t>HS 4, dodatek C, w brzmieniu: „Systemy przewodów rurowych z tworzyw sztucznych do instalacji wody ciepłej i zimnej. Polibutylen (PB). Część 3: Kształtki", powinno brzmieć: „Systemy przewodów rurowych z tworzyw sztucznych do instalacji wody ciepłej i zimnej. Polibuten (PB). Część 3: Kształtki.</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w sekcji HS 4 dodatek C po odniesieniu do normy „UNE-EN ISO 15876-3” wprowadza się następujące pozycje: 2017</w:t>
      </w:r>
      <w:r>
        <w:rPr>
          <w:rFonts w:ascii="Calibri" w:hAnsi="Calibri"/>
          <w:sz w:val="22"/>
        </w:rPr>
        <w:tab/>
        <w:t>Systemy przewodów rurowych z tworzyw sztucznych do instalacji wody ciepłej i zimnej. Polibuten (PB). Część 3: Kształtki", następujące normy:</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Systemy przewodów rurowych z tworzyw sztucznych do instalacji wody ciepłej i zimnej. Chlorowany poli(chlorek winylu) (PVC-C). Część 1: Wymagania ogólne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Systemy przewodów rurowych z tworzyw sztucznych do instalacji wody ciepłej i zimnej. Chlorowany poli(chlorek winylu) (PVC-C). Część 2: Rury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Systemy przewodów rurowych z tworzyw sztucznych do instalacji wody ciepłej i zimnej. Chlorowany poli(chlorek winylu) (PVC-C). Część 3: Kształtki.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Pierwszy przepis przejściowy. </w:t>
      </w:r>
      <w:r>
        <w:rPr>
          <w:rFonts w:ascii="Calibri" w:hAnsi="Calibri"/>
          <w:i/>
          <w:sz w:val="22"/>
        </w:rPr>
        <w:t>Budynki zwolnione z przepisów niniejszego dekretu królewskiego.</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Zmiany kodeksu techniczno-budowlanego (CTE) przyjęte niniejszym dekretem królewskim nie mają zastosowania do prac przy nowych budynkach lub prac prowadzonych w istniejących budynkach, które w obu przypadkach wymagały </w:t>
      </w:r>
      <w:r>
        <w:rPr>
          <w:rFonts w:ascii="Calibri" w:hAnsi="Calibri"/>
          <w:sz w:val="22"/>
        </w:rPr>
        <w:lastRenderedPageBreak/>
        <w:t xml:space="preserve">zezwolenia władz samorządowych na prowadzenie robót w momencie wejścia w życie niniejszego dekretu królewskiego.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Prace te rozpoczynają się w maksymalnym okresie obowiązywania zezwolenia zgodnie z określonymi w nim warunkami, a w przypadku ich braku, w ciągu sześciu miesięcy od daty wydania zezwolenia. W przeciwnym razie projekty muszą zostać dostosowane do zmian w CTE zatwierdzonych niniejszym dekretem królewskim.</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Drugi przepis przejściowy. </w:t>
      </w:r>
      <w:r>
        <w:rPr>
          <w:rFonts w:ascii="Calibri" w:hAnsi="Calibri"/>
          <w:i/>
          <w:sz w:val="22"/>
        </w:rPr>
        <w:t>Budynki, w odniesieniu do których zastosowanie przepisów niniejszego dekretu królewskiego jest dobrowolne.</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Zmiany w kodeksie techniczno-budowlanym zatwierdzone niniejszym dekretem królewskim mają zastosowanie dobrowolnie do nowych robót budowlanych oraz do robót w istniejących budynkach, dla których w obu przypadkach wymagane jest zezwolenie władz samorządowych na roboty budowlane w terminie sześciu miesięcy od wejścia w życie niniejszego dekretu królewskiego.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Prace te rozpoczynają się w maksymalnym okresie obowiązywania zezwolenia zgodnie z określonymi w nim warunkami, a w przypadku ich braku, w ciągu sześciu miesięcy od daty wydania zezwolenia. W przeciwnym razie projekty muszą zostać dostosowane do zmian w CTE zatwierdzonych niniejszym dekretem królewskim.</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Trzeci przepis przejściowy. </w:t>
      </w:r>
      <w:r>
        <w:rPr>
          <w:rFonts w:ascii="Calibri" w:hAnsi="Calibri"/>
          <w:i/>
          <w:sz w:val="22"/>
        </w:rPr>
        <w:t>Budynki, w odniesieniu do których stosowanie przepisów niniejszego dekretu królewskiego jest obowiązkowe.</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Stosowanie zmian w kodeksie techniczno-budowlanym (CTE) przyjętych niniejszym dekretem królewskim jest obowiązkowe w odniesieniu do prac przy nowych budynkach lub prac w istniejących budynkach, dla których wymagane jest zezwolenie władz samorządowych na roboty budowlane po upływie dziewięciu miesięcy od wejścia w życie tego przepisu.</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Pierwszy przepis końcowy. </w:t>
      </w:r>
      <w:r>
        <w:rPr>
          <w:rFonts w:ascii="Calibri" w:hAnsi="Calibri"/>
          <w:i/>
          <w:sz w:val="22"/>
        </w:rPr>
        <w:t>Zmiana dekretu królewskiego 1053/2014 z dnia 12 grudnia, zatwierdzająca nowe dodatkowe wytyczne techniczne (ITC) BT 52 "Instalacje do celów specjalnych. Infrastruktura ładowania pojazdów elektrycznych” przepisów elektrotechnicznych dotyczących niskich napięć, zatwierdzonych dekretem królewskim 842/2002 z dnia 2 sierpnia oraz inne dodatkowe wytyczne techniczne podlegają zmianom.</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W dekrecie królewskim 1053/2014 z dnia 12 grudnia, zatwierdzającym nowe dodatkowe wytyczne techniczne (ITC) BT 52 „Instalacje specjalnego przeznaczenia. Infrastruktura do ładowania pojazdów elektrycznych” przepisów elektrotechnicznych dotyczących niskich napięć, zatwierdzonych dekretem królewskim 842/2002 z dnia 2 sierpnia, oraz inne dodatkowe wytyczne techniczne wprowadza się następujące zmiany: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Jeden. Pierwszy dodatkowy przepis zostaje zmieniony i otrzymuje brzmienie:</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„Pierwszy przepis dodatkowy. Minimalne urządzenia infrastruktury ładowania pojazdów elektrycznych na parkingach, które nie przynależą do budynków, nowo wybudowanych lub poddawanych gruntownym remontom oraz na drogach publicznych.</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Na parkingach nowo wybudowanych lub poddanych generalnym remontom, które nie są zlokalizowane w budynku lub przylegają do niego, a zatem nie są objęte zakresem podstawowego dokumentu dotyczącego oszczędności energii (DB HE) technicznego kodeksu budowlanego, należy zainstalować co najmniej jedną stację ładowania na każde 40 miejsc parkingowych lub ich ułamek. Parking uznaje się za nowo wybudowany, gdy projekt budowlany zostanie przedstawiony do rozpatrzenia właściwej administracji publicznej po wejściu w życie niniejszego dekretu królewskiego.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lastRenderedPageBreak/>
        <w:t>2. Na drogach publicznych należy wykonać niezbędne urządzenia do zasilania zlokalizowanych na postojach stacji ładowania pojazdów elektrycznych przewidzianych w ponadgminnych lub gminnych planach zrównoważonej mobilności.”</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Dwa W części 3.2 dodatkowych wytycznych technicznych (ITC) BT-52 wprowadza się następujące zmiany: </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Instalacja na parkingach lub zbiorczych parkingach przylegających do budynków lub kompleksów budynków.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Instalacje elektryczne do ładowania </w:t>
      </w:r>
      <w:r>
        <w:rPr>
          <w:rFonts w:ascii="Calibri" w:hAnsi="Calibri"/>
          <w:color w:val="000000"/>
          <w:sz w:val="22"/>
        </w:rPr>
        <w:t>pojazdów elektrycznych</w:t>
      </w:r>
      <w:r>
        <w:rPr>
          <w:rFonts w:ascii="Calibri" w:hAnsi="Calibri"/>
          <w:sz w:val="22"/>
        </w:rPr>
        <w:t xml:space="preserve"> zlokalizowane na parkingach lub parkingach wewnętrznych lub przy budynkach lub kompleksach budynków muszą być zgodne z opisanymi powyżej schematami.</w:t>
      </w:r>
      <w:r>
        <w:rPr>
          <w:rFonts w:ascii="Calibri" w:hAnsi="Calibri"/>
          <w:color w:val="000000"/>
          <w:sz w:val="22"/>
        </w:rPr>
        <w:t xml:space="preserve"> </w:t>
      </w:r>
      <w:r>
        <w:rPr>
          <w:rFonts w:ascii="Calibri" w:hAnsi="Calibri"/>
          <w:sz w:val="22"/>
        </w:rPr>
        <w:t>W tym samym budynku mogą być stosowane różne schematy, pod warunkiem spełnienia wszystkich wymagań określonych w niniejszym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 schemacie 4a obwód ładowania musi być zgodny z warunkami instalacji opisanymi w (ITC) BT-15, wykonanej przy użyciu kabli i układów przewodzących tego samego typu i o takich samych właściwościach jak w przypadku pojedynczej gałęzi, a przekrój kabla oblicza się zgodnie z ogólnymi wymogami sekcji 5 niniejszych wytycznych ITC. Nie jest konieczne przewidywanie zwiększenia przekroju kabli w celu określenia średnicy lub poprzecznych wymiarów stosowanego systemu przewodzenia.</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Schemat 4b stosuje się w przypadku, gdy zasilanie stacji ładowania jest zaprojektowane jako integralna część lub rozszerzenie instalacji elektrycznej zasilającej ogólne systemy warsztatowe.</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Zarówno w obiektach istniejących, jak i nowych oraz w celu ułatwienia korzystania z wybranego schematu elektrycznego, panele, w których znajdują się zabezpieczenia ogólne i inne urządzenia do ładowania pojazdów elektrycznych, mogą znajdować się w przystosowanych do tego pomieszczeniach lub w pomieszczeniach wspólnych.</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Wstępna instalacja elektryczna do ładowania pojazdów elektrycznych na parkingach znajdujących się lub przylegających do budynków lub kompleksów budynków ułatwia późniejsze korzystanie z wszelkich możliwych schematów instalacyjnych. Obejmuje to następujące elementy: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Instalacja systemów przewodowych od centralki liczników i przy głównych drogach parkingów w celu umożliwienia późniejszego zasilania stacji ładowania, które mogą być zlokalizowane w poszczególnych miejscach parkingowych lub parkingach. W przypadku gdy instalacja wstępna jest planowana dla 100 % miejsc parkingowych, systemy prowadzenia kabli muszą docierać do każdego miejsca. W przypadku gdy instalacja wstępna nie jest planowana dla 100 % miejsc parkingowych, należy określić miejsca uznane za zgodne z przepisami dotyczącymi systemów prowadzenia przewodów kablowych, a systemy te powinny dotrzeć do każdego z tych miejsc.</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Centralka liczników zostanie zwymiarowana zgodnie ze schematem elektrycznym wybranym do ładowania pojazdów elektrycznych i zgodnie z (ITC) BT-16. Moduły rezerwowe będą zainstalowane na co najmniej 20% miejsc parkingowych nieprzypisanych do mieszkań, a nawet jeżeli wszystkie miejsca są przypisane do mieszkań, zainstalowany będzie co najmniej jeden moduł rezerwowy. Te moduły rezerwowe będą miały możliwość zlokalizowania głównego licznika i związanych z nim urządzeń zabezpieczających przed przetężeniem, z bezpiecznikami lub wyłącznikiem.</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Gniazda wtyczkowe lub złącza zainstalowane w stacji ładującej i ich automatyczne wyłączniki zabezpieczające muszą być zgodne z dowolną z opcji wskazanych w sekcji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Trzy. Zmieniono akapit pierwszy sekcji 5.4 DODATKOWYCH WYTYCZNYCH TECHNICZNYCH (ITC) BT-52, który ma następujące brzmienie:</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lastRenderedPageBreak/>
        <w:t xml:space="preserve">„5.4 Punkt przyłączeniowy. </w:t>
      </w:r>
      <w:bookmarkStart w:id="26" w:name="_Hlk81468651"/>
      <w:r>
        <w:rPr>
          <w:rFonts w:ascii="Calibri" w:hAnsi="Calibri"/>
          <w:sz w:val="22"/>
        </w:rPr>
        <w:t xml:space="preserve">Punkt przyłączeniowy znajduje się obok kwadratu, który ma być zasilany, i musi być trwale zainstalowany w obudowie.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Minimalna wysokość instalacji gniazd i złączy musi wynosić 60 cm nad poziomem podłoża. </w:t>
      </w:r>
      <w:bookmarkStart w:id="27" w:name="_Hlk81468224"/>
      <w:r>
        <w:rPr>
          <w:rFonts w:ascii="Calibri" w:hAnsi="Calibri"/>
          <w:sz w:val="22"/>
        </w:rPr>
        <w:t>Jeżeli stacja ładowania jest przeznaczona do użytku publicznego, maksymalna wysokość wynosi 120 cm. W dostępnych miejscach postojowych gniazda i złącza muszą być chromatycznie skontrastowane z otoczeniem, znajdować się na wysokości między 80 a 120 cm, a odległość od narożników musi wynosić co najmniej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Drugi przepis końcowy. </w:t>
      </w:r>
      <w:r>
        <w:rPr>
          <w:rFonts w:ascii="Calibri" w:hAnsi="Calibri"/>
          <w:i/>
          <w:sz w:val="22"/>
        </w:rPr>
        <w:t>Transpozycja prawa Unii Europejskiej.</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Niniejszy dekret królewski transponuje do prawa hiszpańskiego art. 8 ust. 2, 8 ust. 4, 8 ust. 5 i 8 ust. 6 dyrektywy Parlamentu Europejskiego i Rady 2010/31/UE w sprawie charakterystyki energetycznej budynków, zmienionej dyrektywą Parlamentu Europejskiego i Rady (UE) 2018/844 z dnia 30 maja 2018 r. zmieniającą dyrektywę 2010/31/UE </w:t>
      </w:r>
      <w:r>
        <w:t xml:space="preserve"> </w:t>
      </w:r>
      <w:bookmarkStart w:id="28" w:name="_Hlk92814279"/>
      <w:r>
        <w:rPr>
          <w:rFonts w:ascii="Calibri" w:hAnsi="Calibri"/>
          <w:sz w:val="22"/>
        </w:rPr>
        <w:t>w sprawie charakterystyki energetycznej budynków</w:t>
      </w:r>
      <w:r>
        <w:t xml:space="preserve"> </w:t>
      </w:r>
      <w:bookmarkEnd w:id="28"/>
      <w:r>
        <w:t xml:space="preserve"> </w:t>
      </w:r>
      <w:r>
        <w:rPr>
          <w:rFonts w:ascii="Calibri" w:hAnsi="Calibri"/>
          <w:sz w:val="22"/>
        </w:rPr>
        <w:t>oraz dyrektywę 2012/27/UE w sprawie efektywności energetycznej.</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Trzeci przepis końcowy. </w:t>
      </w:r>
      <w:r>
        <w:rPr>
          <w:rFonts w:ascii="Calibri" w:hAnsi="Calibri"/>
          <w:i/>
          <w:sz w:val="22"/>
        </w:rPr>
        <w:t>Wejście w życie.</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Niniejszy dekret królewski wchodzi w życie następnego dnia po jego publikacji w Dzienniku Urzędowym.</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DO PRZEDŁOŻENIA RADZIE MINISTRÓW</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Madryt, dnia            2022 r.</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MINISTER TRANSPORTU, MOBILNOŚCI I AGENDY MIEJSKIEJ</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TRZECIA WICEPRZEWODNICZĄCA RZĄDU I MINISTER DS. ZMIAN KLIMATU I PROBLEMÓW DEMOGRAFICZNYCH</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DB02" w14:textId="77777777" w:rsidR="00143A4C" w:rsidRDefault="00143A4C">
      <w:r>
        <w:separator/>
      </w:r>
    </w:p>
  </w:endnote>
  <w:endnote w:type="continuationSeparator" w:id="0">
    <w:p w14:paraId="5CA2C1A8" w14:textId="77777777" w:rsidR="00143A4C" w:rsidRDefault="0014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3F37" w14:textId="77777777" w:rsidR="00143A4C" w:rsidRDefault="00143A4C">
      <w:r>
        <w:separator/>
      </w:r>
    </w:p>
  </w:footnote>
  <w:footnote w:type="continuationSeparator" w:id="0">
    <w:p w14:paraId="1BB3403B" w14:textId="77777777" w:rsidR="00143A4C" w:rsidRDefault="0014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581"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80582"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MINISTERSTWO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TRANSPORTU, MOBILNOŚCI I URBANISTYKI</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MINISTERSTWO TRANSFORMACJI EKOLOGICZNEJ I WYZWAŃ DEMOGRAFICZNYCH</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NR 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NR 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43A4C"/>
    <w:rsid w:val="001F7365"/>
    <w:rsid w:val="002B64A6"/>
    <w:rsid w:val="004D344F"/>
    <w:rsid w:val="00513973"/>
    <w:rsid w:val="00546D77"/>
    <w:rsid w:val="00717198"/>
    <w:rsid w:val="007C6042"/>
    <w:rsid w:val="008577E8"/>
    <w:rsid w:val="008D3E08"/>
    <w:rsid w:val="00991C0F"/>
    <w:rsid w:val="009B305A"/>
    <w:rsid w:val="00B00277"/>
    <w:rsid w:val="00B369EC"/>
    <w:rsid w:val="00BC3417"/>
    <w:rsid w:val="00C93CCC"/>
    <w:rsid w:val="00CE0018"/>
    <w:rsid w:val="00D60A1D"/>
    <w:rsid w:val="00E379B2"/>
    <w:rsid w:val="00E605F9"/>
    <w:rsid w:val="00EA33B6"/>
    <w:rsid w:val="00EB4797"/>
    <w:rsid w:val="00EC29DF"/>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pl-PL"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2</TotalTime>
  <Pages>17</Pages>
  <Words>6817</Words>
  <Characters>44727</Characters>
  <Application>Microsoft Office Word</Application>
  <DocSecurity>0</DocSecurity>
  <Lines>648</Lines>
  <Paragraphs>283</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2022-09-12T07:37:00Z</dcterms:created>
  <dcterms:modified xsi:type="dcterms:W3CDTF">2022-09-12T07:37:00Z</dcterms:modified>
</cp:coreProperties>
</file>