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DC63" w14:textId="62DD922F" w:rsidR="00D622C7" w:rsidRPr="00D622C7" w:rsidRDefault="00D622C7" w:rsidP="00D622C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Beschikking van 1 maart 2021</w:t>
      </w:r>
      <w:r w:rsidR="00B25364">
        <w:rPr>
          <w:rFonts w:ascii="Times New Roman" w:hAnsi="Times New Roman"/>
          <w:b/>
          <w:sz w:val="36"/>
        </w:rPr>
        <w:t xml:space="preserve"> </w:t>
      </w:r>
      <w:r>
        <w:rPr>
          <w:rFonts w:ascii="Times New Roman" w:hAnsi="Times New Roman"/>
          <w:b/>
          <w:sz w:val="36"/>
        </w:rPr>
        <w:t>tot wijziging van de beschikking van 10 juli 2020 tot vaststelling van de organisatorische en operationele maatregelen voor de gezondheidsstelsels die nodig zijn om de COVID-19-epidemie aan te pakken in het kader van de noodsituatie in de gezondheidstoestand</w:t>
      </w:r>
    </w:p>
    <w:p w14:paraId="02C4AEC4" w14:textId="77777777" w:rsidR="00D622C7" w:rsidRPr="00D622C7" w:rsidRDefault="00D622C7" w:rsidP="00D622C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Eerste versie </w:t>
      </w:r>
    </w:p>
    <w:p w14:paraId="4E713ECA"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minister van Solidariteit en Volksgezondheid,</w:t>
      </w:r>
      <w:r>
        <w:rPr>
          <w:rFonts w:ascii="Times New Roman" w:hAnsi="Times New Roman"/>
          <w:sz w:val="24"/>
        </w:rPr>
        <w:br/>
        <w:t>Gelet op Richtlijn 98/79/EG van het Europees Parlement en de Raad van 27 oktober 1998 betreffende medische hulpmiddelen voor in-vitrodiagnostiek;</w:t>
      </w:r>
      <w:r>
        <w:rPr>
          <w:rFonts w:ascii="Times New Roman" w:hAnsi="Times New Roman"/>
          <w:sz w:val="24"/>
        </w:rPr>
        <w:br/>
        <w:t>Gezien Richtlijn (EU) 2015/1535 van het Europees Parlement en de Raad van 9 september 2015 betreffende een informatieprocedure op het gebied van technische voorschriften en regels betreffende de diensten van de informatiemaatschappij, en met name kennisgeving nr. 2021/129/F;</w:t>
      </w:r>
      <w:r>
        <w:rPr>
          <w:rFonts w:ascii="Times New Roman" w:hAnsi="Times New Roman"/>
          <w:sz w:val="24"/>
        </w:rPr>
        <w:br/>
        <w:t>Gelet op de Wet op de Volksgezondheid, en met name op artikel L. 3131-16 daarvan;</w:t>
      </w:r>
      <w:r>
        <w:rPr>
          <w:rFonts w:ascii="Times New Roman" w:hAnsi="Times New Roman"/>
          <w:sz w:val="24"/>
        </w:rPr>
        <w:br/>
        <w:t>Gelet op het Wetboek van sociale zekerheid [Code de la sécurité sociale];</w:t>
      </w:r>
      <w:r>
        <w:rPr>
          <w:rFonts w:ascii="Times New Roman" w:hAnsi="Times New Roman"/>
          <w:sz w:val="24"/>
        </w:rPr>
        <w:br/>
        <w:t>Gelet op wet nr. 2020-1379 van 14 november 2020 houdende machtiging tot verlenging van de noodtoestand met betrekking tot gezondheid en tot vaststelling van diverse maatregelen voor het beheer van de gezondheidscrisis, zoals gewijzigd;</w:t>
      </w:r>
      <w:r>
        <w:rPr>
          <w:rFonts w:ascii="Times New Roman" w:hAnsi="Times New Roman"/>
          <w:sz w:val="24"/>
        </w:rPr>
        <w:br/>
        <w:t>Gelet op besluit nr. 2020-1257 van 14 oktober 2020 waarbij de noodtoestand met betrekking tot gezondheid wordt afgekondigd;</w:t>
      </w:r>
      <w:r>
        <w:rPr>
          <w:rFonts w:ascii="Times New Roman" w:hAnsi="Times New Roman"/>
          <w:sz w:val="24"/>
        </w:rPr>
        <w:br/>
        <w:t>Gelet op de beschikking van 13 augustus 2014 tot vaststelling van de categorieën beroepsbeoefenaren in de gezondheidszorg die gemachtigd zijn biologische monsters voor klinische tests te nemen en de analysefase van de klinische tests buiten een klinisch laboratorium uit te voeren, en op de plaatsen waar deze stadia mogen worden uitgevoerd;</w:t>
      </w:r>
      <w:r>
        <w:rPr>
          <w:rFonts w:ascii="Times New Roman" w:hAnsi="Times New Roman"/>
          <w:sz w:val="24"/>
        </w:rPr>
        <w:br/>
        <w:t>Gelet op de beschikking van 10 juli 2020 waarbij de maatregelen voor organisatorische en operationele gezondheidsstelsels worden voorgeschreven die nodig zijn om de COVID-19-epidemie te bestrijden in het kader van de noodtoestand met betrekking tot gezondheid, als gewijzigd;</w:t>
      </w:r>
      <w:r>
        <w:rPr>
          <w:rFonts w:ascii="Times New Roman" w:hAnsi="Times New Roman"/>
          <w:sz w:val="24"/>
        </w:rPr>
        <w:br/>
        <w:t>Gelet op de beschikking van 23 december 2020 tot vaststelling van de specificaties voor experimenten op het gebied van de zorg via telemonitoring, uitgevoerd op grond van artikel 54 van wet nr. 2017-1836 betreffende de financiering van de sociale zekerheid voor 2018;</w:t>
      </w:r>
      <w:r>
        <w:rPr>
          <w:rFonts w:ascii="Times New Roman" w:hAnsi="Times New Roman"/>
          <w:sz w:val="24"/>
        </w:rPr>
        <w:br/>
        <w:t>Overwegende dat ter vergemakkelijking van de telezorg van patiënten die ervan worden verdacht een COVID-19-infectie te hebben of met COVID-19 te zijn besmet, is voorzien in afwijkingen voor de tijd die nodig is voor gezondheidswerkers om zich uit te rusten met digitale instrumenten die voldoen aan het algemene beleid inzake de veiligheid van gezondheidsinformatiesystemen en de voorschriften inzake de hosting van gezondheidsgegevens; overwegende dat deze overgangsafwijkingen thans kunnen worden opgeheven;</w:t>
      </w:r>
      <w:r>
        <w:rPr>
          <w:rFonts w:ascii="Times New Roman" w:hAnsi="Times New Roman"/>
          <w:sz w:val="24"/>
        </w:rPr>
        <w:br/>
        <w:t>Overwegende dat de afwijkingen van de criteria voor de opneming van proeven op het gebied van telemonitoring die op grond van artikel 54 van de wet op de financiering van de sociale zekerheid voor 2018 ten uitvoer worden gelegd, thans zijn opgenomen in bovengenoemde beschikking van 23 december 2020; overwegende dat het niet langer nodig is deze op te nemen in de beschikking van 10 juli 2020 gewijzigd bij dit besluit;</w:t>
      </w:r>
      <w:r>
        <w:rPr>
          <w:rFonts w:ascii="Times New Roman" w:hAnsi="Times New Roman"/>
          <w:sz w:val="24"/>
        </w:rPr>
        <w:br/>
      </w:r>
      <w:r>
        <w:rPr>
          <w:rFonts w:ascii="Times New Roman" w:hAnsi="Times New Roman"/>
          <w:sz w:val="24"/>
        </w:rPr>
        <w:lastRenderedPageBreak/>
        <w:t>Overwegende dat kennis van de mate van aanwezigheid en verspreiding van de verschillende varianten op het nationale grondgebied noodzakelijk is voor een goede beheersing van de crisis; overwegende dat het derhalve noodzakelijk is een grotere soepelheid en een betere responsiviteit toe te staan voor het gebruik van hulpmiddelen die nieuwe varianten detecteren, door klinische laboratoria toe te staan medische hulpmiddelen voor in-vitrodiagnostiek voor eigen gebruik te vervaardigen die worden gebruikt voor de screening van SARS-CoV-2-varianten met behulp van een specifieke RT-PCR-techniek;</w:t>
      </w:r>
      <w:r>
        <w:rPr>
          <w:rFonts w:ascii="Times New Roman" w:hAnsi="Times New Roman"/>
          <w:sz w:val="24"/>
        </w:rPr>
        <w:br/>
        <w:t>Overwegende dat het noodzakelijk is screening toe te staan om de aanwezigheid op te sporen van verschillende varianten van belang die op het grondgebied circuleren na een antigeentest waarvan het resultaat positief is, en om te voorzien in een vergoeding voor de relevante bemonsterings- en screeningsacties voor verschillende gezondheidswerkers,</w:t>
      </w:r>
      <w:r>
        <w:rPr>
          <w:rFonts w:ascii="Times New Roman" w:hAnsi="Times New Roman"/>
          <w:sz w:val="24"/>
        </w:rPr>
        <w:br/>
        <w:t>Beveelt hierbij:</w:t>
      </w:r>
    </w:p>
    <w:p w14:paraId="69829DF4"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52F290ED"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Bovengenoemde beschikking van 10 juli 2020 wordt als volgt gewijzigd:</w:t>
      </w:r>
      <w:r>
        <w:rPr>
          <w:rFonts w:ascii="Times New Roman" w:hAnsi="Times New Roman"/>
          <w:sz w:val="24"/>
        </w:rPr>
        <w:br/>
        <w:t>1) In artikel 17 worden I, VI en VII geschrapt;</w:t>
      </w:r>
      <w:r>
        <w:rPr>
          <w:rFonts w:ascii="Times New Roman" w:hAnsi="Times New Roman"/>
          <w:sz w:val="24"/>
        </w:rPr>
        <w:br/>
        <w:t>2) Na VI van artikel 18 wordt een nieuw artikel VI(a) ingevoegd, dat als volgt luidt:</w:t>
      </w:r>
      <w:r>
        <w:rPr>
          <w:rFonts w:ascii="Times New Roman" w:hAnsi="Times New Roman"/>
          <w:sz w:val="24"/>
        </w:rPr>
        <w:br/>
        <w:t>VI(a). - Na een positieve antigeentest mogen particuliere apothekers monsters nemen in apotheken, gefactureerd volgens de in IV omschreven vergoeding, voor de uitvoering van een screeningtest op varianten met behulp van een specifieke RT-PCR-techniek in een klinisch laboratorium onder de in artikel 28-2 van deze beschikking bedoelde voorwaarden. De monsters worden genomen onder verantwoordelijkheid van een klinisch laboratorium binnen het kader van een overeenkomst met de aanleverende apotheker. ”;</w:t>
      </w:r>
      <w:r>
        <w:rPr>
          <w:rFonts w:ascii="Times New Roman" w:hAnsi="Times New Roman"/>
          <w:sz w:val="24"/>
        </w:rPr>
        <w:br/>
        <w:t>3) Artikel 25 wordt aangevuld met VII, luidend als volgt:</w:t>
      </w:r>
      <w:r>
        <w:rPr>
          <w:rFonts w:ascii="Times New Roman" w:hAnsi="Times New Roman"/>
          <w:sz w:val="24"/>
        </w:rPr>
        <w:br/>
        <w:t>“VII. - In afwijking van artikel L. 5221-5 van de Wet op de Volksgezondheid mogen medische hulpmiddelen voor in-vitrodiagnostiek die worden gebruikt voor de screening van SARS-CoV-2-varianten met behulp van een specifieke RT-PCR-techniek, die voldoen aan de technische voorschriften op de website van het ministerie van Volksgezondheid, worden vervaardigd door de in artikel L. 6212-1 van de Wet op de Volksgezondheid genoemde klinische laboratoria.</w:t>
      </w:r>
      <w:r>
        <w:rPr>
          <w:rFonts w:ascii="Times New Roman" w:hAnsi="Times New Roman"/>
          <w:sz w:val="24"/>
        </w:rPr>
        <w:br/>
        <w:t>“De in het vorige lid bedoelde medische hulpmiddelen voor in-vitrodiagnostiek worden uitsluitend voor eigen gebruik in een klinisch laboratorium vervaardigd en gebruikt.</w:t>
      </w:r>
      <w:r>
        <w:rPr>
          <w:rFonts w:ascii="Times New Roman" w:hAnsi="Times New Roman"/>
          <w:sz w:val="24"/>
        </w:rPr>
        <w:br/>
        <w:t>In afwijking van artikel R. 5221-21, tweede alinea, van de Wet op de Volksgezondheid moeten de in de eerste alinea van dit VII bedoelde klinische laboratoria voldoen aan de specificaties die zijn gepubliceerd op de websites van het Nationaal Agentschap voor de veiligheid van geneesmiddelen en gezondheidsproducten en het ministerie van Volksgezondheid. Zij delen het Agentschap de in deze specificaties bedoelde informatie mede.</w:t>
      </w:r>
      <w:r>
        <w:rPr>
          <w:rFonts w:ascii="Times New Roman" w:hAnsi="Times New Roman"/>
          <w:sz w:val="24"/>
        </w:rPr>
        <w:br/>
        <w:t>Deze klinische laboratoria zijn onderworpen aan de reagensbewakingsverplichtingen van de artikelen R. 5222-16 tot en met R. 5222-18 van de Wet op de Volksgezondheid voor de vervaardiging en het gebruik van dergelijke medische hulpmiddelen voor in-vitrodiagnostiek. ”;</w:t>
      </w:r>
      <w:r>
        <w:rPr>
          <w:rFonts w:ascii="Times New Roman" w:hAnsi="Times New Roman"/>
          <w:sz w:val="24"/>
        </w:rPr>
        <w:br/>
        <w:t>(4) Na de eerste alinea van I van artikel 28-2 wordt een lid ingevoegd dat als volgt luidt:</w:t>
      </w:r>
      <w:r>
        <w:rPr>
          <w:rFonts w:ascii="Times New Roman" w:hAnsi="Times New Roman"/>
          <w:sz w:val="24"/>
        </w:rPr>
        <w:br/>
        <w:t xml:space="preserve">“Na een positieve antigeentest kunnen de klinische laboratoria onder de in de vorige alinea vastgestelde voorwaarden een variantscreeningstest factureren met behulp van een specifieke RT-PCR-techniek op een nieuw monster dat daartoe is genomen. Indien het klinisch laboratorium een nieuw monster neemt, kan het bovendien de </w:t>
      </w:r>
      <w:r>
        <w:rPr>
          <w:rFonts w:ascii="Times New Roman" w:hAnsi="Times New Roman"/>
          <w:sz w:val="24"/>
        </w:rPr>
        <w:lastRenderedPageBreak/>
        <w:t>monsternemingshandeling in rekening brengen overeenkomstig 9058 van de nomenclatuur voor klinische handelingen. ”</w:t>
      </w:r>
    </w:p>
    <w:p w14:paraId="3EAEB488"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4F50967A"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Deze beschikking wordt bekendgemaakt in het Publicatieblad van de Franse Republiek.</w:t>
      </w:r>
    </w:p>
    <w:p w14:paraId="61A9B4B0"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Gedaan op 1 maart 2021.</w:t>
      </w:r>
    </w:p>
    <w:p w14:paraId="4685B322" w14:textId="1F96F99F"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Olivier </w:t>
      </w:r>
      <w:r w:rsidR="00AE6172">
        <w:rPr>
          <w:rFonts w:ascii="Times New Roman" w:eastAsia="Times New Roman" w:hAnsi="Times New Roman" w:cs="Times New Roman"/>
          <w:sz w:val="24"/>
          <w:szCs w:val="24"/>
          <w:lang w:eastAsia="fr-FR"/>
        </w:rPr>
        <w:t>Véran</w:t>
      </w:r>
    </w:p>
    <w:p w14:paraId="1235E81C" w14:textId="77777777" w:rsidR="00E97DB3" w:rsidRDefault="00E97DB3"/>
    <w:sectPr w:rsidR="00E97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C7"/>
    <w:rsid w:val="00AE6172"/>
    <w:rsid w:val="00B25364"/>
    <w:rsid w:val="00D622C7"/>
    <w:rsid w:val="00E97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1247"/>
  <w15:chartTrackingRefBased/>
  <w15:docId w15:val="{BC18C458-0887-4048-8F7C-AC5C84F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3990">
      <w:bodyDiv w:val="1"/>
      <w:marLeft w:val="0"/>
      <w:marRight w:val="0"/>
      <w:marTop w:val="0"/>
      <w:marBottom w:val="0"/>
      <w:divBdr>
        <w:top w:val="none" w:sz="0" w:space="0" w:color="auto"/>
        <w:left w:val="none" w:sz="0" w:space="0" w:color="auto"/>
        <w:bottom w:val="none" w:sz="0" w:space="0" w:color="auto"/>
        <w:right w:val="none" w:sz="0" w:space="0" w:color="auto"/>
      </w:divBdr>
      <w:divsChild>
        <w:div w:id="84660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1018</Words>
  <Characters>5809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3</cp:revision>
  <dcterms:created xsi:type="dcterms:W3CDTF">2021-03-02T10:04:00Z</dcterms:created>
  <dcterms:modified xsi:type="dcterms:W3CDTF">2021-10-26T11:03:00Z</dcterms:modified>
</cp:coreProperties>
</file>