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DF6A" w14:textId="231973C4" w:rsidR="00056AAB" w:rsidRDefault="00104411" w:rsidP="003667D0">
      <w:pPr>
        <w:tabs>
          <w:tab w:val="left" w:leader="dot" w:pos="3384"/>
          <w:tab w:val="left" w:leader="dot" w:pos="3888"/>
          <w:tab w:val="left" w:leader="dot" w:pos="4824"/>
        </w:tabs>
        <w:spacing w:line="276" w:lineRule="auto"/>
        <w:ind w:left="1296"/>
        <w:jc w:val="center"/>
        <w:textAlignment w:val="baseline"/>
        <w:rPr>
          <w:rFonts w:asciiTheme="minorHAnsi" w:eastAsia="Calibri" w:hAnsiTheme="minorHAnsi"/>
          <w:b/>
          <w:sz w:val="28"/>
        </w:rPr>
      </w:pPr>
      <w:r>
        <w:rPr>
          <w:rFonts w:asciiTheme="minorHAnsi" w:hAnsiTheme="minorHAnsi"/>
          <w:b/>
          <w:color w:val="000000"/>
          <w:sz w:val="28"/>
        </w:rPr>
        <w:t>KRALJEVI ODLOK .../... z dne […] o odobritvi standarda protipotresne gradnje NCSR-</w:t>
      </w:r>
      <w:r>
        <w:rPr>
          <w:rFonts w:asciiTheme="minorHAnsi" w:hAnsiTheme="minorHAnsi"/>
          <w:b/>
          <w:sz w:val="28"/>
        </w:rPr>
        <w:t>23</w:t>
      </w:r>
    </w:p>
    <w:p w14:paraId="227AE49F" w14:textId="77777777" w:rsidR="003667D0" w:rsidRPr="003F6236" w:rsidRDefault="003667D0" w:rsidP="003667D0">
      <w:pPr>
        <w:tabs>
          <w:tab w:val="left" w:leader="dot" w:pos="3384"/>
          <w:tab w:val="left" w:leader="dot" w:pos="3888"/>
          <w:tab w:val="left" w:leader="dot" w:pos="4824"/>
        </w:tabs>
        <w:spacing w:line="276" w:lineRule="auto"/>
        <w:ind w:left="1296"/>
        <w:textAlignment w:val="baseline"/>
        <w:rPr>
          <w:rFonts w:asciiTheme="minorHAnsi" w:eastAsia="Calibri" w:hAnsiTheme="minorHAnsi"/>
          <w:b/>
          <w:sz w:val="28"/>
          <w:lang w:val="pt-PT"/>
        </w:rPr>
      </w:pPr>
    </w:p>
    <w:p w14:paraId="418AC172" w14:textId="37EBFE33" w:rsidR="00A44FF2" w:rsidRDefault="00104411"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Stalni odbor za standarde potresne odpornosti, medresorski kolegijski organ, ustanovljen z Uredbo 3209/1974 z dne 30. avgusta, ki deluje kot del ministrstva za promet, mobilnost in urbano agendo ter v okviru generalnega direktorata Nacionalnega geografskega inštituta, kot je določeno v Kraljevem odloku št. 645/2020 z dne 7. julija o razvoju osnovne organizacijske strukture ministrstva za promet, mobilnost in urbano agendo, je med drugim zadolžen za posodobitev predpisov o potresni odpornosti, kot je določeno v členu 2(B) Kraljevega odloka št. 518/1984 z dne 22. februarja, ki spreminja njegovo sestavo.</w:t>
      </w:r>
    </w:p>
    <w:p w14:paraId="032C0763" w14:textId="4901726A" w:rsidR="00C25687" w:rsidRDefault="00757E5B"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Do zdaj so bili veljavni predpisi vključeni v „Standard protipotresne gradnje: Splošni oddelek in gradnja (NCSE-02)“, odobren s Kraljevim odlokom št. 997/2002 z dne 27. septembra, in v „Standard protipotresne gradnje: Mostovi (NCSP-07)“, odobren s Kraljevim odlokom št. 637/2007 z dne 18. maja. Čas, ki je pretekel od njune odobritve, zahteva, da se zaradi tehničnih in regulativnih razlogov pregledata in posodobita, da se predpisi prilagodijo trenutnemu stanju znanja o seizmologiji in protipotresni gradnji ter regulativnemu okviru, v katerem mora delovati.</w:t>
      </w:r>
    </w:p>
    <w:p w14:paraId="00D9E943" w14:textId="08D48EDA" w:rsidR="0008161F" w:rsidRDefault="0008161F"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Stalni odbor za standarde potresne odpornosti je pri izvajanju svojih nalog pripravil nov standard protipotresne gradnje, ki nadomešča navedene standarde in vključuje najpomembnejše vidike evropskih predpisov za izračun konstrukcij v skladu s postopki, določenimi v evrokodih za konstrukcije, in razširja njihovo vsebino z bolj strukturnimi tipologijami. Novi standard določa tehnične pogoje, ki jih morajo izpolnjevati gradbeni objekti in gradbena dela, tako da njihovo vedenje pri soočanju s seizmičnimi pojavi preprečuje resne posledice za zdravje in varnost ljudi, preprečuje gospodarske izgube in spodbuja vzdrževanje osnovnih storitev za družbo v primeru potresov z visoko intenzivnostjo.</w:t>
      </w:r>
    </w:p>
    <w:p w14:paraId="6F2451EE"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Ta kraljevi odlok je v skladu z načeli nujnosti, smotrnosti, sorazmernosti, pravne varnosti, preglednosti in učinkovitosti iz člena 129 Zakona št. 39/2015 z dne 1. oktobra o splošnem upravnem postopku javnih uprav. </w:t>
      </w:r>
    </w:p>
    <w:p w14:paraId="4A3F3D5F" w14:textId="0682A2D0" w:rsidR="001D206B" w:rsidRDefault="007F2FE2"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Skladen je z načeloma nujnosti in smotrnosti, saj uporaba novega standarda potresne odpornosti glede na prejšnje predpise predstavlja napredek v znanju in določanju potresne aktivnosti ter tudi pojasnilo pri uporabi konceptov in zahtev potresne odpornosti in duktilnosti, ki jih je treba zahtevati za konstrukcije na potresnih območjih. Projekt ne izkrivlja konkurence na trgu, temveč spodbuja konkurenco z urejanjem vidikov, ki niso zajeti v veljavnih predpisih. Prav tako je skladen z načelom sorazmernosti, saj standard vsebuje pravila, potrebna za izpolnitev zgoraj opisane potrebe, ne da bi obstajali drugi ukrepi, ki bi manj omejevali pravice ali nalagali manj obveznosti naslovnikom, in z načelom pravne varnosti zaradi vključitve v pravni red, ob popolnem spoštovanju veljavnih nacionalnih in evropskih predpisov. Načelo preglednosti je zagotovljeno, saj so bili upoštevani vsi postopki obveščanja, navedeni v Zakonu vlade št. 50/1997 z dne 27. novembra, kar je bilo objavljeno na portalu španske vlade za transparentnost. Nazadnje, pri uporabi načela smotrnosti ta standard ne pomeni povečanja dodatnih upravnih bremen ali povečanja javnih odhodkov.</w:t>
      </w:r>
    </w:p>
    <w:p w14:paraId="53F4DA01" w14:textId="712176A3"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Ta kraljevi odlok je izdan v skladu z določbami </w:t>
      </w:r>
      <w:r>
        <w:rPr>
          <w:rFonts w:asciiTheme="minorHAnsi" w:hAnsiTheme="minorHAnsi"/>
        </w:rPr>
        <w:t xml:space="preserve">v členu 149.1.13a španske ustave, </w:t>
      </w:r>
      <w:r>
        <w:rPr>
          <w:rFonts w:asciiTheme="minorHAnsi" w:hAnsiTheme="minorHAnsi"/>
          <w:color w:val="000000" w:themeColor="text1"/>
        </w:rPr>
        <w:t>ki državi pripisuje pristojnost v zadevah osnov in usklajevanja splošnega načrtovanja gospodarske dejavnosti.</w:t>
      </w:r>
    </w:p>
    <w:p w14:paraId="343DD835"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lastRenderedPageBreak/>
        <w:t xml:space="preserve">Pri pripravi tega kraljevega odloka so bili izpolnjeni postopki, določeni v Zakonu vlade 50/1997 z dne 27. novembra in v Direktivi (EU) 2015/1535 Evropskega parlamenta in Sveta z dne 9. septembra o določitvi postopka za zbiranje informacij na področju tehničnih predpisov in predpisov o storitvah informacijske družbe ter v Kraljevem odloku št. 1337/1999 z dne 31. julija o zagotavljanju informacij na področju tehničnih predpisov in predpisov o storitvah informacijske družbe. </w:t>
      </w:r>
    </w:p>
    <w:p w14:paraId="288E1E12" w14:textId="6459E5E4" w:rsid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Ta kraljevi odlok se sprejme na pobudo Stalnega odbora za standarde potresne odpornosti.</w:t>
      </w:r>
    </w:p>
    <w:p w14:paraId="42144605" w14:textId="312B0DF6" w:rsidR="00056AAB" w:rsidRDefault="004459F4" w:rsidP="00870C22">
      <w:pPr>
        <w:suppressAutoHyphens/>
        <w:spacing w:after="240" w:line="276" w:lineRule="auto"/>
        <w:ind w:firstLine="425"/>
        <w:jc w:val="both"/>
        <w:rPr>
          <w:rFonts w:asciiTheme="minorHAnsi" w:eastAsia="Times New Roman" w:hAnsiTheme="minorHAnsi" w:cstheme="minorHAnsi"/>
          <w:color w:val="000000"/>
        </w:rPr>
      </w:pPr>
      <w:r>
        <w:rPr>
          <w:rFonts w:asciiTheme="minorHAnsi" w:hAnsiTheme="minorHAnsi"/>
          <w:color w:val="000000" w:themeColor="text1"/>
        </w:rPr>
        <w:t>Na predlog ministra za promet, mobilnost in urbano agendo ter po razpravi v Svetu ministrov z dne ...</w:t>
      </w:r>
    </w:p>
    <w:p w14:paraId="01FC4263" w14:textId="77777777" w:rsidR="004459F4" w:rsidRPr="003F6236" w:rsidRDefault="004459F4" w:rsidP="004459F4">
      <w:pPr>
        <w:suppressAutoHyphens/>
        <w:ind w:firstLine="425"/>
        <w:jc w:val="both"/>
        <w:rPr>
          <w:rFonts w:asciiTheme="minorHAnsi" w:eastAsia="Times New Roman" w:hAnsiTheme="minorHAnsi" w:cstheme="minorHAnsi"/>
          <w:color w:val="000000"/>
          <w:lang w:val="pt-PT"/>
        </w:rPr>
      </w:pPr>
    </w:p>
    <w:p w14:paraId="1ECEFAB2" w14:textId="77777777" w:rsidR="00056AAB" w:rsidRPr="006D4B4B" w:rsidRDefault="00104411" w:rsidP="00AD035F">
      <w:pPr>
        <w:spacing w:after="240" w:line="276" w:lineRule="auto"/>
        <w:jc w:val="center"/>
        <w:textAlignment w:val="baseline"/>
        <w:rPr>
          <w:rFonts w:asciiTheme="minorHAnsi" w:eastAsia="Times New Roman" w:hAnsiTheme="minorHAnsi"/>
          <w:color w:val="000000"/>
          <w:sz w:val="24"/>
          <w:szCs w:val="24"/>
        </w:rPr>
      </w:pPr>
      <w:r>
        <w:rPr>
          <w:rFonts w:asciiTheme="minorHAnsi" w:hAnsiTheme="minorHAnsi"/>
          <w:color w:val="000000"/>
          <w:sz w:val="24"/>
        </w:rPr>
        <w:t>ODREJAM</w:t>
      </w:r>
    </w:p>
    <w:p w14:paraId="05744015"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Člen 1. Namen</w:t>
      </w:r>
    </w:p>
    <w:p w14:paraId="721FFEF1" w14:textId="46A6063B" w:rsidR="0046432E"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Odobren je standard protipotresne gradnje NCSR-23, ki določa bistvene koncepte in zahteve, ki jih morajo izpolnjevati konstrukcije na potresnih območjih v Španiji, poleg skladnosti s preostalimi posebnimi veljavnimi predpisi v zvezi s konstrukcijami. </w:t>
      </w:r>
    </w:p>
    <w:p w14:paraId="78734A0A" w14:textId="7654B8F0"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Konstrukcije in gradnje, ki so lahko izpostavljene potresom, morajo biti projektirane, izvedene in dokumentirane ob upoštevanju potresnega delovanja v skladu z določbami šestih prilog, ki sestavljajo ta standard potresne odpornosti, in sicer:</w:t>
      </w:r>
    </w:p>
    <w:p w14:paraId="79EC5159"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Priloga 1: Splošna pravila, seizmične dejavnosti in gradbena pravila</w:t>
      </w:r>
    </w:p>
    <w:p w14:paraId="79F9BCF0"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Priloga 2: Mostovi</w:t>
      </w:r>
    </w:p>
    <w:p w14:paraId="7CD23BE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Priloga 3: Potresna ocena in adaptacija objektov</w:t>
      </w:r>
    </w:p>
    <w:p w14:paraId="2850B202"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Priloga 4: Silosi, rezervoarji in cevi</w:t>
      </w:r>
    </w:p>
    <w:p w14:paraId="3AC9CD4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Priloga 5: Temelji, zadrževalne strukture in geotehnični vidiki</w:t>
      </w:r>
    </w:p>
    <w:p w14:paraId="6AD4A209" w14:textId="1CF81FB4" w:rsid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Priloga 6: Stolpi, stebri in dimniki</w:t>
      </w:r>
    </w:p>
    <w:p w14:paraId="75E4EE37" w14:textId="77777777" w:rsidR="00870C22" w:rsidRPr="003F6236" w:rsidRDefault="00870C22" w:rsidP="006D4B4B">
      <w:pPr>
        <w:spacing w:line="276" w:lineRule="auto"/>
        <w:ind w:left="567"/>
        <w:jc w:val="both"/>
        <w:textAlignment w:val="baseline"/>
        <w:rPr>
          <w:rFonts w:asciiTheme="minorHAnsi" w:eastAsia="Times New Roman" w:hAnsiTheme="minorHAnsi"/>
          <w:color w:val="000000"/>
          <w:spacing w:val="2"/>
        </w:rPr>
      </w:pPr>
    </w:p>
    <w:p w14:paraId="7A592887" w14:textId="3BD133CC"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Alternativno lahko avtor projekta in morebitno vodstvo ob uporabi svojih pooblastil, na podlagi svoje odgovornosti in predhodnega soglasja za nepremičnino, sprejmeta druge rešitve, ki delno ali v celoti odstopajo od postopkov iz prejšnjih prilog (prek različnih sistemov izračuna, gradbenih predpisov itd.), pod pogojem, da je dokumentirano, da je konstrukcija skladna z zahtevami tega standarda potresne odpornosti in dosega vsaj storitve, enakovredne tistim, ki bi bile pridobljene z uporabo postopkov iz tega standarda.</w:t>
      </w:r>
    </w:p>
    <w:p w14:paraId="23196ECE"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Člen 2. Področje uporabe</w:t>
      </w:r>
    </w:p>
    <w:p w14:paraId="1B40A98A" w14:textId="0DDD90E1"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Zahteve glede vsebine tega standarda v zvezi s potresno odpornostjo veljajo za vsa projektna in gradbena dela za nove stavbe, mostove, stolpe, stebre, dimnike, silose, rezervoarje, cevi, zadrževalne strukture in njihove temelje ter za geotehnično projektiranje. </w:t>
      </w:r>
    </w:p>
    <w:p w14:paraId="7968B2C8" w14:textId="3FBBAE08"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Prav tako se ta standard uporablja za seizmično oceno obstoječih stavb in po potrebi tudi za njihovo seizmično adaptacijo, kadar se izvajajo obnovitvena ali konstrukcijska obnovitvena dela zadostnega obsega ali kadar je takšna ocena ali adaptacija potrebna. Za namene tega standarda potresne </w:t>
      </w:r>
      <w:r>
        <w:rPr>
          <w:rFonts w:asciiTheme="minorHAnsi" w:hAnsiTheme="minorHAnsi"/>
          <w:color w:val="000000"/>
        </w:rPr>
        <w:lastRenderedPageBreak/>
        <w:t>odpornosti seizmična adaptacija zajema tako okrepitev nepoškodovanih konstrukcij kot tudi okrepitev konstrukcij, ki so bile poškodovane zaradi potresa.</w:t>
      </w:r>
    </w:p>
    <w:p w14:paraId="3286098A" w14:textId="1B39F053"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Pogoji, ki lahko zahtevajo seizmično oceno posameznih stavb, kar lahko privede do seizmične adaptacije, ne sodijo v predmet in področje uporabe tega standarda.</w:t>
      </w:r>
    </w:p>
    <w:p w14:paraId="2602E605" w14:textId="25143B7E"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Po potrebi se lahko ta standard potresne odpornosti uporablja tudi poleg drugih strukturnih tipov, ki niso izrecno vključeni v njegovo področje uporabe, če ne obstajajo za ista posebna pravila ali določbe in če niso izrecno izključeni iz njegovega področja uporabe.</w:t>
      </w:r>
    </w:p>
    <w:p w14:paraId="163A6949" w14:textId="735DB3B4" w:rsidR="00671CE6" w:rsidRPr="00D35EA2" w:rsidRDefault="00671CE6" w:rsidP="00AD035F">
      <w:pPr>
        <w:pStyle w:val="parrafo"/>
        <w:shd w:val="clear" w:color="auto" w:fill="FFFFFF"/>
        <w:spacing w:before="0" w:beforeAutospacing="0" w:after="240" w:afterAutospacing="0" w:line="276" w:lineRule="auto"/>
        <w:jc w:val="both"/>
        <w:rPr>
          <w:rFonts w:asciiTheme="minorHAnsi" w:hAnsiTheme="minorHAnsi"/>
          <w:b/>
          <w:color w:val="000000"/>
          <w:sz w:val="22"/>
          <w:szCs w:val="22"/>
        </w:rPr>
      </w:pPr>
      <w:r>
        <w:rPr>
          <w:rFonts w:asciiTheme="minorHAnsi" w:hAnsiTheme="minorHAnsi"/>
          <w:b/>
          <w:color w:val="000000"/>
          <w:sz w:val="22"/>
        </w:rPr>
        <w:t>Edina prehodna določba. Uporaba za načrtovanje in dela.</w:t>
      </w:r>
    </w:p>
    <w:p w14:paraId="7E1DEF06" w14:textId="77777777" w:rsidR="006D4B4B" w:rsidRPr="00870C22" w:rsidRDefault="006D4B4B"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Določbe tega kraljevega odloka se v gradbeništvu ne uporabljajo za projekte, za katere je bila priprava ali študija na področju javne uprave ali v drugih primerih naročena pred začetkom veljavnosti tega kraljevega odloka, in za dela, ki so bila izvedena pri njihovem razvoju, pod pogojem, da se začnejo v obdobju, ki ni daljše od dveh let od začetka veljavnosti, razen če se pristojna javna uprava ali po potrebi nosilec projekta strinja, da je to obvezno. </w:t>
      </w:r>
    </w:p>
    <w:p w14:paraId="7A84DDAE" w14:textId="781A6671" w:rsidR="00870C22" w:rsidRPr="006D4B4B" w:rsidRDefault="006D4B4B" w:rsidP="00870C22">
      <w:pPr>
        <w:spacing w:after="240" w:line="276" w:lineRule="auto"/>
        <w:jc w:val="both"/>
        <w:textAlignment w:val="baseline"/>
        <w:rPr>
          <w:rFonts w:asciiTheme="minorHAnsi" w:eastAsia="Times New Roman" w:hAnsiTheme="minorHAnsi"/>
          <w:color w:val="000000"/>
          <w:spacing w:val="2"/>
        </w:rPr>
      </w:pPr>
      <w:r>
        <w:rPr>
          <w:rFonts w:asciiTheme="minorHAnsi" w:hAnsiTheme="minorHAnsi"/>
          <w:color w:val="000000"/>
        </w:rPr>
        <w:t xml:space="preserve">Določbe tega kraljevega odloka se ne uporabljajo na področju gradnje v projektih, za katere je bilo zahtevano občinsko dovoljenje za dela ali so zanj zaprosili v devetih mesecih po začetku veljavnosti tega kraljevega odloka, v tem primeru se uporablja Kraljevi odlok št. 997/2002 z dne 27. septembra, ki potrjuje standard protipotresne gradnje, ki se uporablja: Splošni oddelek in gradnja (NCSE-02). Taka dela se morajo začeti v najdaljšem obdobju veljavnosti navedenega dovoljenja v skladu z njegovimi predpisi, če tega ni, pa v obdobju, ki ni daljše od šestih mesecev od datuma izdaje navedenega dovoljenja. Projekti morajo biti sicer prilagojeni določbam tega kraljevega odloka. </w:t>
      </w:r>
    </w:p>
    <w:p w14:paraId="620031EA" w14:textId="77777777" w:rsidR="008A1694" w:rsidRPr="00D35EA2" w:rsidRDefault="008A1694" w:rsidP="00AD035F">
      <w:pPr>
        <w:spacing w:after="240" w:line="276" w:lineRule="auto"/>
        <w:jc w:val="both"/>
        <w:textAlignment w:val="baseline"/>
        <w:rPr>
          <w:rFonts w:asciiTheme="minorHAnsi" w:eastAsia="Times New Roman" w:hAnsiTheme="minorHAnsi"/>
          <w:b/>
          <w:color w:val="000000"/>
        </w:rPr>
      </w:pPr>
      <w:r>
        <w:rPr>
          <w:rFonts w:asciiTheme="minorHAnsi" w:hAnsiTheme="minorHAnsi"/>
          <w:b/>
          <w:color w:val="000000"/>
        </w:rPr>
        <w:t>Edina razveljavitvena določba. Razveljavitev predpisov</w:t>
      </w:r>
    </w:p>
    <w:p w14:paraId="3C87D465" w14:textId="41A1036B" w:rsidR="002B1514" w:rsidRPr="00870C22" w:rsidRDefault="002B1514"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Z začetkom veljavnosti tega kraljevega odloka se razveljavi Kraljevi odlok št. 997/2002 z dne 27. septembra o odobritvi standarda protipotresne gradnje: Splošni oddelek in gradnja (NCSE-02) in Kraljevi odlok št. 637/2007 z dne 18. maja o odobritvi standarda protipotresne gradnje: Mostovi (NCSP-07).</w:t>
      </w:r>
    </w:p>
    <w:p w14:paraId="590D095E" w14:textId="77777777" w:rsidR="00870C22" w:rsidRPr="003F6236" w:rsidRDefault="00870C22" w:rsidP="00870C22">
      <w:pPr>
        <w:spacing w:after="120"/>
        <w:jc w:val="both"/>
        <w:textAlignment w:val="baseline"/>
        <w:rPr>
          <w:rFonts w:asciiTheme="minorHAnsi" w:eastAsia="Times New Roman" w:hAnsiTheme="minorHAnsi"/>
          <w:color w:val="000000"/>
          <w:spacing w:val="2"/>
        </w:rPr>
      </w:pPr>
    </w:p>
    <w:p w14:paraId="41EC003B" w14:textId="24B0084C" w:rsidR="00EC6A57" w:rsidRPr="00D35EA2" w:rsidRDefault="00EC6A57"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Prva končna določba. Dodelitev pristojnosti</w:t>
      </w:r>
    </w:p>
    <w:p w14:paraId="15D1B399" w14:textId="52F39719" w:rsidR="00EC6A57" w:rsidRPr="00870C22" w:rsidRDefault="00EC6A57"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Ta kraljevi odlok ima osnovno naravo in je izdan v skladu z določbami člena 149.1.13a španske ustave, ki državi podeljuje izključno pristojnost glede osnove in usklajevanje splošnega načrtovanja gospodarske dejavnosti. </w:t>
      </w:r>
    </w:p>
    <w:p w14:paraId="28E3B818" w14:textId="77777777" w:rsidR="00671CE6" w:rsidRPr="00AD035F" w:rsidRDefault="002B1514"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 xml:space="preserve">Druga končna določba. </w:t>
      </w:r>
      <w:r>
        <w:rPr>
          <w:rFonts w:asciiTheme="minorHAnsi" w:hAnsiTheme="minorHAnsi"/>
          <w:b/>
          <w:color w:val="333333"/>
        </w:rPr>
        <w:t>Organ za izvajanje</w:t>
      </w:r>
    </w:p>
    <w:p w14:paraId="431A3D72" w14:textId="7CF39534" w:rsidR="00671CE6" w:rsidRPr="00870C22" w:rsidRDefault="00671CE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Vodja ministrstva za promet, mobilnost in urbano agendo je pooblaščen za izdajo potrebnih določb za razvoj in uporabo določb tega kraljevega odloka.</w:t>
      </w:r>
    </w:p>
    <w:p w14:paraId="3568A83D" w14:textId="72D1D66B" w:rsidR="00391221" w:rsidRDefault="00391221" w:rsidP="00391221">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Tretja končna določba. Dovoljenje za posodobitev dodatkov E, F in G k Prilogi 1 k standardu protipotresne gradnje.</w:t>
      </w:r>
    </w:p>
    <w:p w14:paraId="272F5E7E" w14:textId="319390A4" w:rsidR="00391221" w:rsidRPr="00870C22" w:rsidRDefault="0039122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lastRenderedPageBreak/>
        <w:t>Vodja ministrstva za promet, mobilnost in urbano agendo je pooblaščen, da posodobi zemljevid nevarnosti, opredeljen v dodatkih E in F k Prilogi 1, ter seznam standardov iz Dodatka G k Prilogi 1, če je namen takih posodobitev uskladiti te vsebine z napredkom tehnike ali zakonodajo Skupnosti.</w:t>
      </w:r>
    </w:p>
    <w:p w14:paraId="60B41840" w14:textId="4C5BA609" w:rsidR="002B1514" w:rsidRPr="00D35EA2" w:rsidRDefault="00671CE6"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Četrta končna določba. Začetek veljavnosti</w:t>
      </w:r>
    </w:p>
    <w:p w14:paraId="78134748" w14:textId="042BB1B1" w:rsidR="00066186" w:rsidRPr="00870C22" w:rsidRDefault="0006618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Ta kraljevi odlok začne veljati </w:t>
      </w:r>
      <w:r>
        <w:rPr>
          <w:rFonts w:asciiTheme="minorHAnsi" w:hAnsiTheme="minorHAnsi"/>
          <w:color w:val="000000"/>
          <w:highlight w:val="yellow"/>
        </w:rPr>
        <w:t>1. julija 2023.</w:t>
      </w:r>
    </w:p>
    <w:p w14:paraId="16A294E9" w14:textId="77777777" w:rsidR="00056AAB" w:rsidRPr="003F6236" w:rsidRDefault="00056AAB" w:rsidP="00870C22">
      <w:pPr>
        <w:spacing w:after="120"/>
        <w:jc w:val="both"/>
        <w:textAlignment w:val="baseline"/>
        <w:rPr>
          <w:rFonts w:asciiTheme="minorHAnsi" w:eastAsia="Times New Roman" w:hAnsiTheme="minorHAnsi"/>
          <w:color w:val="000000"/>
          <w:spacing w:val="2"/>
        </w:rPr>
      </w:pPr>
    </w:p>
    <w:sectPr w:rsidR="00056AAB" w:rsidRPr="003F6236" w:rsidSect="00AD035F">
      <w:pgSz w:w="11904" w:h="16843"/>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Times New Roman">
    <w:charset w:val="00"/>
    <w:pitch w:val="variable"/>
    <w:family w:val="roman"/>
    <w:panose1 w:val="02020603050405020304"/>
  </w:font>
  <w:font w:name="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E5C"/>
    <w:multiLevelType w:val="hybridMultilevel"/>
    <w:tmpl w:val="8282418A"/>
    <w:lvl w:ilvl="0" w:tplc="9EE2D7E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5081E"/>
    <w:multiLevelType w:val="hybridMultilevel"/>
    <w:tmpl w:val="A1AA6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9764CB"/>
    <w:multiLevelType w:val="hybridMultilevel"/>
    <w:tmpl w:val="648E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E63DD5"/>
    <w:multiLevelType w:val="hybridMultilevel"/>
    <w:tmpl w:val="7E6A3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F6DA7"/>
    <w:multiLevelType w:val="hybridMultilevel"/>
    <w:tmpl w:val="5952024C"/>
    <w:lvl w:ilvl="0" w:tplc="8BDE2DF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8924DB"/>
    <w:multiLevelType w:val="hybridMultilevel"/>
    <w:tmpl w:val="38A47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293A6A"/>
    <w:multiLevelType w:val="hybridMultilevel"/>
    <w:tmpl w:val="68D8974C"/>
    <w:lvl w:ilvl="0" w:tplc="0C0A0001">
      <w:start w:val="1"/>
      <w:numFmt w:val="bullet"/>
      <w:lvlText w:val=""/>
      <w:lvlJc w:val="left"/>
      <w:pPr>
        <w:ind w:left="1080" w:hanging="360"/>
      </w:pPr>
      <w:rPr>
        <w:rFonts w:ascii="Symbol" w:hAnsi="Symbol" w:hint="default"/>
      </w:rPr>
    </w:lvl>
    <w:lvl w:ilvl="1" w:tplc="FEFEF88C">
      <w:numFmt w:val="bullet"/>
      <w:lvlText w:val="−"/>
      <w:lvlJc w:val="left"/>
      <w:pPr>
        <w:ind w:left="1800" w:hanging="360"/>
      </w:pPr>
      <w:rPr>
        <w:rFonts w:ascii="Symbol" w:eastAsia="Symbol" w:hAnsi="Symbol"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CBE5E98"/>
    <w:multiLevelType w:val="multilevel"/>
    <w:tmpl w:val="6BF032CE"/>
    <w:lvl w:ilvl="0">
      <w:start w:val="1"/>
      <w:numFmt w:val="lowerLetter"/>
      <w:lvlText w:val="%1)"/>
      <w:lvlJc w:val="left"/>
      <w:pPr>
        <w:tabs>
          <w:tab w:val="left" w:pos="288"/>
        </w:tabs>
        <w:ind w:left="720"/>
      </w:pPr>
      <w:rPr>
        <w:rFonts w:ascii="Times New Roman" w:eastAsia="Times New Roman" w:hAnsi="Times New Roman"/>
        <w:i/>
        <w:strike w:val="0"/>
        <w:color w:val="000000"/>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2145648">
    <w:abstractNumId w:val="7"/>
  </w:num>
  <w:num w:numId="2" w16cid:durableId="122771378">
    <w:abstractNumId w:val="6"/>
  </w:num>
  <w:num w:numId="3" w16cid:durableId="851191015">
    <w:abstractNumId w:val="1"/>
  </w:num>
  <w:num w:numId="4" w16cid:durableId="1200095656">
    <w:abstractNumId w:val="5"/>
  </w:num>
  <w:num w:numId="5" w16cid:durableId="781075475">
    <w:abstractNumId w:val="3"/>
  </w:num>
  <w:num w:numId="6" w16cid:durableId="1567036530">
    <w:abstractNumId w:val="2"/>
  </w:num>
  <w:num w:numId="7" w16cid:durableId="153647272">
    <w:abstractNumId w:val="0"/>
  </w:num>
  <w:num w:numId="8" w16cid:durableId="64239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AB"/>
    <w:rsid w:val="00002183"/>
    <w:rsid w:val="0003132D"/>
    <w:rsid w:val="0003636B"/>
    <w:rsid w:val="00056AAB"/>
    <w:rsid w:val="00066186"/>
    <w:rsid w:val="0008161F"/>
    <w:rsid w:val="000E2974"/>
    <w:rsid w:val="00104411"/>
    <w:rsid w:val="00130D08"/>
    <w:rsid w:val="00136068"/>
    <w:rsid w:val="0013710F"/>
    <w:rsid w:val="00152A30"/>
    <w:rsid w:val="001C12F0"/>
    <w:rsid w:val="001C2399"/>
    <w:rsid w:val="001D206B"/>
    <w:rsid w:val="001F1C94"/>
    <w:rsid w:val="00210209"/>
    <w:rsid w:val="002A3B32"/>
    <w:rsid w:val="002B1514"/>
    <w:rsid w:val="002C6DA3"/>
    <w:rsid w:val="002D0987"/>
    <w:rsid w:val="002D2E92"/>
    <w:rsid w:val="002E7538"/>
    <w:rsid w:val="0030003E"/>
    <w:rsid w:val="00342738"/>
    <w:rsid w:val="00365BA2"/>
    <w:rsid w:val="003667D0"/>
    <w:rsid w:val="00391221"/>
    <w:rsid w:val="003D354D"/>
    <w:rsid w:val="003F52BD"/>
    <w:rsid w:val="003F6236"/>
    <w:rsid w:val="00401E8F"/>
    <w:rsid w:val="00434546"/>
    <w:rsid w:val="004459F4"/>
    <w:rsid w:val="00455175"/>
    <w:rsid w:val="0046432E"/>
    <w:rsid w:val="004B0B49"/>
    <w:rsid w:val="004B543F"/>
    <w:rsid w:val="004B66B6"/>
    <w:rsid w:val="004C145B"/>
    <w:rsid w:val="004C422D"/>
    <w:rsid w:val="004D7B7B"/>
    <w:rsid w:val="004E3665"/>
    <w:rsid w:val="004F7A2A"/>
    <w:rsid w:val="004F7A3E"/>
    <w:rsid w:val="00503AEE"/>
    <w:rsid w:val="00520FBD"/>
    <w:rsid w:val="0056199D"/>
    <w:rsid w:val="00561DF5"/>
    <w:rsid w:val="005941F1"/>
    <w:rsid w:val="005B5A4A"/>
    <w:rsid w:val="006258F9"/>
    <w:rsid w:val="00627472"/>
    <w:rsid w:val="00635ED0"/>
    <w:rsid w:val="0066229B"/>
    <w:rsid w:val="00671CE6"/>
    <w:rsid w:val="00684B40"/>
    <w:rsid w:val="006D4B4B"/>
    <w:rsid w:val="006F452F"/>
    <w:rsid w:val="00751B2B"/>
    <w:rsid w:val="00757E5B"/>
    <w:rsid w:val="007759A4"/>
    <w:rsid w:val="007779ED"/>
    <w:rsid w:val="007C0BC6"/>
    <w:rsid w:val="007C1533"/>
    <w:rsid w:val="007D1EA2"/>
    <w:rsid w:val="007D4EDB"/>
    <w:rsid w:val="007E79FC"/>
    <w:rsid w:val="007F2FE2"/>
    <w:rsid w:val="00812799"/>
    <w:rsid w:val="00816242"/>
    <w:rsid w:val="0085711C"/>
    <w:rsid w:val="00870C22"/>
    <w:rsid w:val="0087216F"/>
    <w:rsid w:val="00875897"/>
    <w:rsid w:val="00875F75"/>
    <w:rsid w:val="008A1694"/>
    <w:rsid w:val="008A5EAC"/>
    <w:rsid w:val="008F3B9A"/>
    <w:rsid w:val="008F448A"/>
    <w:rsid w:val="0090284B"/>
    <w:rsid w:val="0092197D"/>
    <w:rsid w:val="00941C30"/>
    <w:rsid w:val="00961FB7"/>
    <w:rsid w:val="0099627E"/>
    <w:rsid w:val="009A14BF"/>
    <w:rsid w:val="009C173C"/>
    <w:rsid w:val="00A03734"/>
    <w:rsid w:val="00A11575"/>
    <w:rsid w:val="00A23F54"/>
    <w:rsid w:val="00A4123A"/>
    <w:rsid w:val="00A44FF2"/>
    <w:rsid w:val="00A623A2"/>
    <w:rsid w:val="00A65116"/>
    <w:rsid w:val="00A8506E"/>
    <w:rsid w:val="00A86943"/>
    <w:rsid w:val="00A953ED"/>
    <w:rsid w:val="00AA0AA7"/>
    <w:rsid w:val="00AB2735"/>
    <w:rsid w:val="00AB4370"/>
    <w:rsid w:val="00AC62C6"/>
    <w:rsid w:val="00AD035F"/>
    <w:rsid w:val="00AD4F83"/>
    <w:rsid w:val="00AE18FE"/>
    <w:rsid w:val="00AE64D3"/>
    <w:rsid w:val="00B06375"/>
    <w:rsid w:val="00B15BD6"/>
    <w:rsid w:val="00B66C50"/>
    <w:rsid w:val="00B8158C"/>
    <w:rsid w:val="00B85F2E"/>
    <w:rsid w:val="00BC4DEC"/>
    <w:rsid w:val="00BF08C0"/>
    <w:rsid w:val="00C24625"/>
    <w:rsid w:val="00C25687"/>
    <w:rsid w:val="00C42C4C"/>
    <w:rsid w:val="00C56500"/>
    <w:rsid w:val="00C56E96"/>
    <w:rsid w:val="00C67310"/>
    <w:rsid w:val="00C67639"/>
    <w:rsid w:val="00C726AF"/>
    <w:rsid w:val="00C8179D"/>
    <w:rsid w:val="00CF1EDD"/>
    <w:rsid w:val="00D047F0"/>
    <w:rsid w:val="00D05ABE"/>
    <w:rsid w:val="00D06621"/>
    <w:rsid w:val="00D13113"/>
    <w:rsid w:val="00D32AC2"/>
    <w:rsid w:val="00D35EA2"/>
    <w:rsid w:val="00D3777E"/>
    <w:rsid w:val="00D42767"/>
    <w:rsid w:val="00D67613"/>
    <w:rsid w:val="00D85648"/>
    <w:rsid w:val="00DC7ED2"/>
    <w:rsid w:val="00DD25A7"/>
    <w:rsid w:val="00DF0C32"/>
    <w:rsid w:val="00E2216E"/>
    <w:rsid w:val="00E4356E"/>
    <w:rsid w:val="00E44A93"/>
    <w:rsid w:val="00E65D34"/>
    <w:rsid w:val="00E72C90"/>
    <w:rsid w:val="00E920E0"/>
    <w:rsid w:val="00EC6A57"/>
    <w:rsid w:val="00EE3876"/>
    <w:rsid w:val="00EE3B24"/>
    <w:rsid w:val="00EF3F4C"/>
    <w:rsid w:val="00F03832"/>
    <w:rsid w:val="00F04B63"/>
    <w:rsid w:val="00F82079"/>
    <w:rsid w:val="00F95923"/>
    <w:rsid w:val="00FC7390"/>
    <w:rsid w:val="00FD3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22A2"/>
  <w15:docId w15:val="{5A6698CD-469E-4174-8D24-404E854D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2B"/>
    <w:pPr>
      <w:ind w:left="720"/>
      <w:contextualSpacing/>
    </w:pPr>
  </w:style>
  <w:style w:type="paragraph" w:styleId="BalloonText">
    <w:name w:val="Balloon Text"/>
    <w:basedOn w:val="Normal"/>
    <w:link w:val="BalloonTextChar"/>
    <w:uiPriority w:val="99"/>
    <w:semiHidden/>
    <w:unhideWhenUsed/>
    <w:rsid w:val="00816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242"/>
    <w:rPr>
      <w:rFonts w:ascii="Segoe UI" w:hAnsi="Segoe UI" w:cs="Segoe UI"/>
      <w:sz w:val="18"/>
      <w:szCs w:val="18"/>
    </w:rPr>
  </w:style>
  <w:style w:type="paragraph" w:customStyle="1" w:styleId="parrafo">
    <w:name w:val="parrafo"/>
    <w:basedOn w:val="Normal"/>
    <w:rsid w:val="00671CE6"/>
    <w:pPr>
      <w:spacing w:before="100" w:beforeAutospacing="1" w:after="100" w:afterAutospacing="1"/>
    </w:pPr>
    <w:rPr>
      <w:rFonts w:eastAsia="Times New Roman"/>
      <w:sz w:val="24"/>
      <w:szCs w:val="24"/>
      <w:lang w:eastAsia="es-ES"/>
    </w:rPr>
  </w:style>
  <w:style w:type="character" w:styleId="CommentReference">
    <w:name w:val="annotation reference"/>
    <w:basedOn w:val="DefaultParagraphFont"/>
    <w:uiPriority w:val="99"/>
    <w:semiHidden/>
    <w:unhideWhenUsed/>
    <w:rsid w:val="0085711C"/>
    <w:rPr>
      <w:sz w:val="16"/>
      <w:szCs w:val="16"/>
    </w:rPr>
  </w:style>
  <w:style w:type="paragraph" w:styleId="CommentText">
    <w:name w:val="annotation text"/>
    <w:basedOn w:val="Normal"/>
    <w:link w:val="CommentTextChar"/>
    <w:uiPriority w:val="99"/>
    <w:unhideWhenUsed/>
    <w:rsid w:val="0085711C"/>
    <w:rPr>
      <w:sz w:val="20"/>
      <w:szCs w:val="20"/>
    </w:rPr>
  </w:style>
  <w:style w:type="character" w:customStyle="1" w:styleId="CommentTextChar">
    <w:name w:val="Comment Text Char"/>
    <w:basedOn w:val="DefaultParagraphFont"/>
    <w:link w:val="CommentText"/>
    <w:uiPriority w:val="99"/>
    <w:rsid w:val="0085711C"/>
    <w:rPr>
      <w:sz w:val="20"/>
      <w:szCs w:val="20"/>
    </w:rPr>
  </w:style>
  <w:style w:type="paragraph" w:styleId="CommentSubject">
    <w:name w:val="annotation subject"/>
    <w:basedOn w:val="CommentText"/>
    <w:next w:val="CommentText"/>
    <w:link w:val="CommentSubjectChar"/>
    <w:uiPriority w:val="99"/>
    <w:semiHidden/>
    <w:unhideWhenUsed/>
    <w:rsid w:val="0085711C"/>
    <w:rPr>
      <w:b/>
      <w:bCs/>
    </w:rPr>
  </w:style>
  <w:style w:type="character" w:customStyle="1" w:styleId="CommentSubjectChar">
    <w:name w:val="Comment Subject Char"/>
    <w:basedOn w:val="CommentTextChar"/>
    <w:link w:val="CommentSubject"/>
    <w:uiPriority w:val="99"/>
    <w:semiHidden/>
    <w:rsid w:val="0085711C"/>
    <w:rPr>
      <w:b/>
      <w:bCs/>
      <w:sz w:val="20"/>
      <w:szCs w:val="20"/>
    </w:rPr>
  </w:style>
  <w:style w:type="paragraph" w:styleId="Revision">
    <w:name w:val="Revision"/>
    <w:hidden/>
    <w:uiPriority w:val="99"/>
    <w:semiHidden/>
    <w:rsid w:val="00AE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40032">
      <w:bodyDiv w:val="1"/>
      <w:marLeft w:val="0"/>
      <w:marRight w:val="0"/>
      <w:marTop w:val="0"/>
      <w:marBottom w:val="0"/>
      <w:divBdr>
        <w:top w:val="none" w:sz="0" w:space="0" w:color="auto"/>
        <w:left w:val="none" w:sz="0" w:space="0" w:color="auto"/>
        <w:bottom w:val="none" w:sz="0" w:space="0" w:color="auto"/>
        <w:right w:val="none" w:sz="0" w:space="0" w:color="auto"/>
      </w:divBdr>
    </w:div>
    <w:div w:id="1107694819">
      <w:bodyDiv w:val="1"/>
      <w:marLeft w:val="0"/>
      <w:marRight w:val="0"/>
      <w:marTop w:val="0"/>
      <w:marBottom w:val="0"/>
      <w:divBdr>
        <w:top w:val="none" w:sz="0" w:space="0" w:color="auto"/>
        <w:left w:val="none" w:sz="0" w:space="0" w:color="auto"/>
        <w:bottom w:val="none" w:sz="0" w:space="0" w:color="auto"/>
        <w:right w:val="none" w:sz="0" w:space="0" w:color="auto"/>
      </w:divBdr>
    </w:div>
    <w:div w:id="199664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8A3F-B80B-403D-ADAD-BBAEBBAA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1368</Words>
  <Characters>7803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Groba López Mónica</dc:creator>
  <cp:lastModifiedBy>Anastasia Stavroulaki</cp:lastModifiedBy>
  <cp:revision>10</cp:revision>
  <cp:lastPrinted>2021-08-26T09:18:00Z</cp:lastPrinted>
  <dcterms:created xsi:type="dcterms:W3CDTF">2022-09-20T11:25:00Z</dcterms:created>
  <dcterms:modified xsi:type="dcterms:W3CDTF">2023-03-31T14:13:00Z</dcterms:modified>
</cp:coreProperties>
</file>