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14. detsembri 2021. aasta määrus,</w:t>
      </w:r>
      <w:r>
        <w:rPr>
          <w:rFonts w:ascii="Times New Roman" w:hAnsi="Times New Roman"/>
          <w:b/>
          <w:sz w:val="36"/>
        </w:rPr>
        <w:br/>
        <w:t>milles käsitletakse ehitistes kasutatavate toodete keskkonnadeklaratsioonide ja ehitiste keskkonnatoime arvutamiseks kasutatavate toodete keskkonnadeklaratsioone</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nr 0296, 21. detsember 2021</w:t>
      </w:r>
      <w:r>
        <w:rPr>
          <w:rFonts w:ascii="Times New Roman" w:hAnsi="Times New Roman"/>
          <w:sz w:val="24"/>
        </w:rPr>
        <w:br/>
        <w:t>Tekst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Lisa</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Lisa</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Lisa</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Lisa</w:t>
      </w:r>
    </w:p>
    <w:p w14:paraId="06845229" w14:textId="0865FF6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Mõjutatud sihtrühmad: registreerijad, keda mõjutavad ehitus- ja viimistlustooted, mis on ette nähtud kasutamiseks ehitustöödel või hoonete keskkonnatoime arvutamiseks mõeldud elektri-, elektroonika- ja kliimatehnikaseadmed. </w:t>
      </w:r>
      <w:r>
        <w:rPr>
          <w:rFonts w:ascii="Times New Roman" w:hAnsi="Times New Roman"/>
          <w:sz w:val="24"/>
        </w:rPr>
        <w:br/>
        <w:t xml:space="preserve">Eesmärk: täpsustada tarbijakaitseseadustiku R. 171-14 kuni R. 171-22 ning ehitus- ja elamuseadustiku artiklite R. 171-23 kuni R. 171-31 kohaldamist. </w:t>
      </w:r>
      <w:r>
        <w:rPr>
          <w:rFonts w:ascii="Times New Roman" w:hAnsi="Times New Roman"/>
          <w:sz w:val="24"/>
        </w:rPr>
        <w:br/>
        <w:t xml:space="preserve">Jõustumine: tekst jõustub 1. jaanuaril 2022. </w:t>
      </w:r>
      <w:r>
        <w:rPr>
          <w:rFonts w:ascii="Times New Roman" w:hAnsi="Times New Roman"/>
          <w:sz w:val="24"/>
        </w:rPr>
        <w:br/>
        <w:t xml:space="preserve">Märkus: määruse eesmärk on täpsustada ehitus- ja elamuseadustiku artiklite R. 171-14 kuni R. 171-22 ning artiklite R. 171-23 kuni R. 171-31 kohaldamist. </w:t>
      </w:r>
      <w:r>
        <w:rPr>
          <w:rFonts w:ascii="Times New Roman" w:hAnsi="Times New Roman"/>
          <w:sz w:val="24"/>
        </w:rPr>
        <w:br/>
        <w:t xml:space="preserve">Määrusega kehtestatakse: </w:t>
      </w:r>
      <w:r>
        <w:rPr>
          <w:rFonts w:ascii="Times New Roman" w:hAnsi="Times New Roman"/>
          <w:sz w:val="24"/>
        </w:rPr>
        <w:br/>
        <w:t xml:space="preserve">- ehitus- ja elamuseadustiku artiklis R. 171-17 osutatud teabe üksikasjad; </w:t>
      </w:r>
      <w:r>
        <w:rPr>
          <w:rFonts w:ascii="Times New Roman" w:hAnsi="Times New Roman"/>
          <w:sz w:val="24"/>
        </w:rPr>
        <w:br/>
        <w:t xml:space="preserve">- ehitus- ja elamuseadustiku artiklis R. 171-17 osutatud näitajate arvutamise meetodid; </w:t>
      </w:r>
      <w:r>
        <w:rPr>
          <w:rFonts w:ascii="Times New Roman" w:hAnsi="Times New Roman"/>
          <w:sz w:val="24"/>
        </w:rPr>
        <w:br/>
        <w:t xml:space="preserve">- ehitus- ja elamuseadustiku artiklis R. 171-21 osutatud elemendid, mis põhjendavad keskkonnadeklaratsioonis sisalduvat teavet; </w:t>
      </w:r>
      <w:r>
        <w:rPr>
          <w:rFonts w:ascii="Times New Roman" w:hAnsi="Times New Roman"/>
          <w:sz w:val="24"/>
        </w:rPr>
        <w:br/>
        <w:t xml:space="preserve">- andmebaasi(de) aadress, kus tehakse üldsusele kättesaadavaks ehitus- ja elamuseadustiku punktis R. 171-17 osutatud keskkonnadeklaratsioonid, kus täidetakse avalikkusele avaldatud ehitus- ja elamuseadustiku artiklis R. 171-18 osutatud kinnitustõend; </w:t>
      </w:r>
      <w:r>
        <w:rPr>
          <w:rFonts w:ascii="Times New Roman" w:hAnsi="Times New Roman"/>
          <w:sz w:val="24"/>
        </w:rPr>
        <w:br/>
      </w:r>
      <w:r w:rsidR="009F3336">
        <w:rPr>
          <w:rFonts w:ascii="Times New Roman" w:hAnsi="Times New Roman"/>
          <w:sz w:val="24"/>
        </w:rPr>
        <w:t>-</w:t>
      </w:r>
      <w:r>
        <w:rPr>
          <w:rFonts w:ascii="Times New Roman" w:hAnsi="Times New Roman"/>
          <w:sz w:val="24"/>
        </w:rPr>
        <w:t xml:space="preserve"> mitme registreerija ehitus- või viimistlustoodete või -seadmetega seotud ühiste keskkonnadeklaratsioonide koostamise tingimused; </w:t>
      </w:r>
      <w:r>
        <w:rPr>
          <w:rFonts w:ascii="Times New Roman" w:hAnsi="Times New Roman"/>
          <w:sz w:val="24"/>
        </w:rPr>
        <w:br/>
      </w:r>
      <w:r w:rsidR="009F3336">
        <w:rPr>
          <w:rFonts w:ascii="Times New Roman" w:hAnsi="Times New Roman"/>
          <w:sz w:val="24"/>
        </w:rPr>
        <w:t>-</w:t>
      </w:r>
      <w:r>
        <w:rPr>
          <w:rFonts w:ascii="Times New Roman" w:hAnsi="Times New Roman"/>
          <w:sz w:val="24"/>
        </w:rPr>
        <w:t xml:space="preserve"> ehitus- või viimistlustoodete või -seadmetega seotud määratavate deklaratsioonide koostamise tingimused. </w:t>
      </w:r>
      <w:r>
        <w:rPr>
          <w:rFonts w:ascii="Times New Roman" w:hAnsi="Times New Roman"/>
          <w:sz w:val="24"/>
        </w:rPr>
        <w:br/>
        <w:t xml:space="preserve">Viited: käesoleva määrusega loodud või muudetud tekstidega saab tutvuda Légifrance’i veebisaidil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Ökoloogilise ülemineku minister ja eluruumide eest vastutav abiminister, kes kuulub ökoloogilise ülemineku ministri juurde,</w:t>
      </w:r>
      <w:r>
        <w:rPr>
          <w:rFonts w:ascii="Times New Roman" w:hAnsi="Times New Roman"/>
          <w:sz w:val="24"/>
        </w:rPr>
        <w:br/>
        <w:t>võttes arvesse Euroopa Parlamendi ja nõukogu 9. septembri 2015. aasta direktiivi (EL) 2015/1535, millega nähakse ette tehnilistest eeskirjadest ja infoühiskonna teenuste eeskirjadest teatamise kord, ja 28. aprilli 2021. aasta Euroopa Komisjonile adresseeritud teatis nr 2021/257/F ja selle 29. juuli 2021. aasta vastus;</w:t>
      </w:r>
      <w:r>
        <w:rPr>
          <w:rFonts w:ascii="Times New Roman" w:hAnsi="Times New Roman"/>
          <w:sz w:val="24"/>
        </w:rPr>
        <w:br/>
        <w:t>võttes arvesse tarbijakaitseseadustikku, eriti selle artikli L. 412-1 punkti 10;</w:t>
      </w:r>
      <w:r>
        <w:rPr>
          <w:rFonts w:ascii="Times New Roman" w:hAnsi="Times New Roman"/>
          <w:sz w:val="24"/>
        </w:rPr>
        <w:br/>
      </w:r>
      <w:r>
        <w:rPr>
          <w:rFonts w:ascii="Times New Roman" w:hAnsi="Times New Roman"/>
          <w:sz w:val="24"/>
        </w:rPr>
        <w:lastRenderedPageBreak/>
        <w:t>võttes arvesse ehitus- ja elamuseadustikku, eriti selle artikleid L. 171-14 kuni R. 171-31;</w:t>
      </w:r>
      <w:r>
        <w:rPr>
          <w:rFonts w:ascii="Times New Roman" w:hAnsi="Times New Roman"/>
          <w:sz w:val="24"/>
        </w:rPr>
        <w:br/>
        <w:t>võttes arvesse kõrgema nõukogu 13. aprilli 2021. aasta arvamust ehituse ja energiatõhususe kohta,</w:t>
      </w:r>
      <w:r>
        <w:rPr>
          <w:rFonts w:ascii="Times New Roman" w:hAnsi="Times New Roman"/>
          <w:sz w:val="24"/>
        </w:rPr>
        <w:br/>
        <w:t>võttes arvesse keskkonnaseadustiku artikli L. 123-19-1 kohaselt 18. maist kuni 8. juunini 2021 korraldatud avaliku konsultatsiooni käigus tehtud märkusi;</w:t>
      </w:r>
      <w:r>
        <w:rPr>
          <w:rFonts w:ascii="Times New Roman" w:hAnsi="Times New Roman"/>
          <w:sz w:val="24"/>
        </w:rPr>
        <w:br/>
        <w:t>Teeb järgmise otsuse: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Käesoleva määruse sätteid kohaldatakse ehitus- ja elamuseadustiku artiklis R. 171-14 ning ehitus- ja elamuehitusseadustiku artiklis R. 171-23 nimetatud ehitustoodetele, kaunistustele ning elektri-, elektroonika- ja kliimatehnilistele seadmetele.</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Käesolevas määruses kasutatakse järgmisi mõisteid järgmises tähenduses:</w:t>
      </w:r>
      <w:r>
        <w:rPr>
          <w:rFonts w:ascii="Times New Roman" w:hAnsi="Times New Roman"/>
          <w:sz w:val="24"/>
        </w:rPr>
        <w:br/>
        <w:t>„määratav deklaratsioon“ – keskkonnadeklaratsioon koos eeskirjadega, mis käsitlevad selles nimetatud teabe kohandamist konkreetsele tootele, ja arvutit nende eeskirjade kohaldamiseks.</w:t>
      </w:r>
      <w:r>
        <w:rPr>
          <w:rFonts w:ascii="Times New Roman" w:hAnsi="Times New Roman"/>
          <w:sz w:val="24"/>
        </w:rPr>
        <w:br/>
        <w:t>Järgmistes artiklites tähendab mõiste „deklarant“ ehitus- ja elamuseadustiku artiklis R. 171-15 määratletud deklaranti või „isikut, kes vastutab turule toomise eest“ vastavalt ehitus- ja elamuseadustiku artikli R. 171-24 definitsioonile.</w:t>
      </w:r>
      <w:r>
        <w:rPr>
          <w:rFonts w:ascii="Times New Roman" w:hAnsi="Times New Roman"/>
          <w:sz w:val="24"/>
        </w:rPr>
        <w:br/>
        <w:t>Järgmistes artiklites tähendab mõiste „toode“ ehitus- ja elamuseadustiku artiklis R. 171-15 määratletud ehitustooteid, viimistlustooteid ning elektri-, elektroonika- ja kliimaseadmeid.</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Keskkonnadeklaratsioon peab sisaldama ehitus- ja elamuseadustiku artiklis R. 171-17 osutatud teavet.</w:t>
      </w:r>
      <w:r>
        <w:rPr>
          <w:rFonts w:ascii="Times New Roman" w:hAnsi="Times New Roman"/>
          <w:sz w:val="24"/>
        </w:rPr>
        <w:br/>
        <w:t>Ehitus- ja elamuseadustiku artikli R. 171-17 punkti 1 kohaselt peab keskkonnadeklaratsioon sisaldama tootmisetapi kohta ehitusprotsessi etapi, kasutusetapi, kasutusea lõppjärgu ja nende etappide summa järgmiste näitajate väärtusi:</w:t>
      </w:r>
    </w:p>
    <w:p w14:paraId="1B8C0EF8" w14:textId="6765F60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Keskkonnamõjusid kirjeldavad: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globaalne soojenemine (kasvuhoonegaaside heitkogused);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osoonikihi hõrenemine;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mulla ja vee hapestumine;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eutrofeerumine;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osooni fotokeemiline teke;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abiootiliste ressursside vähenemine – elemendid;</w:t>
      </w:r>
      <w:r>
        <w:rPr>
          <w:rFonts w:ascii="Times New Roman" w:hAnsi="Times New Roman"/>
          <w:sz w:val="24"/>
        </w:rPr>
        <w:br/>
        <w:t>- abiootiliste ressursside ammendumine – fossiilkütused.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ressursside kasutamist kirjeldavad: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taastuva primaarenergia kasutamine, välja arvatud toorainena kasutatava taastuva primaarenergia ressursid;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toorainena kasutatava taastuva primaarenergia ressursside kasutamine;</w:t>
      </w:r>
      <w:r>
        <w:rPr>
          <w:rFonts w:ascii="Times New Roman" w:hAnsi="Times New Roman"/>
          <w:sz w:val="24"/>
        </w:rPr>
        <w:br/>
      </w:r>
      <w:r w:rsidR="009F3336">
        <w:rPr>
          <w:rFonts w:ascii="Times New Roman" w:hAnsi="Times New Roman"/>
          <w:sz w:val="24"/>
        </w:rPr>
        <w:lastRenderedPageBreak/>
        <w:t xml:space="preserve">- </w:t>
      </w:r>
      <w:r>
        <w:rPr>
          <w:rFonts w:ascii="Times New Roman" w:hAnsi="Times New Roman"/>
          <w:sz w:val="24"/>
        </w:rPr>
        <w:t>kõikide taastuvate primaarenergia ressursside kasutamine (primaarenergia ja toorainena kasutatava primaarenergia ressursid);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taastumatu primaarenergia kasutamine, välja arvatud toorainena kasutatava taastumatu primaarenergia ressursid;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toorainena kasutatava taastumatu primaarenergia ressursside kasutamine;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kõikide taastumatu primaarenergia ressursside kasutamine (primaarenergia ja toorainena kasutatava primaarenergia ressursid);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sekundaarmaterjali kasutamine;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taastuvate sekundaarkütuste kasutamine;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taastumatute sekundaarkütuste kasutamine;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magevee netokasutus;</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jäätmekategooriaid kirjeldavad: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kõrvaldatud ohtlikud jäätmed;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kõrvaldatud tavajäätmed;</w:t>
      </w:r>
      <w:r>
        <w:rPr>
          <w:rFonts w:ascii="Times New Roman" w:hAnsi="Times New Roman"/>
          <w:sz w:val="24"/>
        </w:rPr>
        <w:br/>
        <w:t>- kõrvaldatud radioaktiivsed jäätmed.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väljavoolu kirjeldavad: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korduskasutamiseks minevad koostisosad;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ringlussevõtuks minevad materjalid;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energia taaskasutamiseks minevad materjalid;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mujal toodetud energia.</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Ehitus- ja elamuseadustiku artikli R. 171-17 punkti 4 kohaselt peavad keskkonnadeklaratsiooni puhul, mida mõjutavad käesoleva määruse artikli 8 nõuded, olema keskkonnadeklaratsioonis märgitud artiklis 8 määratletud kontrollindikaatorite kõikumisvahemikud (maksimaalsed ja minimaalsed väärtused).</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Registreerija hoiab keskkonnadeklaratsiooni programmile ja kontrollimise eest vastutavatele haldusasutustele või nende esindajatele vastavalt ehitus- ja elamuseadustiku artiklitele R. 171-21 ja R. 171-26 kättesaadavana kõik neid esemeid valdavate füüsiliste või juriidiliste isikute andmed või kontaktandmed, mis võimaldavad kinnitada keskkonnadeklaratsioonis sisalduvat teavet.</w:t>
      </w:r>
      <w:r>
        <w:rPr>
          <w:rFonts w:ascii="Times New Roman" w:hAnsi="Times New Roman"/>
          <w:sz w:val="24"/>
        </w:rPr>
        <w:br/>
        <w:t>Eespool nimetatud elemendid on järgmised:</w:t>
      </w:r>
    </w:p>
    <w:p w14:paraId="4D6FBAE8" w14:textId="3C66A4C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tooraine päritolu, toote materjalid ja koostisained;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nende sisendite kindlakstegemine, mis ei sisaldu olelusringi inventaris piiramisreegli kohaselt;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olelusringi arvestuses piiramisreegli kohaselt arvestamata jäänud sisendite kogumass;</w:t>
      </w:r>
      <w:r>
        <w:rPr>
          <w:rFonts w:ascii="Times New Roman" w:hAnsi="Times New Roman"/>
          <w:sz w:val="24"/>
        </w:rPr>
        <w:br/>
        <w:t>varude arvestuse tulemused;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tõendusmaterjal toote võrdlusea kohta;</w:t>
      </w:r>
      <w:r>
        <w:rPr>
          <w:rFonts w:ascii="Times New Roman" w:hAnsi="Times New Roman"/>
          <w:sz w:val="24"/>
        </w:rPr>
        <w:br/>
        <w:t>- avalikest või eraandmebaasidest pärinevate üldandmete kasutamise juhul dokumendid, mis käsitlevad kasutatud üldandmete tehnoloogilist, geograafilist ja ajalist representatiivsust, viited andmebaasidele, kust nimetatud andmed pärinevad, ja viited kasutatud andmete andmemoodulitele;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stsenaariumid, millel põhineb olelusringi arvestus;</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keskkonnadeklaratsioonis nimetatud tootmiskoht (tootmiskohad);</w:t>
      </w:r>
      <w:r>
        <w:rPr>
          <w:rFonts w:ascii="Times New Roman" w:hAnsi="Times New Roman"/>
          <w:sz w:val="24"/>
        </w:rPr>
        <w:br/>
      </w:r>
      <w:r w:rsidR="009F3336">
        <w:rPr>
          <w:rFonts w:ascii="Times New Roman" w:hAnsi="Times New Roman"/>
          <w:sz w:val="24"/>
        </w:rPr>
        <w:lastRenderedPageBreak/>
        <w:t xml:space="preserve">- </w:t>
      </w:r>
      <w:r>
        <w:rPr>
          <w:rFonts w:ascii="Times New Roman" w:hAnsi="Times New Roman"/>
          <w:sz w:val="24"/>
        </w:rPr>
        <w:t>iga tootmiskoha toodangumaht funktsionaalühikus sätestatud koguse ühikutes;</w:t>
      </w:r>
      <w:r>
        <w:rPr>
          <w:rFonts w:ascii="Times New Roman" w:hAnsi="Times New Roman"/>
          <w:sz w:val="24"/>
        </w:rPr>
        <w:br/>
        <w:t>- tõendid selle kohta, et kasutatud valim on representatiivne, eelkõige geograafilisest, ajalisest ja tehnoloogilisest seisukohast, kui kasutatakse proovivõtumeetodit;</w:t>
      </w:r>
      <w:r>
        <w:rPr>
          <w:rFonts w:ascii="Times New Roman" w:hAnsi="Times New Roman"/>
          <w:sz w:val="24"/>
        </w:rPr>
        <w:br/>
        <w:t>- keskkonnadeklaratsioonide kehtivuse raamistiku koostisosad, mida mõjutavad käesoleva määruse artikli 8 nõuded;</w:t>
      </w:r>
      <w:r>
        <w:rPr>
          <w:rFonts w:ascii="Times New Roman" w:hAnsi="Times New Roman"/>
          <w:sz w:val="24"/>
        </w:rPr>
        <w:br/>
        <w:t>- käesoleva määruse artiklis 10 osutatud määratava deklaratsiooni koostisosad.</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Ehitus- ja elamuseadustiku artiklis R. 171-15 defineeritud iga ehitus- või viimistlustoote kategooria funktsionaalühikute vormingud on määratletud käesoleva määruse I lisas.</w:t>
      </w:r>
      <w:r>
        <w:rPr>
          <w:rFonts w:ascii="Times New Roman" w:hAnsi="Times New Roman"/>
          <w:sz w:val="24"/>
        </w:rPr>
        <w:br/>
        <w:t>Ehitus- ja elamuseadustiku artiklis 171-15 defineeritud funktsionaalühikute vormingud või elektri-, elektroonika- ja kliimatehniliste seadmete kohta deklareeritud funktsionaalühikud on määratletud käesoleva määruse II lisas.</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Artiklis 3 osutatud teabe, eelkõige indikaatorite hindamise ja arvutamise ning ehitus- ja elamuseadustiku artikli R. 171-17 punktides 1, 2, 3, 14 ja 15 osutatud indikaatorite määramise meetodite suhtes eeldatakse, et need vastavad käesoleva määruse nõuetele ja vastavad kõikidele järgmistele tingimustele:</w:t>
      </w:r>
    </w:p>
    <w:p w14:paraId="616E0A2A" w14:textId="0B30876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nende tulemuseks ei ole protsesside väljajätmine, mis moodustavad kokku rohkem kui 5% iga osutatud teabeelemendi väärtusest;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nende tulemusel ei anta toodet, mille kohta tuleb esitada keskkonnadeklaratsioon osutatud teabe arvutamisel muudele toodetele omistatud kasu kohta, välja arvatud indikaatorid, mis on seotud olelusringi lõpu hindamisega seotud kasumi ja kuludega;</w:t>
      </w:r>
      <w:r>
        <w:rPr>
          <w:rFonts w:ascii="Times New Roman" w:hAnsi="Times New Roman"/>
          <w:sz w:val="24"/>
        </w:rPr>
        <w:br/>
        <w:t>- need vastavad kas NF EN 15804 + A1 standardile: 2014-04 või XP C08-100-1 standard: 2016-12 või XP C08-100-1 standardid: 2016–12 ja EN 50693: 2019-08 või mis tahes samaväärne standard;</w:t>
      </w:r>
      <w:r>
        <w:rPr>
          <w:rFonts w:ascii="Times New Roman" w:hAnsi="Times New Roman"/>
          <w:sz w:val="24"/>
        </w:rPr>
        <w:br/>
        <w:t>- need peavad vastama kasutuselt kõrvaldamisega seotud kasumi ja kulude hindamise arvutamise meetodile, nagu on määratletud käesoleva määruse III lisas.</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Lisaks peavad pärast 1. oktoobrit 2022 vastavuskinnitust omavad keskkonnadeklaratsioonid, kus keskkonnadeklaratsioon hõlmab erinevaid viise sellega hõlmatud toote paigaldamiseks, vastama osutatud teabe hindamise ja arvutamise meetodid järgmistele eeskirjadele:</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iga kõnealuse paigaldusviisi puhul hinnatakse järgmisi kontrollindikaatoreid: kliimasoojenemine, taastumatu primaarenergia kasutamine, välja arvatud toorainena kasutatavad taastumatud primaarenergia ressursid, kõrvaldatud tavajäätmed;</w:t>
      </w:r>
      <w:r>
        <w:rPr>
          <w:rFonts w:ascii="Times New Roman" w:hAnsi="Times New Roman"/>
          <w:sz w:val="24"/>
        </w:rPr>
        <w:br/>
        <w:t xml:space="preserve">- iga nimetatud kontrollindikaatori puhul võrreldakse käesoleva määruse artiklis 3 osutatud etappide summa maksimumväärtust saadud väärtuste keskmisega (st erinevate paigaldusviiside keskmise mõjuga). Kui ühe indikaatori maksimumväärtus on suurem kui 1,1-kordne keskmine väärtus, on see halvim väärtus (st halvim väärtus erinevate </w:t>
      </w:r>
      <w:r>
        <w:rPr>
          <w:rFonts w:ascii="Times New Roman" w:hAnsi="Times New Roman"/>
          <w:sz w:val="24"/>
        </w:rPr>
        <w:lastRenderedPageBreak/>
        <w:t>paigaldamisviiside vahel), mis tuleb esitada iga keskkonnadeklaratsioonis loetletud indikaatori kohta. Vastasel juhul võib esitada keskmise väärtuse iga indikaatori kohta.</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Ehitus- ja elamuseadustiku artiklis R. 171-20 osutatud andmebaasi(de) aadress(id), kus on kättesaadavad teenuse keskkonnaandmed ja vaikekeskkonnaandmed, nagu on määratletud ehitus- ja elamuseadustiku artiklis R. 171-16, samuti keskkonnadeklaratsioonid, on kättesaadavad ehituse eest vastutava ministri veebilehel.</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Keskkonnadeklaratsioon võib põhineda mitme registreerija sarnaste toodete ühisel keskkonnadeklaratsioonil.</w:t>
      </w:r>
      <w:r>
        <w:rPr>
          <w:rFonts w:ascii="Times New Roman" w:hAnsi="Times New Roman"/>
          <w:sz w:val="24"/>
        </w:rPr>
        <w:br/>
        <w:t>1. Käesolev ühine keskkonnadeklaratsioon vastab järgmistele tingimustele:</w:t>
      </w:r>
    </w:p>
    <w:p w14:paraId="7E91553F" w14:textId="5400CA0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see puudutab standardtoodet;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see luuakse eelmistes artiklites osutatud tingimustel;</w:t>
      </w:r>
      <w:r>
        <w:rPr>
          <w:rFonts w:ascii="Times New Roman" w:hAnsi="Times New Roman"/>
          <w:sz w:val="24"/>
        </w:rPr>
        <w:br/>
        <w:t>- tagada tuleb iga indikaatori väärtust oluliselt mõjutavate parameetrite ühtsus; selleks peab ühine keskkonnadeklaratsioon sisaldama IV lisas määratletud kehtivuse piire, mis sisaldab järgmist teavet: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 xml:space="preserve">mõjuvate parameetrite loetelu, milles täpsustatakse, kas parameetrid esitatakse üld- või </w:t>
      </w:r>
      <w:r w:rsidR="009F3336">
        <w:rPr>
          <w:rFonts w:ascii="Times New Roman" w:hAnsi="Times New Roman"/>
          <w:sz w:val="24"/>
        </w:rPr>
        <w:t xml:space="preserve">- </w:t>
      </w:r>
      <w:r>
        <w:rPr>
          <w:rFonts w:ascii="Times New Roman" w:hAnsi="Times New Roman"/>
          <w:sz w:val="24"/>
        </w:rPr>
        <w:t>eriandmete põhjal;</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asjaomaste parameetrite kehtivusperiood.</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Ühise keskkonnadeklaratsiooni esitanud registreerija vastutab selles sisalduva teabe eest, sealhulgas asjaomaste toodete loetelu ja tingimuste eest, mille alusel tooteid võib vajaduse korral sellega siduda;</w:t>
      </w:r>
      <w:r>
        <w:rPr>
          <w:rFonts w:ascii="Times New Roman" w:hAnsi="Times New Roman"/>
          <w:sz w:val="24"/>
        </w:rPr>
        <w:br/>
        <w:t>3. Käesoleva ühise keskkonnadeklaratsiooniga hõlmatud toodete registreerijad peavad vastama järgmistele tingimustele:</w:t>
      </w:r>
    </w:p>
    <w:p w14:paraId="5C7B5DE1" w14:textId="7113CA3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nad vastutavad eespool nimetatud registreerijale edastatava teabe eest;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nad peavad järgima ühise keskkonnadeklaratsiooni kehtivuse piire;</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nad peavad esitama sertifikaadi, mis tõendab vastavust ühise keskkonnadeklaratsiooni kehtivuse piiridele;</w:t>
      </w:r>
      <w:r>
        <w:rPr>
          <w:rFonts w:ascii="Times New Roman" w:hAnsi="Times New Roman"/>
          <w:sz w:val="24"/>
        </w:rPr>
        <w:br/>
        <w:t>- nad peavad hoidma kontrolliasutustele ja keskkonnadeklaratsiooni programmi rakendamise eest vastutavale juriidilisele isikule kättesaadavana tõendid kehtivuse piiride järgimise kohta.</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Ühine keskkonnadeklaratsioon vastab ehitus- ja elamuseadustiku artiklites R. 171-18 määratletud ja ehitus- ja elamuseadustiku artiklites R. 171-29 viidatud sõltumatu kolmanda osapoole kontrollimise nõuetele.</w:t>
      </w:r>
      <w:r>
        <w:rPr>
          <w:rFonts w:ascii="Times New Roman" w:hAnsi="Times New Roman"/>
          <w:sz w:val="24"/>
        </w:rPr>
        <w:br/>
        <w:t xml:space="preserve">5. Kontrollinäitajad, mida tuleb arvesse võtta, on vähemalt järgmised: kliima soojenemine, taastumatu primaarenergia kasutamine, välja arvatud toorainena </w:t>
      </w:r>
      <w:r>
        <w:rPr>
          <w:rFonts w:ascii="Times New Roman" w:hAnsi="Times New Roman"/>
          <w:sz w:val="24"/>
        </w:rPr>
        <w:lastRenderedPageBreak/>
        <w:t>kasutatavad taastumatud primaarenergiaressursid, kõrvaldatavad tavajäätmed;</w:t>
      </w:r>
      <w:r>
        <w:rPr>
          <w:rFonts w:ascii="Times New Roman" w:hAnsi="Times New Roman"/>
          <w:sz w:val="24"/>
        </w:rPr>
        <w:br/>
        <w:t>6. Ühised keskkonnadeklaratsioonid peavad vastama järgmistele nõuetele:</w:t>
      </w:r>
      <w:r>
        <w:rPr>
          <w:rFonts w:ascii="Times New Roman" w:hAnsi="Times New Roman"/>
          <w:sz w:val="24"/>
        </w:rPr>
        <w:br/>
        <w:t>kui iga kontrollindikaatori maksimumväärtus, mis on saadud käesoleva määruse artiklis 3 osutatud etappide summa ja käesoleva määruse IV lisas kirjeldatud varieeruvuse arvutamise teel, on väiksem kui indikaatori keskmine väärtus, mis on korrutatud piirväärtusega, või sellega võrdne, võib indikaatorite väärtused arvutada tundlike parameetrite keskmiste väärtuste alusel. Vastasel juhul tuleb deklareerida ebasoodsaim künnis (maksimaalne väärtus, mille näitaja võib saavutada, kui see kajastab kulu ja minimaalset väärtust, kui see kajastab kasumit).</w:t>
      </w:r>
      <w:r>
        <w:rPr>
          <w:rFonts w:ascii="Times New Roman" w:hAnsi="Times New Roman"/>
          <w:sz w:val="24"/>
        </w:rPr>
        <w:br/>
        <w:t>Alates 1. oktoobrist 2022 esitatud vastavuskinnituse puhul on eespool nimetatud piirväärtus „1,4“ ja eespool nimetatud varieeruvuse arvutus peab hõlmama vähemalt tundlikke parameetreid, mis on seotud järgnevaga:</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toote koostis: materjalide mass ja liik;</w:t>
      </w:r>
      <w:r>
        <w:rPr>
          <w:rFonts w:ascii="Times New Roman" w:hAnsi="Times New Roman"/>
          <w:sz w:val="24"/>
        </w:rPr>
        <w:br/>
        <w:t>- pakendite massid;</w:t>
      </w:r>
      <w:r>
        <w:rPr>
          <w:rFonts w:ascii="Times New Roman" w:hAnsi="Times New Roman"/>
          <w:sz w:val="24"/>
        </w:rPr>
        <w:br/>
        <w:t>- tootmisprotsessid, välja arvatud tooraine kaevandamine ja töötlemine (etapid A2 ja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Alates 1. oktoobrist 2022 esitatud vastavuskinnitustega keskkonnadeklaratsioonide puhul on eespool nimetatud piirväärtus „1,35“ ja eespool osutatud varieeruvuse arvutus peab hõlmama vähemalt tundlikke parameetreid, mis on seotud järgnevaga:</w:t>
      </w:r>
    </w:p>
    <w:p w14:paraId="40F7CD3B" w14:textId="0881797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toote koostis: materjalide mass ja liik;</w:t>
      </w:r>
      <w:r>
        <w:rPr>
          <w:rFonts w:ascii="Times New Roman" w:hAnsi="Times New Roman"/>
          <w:sz w:val="24"/>
        </w:rPr>
        <w:br/>
        <w:t>- pakendite massid;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tootmisprotsessid, välja arvatud tooraine kaevandamine ja töötlemine (etapid A2 ja A3);</w:t>
      </w:r>
      <w:r>
        <w:rPr>
          <w:rFonts w:ascii="Times New Roman" w:hAnsi="Times New Roman"/>
          <w:sz w:val="24"/>
        </w:rPr>
        <w:br/>
        <w:t>transport tootmiskohta (etapp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Keskkonnadeklaratsioon võib põhineda sama registreerija sarnastel toodetel. Need keskkonnadeklaratsioonid peavad vastama käesoleva määruse artiklis 8 sätestatud ühiste keskkonnadeklaratsioonide nõuetele.</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Keskkonnadeklaratsioon võib põhineda määrataval deklaratsioonil.</w:t>
      </w:r>
      <w:r>
        <w:rPr>
          <w:rFonts w:ascii="Times New Roman" w:hAnsi="Times New Roman"/>
          <w:sz w:val="24"/>
        </w:rPr>
        <w:br/>
        <w:t>See määratav deklaratsioon peab vastama järgmistele tingimustele:</w:t>
      </w:r>
    </w:p>
    <w:p w14:paraId="6A4F1CB3" w14:textId="345F42D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see puudutab standardtoodet;</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see luuakse eelmistes artiklites osutatud tingimustel;</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see peab sisaldama arvutuseeskirju, et kohandada selles nimetatud teavet muudetavate parameetrite alusel nii, et see vastaks standardtootega sarnasele tootele, kuid mille mõõtmed, koostis või teatavad olelusringi protsessid on erinevad;</w:t>
      </w:r>
      <w:r>
        <w:rPr>
          <w:rFonts w:ascii="Times New Roman" w:hAnsi="Times New Roman"/>
          <w:sz w:val="24"/>
        </w:rPr>
        <w:br/>
      </w:r>
      <w:r w:rsidR="009F3336">
        <w:rPr>
          <w:rFonts w:ascii="Times New Roman" w:hAnsi="Times New Roman"/>
          <w:sz w:val="24"/>
        </w:rPr>
        <w:t xml:space="preserve">- </w:t>
      </w:r>
      <w:r>
        <w:rPr>
          <w:rFonts w:ascii="Times New Roman" w:hAnsi="Times New Roman"/>
          <w:sz w:val="24"/>
        </w:rPr>
        <w:t>eespool nimetatud muudetavate parameetrite väärtust peab olema võimalik kontrollida hoone üleandmisel;</w:t>
      </w:r>
      <w:r>
        <w:rPr>
          <w:rFonts w:ascii="Times New Roman" w:hAnsi="Times New Roman"/>
          <w:sz w:val="24"/>
        </w:rPr>
        <w:br/>
      </w:r>
      <w:r>
        <w:rPr>
          <w:rFonts w:ascii="Times New Roman" w:hAnsi="Times New Roman"/>
          <w:sz w:val="24"/>
        </w:rPr>
        <w:lastRenderedPageBreak/>
        <w:t>- see sisaldab kehtivuse piire, milles määratakse kindlaks väärtused, mida võib kasutada eespool nimetatud muudetavate parameetrite puhul, ja omadused, millele eelnimetatud sarnane toode peab vastama.</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Igale alates 1. oktoobrist 2022 vastavuskinnituse saanud määratavale deklaratsioonile lisatakse eespool nimetatud arvutuseeskirjade kohaldamiseks ja ehitus- ja elamuseadustiku artiklis R. 171-17 ja käesoleva määruse artiklis 3 nõutud teabe eksportimiseks kasutatav arvutipõhine arvutusvahend koos eespool nimetatud muudetavate parameetrite ja nende seotud väärtuste loeteluga. Kogu see teave eksporditakse arvutifailina vastavalt ehituse eest vastutava ministeeriumi veebisaidil kindlaks määratud vormingule.</w:t>
      </w:r>
      <w:r>
        <w:rPr>
          <w:rFonts w:ascii="Times New Roman" w:hAnsi="Times New Roman"/>
          <w:sz w:val="24"/>
        </w:rPr>
        <w:br/>
        <w:t>Ehitus- ja elamuseadustiku artiklis R. 171-18 osutatud sõltumatu kolmanda isiku kontroll, millele on osutatud ehitus- ja elamuseadustiku artiklis R. 171-29, peab hõlmama määratava deklaratsiooni puhul ka käesolevas artiklis osutatud arvutuseeskirju ja eelmises lõikes osutatud arvutipõhist arvutusvahendit.</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Ehitus- ja elamuseadustiku artiklis R. 171-27 nimetatud keskkonnaomaduste sertifitseerimine loetakse vastavaks, kui selles võetakse arvesse kõiki standardi NF EN ISO 14024: 2018-03 nõudeid. Ehitustoodete või -seadmete sertifitseerimise annab välja organisatsioon, mille on selleks akrediteerinud Prantsuse akrediteerimiskomitee (COFRAC) või mõni muu akrediteerimisasutus, kes on alla kirjutanud mitmepoolsetele vastastikuse tunnustamise lepingutele.</w:t>
      </w:r>
      <w:r>
        <w:rPr>
          <w:rFonts w:ascii="Times New Roman" w:hAnsi="Times New Roman"/>
          <w:sz w:val="24"/>
        </w:rPr>
        <w:br/>
        <w:t>Käesolevat jagu ei kohaldata keskkonnadeklaratsioonide suhtes, mida kasutatakse ehitiste keskkonnatoime arvutamisel.</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23. detsembri 2013. aasta määrus ehitistes kasutatavate ehitus- ja viimistlustoodete keskkonnadeklaratsiooni kohta tunnistatakse kehtetuks.</w:t>
      </w:r>
      <w:r>
        <w:rPr>
          <w:rFonts w:ascii="Times New Roman" w:hAnsi="Times New Roman"/>
          <w:sz w:val="24"/>
        </w:rPr>
        <w:br/>
        <w:t>31. augusti 2015. aasta määrus ehitustöödel kasutatavate elektri-, elektroonika- ja kliimatehniliste seadmete keskkonnadeklaratsiooni kohta tunnistatakse kehtetuks.</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Käesoleva määruse sätted jõustuvad 1. jaanuaril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14</w:t>
      </w:r>
    </w:p>
    <w:p w14:paraId="27D4B382" w14:textId="4592ED45"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Elamumajanduse, linnaplaneerimise ja maaeluameti peadirektoraadi direktor vastutab käesoleva määruse rakendamise eest, mis avaldatakse Prantsuse Vabariigi ametlikus väljaandes.</w:t>
      </w:r>
    </w:p>
    <w:p w14:paraId="30A54363" w14:textId="77777777" w:rsidR="009F3336" w:rsidRPr="00B77F10" w:rsidRDefault="009F3336" w:rsidP="00B77F10">
      <w:pPr>
        <w:spacing w:before="100" w:beforeAutospacing="1" w:after="100" w:afterAutospacing="1" w:line="240" w:lineRule="auto"/>
        <w:ind w:left="450"/>
        <w:rPr>
          <w:rFonts w:ascii="Times New Roman" w:eastAsia="Times New Roman" w:hAnsi="Times New Roman" w:cs="Times New Roman"/>
          <w:sz w:val="24"/>
          <w:szCs w:val="24"/>
        </w:rPr>
      </w:pP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Lisa</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Artikkel</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LISAD</w:t>
      </w:r>
      <w:r>
        <w:rPr>
          <w:rFonts w:ascii="Times New Roman" w:hAnsi="Times New Roman"/>
          <w:sz w:val="24"/>
        </w:rPr>
        <w:br/>
        <w:t>I LISA</w:t>
      </w:r>
      <w:r>
        <w:rPr>
          <w:rFonts w:ascii="Times New Roman" w:hAnsi="Times New Roman"/>
          <w:sz w:val="24"/>
        </w:rPr>
        <w:br/>
        <w:t>FUNKTSIONAALÜHIKUTE VORMINGUD IGA EHITUS- VÕI VIIMISTLUSTOOTE KATEGOORIA JAOKS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
        <w:gridCol w:w="3075"/>
        <w:gridCol w:w="3105"/>
        <w:gridCol w:w="2380"/>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RAKENDUSALA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ÜHIKU VORMING</w:t>
            </w:r>
            <w:r>
              <w:rPr>
                <w:rFonts w:ascii="Times New Roman" w:hAnsi="Times New Roman"/>
                <w:b/>
                <w:sz w:val="24"/>
              </w:rPr>
              <w:br/>
              <w:t>toimib rahvusvahelise</w:t>
            </w:r>
            <w:r>
              <w:rPr>
                <w:rFonts w:ascii="Times New Roman" w:hAnsi="Times New Roman"/>
                <w:b/>
                <w:sz w:val="24"/>
              </w:rPr>
              <w:br/>
              <w:t>süsteemi ühikutes</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Teed, mitmesugused võrgud (sh sisevõrgud)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Mahutid ja reservuaarid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Kindlaksmääratud mahuühik</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Kuivendus- ja reoveepuhastusvõrk (vihma- ja reovesi)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keskmine</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Veevarustusvõrgud (sisesed ja välised)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keskmine</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Gaasitarnevõrgud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keskmine</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Äravoolusüsteem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keskmine</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Teed ja välispind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pinda kindlaksmääratud kasutuseks (välisterrass, kerge liiklusega teed, parkla jne)</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Piirded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piirdeid</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Kaitsekestad/käigud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Ehitise karkass, müüritis, karkass-struktuur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Lõõri vooder ja suitsukäik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kindlaksmääratud suitsukäigu siseosa</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Teekattepinnad / ujuvad betoonikihid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kindlaksmääratud paksuse kohta</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Karkass-struktuurid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kaetud pinda või m</w:t>
            </w:r>
            <w:r>
              <w:rPr>
                <w:rFonts w:ascii="Times New Roman" w:hAnsi="Times New Roman"/>
                <w:sz w:val="24"/>
                <w:vertAlign w:val="superscript"/>
              </w:rPr>
              <w:t>3</w:t>
            </w:r>
            <w:r>
              <w:rPr>
                <w:rFonts w:ascii="Times New Roman" w:hAnsi="Times New Roman"/>
                <w:sz w:val="24"/>
              </w:rPr>
              <w:t xml:space="preserve"> või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Tuuleside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või kg tuulesidet</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Katte- ja monteeritavad plaadid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Horisontaalsed kandvad elemendid (suuremad ja väiksemad talad, isolatsioon, õõnesplaadid, sillused)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kandvat elementi (täpsustada vahekaugust ja sektsiooni) või m² (pindmise elemendi jaoks) või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Vertikaalsed kandvad elemendid (sambad/kolonnid/tugipostid)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elementi (täpsustada sektsioon) või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(Sise- ja välis-) trepid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Kindlaksmääratud trepi tõusu kõrguse ühik</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Vundament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Väikesed müüritiselemendid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(täpsustada kuumuskindlus)</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Põrandad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põrandat (täpsustada talutav koormus)</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Seinad (arhitektuurielemendid)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(täpsustada paksus)</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Fassaadid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Välisvooder (isoleerplaat/vooderdis)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fassaadi</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Rippfassaadid ja katuseaknad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fassaadi (täpsustada läbipaistmatu pinna protsent)</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Fassaadi viimistlus (sh välissoojusisolatsiooni komposiitsüsteemid)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fassaadi (vajaduse korral täpsustada kuumuskindlus)</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Katusekatted/isoleermaterjalid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Suured katuseelemendid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pinda</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Väikesed katuseelemendid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pinda</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Tihendamis- ja veekindluse suurendamise tooted maa-aluste seinte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pinda</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Katuse isoleerimistooted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pinda</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Rohelise katuse elemendid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katet (täpsustada talutava taimestiku tüüp ja vajadusel soojuslikud omadused)</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Sisemised ja välised puitdetailid/sulgurid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Aknad, žalusiiuksed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puitdetaile (avatud pind) (täpsustada Uw, päikesevalguse läbitustegur, õhk-vesi-tuul klassifikatsioon ja valgusläbivus)</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Balustraad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balustraadi</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Uksed (sise-/välisuksed/ukseava jne)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(avatud pind)</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Žalusiid, rullkardinad, kaldliistudest võred, päikesevarjud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varjatud/kaitstud pinda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Katuseaknad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puitdetaile (avatud pind) (täpsustada Uw, päikesevalguse läbitustegur, õhk-vesi-tuul klassifikatsioon ja valgusläbivus)</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Isolatsioon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Kärgkastid, katusepaneelid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Voodrikomplektid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Isolatsiooni lisamaterjalid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Õõnespaneelid, isoleerivad paneelid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siseseinte jaoks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 või helikindlus)</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pööningute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heliisoleerimise puistematerjalid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katuseterrasside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tasanduskihi 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 või helikindlus)</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Koormust mittekandev jaotatud isolatsioon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välisseinte jaoks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Heliisoleermaterjalid vaheseinte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helikindlus)</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Soojus- ja heliisoleermaterjalid põrandaplaatide 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 või helikindlus)</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Katte- ja alusplaatide alune isolatsioon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isolatsiooni (täpsustada kuumuskindlus)</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Vaheseinad, ripplaed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Vaheseinad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vaheseinu (vajadusel täpsustada helitakistus)</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Ripp-/pinglaed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ripplage (täpsustada helitakistus)</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Põranda- ja seinaviimistlus, värvid, viimistlustooted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Värvid, pinnakattematerjalid ja lakid, värvkatted (v.a. saturaatorid)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kaetud pinda</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Põrandaliistud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põrandaliiste</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Seinte ja lagede viimistlusmaterjalid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viimistluskatet</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Kõvad põrandakatted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põrandakatet (täpsustada kasutusklass või kulumiskindlus, sissesurumiskõvadus ja vee ja keemiliste ainete kindlus või samaväärne)</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Painduvad põrandakatted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põrandakatet (täpsustada kasutusklass või kulumiskindlus, sissesurumiskõvadus ja vee ja keemiliste ainete kindlus või samaväärne)</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Helitooted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põrandakatet (täpsustada kasutusklass või kulumiskindlus, sissesurumiskõvadus ja vee ja keemiliste ainete kindlus või samaväärne)</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Saturaatorid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kaetud pinda</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Ettevalmistus- ja rakendustooted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Liimid karkass-struktuuri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Parandus- ja monteerimistööd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Põrandad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põrandaliimi</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Müürimördid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Keraamilise plaadiga kaetud põrand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keraamilist plaati</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Viimistlus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Polüuretaanhermeetikud ja -vahud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(täpsustada lineaarmass)</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Ehituskeemia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Tooted betooni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(täpsustada tihedus)</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Tehisvaigud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(täpsustada tihedus)</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Sanitaarseadmed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Kraanid ja dušipaneelid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tüüp)</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maht liitrites ja kuju)</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Dušialune madal vann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mõõtmed: laius ja pikkus)</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Valamu</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mõõtmed: laius, pikkus ja paakide arv)</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Kraanikauss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mõõtmed: laius, pikkus ja paakide arv)</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Tualett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Ühik (täpsustada mõõtmed: laius ja pikkus)</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Muu</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Lisa</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Artikkel</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II lisa</w:t>
      </w:r>
      <w:r>
        <w:rPr>
          <w:rFonts w:ascii="Times New Roman" w:hAnsi="Times New Roman"/>
          <w:sz w:val="24"/>
        </w:rPr>
        <w:br/>
        <w:t>Funktsionaalühikute vormingud või seadmete kohta deklareeritud funktsionaalühikud</w:t>
      </w:r>
    </w:p>
    <w:tbl>
      <w:tblPr>
        <w:tblW w:w="9631"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1554"/>
        <w:gridCol w:w="1272"/>
        <w:gridCol w:w="1272"/>
        <w:gridCol w:w="1574"/>
        <w:gridCol w:w="1701"/>
        <w:gridCol w:w="1842"/>
      </w:tblGrid>
      <w:tr w:rsidR="00B77F10" w:rsidRPr="00B77F10" w14:paraId="503F1C5D" w14:textId="77777777" w:rsidTr="009F3336">
        <w:trPr>
          <w:tblCellSpacing w:w="15" w:type="dxa"/>
          <w:jc w:val="center"/>
        </w:trPr>
        <w:tc>
          <w:tcPr>
            <w:tcW w:w="371"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1524"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Rakendusala</w:t>
            </w:r>
          </w:p>
        </w:tc>
        <w:tc>
          <w:tcPr>
            <w:tcW w:w="1242"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Kategooria</w:t>
            </w:r>
          </w:p>
        </w:tc>
        <w:tc>
          <w:tcPr>
            <w:tcW w:w="1242"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Funktsionaalühik</w:t>
            </w:r>
          </w:p>
        </w:tc>
        <w:tc>
          <w:tcPr>
            <w:tcW w:w="1544"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Deklareeritud 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Rühm</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Lahendus</w:t>
            </w:r>
          </w:p>
        </w:tc>
      </w:tr>
      <w:tr w:rsidR="00B77F10" w:rsidRPr="00B77F10" w14:paraId="039605FC"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 ja sidevõrgu paigaldusseadmed</w:t>
            </w:r>
            <w:r>
              <w:rPr>
                <w:rFonts w:ascii="Times New Roman" w:hAnsi="Times New Roman"/>
                <w:sz w:val="24"/>
              </w:rPr>
              <w:br/>
              <w:t>≤ 63 amprit</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Seinte seadmed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Automaatika</w:t>
            </w:r>
          </w:p>
        </w:tc>
        <w:tc>
          <w:tcPr>
            <w:tcW w:w="1797"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Liikumisandurid</w:t>
            </w:r>
          </w:p>
        </w:tc>
      </w:tr>
      <w:tr w:rsidR="00B77F10" w:rsidRPr="00B77F10" w14:paraId="7811C1B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Termostaadid</w:t>
            </w:r>
          </w:p>
        </w:tc>
      </w:tr>
      <w:tr w:rsidR="00B77F10" w:rsidRPr="00B77F10" w14:paraId="0E80301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Hämardid</w:t>
            </w:r>
          </w:p>
        </w:tc>
      </w:tr>
      <w:tr w:rsidR="00B77F10" w:rsidRPr="00B77F10" w14:paraId="260BEE0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Seadmete kastid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Kipsplaadi jaoks</w:t>
            </w:r>
          </w:p>
        </w:tc>
      </w:tr>
      <w:tr w:rsidR="00B77F10" w:rsidRPr="00B77F10" w14:paraId="0CCBABC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Müüritise jaoks</w:t>
            </w:r>
          </w:p>
        </w:tc>
      </w:tr>
      <w:tr w:rsidR="00B77F10" w:rsidRPr="00B77F10" w14:paraId="242C8C2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Juhtseadmed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Lülitid</w:t>
            </w:r>
          </w:p>
        </w:tc>
      </w:tr>
      <w:tr w:rsidR="00B77F10" w:rsidRPr="00B77F10" w14:paraId="6C0F1CB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Lülitinupud</w:t>
            </w:r>
          </w:p>
        </w:tc>
      </w:tr>
      <w:tr w:rsidR="00B77F10" w:rsidRPr="00B77F10" w14:paraId="1D20722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Muud: Šahtventilatsioon, katik jne</w:t>
            </w:r>
          </w:p>
        </w:tc>
      </w:tr>
      <w:tr w:rsidR="00B77F10" w:rsidRPr="00B77F10" w14:paraId="3795B33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Plaadid ja toed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Seinakontaktide alaliigid</w:t>
            </w:r>
          </w:p>
        </w:tc>
      </w:tr>
      <w:tr w:rsidR="00B77F10" w:rsidRPr="00B77F10" w14:paraId="7A5C470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Pistikupesad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Nõrkvoolu pistikupesad</w:t>
            </w:r>
          </w:p>
        </w:tc>
      </w:tr>
      <w:tr w:rsidR="00B77F10" w:rsidRPr="00B77F10" w14:paraId="1060CBC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Tugevvoolu pistikupesad</w:t>
            </w:r>
          </w:p>
        </w:tc>
      </w:tr>
      <w:tr w:rsidR="00B77F10" w:rsidRPr="00B77F10" w14:paraId="35853E2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Erinevad pistikupesad (TV, valjuhääldi, IT jne)</w:t>
            </w:r>
          </w:p>
        </w:tc>
      </w:tr>
      <w:tr w:rsidR="00B77F10" w:rsidRPr="00B77F10" w14:paraId="0891FD7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Signalisatsioon</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Heliedastus: valjuhääldi</w:t>
            </w:r>
          </w:p>
        </w:tc>
      </w:tr>
      <w:tr w:rsidR="00B77F10" w:rsidRPr="00B77F10" w14:paraId="3E0878D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Heliedastus: kell ja helin</w:t>
            </w:r>
          </w:p>
        </w:tc>
      </w:tr>
      <w:tr w:rsidR="00B77F10" w:rsidRPr="00B77F10" w14:paraId="4139425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Märgutuled</w:t>
            </w:r>
          </w:p>
        </w:tc>
      </w:tr>
      <w:tr w:rsidR="00B77F10" w:rsidRPr="00B77F10" w14:paraId="74E8770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Tarvikud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Kaugjuhtimispuldid, klapid, klambrid</w:t>
            </w:r>
          </w:p>
        </w:tc>
      </w:tr>
      <w:tr w:rsidR="00B77F10" w:rsidRPr="00B77F10" w14:paraId="691E7C6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Moodulseadmed moodulkilpide jaoks</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Üldine turvaseadmestik</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Ühendused</w:t>
            </w:r>
          </w:p>
        </w:tc>
      </w:tr>
      <w:tr w:rsidR="00B77F10" w:rsidRPr="00B77F10" w14:paraId="530F263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Kaitselülitid</w:t>
            </w:r>
          </w:p>
        </w:tc>
      </w:tr>
      <w:tr w:rsidR="00B77F10" w:rsidRPr="00B77F10" w14:paraId="1FBAD29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Ühendatavad kaitselülitid</w:t>
            </w:r>
          </w:p>
        </w:tc>
      </w:tr>
      <w:tr w:rsidR="00B77F10" w:rsidRPr="00B77F10" w14:paraId="4F2D53A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Lülitid/lahklülitid</w:t>
            </w:r>
          </w:p>
        </w:tc>
      </w:tr>
      <w:tr w:rsidR="00B77F10" w:rsidRPr="00B77F10" w14:paraId="1653AFE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Voolumuundurid</w:t>
            </w:r>
          </w:p>
        </w:tc>
      </w:tr>
      <w:tr w:rsidR="00B77F10" w:rsidRPr="00B77F10" w14:paraId="54DF41A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Diferentseeritud relee</w:t>
            </w:r>
          </w:p>
        </w:tc>
      </w:tr>
      <w:tr w:rsidR="00B77F10" w:rsidRPr="00B77F10" w14:paraId="333082B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Piksekaitse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Piksevardad</w:t>
            </w:r>
          </w:p>
        </w:tc>
      </w:tr>
      <w:tr w:rsidR="00B77F10" w:rsidRPr="00B77F10" w14:paraId="38BFC67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Telefoniliinide piksekaitse</w:t>
            </w:r>
          </w:p>
        </w:tc>
      </w:tr>
      <w:tr w:rsidR="00B77F10" w:rsidRPr="00B77F10" w14:paraId="1202F0C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Liinikaitse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Kaitselülitid</w:t>
            </w:r>
          </w:p>
        </w:tc>
      </w:tr>
      <w:tr w:rsidR="00B77F10" w:rsidRPr="00B77F10" w14:paraId="580793B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Lahklülitid</w:t>
            </w:r>
          </w:p>
        </w:tc>
      </w:tr>
      <w:tr w:rsidR="00B77F10" w:rsidRPr="00B77F10" w14:paraId="3D78045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Mootorikaitselülitid</w:t>
            </w:r>
          </w:p>
        </w:tc>
      </w:tr>
      <w:tr w:rsidR="00B77F10" w:rsidRPr="00B77F10" w14:paraId="09A5DDF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Sulavkaitsmed</w:t>
            </w:r>
          </w:p>
        </w:tc>
      </w:tr>
      <w:tr w:rsidR="00B77F10" w:rsidRPr="00B77F10" w14:paraId="43734CD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Diferentsiaalkaitse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Diferentsiaalplokid</w:t>
            </w:r>
          </w:p>
        </w:tc>
      </w:tr>
      <w:tr w:rsidR="00B77F10" w:rsidRPr="00B77F10" w14:paraId="6C7E03D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Diferentsiaalkaitsmed</w:t>
            </w:r>
          </w:p>
        </w:tc>
      </w:tr>
      <w:tr w:rsidR="00B77F10" w:rsidRPr="00B77F10" w14:paraId="60A9675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Diferentsiaallülitid</w:t>
            </w:r>
          </w:p>
        </w:tc>
      </w:tr>
      <w:tr w:rsidR="00B77F10" w:rsidRPr="00B77F10" w14:paraId="6427271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Valgustuse juhtimine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Fotoelektrilised lülitid</w:t>
            </w:r>
          </w:p>
        </w:tc>
      </w:tr>
      <w:tr w:rsidR="00B77F10" w:rsidRPr="00B77F10" w14:paraId="0DFC128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Päikesevalguse juhtimise süsteemid</w:t>
            </w:r>
          </w:p>
        </w:tc>
      </w:tr>
      <w:tr w:rsidR="00B77F10" w:rsidRPr="00B77F10" w14:paraId="2BDC0B6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Hämardid</w:t>
            </w:r>
          </w:p>
        </w:tc>
      </w:tr>
      <w:tr w:rsidR="00B77F10" w:rsidRPr="00B77F10" w14:paraId="2BED940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Energiajuhtimine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Pingeregulaatorid</w:t>
            </w:r>
          </w:p>
        </w:tc>
      </w:tr>
      <w:tr w:rsidR="00B77F10" w:rsidRPr="00B77F10" w14:paraId="269954B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Energiaarvestid</w:t>
            </w:r>
          </w:p>
        </w:tc>
      </w:tr>
      <w:tr w:rsidR="00B77F10" w:rsidRPr="00B77F10" w14:paraId="127CAD5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Akende ja luukide juhtimine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Akende ja luukide juhtimine</w:t>
            </w:r>
          </w:p>
        </w:tc>
      </w:tr>
      <w:tr w:rsidR="00B77F10" w:rsidRPr="00B77F10" w14:paraId="5C7BF1E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Ajajuhtimine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Programmkellad</w:t>
            </w:r>
          </w:p>
        </w:tc>
      </w:tr>
      <w:tr w:rsidR="00B77F10" w:rsidRPr="00B77F10" w14:paraId="78BF2AD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Taimerid</w:t>
            </w:r>
          </w:p>
        </w:tc>
      </w:tr>
      <w:tr w:rsidR="00B77F10" w:rsidRPr="00B77F10" w14:paraId="5BF9846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Aegreleed</w:t>
            </w:r>
          </w:p>
        </w:tc>
      </w:tr>
      <w:tr w:rsidR="00B77F10" w:rsidRPr="00B77F10" w14:paraId="60C6A08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Termoregulatsioon (küte, ventilatsioon)</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Termostaadid</w:t>
            </w:r>
          </w:p>
        </w:tc>
      </w:tr>
      <w:tr w:rsidR="00B77F10" w:rsidRPr="00B77F10" w14:paraId="3BCC0BE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Mõõtmine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Energiakulu mõõtjad</w:t>
            </w:r>
          </w:p>
        </w:tc>
      </w:tr>
      <w:tr w:rsidR="00B77F10" w:rsidRPr="00B77F10" w14:paraId="3AD6C6D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Vihmaandurid, päikseandurid jne</w:t>
            </w:r>
          </w:p>
        </w:tc>
      </w:tr>
      <w:tr w:rsidR="00B77F10" w:rsidRPr="00B77F10" w14:paraId="0D7FD6A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Voltmeetrid, ampermeetrid</w:t>
            </w:r>
          </w:p>
        </w:tc>
      </w:tr>
      <w:tr w:rsidR="00B77F10" w:rsidRPr="00B77F10" w14:paraId="103C5FA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Juhtseadmed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Lülitinupud</w:t>
            </w:r>
          </w:p>
        </w:tc>
      </w:tr>
      <w:tr w:rsidR="00B77F10" w:rsidRPr="00B77F10" w14:paraId="150B06D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Kontaktorid</w:t>
            </w:r>
          </w:p>
        </w:tc>
      </w:tr>
      <w:tr w:rsidR="00B77F10" w:rsidRPr="00B77F10" w14:paraId="333E4B7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Lülitid, vaheldid, kommutaatorid jne</w:t>
            </w:r>
          </w:p>
        </w:tc>
      </w:tr>
      <w:tr w:rsidR="00B77F10" w:rsidRPr="00B77F10" w14:paraId="19AE77E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Sammreleed</w:t>
            </w:r>
          </w:p>
        </w:tc>
      </w:tr>
      <w:tr w:rsidR="00B77F10" w:rsidRPr="00B77F10" w14:paraId="5A025F1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Signalisatsiooniseadmed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Kellad ja helinad</w:t>
            </w:r>
          </w:p>
        </w:tc>
      </w:tr>
      <w:tr w:rsidR="00B77F10" w:rsidRPr="00B77F10" w14:paraId="054F7F1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Märgutuled</w:t>
            </w:r>
          </w:p>
        </w:tc>
      </w:tr>
      <w:tr w:rsidR="00B77F10" w:rsidRPr="00B77F10" w14:paraId="0286331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Koduautomaatika ja edastussüsteemid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Multimeediavõrgud ja hääl-andmed-pilt-süsteemid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Moodulseadmed koduautomaatikale</w:t>
            </w:r>
          </w:p>
        </w:tc>
      </w:tr>
      <w:tr w:rsidR="00B77F10" w:rsidRPr="00B77F10" w14:paraId="39DA306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Lõppseadmed koduautomaatikale</w:t>
            </w:r>
          </w:p>
        </w:tc>
      </w:tr>
      <w:tr w:rsidR="00B77F10" w:rsidRPr="00B77F10" w14:paraId="30BE1D9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Signalisatsiooni-/tuvastussüsteemid</w:t>
            </w:r>
          </w:p>
        </w:tc>
      </w:tr>
      <w:tr w:rsidR="00B77F10" w:rsidRPr="00B77F10" w14:paraId="0E3B738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 pääsupunktid</w:t>
            </w:r>
          </w:p>
        </w:tc>
      </w:tr>
      <w:tr w:rsidR="00B77F10" w:rsidRPr="00B77F10" w14:paraId="1BA4C94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Kaitseümbrised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Elektrikapid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Polüesterkapid</w:t>
            </w:r>
          </w:p>
        </w:tc>
      </w:tr>
      <w:tr w:rsidR="00B77F10" w:rsidRPr="00B77F10" w14:paraId="665E1A2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Metallkapid</w:t>
            </w:r>
          </w:p>
        </w:tc>
      </w:tr>
      <w:tr w:rsidR="00B77F10" w:rsidRPr="00B77F10" w14:paraId="3E28A64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Ühendused</w:t>
            </w:r>
          </w:p>
        </w:tc>
      </w:tr>
      <w:tr w:rsidR="00B77F10" w:rsidRPr="00B77F10" w14:paraId="23DC5F8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Elektrikappide varustus</w:t>
            </w:r>
          </w:p>
        </w:tc>
      </w:tr>
      <w:tr w:rsidR="00B77F10" w:rsidRPr="00B77F10" w14:paraId="279CFC1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Harukarbid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Klemmikatted</w:t>
            </w:r>
          </w:p>
        </w:tc>
      </w:tr>
      <w:tr w:rsidR="00B77F10" w:rsidRPr="00B77F10" w14:paraId="061BB32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Süvistatud harukarbid</w:t>
            </w:r>
          </w:p>
        </w:tc>
      </w:tr>
      <w:tr w:rsidR="00B77F10" w:rsidRPr="00B77F10" w14:paraId="1D6E2D6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Ilmastikukindlad harukarbid</w:t>
            </w:r>
          </w:p>
        </w:tc>
      </w:tr>
      <w:tr w:rsidR="00B77F10" w:rsidRPr="00B77F10" w14:paraId="4042A32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Eenduvad harukarbid</w:t>
            </w:r>
          </w:p>
        </w:tc>
      </w:tr>
      <w:tr w:rsidR="00B77F10" w:rsidRPr="00B77F10" w14:paraId="02F2534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Virtuaalse töölaua infrastruktuuri harukarbid</w:t>
            </w:r>
          </w:p>
        </w:tc>
      </w:tr>
      <w:tr w:rsidR="00B77F10" w:rsidRPr="00B77F10" w14:paraId="161B3FB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Harutoosid</w:t>
            </w:r>
          </w:p>
        </w:tc>
      </w:tr>
      <w:tr w:rsidR="00B77F10" w:rsidRPr="00B77F10" w14:paraId="65A59F3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Lauad, termoregulatsioonikilbid</w:t>
            </w:r>
          </w:p>
        </w:tc>
      </w:tr>
      <w:tr w:rsidR="00B77F10" w:rsidRPr="00B77F10" w14:paraId="4BB012F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Kaablite suunamise lahendused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Meetrid</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Kaablite kulgemise ja kaabliredeli süsteemid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Traatkaabli rajad</w:t>
            </w:r>
          </w:p>
        </w:tc>
      </w:tr>
      <w:tr w:rsidR="00B77F10" w:rsidRPr="00B77F10" w14:paraId="674B908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Plaaditud kaablialused</w:t>
            </w:r>
          </w:p>
        </w:tc>
      </w:tr>
      <w:tr w:rsidR="00B77F10" w:rsidRPr="00B77F10" w14:paraId="26E0BE3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Kaabliraamid</w:t>
            </w:r>
          </w:p>
        </w:tc>
      </w:tr>
      <w:tr w:rsidR="00B77F10" w:rsidRPr="00B77F10" w14:paraId="50D79C6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Liug- ja kanalisüsteemid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Kanalid</w:t>
            </w:r>
          </w:p>
        </w:tc>
      </w:tr>
      <w:tr w:rsidR="00B77F10" w:rsidRPr="00B77F10" w14:paraId="6930BA2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Kandilised kanalid</w:t>
            </w:r>
          </w:p>
        </w:tc>
      </w:tr>
      <w:tr w:rsidR="00B77F10" w:rsidRPr="00B77F10" w14:paraId="435D71D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Torud ja jäigad kanalid</w:t>
            </w:r>
          </w:p>
        </w:tc>
      </w:tr>
      <w:tr w:rsidR="00B77F10" w:rsidRPr="00B77F10" w14:paraId="3932E3A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Jaotuskanalid</w:t>
            </w:r>
          </w:p>
        </w:tc>
      </w:tr>
      <w:tr w:rsidR="00B77F10" w:rsidRPr="00B77F10" w14:paraId="7F34156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Põrandakanalid</w:t>
            </w:r>
          </w:p>
        </w:tc>
      </w:tr>
      <w:tr w:rsidR="00B77F10" w:rsidRPr="00B77F10" w14:paraId="4D2766A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Paigalduskanalid</w:t>
            </w:r>
          </w:p>
        </w:tc>
      </w:tr>
      <w:tr w:rsidR="00B77F10" w:rsidRPr="00B77F10" w14:paraId="24B9244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Ehis- ja põrandaliistud</w:t>
            </w:r>
          </w:p>
        </w:tc>
      </w:tr>
      <w:tr w:rsidR="00B77F10" w:rsidRPr="00B77F10" w14:paraId="04064FD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Muud kaablite suunamise tooted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Elektrikilp</w:t>
            </w:r>
          </w:p>
        </w:tc>
      </w:tr>
      <w:tr w:rsidR="00B77F10" w:rsidRPr="00B77F10" w14:paraId="5A9BE34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Põrandakanalid</w:t>
            </w:r>
          </w:p>
        </w:tc>
      </w:tr>
      <w:tr w:rsidR="00B77F10" w:rsidRPr="00B77F10" w14:paraId="2D465B3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Postid, sambad ja balustrid</w:t>
            </w:r>
          </w:p>
        </w:tc>
      </w:tr>
      <w:tr w:rsidR="00B77F10" w:rsidRPr="00B77F10" w14:paraId="3C99A8F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Kaablikanalid elektrikapi jaoks</w:t>
            </w:r>
          </w:p>
        </w:tc>
      </w:tr>
      <w:tr w:rsidR="00B77F10" w:rsidRPr="00B77F10" w14:paraId="7EDFC08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Muud tarvikud</w:t>
            </w:r>
          </w:p>
        </w:tc>
      </w:tr>
      <w:tr w:rsidR="00B77F10" w:rsidRPr="00B77F10" w14:paraId="5B608A6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Ühendamine/liitumine (väljaspool elektrikilpi)</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Ühendusplokid</w:t>
            </w:r>
          </w:p>
        </w:tc>
      </w:tr>
      <w:tr w:rsidR="00B77F10" w:rsidRPr="00B77F10" w14:paraId="30FBE9E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Liitmikud</w:t>
            </w:r>
          </w:p>
        </w:tc>
      </w:tr>
      <w:tr w:rsidR="00B77F10" w:rsidRPr="00B77F10" w14:paraId="0BE3976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Tööstuslikud pistikupesad</w:t>
            </w:r>
          </w:p>
        </w:tc>
      </w:tr>
      <w:tr w:rsidR="00B77F10" w:rsidRPr="00B77F10" w14:paraId="1A06494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Toide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Transformaatorid</w:t>
            </w:r>
          </w:p>
        </w:tc>
      </w:tr>
      <w:tr w:rsidR="00B77F10" w:rsidRPr="00B77F10" w14:paraId="37211C8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Kesksed allikad</w:t>
            </w:r>
          </w:p>
        </w:tc>
      </w:tr>
      <w:tr w:rsidR="00B77F10" w:rsidRPr="00B77F10" w14:paraId="5EDD812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Liikuv elektriseadmestik</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Lamp</w:t>
            </w:r>
          </w:p>
        </w:tc>
      </w:tr>
      <w:tr w:rsidR="00B77F10" w:rsidRPr="00B77F10" w14:paraId="1FEA93D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Mitmikpistikupesad, telefoni jaotuspesad, muu</w:t>
            </w:r>
          </w:p>
        </w:tc>
      </w:tr>
      <w:tr w:rsidR="00B77F10" w:rsidRPr="00B77F10" w14:paraId="176BC77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Luukide avamise automaatika</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Uste ja väravate avamise automaatika</w:t>
            </w:r>
          </w:p>
        </w:tc>
      </w:tr>
      <w:tr w:rsidR="00B77F10" w:rsidRPr="00B77F10" w14:paraId="62761E5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Ribaaknaluugi automaatika</w:t>
            </w:r>
          </w:p>
        </w:tc>
      </w:tr>
      <w:tr w:rsidR="00B77F10" w:rsidRPr="00B77F10" w14:paraId="7815C73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Juhtmed ja kaablid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Elektrivõrgud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Keskpingekaablid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Madalpingekaablid &lt; 1 kV</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Elektrivõrgu tarvikud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Energia ja andmete edastus hoonesiseselt</w:t>
            </w:r>
          </w:p>
        </w:tc>
        <w:tc>
          <w:tcPr>
            <w:tcW w:w="1242"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544"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Elektrijuhtmed ja -kaablid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544"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Vasest ja optilisest kiust sidekaablid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Hoonesisesed tarvikud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Muud juhtmed ja kaablid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Isoleerimata</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Soojuskaablid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Üksikisikute ohutus ja juurdepääsu kontroll</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Ligipääsu tuvastamine ja kontroll</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Tuvastussüsteem sissetungimise vastu</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Sissetungimise avastamise seadmed</w:t>
            </w:r>
          </w:p>
        </w:tc>
      </w:tr>
      <w:tr w:rsidR="00B77F10" w:rsidRPr="00B77F10" w14:paraId="3772E83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Juhtseadmed (klaviatuur, pult jne)</w:t>
            </w:r>
          </w:p>
        </w:tc>
      </w:tr>
      <w:tr w:rsidR="00B77F10" w:rsidRPr="00B77F10" w14:paraId="6408C67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Alarmikeskus</w:t>
            </w:r>
          </w:p>
        </w:tc>
      </w:tr>
      <w:tr w:rsidR="00B77F10" w:rsidRPr="00B77F10" w14:paraId="06CA08D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Signalisatsiooniseadmed (sireen, saatja jne)</w:t>
            </w:r>
          </w:p>
        </w:tc>
      </w:tr>
      <w:tr w:rsidR="00B77F10" w:rsidRPr="00B77F10" w14:paraId="3C0ACEE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Ligipääsu kontrolli süsteem</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Fonolukk</w:t>
            </w:r>
          </w:p>
        </w:tc>
      </w:tr>
      <w:tr w:rsidR="00B77F10" w:rsidRPr="00B77F10" w14:paraId="4C7010E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Videofonolukk</w:t>
            </w:r>
          </w:p>
        </w:tc>
      </w:tr>
      <w:tr w:rsidR="00B77F10" w:rsidRPr="00B77F10" w14:paraId="1CE281A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Videovalve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Videovalvesüsteem</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Pildistusseadmed (kaamerad)</w:t>
            </w:r>
          </w:p>
        </w:tc>
      </w:tr>
      <w:tr w:rsidR="00B77F10" w:rsidRPr="00B77F10" w14:paraId="3384284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Pildiedastusseadmed</w:t>
            </w:r>
          </w:p>
        </w:tc>
      </w:tr>
      <w:tr w:rsidR="00B77F10" w:rsidRPr="00B77F10" w14:paraId="2A62D05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Ühendusseadmed</w:t>
            </w:r>
          </w:p>
        </w:tc>
      </w:tr>
      <w:tr w:rsidR="00B77F10" w:rsidRPr="00B77F10" w14:paraId="5AC9846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Hoone turvalisus</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Turvavalgustussüsteem</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Ümbruskond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turvavalgustusplokid (B.A.E.S)</w:t>
            </w:r>
          </w:p>
        </w:tc>
      </w:tr>
      <w:tr w:rsidR="00B77F10" w:rsidRPr="00B77F10" w14:paraId="0E7BF1B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Keskvalgustus (L.S.C)</w:t>
            </w:r>
          </w:p>
        </w:tc>
      </w:tr>
      <w:tr w:rsidR="00B77F10" w:rsidRPr="00B77F10" w14:paraId="0B957AD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Laternad</w:t>
            </w:r>
          </w:p>
        </w:tc>
      </w:tr>
      <w:tr w:rsidR="00B77F10" w:rsidRPr="00B77F10" w14:paraId="32107BC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Evakuatsioon</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turvavalgustusplokid (B.A.E.S)</w:t>
            </w:r>
          </w:p>
        </w:tc>
      </w:tr>
      <w:tr w:rsidR="00B77F10" w:rsidRPr="00B77F10" w14:paraId="1A9A618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Hoonevalgustuslaternad (B.A.E.H)</w:t>
            </w:r>
          </w:p>
        </w:tc>
      </w:tr>
      <w:tr w:rsidR="00B77F10" w:rsidRPr="00B77F10" w14:paraId="5B5B786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Kahefunktsiooniline latern (B.A.E.S + B.A.E.H)</w:t>
            </w:r>
          </w:p>
        </w:tc>
      </w:tr>
      <w:tr w:rsidR="00B77F10" w:rsidRPr="00B77F10" w14:paraId="60BD07B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Keskvalgustus (L.S.C)</w:t>
            </w:r>
          </w:p>
        </w:tc>
      </w:tr>
      <w:tr w:rsidR="00B77F10" w:rsidRPr="00B77F10" w14:paraId="461F472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Valgustusseade (B.A.E.S + D.L)</w:t>
            </w:r>
          </w:p>
        </w:tc>
      </w:tr>
      <w:tr w:rsidR="00B77F10" w:rsidRPr="00B77F10" w14:paraId="585B07A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Täiustatud märgistusseade (B.A.E.S + D.L)</w:t>
            </w:r>
          </w:p>
        </w:tc>
      </w:tr>
      <w:tr w:rsidR="00B77F10" w:rsidRPr="00B77F10" w14:paraId="56CA429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Valgustus hädaolukordades</w:t>
            </w:r>
          </w:p>
        </w:tc>
        <w:tc>
          <w:tcPr>
            <w:tcW w:w="1797"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Hoonevalgustuslaternad (B.A.E.H)</w:t>
            </w:r>
          </w:p>
        </w:tc>
      </w:tr>
      <w:tr w:rsidR="00B77F10" w:rsidRPr="00B77F10" w14:paraId="06EF702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Kahefunktsiooniline latern (B.A.E.S + B.A.E.H)</w:t>
            </w:r>
          </w:p>
        </w:tc>
      </w:tr>
      <w:tr w:rsidR="00B77F10" w:rsidRPr="00B77F10" w14:paraId="3310E95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Sekkumine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Kaasaskantavad laternad (B.A.P.I)</w:t>
            </w:r>
          </w:p>
        </w:tc>
      </w:tr>
      <w:tr w:rsidR="00B77F10" w:rsidRPr="00B77F10" w14:paraId="6C04FF8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Toide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Kesksest allikast pärinev turvavalgustus</w:t>
            </w:r>
          </w:p>
        </w:tc>
      </w:tr>
      <w:tr w:rsidR="00B77F10" w:rsidRPr="00B77F10" w14:paraId="0476AE1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Tuleohutus</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Tuleohutus ja alarm</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suitsuandurid</w:t>
            </w:r>
          </w:p>
        </w:tc>
      </w:tr>
      <w:tr w:rsidR="00B77F10" w:rsidRPr="00B77F10" w14:paraId="0108CDE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Tehnilised tuvastusseadmed ja alarmid (tulekustutus, gaas jne)</w:t>
            </w:r>
          </w:p>
        </w:tc>
      </w:tr>
      <w:tr w:rsidR="00B77F10" w:rsidRPr="00B77F10" w14:paraId="07BE589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süsinikmonooksiidi detektorid</w:t>
            </w:r>
          </w:p>
        </w:tc>
      </w:tr>
      <w:tr w:rsidR="00B77F10" w:rsidRPr="00B77F10" w14:paraId="2E560DD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Tehnilised alarmid ja detektorid</w:t>
            </w:r>
          </w:p>
        </w:tc>
      </w:tr>
      <w:tr w:rsidR="00B77F10" w:rsidRPr="00B77F10" w14:paraId="6FB63ED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Kütmise, ventileerimise ja õhu konditsioneerimise seadmed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Küte ja/või jahutus ja/või soe olmevesi</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Boiler (ainult küte)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Gaasiboiler</w:t>
            </w:r>
          </w:p>
        </w:tc>
      </w:tr>
      <w:tr w:rsidR="00B77F10" w:rsidRPr="00B77F10" w14:paraId="7D6145E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Õliboiler</w:t>
            </w:r>
          </w:p>
        </w:tc>
      </w:tr>
      <w:tr w:rsidR="00B77F10" w:rsidRPr="00B77F10" w14:paraId="67AC5EA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Hübriidboiler</w:t>
            </w:r>
          </w:p>
        </w:tc>
      </w:tr>
      <w:tr w:rsidR="00B77F10" w:rsidRPr="00B77F10" w14:paraId="599CC5D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Biomassiboiler</w:t>
            </w:r>
          </w:p>
        </w:tc>
      </w:tr>
      <w:tr w:rsidR="00B77F10" w:rsidRPr="00B77F10" w14:paraId="0B6DC1C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Kombineeritud boiler (küte ja soe olmevesi)</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Gaasiboiler</w:t>
            </w:r>
          </w:p>
        </w:tc>
      </w:tr>
      <w:tr w:rsidR="00B77F10" w:rsidRPr="00B77F10" w14:paraId="0972193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Õliboiler</w:t>
            </w:r>
          </w:p>
        </w:tc>
      </w:tr>
      <w:tr w:rsidR="00B77F10" w:rsidRPr="00B77F10" w14:paraId="4D2C85B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biomassiseadmed</w:t>
            </w:r>
          </w:p>
        </w:tc>
      </w:tr>
      <w:tr w:rsidR="00B77F10" w:rsidRPr="00B77F10" w14:paraId="169653E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Soojuspump</w:t>
            </w:r>
          </w:p>
        </w:tc>
        <w:tc>
          <w:tcPr>
            <w:tcW w:w="1797"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Elektrikompressoriga soojuspump</w:t>
            </w:r>
          </w:p>
        </w:tc>
      </w:tr>
      <w:tr w:rsidR="00B77F10" w:rsidRPr="00B77F10" w14:paraId="03D84A0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Hübriidsoojuspump</w:t>
            </w:r>
          </w:p>
        </w:tc>
      </w:tr>
      <w:tr w:rsidR="00B77F10" w:rsidRPr="00B77F10" w14:paraId="4917C6A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Veega edastamine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Radiaator</w:t>
            </w:r>
          </w:p>
        </w:tc>
      </w:tr>
      <w:tr w:rsidR="00B77F10" w:rsidRPr="00B77F10" w14:paraId="5ADCA85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Rätikukuivataja</w:t>
            </w:r>
          </w:p>
        </w:tc>
      </w:tr>
      <w:tr w:rsidR="00B77F10" w:rsidRPr="00B77F10" w14:paraId="0831CE6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Otsese elektrienergiaga kütmine nähtava ja kindlas kohas asuva seadmega</w:t>
            </w:r>
          </w:p>
        </w:tc>
        <w:tc>
          <w:tcPr>
            <w:tcW w:w="1797"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Konvektor</w:t>
            </w:r>
          </w:p>
        </w:tc>
      </w:tr>
      <w:tr w:rsidR="00B77F10" w:rsidRPr="00B77F10" w14:paraId="5BC7E97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Kiirgusradiaator</w:t>
            </w:r>
          </w:p>
        </w:tc>
      </w:tr>
      <w:tr w:rsidR="00B77F10" w:rsidRPr="00B77F10" w14:paraId="6AD73E2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Radiaator</w:t>
            </w:r>
          </w:p>
        </w:tc>
      </w:tr>
      <w:tr w:rsidR="00B77F10" w:rsidRPr="00B77F10" w14:paraId="2D47234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Seade, millel on lisaks ka rätiku kuivatamise funktsioon</w:t>
            </w:r>
          </w:p>
        </w:tc>
      </w:tr>
      <w:tr w:rsidR="00B77F10" w:rsidRPr="00B77F10" w14:paraId="34BF430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Sooja olmevee tootmine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Liitrid</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Mahtveesoojendi</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Elektriline veesoojendi</w:t>
            </w:r>
          </w:p>
        </w:tc>
      </w:tr>
      <w:tr w:rsidR="00B77F10" w:rsidRPr="00B77F10" w14:paraId="5FD5115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Termodünaamiline veesoojendi</w:t>
            </w:r>
          </w:p>
        </w:tc>
      </w:tr>
      <w:tr w:rsidR="00B77F10" w:rsidRPr="00B77F10" w14:paraId="477AF58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Gaasiga veesoojendi</w:t>
            </w:r>
          </w:p>
        </w:tc>
      </w:tr>
      <w:tr w:rsidR="00B77F10" w:rsidRPr="00B77F10" w14:paraId="5447281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Päikeseenergiaga veesoojendi</w:t>
            </w:r>
          </w:p>
        </w:tc>
      </w:tr>
      <w:tr w:rsidR="00B77F10" w:rsidRPr="00B77F10" w14:paraId="5112EFC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Keskkonna </w:t>
            </w:r>
            <w:r>
              <w:rPr>
                <w:rFonts w:ascii="Times New Roman" w:hAnsi="Times New Roman"/>
                <w:sz w:val="24"/>
              </w:rPr>
              <w:lastRenderedPageBreak/>
              <w:t>lõppseadmed</w:t>
            </w:r>
          </w:p>
        </w:tc>
        <w:tc>
          <w:tcPr>
            <w:tcW w:w="1242"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kW</w:t>
            </w:r>
          </w:p>
        </w:tc>
        <w:tc>
          <w:tcPr>
            <w:tcW w:w="1544"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Puhurradiaatorid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Puhurradiaatorid</w:t>
            </w:r>
          </w:p>
        </w:tc>
      </w:tr>
      <w:tr w:rsidR="00B77F10" w:rsidRPr="00B77F10" w14:paraId="384F2CA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või m³</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Jahutuspalgid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Passiivsed jahutuspalgid</w:t>
            </w:r>
          </w:p>
        </w:tc>
      </w:tr>
      <w:tr w:rsidR="00B77F10" w:rsidRPr="00B77F10" w14:paraId="2936C72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Aktiivsed jahutuspalgid</w:t>
            </w:r>
          </w:p>
        </w:tc>
      </w:tr>
      <w:tr w:rsidR="00B77F10" w:rsidRPr="00B77F10" w14:paraId="04B7CB4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Dünaamilised radiaatorid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Dünaamilised radiaatorid</w:t>
            </w:r>
          </w:p>
        </w:tc>
      </w:tr>
      <w:tr w:rsidR="00B77F10" w:rsidRPr="00B77F10" w14:paraId="17CA868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Võrgukanalid ja tarvikud</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Torupõlved ja tarvikud</w:t>
            </w:r>
          </w:p>
        </w:tc>
      </w:tr>
      <w:tr w:rsidR="00B77F10" w:rsidRPr="00B77F10" w14:paraId="75AAB13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Paindlikud kanalid/torud</w:t>
            </w:r>
          </w:p>
        </w:tc>
      </w:tr>
      <w:tr w:rsidR="00B77F10" w:rsidRPr="00B77F10" w14:paraId="146D6AC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Jäigad kanalid/torud</w:t>
            </w:r>
          </w:p>
        </w:tc>
      </w:tr>
      <w:tr w:rsidR="00B77F10" w:rsidRPr="00B77F10" w14:paraId="63144C0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Õhu difusioon</w:t>
            </w:r>
          </w:p>
        </w:tc>
        <w:tc>
          <w:tcPr>
            <w:tcW w:w="1242"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544"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Õhusisendid</w:t>
            </w:r>
          </w:p>
        </w:tc>
      </w:tr>
      <w:tr w:rsidR="00B77F10" w:rsidRPr="00B77F10" w14:paraId="23380AA2"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Passiivsed terminalid</w:t>
            </w:r>
          </w:p>
        </w:tc>
      </w:tr>
      <w:tr w:rsidR="00B77F10" w:rsidRPr="00B77F10" w14:paraId="47C6081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Difusaatorid</w:t>
            </w:r>
          </w:p>
        </w:tc>
      </w:tr>
      <w:tr w:rsidR="00B77F10" w:rsidRPr="00B77F10" w14:paraId="7D78275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Õhufilter</w:t>
            </w:r>
          </w:p>
        </w:tc>
      </w:tr>
      <w:tr w:rsidR="00B77F10" w:rsidRPr="00B77F10" w14:paraId="7776850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Õhu väljutamise avad ja insuflatsioon</w:t>
            </w:r>
          </w:p>
        </w:tc>
      </w:tr>
      <w:tr w:rsidR="00B77F10" w:rsidRPr="00B77F10" w14:paraId="0DB009C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Õhukäitlus</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Õhutöötluskeskus</w:t>
            </w:r>
          </w:p>
        </w:tc>
      </w:tr>
      <w:tr w:rsidR="00B77F10" w:rsidRPr="00B77F10" w14:paraId="28F80E4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Topeltvoolukeskus</w:t>
            </w:r>
          </w:p>
        </w:tc>
      </w:tr>
      <w:tr w:rsidR="00B77F10" w:rsidRPr="00B77F10" w14:paraId="1125088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Ventilatsioonitoru</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Harilik õhuvool</w:t>
            </w:r>
          </w:p>
        </w:tc>
      </w:tr>
      <w:tr w:rsidR="00B77F10" w:rsidRPr="00B77F10" w14:paraId="33D5133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Topeltõhuvool</w:t>
            </w:r>
          </w:p>
        </w:tc>
      </w:tr>
      <w:tr w:rsidR="00B77F10" w:rsidRPr="00B77F10" w14:paraId="4C8E159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Ventilatsioonitoru</w:t>
            </w:r>
          </w:p>
        </w:tc>
      </w:tr>
      <w:tr w:rsidR="00B77F10" w:rsidRPr="00B77F10" w14:paraId="40A02F5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Jahutus</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Külma vee tootmisüksus</w:t>
            </w:r>
          </w:p>
        </w:tc>
      </w:tr>
      <w:tr w:rsidR="00B77F10" w:rsidRPr="00B77F10" w14:paraId="70B8C49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Jahutustorn</w:t>
            </w:r>
          </w:p>
        </w:tc>
      </w:tr>
      <w:tr w:rsidR="00B77F10" w:rsidRPr="00B77F10" w14:paraId="32625D6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Õhkjahutid</w:t>
            </w:r>
          </w:p>
        </w:tc>
      </w:tr>
      <w:tr w:rsidR="00B77F10" w:rsidRPr="00B77F10" w14:paraId="4344006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Mehaaniline suitsuekstraktor</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1544"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Torn, ventilaator</w:t>
            </w:r>
          </w:p>
        </w:tc>
      </w:tr>
      <w:tr w:rsidR="00B77F10" w:rsidRPr="00B77F10" w14:paraId="5AE6905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Tulesiiber või tulemüür, siiber, katik</w:t>
            </w:r>
          </w:p>
        </w:tc>
      </w:tr>
      <w:tr w:rsidR="00B77F10" w:rsidRPr="00B77F10" w14:paraId="1F0F102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Releekarp</w:t>
            </w:r>
          </w:p>
        </w:tc>
      </w:tr>
      <w:tr w:rsidR="00B77F10" w:rsidRPr="00B77F10" w14:paraId="7270989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Kohapealne elektritootmine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Elektrigeneraator</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Fotogalvaanilised moodulid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Kristalliline räni (monokristallilised, polükristallilised)</w:t>
            </w:r>
          </w:p>
        </w:tc>
      </w:tr>
      <w:tr w:rsidR="00B77F10" w:rsidRPr="00B77F10" w14:paraId="627A81A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Õhukesed kihid</w:t>
            </w:r>
          </w:p>
        </w:tc>
      </w:tr>
      <w:tr w:rsidR="00B77F10" w:rsidRPr="00B77F10" w14:paraId="5DA7E0E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Tuulegeneraatorid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Horisontaalne</w:t>
            </w:r>
          </w:p>
        </w:tc>
      </w:tr>
      <w:tr w:rsidR="00B77F10" w:rsidRPr="00B77F10" w14:paraId="5A5971A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Vertikaalne</w:t>
            </w:r>
          </w:p>
        </w:tc>
      </w:tr>
      <w:tr w:rsidR="00B77F10" w:rsidRPr="00B77F10" w14:paraId="1250AAB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Konversioon ja regulatsioon</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Konversioon</w:t>
            </w:r>
          </w:p>
        </w:tc>
        <w:tc>
          <w:tcPr>
            <w:tcW w:w="1797"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Sünkroonsed vaheldid</w:t>
            </w:r>
          </w:p>
        </w:tc>
      </w:tr>
      <w:tr w:rsidR="00B77F10" w:rsidRPr="00B77F10" w14:paraId="57FF554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Autonoomsed vaheldid</w:t>
            </w:r>
          </w:p>
        </w:tc>
      </w:tr>
      <w:tr w:rsidR="00B77F10" w:rsidRPr="00B77F10" w14:paraId="34A2A70F"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Konverter alalisvool/alalisvool</w:t>
            </w:r>
          </w:p>
        </w:tc>
      </w:tr>
      <w:tr w:rsidR="00B77F10" w:rsidRPr="00B77F10" w14:paraId="6D974E8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Konverter vahelduvvool/alalisvool</w:t>
            </w:r>
          </w:p>
        </w:tc>
      </w:tr>
      <w:tr w:rsidR="00B77F10" w:rsidRPr="00B77F10" w14:paraId="0B46150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Regulatsioon</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Kontroller</w:t>
            </w:r>
          </w:p>
        </w:tc>
      </w:tr>
      <w:tr w:rsidR="00B77F10" w:rsidRPr="00B77F10" w14:paraId="053A13A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Ladustamine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Elektrokeemiline aku</w:t>
            </w:r>
          </w:p>
        </w:tc>
        <w:tc>
          <w:tcPr>
            <w:tcW w:w="1797"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Plii-hape</w:t>
            </w:r>
          </w:p>
        </w:tc>
      </w:tr>
      <w:tr w:rsidR="00B77F10" w:rsidRPr="00B77F10" w14:paraId="17CBB55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Liitiumioon</w:t>
            </w:r>
          </w:p>
        </w:tc>
      </w:tr>
      <w:tr w:rsidR="00B77F10" w:rsidRPr="00B77F10" w14:paraId="34A8F9B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Muu</w:t>
            </w:r>
          </w:p>
        </w:tc>
      </w:tr>
      <w:tr w:rsidR="00B77F10" w:rsidRPr="00B77F10" w14:paraId="592D3F5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Järelevalve</w:t>
            </w:r>
          </w:p>
        </w:tc>
        <w:tc>
          <w:tcPr>
            <w:tcW w:w="1242"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Järelevalve</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Järelevalvevarustus</w:t>
            </w:r>
          </w:p>
        </w:tc>
      </w:tr>
      <w:tr w:rsidR="00B77F10" w:rsidRPr="00B77F10" w14:paraId="221F3F4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9F3336">
        <w:trPr>
          <w:tblCellSpacing w:w="15" w:type="dxa"/>
          <w:jc w:val="center"/>
        </w:trPr>
        <w:tc>
          <w:tcPr>
            <w:tcW w:w="371"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Valgustusseadmed</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Sisevalgustusseadmed ja nende toide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Luumen</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Süvistatavad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Lineaarsed süvistatavad kontori sisevalgustamise seadmed</w:t>
            </w:r>
          </w:p>
        </w:tc>
      </w:tr>
      <w:tr w:rsidR="00B77F10" w:rsidRPr="00B77F10" w14:paraId="36EC666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Mittelineaarsed süvistatavad kontori sisevalgustamise seadmed</w:t>
            </w:r>
          </w:p>
        </w:tc>
      </w:tr>
      <w:tr w:rsidR="00B77F10" w:rsidRPr="00B77F10" w14:paraId="74700B3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Süvistatavad sisevalgustuse seadmed tooni andmiseks (prožektorid)</w:t>
            </w:r>
          </w:p>
        </w:tc>
      </w:tr>
      <w:tr w:rsidR="00B77F10" w:rsidRPr="00B77F10" w14:paraId="07CBA84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Kohtvalgustid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Kontori või tööstuslikuks sisevalgustuseks mõeldud lineaarsed lae- ja rippvalgustid</w:t>
            </w:r>
          </w:p>
        </w:tc>
      </w:tr>
      <w:tr w:rsidR="00B77F10" w:rsidRPr="00B77F10" w14:paraId="2031FCE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Funktsionaalsed lineaarsed sisemised seinavalgustid</w:t>
            </w:r>
          </w:p>
        </w:tc>
      </w:tr>
      <w:tr w:rsidR="00B77F10" w:rsidRPr="00B77F10" w14:paraId="6339BED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Dekoratiivsed siseruumide </w:t>
            </w:r>
            <w:r>
              <w:rPr>
                <w:rFonts w:ascii="Times New Roman" w:hAnsi="Times New Roman"/>
                <w:sz w:val="24"/>
              </w:rPr>
              <w:lastRenderedPageBreak/>
              <w:t>laevalgustid, seina- ja rippvalgustid</w:t>
            </w:r>
          </w:p>
        </w:tc>
      </w:tr>
      <w:tr w:rsidR="00B77F10" w:rsidRPr="00B77F10" w14:paraId="4354D510"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Siseruumide laevalgustid</w:t>
            </w:r>
          </w:p>
        </w:tc>
      </w:tr>
      <w:tr w:rsidR="00B77F10" w:rsidRPr="00B77F10" w14:paraId="2E27CB7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Siseruumide fluorestsentslambid (ei ole optilised, nagu lineaarsed lambid)</w:t>
            </w:r>
          </w:p>
        </w:tc>
      </w:tr>
      <w:tr w:rsidR="00B77F10" w:rsidRPr="00B77F10" w14:paraId="4090BDC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Rõhutamiseks mõeldud siseruumide kohtlambid, siinivalgustid või ripplambid</w:t>
            </w:r>
          </w:p>
        </w:tc>
      </w:tr>
      <w:tr w:rsidR="00B77F10" w:rsidRPr="00B77F10" w14:paraId="4B95AF7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Veekindlad interjöörivalgustid</w:t>
            </w:r>
          </w:p>
        </w:tc>
      </w:tr>
      <w:tr w:rsidR="00B77F10" w:rsidRPr="00B77F10" w14:paraId="791B7F6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Ripplae LED-valgustid (toide kaasas)</w:t>
            </w:r>
          </w:p>
        </w:tc>
      </w:tr>
      <w:tr w:rsidR="00B77F10" w:rsidRPr="00B77F10" w14:paraId="254F281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Rippvalgustid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Tööstuslikud lambikuplid</w:t>
            </w:r>
          </w:p>
        </w:tc>
      </w:tr>
      <w:tr w:rsidR="00B77F10" w:rsidRPr="00B77F10" w14:paraId="0A270755"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Tööstuslikuks või äriliseks kasutamiseks mõeldud pikad kontorivalgustid</w:t>
            </w:r>
          </w:p>
        </w:tc>
      </w:tr>
      <w:tr w:rsidR="00B77F10" w:rsidRPr="00B77F10" w14:paraId="7C7BF219"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Abitarvikud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Toitesõrestik prožektoritele</w:t>
            </w:r>
          </w:p>
        </w:tc>
      </w:tr>
      <w:tr w:rsidR="00B77F10" w:rsidRPr="00B77F10" w14:paraId="2AA11EE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Välisvalgustusseadmed ja nende toide</w:t>
            </w: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Luumen</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Prožektorid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Suurte pindade ja spordisaalide prožektorid</w:t>
            </w:r>
          </w:p>
        </w:tc>
      </w:tr>
      <w:tr w:rsidR="00B77F10" w:rsidRPr="00B77F10" w14:paraId="02FC734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Välisprožektorid </w:t>
            </w:r>
            <w:r>
              <w:rPr>
                <w:rFonts w:ascii="Times New Roman" w:hAnsi="Times New Roman"/>
                <w:sz w:val="24"/>
              </w:rPr>
              <w:lastRenderedPageBreak/>
              <w:t>dekoratiivseks valgustuseks</w:t>
            </w:r>
          </w:p>
        </w:tc>
      </w:tr>
      <w:tr w:rsidR="00B77F10" w:rsidRPr="00B77F10" w14:paraId="354680A3"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Välisvalgustid, mis ei ole prožektorid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Välisprožektorid dekoratiivseks valgustuseks</w:t>
            </w:r>
          </w:p>
        </w:tc>
      </w:tr>
      <w:tr w:rsidR="00B77F10" w:rsidRPr="00B77F10" w14:paraId="61B17E4A"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Välisvalgustid funktsionaalseks valgustuseks</w:t>
            </w:r>
          </w:p>
        </w:tc>
      </w:tr>
      <w:tr w:rsidR="00B77F10" w:rsidRPr="00B77F10" w14:paraId="4367BB7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Perioodiline valgustus</w:t>
            </w:r>
          </w:p>
        </w:tc>
      </w:tr>
      <w:tr w:rsidR="00B77F10" w:rsidRPr="00B77F10" w14:paraId="09C1E3F8"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Süvisprožektorid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Välisprožektorid, mis süvistatakse maasse või seintesse</w:t>
            </w:r>
          </w:p>
        </w:tc>
      </w:tr>
      <w:tr w:rsidR="00B77F10" w:rsidRPr="00B77F10" w14:paraId="410EBC7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Süvistatud piiritlemiseks</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Välisvalgustid, mis süvistatakse maasse või seintesse piiride märkimiseks</w:t>
            </w:r>
          </w:p>
        </w:tc>
      </w:tr>
      <w:tr w:rsidR="00B77F10" w:rsidRPr="00B77F10" w14:paraId="746257F1"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Sambad ja balustrid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Dekoratiivsed välisterminalid</w:t>
            </w:r>
          </w:p>
        </w:tc>
      </w:tr>
      <w:tr w:rsidR="00B77F10" w:rsidRPr="00B77F10" w14:paraId="2408F687"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Välised dekoratiivbalustrid</w:t>
            </w:r>
          </w:p>
        </w:tc>
      </w:tr>
      <w:tr w:rsidR="00B77F10" w:rsidRPr="00B77F10" w14:paraId="2982017D"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Veekindlad valgustid IP &gt; 54</w:t>
            </w:r>
          </w:p>
        </w:tc>
        <w:tc>
          <w:tcPr>
            <w:tcW w:w="1797"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Veekindlad seina- ja rippvalgustid</w:t>
            </w:r>
          </w:p>
        </w:tc>
      </w:tr>
      <w:tr w:rsidR="00B77F10" w:rsidRPr="00B77F10" w14:paraId="08159624"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Süvistatud veekindlad valgustid basseinide ja purskkaevude jaoks</w:t>
            </w:r>
          </w:p>
        </w:tc>
      </w:tr>
      <w:tr w:rsidR="00B77F10" w:rsidRPr="00B77F10" w14:paraId="73BFCE9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Uputatavad prožektorid basseinide ja </w:t>
            </w:r>
            <w:r>
              <w:rPr>
                <w:rFonts w:ascii="Times New Roman" w:hAnsi="Times New Roman"/>
                <w:sz w:val="24"/>
              </w:rPr>
              <w:lastRenderedPageBreak/>
              <w:t>purskkaevude jaoks</w:t>
            </w:r>
          </w:p>
        </w:tc>
      </w:tr>
      <w:tr w:rsidR="00B77F10" w:rsidRPr="00B77F10" w14:paraId="29AC050E"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544"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ühik</w:t>
            </w:r>
          </w:p>
        </w:tc>
        <w:tc>
          <w:tcPr>
            <w:tcW w:w="1671"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Mastid ja toed</w:t>
            </w:r>
          </w:p>
        </w:tc>
        <w:tc>
          <w:tcPr>
            <w:tcW w:w="1797"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Mastid</w:t>
            </w:r>
          </w:p>
        </w:tc>
      </w:tr>
      <w:tr w:rsidR="00B77F10" w:rsidRPr="00B77F10" w14:paraId="38416726"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Toed</w:t>
            </w:r>
          </w:p>
        </w:tc>
      </w:tr>
      <w:tr w:rsidR="00B77F10" w:rsidRPr="00B77F10" w14:paraId="3B70497B"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71"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Mitmesugused välisvalgustite toed</w:t>
            </w:r>
          </w:p>
        </w:tc>
      </w:tr>
      <w:tr w:rsidR="00B77F10" w:rsidRPr="00B77F10" w14:paraId="7FE45DDC" w14:textId="77777777" w:rsidTr="009F3336">
        <w:trPr>
          <w:tblCellSpacing w:w="15"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24"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2"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9F3336">
        <w:trPr>
          <w:tblCellSpacing w:w="15" w:type="dxa"/>
          <w:jc w:val="center"/>
        </w:trPr>
        <w:tc>
          <w:tcPr>
            <w:tcW w:w="371"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524"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Muu</w:t>
            </w:r>
          </w:p>
        </w:tc>
        <w:tc>
          <w:tcPr>
            <w:tcW w:w="1242"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44"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671"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97"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Lisa</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Artikkel</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III lisa</w:t>
      </w:r>
      <w:r>
        <w:rPr>
          <w:rFonts w:ascii="Times New Roman" w:hAnsi="Times New Roman"/>
          <w:caps/>
          <w:sz w:val="24"/>
        </w:rPr>
        <w:br/>
        <w:t>Olelusringi lõpu hindamisega seotud kasumi ja kulude arvutamine</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Positiivse väärtuse näitamine toob kaasa netokulu ja negatiivse väärtuse tulemuseks puhaskasumi.</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Materjali taaskasutamise puhul kirjeldab kindlaksmääratud taaskasutatavate jäätmete voogu (kindlaksmääratud lambda materjal) järgmine valem:</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kus</w:t>
      </w:r>
      <w:r>
        <w:rPr>
          <w:rFonts w:ascii="Times New Roman" w:hAnsi="Times New Roman"/>
          <w:sz w:val="24"/>
        </w:rPr>
        <w:br/>
        <w:t>MSval = kogutud toormaterjali massist tegelikult taastatud sekundaarmaterjali mass (kg) (materjali lambda koostisosa taaskasutatavates materjalides);</w:t>
      </w:r>
      <w:r>
        <w:rPr>
          <w:rFonts w:ascii="Times New Roman" w:hAnsi="Times New Roman"/>
          <w:sz w:val="24"/>
        </w:rPr>
        <w:br/>
        <w:t>IVval = materjali (või segu) tootmisarvestus (kg kohta), mis asendab taastatud lambda sekundaarmaterjali seda kasutavas tootmisahela järgmise etapi süsteemis (tegemist ei ole tootmiseahela järgmise etapi toote, vaid nimetatud tootmisahela järgmise etapi toote koostisse kuuluva materjali tootmisarvestusega);</w:t>
      </w:r>
      <w:r>
        <w:rPr>
          <w:rFonts w:ascii="Times New Roman" w:hAnsi="Times New Roman"/>
          <w:sz w:val="24"/>
        </w:rPr>
        <w:br/>
        <w:t>ISval = tootmisahela järgmise etapi süsteemis kasutamiseks valmis oleva sekundaarmaterjali tootmisarvestus (kg kohta) alates toormaterjalist;</w:t>
      </w:r>
      <w:r>
        <w:rPr>
          <w:rFonts w:ascii="Times New Roman" w:hAnsi="Times New Roman"/>
          <w:sz w:val="24"/>
        </w:rPr>
        <w:br/>
        <w:t>MS = deklaratsioonis sisalduva toote koostisse kuuluva sekundaarmaterjali mass (kg) selle tootmise ajal (materjali lambda koostisosa sekundaarmaterjalide kasutamisel);</w:t>
      </w:r>
      <w:r>
        <w:rPr>
          <w:rFonts w:ascii="Times New Roman" w:hAnsi="Times New Roman"/>
          <w:sz w:val="24"/>
        </w:rPr>
        <w:br/>
        <w:t>IV = deklaratsioonis sisalduva toote tootmiseks kasutatud primaarmaterjali tootmisarvestus (kg kohta), juhul kui materjali ei taaskasutatud;</w:t>
      </w:r>
      <w:r>
        <w:rPr>
          <w:rFonts w:ascii="Times New Roman" w:hAnsi="Times New Roman"/>
          <w:sz w:val="24"/>
        </w:rPr>
        <w:br/>
      </w:r>
      <w:r>
        <w:rPr>
          <w:rFonts w:ascii="Times New Roman" w:hAnsi="Times New Roman"/>
          <w:sz w:val="24"/>
        </w:rPr>
        <w:lastRenderedPageBreak/>
        <w:t>Is = deklaratsioonis sisalduva toote tootmiseks kasutatava ning kasutamiseks valmis oleva sekundaarmaterjali tootmisarvestus (kg kohta).</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Materjali taaskasutamise puhul energia saamise eesmärgil kirjeldab kindlaksmääratud taaskasutatavate jäätmete voogu järgmine valem:</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kus</w:t>
      </w:r>
      <w:r>
        <w:rPr>
          <w:rFonts w:ascii="Times New Roman" w:hAnsi="Times New Roman"/>
          <w:sz w:val="24"/>
        </w:rPr>
        <w:br/>
        <w:t>MSval = kogutud toormaterjali massist tegelikult taastatud sekundaarmaterjali mass (kg) („energia taaskasutatavate materjalide“ voo materjali lambda koostisosa(d));</w:t>
      </w:r>
      <w:r>
        <w:rPr>
          <w:rFonts w:ascii="Times New Roman" w:hAnsi="Times New Roman"/>
          <w:sz w:val="24"/>
        </w:rPr>
        <w:br/>
        <w:t>IVval = energia tootmisarvestus (kg kohta), mis asendab tootmisahela järgmise etapi süsteemis sekundaarmaterjali taaskasutamisest saadud energiat (tegemist ei ole järgmise tootmisetapi süsteemi, vaid järgmise tootmisetapi süsteemis tarbitud energia tootmisarvestusega, väljendatuna tarnitud MJ-des);</w:t>
      </w:r>
      <w:r>
        <w:rPr>
          <w:rFonts w:ascii="Times New Roman" w:hAnsi="Times New Roman"/>
          <w:sz w:val="24"/>
        </w:rPr>
        <w:br/>
        <w:t>ISval = sekundaarmaterjali energia saamise eesmärgil taaskasutamise arvestus (kg kohta) alates toorainest, mille viitevoog vastab taaskasutatud sekundaarmaterjali massile;</w:t>
      </w:r>
      <w:r>
        <w:rPr>
          <w:rFonts w:ascii="Times New Roman" w:hAnsi="Times New Roman"/>
          <w:sz w:val="24"/>
        </w:rPr>
        <w:br/>
        <w:t>PCISval = taastatud sekundaarmaterjali AKV (MJ/kg);</w:t>
      </w:r>
      <w:r>
        <w:rPr>
          <w:rFonts w:ascii="Times New Roman" w:hAnsi="Times New Roman"/>
          <w:sz w:val="24"/>
        </w:rPr>
        <w:br/>
        <w:t>REval = taastatud sekundaarmaterjali energia eesmärgil taaskasutamise energiatõhusus.</w:t>
      </w:r>
      <w:r>
        <w:rPr>
          <w:rFonts w:ascii="Times New Roman" w:hAnsi="Times New Roman"/>
          <w:sz w:val="24"/>
        </w:rPr>
        <w:br/>
        <w:t>Deklaratsiooni objektiks oleva toote üldkasu saadakse, liites kokku kõikide materjalide/voogude kohta arvutatud kasu.</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Lisa</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Artikkel</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LISA IV</w:t>
      </w:r>
      <w:r>
        <w:rPr>
          <w:rFonts w:ascii="Times New Roman" w:hAnsi="Times New Roman"/>
          <w:sz w:val="24"/>
        </w:rPr>
        <w:br/>
        <w:t>TOODETE ÜHISTE KESKKONNADEKLARATSIOONIDE KEHTIVUSE PIIRID</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Homogeensus</w:t>
      </w:r>
      <w:r>
        <w:rPr>
          <w:rFonts w:ascii="Times New Roman" w:hAnsi="Times New Roman"/>
          <w:sz w:val="24"/>
        </w:rPr>
        <w:br/>
        <w:t>Olelusringi hindamine hõlmab suurt hulka andmeid paljude stsenaariumide kohta. Teatavaid andmeid kogutakse kohapeal, mõned on arvutatud ja mõned on hinnangulised. Olelusringi hindamise andmed on seega teatava ebakindlusega andmed. Seega on olelusringi hindamise tulemus sisendandmete varieerumise suhtes üsna tundlik.</w:t>
      </w:r>
      <w:r>
        <w:rPr>
          <w:rFonts w:ascii="Times New Roman" w:hAnsi="Times New Roman"/>
          <w:sz w:val="24"/>
        </w:rPr>
        <w:br/>
        <w:t>Määruse artiklis 8 nõutakse, et sama ühist keskkonnadeklaratsiooni kasutavate registreerijate keskkonnamõju peab olema ühtlane. Seega hõlmab ühine keskkonnadeklaratsioon homogeenseid tooteid, kui on võimalik tagada, et kõigi hõlmatud toodete keskkonnamõju on alla piirväärtuse, kui need vastavad käesoleva ühise keskkonnadeklaratsiooni kehtivuse piiridele.</w:t>
      </w:r>
      <w:r>
        <w:rPr>
          <w:rFonts w:ascii="Times New Roman" w:hAnsi="Times New Roman"/>
          <w:sz w:val="24"/>
        </w:rPr>
        <w:br/>
        <w:t>Nõustutakse, et seda homogeensust tuleks tõendada ainult teatavate kontrollindikaatorite puhul.</w:t>
      </w:r>
      <w:r>
        <w:rPr>
          <w:rFonts w:ascii="Times New Roman" w:hAnsi="Times New Roman"/>
          <w:sz w:val="24"/>
        </w:rPr>
        <w:br/>
        <w:t xml:space="preserve">Olelusringi hindamise indikaatorite puhul tehakse homogeensuse tõendamiseks ebamääraste parameetrite ja parameetrite tundlikkusanalüüs, mis varieerub eri registreerijate vahel. On tungivalt soovitatav, et kõnealune analüüs viidaks läbi </w:t>
      </w:r>
      <w:r>
        <w:rPr>
          <w:rFonts w:ascii="Times New Roman" w:hAnsi="Times New Roman"/>
          <w:sz w:val="24"/>
        </w:rPr>
        <w:lastRenderedPageBreak/>
        <w:t>olelusringi hindamise protsessi varases etapis ja et selle analüüsi põhjal koostataks ühine keskkonnadeklaratsioon.</w:t>
      </w:r>
      <w:r>
        <w:rPr>
          <w:rFonts w:ascii="Times New Roman" w:hAnsi="Times New Roman"/>
          <w:sz w:val="24"/>
        </w:rPr>
        <w:br/>
        <w:t>2. Tundlikkusanalüüs</w:t>
      </w:r>
      <w:r>
        <w:rPr>
          <w:rFonts w:ascii="Times New Roman" w:hAnsi="Times New Roman"/>
          <w:sz w:val="24"/>
        </w:rPr>
        <w:br/>
        <w:t>Olelusringi hindamise tundlikkusanalüüs peab hõlmama järgmisi etappe: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kontrollindikaatorite valik;</w:t>
      </w:r>
      <w:r>
        <w:rPr>
          <w:rFonts w:ascii="Times New Roman" w:hAnsi="Times New Roman"/>
          <w:sz w:val="24"/>
        </w:rPr>
        <w:br/>
        <w:t>b) tundlike parameetrite määratlemine: mõju uuring, et määratleda esmased parameetrid, mis aitavad kõige paremini selgitada kontrollindikaatorite väärtust (olelusringi hindamise tulemused);</w:t>
      </w:r>
      <w:r>
        <w:rPr>
          <w:rFonts w:ascii="Times New Roman" w:hAnsi="Times New Roman"/>
          <w:sz w:val="24"/>
        </w:rPr>
        <w:br/>
        <w:t>c) tundlike parameetrite varieeruvate valdkondade määratlemine (intervallid ja lõpuks statistiline jaotus);</w:t>
      </w:r>
      <w:r>
        <w:rPr>
          <w:rFonts w:ascii="Times New Roman" w:hAnsi="Times New Roman"/>
          <w:sz w:val="24"/>
        </w:rPr>
        <w:br/>
        <w:t>d) parameetrite simulatsioon etappide b ja c põhjal.</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Tundlikkusanalüüs võib olla iteratiivne. Tundlikkusanalüüsi tulemus peab olema:</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nimekiri faktoritest, mis mõjutavad olelusringi hindamise tulemusi (tundlikud parameetrid) ja nende lubatud variatsioonivaldkond (see nimekiri on kehtivusvaldkond);</w:t>
      </w:r>
      <w:r>
        <w:rPr>
          <w:rFonts w:ascii="Times New Roman" w:hAnsi="Times New Roman"/>
          <w:sz w:val="24"/>
        </w:rPr>
        <w:br/>
        <w:t>b) iga kontrollindikaatori puhul parameetri simulatsioonide abil saadud indikaatorväärtuste arvatav varieerumisintervall (usaldusvahemik 95%).</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etapp: kontrollindikaatorite valik</w:t>
      </w:r>
      <w:r>
        <w:rPr>
          <w:rFonts w:ascii="Times New Roman" w:hAnsi="Times New Roman"/>
          <w:sz w:val="24"/>
        </w:rPr>
        <w:br/>
        <w:t>Kontrollindikaatorite valik peab olema mõistlik. Neid võib ükshaaval valida selle määruse artiklis 3 nimetatute seast. Valik peab olema põhjendatud. Tuleb analüüsida vähemalt järgmisi aspekte:</w:t>
      </w:r>
    </w:p>
    <w:p w14:paraId="3EA16B40" w14:textId="62389D3D"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globaalne soojenemine;</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taastumatu primaarenergia kasutamine, välja arvatud toorainena kasutatava taastumatu primaarenergia ressursid;</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kõrvaldatud tavajäätmed.</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etapp: tundlike parameetrite määratlemine</w:t>
      </w:r>
      <w:r>
        <w:rPr>
          <w:rFonts w:ascii="Times New Roman" w:hAnsi="Times New Roman"/>
          <w:sz w:val="24"/>
        </w:rPr>
        <w:br/>
        <w:t>Iga kontrollindikaatori puhul tuleb teha tundlike parameetrite analüüs. Selleks on soovitatav alustada olelusringi protsesside mõjude jaotamisest. See analüüs põhineb tundlikkusanalüüsis kirjeldatud näitlikul stsenaariumil.</w:t>
      </w:r>
      <w:r>
        <w:rPr>
          <w:rFonts w:ascii="Times New Roman" w:hAnsi="Times New Roman"/>
          <w:sz w:val="24"/>
        </w:rPr>
        <w:br/>
        <w:t>Soovitatav on pöörata tähelepanu kõigile protsessidele:</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mille mõju keskkonnaaspektile näitlikus stsenaariumis on üle 5 %;</w:t>
      </w:r>
      <w:r>
        <w:rPr>
          <w:rFonts w:ascii="Times New Roman" w:hAnsi="Times New Roman"/>
          <w:sz w:val="24"/>
        </w:rPr>
        <w:br/>
        <w:t>- või kumulatiivne mõju moodustab vähemalt 80 % ühe kontrollnäitaja mõjust.</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Seejärel tuleks määratleda olelusringi hindamise mudeli parameetrid (protsessi sisenedes või sealt väljudes, mudelprotsessi sisemine parameeter), mis avaldavad </w:t>
      </w:r>
      <w:r>
        <w:rPr>
          <w:rFonts w:ascii="Times New Roman" w:hAnsi="Times New Roman"/>
          <w:sz w:val="24"/>
        </w:rPr>
        <w:lastRenderedPageBreak/>
        <w:t>tulemusele mõju. Need ongi tundlikud parameetrid.</w:t>
      </w:r>
      <w:r>
        <w:rPr>
          <w:rFonts w:ascii="Times New Roman" w:hAnsi="Times New Roman"/>
          <w:sz w:val="24"/>
        </w:rPr>
        <w:br/>
        <w:t>Selle analüüsi lõpuleviimise korral on registreerijal olemas nimekiri kontrollindikaatoriks olevatest protsessidest, mis kõige enam avaldavad toote olelusringi jooksul keskkonnale mõju, ning nimekiri tundlikest parameetritest.</w:t>
      </w:r>
      <w:r>
        <w:rPr>
          <w:rFonts w:ascii="Times New Roman" w:hAnsi="Times New Roman"/>
          <w:sz w:val="24"/>
        </w:rPr>
        <w:br/>
        <w:t>3. etapp: tundlike parameetrite variatsioonivaldkondade määratlemine</w:t>
      </w:r>
      <w:r>
        <w:rPr>
          <w:rFonts w:ascii="Times New Roman" w:hAnsi="Times New Roman"/>
          <w:sz w:val="24"/>
        </w:rPr>
        <w:br/>
        <w:t>Selles etapis määratakse igale tundlikule parameetrile variatsioonivaldkond. See valdkond tuleb esitada vähemalt intervallina. Kui see on olemas, saab määrata kindlaks parameetri muutumise seaduspära varem kindlaks määratud intervallis.</w:t>
      </w:r>
      <w:r>
        <w:rPr>
          <w:rFonts w:ascii="Times New Roman" w:hAnsi="Times New Roman"/>
          <w:sz w:val="24"/>
        </w:rPr>
        <w:br/>
        <w:t>Selle etapi lõpuks on iga tundlik parameeter seotud variatsioonivaldkonnaga.</w:t>
      </w:r>
      <w:r>
        <w:rPr>
          <w:rFonts w:ascii="Times New Roman" w:hAnsi="Times New Roman"/>
          <w:sz w:val="24"/>
        </w:rPr>
        <w:br/>
        <w:t>4. etapp: indikaatorite varieeruvuse arvutamine 2. ja 3. etapi põhjal kasutatakse selles etapis spetsiaalset matemaatilist meetodit, millega määratakse kindlaks indikaatorite variatsioonivaldkond (maksimaalsed väärtused, keskmised väärtused ja minimaalsed väärtused), kohaldades olelusringi hindamise mudelit tundlike parameetrite variatsioonidele.</w:t>
      </w:r>
      <w:r>
        <w:rPr>
          <w:rFonts w:ascii="Times New Roman" w:hAnsi="Times New Roman"/>
          <w:sz w:val="24"/>
        </w:rPr>
        <w:br/>
        <w:t>4. etapi tulemuseks on intervallide kogum, mille väärtused on saadud tundlikkusanalüüsis käsitletud kõigist keskkonnaaspektidest.</w:t>
      </w:r>
      <w:r>
        <w:rPr>
          <w:rFonts w:ascii="Times New Roman" w:hAnsi="Times New Roman"/>
          <w:sz w:val="24"/>
        </w:rPr>
        <w:br/>
        <w:t>Indikaatorite varieeruvuse arvutamine hõlmab vähemalt käesoleva määruse artiklis 8 osutatud elementidega seotud tundlikke parameetreid.</w:t>
      </w:r>
      <w:r>
        <w:rPr>
          <w:rFonts w:ascii="Times New Roman" w:hAnsi="Times New Roman"/>
          <w:sz w:val="24"/>
        </w:rPr>
        <w:br/>
        <w:t>3. ja 4. etapi võib ellu viia iteratsioonina, et kohaldada tundlike parameetrite variatsioonivaldkonda soovitud homogeensetele tingimustele.</w:t>
      </w:r>
      <w:r>
        <w:rPr>
          <w:rFonts w:ascii="Times New Roman" w:hAnsi="Times New Roman"/>
          <w:sz w:val="24"/>
        </w:rPr>
        <w:br/>
        <w:t>Tundlikkusanalüüsi aruanne</w:t>
      </w:r>
      <w:r>
        <w:rPr>
          <w:rFonts w:ascii="Times New Roman" w:hAnsi="Times New Roman"/>
          <w:sz w:val="24"/>
        </w:rPr>
        <w:br/>
        <w:t>Aruandes peavad sisalduma elemendid, mis vastavad tundlikkusanalüüsi neljale etapile ja selle tulemustele, eriti ühisaruande vastavusvaldkonnale ja kontrollindikaatorite variatsiooniintervallidele.</w:t>
      </w:r>
      <w:r>
        <w:rPr>
          <w:rFonts w:ascii="Times New Roman" w:hAnsi="Times New Roman"/>
          <w:sz w:val="24"/>
        </w:rPr>
        <w:br/>
        <w:t>3. Tundlikkusanalüüs ja deklareeritud keskkonnaväärtused</w:t>
      </w:r>
      <w:r>
        <w:rPr>
          <w:rFonts w:ascii="Times New Roman" w:hAnsi="Times New Roman"/>
          <w:sz w:val="24"/>
        </w:rPr>
        <w:br/>
        <w:t>Tundlikkusanalüüsi tulemused määravad keskkonnaväärtused, mis on esitatud ühises keskkonnadeklaratsioonis, nagu on täpsustatud käesoleva korralduse artiklis 8.</w:t>
      </w:r>
      <w:r>
        <w:rPr>
          <w:rFonts w:ascii="Times New Roman" w:hAnsi="Times New Roman"/>
          <w:sz w:val="24"/>
        </w:rPr>
        <w:br/>
        <w:t>Kui iga keskkonnamõju kontrollindikaatori variatsioonivaldkonna maksimumväärtus (või 95 % usaldusvahemiku korral, kui kasutatakse statistilist lähenemisviisi) on väiksem või võrdne indikaatori keskmise väärtusega, mis on korrutatud piirväärtusega (täpsustatud käesoleva korralduse artiklis 8), arvutatakse deklareeritud keskkonnamõju indikaatorite väärtused koos tundlike indikaatorite keskmiste väärtustega. Kui ei ole, st kui vähemalt ühe keskkonnamõju kontrollindikaatori maksimumväärtus on suurem kui indikaatori keskmine väärtus korrutatuna piirväärtusega (täpsustatud käesoleva korralduse artiklis 8), tuleb deklareerida ebasoodsaim piirväärtus (maksimaalne väärtus, mida näitaja võib saavutada, kui see kajastab kulutusi, ja minimaalne väärtus, kui see kajastab kasumit). Kuni indikaatorid kajastavad kulu, vastab see ülempiir tundlike parameetrite maksimaalsete väärtuste (või 95 % tõenäosusega, kui kasutatakse statistilist lähenemisviisi) kasutamisel saadud indikaatorite väärtusele.</w:t>
      </w:r>
      <w:r>
        <w:rPr>
          <w:rFonts w:ascii="Times New Roman" w:hAnsi="Times New Roman"/>
          <w:sz w:val="24"/>
        </w:rPr>
        <w:br/>
        <w:t>4. Deklaratsioonis vaadeldavate toodete konkreetsed määratlused</w:t>
      </w:r>
      <w:r>
        <w:rPr>
          <w:rFonts w:ascii="Times New Roman" w:hAnsi="Times New Roman"/>
          <w:sz w:val="24"/>
        </w:rPr>
        <w:br/>
        <w:t>Et teada saada, kas toodet kavatsetakse ühisesse keskkonnadeklaratsiooni lisada, tuleb uurida, kas mõni samalaadne tootetüüp juba on deklaratsioonis olemas ning kas selle toote registreerijal on õigus ühist keskkonnadeklaratsiooni kasutada.</w:t>
      </w:r>
      <w:r>
        <w:rPr>
          <w:rFonts w:ascii="Times New Roman" w:hAnsi="Times New Roman"/>
          <w:sz w:val="24"/>
        </w:rPr>
        <w:br/>
        <w:t>Standardtoote tuvastamine</w:t>
      </w:r>
      <w:r>
        <w:rPr>
          <w:rFonts w:ascii="Times New Roman" w:hAnsi="Times New Roman"/>
          <w:sz w:val="24"/>
        </w:rPr>
        <w:br/>
        <w:t>Standardtoode peab olema nõuetekohaselt määratletud ja kirjeldatud, et hõlbustada toote ja standardtoote kirjelduse vastavust. Standardtoote kirjeldus peab sisaldama vähemalt järgmist:</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 nimekiri peamistest koostisosadest või olulisimatest materjalidest;</w:t>
      </w:r>
      <w:r>
        <w:rPr>
          <w:rFonts w:ascii="Times New Roman" w:hAnsi="Times New Roman"/>
          <w:sz w:val="24"/>
        </w:rPr>
        <w:br/>
        <w:t>b) teave funktsionaalsuse või jõudluse taseme kohta.</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Selle määratluse abil peab olema võimalik kiiresti ja ühemõtteliselt teada saada, kas konkreetset toodet saab ühisdeklaratsiooni lisada.</w:t>
      </w:r>
      <w:r>
        <w:rPr>
          <w:rFonts w:ascii="Times New Roman" w:hAnsi="Times New Roman"/>
          <w:sz w:val="24"/>
        </w:rPr>
        <w:br/>
        <w:t>Nende registreerijate tuvastamine, kes võivad ühisdeklaratsiooni kasutada</w:t>
      </w:r>
      <w:r>
        <w:rPr>
          <w:rFonts w:ascii="Times New Roman" w:hAnsi="Times New Roman"/>
          <w:sz w:val="24"/>
        </w:rPr>
        <w:br/>
        <w:t>Kuna ühine keskkonnadeklaratsiooni kuulub kogukonna omandi ja vastutuse alla, võib see kogukond otsustada, et ainult teatud registreerijad võivad seda ühist keskkonnadeklaratsiooni kasutada.</w:t>
      </w:r>
      <w:r>
        <w:rPr>
          <w:rFonts w:ascii="Times New Roman" w:hAnsi="Times New Roman"/>
          <w:sz w:val="24"/>
        </w:rPr>
        <w:br/>
        <w:t>Ühist keskkonnadeklaratsiooni kasutada tohtivate registreerijate nimekiri tuleb edastada:</w:t>
      </w:r>
    </w:p>
    <w:p w14:paraId="2AB81917" w14:textId="323361D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täieliku nimekirjana;</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või kollektiivi kuulumise tingimusena (assotsiatsioon, liit, hartale allakirjutanud jne). Sel juhul peab nimekiri kollektiivi liikmetest olema avalikult kättesaadav.</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Kehtiva raamistiku sisu</w:t>
      </w:r>
      <w:r>
        <w:rPr>
          <w:rFonts w:ascii="Times New Roman" w:hAnsi="Times New Roman"/>
          <w:sz w:val="24"/>
        </w:rPr>
        <w:br/>
        <w:t>Kehtiv raamistik sisaldab vähemalt järgmist:</w:t>
      </w:r>
    </w:p>
    <w:p w14:paraId="76B32132" w14:textId="2E9F713E"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standardtoote tuvastamine (kohustuslik);</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ühise keskkonnadeklaratsiooniga hõlmatud tooted;</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nende registreerijate tuvastamine, kes võivad ühisdeklaratsiooni kasutada;</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tundlikkuse uuringu aruanne, milles sisaldub kehtivusvaldkond ja kinnitus, et indikaatorite määratud väärtused on homogeensed.</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Kehtiva raamistiku kasutamine</w:t>
      </w:r>
      <w:r>
        <w:rPr>
          <w:rFonts w:ascii="Times New Roman" w:hAnsi="Times New Roman"/>
          <w:sz w:val="24"/>
        </w:rPr>
        <w:br/>
        <w:t>Selleks, et registreerija võiks oma toote jaoks ühist keskkonnadeklaratsiooni kasutada, peab ta tõendama, et:</w:t>
      </w:r>
    </w:p>
    <w:p w14:paraId="0B262F36" w14:textId="4BEBFAB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tema toode vastab ühises keskkonnadeklaratsioonis esitatud standardtootele;</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ta kuulub selle ühise keskkonnadeklaratsiooni puhul registreerijate nimekirja;</w:t>
      </w:r>
      <w:r>
        <w:rPr>
          <w:rFonts w:ascii="Times New Roman" w:hAnsi="Times New Roman"/>
          <w:sz w:val="24"/>
        </w:rPr>
        <w:br/>
      </w:r>
      <w:r w:rsidR="000826D9">
        <w:rPr>
          <w:rFonts w:ascii="Times New Roman" w:hAnsi="Times New Roman"/>
          <w:sz w:val="24"/>
        </w:rPr>
        <w:t xml:space="preserve">- </w:t>
      </w:r>
      <w:r>
        <w:rPr>
          <w:rFonts w:ascii="Times New Roman" w:hAnsi="Times New Roman"/>
          <w:sz w:val="24"/>
        </w:rPr>
        <w:t>ta peab kinni ühise keskkonnadeklaratsiooni kehtivusvaldkonnast.</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Koostatud 14. detsembril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Ökoloogilise ülemineku ministrit esindav minister, eluasemevaldkonna eest vastutaja,</w:t>
      </w:r>
      <w:r>
        <w:rPr>
          <w:rFonts w:ascii="Times New Roman" w:hAnsi="Times New Roman"/>
          <w:sz w:val="24"/>
        </w:rPr>
        <w:br/>
        <w:t>ministri nimel ja volitusel:</w:t>
      </w:r>
      <w:r>
        <w:rPr>
          <w:rFonts w:ascii="Times New Roman" w:hAnsi="Times New Roman"/>
          <w:sz w:val="24"/>
        </w:rPr>
        <w:br/>
        <w:t>Elamumajanduse, linnaarenduse ja maaeluameti peadirektoraadi direktor</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Ökoloogilise ülemineku minister, ministri nimel ja volitusel:</w:t>
      </w:r>
      <w:r>
        <w:rPr>
          <w:rFonts w:ascii="Times New Roman" w:hAnsi="Times New Roman"/>
          <w:sz w:val="24"/>
        </w:rPr>
        <w:br/>
        <w:t>Elamumajanduse, linnaarenduse ja maaeluameti peadirektoraadi direktor</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6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0826D9"/>
    <w:rsid w:val="003541DB"/>
    <w:rsid w:val="003F2E4D"/>
    <w:rsid w:val="004C6E58"/>
    <w:rsid w:val="00657670"/>
    <w:rsid w:val="009F3336"/>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4699</Words>
  <Characters>38300</Characters>
  <Application>Microsoft Office Word</Application>
  <DocSecurity>0</DocSecurity>
  <Lines>3830</Lines>
  <Paragraphs>796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2022-05-04T11:16:00Z</dcterms:created>
  <dcterms:modified xsi:type="dcterms:W3CDTF">2022-05-04T11:16:00Z</dcterms:modified>
</cp:coreProperties>
</file>