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Dréacht</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Ríocht na Beilge</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Sláinte Phoiblí, Sábháilteacht an tSlabhra Bia agus an Comhshaol Seirbhís Phoiblí Chónaidhme</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Foraithne Ríoga lena leasaítear Foraithne Ríoga 27 Bealtaine 2014 maidir le substaintí a mhonaraítear nanacháithníní a chur ar an margadh</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PHILIPPE, Rí na mBeilgeach,</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Do gach duine atá anseo anois nó a bheidh ina dhiaidh seo, Beannachtaí.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Ag féachaint do Dhlí 21 Nollaig 1998 maidir le caighdeáin táirgí chun patrúin inbhuanaithe táirgthe agus tomhaltais a chur chun cinn agus an comhshaol, sláinte agus oibrithe a chosaint, Airteagal 5, §1(1)(2), arna leasú le dlíthe 27 Nollaig 2004 agus 27 Iúil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Ag féachaint d’Fhoraithne Ríoga 27 Bealtaine 2014 maidir le substaintí a mhonaraítear nanacháithníní a chur ar an margadh, arna leasú le Foraithne Ríoga 22 Nollaig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 rannpháirtíocht na rialtas réigiúnach in ullmhú an Ordaithe seo, faoi chuimsiú na Comhdhála Idir-aireachta maidir leis an gComhshaol (CIE), a tionóladh an </w:t>
            </w:r>
            <w:r>
              <w:rPr>
                <w:rFonts w:ascii="Times New Roman" w:hAnsi="Times New Roman"/>
                <w:sz w:val="24"/>
                <w:highlight w:val="yellow"/>
              </w:rPr>
              <w:t xml:space="preserve">XXXX </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don tuairim ón gComhairle Náisiúnta Oibre, arna tabhairt an </w:t>
            </w:r>
            <w:r>
              <w:rPr>
                <w:rFonts w:ascii="Times New Roman" w:hAnsi="Times New Roman"/>
                <w:sz w:val="24"/>
                <w:highlight w:val="yellow"/>
              </w:rPr>
              <w:t xml:space="preserve">XXXX </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don tuairim ón Lárchomhairle Eacnamaíoch, arna tabhairt an </w:t>
            </w:r>
            <w:r>
              <w:rPr>
                <w:rFonts w:ascii="Times New Roman" w:hAnsi="Times New Roman"/>
                <w:sz w:val="24"/>
                <w:highlight w:val="yellow"/>
              </w:rPr>
              <w:t xml:space="preserve">XXXX </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don tuairim ón gComhairle Cónaidhme um Fhorbairt Inbhuanaithe, arna tabhairt an </w:t>
            </w:r>
            <w:r>
              <w:rPr>
                <w:rFonts w:ascii="Times New Roman" w:hAnsi="Times New Roman"/>
                <w:sz w:val="24"/>
                <w:highlight w:val="yellow"/>
              </w:rPr>
              <w:t xml:space="preserve">XXXX </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don tuairim ón gComhairle um Shláinte Uachtarach, arna tabhairt an </w:t>
            </w:r>
            <w:r>
              <w:rPr>
                <w:rFonts w:ascii="Times New Roman" w:hAnsi="Times New Roman"/>
                <w:sz w:val="24"/>
                <w:highlight w:val="yellow"/>
              </w:rPr>
              <w:t xml:space="preserve">XXXX </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don tuairim ón gComhairle Tomhaltóirí, arna tabhairt an </w:t>
            </w:r>
            <w:r>
              <w:rPr>
                <w:rFonts w:ascii="Times New Roman" w:hAnsi="Times New Roman"/>
                <w:sz w:val="24"/>
                <w:highlight w:val="yellow"/>
              </w:rPr>
              <w:t xml:space="preserve">XXXX </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don tuairim ón Ard-Chomhairle um Chosc agus um Chosaint ag na hOibre, arna tabhairt an </w:t>
            </w:r>
            <w:r>
              <w:rPr>
                <w:rFonts w:ascii="Times New Roman" w:hAnsi="Times New Roman"/>
                <w:sz w:val="24"/>
                <w:highlight w:val="yellow"/>
              </w:rPr>
              <w:t xml:space="preserve">XXXX </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I bhfianaise an fhógra ó Chomhairle na nAirí, a cuireadh in iúl i gcomhthéacs ghlacadh Fhoraithne Ríoga an 27 Bealtaine 2014 maidir le substaintí a mhonaraítear nanacháithníní a chur ar an margadh, ar dá réir a bheadh tosaíocht do chatagóirí na n-earraí atá le clárú leordhóthanach;</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don staidéar a rinne Ollscoil Namur in 2022, tar éis na hiarrata a rinne Comhairle na nAirí go ndéanfaí meastóireacht ar airteagail, inar leagadh béim ar fheidhmiú cuí agus ar úsáideacht Fhoraithne Ríoga an 27 Bealtaine 2014 maidir le substaintí arna monarú ag nanacháithníní a chur ar an margadh agus ar an ngá atá le hinrianaitheacht nana-ábhar a chuirtear ar an margadh sa Bheilg a chomhlánú tríd an roinn maidir le hearraí a chur chun feidhme agus </w:t>
            </w:r>
            <w:r>
              <w:rPr>
                <w:rFonts w:ascii="Times New Roman" w:hAnsi="Times New Roman"/>
                <w:sz w:val="24"/>
              </w:rPr>
              <w:lastRenderedPageBreak/>
              <w:t xml:space="preserve">tosaíocht á tabhairt do chatagóirí áirithe earraí a bhfuil nochtadh an duine is déine nó is achrannaí ina leith;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I bhfianaise phaindéim COVID-19, úsáid fhorleathan masc aghaidhe ag tomhaltóirí neamhghairmiúla agus staidéir éagsúla Sciensano ar cheimiceáin ar údar imní iad a fhaightear i maisc aghaidhe, tá sé ríthábhachtach díriú ar an úsáid nua sin agus ar na neamhchosaintí atá i gceist léi;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don tuairim ón gCigireacht Airgeadais, arna tabhairt an </w:t>
            </w:r>
            <w:r>
              <w:rPr>
                <w:rFonts w:ascii="Times New Roman" w:hAnsi="Times New Roman"/>
                <w:sz w:val="24"/>
                <w:highlight w:val="yellow"/>
              </w:rPr>
              <w:t xml:space="preserve">XXXX </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 chomhaontú an Aire Buiséid, arna thabhairt an </w:t>
            </w:r>
            <w:r>
              <w:rPr>
                <w:rFonts w:ascii="Times New Roman" w:hAnsi="Times New Roman"/>
                <w:sz w:val="24"/>
                <w:highlight w:val="yellow"/>
              </w:rPr>
              <w:t xml:space="preserve">XXXX </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Ag féachaint don tuairim </w:t>
            </w:r>
            <w:r>
              <w:rPr>
                <w:rFonts w:ascii="Times New Roman" w:hAnsi="Times New Roman"/>
                <w:sz w:val="24"/>
                <w:highlight w:val="yellow"/>
              </w:rPr>
              <w:t xml:space="preserve">XXX </w:t>
            </w:r>
            <w:r>
              <w:rPr>
                <w:rFonts w:ascii="Times New Roman" w:hAnsi="Times New Roman"/>
                <w:sz w:val="24"/>
              </w:rPr>
              <w:t xml:space="preserve"> ón gComhairle Stáit, arna thabhairt an </w:t>
            </w:r>
            <w:r>
              <w:rPr>
                <w:rFonts w:ascii="Times New Roman" w:hAnsi="Times New Roman"/>
                <w:sz w:val="24"/>
                <w:highlight w:val="yellow"/>
              </w:rPr>
              <w:t xml:space="preserve">XXX </w:t>
            </w:r>
            <w:r>
              <w:rPr>
                <w:rFonts w:ascii="Times New Roman" w:hAnsi="Times New Roman"/>
                <w:sz w:val="24"/>
              </w:rPr>
              <w:t>, de bhun Airteagal 84, § 1, fomhír 1(2) den dlí maidir leis an gComhairle Stáit, arna chomhdhlúthú an 12 Eanáir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Ar thogra ón Aire Geilleagair agus Saothair, ón Aire Sláinte agus ón Aire Comhshaoil agus ó thuairim na nAirí a rinne plé sa Chomhairle,</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Chinneamar agus leis na foraithne seo:</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Airteagal</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In Airteagal 1 d’Fhoraithne Ríoga an 27 Bealtaine 2014 maidir le substaintí a mhonaraítear nanacháithníní a chur ar an margadh, déantar na leasuithe seo a leanas:</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aisghairtear(1) agus (8);</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aisghairtear (9), arna chur isteach le Foraithne Ríoga an 22 Nollaig 2017 ;</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cuirtear an méid seo a leanas in ionad (4): ‘(4) Tráchtearraí bia dá dtagraítear in Airteagal 1(1) de Dhlí an 24 Eanáir 1977 maidir le sláinte an tomhaltóra a chosaint i dtaca le tráchtearraí bia agus táirgí eile;”.</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Airteagal 2. </w:t>
            </w:r>
            <w:r>
              <w:rPr>
                <w:rFonts w:ascii="Times New Roman" w:hAnsi="Times New Roman"/>
                <w:sz w:val="24"/>
              </w:rPr>
              <w:t xml:space="preserve">In Airteagal 2 den Ordú céanna, forlíontar fomhír 1 le (26), (27) agus (28), agus an fhoclaíocht seo a leanas ann: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táirge cosmaideach: aon substaint nó meascán a bheartaítear a chur i dteagmháil le codanna dromchlacha chorp an duine (eipideirm, gruaig agus córais ribeacha, tairní, liopaí agus baill ghiniúna sheachtracha) nó leis na fiacla agus leis na seicní múcasacha béil d’fhonn iad a ghlanadh, iad a bhréagnú, a gcuma a mhodhnú, iad a chosaint, iad a choinneáil i ndea-bhail nó bolaithe coirp a cheartú, go heisiach nó go príomha;</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táirge bithicídeach: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aon substaint nó meascán, san fhoirm ina seachadtar don úsáideoir é nó í, arb éard atá ann substaint ghníomhach amháin nó níos mó, ina bhfuil nó a ghineann an tsubstaint nó an meascán sin, atá beartaithe chun orgánaigh dhochracha a scriosadh, a athsheoladh nó a dhéanamh neamhdhíobhálach, chun a ngníomhú a chosc nó chun iad a chomhrac ar aon slí eile trí ghníomh seachas trí ghníomh fisiciúil nó trí ghníomh meicniúil,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 xml:space="preserve">aon substaint nó meascán a ghintear le substaintí nó meascáin nach dtagann faoi raon feidhme na chéad fleisce agus a bheartaítear lena n-úsáid chun orgánaigh dhochracha a scriosadh, a dhíbirt nó a dhéanamh neamhdhíobhálach, chun a ngníomhú a chosc nó chun iad a chomhrac ar aon bhealach eile trí ghníomh seachas trí ghníomh fisiciúil nó meicniúil amháin.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Meastar gur táirge bithicíde é earra cóireáilte a bhfuil feidhm bhithicídeach den chuid is mó aige;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ábhair agus réada a bheartaítear a bheith i dtadhall le tráchtearraí bia: ábhair agus réada, lena n-áirítear ábhair agus réada gníomhacha agus cliste a bheartaítear a bheith i dtadhall le tráchtearraí bia, ar nithe iad seo a leanas, mar tháirge críochnaithe:</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go mbeartaítear iad a bheith i dtadhall le tráchtearraí bia;</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nó</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atá i dteagmháil cheana le tráchtearraí bia agus a bhí beartaithe chun na críche sin,</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nó</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ar féidir a bheith ag súil leis go réasúnach go mbeidh siad i dtadhall le tráchtearraí bia nó go n-aistreoidh siad a gcomhdhamhnaí chuig tráchtearraí bia faoi ghnáthdhálaí nó faoi dhálaí intuartha a n-úsáide.”.</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Airteagal 3. </w:t>
            </w:r>
            <w:r>
              <w:rPr>
                <w:rFonts w:ascii="Times New Roman" w:hAnsi="Times New Roman"/>
                <w:sz w:val="24"/>
              </w:rPr>
              <w:t xml:space="preserve">I gCaibidil 3 den Ordú céanna, cuirtear isteach Airteagail 10a go 10c agus dréachtaítear iad mar a leanas: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Airteagal 10a. Beidh feidhm ag forálacha na Caibidle seo maidir leis na catagóirí earraí seo a leanas: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earraí teicstíle;</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earraí cúraim phearsanta agus táirgí cosmaideacha;</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earraí atá beartaithe do naíonáin agus do leanaí;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scagairí, trealamh cistine, ábhair agus réada a bheartaítear a bheith i dtadhall le tráchtearraí bia;</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maisc aghaidhe.</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Airteagal 10b. Chun críocha na Caibidle seo, ciallóidh earraí teicstíle: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éadaí;</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bróga;</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earraí spóirt, i.e. éadaí spóirt agus teicstílí spóirt eile;</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lastRenderedPageBreak/>
              <w:t>teicstílí seachas éadaí a thagann i dteagmháil le craiceann an duine, faoi ghnáthdhálaí úsáide nó faoi dhálaí úsáide atá measartha intuartha, a mhéid atá cosúil le craiceann éadaí.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Airteagal 10c. Chun críocha chur i bhfeidhm na Caibidle seo, déileálfar leis na táirgí seo a leanas mar a leanas:</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Earraí cúraim phearsanta agus táirgí cosmaideacha: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gruagaireacht agus gabhálais smididh;</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fearais bheaga a úsáidtear don chorp, do na fiacla agus don ghruaig;</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táirgí cosmaideacha.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Earraí atá ceaptha do naíonáin agus do leanaí:</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earraí cúraim leanaí;</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bréagáin.</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Scagairí, trealamh cistine, ábhair agus réada a bheartaítear a bheith i dtadhall le tráchtearraí bia:</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scagairí uisce;</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scagairí le haghaidh cochaill mhúch;</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uirlisí cistine;</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earraí leictreacha agus fearais chistine;</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pacáistiú bia agus míreanna caomhnaithe bia.</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Maisc aghaidhe: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feistí a chuirtear i bhfeidhm ar an srón agus ar an mbéal, bídís fite nó neamhfhite, a úsáidtear chun aer easanálaithe nó ionanálaithe a scagadh amach.”.</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Airteagal 4. </w:t>
            </w:r>
            <w:r>
              <w:rPr>
                <w:rFonts w:ascii="Times New Roman" w:hAnsi="Times New Roman"/>
                <w:sz w:val="24"/>
              </w:rPr>
              <w:t>In Airteagal 11 den Ordú céanna, cuirtear an méid seo a leanas in ionad (2) de mhír 1:</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Déanfar cainníocht is mó ná 100 gram de shubstaint amháin ar a laghad de na substaintí sin a mhonaraítear nanacháithníní sin, nó cainníocht míle píosa ar a laghad den earra nó den réad casta, a chur ar an margadh le linn na bliana féilire ina dtugtar an fógra;”.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Airteagal 5. </w:t>
            </w:r>
            <w:r>
              <w:rPr>
                <w:rFonts w:ascii="Times New Roman" w:hAnsi="Times New Roman"/>
                <w:sz w:val="24"/>
              </w:rPr>
              <w:t>In Airteagal 24 den Ordú céanna, cuirtear an méid seo a leanas in ionad fhomhír 3 de mhír 1:</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Tiocfaidh Airteagail 10a go 17 i bhfeidhm an 1 </w:t>
            </w:r>
            <w:r>
              <w:rPr>
                <w:rFonts w:ascii="Times New Roman" w:hAnsi="Times New Roman"/>
                <w:sz w:val="24"/>
                <w:vertAlign w:val="superscript"/>
              </w:rPr>
              <w:t xml:space="preserve">ú </w:t>
            </w:r>
            <w:r>
              <w:rPr>
                <w:rFonts w:ascii="Times New Roman" w:hAnsi="Times New Roman"/>
                <w:sz w:val="24"/>
              </w:rPr>
              <w:t xml:space="preserve"> Eanáir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lastRenderedPageBreak/>
              <w:t xml:space="preserve">Airteagal 6. </w:t>
            </w:r>
            <w:r>
              <w:rPr>
                <w:rFonts w:ascii="Times New Roman" w:hAnsi="Times New Roman"/>
                <w:sz w:val="24"/>
              </w:rPr>
              <w:tab/>
              <w:t>Tá an tAire Geilleagair, an tAire Saothair, an tAire Sláinte Poiblí agus an tAire Comhshaoil freagrach as an ordú seo a fhorghníomhú.</w:t>
            </w:r>
          </w:p>
        </w:tc>
      </w:tr>
      <w:tr w:rsidR="00294686" w:rsidRPr="00C211F3" w14:paraId="64D7C9D1" w14:textId="77777777" w:rsidTr="00294686">
        <w:tc>
          <w:tcPr>
            <w:tcW w:w="5000" w:type="pct"/>
          </w:tcPr>
          <w:p w14:paraId="47C4C7E4" w14:textId="4ECA9516" w:rsidR="00294686" w:rsidRPr="00CB763B" w:rsidRDefault="00294686" w:rsidP="004B2B0E">
            <w:pPr>
              <w:tabs>
                <w:tab w:val="center" w:pos="2076"/>
              </w:tabs>
              <w:suppressAutoHyphens/>
              <w:spacing w:after="120" w:line="276" w:lineRule="auto"/>
              <w:rPr>
                <w:rFonts w:ascii="Times New Roman" w:hAnsi="Times New Roman" w:cs="Times New Roman"/>
                <w:spacing w:val="-3"/>
                <w:sz w:val="24"/>
                <w:szCs w:val="24"/>
                <w:lang w:val="en-US"/>
              </w:rPr>
            </w:pPr>
            <w:r>
              <w:rPr>
                <w:rFonts w:ascii="Times New Roman" w:hAnsi="Times New Roman"/>
                <w:sz w:val="24"/>
              </w:rPr>
              <w:t xml:space="preserve">Arna thabhairt, an </w:t>
            </w:r>
            <w:r w:rsidR="00CB763B">
              <w:rPr>
                <w:rFonts w:ascii="Times New Roman" w:hAnsi="Times New Roman"/>
                <w:sz w:val="24"/>
                <w:lang w:val="en-US"/>
              </w:rPr>
              <w:t xml:space="preserve">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Ag an Rí,</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An Leas-Phríomh-Aire agus an tAire Geilleagair agus Saothair,</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An tAire Sláinte Poiblí,</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An tAire Comhshaoil,</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592481">
    <w:abstractNumId w:val="6"/>
  </w:num>
  <w:num w:numId="2" w16cid:durableId="382756833">
    <w:abstractNumId w:val="1"/>
  </w:num>
  <w:num w:numId="3" w16cid:durableId="1425415908">
    <w:abstractNumId w:val="8"/>
  </w:num>
  <w:num w:numId="4" w16cid:durableId="1400862160">
    <w:abstractNumId w:val="2"/>
  </w:num>
  <w:num w:numId="5" w16cid:durableId="2140804364">
    <w:abstractNumId w:val="5"/>
  </w:num>
  <w:num w:numId="6" w16cid:durableId="269245314">
    <w:abstractNumId w:val="4"/>
  </w:num>
  <w:num w:numId="7" w16cid:durableId="1985306793">
    <w:abstractNumId w:val="3"/>
  </w:num>
  <w:num w:numId="8" w16cid:durableId="1544175454">
    <w:abstractNumId w:val="0"/>
  </w:num>
  <w:num w:numId="9" w16cid:durableId="528613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B763B"/>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ga-IE"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ga-IE"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1246</Words>
  <Characters>7103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2023-02-27T09:45:00Z</dcterms:modified>
</cp:coreProperties>
</file>