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B6" w:rsidRDefault="00B63DB6" w:rsidP="00326892">
      <w:pPr>
        <w:spacing w:before="120" w:after="120" w:line="360" w:lineRule="auto"/>
      </w:pPr>
    </w:p>
    <w:p w:rsidR="00326892" w:rsidRDefault="00326892" w:rsidP="00326892">
      <w:pPr>
        <w:spacing w:before="120" w:after="120" w:line="360" w:lineRule="auto"/>
      </w:pPr>
      <w:r>
        <w:t>Draft of</w:t>
      </w: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A80B38" w:rsidRDefault="00A80B38" w:rsidP="00377FF6">
      <w:pPr>
        <w:spacing w:before="120" w:after="120" w:line="360" w:lineRule="auto"/>
      </w:pPr>
    </w:p>
    <w:p w:rsidR="00326892" w:rsidRDefault="00326892" w:rsidP="00377FF6">
      <w:pPr>
        <w:spacing w:before="120" w:after="120" w:line="360" w:lineRule="auto"/>
      </w:pPr>
    </w:p>
    <w:p w:rsidR="000F133D" w:rsidRDefault="000F133D" w:rsidP="00326892">
      <w:pPr>
        <w:spacing w:before="120" w:after="120" w:line="360" w:lineRule="auto"/>
        <w:jc w:val="center"/>
      </w:pPr>
    </w:p>
    <w:p w:rsidR="000F133D" w:rsidRDefault="000F133D" w:rsidP="00326892">
      <w:pPr>
        <w:spacing w:before="120" w:after="120" w:line="360" w:lineRule="auto"/>
        <w:jc w:val="center"/>
      </w:pPr>
    </w:p>
    <w:p w:rsidR="00326892" w:rsidRDefault="00326892" w:rsidP="00326892">
      <w:pPr>
        <w:spacing w:before="120" w:after="120" w:line="360" w:lineRule="auto"/>
        <w:jc w:val="center"/>
        <w:rPr>
          <w:b/>
        </w:rPr>
      </w:pPr>
      <w:r>
        <w:rPr>
          <w:b/>
        </w:rPr>
        <w:t>R E G U L A T I O N S</w:t>
      </w:r>
    </w:p>
    <w:p w:rsidR="00326892" w:rsidRDefault="000F133D" w:rsidP="00326892">
      <w:pPr>
        <w:spacing w:before="120" w:after="120" w:line="360" w:lineRule="auto"/>
        <w:jc w:val="center"/>
      </w:pPr>
      <w:proofErr w:type="gramStart"/>
      <w:r>
        <w:t>e</w:t>
      </w:r>
      <w:r w:rsidR="00326892">
        <w:t>ntitled</w:t>
      </w:r>
      <w:proofErr w:type="gramEnd"/>
    </w:p>
    <w:p w:rsidR="00326892" w:rsidRPr="00AF5E6B" w:rsidRDefault="00326892" w:rsidP="00326892">
      <w:pPr>
        <w:spacing w:before="120" w:after="120" w:line="360" w:lineRule="auto"/>
        <w:jc w:val="center"/>
        <w:rPr>
          <w:b/>
          <w:color w:val="000000" w:themeColor="text1"/>
        </w:rPr>
      </w:pPr>
      <w:r>
        <w:rPr>
          <w:b/>
        </w:rPr>
        <w:t>European Union (</w:t>
      </w:r>
      <w:r w:rsidR="00DD1746" w:rsidRPr="00DD1746">
        <w:rPr>
          <w:b/>
        </w:rPr>
        <w:t xml:space="preserve">In-Building Physical Infrastructure for High-Speed </w:t>
      </w:r>
      <w:r w:rsidR="00DD1746">
        <w:rPr>
          <w:b/>
        </w:rPr>
        <w:t>Electronic Communications</w:t>
      </w:r>
      <w:r>
        <w:rPr>
          <w:b/>
        </w:rPr>
        <w:t xml:space="preserve">) </w:t>
      </w:r>
      <w:r w:rsidRPr="00AF5E6B">
        <w:rPr>
          <w:b/>
          <w:color w:val="000000" w:themeColor="text1"/>
        </w:rPr>
        <w:t xml:space="preserve">Regulations </w:t>
      </w:r>
      <w:r w:rsidR="00F411D3" w:rsidRPr="00AF5E6B">
        <w:rPr>
          <w:b/>
          <w:color w:val="000000" w:themeColor="text1"/>
        </w:rPr>
        <w:t>202</w:t>
      </w:r>
      <w:r w:rsidR="00E85892" w:rsidRPr="00AF5E6B">
        <w:rPr>
          <w:b/>
          <w:color w:val="000000" w:themeColor="text1"/>
        </w:rPr>
        <w:t>3</w:t>
      </w: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326892">
      <w:pPr>
        <w:spacing w:before="120" w:after="120" w:line="360" w:lineRule="auto"/>
        <w:jc w:val="center"/>
      </w:pPr>
    </w:p>
    <w:p w:rsidR="00326892" w:rsidRDefault="00326892" w:rsidP="000F133D">
      <w:pPr>
        <w:spacing w:after="0" w:line="360" w:lineRule="auto"/>
        <w:jc w:val="right"/>
      </w:pPr>
      <w:r>
        <w:t>To be made by the Minister for Housing,</w:t>
      </w:r>
    </w:p>
    <w:p w:rsidR="00045117" w:rsidRDefault="00326892" w:rsidP="000F133D">
      <w:pPr>
        <w:spacing w:after="0" w:line="360" w:lineRule="auto"/>
        <w:jc w:val="right"/>
      </w:pPr>
      <w:r>
        <w:t>Local Government and Heritage</w:t>
      </w:r>
    </w:p>
    <w:p w:rsidR="00A80B38" w:rsidRDefault="00A80B38" w:rsidP="000F133D">
      <w:pPr>
        <w:spacing w:after="0" w:line="360" w:lineRule="auto"/>
        <w:jc w:val="right"/>
      </w:pPr>
    </w:p>
    <w:p w:rsidR="00FF29F8" w:rsidRPr="003F5767" w:rsidRDefault="00FF29F8" w:rsidP="00FF29F8">
      <w:pPr>
        <w:spacing w:line="360" w:lineRule="auto"/>
        <w:jc w:val="center"/>
        <w:rPr>
          <w:b/>
          <w:bCs/>
          <w:color w:val="000000" w:themeColor="text1"/>
        </w:rPr>
      </w:pPr>
      <w:r w:rsidRPr="003F5767">
        <w:rPr>
          <w:b/>
          <w:bCs/>
          <w:color w:val="000000" w:themeColor="text1"/>
        </w:rPr>
        <w:t>TABLE OF CONTENTS</w:t>
      </w:r>
    </w:p>
    <w:p w:rsidR="00FF29F8" w:rsidRPr="003F5767" w:rsidRDefault="00FF29F8" w:rsidP="00FF29F8">
      <w:pPr>
        <w:spacing w:line="360" w:lineRule="auto"/>
        <w:rPr>
          <w:color w:val="000000" w:themeColor="text1"/>
        </w:rPr>
      </w:pPr>
    </w:p>
    <w:p w:rsidR="00FF29F8" w:rsidRPr="006654BF" w:rsidRDefault="00FF29F8" w:rsidP="00FF29F8">
      <w:pPr>
        <w:spacing w:line="360" w:lineRule="auto"/>
        <w:rPr>
          <w:color w:val="000000" w:themeColor="text1"/>
        </w:rPr>
      </w:pPr>
      <w:r w:rsidRPr="006654BF">
        <w:rPr>
          <w:color w:val="000000" w:themeColor="text1"/>
        </w:rPr>
        <w:t xml:space="preserve">Regulation </w:t>
      </w:r>
    </w:p>
    <w:p w:rsidR="00FF29F8" w:rsidRPr="006654BF" w:rsidRDefault="00FF29F8" w:rsidP="00FF29F8">
      <w:pPr>
        <w:spacing w:line="360" w:lineRule="auto"/>
        <w:rPr>
          <w:color w:val="000000" w:themeColor="text1"/>
        </w:rPr>
      </w:pPr>
    </w:p>
    <w:p w:rsidR="00045117" w:rsidRDefault="00045117"/>
    <w:p w:rsidR="00045117" w:rsidRPr="00E47806" w:rsidRDefault="00045117" w:rsidP="00045117">
      <w:pPr>
        <w:spacing w:before="120" w:after="120" w:line="360" w:lineRule="auto"/>
      </w:pPr>
      <w:r w:rsidRPr="00E47806">
        <w:t xml:space="preserve">1. </w:t>
      </w:r>
      <w:r w:rsidRPr="00E47806">
        <w:tab/>
      </w:r>
      <w:r w:rsidR="007D2494">
        <w:tab/>
      </w:r>
      <w:r w:rsidRPr="00E47806">
        <w:t>Citation and construction</w:t>
      </w:r>
    </w:p>
    <w:p w:rsidR="00045117" w:rsidRPr="00E47806" w:rsidRDefault="00045117" w:rsidP="00045117">
      <w:pPr>
        <w:spacing w:before="120" w:after="120" w:line="360" w:lineRule="auto"/>
      </w:pPr>
    </w:p>
    <w:p w:rsidR="00045117" w:rsidRPr="00E47806" w:rsidRDefault="00045117" w:rsidP="00045117">
      <w:pPr>
        <w:spacing w:before="120" w:after="120" w:line="360" w:lineRule="auto"/>
        <w:rPr>
          <w:color w:val="000000" w:themeColor="text1"/>
        </w:rPr>
      </w:pPr>
      <w:r w:rsidRPr="00E47806">
        <w:t>2.</w:t>
      </w:r>
      <w:r w:rsidRPr="00E47806">
        <w:tab/>
      </w:r>
      <w:r w:rsidR="007D2494">
        <w:tab/>
      </w:r>
      <w:r w:rsidRPr="00E47806">
        <w:rPr>
          <w:color w:val="000000" w:themeColor="text1"/>
        </w:rPr>
        <w:t>Definitions</w:t>
      </w:r>
    </w:p>
    <w:p w:rsidR="00045117" w:rsidRPr="00E47806" w:rsidRDefault="00045117" w:rsidP="00045117">
      <w:pPr>
        <w:spacing w:before="120" w:after="120" w:line="360" w:lineRule="auto"/>
        <w:rPr>
          <w:color w:val="000000" w:themeColor="text1"/>
        </w:rPr>
      </w:pPr>
    </w:p>
    <w:p w:rsidR="00045117" w:rsidRPr="00E47806" w:rsidRDefault="00045117" w:rsidP="00045117">
      <w:pPr>
        <w:spacing w:before="120" w:after="120" w:line="360" w:lineRule="auto"/>
        <w:rPr>
          <w:color w:val="000000" w:themeColor="text1"/>
        </w:rPr>
      </w:pPr>
      <w:r w:rsidRPr="00E47806">
        <w:rPr>
          <w:color w:val="000000" w:themeColor="text1"/>
        </w:rPr>
        <w:t>3.</w:t>
      </w:r>
      <w:r w:rsidRPr="00E47806">
        <w:rPr>
          <w:color w:val="000000" w:themeColor="text1"/>
        </w:rPr>
        <w:tab/>
      </w:r>
      <w:r w:rsidR="007D2494">
        <w:rPr>
          <w:color w:val="000000" w:themeColor="text1"/>
        </w:rPr>
        <w:tab/>
      </w:r>
      <w:r w:rsidR="00A17B9E">
        <w:rPr>
          <w:color w:val="000000" w:themeColor="text1"/>
        </w:rPr>
        <w:t>Application</w:t>
      </w:r>
    </w:p>
    <w:p w:rsidR="00045117" w:rsidRPr="00E47806" w:rsidRDefault="00045117" w:rsidP="00045117">
      <w:pPr>
        <w:spacing w:before="120" w:after="120" w:line="360" w:lineRule="auto"/>
        <w:rPr>
          <w:color w:val="000000" w:themeColor="text1"/>
        </w:rPr>
      </w:pPr>
    </w:p>
    <w:p w:rsidR="00045117" w:rsidRPr="00E47806" w:rsidRDefault="00045117" w:rsidP="00045117">
      <w:pPr>
        <w:spacing w:before="120" w:after="120" w:line="360" w:lineRule="auto"/>
      </w:pPr>
      <w:r w:rsidRPr="00E47806">
        <w:t>4.</w:t>
      </w:r>
      <w:r w:rsidRPr="00E47806">
        <w:tab/>
      </w:r>
      <w:r w:rsidR="007D2494">
        <w:tab/>
      </w:r>
      <w:r w:rsidRPr="00E47806">
        <w:t xml:space="preserve">Technical </w:t>
      </w:r>
      <w:r w:rsidR="000B08A8">
        <w:t>g</w:t>
      </w:r>
      <w:r w:rsidRPr="00E47806">
        <w:t xml:space="preserve">uidance </w:t>
      </w:r>
      <w:r w:rsidR="000B08A8">
        <w:t>d</w:t>
      </w:r>
      <w:r w:rsidRPr="00E47806">
        <w:t>ocuments</w:t>
      </w:r>
    </w:p>
    <w:p w:rsidR="00045117" w:rsidRPr="00E47806" w:rsidRDefault="00045117" w:rsidP="00045117">
      <w:pPr>
        <w:spacing w:before="120" w:after="120" w:line="360" w:lineRule="auto"/>
      </w:pPr>
    </w:p>
    <w:p w:rsidR="00045117" w:rsidRPr="00E47806" w:rsidRDefault="001831BD" w:rsidP="00045117">
      <w:pPr>
        <w:spacing w:before="120" w:after="120" w:line="360" w:lineRule="auto"/>
      </w:pPr>
      <w:r>
        <w:t>5</w:t>
      </w:r>
      <w:r w:rsidR="00045117" w:rsidRPr="00E47806">
        <w:t>.</w:t>
      </w:r>
      <w:r w:rsidR="00045117" w:rsidRPr="00E47806">
        <w:tab/>
      </w:r>
      <w:r w:rsidR="007D2494">
        <w:tab/>
      </w:r>
      <w:r w:rsidR="00045117" w:rsidRPr="00E47806">
        <w:t>Offences</w:t>
      </w:r>
    </w:p>
    <w:p w:rsidR="00045117" w:rsidRPr="00E47806" w:rsidRDefault="00045117" w:rsidP="00045117">
      <w:pPr>
        <w:spacing w:before="120" w:after="120" w:line="360" w:lineRule="auto"/>
      </w:pPr>
    </w:p>
    <w:p w:rsidR="00045117" w:rsidRPr="00E47806" w:rsidRDefault="001831BD" w:rsidP="00045117">
      <w:pPr>
        <w:spacing w:before="120" w:after="120" w:line="360" w:lineRule="auto"/>
      </w:pPr>
      <w:r>
        <w:t>6</w:t>
      </w:r>
      <w:r w:rsidR="00045117" w:rsidRPr="00E47806">
        <w:t>.</w:t>
      </w:r>
      <w:r w:rsidR="00045117" w:rsidRPr="00E47806">
        <w:tab/>
      </w:r>
      <w:r w:rsidR="007D2494">
        <w:tab/>
      </w:r>
      <w:r w:rsidR="00045117" w:rsidRPr="00E47806">
        <w:t>Penalties</w:t>
      </w:r>
    </w:p>
    <w:p w:rsidR="00045117" w:rsidRDefault="00045117">
      <w:r>
        <w:br w:type="page"/>
      </w:r>
    </w:p>
    <w:p w:rsidR="00326892" w:rsidRDefault="00326892" w:rsidP="000F133D">
      <w:pPr>
        <w:spacing w:after="0" w:line="360" w:lineRule="auto"/>
        <w:jc w:val="right"/>
      </w:pPr>
    </w:p>
    <w:p w:rsidR="00326892" w:rsidRPr="00541C8A" w:rsidRDefault="00326892" w:rsidP="00DD1746">
      <w:pPr>
        <w:spacing w:before="120" w:after="120" w:line="360" w:lineRule="auto"/>
        <w:rPr>
          <w:color w:val="000000" w:themeColor="text1"/>
        </w:rPr>
      </w:pPr>
      <w:proofErr w:type="gramStart"/>
      <w:r w:rsidRPr="00541C8A">
        <w:rPr>
          <w:color w:val="000000" w:themeColor="text1"/>
        </w:rPr>
        <w:t xml:space="preserve">I, __________________, Minister for Housing, Local Government and Heritage, in exercise of the functions </w:t>
      </w:r>
      <w:r w:rsidRPr="003F5767">
        <w:rPr>
          <w:color w:val="000000" w:themeColor="text1"/>
        </w:rPr>
        <w:t>conferred on me by section 3 of the European Communities Act 1972 (No. 27 of 1972) and for the purpose of giving effect to Article</w:t>
      </w:r>
      <w:r w:rsidR="00085EA2">
        <w:rPr>
          <w:color w:val="000000" w:themeColor="text1"/>
        </w:rPr>
        <w:t>s</w:t>
      </w:r>
      <w:r w:rsidRPr="003F5767">
        <w:rPr>
          <w:color w:val="000000" w:themeColor="text1"/>
        </w:rPr>
        <w:t xml:space="preserve"> 8</w:t>
      </w:r>
      <w:r w:rsidR="00555EC6">
        <w:rPr>
          <w:color w:val="000000" w:themeColor="text1"/>
        </w:rPr>
        <w:t>(1) and 8(2)</w:t>
      </w:r>
      <w:r w:rsidR="000F133D" w:rsidRPr="003F5767">
        <w:rPr>
          <w:color w:val="000000" w:themeColor="text1"/>
        </w:rPr>
        <w:t xml:space="preserve"> </w:t>
      </w:r>
      <w:r w:rsidRPr="003F5767">
        <w:rPr>
          <w:color w:val="000000" w:themeColor="text1"/>
        </w:rPr>
        <w:t xml:space="preserve">of </w:t>
      </w:r>
      <w:r w:rsidR="00DD1746" w:rsidRPr="003F5767">
        <w:rPr>
          <w:color w:val="000000" w:themeColor="text1"/>
        </w:rPr>
        <w:t>Directive (EU) 2014/61 of the European Parliament and of the Council of 15 May 2014</w:t>
      </w:r>
      <w:r w:rsidR="00FF29F8" w:rsidRPr="003F5767">
        <w:rPr>
          <w:rStyle w:val="FootnoteReference"/>
          <w:color w:val="000000" w:themeColor="text1"/>
        </w:rPr>
        <w:footnoteReference w:id="1"/>
      </w:r>
      <w:r w:rsidR="00DD1746" w:rsidRPr="003F5767">
        <w:rPr>
          <w:color w:val="000000" w:themeColor="text1"/>
        </w:rPr>
        <w:t xml:space="preserve">, </w:t>
      </w:r>
      <w:r w:rsidRPr="003F5767">
        <w:rPr>
          <w:color w:val="000000" w:themeColor="text1"/>
        </w:rPr>
        <w:t>on</w:t>
      </w:r>
      <w:r w:rsidR="00DD1746" w:rsidRPr="003F5767">
        <w:rPr>
          <w:b/>
          <w:bCs/>
          <w:color w:val="000000" w:themeColor="text1"/>
        </w:rPr>
        <w:t xml:space="preserve"> </w:t>
      </w:r>
      <w:r w:rsidR="00DD1746" w:rsidRPr="003F5767">
        <w:rPr>
          <w:bCs/>
          <w:color w:val="000000" w:themeColor="text1"/>
        </w:rPr>
        <w:t xml:space="preserve">measures to reduce </w:t>
      </w:r>
      <w:r w:rsidR="00DD1746" w:rsidRPr="00377FF6">
        <w:rPr>
          <w:bCs/>
          <w:color w:val="000000" w:themeColor="text1"/>
        </w:rPr>
        <w:t>the cost of deploying high-speed electronic communications networks</w:t>
      </w:r>
      <w:r w:rsidRPr="00DD1746">
        <w:rPr>
          <w:color w:val="000000" w:themeColor="text1"/>
        </w:rPr>
        <w:t>,</w:t>
      </w:r>
      <w:r w:rsidRPr="00541C8A">
        <w:rPr>
          <w:color w:val="000000" w:themeColor="text1"/>
        </w:rPr>
        <w:t xml:space="preserve"> hereby make the following regulations:</w:t>
      </w:r>
      <w:proofErr w:type="gramEnd"/>
    </w:p>
    <w:p w:rsidR="00326892" w:rsidRDefault="00326892" w:rsidP="00326892">
      <w:pPr>
        <w:spacing w:before="120" w:after="120" w:line="360" w:lineRule="auto"/>
      </w:pPr>
    </w:p>
    <w:p w:rsidR="005F3042" w:rsidRDefault="005F3042" w:rsidP="00326892">
      <w:pPr>
        <w:spacing w:before="120" w:after="120" w:line="360" w:lineRule="auto"/>
      </w:pPr>
    </w:p>
    <w:p w:rsidR="007A1D62" w:rsidRPr="003F5767" w:rsidRDefault="007A1D62" w:rsidP="00326892">
      <w:pPr>
        <w:spacing w:before="120" w:after="120" w:line="360" w:lineRule="auto"/>
        <w:rPr>
          <w:b/>
          <w:bCs/>
          <w:color w:val="000000" w:themeColor="text1"/>
        </w:rPr>
      </w:pPr>
      <w:r w:rsidRPr="003F5767">
        <w:rPr>
          <w:b/>
          <w:bCs/>
          <w:color w:val="000000" w:themeColor="text1"/>
        </w:rPr>
        <w:t>Citation</w:t>
      </w:r>
      <w:r w:rsidR="000415C4" w:rsidRPr="003F5767">
        <w:rPr>
          <w:b/>
          <w:bCs/>
          <w:color w:val="000000" w:themeColor="text1"/>
        </w:rPr>
        <w:t xml:space="preserve"> and </w:t>
      </w:r>
      <w:r w:rsidR="00ED38DB" w:rsidRPr="003F5767">
        <w:rPr>
          <w:b/>
          <w:bCs/>
          <w:color w:val="000000" w:themeColor="text1"/>
        </w:rPr>
        <w:t>construction</w:t>
      </w:r>
    </w:p>
    <w:p w:rsidR="00326892" w:rsidRPr="003F5767" w:rsidRDefault="00326892" w:rsidP="00326892">
      <w:pPr>
        <w:spacing w:before="120" w:after="120" w:line="360" w:lineRule="auto"/>
        <w:rPr>
          <w:color w:val="000000" w:themeColor="text1"/>
        </w:rPr>
      </w:pPr>
      <w:r w:rsidRPr="003F5767">
        <w:rPr>
          <w:color w:val="000000" w:themeColor="text1"/>
        </w:rPr>
        <w:t>1.</w:t>
      </w:r>
      <w:r w:rsidRPr="003F5767">
        <w:rPr>
          <w:color w:val="000000" w:themeColor="text1"/>
        </w:rPr>
        <w:tab/>
        <w:t>(1)</w:t>
      </w:r>
      <w:r w:rsidRPr="003F5767">
        <w:rPr>
          <w:color w:val="000000" w:themeColor="text1"/>
        </w:rPr>
        <w:tab/>
        <w:t xml:space="preserve">These </w:t>
      </w:r>
      <w:r w:rsidR="000F133D" w:rsidRPr="003F5767">
        <w:rPr>
          <w:color w:val="000000" w:themeColor="text1"/>
        </w:rPr>
        <w:t>R</w:t>
      </w:r>
      <w:r w:rsidRPr="003F5767">
        <w:rPr>
          <w:color w:val="000000" w:themeColor="text1"/>
        </w:rPr>
        <w:t>egulations may be cited as the European Union (</w:t>
      </w:r>
      <w:r w:rsidR="00DD1746" w:rsidRPr="003F5767">
        <w:rPr>
          <w:color w:val="000000" w:themeColor="text1"/>
        </w:rPr>
        <w:t>In-Building Physical Infrastructure for High-Speed Electronic Communications</w:t>
      </w:r>
      <w:r w:rsidRPr="003F5767">
        <w:rPr>
          <w:color w:val="000000" w:themeColor="text1"/>
        </w:rPr>
        <w:t>) Regulations 202</w:t>
      </w:r>
      <w:r w:rsidR="00E85892">
        <w:rPr>
          <w:color w:val="000000" w:themeColor="text1"/>
        </w:rPr>
        <w:t>3</w:t>
      </w:r>
      <w:r w:rsidRPr="003F5767">
        <w:rPr>
          <w:color w:val="000000" w:themeColor="text1"/>
        </w:rPr>
        <w:t>.</w:t>
      </w:r>
    </w:p>
    <w:p w:rsidR="008B070F" w:rsidRPr="00AF5E6B" w:rsidRDefault="008B070F" w:rsidP="00326892">
      <w:pPr>
        <w:spacing w:before="120" w:after="120" w:line="360" w:lineRule="auto"/>
        <w:rPr>
          <w:color w:val="000000" w:themeColor="text1"/>
        </w:rPr>
      </w:pPr>
    </w:p>
    <w:p w:rsidR="008B070F" w:rsidRPr="00AF5E6B" w:rsidRDefault="00326892" w:rsidP="00326892">
      <w:pPr>
        <w:spacing w:before="120" w:after="120" w:line="360" w:lineRule="auto"/>
        <w:rPr>
          <w:color w:val="000000" w:themeColor="text1"/>
        </w:rPr>
      </w:pPr>
      <w:r w:rsidRPr="00AF5E6B">
        <w:rPr>
          <w:color w:val="000000" w:themeColor="text1"/>
        </w:rPr>
        <w:tab/>
        <w:t>(2)</w:t>
      </w:r>
      <w:r w:rsidRPr="00AF5E6B">
        <w:rPr>
          <w:color w:val="000000" w:themeColor="text1"/>
        </w:rPr>
        <w:tab/>
      </w:r>
      <w:r w:rsidR="00E85892" w:rsidRPr="00AF5E6B">
        <w:rPr>
          <w:color w:val="000000" w:themeColor="text1"/>
        </w:rPr>
        <w:t xml:space="preserve">The Building Regulations 1997 to 2022 and these Regulations </w:t>
      </w:r>
      <w:proofErr w:type="gramStart"/>
      <w:r w:rsidR="00E85892" w:rsidRPr="00AF5E6B">
        <w:rPr>
          <w:color w:val="000000" w:themeColor="text1"/>
        </w:rPr>
        <w:t>may be cited</w:t>
      </w:r>
      <w:proofErr w:type="gramEnd"/>
      <w:r w:rsidR="00E85892" w:rsidRPr="00AF5E6B">
        <w:rPr>
          <w:color w:val="000000" w:themeColor="text1"/>
        </w:rPr>
        <w:t xml:space="preserve"> together as the Building Regulations 1997 to 2023 and shall be construed together as one</w:t>
      </w:r>
      <w:r w:rsidR="00263227" w:rsidRPr="00AF5E6B">
        <w:rPr>
          <w:color w:val="000000" w:themeColor="text1"/>
        </w:rPr>
        <w:t>.</w:t>
      </w:r>
    </w:p>
    <w:p w:rsidR="00326892" w:rsidRPr="003F5767" w:rsidRDefault="00326892" w:rsidP="00326892">
      <w:pPr>
        <w:spacing w:before="120" w:after="120" w:line="360" w:lineRule="auto"/>
        <w:rPr>
          <w:color w:val="000000" w:themeColor="text1"/>
        </w:rPr>
      </w:pPr>
    </w:p>
    <w:p w:rsidR="00890656" w:rsidRPr="003F5767" w:rsidRDefault="00890656" w:rsidP="00326892">
      <w:pPr>
        <w:spacing w:before="120" w:after="120" w:line="360" w:lineRule="auto"/>
        <w:rPr>
          <w:color w:val="000000" w:themeColor="text1"/>
        </w:rPr>
      </w:pPr>
    </w:p>
    <w:p w:rsidR="007A1D62" w:rsidRPr="003F5767" w:rsidRDefault="00890656" w:rsidP="00326892">
      <w:pPr>
        <w:spacing w:before="120" w:after="120" w:line="360" w:lineRule="auto"/>
        <w:rPr>
          <w:b/>
          <w:bCs/>
          <w:color w:val="000000" w:themeColor="text1"/>
        </w:rPr>
      </w:pPr>
      <w:r w:rsidRPr="003F5767">
        <w:rPr>
          <w:b/>
          <w:bCs/>
          <w:color w:val="000000" w:themeColor="text1"/>
        </w:rPr>
        <w:t>Interpretation</w:t>
      </w:r>
    </w:p>
    <w:p w:rsidR="007A1D62" w:rsidRPr="003F5767" w:rsidRDefault="007A1D62" w:rsidP="007A1D62">
      <w:pPr>
        <w:spacing w:before="120" w:after="120" w:line="360" w:lineRule="auto"/>
        <w:rPr>
          <w:color w:val="000000" w:themeColor="text1"/>
        </w:rPr>
      </w:pPr>
      <w:r w:rsidRPr="003F5767">
        <w:rPr>
          <w:color w:val="000000" w:themeColor="text1"/>
        </w:rPr>
        <w:t>2.</w:t>
      </w:r>
      <w:r w:rsidRPr="003F5767">
        <w:rPr>
          <w:color w:val="000000" w:themeColor="text1"/>
        </w:rPr>
        <w:tab/>
      </w:r>
      <w:r w:rsidR="00430AAE" w:rsidRPr="003F5767">
        <w:rPr>
          <w:color w:val="000000" w:themeColor="text1"/>
        </w:rPr>
        <w:t>(1)</w:t>
      </w:r>
      <w:r w:rsidR="00430AAE" w:rsidRPr="003F5767">
        <w:rPr>
          <w:color w:val="000000" w:themeColor="text1"/>
        </w:rPr>
        <w:tab/>
      </w:r>
      <w:r w:rsidRPr="003F5767">
        <w:rPr>
          <w:color w:val="000000" w:themeColor="text1"/>
        </w:rPr>
        <w:t>In these Regulations –</w:t>
      </w:r>
    </w:p>
    <w:p w:rsidR="007A1D62" w:rsidRPr="00AF5E6B" w:rsidRDefault="007A1D62" w:rsidP="007A1D62">
      <w:pPr>
        <w:spacing w:before="120" w:after="120" w:line="360" w:lineRule="auto"/>
        <w:rPr>
          <w:color w:val="000000" w:themeColor="text1"/>
        </w:rPr>
      </w:pPr>
    </w:p>
    <w:p w:rsidR="00E85892" w:rsidRPr="00BF52E7" w:rsidRDefault="00E85892" w:rsidP="007A1D62">
      <w:pPr>
        <w:spacing w:before="120" w:after="120" w:line="360" w:lineRule="auto"/>
        <w:rPr>
          <w:color w:val="000000" w:themeColor="text1"/>
        </w:rPr>
      </w:pPr>
      <w:r w:rsidRPr="00BF52E7">
        <w:rPr>
          <w:color w:val="000000" w:themeColor="text1"/>
          <w:shd w:val="clear" w:color="auto" w:fill="FFFFFF"/>
        </w:rPr>
        <w:t>“access point” means a physical point, located inside or outside the building, accessible to undertakings providing or authorised to provide public communications networks, where connection to the high-speed-ready in-building physical infrastructure is made available;</w:t>
      </w:r>
    </w:p>
    <w:p w:rsidR="00E85892" w:rsidRPr="003F5767" w:rsidRDefault="00E85892" w:rsidP="007A1D62">
      <w:pPr>
        <w:spacing w:before="120" w:after="120" w:line="360" w:lineRule="auto"/>
        <w:rPr>
          <w:color w:val="000000" w:themeColor="text1"/>
        </w:rPr>
      </w:pPr>
    </w:p>
    <w:p w:rsidR="003972FC" w:rsidRDefault="003972FC" w:rsidP="0031193E">
      <w:pPr>
        <w:spacing w:before="120" w:after="120" w:line="360" w:lineRule="auto"/>
        <w:rPr>
          <w:color w:val="000000" w:themeColor="text1"/>
        </w:rPr>
      </w:pPr>
      <w:r w:rsidRPr="001D0C0C">
        <w:rPr>
          <w:color w:val="000000" w:themeColor="text1"/>
        </w:rPr>
        <w:t>“Act of 1990” means the Building Control Act 1990 (No. 3 of 1990)</w:t>
      </w:r>
      <w:r w:rsidR="008B3160">
        <w:rPr>
          <w:color w:val="000000" w:themeColor="text1"/>
        </w:rPr>
        <w:t>;</w:t>
      </w:r>
    </w:p>
    <w:p w:rsidR="00F42399" w:rsidRPr="001D0C0C" w:rsidRDefault="00F42399" w:rsidP="0031193E">
      <w:pPr>
        <w:spacing w:before="120" w:after="120" w:line="360" w:lineRule="auto"/>
        <w:rPr>
          <w:color w:val="000000" w:themeColor="text1"/>
        </w:rPr>
      </w:pPr>
    </w:p>
    <w:p w:rsidR="00AA7768" w:rsidRPr="00AF5E6B" w:rsidRDefault="00AA7768" w:rsidP="00AA7768">
      <w:pPr>
        <w:spacing w:line="360" w:lineRule="auto"/>
        <w:rPr>
          <w:color w:val="000000" w:themeColor="text1"/>
        </w:rPr>
      </w:pPr>
    </w:p>
    <w:p w:rsidR="00AA7768" w:rsidRPr="00AF5E6B" w:rsidRDefault="00AA7768" w:rsidP="00AA7768">
      <w:pPr>
        <w:spacing w:line="360" w:lineRule="auto"/>
        <w:rPr>
          <w:color w:val="000000" w:themeColor="text1"/>
        </w:rPr>
      </w:pPr>
      <w:r w:rsidRPr="00AF5E6B">
        <w:rPr>
          <w:color w:val="000000" w:themeColor="text1"/>
        </w:rPr>
        <w:t>“</w:t>
      </w:r>
      <w:proofErr w:type="gramStart"/>
      <w:r w:rsidRPr="00AF5E6B">
        <w:rPr>
          <w:color w:val="000000" w:themeColor="text1"/>
        </w:rPr>
        <w:t>permit</w:t>
      </w:r>
      <w:proofErr w:type="gramEnd"/>
      <w:r w:rsidRPr="00AF5E6B">
        <w:rPr>
          <w:color w:val="000000" w:themeColor="text1"/>
        </w:rPr>
        <w:t>” means an explicit or implicit decision of a competent authority following any procedure under which an undertaking is required to take steps in order to legally carry out building or civil engineering works;</w:t>
      </w:r>
    </w:p>
    <w:p w:rsidR="00AA7768" w:rsidRPr="00AF5E6B" w:rsidRDefault="00AA7768" w:rsidP="00FF29F8">
      <w:pPr>
        <w:spacing w:line="480" w:lineRule="auto"/>
        <w:rPr>
          <w:color w:val="000000" w:themeColor="text1"/>
        </w:rPr>
      </w:pPr>
    </w:p>
    <w:p w:rsidR="00FF29F8" w:rsidRPr="00AF5E6B" w:rsidRDefault="00FF29F8" w:rsidP="00FF29F8">
      <w:pPr>
        <w:spacing w:line="480" w:lineRule="auto"/>
        <w:rPr>
          <w:color w:val="000000" w:themeColor="text1"/>
        </w:rPr>
      </w:pPr>
      <w:r w:rsidRPr="00AF5E6B">
        <w:rPr>
          <w:color w:val="000000" w:themeColor="text1"/>
        </w:rPr>
        <w:t>“Directive” means Directive (EU) 2014/61 of the European Parliament and of the Council of 15 May 2014</w:t>
      </w:r>
      <w:r w:rsidRPr="00AF5E6B">
        <w:rPr>
          <w:color w:val="000000" w:themeColor="text1"/>
          <w:vertAlign w:val="superscript"/>
        </w:rPr>
        <w:t>1</w:t>
      </w:r>
      <w:r w:rsidRPr="00AF5E6B">
        <w:rPr>
          <w:color w:val="000000" w:themeColor="text1"/>
        </w:rPr>
        <w:t xml:space="preserve"> </w:t>
      </w:r>
      <w:r w:rsidRPr="00AF5E6B">
        <w:rPr>
          <w:color w:val="000000" w:themeColor="text1"/>
          <w:shd w:val="clear" w:color="auto" w:fill="FFFFFF"/>
        </w:rPr>
        <w:t>on measures to reduce the cost of deploying high-speed electronic communications networks</w:t>
      </w:r>
      <w:proofErr w:type="gramStart"/>
      <w:r w:rsidRPr="00AF5E6B">
        <w:rPr>
          <w:color w:val="000000" w:themeColor="text1"/>
          <w:shd w:val="clear" w:color="auto" w:fill="FFFFFF"/>
        </w:rPr>
        <w:t>;</w:t>
      </w:r>
      <w:proofErr w:type="gramEnd"/>
    </w:p>
    <w:p w:rsidR="00FF29F8" w:rsidRPr="00F42399" w:rsidRDefault="00FF29F8" w:rsidP="00F42399">
      <w:pPr>
        <w:spacing w:line="360" w:lineRule="auto"/>
        <w:rPr>
          <w:color w:val="000000" w:themeColor="text1"/>
        </w:rPr>
      </w:pPr>
    </w:p>
    <w:p w:rsidR="00F42399" w:rsidRPr="00F42399" w:rsidRDefault="00F42399" w:rsidP="00F42399">
      <w:pPr>
        <w:spacing w:line="360" w:lineRule="auto"/>
        <w:rPr>
          <w:color w:val="000000" w:themeColor="text1"/>
        </w:rPr>
      </w:pPr>
      <w:r w:rsidRPr="00F42399">
        <w:rPr>
          <w:color w:val="000000" w:themeColor="text1"/>
        </w:rPr>
        <w:t>“</w:t>
      </w:r>
      <w:proofErr w:type="gramStart"/>
      <w:r w:rsidRPr="00F42399">
        <w:rPr>
          <w:color w:val="000000" w:themeColor="text1"/>
        </w:rPr>
        <w:t>end-user</w:t>
      </w:r>
      <w:proofErr w:type="gramEnd"/>
      <w:r w:rsidRPr="00F42399">
        <w:rPr>
          <w:color w:val="000000" w:themeColor="text1"/>
        </w:rPr>
        <w:t>” means a user not providing public communications networks or publicly available electronic communications services;</w:t>
      </w:r>
    </w:p>
    <w:p w:rsidR="00F42399" w:rsidRPr="00F42399" w:rsidRDefault="00F42399" w:rsidP="00F42399">
      <w:pPr>
        <w:spacing w:line="360" w:lineRule="auto"/>
        <w:rPr>
          <w:color w:val="000000" w:themeColor="text1"/>
        </w:rPr>
      </w:pPr>
    </w:p>
    <w:p w:rsidR="00F42399" w:rsidRDefault="00F42399" w:rsidP="00F42399">
      <w:pPr>
        <w:spacing w:line="360" w:lineRule="auto"/>
        <w:rPr>
          <w:color w:val="000000" w:themeColor="text1"/>
        </w:rPr>
      </w:pPr>
      <w:r w:rsidRPr="00F42399">
        <w:rPr>
          <w:color w:val="000000" w:themeColor="text1"/>
        </w:rPr>
        <w:t>“high-speed electronic communications network” means an electronic communications network which is capable of delivering broadband access services at speeds of not less than 30 Mbps;</w:t>
      </w:r>
    </w:p>
    <w:p w:rsidR="00F42399" w:rsidRPr="00F42399" w:rsidRDefault="00F42399" w:rsidP="00F42399">
      <w:pPr>
        <w:spacing w:line="360" w:lineRule="auto"/>
        <w:rPr>
          <w:color w:val="000000" w:themeColor="text1"/>
        </w:rPr>
      </w:pPr>
    </w:p>
    <w:p w:rsidR="00F42399" w:rsidRPr="00F42399" w:rsidRDefault="00F42399" w:rsidP="00F42399">
      <w:pPr>
        <w:spacing w:line="360" w:lineRule="auto"/>
        <w:rPr>
          <w:color w:val="000000" w:themeColor="text1"/>
        </w:rPr>
      </w:pPr>
      <w:r w:rsidRPr="00F42399">
        <w:rPr>
          <w:color w:val="000000" w:themeColor="text1"/>
        </w:rPr>
        <w:t>“high-speed-ready in-building physical infrastructure” means in-building physical infrastructure intended to host elements, or enable delivery, of high-speed electronic communications networks</w:t>
      </w:r>
      <w:proofErr w:type="gramStart"/>
      <w:r w:rsidRPr="00F42399">
        <w:rPr>
          <w:color w:val="000000" w:themeColor="text1"/>
        </w:rPr>
        <w:t>;</w:t>
      </w:r>
      <w:proofErr w:type="gramEnd"/>
    </w:p>
    <w:p w:rsidR="00F42399" w:rsidRPr="00F42399" w:rsidRDefault="00F42399" w:rsidP="00F42399">
      <w:pPr>
        <w:spacing w:line="360" w:lineRule="auto"/>
        <w:rPr>
          <w:color w:val="000000" w:themeColor="text1"/>
        </w:rPr>
      </w:pPr>
    </w:p>
    <w:p w:rsidR="00F42399" w:rsidRPr="00F42399" w:rsidRDefault="00F42399" w:rsidP="00F42399">
      <w:pPr>
        <w:spacing w:line="360" w:lineRule="auto"/>
        <w:rPr>
          <w:color w:val="000000" w:themeColor="text1"/>
        </w:rPr>
      </w:pPr>
      <w:r w:rsidRPr="00F42399">
        <w:rPr>
          <w:color w:val="000000" w:themeColor="text1"/>
        </w:rPr>
        <w:t>“in-building physical infrastructure” means physical infrastructure or installations at the end-user’s location, including elements under joint ownership, intended to host either or both wired and wireless access networks where such access networks are capable of delivering electronic communications services and connecting the building access point with the network termination point;</w:t>
      </w:r>
    </w:p>
    <w:p w:rsidR="00482146" w:rsidRDefault="00482146" w:rsidP="00F42399">
      <w:pPr>
        <w:spacing w:line="360" w:lineRule="auto"/>
        <w:rPr>
          <w:color w:val="000000" w:themeColor="text1"/>
        </w:rPr>
      </w:pPr>
    </w:p>
    <w:p w:rsidR="005C0832" w:rsidRPr="00AF5E6B" w:rsidRDefault="005C0832" w:rsidP="00F42399">
      <w:pPr>
        <w:spacing w:line="360" w:lineRule="auto"/>
        <w:rPr>
          <w:color w:val="000000" w:themeColor="text1"/>
        </w:rPr>
      </w:pPr>
      <w:r w:rsidRPr="00AF5E6B">
        <w:rPr>
          <w:color w:val="000000" w:themeColor="text1"/>
          <w:shd w:val="clear" w:color="auto" w:fill="FFFFFF"/>
        </w:rPr>
        <w:t>“</w:t>
      </w:r>
      <w:proofErr w:type="gramStart"/>
      <w:r w:rsidRPr="00AF5E6B">
        <w:rPr>
          <w:color w:val="000000" w:themeColor="text1"/>
          <w:shd w:val="clear" w:color="auto" w:fill="FFFFFF"/>
        </w:rPr>
        <w:t>major</w:t>
      </w:r>
      <w:proofErr w:type="gramEnd"/>
      <w:r w:rsidRPr="00AF5E6B">
        <w:rPr>
          <w:color w:val="000000" w:themeColor="text1"/>
          <w:shd w:val="clear" w:color="auto" w:fill="FFFFFF"/>
        </w:rPr>
        <w:t xml:space="preserve"> renovation works” means building or civil engineering works at the end user's location encompassing structural modifications of the entire in-building physical infrastructure or a significant part thereof, and requiring a building permit;</w:t>
      </w:r>
      <w:r w:rsidR="00BD33CA" w:rsidRPr="00AF5E6B">
        <w:rPr>
          <w:rStyle w:val="FootnoteReference"/>
          <w:color w:val="000000" w:themeColor="text1"/>
        </w:rPr>
        <w:t xml:space="preserve"> </w:t>
      </w:r>
    </w:p>
    <w:p w:rsidR="00AA7768" w:rsidRDefault="00AA7768" w:rsidP="00F42399">
      <w:pPr>
        <w:spacing w:line="360" w:lineRule="auto"/>
        <w:rPr>
          <w:color w:val="000000" w:themeColor="text1"/>
        </w:rPr>
      </w:pPr>
    </w:p>
    <w:p w:rsidR="00F42399" w:rsidRPr="00541C8A" w:rsidRDefault="00F42399" w:rsidP="00F42399">
      <w:pPr>
        <w:spacing w:before="120" w:after="120" w:line="360" w:lineRule="auto"/>
        <w:rPr>
          <w:color w:val="000000" w:themeColor="text1"/>
        </w:rPr>
      </w:pPr>
      <w:r>
        <w:rPr>
          <w:color w:val="000000" w:themeColor="text1"/>
        </w:rPr>
        <w:t xml:space="preserve">“Minister” means the </w:t>
      </w:r>
      <w:r w:rsidRPr="00541C8A">
        <w:rPr>
          <w:color w:val="000000" w:themeColor="text1"/>
        </w:rPr>
        <w:t>Minister for Housing, Local Government and Heritage</w:t>
      </w:r>
      <w:proofErr w:type="gramStart"/>
      <w:r>
        <w:rPr>
          <w:color w:val="000000" w:themeColor="text1"/>
        </w:rPr>
        <w:t>;</w:t>
      </w:r>
      <w:proofErr w:type="gramEnd"/>
    </w:p>
    <w:p w:rsidR="00F42399" w:rsidRPr="00F42399" w:rsidRDefault="00F42399" w:rsidP="00F42399">
      <w:pPr>
        <w:spacing w:line="360" w:lineRule="auto"/>
        <w:rPr>
          <w:color w:val="000000" w:themeColor="text1"/>
        </w:rPr>
      </w:pPr>
    </w:p>
    <w:p w:rsidR="00F42399" w:rsidRPr="00AF5E6B" w:rsidRDefault="00F42399" w:rsidP="00F42399">
      <w:pPr>
        <w:spacing w:line="360" w:lineRule="auto"/>
        <w:rPr>
          <w:color w:val="000000" w:themeColor="text1"/>
        </w:rPr>
      </w:pPr>
      <w:r w:rsidRPr="00AF5E6B">
        <w:rPr>
          <w:color w:val="000000" w:themeColor="text1"/>
        </w:rPr>
        <w:t xml:space="preserve">“network termination point” means the physical point at which </w:t>
      </w:r>
      <w:r w:rsidR="0078099E" w:rsidRPr="00AF5E6B">
        <w:rPr>
          <w:color w:val="000000" w:themeColor="text1"/>
        </w:rPr>
        <w:t>an end-user</w:t>
      </w:r>
      <w:r w:rsidRPr="00AF5E6B">
        <w:rPr>
          <w:color w:val="000000" w:themeColor="text1"/>
        </w:rPr>
        <w:t xml:space="preserve"> is provided with access to a public </w:t>
      </w:r>
      <w:r w:rsidR="00AF5E6B" w:rsidRPr="00AF5E6B">
        <w:rPr>
          <w:color w:val="000000" w:themeColor="text1"/>
        </w:rPr>
        <w:t xml:space="preserve">electronic </w:t>
      </w:r>
      <w:r w:rsidRPr="00AF5E6B">
        <w:rPr>
          <w:color w:val="000000" w:themeColor="text1"/>
        </w:rPr>
        <w:t>communications network</w:t>
      </w:r>
      <w:r w:rsidR="0078099E" w:rsidRPr="00AF5E6B">
        <w:rPr>
          <w:color w:val="000000" w:themeColor="text1"/>
        </w:rPr>
        <w:t>, and which,</w:t>
      </w:r>
      <w:r w:rsidRPr="00AF5E6B">
        <w:rPr>
          <w:color w:val="000000" w:themeColor="text1"/>
        </w:rPr>
        <w:t xml:space="preserve"> in the case of networks involving switching or routing, is identified by means of a specific network address, which may be linked to a</w:t>
      </w:r>
      <w:r w:rsidR="0078099E" w:rsidRPr="00AF5E6B">
        <w:rPr>
          <w:color w:val="000000" w:themeColor="text1"/>
        </w:rPr>
        <w:t xml:space="preserve">n end-user’s </w:t>
      </w:r>
      <w:r w:rsidRPr="00AF5E6B">
        <w:rPr>
          <w:color w:val="000000" w:themeColor="text1"/>
        </w:rPr>
        <w:t>number or name;</w:t>
      </w:r>
    </w:p>
    <w:p w:rsidR="0078099E" w:rsidRDefault="0078099E" w:rsidP="00F42399">
      <w:pPr>
        <w:spacing w:line="360" w:lineRule="auto"/>
        <w:rPr>
          <w:color w:val="000000" w:themeColor="text1"/>
        </w:rPr>
      </w:pPr>
    </w:p>
    <w:p w:rsidR="00482146" w:rsidRDefault="00482146" w:rsidP="00717571">
      <w:pPr>
        <w:spacing w:line="360" w:lineRule="auto"/>
        <w:rPr>
          <w:color w:val="000000" w:themeColor="text1"/>
        </w:rPr>
      </w:pPr>
      <w:r>
        <w:rPr>
          <w:color w:val="000000" w:themeColor="text1"/>
        </w:rPr>
        <w:t>“</w:t>
      </w:r>
      <w:proofErr w:type="gramStart"/>
      <w:r>
        <w:rPr>
          <w:color w:val="000000" w:themeColor="text1"/>
        </w:rPr>
        <w:t>notice</w:t>
      </w:r>
      <w:proofErr w:type="gramEnd"/>
      <w:r>
        <w:rPr>
          <w:color w:val="000000" w:themeColor="text1"/>
        </w:rPr>
        <w:t>” means –</w:t>
      </w:r>
    </w:p>
    <w:p w:rsidR="00482146" w:rsidRDefault="00482146" w:rsidP="00717571">
      <w:pPr>
        <w:spacing w:line="360" w:lineRule="auto"/>
        <w:rPr>
          <w:color w:val="000000" w:themeColor="text1"/>
        </w:rPr>
      </w:pPr>
    </w:p>
    <w:p w:rsidR="00482146" w:rsidRDefault="00482146" w:rsidP="00717571">
      <w:pPr>
        <w:pStyle w:val="ListParagraph"/>
        <w:numPr>
          <w:ilvl w:val="0"/>
          <w:numId w:val="20"/>
        </w:numPr>
        <w:spacing w:line="360" w:lineRule="auto"/>
        <w:ind w:left="2127" w:hanging="709"/>
        <w:rPr>
          <w:color w:val="000000" w:themeColor="text1"/>
        </w:rPr>
      </w:pPr>
      <w:r>
        <w:rPr>
          <w:color w:val="000000" w:themeColor="text1"/>
        </w:rPr>
        <w:t>a notice referred to in section 6(2)(k), or</w:t>
      </w:r>
    </w:p>
    <w:p w:rsidR="00482146" w:rsidRDefault="00482146" w:rsidP="00717571">
      <w:pPr>
        <w:pStyle w:val="ListParagraph"/>
        <w:spacing w:line="360" w:lineRule="auto"/>
        <w:ind w:left="2127" w:hanging="709"/>
        <w:rPr>
          <w:color w:val="000000" w:themeColor="text1"/>
        </w:rPr>
      </w:pPr>
    </w:p>
    <w:p w:rsidR="00482146" w:rsidRDefault="00482146" w:rsidP="00717571">
      <w:pPr>
        <w:pStyle w:val="ListParagraph"/>
        <w:numPr>
          <w:ilvl w:val="0"/>
          <w:numId w:val="20"/>
        </w:numPr>
        <w:spacing w:line="360" w:lineRule="auto"/>
        <w:ind w:left="2127" w:hanging="709"/>
        <w:rPr>
          <w:color w:val="000000" w:themeColor="text1"/>
        </w:rPr>
      </w:pPr>
      <w:r>
        <w:rPr>
          <w:color w:val="000000" w:themeColor="text1"/>
        </w:rPr>
        <w:t>a 7-day notice statutory declaration with the meaning of section 6(2)(a)(v),</w:t>
      </w:r>
    </w:p>
    <w:p w:rsidR="00482146" w:rsidRDefault="00482146" w:rsidP="00717571">
      <w:pPr>
        <w:spacing w:line="360" w:lineRule="auto"/>
        <w:rPr>
          <w:color w:val="000000" w:themeColor="text1"/>
        </w:rPr>
      </w:pPr>
    </w:p>
    <w:p w:rsidR="00482146" w:rsidRPr="00482146" w:rsidRDefault="00482146" w:rsidP="00717571">
      <w:pPr>
        <w:spacing w:line="360" w:lineRule="auto"/>
        <w:rPr>
          <w:color w:val="000000" w:themeColor="text1"/>
        </w:rPr>
      </w:pPr>
      <w:proofErr w:type="gramStart"/>
      <w:r>
        <w:rPr>
          <w:color w:val="000000" w:themeColor="text1"/>
        </w:rPr>
        <w:t>of</w:t>
      </w:r>
      <w:proofErr w:type="gramEnd"/>
      <w:r>
        <w:rPr>
          <w:color w:val="000000" w:themeColor="text1"/>
        </w:rPr>
        <w:t xml:space="preserve"> the Act of 1990;</w:t>
      </w:r>
    </w:p>
    <w:p w:rsidR="00AA7768" w:rsidRPr="00F42399" w:rsidRDefault="00AA7768" w:rsidP="00F42399">
      <w:pPr>
        <w:spacing w:line="360" w:lineRule="auto"/>
        <w:rPr>
          <w:color w:val="000000" w:themeColor="text1"/>
        </w:rPr>
      </w:pPr>
    </w:p>
    <w:p w:rsidR="00F42399" w:rsidRDefault="00F42399" w:rsidP="00F42399">
      <w:pPr>
        <w:spacing w:line="360" w:lineRule="auto"/>
        <w:rPr>
          <w:color w:val="000000" w:themeColor="text1"/>
        </w:rPr>
      </w:pPr>
      <w:r w:rsidRPr="00F42399">
        <w:rPr>
          <w:color w:val="000000" w:themeColor="text1"/>
        </w:rPr>
        <w:t>“physical infrastructure” means any element of a network which is intended to host other elements of a network without becoming itself an active element of the network, such as pipes, masts, ducts, inspection chambers, manholes, cabinets, buildings or entries to buildings, antenna installations, towers and poles;</w:t>
      </w:r>
    </w:p>
    <w:p w:rsidR="00F42399" w:rsidRPr="00F42399" w:rsidRDefault="00F42399" w:rsidP="00F42399">
      <w:pPr>
        <w:spacing w:line="360" w:lineRule="auto"/>
        <w:rPr>
          <w:color w:val="000000" w:themeColor="text1"/>
        </w:rPr>
      </w:pPr>
    </w:p>
    <w:p w:rsidR="00F42399" w:rsidRPr="001831BD" w:rsidRDefault="00F42399" w:rsidP="00F42399">
      <w:pPr>
        <w:spacing w:line="360" w:lineRule="auto"/>
        <w:rPr>
          <w:color w:val="000000" w:themeColor="text1"/>
        </w:rPr>
      </w:pPr>
    </w:p>
    <w:p w:rsidR="00F42399" w:rsidRPr="00F42399" w:rsidRDefault="00F42399" w:rsidP="00F42399">
      <w:pPr>
        <w:spacing w:line="360" w:lineRule="auto"/>
        <w:rPr>
          <w:color w:val="000000" w:themeColor="text1"/>
        </w:rPr>
      </w:pPr>
    </w:p>
    <w:p w:rsidR="00F42399" w:rsidRPr="00F42399" w:rsidRDefault="00F42399" w:rsidP="00F42399">
      <w:pPr>
        <w:spacing w:line="360" w:lineRule="auto"/>
        <w:rPr>
          <w:color w:val="000000" w:themeColor="text1"/>
        </w:rPr>
      </w:pPr>
      <w:r w:rsidRPr="00F42399">
        <w:rPr>
          <w:color w:val="000000" w:themeColor="text1"/>
        </w:rPr>
        <w:t>"</w:t>
      </w:r>
      <w:proofErr w:type="gramStart"/>
      <w:r w:rsidRPr="00F42399">
        <w:rPr>
          <w:color w:val="000000" w:themeColor="text1"/>
        </w:rPr>
        <w:t>works</w:t>
      </w:r>
      <w:proofErr w:type="gramEnd"/>
      <w:r w:rsidRPr="00F42399">
        <w:rPr>
          <w:color w:val="000000" w:themeColor="text1"/>
        </w:rPr>
        <w:t>" includes any act or operation in connection with the construction, extension, alteration, repair or renewal of a building.</w:t>
      </w:r>
    </w:p>
    <w:p w:rsidR="00430AAE" w:rsidRPr="009B0149" w:rsidRDefault="00430AAE" w:rsidP="007A1D62">
      <w:pPr>
        <w:spacing w:before="120" w:after="120" w:line="360" w:lineRule="auto"/>
        <w:rPr>
          <w:color w:val="000000" w:themeColor="text1"/>
        </w:rPr>
      </w:pPr>
    </w:p>
    <w:p w:rsidR="00430AAE" w:rsidRDefault="00430AAE" w:rsidP="00430AAE">
      <w:pPr>
        <w:spacing w:before="120" w:after="120" w:line="360" w:lineRule="auto"/>
        <w:ind w:firstLine="709"/>
      </w:pPr>
      <w:r>
        <w:t>(2)</w:t>
      </w:r>
      <w:r>
        <w:tab/>
      </w:r>
      <w:r w:rsidRPr="009F2AFA">
        <w:t xml:space="preserve">A word or expression that is used in </w:t>
      </w:r>
      <w:r>
        <w:t>these Regulations</w:t>
      </w:r>
      <w:r w:rsidRPr="009F2AFA">
        <w:t xml:space="preserve"> and </w:t>
      </w:r>
      <w:r w:rsidR="00301CF4">
        <w:t xml:space="preserve">that </w:t>
      </w:r>
      <w:proofErr w:type="gramStart"/>
      <w:r w:rsidR="00301CF4">
        <w:t>is also</w:t>
      </w:r>
      <w:proofErr w:type="gramEnd"/>
      <w:r w:rsidR="00301CF4">
        <w:t xml:space="preserve"> used </w:t>
      </w:r>
      <w:r w:rsidRPr="009F2AFA">
        <w:t xml:space="preserve">in the </w:t>
      </w:r>
      <w:r>
        <w:t>Directive</w:t>
      </w:r>
      <w:r w:rsidRPr="009F2AFA">
        <w:t xml:space="preserve"> shall</w:t>
      </w:r>
      <w:r w:rsidR="00301CF4">
        <w:t>, unless the context otherwise requires,</w:t>
      </w:r>
      <w:r w:rsidRPr="009F2AFA">
        <w:t xml:space="preserve"> have the </w:t>
      </w:r>
      <w:r w:rsidR="00301CF4">
        <w:t xml:space="preserve">same </w:t>
      </w:r>
      <w:r w:rsidRPr="009F2AFA">
        <w:t xml:space="preserve">meaning in </w:t>
      </w:r>
      <w:r>
        <w:t xml:space="preserve">these Regulations </w:t>
      </w:r>
      <w:r w:rsidRPr="009F2AFA">
        <w:t>that it has in th</w:t>
      </w:r>
      <w:r>
        <w:t>e</w:t>
      </w:r>
      <w:r w:rsidRPr="009F2AFA">
        <w:t xml:space="preserve"> </w:t>
      </w:r>
      <w:r>
        <w:t>Directive</w:t>
      </w:r>
      <w:r w:rsidRPr="009F2AFA">
        <w:t>.</w:t>
      </w:r>
    </w:p>
    <w:p w:rsidR="00430AAE" w:rsidRDefault="00430AAE" w:rsidP="007A1D62">
      <w:pPr>
        <w:spacing w:before="120" w:after="120" w:line="360" w:lineRule="auto"/>
        <w:rPr>
          <w:color w:val="000000" w:themeColor="text1"/>
        </w:rPr>
      </w:pPr>
    </w:p>
    <w:p w:rsidR="00541C8A" w:rsidRPr="00541C8A" w:rsidRDefault="00541C8A" w:rsidP="007A1D62">
      <w:pPr>
        <w:spacing w:before="120" w:after="120" w:line="360" w:lineRule="auto"/>
        <w:rPr>
          <w:color w:val="000000" w:themeColor="text1"/>
        </w:rPr>
      </w:pPr>
    </w:p>
    <w:p w:rsidR="004C2E4B" w:rsidRPr="00377FF6" w:rsidRDefault="004C2E4B" w:rsidP="00E13500">
      <w:pPr>
        <w:spacing w:before="120" w:after="120" w:line="360" w:lineRule="auto"/>
        <w:rPr>
          <w:b/>
          <w:bCs/>
          <w:color w:val="000000" w:themeColor="text1"/>
        </w:rPr>
      </w:pPr>
      <w:r w:rsidRPr="00377FF6">
        <w:rPr>
          <w:b/>
          <w:bCs/>
          <w:color w:val="000000" w:themeColor="text1"/>
        </w:rPr>
        <w:t>Application</w:t>
      </w:r>
    </w:p>
    <w:p w:rsidR="004C2E4B" w:rsidRPr="00A175B0" w:rsidRDefault="004C2E4B" w:rsidP="00E13500">
      <w:pPr>
        <w:spacing w:before="120" w:after="120" w:line="360" w:lineRule="auto"/>
        <w:rPr>
          <w:bCs/>
          <w:color w:val="000000" w:themeColor="text1"/>
        </w:rPr>
      </w:pPr>
      <w:r w:rsidRPr="00377FF6">
        <w:rPr>
          <w:bCs/>
          <w:color w:val="000000" w:themeColor="text1"/>
        </w:rPr>
        <w:t xml:space="preserve">3. </w:t>
      </w:r>
      <w:r w:rsidRPr="00377FF6">
        <w:rPr>
          <w:bCs/>
          <w:color w:val="000000" w:themeColor="text1"/>
        </w:rPr>
        <w:tab/>
        <w:t>(1)</w:t>
      </w:r>
      <w:r w:rsidRPr="00A175B0">
        <w:rPr>
          <w:bCs/>
          <w:color w:val="000000" w:themeColor="text1"/>
        </w:rPr>
        <w:tab/>
      </w:r>
      <w:proofErr w:type="gramStart"/>
      <w:r w:rsidRPr="00A175B0">
        <w:rPr>
          <w:bCs/>
          <w:color w:val="000000" w:themeColor="text1"/>
        </w:rPr>
        <w:t>Where</w:t>
      </w:r>
      <w:proofErr w:type="gramEnd"/>
      <w:r w:rsidR="00477DAC" w:rsidRPr="00A175B0">
        <w:rPr>
          <w:bCs/>
          <w:color w:val="000000" w:themeColor="text1"/>
        </w:rPr>
        <w:t xml:space="preserve"> a notice </w:t>
      </w:r>
      <w:r w:rsidRPr="00A175B0">
        <w:rPr>
          <w:bCs/>
          <w:color w:val="000000" w:themeColor="text1"/>
        </w:rPr>
        <w:t xml:space="preserve">is submitted on or after the </w:t>
      </w:r>
      <w:r w:rsidR="00482146" w:rsidRPr="00A175B0">
        <w:rPr>
          <w:bCs/>
          <w:color w:val="000000" w:themeColor="text1"/>
        </w:rPr>
        <w:t xml:space="preserve">date of </w:t>
      </w:r>
      <w:r w:rsidR="00E13500" w:rsidRPr="00A175B0">
        <w:rPr>
          <w:bCs/>
          <w:color w:val="000000" w:themeColor="text1"/>
        </w:rPr>
        <w:t xml:space="preserve">the coming into operation of </w:t>
      </w:r>
      <w:r w:rsidRPr="00A175B0">
        <w:rPr>
          <w:bCs/>
          <w:color w:val="000000" w:themeColor="text1"/>
        </w:rPr>
        <w:t xml:space="preserve">these Regulations for – </w:t>
      </w:r>
    </w:p>
    <w:p w:rsidR="004C2E4B" w:rsidRPr="00377FF6" w:rsidRDefault="004C2E4B" w:rsidP="00E13500">
      <w:pPr>
        <w:spacing w:before="120" w:after="120" w:line="360" w:lineRule="auto"/>
        <w:rPr>
          <w:bCs/>
          <w:color w:val="000000" w:themeColor="text1"/>
        </w:rPr>
      </w:pPr>
    </w:p>
    <w:p w:rsidR="004C2E4B" w:rsidRPr="00377FF6" w:rsidRDefault="004C2E4B" w:rsidP="00E13500">
      <w:pPr>
        <w:spacing w:before="120" w:after="120" w:line="360" w:lineRule="auto"/>
        <w:ind w:left="2127" w:hanging="709"/>
        <w:rPr>
          <w:bCs/>
          <w:color w:val="000000" w:themeColor="text1"/>
        </w:rPr>
      </w:pPr>
      <w:r w:rsidRPr="00377FF6">
        <w:rPr>
          <w:bCs/>
          <w:color w:val="000000" w:themeColor="text1"/>
        </w:rPr>
        <w:t>(a)</w:t>
      </w:r>
      <w:r w:rsidRPr="00377FF6">
        <w:rPr>
          <w:bCs/>
          <w:color w:val="000000" w:themeColor="text1"/>
        </w:rPr>
        <w:tab/>
      </w:r>
      <w:proofErr w:type="gramStart"/>
      <w:r w:rsidRPr="00377FF6">
        <w:rPr>
          <w:bCs/>
          <w:color w:val="000000" w:themeColor="text1"/>
        </w:rPr>
        <w:t>a</w:t>
      </w:r>
      <w:proofErr w:type="gramEnd"/>
      <w:r w:rsidRPr="00377FF6">
        <w:rPr>
          <w:bCs/>
          <w:color w:val="000000" w:themeColor="text1"/>
        </w:rPr>
        <w:t xml:space="preserve"> building which is to be newly constructed, or</w:t>
      </w:r>
    </w:p>
    <w:p w:rsidR="004C2E4B" w:rsidRPr="00377FF6" w:rsidRDefault="004C2E4B" w:rsidP="00E13500">
      <w:pPr>
        <w:spacing w:before="120" w:after="120" w:line="360" w:lineRule="auto"/>
        <w:ind w:left="2127" w:hanging="709"/>
        <w:rPr>
          <w:bCs/>
          <w:color w:val="000000" w:themeColor="text1"/>
        </w:rPr>
      </w:pPr>
    </w:p>
    <w:p w:rsidR="004C2E4B" w:rsidRPr="00377FF6" w:rsidRDefault="004C2E4B" w:rsidP="00E13500">
      <w:pPr>
        <w:spacing w:before="120" w:after="120" w:line="360" w:lineRule="auto"/>
        <w:ind w:left="2127" w:hanging="709"/>
        <w:rPr>
          <w:bCs/>
          <w:color w:val="000000" w:themeColor="text1"/>
        </w:rPr>
      </w:pPr>
      <w:r w:rsidRPr="00377FF6">
        <w:rPr>
          <w:bCs/>
          <w:color w:val="000000" w:themeColor="text1"/>
        </w:rPr>
        <w:t>(b)</w:t>
      </w:r>
      <w:r w:rsidRPr="00377FF6">
        <w:rPr>
          <w:bCs/>
          <w:color w:val="000000" w:themeColor="text1"/>
        </w:rPr>
        <w:tab/>
      </w:r>
      <w:proofErr w:type="gramStart"/>
      <w:r w:rsidRPr="00377FF6">
        <w:rPr>
          <w:bCs/>
          <w:color w:val="000000" w:themeColor="text1"/>
        </w:rPr>
        <w:t>a</w:t>
      </w:r>
      <w:proofErr w:type="gramEnd"/>
      <w:r w:rsidRPr="00377FF6">
        <w:rPr>
          <w:bCs/>
          <w:color w:val="000000" w:themeColor="text1"/>
        </w:rPr>
        <w:t xml:space="preserve"> building on which</w:t>
      </w:r>
      <w:r w:rsidR="008907EF" w:rsidRPr="00011E2C">
        <w:rPr>
          <w:bCs/>
          <w:color w:val="FF0000"/>
        </w:rPr>
        <w:t xml:space="preserve"> </w:t>
      </w:r>
      <w:r w:rsidRPr="00377FF6">
        <w:rPr>
          <w:bCs/>
          <w:color w:val="000000" w:themeColor="text1"/>
        </w:rPr>
        <w:t>major renovation works are to be carried out,</w:t>
      </w:r>
    </w:p>
    <w:p w:rsidR="004C2E4B" w:rsidRPr="00377FF6" w:rsidRDefault="004C2E4B" w:rsidP="00E13500">
      <w:pPr>
        <w:spacing w:before="120" w:after="120" w:line="360" w:lineRule="auto"/>
        <w:rPr>
          <w:bCs/>
          <w:color w:val="000000" w:themeColor="text1"/>
        </w:rPr>
      </w:pPr>
    </w:p>
    <w:p w:rsidR="004C2E4B" w:rsidRPr="001831BD" w:rsidRDefault="004C2E4B" w:rsidP="00E13500">
      <w:pPr>
        <w:spacing w:before="120" w:after="120" w:line="360" w:lineRule="auto"/>
        <w:rPr>
          <w:bCs/>
          <w:color w:val="000000" w:themeColor="text1"/>
        </w:rPr>
      </w:pPr>
      <w:proofErr w:type="gramStart"/>
      <w:r w:rsidRPr="001831BD">
        <w:rPr>
          <w:bCs/>
          <w:color w:val="000000" w:themeColor="text1"/>
        </w:rPr>
        <w:t>including</w:t>
      </w:r>
      <w:proofErr w:type="gramEnd"/>
      <w:r w:rsidRPr="001831BD">
        <w:rPr>
          <w:bCs/>
          <w:color w:val="000000" w:themeColor="text1"/>
        </w:rPr>
        <w:t xml:space="preserve"> where elements of a building referred to in </w:t>
      </w:r>
      <w:r w:rsidR="00482146" w:rsidRPr="001831BD">
        <w:rPr>
          <w:bCs/>
          <w:color w:val="000000" w:themeColor="text1"/>
        </w:rPr>
        <w:t>sub</w:t>
      </w:r>
      <w:r w:rsidRPr="001831BD">
        <w:rPr>
          <w:bCs/>
          <w:color w:val="000000" w:themeColor="text1"/>
        </w:rPr>
        <w:t>paragraph (a) or (b) are under joint ownership, works shall be carried out in such a way so as to ensure that a building is equipped with a high-speed</w:t>
      </w:r>
      <w:r w:rsidR="00A175B0" w:rsidRPr="001831BD">
        <w:rPr>
          <w:bCs/>
          <w:color w:val="000000" w:themeColor="text1"/>
        </w:rPr>
        <w:t>-</w:t>
      </w:r>
      <w:r w:rsidRPr="001831BD">
        <w:rPr>
          <w:bCs/>
          <w:color w:val="000000" w:themeColor="text1"/>
        </w:rPr>
        <w:t>ready</w:t>
      </w:r>
      <w:r w:rsidR="00A175B0" w:rsidRPr="001831BD">
        <w:rPr>
          <w:bCs/>
          <w:color w:val="000000" w:themeColor="text1"/>
        </w:rPr>
        <w:t xml:space="preserve"> </w:t>
      </w:r>
      <w:r w:rsidRPr="001831BD">
        <w:rPr>
          <w:bCs/>
          <w:color w:val="000000" w:themeColor="text1"/>
        </w:rPr>
        <w:t xml:space="preserve">in-building physical infrastructure up to a </w:t>
      </w:r>
      <w:r w:rsidR="00A175B0" w:rsidRPr="001831BD">
        <w:rPr>
          <w:bCs/>
          <w:color w:val="000000" w:themeColor="text1"/>
        </w:rPr>
        <w:t>network termination point</w:t>
      </w:r>
      <w:r w:rsidRPr="001831BD">
        <w:rPr>
          <w:bCs/>
          <w:color w:val="000000" w:themeColor="text1"/>
        </w:rPr>
        <w:t>.</w:t>
      </w:r>
    </w:p>
    <w:p w:rsidR="00B334CD" w:rsidRPr="00377FF6" w:rsidRDefault="00B334CD" w:rsidP="004C2E4B">
      <w:pPr>
        <w:spacing w:before="120" w:after="120" w:line="360" w:lineRule="auto"/>
        <w:rPr>
          <w:bCs/>
          <w:color w:val="000000" w:themeColor="text1"/>
        </w:rPr>
      </w:pPr>
    </w:p>
    <w:p w:rsidR="00567D27" w:rsidRPr="00A175B0" w:rsidRDefault="004C2E4B" w:rsidP="00567D27">
      <w:pPr>
        <w:spacing w:before="120" w:after="120" w:line="360" w:lineRule="auto"/>
        <w:rPr>
          <w:color w:val="000000" w:themeColor="text1"/>
        </w:rPr>
      </w:pPr>
      <w:r w:rsidRPr="004C2E4B">
        <w:rPr>
          <w:lang w:val="ga-IE"/>
        </w:rPr>
        <w:t xml:space="preserve"> </w:t>
      </w:r>
      <w:r w:rsidR="00567D27" w:rsidRPr="00567D27">
        <w:tab/>
        <w:t>(2)</w:t>
      </w:r>
      <w:r w:rsidR="00567D27" w:rsidRPr="00567D27">
        <w:tab/>
      </w:r>
      <w:r w:rsidR="00567D27" w:rsidRPr="00A175B0">
        <w:rPr>
          <w:color w:val="000000" w:themeColor="text1"/>
        </w:rPr>
        <w:t xml:space="preserve">Where </w:t>
      </w:r>
      <w:r w:rsidR="008907EF" w:rsidRPr="00A175B0">
        <w:rPr>
          <w:color w:val="000000" w:themeColor="text1"/>
        </w:rPr>
        <w:t>a notice</w:t>
      </w:r>
      <w:r w:rsidR="00567D27" w:rsidRPr="00A175B0">
        <w:rPr>
          <w:color w:val="000000" w:themeColor="text1"/>
        </w:rPr>
        <w:t xml:space="preserve"> </w:t>
      </w:r>
      <w:proofErr w:type="gramStart"/>
      <w:r w:rsidR="00567D27" w:rsidRPr="00A175B0">
        <w:rPr>
          <w:color w:val="000000" w:themeColor="text1"/>
        </w:rPr>
        <w:t>is submitted</w:t>
      </w:r>
      <w:proofErr w:type="gramEnd"/>
      <w:r w:rsidR="00567D27" w:rsidRPr="00A175B0">
        <w:rPr>
          <w:color w:val="000000" w:themeColor="text1"/>
        </w:rPr>
        <w:t xml:space="preserve"> </w:t>
      </w:r>
      <w:r w:rsidR="00E13500" w:rsidRPr="00A175B0">
        <w:rPr>
          <w:color w:val="000000" w:themeColor="text1"/>
        </w:rPr>
        <w:t xml:space="preserve">on or after the </w:t>
      </w:r>
      <w:r w:rsidR="00E13500" w:rsidRPr="00A175B0">
        <w:rPr>
          <w:bCs/>
          <w:color w:val="000000" w:themeColor="text1"/>
        </w:rPr>
        <w:t>date of the coming into operation of</w:t>
      </w:r>
      <w:r w:rsidR="00E13500" w:rsidRPr="00A175B0">
        <w:rPr>
          <w:color w:val="000000" w:themeColor="text1"/>
        </w:rPr>
        <w:t xml:space="preserve"> </w:t>
      </w:r>
      <w:r w:rsidR="00567D27" w:rsidRPr="00A175B0">
        <w:rPr>
          <w:color w:val="000000" w:themeColor="text1"/>
        </w:rPr>
        <w:t>these Regulations for –</w:t>
      </w:r>
    </w:p>
    <w:p w:rsidR="00567D27" w:rsidRPr="00A175B0" w:rsidRDefault="00567D27" w:rsidP="00567D27">
      <w:pPr>
        <w:spacing w:before="120" w:after="120" w:line="360" w:lineRule="auto"/>
        <w:rPr>
          <w:color w:val="000000" w:themeColor="text1"/>
        </w:rPr>
      </w:pPr>
    </w:p>
    <w:p w:rsidR="00567D27" w:rsidRPr="00567D27" w:rsidRDefault="00567D27" w:rsidP="00567D27">
      <w:pPr>
        <w:spacing w:before="120" w:after="120" w:line="360" w:lineRule="auto"/>
      </w:pPr>
      <w:r w:rsidRPr="00567D27">
        <w:tab/>
      </w:r>
      <w:r w:rsidRPr="00567D27">
        <w:tab/>
        <w:t>(a)</w:t>
      </w:r>
      <w:r w:rsidRPr="00567D27">
        <w:tab/>
      </w:r>
      <w:proofErr w:type="gramStart"/>
      <w:r w:rsidRPr="00567D27">
        <w:t>a</w:t>
      </w:r>
      <w:proofErr w:type="gramEnd"/>
      <w:r w:rsidRPr="00567D27">
        <w:t xml:space="preserve"> multi-dwelling building which is to be newly constructed, or </w:t>
      </w:r>
    </w:p>
    <w:p w:rsidR="00567D27" w:rsidRPr="00567D27" w:rsidRDefault="00567D27" w:rsidP="00567D27">
      <w:pPr>
        <w:spacing w:before="120" w:after="120" w:line="360" w:lineRule="auto"/>
      </w:pPr>
    </w:p>
    <w:p w:rsidR="00567D27" w:rsidRPr="00567D27" w:rsidRDefault="00567D27" w:rsidP="00377FF6">
      <w:pPr>
        <w:spacing w:before="120" w:after="120" w:line="360" w:lineRule="auto"/>
        <w:ind w:left="1440"/>
      </w:pPr>
      <w:r w:rsidRPr="00567D27">
        <w:t>(b)</w:t>
      </w:r>
      <w:r w:rsidRPr="00567D27">
        <w:tab/>
      </w:r>
      <w:proofErr w:type="gramStart"/>
      <w:r w:rsidRPr="00567D27">
        <w:t>a</w:t>
      </w:r>
      <w:proofErr w:type="gramEnd"/>
      <w:r w:rsidRPr="00567D27">
        <w:t xml:space="preserve"> multi-dwelling building on which major renovation works are to be carried out,</w:t>
      </w:r>
    </w:p>
    <w:p w:rsidR="00567D27" w:rsidRPr="00131D19" w:rsidRDefault="00567D27" w:rsidP="00567D27">
      <w:pPr>
        <w:spacing w:before="120" w:after="120" w:line="360" w:lineRule="auto"/>
        <w:rPr>
          <w:color w:val="000000" w:themeColor="text1"/>
        </w:rPr>
      </w:pPr>
    </w:p>
    <w:p w:rsidR="004C2E4B" w:rsidRPr="00131D19" w:rsidRDefault="00567D27" w:rsidP="00567D27">
      <w:pPr>
        <w:spacing w:before="120" w:after="120" w:line="360" w:lineRule="auto"/>
        <w:rPr>
          <w:color w:val="000000" w:themeColor="text1"/>
        </w:rPr>
      </w:pPr>
      <w:proofErr w:type="gramStart"/>
      <w:r w:rsidRPr="00131D19">
        <w:rPr>
          <w:color w:val="000000" w:themeColor="text1"/>
        </w:rPr>
        <w:t>works</w:t>
      </w:r>
      <w:proofErr w:type="gramEnd"/>
      <w:r w:rsidRPr="00131D19">
        <w:rPr>
          <w:color w:val="000000" w:themeColor="text1"/>
        </w:rPr>
        <w:t xml:space="preserve"> shall be carried out in such a </w:t>
      </w:r>
      <w:r w:rsidR="000B6EBD" w:rsidRPr="00131D19">
        <w:rPr>
          <w:color w:val="000000" w:themeColor="text1"/>
        </w:rPr>
        <w:t>manner</w:t>
      </w:r>
      <w:r w:rsidRPr="00131D19">
        <w:rPr>
          <w:color w:val="000000" w:themeColor="text1"/>
        </w:rPr>
        <w:t xml:space="preserve"> so as to ensure that the building is equipped</w:t>
      </w:r>
      <w:r w:rsidR="000B6EBD" w:rsidRPr="00131D19">
        <w:rPr>
          <w:color w:val="000000" w:themeColor="text1"/>
        </w:rPr>
        <w:t>,</w:t>
      </w:r>
      <w:r w:rsidRPr="00131D19">
        <w:rPr>
          <w:color w:val="000000" w:themeColor="text1"/>
        </w:rPr>
        <w:t xml:space="preserve"> in addition </w:t>
      </w:r>
      <w:r w:rsidR="000B6EBD" w:rsidRPr="00131D19">
        <w:rPr>
          <w:color w:val="000000" w:themeColor="text1"/>
        </w:rPr>
        <w:t>to the high-speed ready in-building physical infrastructure up to the network termination poin</w:t>
      </w:r>
      <w:r w:rsidR="008E179C">
        <w:rPr>
          <w:color w:val="000000" w:themeColor="text1"/>
        </w:rPr>
        <w:t>t, with an access point.</w:t>
      </w:r>
    </w:p>
    <w:p w:rsidR="00567D27" w:rsidRPr="004C2E4B" w:rsidRDefault="00567D27" w:rsidP="008A0732">
      <w:pPr>
        <w:spacing w:before="120" w:after="120" w:line="360" w:lineRule="auto"/>
        <w:rPr>
          <w:lang w:val="ga-IE"/>
        </w:rPr>
      </w:pPr>
    </w:p>
    <w:p w:rsidR="00AE4820" w:rsidRPr="009B0149" w:rsidRDefault="00AE4820" w:rsidP="00F2761A">
      <w:pPr>
        <w:spacing w:before="120" w:after="120" w:line="360" w:lineRule="auto"/>
        <w:rPr>
          <w:color w:val="000000" w:themeColor="text1"/>
        </w:rPr>
      </w:pPr>
    </w:p>
    <w:p w:rsidR="00AE4820" w:rsidRDefault="00AE4820" w:rsidP="00F2761A">
      <w:pPr>
        <w:spacing w:before="120" w:after="120" w:line="360" w:lineRule="auto"/>
        <w:rPr>
          <w:b/>
          <w:bCs/>
        </w:rPr>
      </w:pPr>
      <w:r w:rsidRPr="00AE4820">
        <w:rPr>
          <w:b/>
          <w:bCs/>
        </w:rPr>
        <w:t xml:space="preserve">Technical </w:t>
      </w:r>
      <w:r w:rsidR="000B08A8">
        <w:rPr>
          <w:b/>
          <w:bCs/>
        </w:rPr>
        <w:t>g</w:t>
      </w:r>
      <w:r w:rsidRPr="00AE4820">
        <w:rPr>
          <w:b/>
          <w:bCs/>
        </w:rPr>
        <w:t xml:space="preserve">uidance </w:t>
      </w:r>
      <w:r w:rsidR="000B08A8">
        <w:rPr>
          <w:b/>
          <w:bCs/>
        </w:rPr>
        <w:t>d</w:t>
      </w:r>
      <w:r w:rsidRPr="00AE4820">
        <w:rPr>
          <w:b/>
          <w:bCs/>
        </w:rPr>
        <w:t>ocuments</w:t>
      </w:r>
    </w:p>
    <w:p w:rsidR="0042309D" w:rsidRDefault="001831BD" w:rsidP="00F2761A">
      <w:pPr>
        <w:spacing w:before="120" w:after="120" w:line="360" w:lineRule="auto"/>
      </w:pPr>
      <w:r>
        <w:t>4</w:t>
      </w:r>
      <w:r w:rsidR="0042309D" w:rsidRPr="00A22408">
        <w:t>.</w:t>
      </w:r>
      <w:r w:rsidR="0042309D" w:rsidRPr="00A22408">
        <w:tab/>
        <w:t>(1)</w:t>
      </w:r>
      <w:r w:rsidR="0042309D" w:rsidRPr="00A22408">
        <w:tab/>
      </w:r>
      <w:r w:rsidR="0042309D">
        <w:t>The Minister may publish, or arrange to have published on his or her behalf, documents to be known as “technical guidance documents” for the purpose of providing guidance with respect to compliance with the requirements of these Regulations.</w:t>
      </w:r>
    </w:p>
    <w:p w:rsidR="0042309D" w:rsidRDefault="0042309D" w:rsidP="00F2761A">
      <w:pPr>
        <w:spacing w:before="120" w:after="120" w:line="360" w:lineRule="auto"/>
      </w:pPr>
    </w:p>
    <w:p w:rsidR="0042309D" w:rsidRDefault="0042309D" w:rsidP="00F2761A">
      <w:pPr>
        <w:spacing w:before="120" w:after="120" w:line="360" w:lineRule="auto"/>
      </w:pPr>
      <w:r>
        <w:tab/>
        <w:t>(2)</w:t>
      </w:r>
      <w:r>
        <w:tab/>
        <w:t>Subject to paragraph (3), where works or a building to which these Regulations apply is or are designed and constructed in accordance with any guidance contained in a technical guidance document, this shall, prima facie, indicate compliance with the relevant requirement</w:t>
      </w:r>
      <w:r w:rsidR="005234BC">
        <w:t>s</w:t>
      </w:r>
      <w:r>
        <w:t xml:space="preserve"> of these Regulations.</w:t>
      </w:r>
    </w:p>
    <w:p w:rsidR="0042309D" w:rsidRDefault="0042309D" w:rsidP="00F2761A">
      <w:pPr>
        <w:spacing w:before="120" w:after="120" w:line="360" w:lineRule="auto"/>
      </w:pPr>
    </w:p>
    <w:p w:rsidR="0042309D" w:rsidRPr="0042309D" w:rsidRDefault="0042309D" w:rsidP="00F2761A">
      <w:pPr>
        <w:spacing w:before="120" w:after="120" w:line="360" w:lineRule="auto"/>
      </w:pPr>
      <w:r>
        <w:tab/>
        <w:t>(3)</w:t>
      </w:r>
      <w:r>
        <w:tab/>
        <w:t xml:space="preserve">The provisions of any guidance contained in a technical guidance document published under paragraph (1) concerning the use of a particular material, method of construction or specification, </w:t>
      </w:r>
      <w:proofErr w:type="gramStart"/>
      <w:r>
        <w:t>shall not be construed</w:t>
      </w:r>
      <w:proofErr w:type="gramEnd"/>
      <w:r>
        <w:t xml:space="preserve"> as prohibiting compliance with a requirement of these Regulations by the use of any other suitable material, method of construction or specification.</w:t>
      </w:r>
    </w:p>
    <w:p w:rsidR="00BB2EB6" w:rsidRDefault="00BB2EB6" w:rsidP="00F2761A">
      <w:pPr>
        <w:spacing w:before="120" w:after="120" w:line="360" w:lineRule="auto"/>
      </w:pPr>
    </w:p>
    <w:p w:rsidR="00CE0601" w:rsidRDefault="00CE0601" w:rsidP="00F2761A">
      <w:pPr>
        <w:spacing w:before="120" w:after="120" w:line="360" w:lineRule="auto"/>
      </w:pPr>
    </w:p>
    <w:p w:rsidR="00F2761A" w:rsidRPr="00F2761A" w:rsidRDefault="00F2761A" w:rsidP="00F2761A">
      <w:pPr>
        <w:spacing w:before="120" w:after="120" w:line="360" w:lineRule="auto"/>
        <w:rPr>
          <w:b/>
          <w:bCs/>
        </w:rPr>
      </w:pPr>
      <w:r w:rsidRPr="00F2761A">
        <w:rPr>
          <w:b/>
          <w:bCs/>
        </w:rPr>
        <w:t>Offences</w:t>
      </w:r>
    </w:p>
    <w:p w:rsidR="00700F44" w:rsidRPr="00541C8A" w:rsidRDefault="001831BD" w:rsidP="00700F44">
      <w:pPr>
        <w:spacing w:before="120" w:after="120" w:line="360" w:lineRule="auto"/>
        <w:rPr>
          <w:color w:val="000000" w:themeColor="text1"/>
        </w:rPr>
      </w:pPr>
      <w:r>
        <w:t>5</w:t>
      </w:r>
      <w:r w:rsidR="00D975FA">
        <w:t>.</w:t>
      </w:r>
      <w:r w:rsidR="00D975FA">
        <w:tab/>
      </w:r>
      <w:r w:rsidR="00F2761A" w:rsidRPr="00541C8A">
        <w:rPr>
          <w:color w:val="000000" w:themeColor="text1"/>
        </w:rPr>
        <w:t>A</w:t>
      </w:r>
      <w:r w:rsidR="00D874B3" w:rsidRPr="00541C8A">
        <w:rPr>
          <w:color w:val="000000" w:themeColor="text1"/>
        </w:rPr>
        <w:t>ny</w:t>
      </w:r>
      <w:r w:rsidR="00F2761A" w:rsidRPr="00541C8A">
        <w:rPr>
          <w:color w:val="000000" w:themeColor="text1"/>
        </w:rPr>
        <w:t xml:space="preserve"> person who contravenes (by act or omission) any requirement of these Regulations shall be guilty of an offence.</w:t>
      </w:r>
    </w:p>
    <w:p w:rsidR="00700F44" w:rsidRDefault="00700F44" w:rsidP="00700F44">
      <w:pPr>
        <w:spacing w:before="120" w:after="120" w:line="360" w:lineRule="auto"/>
      </w:pPr>
    </w:p>
    <w:p w:rsidR="00855A6C" w:rsidRDefault="00855A6C" w:rsidP="00700F44">
      <w:pPr>
        <w:spacing w:before="120" w:after="120" w:line="360" w:lineRule="auto"/>
      </w:pPr>
    </w:p>
    <w:p w:rsidR="00BF52E7" w:rsidRDefault="00BF52E7" w:rsidP="00700F44">
      <w:pPr>
        <w:spacing w:before="120" w:after="120" w:line="360" w:lineRule="auto"/>
      </w:pPr>
    </w:p>
    <w:p w:rsidR="00BF52E7" w:rsidRDefault="00BF52E7" w:rsidP="00700F44">
      <w:pPr>
        <w:spacing w:before="120" w:after="120" w:line="360" w:lineRule="auto"/>
      </w:pPr>
    </w:p>
    <w:p w:rsidR="00700F44" w:rsidRPr="00F2761A" w:rsidRDefault="00F2761A" w:rsidP="00700F44">
      <w:pPr>
        <w:spacing w:before="120" w:after="120" w:line="360" w:lineRule="auto"/>
        <w:rPr>
          <w:b/>
          <w:bCs/>
        </w:rPr>
      </w:pPr>
      <w:r w:rsidRPr="00F2761A">
        <w:rPr>
          <w:b/>
          <w:bCs/>
        </w:rPr>
        <w:t>Penalties</w:t>
      </w:r>
    </w:p>
    <w:p w:rsidR="00541C8A" w:rsidRDefault="001831BD" w:rsidP="00CC27CB">
      <w:pPr>
        <w:spacing w:before="120" w:after="120" w:line="360" w:lineRule="auto"/>
      </w:pPr>
      <w:r>
        <w:rPr>
          <w:color w:val="000000" w:themeColor="text1"/>
        </w:rPr>
        <w:t>6</w:t>
      </w:r>
      <w:r w:rsidR="00F2761A" w:rsidRPr="00541C8A">
        <w:rPr>
          <w:color w:val="000000" w:themeColor="text1"/>
        </w:rPr>
        <w:t>.</w:t>
      </w:r>
      <w:r w:rsidR="00F2761A" w:rsidRPr="00541C8A">
        <w:rPr>
          <w:color w:val="000000" w:themeColor="text1"/>
        </w:rPr>
        <w:tab/>
      </w:r>
      <w:proofErr w:type="gramStart"/>
      <w:r w:rsidR="00F2761A" w:rsidRPr="00A17B9E">
        <w:rPr>
          <w:color w:val="000000" w:themeColor="text1"/>
        </w:rPr>
        <w:t>A</w:t>
      </w:r>
      <w:proofErr w:type="gramEnd"/>
      <w:r w:rsidR="00F2761A" w:rsidRPr="00A17B9E">
        <w:rPr>
          <w:color w:val="000000" w:themeColor="text1"/>
        </w:rPr>
        <w:t xml:space="preserve"> person guilty of an offence under Regulation</w:t>
      </w:r>
      <w:r w:rsidR="006A0526" w:rsidRPr="00A17B9E">
        <w:rPr>
          <w:color w:val="000000" w:themeColor="text1"/>
        </w:rPr>
        <w:t xml:space="preserve"> </w:t>
      </w:r>
      <w:r w:rsidR="00A17B9E">
        <w:rPr>
          <w:color w:val="000000" w:themeColor="text1"/>
        </w:rPr>
        <w:t>6</w:t>
      </w:r>
      <w:r w:rsidR="00A17B9E" w:rsidRPr="00A17B9E">
        <w:rPr>
          <w:color w:val="000000" w:themeColor="text1"/>
        </w:rPr>
        <w:t xml:space="preserve"> </w:t>
      </w:r>
      <w:r w:rsidR="00F2761A" w:rsidRPr="00A17B9E">
        <w:rPr>
          <w:color w:val="000000" w:themeColor="text1"/>
        </w:rPr>
        <w:t>shall be liable to the penalties under section 17</w:t>
      </w:r>
      <w:r w:rsidR="00F859D4" w:rsidRPr="00A17B9E">
        <w:rPr>
          <w:color w:val="000000" w:themeColor="text1"/>
        </w:rPr>
        <w:t>, and subject to the requirements of sections 17A to 17C</w:t>
      </w:r>
      <w:r w:rsidR="00375F7E" w:rsidRPr="00A17B9E">
        <w:rPr>
          <w:color w:val="000000" w:themeColor="text1"/>
        </w:rPr>
        <w:t xml:space="preserve"> (as if each reference to “this Act” in those sections read “this Act or the </w:t>
      </w:r>
      <w:r w:rsidR="00C0603F" w:rsidRPr="00A17B9E">
        <w:rPr>
          <w:color w:val="000000" w:themeColor="text1"/>
        </w:rPr>
        <w:t>European Union (</w:t>
      </w:r>
      <w:r w:rsidR="00A17B9E" w:rsidRPr="00377FF6">
        <w:t>In-Building Physical Infrastructure for High-Speed Electronic Communications</w:t>
      </w:r>
      <w:r w:rsidR="00F411D3">
        <w:rPr>
          <w:color w:val="000000" w:themeColor="text1"/>
        </w:rPr>
        <w:t xml:space="preserve">) </w:t>
      </w:r>
      <w:r w:rsidR="00F411D3" w:rsidRPr="001831BD">
        <w:rPr>
          <w:color w:val="000000" w:themeColor="text1"/>
        </w:rPr>
        <w:t>Regulations 202</w:t>
      </w:r>
      <w:r w:rsidR="00263227" w:rsidRPr="001831BD">
        <w:rPr>
          <w:color w:val="000000" w:themeColor="text1"/>
        </w:rPr>
        <w:t>3</w:t>
      </w:r>
      <w:r w:rsidR="00F859D4" w:rsidRPr="001831BD">
        <w:rPr>
          <w:color w:val="000000" w:themeColor="text1"/>
        </w:rPr>
        <w:t>,</w:t>
      </w:r>
      <w:r w:rsidR="00F2761A" w:rsidRPr="001831BD">
        <w:rPr>
          <w:color w:val="000000" w:themeColor="text1"/>
        </w:rPr>
        <w:t xml:space="preserve"> of the </w:t>
      </w:r>
      <w:r w:rsidR="003972FC" w:rsidRPr="001831BD">
        <w:rPr>
          <w:color w:val="000000" w:themeColor="text1"/>
        </w:rPr>
        <w:t xml:space="preserve">Act of </w:t>
      </w:r>
      <w:r w:rsidR="003972FC" w:rsidRPr="00A17B9E">
        <w:rPr>
          <w:color w:val="000000" w:themeColor="text1"/>
        </w:rPr>
        <w:t>1990</w:t>
      </w:r>
      <w:r w:rsidR="00F2761A" w:rsidRPr="00A17B9E">
        <w:rPr>
          <w:color w:val="000000" w:themeColor="text1"/>
        </w:rPr>
        <w:t>.</w:t>
      </w:r>
      <w:r w:rsidR="00541C8A">
        <w:br w:type="page"/>
      </w:r>
    </w:p>
    <w:p w:rsidR="00410754" w:rsidRDefault="00410754" w:rsidP="00700F44">
      <w:pPr>
        <w:spacing w:before="120" w:after="120" w:line="360" w:lineRule="auto"/>
      </w:pPr>
    </w:p>
    <w:p w:rsidR="00541C8A" w:rsidRDefault="00541C8A" w:rsidP="00700F44">
      <w:pPr>
        <w:spacing w:before="120" w:after="120" w:line="360" w:lineRule="auto"/>
      </w:pPr>
    </w:p>
    <w:p w:rsidR="00541C8A" w:rsidRDefault="00541C8A" w:rsidP="00700F44">
      <w:pPr>
        <w:spacing w:before="120" w:after="120" w:line="360" w:lineRule="auto"/>
      </w:pPr>
    </w:p>
    <w:p w:rsidR="00541C8A" w:rsidRDefault="00541C8A" w:rsidP="00700F44">
      <w:pPr>
        <w:spacing w:before="120" w:after="120" w:line="360" w:lineRule="auto"/>
      </w:pPr>
    </w:p>
    <w:p w:rsidR="00541C8A" w:rsidRDefault="00541C8A" w:rsidP="00700F44">
      <w:pPr>
        <w:spacing w:before="120" w:after="120" w:line="360" w:lineRule="auto"/>
      </w:pPr>
    </w:p>
    <w:p w:rsidR="00541C8A" w:rsidRDefault="00541C8A" w:rsidP="00700F44">
      <w:pPr>
        <w:spacing w:before="120" w:after="120" w:line="360" w:lineRule="auto"/>
      </w:pPr>
    </w:p>
    <w:p w:rsidR="00541C8A" w:rsidRDefault="00541C8A" w:rsidP="00700F44">
      <w:pPr>
        <w:spacing w:before="120" w:after="120" w:line="360" w:lineRule="auto"/>
      </w:pPr>
    </w:p>
    <w:p w:rsidR="00700F44" w:rsidRDefault="00700F44" w:rsidP="00700F44">
      <w:pPr>
        <w:spacing w:before="120" w:after="120" w:line="360" w:lineRule="auto"/>
      </w:pPr>
    </w:p>
    <w:p w:rsidR="000F133D" w:rsidRPr="00AF5E6B" w:rsidRDefault="000F133D" w:rsidP="000F133D">
      <w:pPr>
        <w:spacing w:before="120" w:after="120" w:line="360" w:lineRule="auto"/>
        <w:jc w:val="right"/>
        <w:rPr>
          <w:color w:val="000000" w:themeColor="text1"/>
        </w:rPr>
      </w:pPr>
      <w:r w:rsidRPr="00AF5E6B">
        <w:rPr>
          <w:color w:val="000000" w:themeColor="text1"/>
        </w:rPr>
        <w:t>GIVEN under my Official Seal</w:t>
      </w:r>
    </w:p>
    <w:p w:rsidR="000F133D" w:rsidRPr="00AF5E6B" w:rsidRDefault="000F133D" w:rsidP="000F133D">
      <w:pPr>
        <w:spacing w:before="120" w:after="120" w:line="360" w:lineRule="auto"/>
        <w:jc w:val="right"/>
        <w:rPr>
          <w:color w:val="000000" w:themeColor="text1"/>
        </w:rPr>
      </w:pPr>
      <w:r w:rsidRPr="00AF5E6B">
        <w:rPr>
          <w:color w:val="000000" w:themeColor="text1"/>
        </w:rPr>
        <w:t>__ ______________ 202</w:t>
      </w:r>
      <w:r w:rsidR="00E85892" w:rsidRPr="00AF5E6B">
        <w:rPr>
          <w:color w:val="000000" w:themeColor="text1"/>
        </w:rPr>
        <w:t>3</w:t>
      </w:r>
    </w:p>
    <w:p w:rsidR="000F133D" w:rsidRPr="00AF5E6B" w:rsidRDefault="000F133D" w:rsidP="000F133D">
      <w:pPr>
        <w:spacing w:after="0" w:line="360" w:lineRule="auto"/>
        <w:jc w:val="right"/>
        <w:rPr>
          <w:color w:val="000000" w:themeColor="text1"/>
        </w:rPr>
      </w:pPr>
    </w:p>
    <w:p w:rsidR="000F133D" w:rsidRPr="00AF5E6B" w:rsidRDefault="000F133D" w:rsidP="000F133D">
      <w:pPr>
        <w:spacing w:after="0" w:line="360" w:lineRule="auto"/>
        <w:jc w:val="right"/>
        <w:rPr>
          <w:color w:val="000000" w:themeColor="text1"/>
        </w:rPr>
      </w:pPr>
    </w:p>
    <w:p w:rsidR="000F133D" w:rsidRPr="00AF5E6B" w:rsidRDefault="000F133D" w:rsidP="000F133D">
      <w:pPr>
        <w:spacing w:after="0" w:line="360" w:lineRule="auto"/>
        <w:jc w:val="right"/>
        <w:rPr>
          <w:color w:val="000000" w:themeColor="text1"/>
        </w:rPr>
      </w:pPr>
      <w:r w:rsidRPr="00AF5E6B">
        <w:rPr>
          <w:color w:val="000000" w:themeColor="text1"/>
        </w:rPr>
        <w:t>_________________________</w:t>
      </w:r>
    </w:p>
    <w:p w:rsidR="000F133D" w:rsidRPr="00AF5E6B" w:rsidRDefault="000F133D" w:rsidP="000F133D">
      <w:pPr>
        <w:spacing w:after="0" w:line="360" w:lineRule="auto"/>
        <w:jc w:val="right"/>
        <w:rPr>
          <w:color w:val="000000" w:themeColor="text1"/>
        </w:rPr>
      </w:pPr>
      <w:r w:rsidRPr="00AF5E6B">
        <w:rPr>
          <w:color w:val="000000" w:themeColor="text1"/>
        </w:rPr>
        <w:t>Minister for Housing,</w:t>
      </w:r>
    </w:p>
    <w:p w:rsidR="000F133D" w:rsidRPr="00AF5E6B" w:rsidRDefault="000F133D" w:rsidP="000F133D">
      <w:pPr>
        <w:spacing w:after="0" w:line="360" w:lineRule="auto"/>
        <w:jc w:val="right"/>
        <w:rPr>
          <w:color w:val="000000" w:themeColor="text1"/>
        </w:rPr>
      </w:pPr>
      <w:r w:rsidRPr="00AF5E6B">
        <w:rPr>
          <w:color w:val="000000" w:themeColor="text1"/>
        </w:rPr>
        <w:t>Local Government and Heritage</w:t>
      </w:r>
    </w:p>
    <w:sectPr w:rsidR="000F133D" w:rsidRPr="00AF5E6B" w:rsidSect="00067E01">
      <w:footerReference w:type="default" r:id="rId13"/>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33" w:rsidRDefault="005B0033" w:rsidP="00326892">
      <w:pPr>
        <w:spacing w:after="0" w:line="240" w:lineRule="auto"/>
      </w:pPr>
      <w:r>
        <w:separator/>
      </w:r>
    </w:p>
  </w:endnote>
  <w:endnote w:type="continuationSeparator" w:id="0">
    <w:p w:rsidR="005B0033" w:rsidRDefault="005B0033" w:rsidP="0032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78168"/>
      <w:docPartObj>
        <w:docPartGallery w:val="Page Numbers (Bottom of Page)"/>
        <w:docPartUnique/>
      </w:docPartObj>
    </w:sdtPr>
    <w:sdtEndPr>
      <w:rPr>
        <w:noProof/>
      </w:rPr>
    </w:sdtEndPr>
    <w:sdtContent>
      <w:p w:rsidR="00067E01" w:rsidRDefault="00067E01">
        <w:pPr>
          <w:pStyle w:val="Footer"/>
          <w:jc w:val="center"/>
        </w:pPr>
        <w:r>
          <w:fldChar w:fldCharType="begin"/>
        </w:r>
        <w:r>
          <w:instrText xml:space="preserve"> PAGE   \* MERGEFORMAT </w:instrText>
        </w:r>
        <w:r>
          <w:fldChar w:fldCharType="separate"/>
        </w:r>
        <w:r w:rsidR="00F74712">
          <w:rPr>
            <w:noProof/>
          </w:rPr>
          <w:t>4</w:t>
        </w:r>
        <w:r>
          <w:rPr>
            <w:noProof/>
          </w:rPr>
          <w:fldChar w:fldCharType="end"/>
        </w:r>
      </w:p>
    </w:sdtContent>
  </w:sdt>
  <w:p w:rsidR="00067E01" w:rsidRDefault="0006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33" w:rsidRDefault="005B0033" w:rsidP="00326892">
      <w:pPr>
        <w:spacing w:after="0" w:line="240" w:lineRule="auto"/>
      </w:pPr>
      <w:r>
        <w:separator/>
      </w:r>
    </w:p>
  </w:footnote>
  <w:footnote w:type="continuationSeparator" w:id="0">
    <w:p w:rsidR="005B0033" w:rsidRDefault="005B0033" w:rsidP="00326892">
      <w:pPr>
        <w:spacing w:after="0" w:line="240" w:lineRule="auto"/>
      </w:pPr>
      <w:r>
        <w:continuationSeparator/>
      </w:r>
    </w:p>
  </w:footnote>
  <w:footnote w:id="1">
    <w:p w:rsidR="00FF29F8" w:rsidRDefault="00FF29F8">
      <w:pPr>
        <w:pStyle w:val="FootnoteText"/>
      </w:pPr>
      <w:r>
        <w:rPr>
          <w:rStyle w:val="FootnoteReference"/>
        </w:rPr>
        <w:footnoteRef/>
      </w:r>
      <w:r>
        <w:t xml:space="preserve"> OJ No. L 23.05.2014,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3AB"/>
    <w:multiLevelType w:val="hybridMultilevel"/>
    <w:tmpl w:val="D3201DCE"/>
    <w:lvl w:ilvl="0" w:tplc="40905D3A">
      <w:start w:val="1"/>
      <w:numFmt w:val="lowerLetter"/>
      <w:lvlText w:val="(%1)"/>
      <w:lvlJc w:val="left"/>
      <w:pPr>
        <w:ind w:left="2629"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 w15:restartNumberingAfterBreak="0">
    <w:nsid w:val="097B6818"/>
    <w:multiLevelType w:val="hybridMultilevel"/>
    <w:tmpl w:val="164E32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674468"/>
    <w:multiLevelType w:val="hybridMultilevel"/>
    <w:tmpl w:val="AFDC3894"/>
    <w:lvl w:ilvl="0" w:tplc="38F8CD9E">
      <w:start w:val="7"/>
      <w:numFmt w:val="decimal"/>
      <w:lvlText w:val="(%1)"/>
      <w:lvlJc w:val="left"/>
      <w:pPr>
        <w:ind w:left="2123" w:hanging="705"/>
      </w:pPr>
      <w:rPr>
        <w:rFonts w:hint="default"/>
        <w:color w:val="auto"/>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15:restartNumberingAfterBreak="0">
    <w:nsid w:val="1F57111C"/>
    <w:multiLevelType w:val="hybridMultilevel"/>
    <w:tmpl w:val="B61A8020"/>
    <w:lvl w:ilvl="0" w:tplc="5072BA18">
      <w:start w:val="1"/>
      <w:numFmt w:val="lowerLetter"/>
      <w:lvlText w:val="(%1)"/>
      <w:lvlJc w:val="left"/>
      <w:pPr>
        <w:ind w:left="2483" w:hanging="360"/>
      </w:pPr>
      <w:rPr>
        <w:rFonts w:hint="default"/>
      </w:rPr>
    </w:lvl>
    <w:lvl w:ilvl="1" w:tplc="18090019" w:tentative="1">
      <w:start w:val="1"/>
      <w:numFmt w:val="lowerLetter"/>
      <w:lvlText w:val="%2."/>
      <w:lvlJc w:val="left"/>
      <w:pPr>
        <w:ind w:left="3203" w:hanging="360"/>
      </w:pPr>
    </w:lvl>
    <w:lvl w:ilvl="2" w:tplc="1809001B" w:tentative="1">
      <w:start w:val="1"/>
      <w:numFmt w:val="lowerRoman"/>
      <w:lvlText w:val="%3."/>
      <w:lvlJc w:val="right"/>
      <w:pPr>
        <w:ind w:left="3923" w:hanging="180"/>
      </w:pPr>
    </w:lvl>
    <w:lvl w:ilvl="3" w:tplc="1809000F" w:tentative="1">
      <w:start w:val="1"/>
      <w:numFmt w:val="decimal"/>
      <w:lvlText w:val="%4."/>
      <w:lvlJc w:val="left"/>
      <w:pPr>
        <w:ind w:left="4643" w:hanging="360"/>
      </w:pPr>
    </w:lvl>
    <w:lvl w:ilvl="4" w:tplc="18090019" w:tentative="1">
      <w:start w:val="1"/>
      <w:numFmt w:val="lowerLetter"/>
      <w:lvlText w:val="%5."/>
      <w:lvlJc w:val="left"/>
      <w:pPr>
        <w:ind w:left="5363" w:hanging="360"/>
      </w:pPr>
    </w:lvl>
    <w:lvl w:ilvl="5" w:tplc="1809001B" w:tentative="1">
      <w:start w:val="1"/>
      <w:numFmt w:val="lowerRoman"/>
      <w:lvlText w:val="%6."/>
      <w:lvlJc w:val="right"/>
      <w:pPr>
        <w:ind w:left="6083" w:hanging="180"/>
      </w:pPr>
    </w:lvl>
    <w:lvl w:ilvl="6" w:tplc="1809000F" w:tentative="1">
      <w:start w:val="1"/>
      <w:numFmt w:val="decimal"/>
      <w:lvlText w:val="%7."/>
      <w:lvlJc w:val="left"/>
      <w:pPr>
        <w:ind w:left="6803" w:hanging="360"/>
      </w:pPr>
    </w:lvl>
    <w:lvl w:ilvl="7" w:tplc="18090019" w:tentative="1">
      <w:start w:val="1"/>
      <w:numFmt w:val="lowerLetter"/>
      <w:lvlText w:val="%8."/>
      <w:lvlJc w:val="left"/>
      <w:pPr>
        <w:ind w:left="7523" w:hanging="360"/>
      </w:pPr>
    </w:lvl>
    <w:lvl w:ilvl="8" w:tplc="1809001B" w:tentative="1">
      <w:start w:val="1"/>
      <w:numFmt w:val="lowerRoman"/>
      <w:lvlText w:val="%9."/>
      <w:lvlJc w:val="right"/>
      <w:pPr>
        <w:ind w:left="8243" w:hanging="180"/>
      </w:pPr>
    </w:lvl>
  </w:abstractNum>
  <w:abstractNum w:abstractNumId="4" w15:restartNumberingAfterBreak="0">
    <w:nsid w:val="1FAB0A62"/>
    <w:multiLevelType w:val="hybridMultilevel"/>
    <w:tmpl w:val="BCE8C622"/>
    <w:lvl w:ilvl="0" w:tplc="617657A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017728"/>
    <w:multiLevelType w:val="hybridMultilevel"/>
    <w:tmpl w:val="3DB25BF4"/>
    <w:lvl w:ilvl="0" w:tplc="A502B668">
      <w:start w:val="1"/>
      <w:numFmt w:val="lowerLetter"/>
      <w:lvlText w:val="(%1)"/>
      <w:lvlJc w:val="left"/>
      <w:pPr>
        <w:ind w:left="1920" w:hanging="360"/>
      </w:pPr>
      <w:rPr>
        <w:rFonts w:hint="default"/>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6" w15:restartNumberingAfterBreak="0">
    <w:nsid w:val="269279D9"/>
    <w:multiLevelType w:val="hybridMultilevel"/>
    <w:tmpl w:val="956E1D88"/>
    <w:lvl w:ilvl="0" w:tplc="7BDC39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EB31B7"/>
    <w:multiLevelType w:val="hybridMultilevel"/>
    <w:tmpl w:val="CAD00C3A"/>
    <w:lvl w:ilvl="0" w:tplc="73BA3236">
      <w:start w:val="1"/>
      <w:numFmt w:val="lowerRoman"/>
      <w:lvlText w:val="(%1)"/>
      <w:lvlJc w:val="left"/>
      <w:pPr>
        <w:ind w:left="2138" w:hanging="720"/>
      </w:pPr>
      <w:rPr>
        <w:rFonts w:hint="default"/>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8" w15:restartNumberingAfterBreak="0">
    <w:nsid w:val="4225388E"/>
    <w:multiLevelType w:val="hybridMultilevel"/>
    <w:tmpl w:val="2CCA85AC"/>
    <w:lvl w:ilvl="0" w:tplc="A5C2980A">
      <w:start w:val="9"/>
      <w:numFmt w:val="lowerLetter"/>
      <w:lvlText w:val="(%1)"/>
      <w:lvlJc w:val="left"/>
      <w:pPr>
        <w:ind w:left="2487" w:hanging="360"/>
      </w:pPr>
      <w:rPr>
        <w:rFonts w:hint="default"/>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9" w15:restartNumberingAfterBreak="0">
    <w:nsid w:val="42550BE7"/>
    <w:multiLevelType w:val="hybridMultilevel"/>
    <w:tmpl w:val="645A4C2E"/>
    <w:lvl w:ilvl="0" w:tplc="FBFCB1AA">
      <w:start w:val="1"/>
      <w:numFmt w:val="upp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0" w15:restartNumberingAfterBreak="0">
    <w:nsid w:val="55945EF9"/>
    <w:multiLevelType w:val="hybridMultilevel"/>
    <w:tmpl w:val="AB58BF68"/>
    <w:lvl w:ilvl="0" w:tplc="855C874A">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1" w15:restartNumberingAfterBreak="0">
    <w:nsid w:val="5CD947AA"/>
    <w:multiLevelType w:val="hybridMultilevel"/>
    <w:tmpl w:val="07489E14"/>
    <w:lvl w:ilvl="0" w:tplc="2D7419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08285D"/>
    <w:multiLevelType w:val="hybridMultilevel"/>
    <w:tmpl w:val="79C86E12"/>
    <w:lvl w:ilvl="0" w:tplc="05108AC0">
      <w:start w:val="1"/>
      <w:numFmt w:val="lowerRoman"/>
      <w:lvlText w:val="(%1)"/>
      <w:lvlJc w:val="left"/>
      <w:pPr>
        <w:ind w:left="3555" w:hanging="720"/>
      </w:pPr>
      <w:rPr>
        <w:rFonts w:hint="default"/>
      </w:rPr>
    </w:lvl>
    <w:lvl w:ilvl="1" w:tplc="18090019" w:tentative="1">
      <w:start w:val="1"/>
      <w:numFmt w:val="lowerLetter"/>
      <w:lvlText w:val="%2."/>
      <w:lvlJc w:val="left"/>
      <w:pPr>
        <w:ind w:left="3915" w:hanging="360"/>
      </w:pPr>
    </w:lvl>
    <w:lvl w:ilvl="2" w:tplc="1809001B" w:tentative="1">
      <w:start w:val="1"/>
      <w:numFmt w:val="lowerRoman"/>
      <w:lvlText w:val="%3."/>
      <w:lvlJc w:val="right"/>
      <w:pPr>
        <w:ind w:left="4635" w:hanging="180"/>
      </w:pPr>
    </w:lvl>
    <w:lvl w:ilvl="3" w:tplc="1809000F" w:tentative="1">
      <w:start w:val="1"/>
      <w:numFmt w:val="decimal"/>
      <w:lvlText w:val="%4."/>
      <w:lvlJc w:val="left"/>
      <w:pPr>
        <w:ind w:left="5355" w:hanging="360"/>
      </w:pPr>
    </w:lvl>
    <w:lvl w:ilvl="4" w:tplc="18090019" w:tentative="1">
      <w:start w:val="1"/>
      <w:numFmt w:val="lowerLetter"/>
      <w:lvlText w:val="%5."/>
      <w:lvlJc w:val="left"/>
      <w:pPr>
        <w:ind w:left="6075" w:hanging="360"/>
      </w:pPr>
    </w:lvl>
    <w:lvl w:ilvl="5" w:tplc="1809001B" w:tentative="1">
      <w:start w:val="1"/>
      <w:numFmt w:val="lowerRoman"/>
      <w:lvlText w:val="%6."/>
      <w:lvlJc w:val="right"/>
      <w:pPr>
        <w:ind w:left="6795" w:hanging="180"/>
      </w:pPr>
    </w:lvl>
    <w:lvl w:ilvl="6" w:tplc="1809000F" w:tentative="1">
      <w:start w:val="1"/>
      <w:numFmt w:val="decimal"/>
      <w:lvlText w:val="%7."/>
      <w:lvlJc w:val="left"/>
      <w:pPr>
        <w:ind w:left="7515" w:hanging="360"/>
      </w:pPr>
    </w:lvl>
    <w:lvl w:ilvl="7" w:tplc="18090019" w:tentative="1">
      <w:start w:val="1"/>
      <w:numFmt w:val="lowerLetter"/>
      <w:lvlText w:val="%8."/>
      <w:lvlJc w:val="left"/>
      <w:pPr>
        <w:ind w:left="8235" w:hanging="360"/>
      </w:pPr>
    </w:lvl>
    <w:lvl w:ilvl="8" w:tplc="1809001B" w:tentative="1">
      <w:start w:val="1"/>
      <w:numFmt w:val="lowerRoman"/>
      <w:lvlText w:val="%9."/>
      <w:lvlJc w:val="right"/>
      <w:pPr>
        <w:ind w:left="8955" w:hanging="180"/>
      </w:pPr>
    </w:lvl>
  </w:abstractNum>
  <w:abstractNum w:abstractNumId="13" w15:restartNumberingAfterBreak="0">
    <w:nsid w:val="5ED67A8A"/>
    <w:multiLevelType w:val="hybridMultilevel"/>
    <w:tmpl w:val="9872F040"/>
    <w:lvl w:ilvl="0" w:tplc="FE0A8826">
      <w:start w:val="9"/>
      <w:numFmt w:val="lowerLetter"/>
      <w:lvlText w:val="(%1)"/>
      <w:lvlJc w:val="left"/>
      <w:pPr>
        <w:ind w:left="2487" w:hanging="360"/>
      </w:pPr>
      <w:rPr>
        <w:rFonts w:hint="default"/>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14" w15:restartNumberingAfterBreak="0">
    <w:nsid w:val="66D558CE"/>
    <w:multiLevelType w:val="hybridMultilevel"/>
    <w:tmpl w:val="198ED922"/>
    <w:lvl w:ilvl="0" w:tplc="B0DA2832">
      <w:start w:val="1"/>
      <w:numFmt w:val="lowerRoman"/>
      <w:lvlText w:val="(%1)"/>
      <w:lvlJc w:val="left"/>
      <w:pPr>
        <w:ind w:left="3567" w:hanging="720"/>
      </w:pPr>
      <w:rPr>
        <w:rFonts w:hint="default"/>
      </w:rPr>
    </w:lvl>
    <w:lvl w:ilvl="1" w:tplc="18090019" w:tentative="1">
      <w:start w:val="1"/>
      <w:numFmt w:val="lowerLetter"/>
      <w:lvlText w:val="%2."/>
      <w:lvlJc w:val="left"/>
      <w:pPr>
        <w:ind w:left="3927" w:hanging="360"/>
      </w:pPr>
    </w:lvl>
    <w:lvl w:ilvl="2" w:tplc="1809001B" w:tentative="1">
      <w:start w:val="1"/>
      <w:numFmt w:val="lowerRoman"/>
      <w:lvlText w:val="%3."/>
      <w:lvlJc w:val="right"/>
      <w:pPr>
        <w:ind w:left="4647" w:hanging="180"/>
      </w:pPr>
    </w:lvl>
    <w:lvl w:ilvl="3" w:tplc="1809000F" w:tentative="1">
      <w:start w:val="1"/>
      <w:numFmt w:val="decimal"/>
      <w:lvlText w:val="%4."/>
      <w:lvlJc w:val="left"/>
      <w:pPr>
        <w:ind w:left="5367" w:hanging="360"/>
      </w:pPr>
    </w:lvl>
    <w:lvl w:ilvl="4" w:tplc="18090019" w:tentative="1">
      <w:start w:val="1"/>
      <w:numFmt w:val="lowerLetter"/>
      <w:lvlText w:val="%5."/>
      <w:lvlJc w:val="left"/>
      <w:pPr>
        <w:ind w:left="6087" w:hanging="360"/>
      </w:pPr>
    </w:lvl>
    <w:lvl w:ilvl="5" w:tplc="1809001B" w:tentative="1">
      <w:start w:val="1"/>
      <w:numFmt w:val="lowerRoman"/>
      <w:lvlText w:val="%6."/>
      <w:lvlJc w:val="right"/>
      <w:pPr>
        <w:ind w:left="6807" w:hanging="180"/>
      </w:pPr>
    </w:lvl>
    <w:lvl w:ilvl="6" w:tplc="1809000F" w:tentative="1">
      <w:start w:val="1"/>
      <w:numFmt w:val="decimal"/>
      <w:lvlText w:val="%7."/>
      <w:lvlJc w:val="left"/>
      <w:pPr>
        <w:ind w:left="7527" w:hanging="360"/>
      </w:pPr>
    </w:lvl>
    <w:lvl w:ilvl="7" w:tplc="18090019" w:tentative="1">
      <w:start w:val="1"/>
      <w:numFmt w:val="lowerLetter"/>
      <w:lvlText w:val="%8."/>
      <w:lvlJc w:val="left"/>
      <w:pPr>
        <w:ind w:left="8247" w:hanging="360"/>
      </w:pPr>
    </w:lvl>
    <w:lvl w:ilvl="8" w:tplc="1809001B" w:tentative="1">
      <w:start w:val="1"/>
      <w:numFmt w:val="lowerRoman"/>
      <w:lvlText w:val="%9."/>
      <w:lvlJc w:val="right"/>
      <w:pPr>
        <w:ind w:left="8967" w:hanging="180"/>
      </w:pPr>
    </w:lvl>
  </w:abstractNum>
  <w:abstractNum w:abstractNumId="15" w15:restartNumberingAfterBreak="0">
    <w:nsid w:val="6B3C2744"/>
    <w:multiLevelType w:val="hybridMultilevel"/>
    <w:tmpl w:val="D19E1AEE"/>
    <w:lvl w:ilvl="0" w:tplc="AA9218E0">
      <w:start w:val="9"/>
      <w:numFmt w:val="lowerLetter"/>
      <w:lvlText w:val="(%1)"/>
      <w:lvlJc w:val="left"/>
      <w:pPr>
        <w:ind w:left="2487" w:hanging="360"/>
      </w:pPr>
      <w:rPr>
        <w:rFonts w:hint="default"/>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16" w15:restartNumberingAfterBreak="0">
    <w:nsid w:val="6CC041D4"/>
    <w:multiLevelType w:val="hybridMultilevel"/>
    <w:tmpl w:val="71CAEF02"/>
    <w:lvl w:ilvl="0" w:tplc="507C0E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422559"/>
    <w:multiLevelType w:val="hybridMultilevel"/>
    <w:tmpl w:val="2C087692"/>
    <w:lvl w:ilvl="0" w:tplc="386CF810">
      <w:start w:val="7"/>
      <w:numFmt w:val="decimal"/>
      <w:lvlText w:val="(%1)"/>
      <w:lvlJc w:val="left"/>
      <w:pPr>
        <w:ind w:left="2123" w:hanging="705"/>
      </w:pPr>
      <w:rPr>
        <w:rFonts w:hint="default"/>
        <w:color w:val="auto"/>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8" w15:restartNumberingAfterBreak="0">
    <w:nsid w:val="7013535B"/>
    <w:multiLevelType w:val="hybridMultilevel"/>
    <w:tmpl w:val="15EC42D6"/>
    <w:lvl w:ilvl="0" w:tplc="A8AA06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A91B5B"/>
    <w:multiLevelType w:val="hybridMultilevel"/>
    <w:tmpl w:val="DEE208B2"/>
    <w:lvl w:ilvl="0" w:tplc="A2BC9CD4">
      <w:start w:val="1"/>
      <w:numFmt w:val="upp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num w:numId="1">
    <w:abstractNumId w:val="19"/>
  </w:num>
  <w:num w:numId="2">
    <w:abstractNumId w:val="9"/>
  </w:num>
  <w:num w:numId="3">
    <w:abstractNumId w:val="10"/>
  </w:num>
  <w:num w:numId="4">
    <w:abstractNumId w:val="16"/>
  </w:num>
  <w:num w:numId="5">
    <w:abstractNumId w:val="6"/>
  </w:num>
  <w:num w:numId="6">
    <w:abstractNumId w:val="17"/>
  </w:num>
  <w:num w:numId="7">
    <w:abstractNumId w:val="2"/>
  </w:num>
  <w:num w:numId="8">
    <w:abstractNumId w:val="3"/>
  </w:num>
  <w:num w:numId="9">
    <w:abstractNumId w:val="18"/>
  </w:num>
  <w:num w:numId="10">
    <w:abstractNumId w:val="0"/>
  </w:num>
  <w:num w:numId="11">
    <w:abstractNumId w:val="15"/>
  </w:num>
  <w:num w:numId="12">
    <w:abstractNumId w:val="14"/>
  </w:num>
  <w:num w:numId="13">
    <w:abstractNumId w:val="5"/>
  </w:num>
  <w:num w:numId="14">
    <w:abstractNumId w:val="8"/>
  </w:num>
  <w:num w:numId="15">
    <w:abstractNumId w:val="12"/>
  </w:num>
  <w:num w:numId="16">
    <w:abstractNumId w:val="13"/>
  </w:num>
  <w:num w:numId="17">
    <w:abstractNumId w:val="11"/>
  </w:num>
  <w:num w:numId="18">
    <w:abstractNumId w:val="1"/>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92"/>
    <w:rsid w:val="00000AC0"/>
    <w:rsid w:val="0000389A"/>
    <w:rsid w:val="000055EC"/>
    <w:rsid w:val="000104D8"/>
    <w:rsid w:val="00011E2C"/>
    <w:rsid w:val="00015510"/>
    <w:rsid w:val="00015EDF"/>
    <w:rsid w:val="00027669"/>
    <w:rsid w:val="000403D5"/>
    <w:rsid w:val="000415C4"/>
    <w:rsid w:val="00045117"/>
    <w:rsid w:val="00064906"/>
    <w:rsid w:val="00066747"/>
    <w:rsid w:val="00067E01"/>
    <w:rsid w:val="00070A16"/>
    <w:rsid w:val="000710CA"/>
    <w:rsid w:val="00085EA2"/>
    <w:rsid w:val="00086682"/>
    <w:rsid w:val="000A225B"/>
    <w:rsid w:val="000B08A8"/>
    <w:rsid w:val="000B5675"/>
    <w:rsid w:val="000B6EBD"/>
    <w:rsid w:val="000C139E"/>
    <w:rsid w:val="000D0B93"/>
    <w:rsid w:val="000F133D"/>
    <w:rsid w:val="000F4BB9"/>
    <w:rsid w:val="00122739"/>
    <w:rsid w:val="00131D19"/>
    <w:rsid w:val="00151113"/>
    <w:rsid w:val="0015226D"/>
    <w:rsid w:val="00154BBC"/>
    <w:rsid w:val="00164A46"/>
    <w:rsid w:val="0017253C"/>
    <w:rsid w:val="00172F98"/>
    <w:rsid w:val="0017655B"/>
    <w:rsid w:val="001802CD"/>
    <w:rsid w:val="001831BD"/>
    <w:rsid w:val="00185F16"/>
    <w:rsid w:val="001A1BC6"/>
    <w:rsid w:val="001B3A72"/>
    <w:rsid w:val="001B6470"/>
    <w:rsid w:val="001C2498"/>
    <w:rsid w:val="001C3A75"/>
    <w:rsid w:val="001D0C0C"/>
    <w:rsid w:val="001E1B3F"/>
    <w:rsid w:val="001F3A44"/>
    <w:rsid w:val="001F491F"/>
    <w:rsid w:val="0022188F"/>
    <w:rsid w:val="00230F1F"/>
    <w:rsid w:val="002434F6"/>
    <w:rsid w:val="00251213"/>
    <w:rsid w:val="00262D4F"/>
    <w:rsid w:val="00263227"/>
    <w:rsid w:val="0029462F"/>
    <w:rsid w:val="002976F0"/>
    <w:rsid w:val="002B4448"/>
    <w:rsid w:val="002B61A6"/>
    <w:rsid w:val="002F3FE5"/>
    <w:rsid w:val="002F657E"/>
    <w:rsid w:val="00301CF4"/>
    <w:rsid w:val="0031193E"/>
    <w:rsid w:val="00312CEA"/>
    <w:rsid w:val="00326892"/>
    <w:rsid w:val="00343F4E"/>
    <w:rsid w:val="003721EE"/>
    <w:rsid w:val="00375F7E"/>
    <w:rsid w:val="00377FF6"/>
    <w:rsid w:val="00392938"/>
    <w:rsid w:val="003972FC"/>
    <w:rsid w:val="003A64D8"/>
    <w:rsid w:val="003A6C3F"/>
    <w:rsid w:val="003A7024"/>
    <w:rsid w:val="003B1BE5"/>
    <w:rsid w:val="003B75B8"/>
    <w:rsid w:val="003D303E"/>
    <w:rsid w:val="003E04BD"/>
    <w:rsid w:val="003E0DBB"/>
    <w:rsid w:val="003F1471"/>
    <w:rsid w:val="003F2F0E"/>
    <w:rsid w:val="003F5767"/>
    <w:rsid w:val="0040269F"/>
    <w:rsid w:val="0040747C"/>
    <w:rsid w:val="00410754"/>
    <w:rsid w:val="00410EA4"/>
    <w:rsid w:val="0042309D"/>
    <w:rsid w:val="00430AAE"/>
    <w:rsid w:val="0044729D"/>
    <w:rsid w:val="00450176"/>
    <w:rsid w:val="00452BD5"/>
    <w:rsid w:val="00460AE8"/>
    <w:rsid w:val="00470FDA"/>
    <w:rsid w:val="00477DAC"/>
    <w:rsid w:val="00482146"/>
    <w:rsid w:val="004828BE"/>
    <w:rsid w:val="004A0C5D"/>
    <w:rsid w:val="004B698E"/>
    <w:rsid w:val="004C2E4B"/>
    <w:rsid w:val="004C3C9A"/>
    <w:rsid w:val="004D1EB2"/>
    <w:rsid w:val="004E282B"/>
    <w:rsid w:val="004F2E7B"/>
    <w:rsid w:val="004F320D"/>
    <w:rsid w:val="005049BE"/>
    <w:rsid w:val="005234BC"/>
    <w:rsid w:val="00526996"/>
    <w:rsid w:val="005310C2"/>
    <w:rsid w:val="00541C8A"/>
    <w:rsid w:val="00553760"/>
    <w:rsid w:val="00553EA1"/>
    <w:rsid w:val="00555EC6"/>
    <w:rsid w:val="00567D27"/>
    <w:rsid w:val="0058201C"/>
    <w:rsid w:val="005B0033"/>
    <w:rsid w:val="005B0DBB"/>
    <w:rsid w:val="005C0832"/>
    <w:rsid w:val="005D0CE7"/>
    <w:rsid w:val="005D66DF"/>
    <w:rsid w:val="005F3042"/>
    <w:rsid w:val="006136ED"/>
    <w:rsid w:val="00615B2F"/>
    <w:rsid w:val="00635B12"/>
    <w:rsid w:val="00647FED"/>
    <w:rsid w:val="00651833"/>
    <w:rsid w:val="00652A5F"/>
    <w:rsid w:val="00653172"/>
    <w:rsid w:val="006654BF"/>
    <w:rsid w:val="006674B4"/>
    <w:rsid w:val="00672DBD"/>
    <w:rsid w:val="00676165"/>
    <w:rsid w:val="0068471C"/>
    <w:rsid w:val="0069352B"/>
    <w:rsid w:val="0069750A"/>
    <w:rsid w:val="006A0526"/>
    <w:rsid w:val="006B047A"/>
    <w:rsid w:val="006B0BF6"/>
    <w:rsid w:val="006B2317"/>
    <w:rsid w:val="006B64F5"/>
    <w:rsid w:val="006B765A"/>
    <w:rsid w:val="006D6D43"/>
    <w:rsid w:val="006F2B67"/>
    <w:rsid w:val="00700F44"/>
    <w:rsid w:val="00717571"/>
    <w:rsid w:val="00741759"/>
    <w:rsid w:val="007604CF"/>
    <w:rsid w:val="00762271"/>
    <w:rsid w:val="007705EF"/>
    <w:rsid w:val="007755FC"/>
    <w:rsid w:val="0078099E"/>
    <w:rsid w:val="00786883"/>
    <w:rsid w:val="00793182"/>
    <w:rsid w:val="0079502A"/>
    <w:rsid w:val="007A1D62"/>
    <w:rsid w:val="007A3E95"/>
    <w:rsid w:val="007B1A3D"/>
    <w:rsid w:val="007B57C1"/>
    <w:rsid w:val="007C0404"/>
    <w:rsid w:val="007D2494"/>
    <w:rsid w:val="007E4F2B"/>
    <w:rsid w:val="007F1A38"/>
    <w:rsid w:val="0081132C"/>
    <w:rsid w:val="00855A6C"/>
    <w:rsid w:val="00865C8C"/>
    <w:rsid w:val="00870809"/>
    <w:rsid w:val="00873891"/>
    <w:rsid w:val="00881B73"/>
    <w:rsid w:val="00890656"/>
    <w:rsid w:val="008907EF"/>
    <w:rsid w:val="008923FB"/>
    <w:rsid w:val="008954D9"/>
    <w:rsid w:val="008A0732"/>
    <w:rsid w:val="008A23FF"/>
    <w:rsid w:val="008B070F"/>
    <w:rsid w:val="008B3160"/>
    <w:rsid w:val="008E179C"/>
    <w:rsid w:val="008F09FE"/>
    <w:rsid w:val="008F2A1F"/>
    <w:rsid w:val="008F4B40"/>
    <w:rsid w:val="00901D67"/>
    <w:rsid w:val="00904B7D"/>
    <w:rsid w:val="00910D3C"/>
    <w:rsid w:val="00925097"/>
    <w:rsid w:val="00942FC5"/>
    <w:rsid w:val="00950961"/>
    <w:rsid w:val="00950A02"/>
    <w:rsid w:val="00974CDB"/>
    <w:rsid w:val="00982A1B"/>
    <w:rsid w:val="00983C48"/>
    <w:rsid w:val="009B0149"/>
    <w:rsid w:val="009C1BA5"/>
    <w:rsid w:val="009E0112"/>
    <w:rsid w:val="009E042B"/>
    <w:rsid w:val="009E451F"/>
    <w:rsid w:val="009F2AFA"/>
    <w:rsid w:val="009F3B46"/>
    <w:rsid w:val="009F4895"/>
    <w:rsid w:val="00A10811"/>
    <w:rsid w:val="00A13C4A"/>
    <w:rsid w:val="00A175B0"/>
    <w:rsid w:val="00A17B9E"/>
    <w:rsid w:val="00A205D5"/>
    <w:rsid w:val="00A22408"/>
    <w:rsid w:val="00A22E4C"/>
    <w:rsid w:val="00A23BB8"/>
    <w:rsid w:val="00A276D3"/>
    <w:rsid w:val="00A344FA"/>
    <w:rsid w:val="00A503EC"/>
    <w:rsid w:val="00A647B8"/>
    <w:rsid w:val="00A80B38"/>
    <w:rsid w:val="00A82446"/>
    <w:rsid w:val="00A86DBA"/>
    <w:rsid w:val="00A93F92"/>
    <w:rsid w:val="00A95670"/>
    <w:rsid w:val="00AA13F3"/>
    <w:rsid w:val="00AA7768"/>
    <w:rsid w:val="00AB66D4"/>
    <w:rsid w:val="00AC2824"/>
    <w:rsid w:val="00AC355C"/>
    <w:rsid w:val="00AC79A0"/>
    <w:rsid w:val="00AD2C48"/>
    <w:rsid w:val="00AE21FC"/>
    <w:rsid w:val="00AE4820"/>
    <w:rsid w:val="00AF236F"/>
    <w:rsid w:val="00AF5E6B"/>
    <w:rsid w:val="00AF7B28"/>
    <w:rsid w:val="00B252E0"/>
    <w:rsid w:val="00B334CD"/>
    <w:rsid w:val="00B370C0"/>
    <w:rsid w:val="00B6386E"/>
    <w:rsid w:val="00B63DB6"/>
    <w:rsid w:val="00B6513C"/>
    <w:rsid w:val="00B66BAA"/>
    <w:rsid w:val="00B7660E"/>
    <w:rsid w:val="00B826AE"/>
    <w:rsid w:val="00B92FAD"/>
    <w:rsid w:val="00BA6647"/>
    <w:rsid w:val="00BA70D2"/>
    <w:rsid w:val="00BB2EB6"/>
    <w:rsid w:val="00BD18BB"/>
    <w:rsid w:val="00BD33CA"/>
    <w:rsid w:val="00BF3843"/>
    <w:rsid w:val="00BF52E7"/>
    <w:rsid w:val="00BF5CE4"/>
    <w:rsid w:val="00C018BC"/>
    <w:rsid w:val="00C0603F"/>
    <w:rsid w:val="00C33922"/>
    <w:rsid w:val="00C35ED1"/>
    <w:rsid w:val="00C74655"/>
    <w:rsid w:val="00C86DF0"/>
    <w:rsid w:val="00C93B0E"/>
    <w:rsid w:val="00CA3A6A"/>
    <w:rsid w:val="00CC27CB"/>
    <w:rsid w:val="00CD0701"/>
    <w:rsid w:val="00CE0601"/>
    <w:rsid w:val="00CE12C7"/>
    <w:rsid w:val="00D04A73"/>
    <w:rsid w:val="00D06264"/>
    <w:rsid w:val="00D14339"/>
    <w:rsid w:val="00D46210"/>
    <w:rsid w:val="00D874B3"/>
    <w:rsid w:val="00D909DE"/>
    <w:rsid w:val="00D93E2B"/>
    <w:rsid w:val="00D94427"/>
    <w:rsid w:val="00D975FA"/>
    <w:rsid w:val="00DB534F"/>
    <w:rsid w:val="00DD1746"/>
    <w:rsid w:val="00DF3E92"/>
    <w:rsid w:val="00DF724A"/>
    <w:rsid w:val="00E05A6C"/>
    <w:rsid w:val="00E13500"/>
    <w:rsid w:val="00E15B29"/>
    <w:rsid w:val="00E15FAA"/>
    <w:rsid w:val="00E276FD"/>
    <w:rsid w:val="00E30AA0"/>
    <w:rsid w:val="00E33438"/>
    <w:rsid w:val="00E33CD1"/>
    <w:rsid w:val="00E34765"/>
    <w:rsid w:val="00E36A22"/>
    <w:rsid w:val="00E417C9"/>
    <w:rsid w:val="00E441DA"/>
    <w:rsid w:val="00E65858"/>
    <w:rsid w:val="00E65926"/>
    <w:rsid w:val="00E67A68"/>
    <w:rsid w:val="00E71CDD"/>
    <w:rsid w:val="00E77D72"/>
    <w:rsid w:val="00E80463"/>
    <w:rsid w:val="00E8458F"/>
    <w:rsid w:val="00E85892"/>
    <w:rsid w:val="00E93A80"/>
    <w:rsid w:val="00E95153"/>
    <w:rsid w:val="00EA2155"/>
    <w:rsid w:val="00ED38DB"/>
    <w:rsid w:val="00EF0EA2"/>
    <w:rsid w:val="00F2761A"/>
    <w:rsid w:val="00F34FEE"/>
    <w:rsid w:val="00F411D3"/>
    <w:rsid w:val="00F42399"/>
    <w:rsid w:val="00F47AF2"/>
    <w:rsid w:val="00F51004"/>
    <w:rsid w:val="00F631D8"/>
    <w:rsid w:val="00F70C22"/>
    <w:rsid w:val="00F70F2E"/>
    <w:rsid w:val="00F74712"/>
    <w:rsid w:val="00F75CF8"/>
    <w:rsid w:val="00F7701E"/>
    <w:rsid w:val="00F859D4"/>
    <w:rsid w:val="00F90BB5"/>
    <w:rsid w:val="00FB06A8"/>
    <w:rsid w:val="00FB1DC4"/>
    <w:rsid w:val="00FC07EC"/>
    <w:rsid w:val="00FC34A9"/>
    <w:rsid w:val="00FE1D91"/>
    <w:rsid w:val="00FE2F15"/>
    <w:rsid w:val="00FF21C5"/>
    <w:rsid w:val="00FF2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635A"/>
  <w15:docId w15:val="{6A95C383-4528-44EE-9001-3B11AE4B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92"/>
    <w:rPr>
      <w:sz w:val="20"/>
      <w:szCs w:val="20"/>
    </w:rPr>
  </w:style>
  <w:style w:type="character" w:styleId="FootnoteReference">
    <w:name w:val="footnote reference"/>
    <w:basedOn w:val="DefaultParagraphFont"/>
    <w:unhideWhenUsed/>
    <w:rsid w:val="00326892"/>
    <w:rPr>
      <w:vertAlign w:val="superscript"/>
    </w:rPr>
  </w:style>
  <w:style w:type="character" w:styleId="CommentReference">
    <w:name w:val="annotation reference"/>
    <w:basedOn w:val="DefaultParagraphFont"/>
    <w:uiPriority w:val="99"/>
    <w:semiHidden/>
    <w:unhideWhenUsed/>
    <w:rsid w:val="007E4F2B"/>
    <w:rPr>
      <w:sz w:val="16"/>
      <w:szCs w:val="16"/>
    </w:rPr>
  </w:style>
  <w:style w:type="paragraph" w:styleId="CommentText">
    <w:name w:val="annotation text"/>
    <w:basedOn w:val="Normal"/>
    <w:link w:val="CommentTextChar"/>
    <w:unhideWhenUsed/>
    <w:rsid w:val="007E4F2B"/>
    <w:pPr>
      <w:spacing w:line="240" w:lineRule="auto"/>
    </w:pPr>
    <w:rPr>
      <w:sz w:val="20"/>
      <w:szCs w:val="20"/>
    </w:rPr>
  </w:style>
  <w:style w:type="character" w:customStyle="1" w:styleId="CommentTextChar">
    <w:name w:val="Comment Text Char"/>
    <w:basedOn w:val="DefaultParagraphFont"/>
    <w:link w:val="CommentText"/>
    <w:uiPriority w:val="99"/>
    <w:rsid w:val="007E4F2B"/>
    <w:rPr>
      <w:sz w:val="20"/>
      <w:szCs w:val="20"/>
    </w:rPr>
  </w:style>
  <w:style w:type="paragraph" w:styleId="CommentSubject">
    <w:name w:val="annotation subject"/>
    <w:basedOn w:val="CommentText"/>
    <w:next w:val="CommentText"/>
    <w:link w:val="CommentSubjectChar"/>
    <w:uiPriority w:val="99"/>
    <w:semiHidden/>
    <w:unhideWhenUsed/>
    <w:rsid w:val="007E4F2B"/>
    <w:rPr>
      <w:b/>
      <w:bCs/>
    </w:rPr>
  </w:style>
  <w:style w:type="character" w:customStyle="1" w:styleId="CommentSubjectChar">
    <w:name w:val="Comment Subject Char"/>
    <w:basedOn w:val="CommentTextChar"/>
    <w:link w:val="CommentSubject"/>
    <w:uiPriority w:val="99"/>
    <w:semiHidden/>
    <w:rsid w:val="007E4F2B"/>
    <w:rPr>
      <w:b/>
      <w:bCs/>
      <w:sz w:val="20"/>
      <w:szCs w:val="20"/>
    </w:rPr>
  </w:style>
  <w:style w:type="paragraph" w:styleId="BalloonText">
    <w:name w:val="Balloon Text"/>
    <w:basedOn w:val="Normal"/>
    <w:link w:val="BalloonTextChar"/>
    <w:uiPriority w:val="99"/>
    <w:semiHidden/>
    <w:unhideWhenUsed/>
    <w:rsid w:val="007E4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B"/>
    <w:rPr>
      <w:rFonts w:ascii="Segoe UI" w:hAnsi="Segoe UI" w:cs="Segoe UI"/>
      <w:sz w:val="18"/>
      <w:szCs w:val="18"/>
    </w:rPr>
  </w:style>
  <w:style w:type="paragraph" w:styleId="ListParagraph">
    <w:name w:val="List Paragraph"/>
    <w:basedOn w:val="Normal"/>
    <w:uiPriority w:val="34"/>
    <w:qFormat/>
    <w:rsid w:val="007A1D62"/>
    <w:pPr>
      <w:ind w:left="720"/>
      <w:contextualSpacing/>
    </w:pPr>
  </w:style>
  <w:style w:type="paragraph" w:styleId="Header">
    <w:name w:val="header"/>
    <w:basedOn w:val="Normal"/>
    <w:link w:val="HeaderChar"/>
    <w:uiPriority w:val="99"/>
    <w:unhideWhenUsed/>
    <w:rsid w:val="0006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01"/>
  </w:style>
  <w:style w:type="paragraph" w:styleId="Footer">
    <w:name w:val="footer"/>
    <w:basedOn w:val="Normal"/>
    <w:link w:val="FooterChar"/>
    <w:uiPriority w:val="99"/>
    <w:unhideWhenUsed/>
    <w:rsid w:val="0006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01"/>
  </w:style>
  <w:style w:type="character" w:styleId="Hyperlink">
    <w:name w:val="Hyperlink"/>
    <w:basedOn w:val="DefaultParagraphFont"/>
    <w:uiPriority w:val="99"/>
    <w:unhideWhenUsed/>
    <w:rsid w:val="00B6386E"/>
    <w:rPr>
      <w:color w:val="0563C1" w:themeColor="hyperlink"/>
      <w:u w:val="single"/>
    </w:rPr>
  </w:style>
  <w:style w:type="character" w:styleId="FollowedHyperlink">
    <w:name w:val="FollowedHyperlink"/>
    <w:basedOn w:val="DefaultParagraphFont"/>
    <w:uiPriority w:val="99"/>
    <w:semiHidden/>
    <w:unhideWhenUsed/>
    <w:rsid w:val="00901D67"/>
    <w:rPr>
      <w:color w:val="954F72" w:themeColor="followedHyperlink"/>
      <w:u w:val="single"/>
    </w:rPr>
  </w:style>
  <w:style w:type="character" w:customStyle="1" w:styleId="UnresolvedMention1">
    <w:name w:val="Unresolved Mention1"/>
    <w:basedOn w:val="DefaultParagraphFont"/>
    <w:uiPriority w:val="99"/>
    <w:semiHidden/>
    <w:unhideWhenUsed/>
    <w:rsid w:val="00901D67"/>
    <w:rPr>
      <w:color w:val="605E5C"/>
      <w:shd w:val="clear" w:color="auto" w:fill="E1DFDD"/>
    </w:rPr>
  </w:style>
  <w:style w:type="paragraph" w:styleId="Revision">
    <w:name w:val="Revision"/>
    <w:hidden/>
    <w:uiPriority w:val="99"/>
    <w:semiHidden/>
    <w:rsid w:val="00312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HOU023-002-2021</eDocs_FileName>
    <_dlc_ExpireDateSaved xmlns="http://schemas.microsoft.com/sharepoint/v3" xsi:nil="true"/>
    <_dlc_ExpireDate xmlns="http://schemas.microsoft.com/sharepoint/v3" xsi:nil="true"/>
    <eDocs_DocumentTopicsTaxHTField0 xmlns="6fe16537-9e6c-4405-87e4-e378bd3f1183">
      <Terms xmlns="http://schemas.microsoft.com/office/infopath/2007/PartnerControls"/>
    </eDocs_DocumentTopicsTaxHTField0>
    <eDocs_SeriesSubSeriesTaxHTField0 xmlns="6fe16537-9e6c-4405-87e4-e378bd3f1183">
      <Terms xmlns="http://schemas.microsoft.com/office/infopath/2007/PartnerControls">
        <TermInfo xmlns="http://schemas.microsoft.com/office/infopath/2007/PartnerControls">
          <TermName xmlns="http://schemas.microsoft.com/office/infopath/2007/PartnerControls">023</TermName>
          <TermId xmlns="http://schemas.microsoft.com/office/infopath/2007/PartnerControls">640d28ed-369d-41bc-ae44-4facb80df557</TermId>
        </TermInfo>
      </Terms>
    </eDocs_SeriesSubSeriesTaxHTField0>
    <eDocs_YearTaxHTField0 xmlns="6fe16537-9e6c-4405-87e4-e378bd3f118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FileTopicsTaxHTField0 xmlns="6fe16537-9e6c-4405-87e4-e378bd3f1183">
      <Terms xmlns="http://schemas.microsoft.com/office/infopath/2007/PartnerControls">
        <TermInfo xmlns="http://schemas.microsoft.com/office/infopath/2007/PartnerControls">
          <TermName xmlns="http://schemas.microsoft.com/office/infopath/2007/PartnerControls">Broadband</TermName>
          <TermId xmlns="http://schemas.microsoft.com/office/infopath/2007/PartnerControls">196d832c-64f2-457d-a797-714b50f1161b</TermId>
        </TermInfo>
        <TermInfo xmlns="http://schemas.microsoft.com/office/infopath/2007/PartnerControls">
          <TermName xmlns="http://schemas.microsoft.com/office/infopath/2007/PartnerControls">Part N</TermName>
          <TermId xmlns="http://schemas.microsoft.com/office/infopath/2007/PartnerControls">ecadd2a9-6b8f-449d-ad31-faaf1137a570</TermId>
        </TermInfo>
      </Terms>
    </eDocs_FileTopicsTaxHTField0>
    <TaxCatchAll xmlns="35d77eae-7d5b-4308-b44f-6687f46a4e78">
      <Value>32</Value>
      <Value>3</Value>
      <Value>31</Value>
      <Value>29</Value>
      <Value>1</Value>
    </TaxCatchAll>
    <eDocs_SecurityClassificationTaxHTField0 xmlns="6fe16537-9e6c-4405-87e4-e378bd3f118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0C34EF92496FC42BB50CAF5713E166C" ma:contentTypeVersion="19" ma:contentTypeDescription="Create a new document for eDocs" ma:contentTypeScope="" ma:versionID="0ce4b6ef2a83e784d782e3b5d8315456">
  <xsd:schema xmlns:xsd="http://www.w3.org/2001/XMLSchema" xmlns:xs="http://www.w3.org/2001/XMLSchema" xmlns:p="http://schemas.microsoft.com/office/2006/metadata/properties" xmlns:ns1="http://schemas.microsoft.com/sharepoint/v3" xmlns:ns2="6fe16537-9e6c-4405-87e4-e378bd3f1183" xmlns:ns3="35d77eae-7d5b-4308-b44f-6687f46a4e78" targetNamespace="http://schemas.microsoft.com/office/2006/metadata/properties" ma:root="true" ma:fieldsID="0a65f690122c967a882d8e9a0d5279c5" ns1:_="" ns2:_="" ns3:_="">
    <xsd:import namespace="http://schemas.microsoft.com/sharepoint/v3"/>
    <xsd:import namespace="6fe16537-9e6c-4405-87e4-e378bd3f1183"/>
    <xsd:import namespace="35d77eae-7d5b-4308-b44f-6687f46a4e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fe16537-9e6c-4405-87e4-e378bd3f118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default=""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d77eae-7d5b-4308-b44f-6687f46a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a25246-6ae1-45c1-901c-30b32bc290ff}" ma:internalName="TaxCatchAll" ma:showField="CatchAllData" ma:web="35d77eae-7d5b-4308-b44f-6687f46a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85E3-4E5F-4049-A5D8-4498C6F3F17E}">
  <ds:schemaRefs>
    <ds:schemaRef ds:uri="http://schemas.microsoft.com/office/2006/metadata/properties"/>
    <ds:schemaRef ds:uri="http://schemas.microsoft.com/office/infopath/2007/PartnerControls"/>
    <ds:schemaRef ds:uri="http://schemas.microsoft.com/sharepoint/v3"/>
    <ds:schemaRef ds:uri="6fe16537-9e6c-4405-87e4-e378bd3f1183"/>
    <ds:schemaRef ds:uri="35d77eae-7d5b-4308-b44f-6687f46a4e78"/>
  </ds:schemaRefs>
</ds:datastoreItem>
</file>

<file path=customXml/itemProps2.xml><?xml version="1.0" encoding="utf-8"?>
<ds:datastoreItem xmlns:ds="http://schemas.openxmlformats.org/officeDocument/2006/customXml" ds:itemID="{8C57F1AC-2CD7-4167-976E-0075F7D6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16537-9e6c-4405-87e4-e378bd3f1183"/>
    <ds:schemaRef ds:uri="35d77eae-7d5b-4308-b44f-6687f46a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4AFD8-3B51-4BA2-BBAC-6AAC8E1B94E8}">
  <ds:schemaRefs>
    <ds:schemaRef ds:uri="office.server.policy"/>
  </ds:schemaRefs>
</ds:datastoreItem>
</file>

<file path=customXml/itemProps4.xml><?xml version="1.0" encoding="utf-8"?>
<ds:datastoreItem xmlns:ds="http://schemas.openxmlformats.org/officeDocument/2006/customXml" ds:itemID="{E8168471-CD06-4FC6-83D5-2A19BC746B69}">
  <ds:schemaRefs>
    <ds:schemaRef ds:uri="http://schemas.microsoft.com/sharepoint/v3/contenttype/forms"/>
  </ds:schemaRefs>
</ds:datastoreItem>
</file>

<file path=customXml/itemProps5.xml><?xml version="1.0" encoding="utf-8"?>
<ds:datastoreItem xmlns:ds="http://schemas.openxmlformats.org/officeDocument/2006/customXml" ds:itemID="{9DE8DDEF-04F0-462F-A3EF-374FF53AF978}">
  <ds:schemaRefs>
    <ds:schemaRef ds:uri="http://schemas.microsoft.com/sharepoint/events"/>
  </ds:schemaRefs>
</ds:datastoreItem>
</file>

<file path=customXml/itemProps6.xml><?xml version="1.0" encoding="utf-8"?>
<ds:datastoreItem xmlns:ds="http://schemas.openxmlformats.org/officeDocument/2006/customXml" ds:itemID="{FB324FE5-5B8F-4F46-88D0-811FAA39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Linehan, Paul</dc:creator>
  <cp:lastModifiedBy>Margaret Power (Housing)</cp:lastModifiedBy>
  <cp:revision>3</cp:revision>
  <cp:lastPrinted>2021-05-16T19:47:00Z</cp:lastPrinted>
  <dcterms:created xsi:type="dcterms:W3CDTF">2023-04-25T07:40:00Z</dcterms:created>
  <dcterms:modified xsi:type="dcterms:W3CDTF">2023-04-25T07:42:00Z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0x0101000BC94875665D404BB1351B53C41FD2C000E0C34EF92496FC42BB50CAF5713E166C</vt:lpwstr>
  </property>
  <property fmtid="{D5CDD505-2E9C-101B-9397-08002B2CF9AE}" pid="3" name="eDocs_FileTopics">
    <vt:lpwstr>31;#Broadband|196d832c-64f2-457d-a797-714b50f1161b;#32;#Part N|ecadd2a9-6b8f-449d-ad31-faaf1137a570</vt:lpwstr>
  </property>
  <property fmtid="{D5CDD505-2E9C-101B-9397-08002B2CF9AE}" pid="4" name="eDocs_Year">
    <vt:lpwstr>3;#2018|afe33b4a-99f3-40d4-b891-6a866fe6cadb</vt:lpwstr>
  </property>
  <property fmtid="{D5CDD505-2E9C-101B-9397-08002B2CF9AE}" pid="5" name="eDocs_SeriesSubSeries">
    <vt:lpwstr>29;#023|640d28ed-369d-41bc-ae44-4facb80df557</vt:lpwstr>
  </property>
  <property fmtid="{D5CDD505-2E9C-101B-9397-08002B2CF9AE}" pid="6" name="_dlc_policyId">
    <vt:lpwstr/>
  </property>
  <property fmtid="{D5CDD505-2E9C-101B-9397-08002B2CF9AE}" pid="7" name="ItemRetentionFormula">
    <vt:lpwstr/>
  </property>
  <property fmtid="{D5CDD505-2E9C-101B-9397-08002B2CF9AE}" pid="8" name="eDocs_SecurityClassification">
    <vt:lpwstr>1;#Unclassified|38981149-6ab4-492e-b035-5180b1eb9314</vt:lpwstr>
  </property>
  <property fmtid="{D5CDD505-2E9C-101B-9397-08002B2CF9AE}" pid="9" name="eDocs_DocumentTopics">
    <vt:lpwstr/>
  </property>
  <property fmtid="{D5CDD505-2E9C-101B-9397-08002B2CF9AE}" pid="10" name="eDocs_SecurityClassificationTaxHTField0">
    <vt:lpwstr>Unclassified|38981149-6ab4-492e-b035-5180b1eb9314</vt:lpwstr>
  </property>
  <property fmtid="{D5CDD505-2E9C-101B-9397-08002B2CF9AE}" pid="11" name="_docset_NoMedatataSyncRequired">
    <vt:lpwstr>False</vt:lpwstr>
  </property>
  <property fmtid="{D5CDD505-2E9C-101B-9397-08002B2CF9AE}" pid="12" name="_dlc_LastRun">
    <vt:lpwstr>05/21/2022 23:13:15</vt:lpwstr>
  </property>
</Properties>
</file>