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A1AE" w14:textId="77777777" w:rsidR="008157F1" w:rsidRDefault="00493FBD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На основание член 228, седми параграф от Закона за електронните съобщения (Държавен вестник на Република Словения, бр. 130/22 и 18/23-ZDU-1O) министърът на цифровата трансформация, съгласувано с министъра на вътрешните работи, министъра на отбраната и директора на Словенската агенция за разузнаване и сигурност, издава</w:t>
      </w:r>
    </w:p>
    <w:p w14:paraId="6FE67D74" w14:textId="77777777" w:rsidR="008157F1" w:rsidRDefault="00493FBD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Правила относно оборудването и интерфейсите за законно прихващане на съобщения</w:t>
      </w:r>
    </w:p>
    <w:p w14:paraId="7867C4E5" w14:textId="77777777" w:rsidR="008157F1" w:rsidRDefault="008157F1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</w:p>
    <w:p w14:paraId="3FF98BD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1</w:t>
      </w:r>
    </w:p>
    <w:p w14:paraId="63767A50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(Съдържание)</w:t>
      </w:r>
    </w:p>
    <w:p w14:paraId="533F4CA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(1) Настоящите Правила определят подходящи интерфейси и функционалност на оборудването за законно прихващане на съобщения, които операторът осигурява за нуждите на правния контрол на електронните съобщения в Република Словения. </w:t>
      </w:r>
    </w:p>
    <w:p w14:paraId="3E6C19E7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Настоящите Правила са приети, като се взема предвид процедурата за информиране в областта на стандартите и техническите регламенти в съответствие с Директива (ЕС) 2015/1535 на Европейския парламент и на Съвета от 9 септември 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 241, 17.  9. 2015 г., стр. 1).</w:t>
      </w:r>
    </w:p>
    <w:p w14:paraId="542A8317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2</w:t>
      </w:r>
    </w:p>
    <w:p w14:paraId="7DF3F0D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(Значение на понятията)</w:t>
      </w:r>
    </w:p>
    <w:p w14:paraId="126AEF4D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Понятията, използвани в настоящите Правила, имат следните значения:</w:t>
      </w:r>
    </w:p>
    <w:p w14:paraId="2B6B213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Интерфейс за предаване означава интерфейс от страната на оператора, който позволява предаването на компетентния орган на резултатите от прихващането.</w:t>
      </w:r>
    </w:p>
    <w:p w14:paraId="47E6C07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Обществена съобщителна мрежа означава електронна съобщителна мрежа, използвана изцяло или главно за предоставяне на обществени съобщителни услуги, които позволяват предаването на информация между точките за свързване към мрежата.</w:t>
      </w:r>
    </w:p>
    <w:p w14:paraId="7A7305A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Контролирана точка на свързване означава точка на свързване, която подлежи на законов контрол върху електронните съобщения.</w:t>
      </w:r>
    </w:p>
    <w:p w14:paraId="29AD934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4.      Препис на заповед е документ, издаден в съответствие с член 228 от Закона за електронните съобщения (Държавен вестник на Република Словения, № 130/22 и 18/23-ZDU-1O, наричан по-долу Законът). </w:t>
      </w:r>
    </w:p>
    <w:p w14:paraId="02F7743E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Комуникация, прихваната в контекста на законно прихващане на съобщения, е комуникация, която:</w:t>
      </w:r>
    </w:p>
    <w:p w14:paraId="6A332E8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произхожда от или завършва в контролирана точка на свързване,</w:t>
      </w:r>
    </w:p>
    <w:p w14:paraId="488C3614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е насочена към контролирана точка на свързване и се съхранява временно в устройство за съхранение,</w:t>
      </w:r>
    </w:p>
    <w:p w14:paraId="4603699E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е маршрутизирана от контролираната точка на свързване към устройства за съхранение или се изисква от там от контролираната точка на свързване, или</w:t>
      </w:r>
    </w:p>
    <w:p w14:paraId="0BF7AFC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е насочена от контролираната точка на свързване към друга точка на свързване в обществената съобщителна мрежа или друго крайно оборудване или преминава през обществените съобщителни мрежи на други оператори.</w:t>
      </w:r>
    </w:p>
    <w:p w14:paraId="381E8BC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Компетентният орган е органът, който прилага мярката за правен контрол на електронните съобщения в съответствие със закона, уреждащ наказателните производства, или закона, регулиращ Словенската агенция за разузнаване и сигурност.</w:t>
      </w:r>
    </w:p>
    <w:p w14:paraId="06E442A2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Данни за прихванатата комуникация са сигнализация и друга информация, която е необходима за създаването и осъществяването на конкретна обществена комуникационна услуга, свързана с прихванатата комуникация, като данни относно номера на набраната или набиращата точка за свързване или относно друг идентификатор на потребителя, данни относно времето и продължителността на комуникацията, данни за местоположението на потребителя.</w:t>
      </w:r>
    </w:p>
    <w:p w14:paraId="7DDCFA5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      Точка на свързване е точка за свързване към мрежата или друга точка в обществена съобщителна мрежа.</w:t>
      </w:r>
    </w:p>
    <w:p w14:paraId="217C01D8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      Съдържание на прихванатата комуникация е информацията, обменяна между двама или повече ползватели на обществени съобщителни услуги, с изключение на данните за прихванатата комуникация.</w:t>
      </w:r>
    </w:p>
    <w:p w14:paraId="2D5F7E3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10.   Правен контрол на електронните съобщения е мярка за контрол на електронните съобщения, която включва законното прихващане и контрол и осигуряване на доказателства за всички форми на комуникация в обществената съобщителна мрежа, извършвано от компетентните органи в съответствие със закона, уреждащ наказателните производства, или закона, регулиращ Словенската агенция за разузнаване и сигурност.</w:t>
      </w:r>
    </w:p>
    <w:p w14:paraId="437A7134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11.   Законно прихващане на съобщения е процедура, разпоредена въз основа на закона, уреждащ наказателното производство, или закона, регулиращ Словенската агенция за разузнаване и сигурност, в която се събират съдържание, обстоятелства и факти, свързани с комуникациите в определен момент от обществената съобщителна мрежа.</w:t>
      </w:r>
    </w:p>
    <w:p w14:paraId="4B55B49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3</w:t>
      </w:r>
    </w:p>
    <w:p w14:paraId="31FD5FB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(Основни изисквания)</w:t>
      </w:r>
    </w:p>
    <w:p w14:paraId="604CDF8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(1) Операторът инсталира такива интерфейси и оборудване в своята електронна съобщителна мрежа, които след получаване на препис от заповедта могат да позволят законното прихващане на съобщения в определена контролирана точка на свързване по начин, до степен и продължителност, както е посочено в преписа на заповедта. </w:t>
      </w:r>
    </w:p>
    <w:p w14:paraId="0028B3F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(2) Операторът осигурява в своята електронна съобщителна мрежа такъв брой и подреждане на тези възли в мрежата, където е инсталирано оборудване за законно </w:t>
      </w:r>
      <w:r>
        <w:rPr>
          <w:rFonts w:ascii="Arial" w:hAnsi="Arial"/>
          <w:sz w:val="21"/>
        </w:rPr>
        <w:lastRenderedPageBreak/>
        <w:t xml:space="preserve">прихващане на съобщения, така че достъпът до резултатите от прихващането да се осигурява по всяко време и по равностоен начин от всяка контролирана точка на свързване, която временно или постоянно използва обществената съобщителна мрежа или услуга на оператора. </w:t>
      </w:r>
    </w:p>
    <w:p w14:paraId="348C9D6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 Законното прихващане на съобщения се извършва по такъв начин, че лицата, участващи в прихванатите съобщения, и други неоправомощени лица да не разбират, че се извършва законно прихващане на съобщения.  Използването на устройства и оборудване за осъществяване на законно прихващане на съобщения не може да променя експлоатационните характеристики или качеството на прихванатите съобщения или други обществени съобщителни услуги.</w:t>
      </w:r>
    </w:p>
    <w:p w14:paraId="117EC19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(4) Оборудването и интерфейсите за законно прихващане на съобщения дават възможност за законно прихващане на съобщения в конкретна контролирана точка на свързване веднага след изтичането на разрешената продължителност на правния контрол на електронните съобщения в тази точка на свързване или когато операторът получи уведомление, че правният контрол върху електронните съобщения в тази точка на свързване е прекратен. </w:t>
      </w:r>
    </w:p>
    <w:p w14:paraId="46D4E7C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(5) Операторът предоставя такова оборудване и интерфейс, така че всички компетентни органи да могат едновременно да извършват правен контрол на електронните съобщения. </w:t>
      </w:r>
    </w:p>
    <w:p w14:paraId="70CC08FE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4</w:t>
      </w:r>
    </w:p>
    <w:p w14:paraId="5E81DA5A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(Резултати от оборудването и от прихващането)</w:t>
      </w:r>
    </w:p>
    <w:p w14:paraId="36A2A60F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(1) Операторът използва такова оборудване, за да предостави на компетентния орган следната информация относно прихванатата комуникация в допълнение към съдържанието на прихванатото съобщение: </w:t>
      </w:r>
    </w:p>
    <w:p w14:paraId="18C94E7D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номера или друго обозначение на контролираната точка на свързване или идентификатора на потребителя;</w:t>
      </w:r>
    </w:p>
    <w:p w14:paraId="7DD4DE5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номера или друго обозначение на точката на свързване:</w:t>
      </w:r>
    </w:p>
    <w:p w14:paraId="6A635E2A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с която контролираната точка на свързване се опитва да установи връзка, дори ако установяването на връзката е неуспешно, или</w:t>
      </w:r>
    </w:p>
    <w:p w14:paraId="01205D15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което иска да установи връзка с контролирана точка на свързване, дори ако връзката не е била успешно установена или ако прихванатата комуникация от контролираната точка на свързване е била пренасочена на друго място или ако е била насочена към запаметяващо устройство (устройство за съхранение на данни);</w:t>
      </w:r>
    </w:p>
    <w:p w14:paraId="519FB0B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в случай на премаршрутизиране, също така номерата или други обозначения на всички точки на свързване, към които са премаршрутизирани прихванатите съобщения;</w:t>
      </w:r>
    </w:p>
    <w:p w14:paraId="764B3E43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      информация за вида на обществената съобщителна услуга, използвана в контролираната точка на свързване, или нейните характеристики;</w:t>
      </w:r>
    </w:p>
    <w:p w14:paraId="3FA0773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технически причини за евентуално прекратяване на връзката между контролираната точка на свързване и всяка друга точка на свързване или че не е установена връзка с контролираната точка на свързване;</w:t>
      </w:r>
    </w:p>
    <w:p w14:paraId="0A0A61F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6.      най-подробната налична информация за местоположението на контролираната точка на свързване, ако тя е контролирана точка за свързване в мобилни обществени съобщителни мрежи;</w:t>
      </w:r>
    </w:p>
    <w:p w14:paraId="4B5CB9D6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датата и часа на опита за прихващане на комуникация, ако връзката не е била установена, както и датата и часа на началото и края на прихванатата комуникация и продължителността ѝ, ако връзката е била успешна.</w:t>
      </w:r>
    </w:p>
    <w:p w14:paraId="3F522BAC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(2) Данните, посочени в предходния параграф, се предоставят и от оператора: </w:t>
      </w:r>
    </w:p>
    <w:p w14:paraId="4E6232A9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когато контролираната точка на свързване е включена във връзка, установена между множество точки на свързване;</w:t>
      </w:r>
    </w:p>
    <w:p w14:paraId="283E5AA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когато са установени връзки към множество точки на свързване от контролираната крайна точка.</w:t>
      </w:r>
    </w:p>
    <w:p w14:paraId="7B29A48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(3) Ако по технически причини операторът не предостави всички резултати от прихващането в своята обществена комуникационна мрежа, той незабавно уведомява компетентния орган. </w:t>
      </w:r>
    </w:p>
    <w:p w14:paraId="07995DF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(4) Връзката между съдържанието на прихванатата комуникация и свързаните с тях прихванати комуникационни данни трябва да бъде уникална. </w:t>
      </w:r>
    </w:p>
    <w:p w14:paraId="21B6392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5</w:t>
      </w:r>
    </w:p>
    <w:p w14:paraId="66BC3D8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(Интерфейс за предаване)</w:t>
      </w:r>
    </w:p>
    <w:p w14:paraId="5E91372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(1) Независимо от броя на възлите, посочени в член 3, втори параграф от настоящите Правила, операторът по принцип осигурява един интерфейс за предаване. </w:t>
      </w:r>
    </w:p>
    <w:p w14:paraId="03FD246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Счита се, че операторът е спазил разпоредбите на член 228, шести параграф от закона, ако предоставя интерфейса за предаване заедно с друг оператор или оператори или ако свързва мрежата си към интерфейса за предаване на друг оператор.  В този случай операторът гарантира, че всички данни, необходими за генериране на резултатите от прихващането, са достъпни за интерфейса за предаване.</w:t>
      </w:r>
    </w:p>
    <w:p w14:paraId="216AC329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(3) Интерфейсът за предаване трябва да се изпълнява по такъв начин, че: </w:t>
      </w:r>
    </w:p>
    <w:p w14:paraId="17CDCEC5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да предоставя на компетентния орган резултатите от прихващането през целия срок на правния контрол на електронните съобщения в конкретна контролирана точка на свързване,</w:t>
      </w:r>
    </w:p>
    <w:p w14:paraId="4D820AF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качеството на комуникациите в интерфейса за предаване да не е по-ниско от качеството на съответните прихванати съобщения,</w:t>
      </w:r>
    </w:p>
    <w:p w14:paraId="10ECB1A8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за предаване и доставка на резултатите от прихващането могат да се използват общодостъпни и обслужваеми маршрути и протоколи за предаване,</w:t>
      </w:r>
    </w:p>
    <w:p w14:paraId="6368256A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—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стандартите SIST ES 201 671, SIST-TS ETSI/TS 102 232 в SIST-TS ETSI/TS 103 280 се вземат предвид за обществените съобщителни мрежи или обществените съобщителни услуги.</w:t>
      </w:r>
    </w:p>
    <w:p w14:paraId="2D7033DE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(4) Ако операторът кодира, компресира или криптира комуникациите в своята обществена комуникационна мрежа, той гарантира, че резултатите от прихващането на интерфейса за предаване са некодирани, некомпресирани или некриптирани. </w:t>
      </w:r>
    </w:p>
    <w:p w14:paraId="448295C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t>ЗАКЛЮЧИТЕЛНИ РАЗПОРЕДБИ</w:t>
      </w:r>
    </w:p>
    <w:p w14:paraId="60B7D93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6</w:t>
      </w:r>
    </w:p>
    <w:p w14:paraId="0815E7FC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(Прекратяване на употребата)</w:t>
      </w:r>
    </w:p>
    <w:p w14:paraId="4B71547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Правилата за оборудването и интерфейсите за законно прихващане на съобщения (Държавен вестник на Република Словения, бр. 89/13 и 189/21 — ZDU-1M) престават да се прилагат в деня на влизане в сила на настоящите Правила.</w:t>
      </w:r>
    </w:p>
    <w:p w14:paraId="55C20942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Член 7</w:t>
      </w:r>
    </w:p>
    <w:p w14:paraId="0FEA136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(Влизане в сила)</w:t>
      </w:r>
    </w:p>
    <w:p w14:paraId="21F6210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Настоящите Правила влизат в сила на петнадесетия ден след публикуването им в Държавен вестник на Република Словения.</w:t>
      </w:r>
    </w:p>
    <w:p w14:paraId="7A5D79CE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№ 007-32/2023/51</w:t>
      </w:r>
    </w:p>
    <w:p w14:paraId="6F16CE7E" w14:textId="77777777" w:rsidR="008157F1" w:rsidRDefault="00493FBD">
      <w:pPr>
        <w:pStyle w:val="krajdatumsprejetj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Любляна, 22 ноември 2023 г.</w:t>
      </w:r>
    </w:p>
    <w:p w14:paraId="58FC9EF3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EVA 2023-3150-0009</w:t>
      </w:r>
    </w:p>
    <w:p w14:paraId="6E6AAE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Dr. Emilija Stojmenova Duh</w:t>
      </w:r>
      <w:r>
        <w:rPr>
          <w:rFonts w:ascii="Arial" w:hAnsi="Arial"/>
          <w:sz w:val="21"/>
        </w:rPr>
        <w:br/>
        <w:t>Министър</w:t>
      </w:r>
      <w:r>
        <w:rPr>
          <w:rFonts w:ascii="Arial" w:hAnsi="Arial"/>
          <w:sz w:val="21"/>
        </w:rPr>
        <w:br/>
        <w:t>на цифровата трансформация</w:t>
      </w:r>
    </w:p>
    <w:p w14:paraId="0DBF4A8E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Със съгласието на</w:t>
      </w:r>
    </w:p>
    <w:p w14:paraId="7E9BE9A5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Boštjan Poklukar</w:t>
      </w:r>
      <w:r>
        <w:rPr>
          <w:rFonts w:ascii="Arial" w:hAnsi="Arial"/>
          <w:sz w:val="21"/>
        </w:rPr>
        <w:br/>
        <w:t>Министър</w:t>
      </w:r>
      <w:r>
        <w:rPr>
          <w:rFonts w:ascii="Arial" w:hAnsi="Arial"/>
          <w:sz w:val="21"/>
        </w:rPr>
        <w:br/>
        <w:t>на вътрешните работи</w:t>
      </w:r>
    </w:p>
    <w:p w14:paraId="3E5F6A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Marjan Šarec</w:t>
      </w:r>
      <w:r>
        <w:rPr>
          <w:rFonts w:ascii="Arial" w:hAnsi="Arial"/>
          <w:sz w:val="21"/>
        </w:rPr>
        <w:br/>
        <w:t>Министър</w:t>
      </w:r>
      <w:r>
        <w:rPr>
          <w:rFonts w:ascii="Arial" w:hAnsi="Arial"/>
          <w:sz w:val="21"/>
        </w:rPr>
        <w:br/>
        <w:t>на отбраната</w:t>
      </w:r>
    </w:p>
    <w:p w14:paraId="6D8F6C37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Joško Kadivnik</w:t>
      </w:r>
      <w:r>
        <w:rPr>
          <w:rFonts w:ascii="Arial" w:hAnsi="Arial"/>
          <w:sz w:val="21"/>
        </w:rPr>
        <w:br/>
        <w:t>Директор на</w:t>
      </w:r>
      <w:r>
        <w:rPr>
          <w:rFonts w:ascii="Arial" w:hAnsi="Arial"/>
          <w:sz w:val="21"/>
        </w:rPr>
        <w:br/>
        <w:t>Словенската агенция</w:t>
      </w:r>
      <w:r>
        <w:rPr>
          <w:rFonts w:ascii="Arial" w:hAnsi="Arial"/>
          <w:sz w:val="21"/>
        </w:rPr>
        <w:br/>
        <w:t>за разузнаване и сигурност</w:t>
      </w:r>
    </w:p>
    <w:p w14:paraId="32376EB8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0623"/>
    <w:rsid w:val="00493FBD"/>
    <w:rsid w:val="00621566"/>
    <w:rsid w:val="008157F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3B46"/>
  <w15:docId w15:val="{426B9CB5-3F67-4B58-AB7D-FCDF913C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alineazastevilcnotocko">
    <w:name w:val="alinea_za_stevilcno_tocko"/>
    <w:basedOn w:val="Normal"/>
    <w:pPr>
      <w:ind w:hanging="142"/>
      <w:jc w:val="both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ormal"/>
    <w:pPr>
      <w:pBdr>
        <w:top w:val="none" w:sz="0" w:space="24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9100</Characters>
  <Application>Microsoft Office Word</Application>
  <DocSecurity>0</DocSecurity>
  <Lines>182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PRAV14963 NPB0</dc:title>
  <dc:creator>Jožica Škof Nikolič</dc:creator>
  <cp:keywords>class='Internal'</cp:keywords>
  <cp:lastModifiedBy>Ragnhild Efraimsson</cp:lastModifiedBy>
  <cp:revision>2</cp:revision>
  <dcterms:created xsi:type="dcterms:W3CDTF">2024-08-14T12:23:00Z</dcterms:created>
  <dcterms:modified xsi:type="dcterms:W3CDTF">2024-08-14T12:23:00Z</dcterms:modified>
</cp:coreProperties>
</file>