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A1AE" w14:textId="77777777" w:rsidR="008157F1" w:rsidRDefault="00493FBD">
      <w:pPr>
        <w:pStyle w:val="zamik"/>
        <w:pBdr>
          <w:top w:val="none" w:sz="0" w:space="24" w:color="auto"/>
        </w:pBdr>
        <w:spacing w:after="210"/>
        <w:jc w:val="both"/>
        <w:rPr>
          <w:rFonts w:ascii="Arial" w:eastAsia="Arial" w:hAnsi="Arial" w:cs="Arial"/>
          <w:sz w:val="21"/>
          <w:szCs w:val="21"/>
        </w:rPr>
      </w:pPr>
      <w:r>
        <w:rPr>
          <w:rFonts w:ascii="Arial" w:hAnsi="Arial"/>
          <w:sz w:val="21"/>
        </w:rPr>
        <w:t>Elektroonilise side seaduse (Sloveenia Vabariigi ametlik väljaanne nr 130/22 ja 18/23-ZDU-1O) artikli 228 seitsmenda lõigu alusel annab digiülemineku minister kokkuleppel siseministri, kaitseministri ning Sloveenia luure- ja julgeolekuameti direktoriga käesolevaga välja järgmise dokumendi.</w:t>
      </w:r>
    </w:p>
    <w:p w14:paraId="6FE67D74" w14:textId="77777777" w:rsidR="008157F1" w:rsidRDefault="00493FBD">
      <w:pPr>
        <w:pStyle w:val="center"/>
        <w:spacing w:before="210" w:after="210"/>
        <w:rPr>
          <w:rFonts w:ascii="Arial" w:eastAsia="Arial" w:hAnsi="Arial" w:cs="Arial"/>
          <w:b/>
          <w:bCs/>
          <w:caps/>
          <w:sz w:val="21"/>
          <w:szCs w:val="21"/>
        </w:rPr>
      </w:pPr>
      <w:r>
        <w:rPr>
          <w:rFonts w:ascii="Arial" w:hAnsi="Arial"/>
          <w:b/>
          <w:caps/>
          <w:sz w:val="21"/>
        </w:rPr>
        <w:t>Eeskirjad side seaduslikuks pealtkuulamiseks vajalike seadmete ja liideste kohta</w:t>
      </w:r>
    </w:p>
    <w:p w14:paraId="7867C4E5" w14:textId="77777777" w:rsidR="008157F1" w:rsidRDefault="008157F1">
      <w:pPr>
        <w:pStyle w:val="center"/>
        <w:spacing w:before="210" w:after="210"/>
        <w:rPr>
          <w:rFonts w:ascii="Arial" w:eastAsia="Arial" w:hAnsi="Arial" w:cs="Arial"/>
          <w:b/>
          <w:bCs/>
          <w:caps/>
          <w:sz w:val="21"/>
          <w:szCs w:val="21"/>
        </w:rPr>
      </w:pPr>
    </w:p>
    <w:p w14:paraId="3FF98BD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w:t>
      </w:r>
    </w:p>
    <w:p w14:paraId="63767A50"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(Sisu)</w:t>
      </w:r>
    </w:p>
    <w:p w14:paraId="533F4CA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Eeskirjadega määratakse kindlaks side seaduslikuks pealtkuulamiseks sobivad liidesed ja funktsionaalsus, mille käitaja näeb ette elektroonilise side õigusliku kontrolli vajadusteks Sloveenia Vabariigis.</w:t>
      </w:r>
    </w:p>
    <w:p w14:paraId="3E6C19E7"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Käesolevate eeskirjade vastuvõtmisel on arvesse võetud standarditest ja tehnilistest eeskirjadest teatamise korda vastavalt Euroopa Parlamendi ja nõukogu 9. septembri 2015. aasta direktiivile (EL) 2015/1535, millega nähakse ette tehnilistest eeskirjadest ning infoühiskonna teenuste eeskirjadest teatamise kord (ELT L 241, 17). 9. 2015, lk 1).</w:t>
      </w:r>
    </w:p>
    <w:p w14:paraId="542A8317"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Artikkel 2</w:t>
      </w:r>
    </w:p>
    <w:p w14:paraId="7DF3F0D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(Mõisted)</w:t>
      </w:r>
    </w:p>
    <w:p w14:paraId="126AEF4D"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Nendes eeskirjades kasutatud mõistetel on järgmised tähendused.</w:t>
      </w:r>
    </w:p>
    <w:p w14:paraId="2B6B213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Üleandmisliides – kasutajapoolne liides, mis võimaldab edastada pealtkuulamistulemused pädevale asutusele.</w:t>
      </w:r>
    </w:p>
    <w:p w14:paraId="47E6C07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Üldkasutatavad sidevõrgud – elektroonilise side võrk, mida kasutatakse täielikult või peamiselt üldkasutatavate sideteenuste osutamiseks, mis võimaldavad edastada teavet võrguühenduspunktide vahel.</w:t>
      </w:r>
    </w:p>
    <w:p w14:paraId="7A7305A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Kontrollitav ühenduspunkt – ühenduspunkt, mis kuulub elektroonilise side õigusliku kontrolli alla.</w:t>
      </w:r>
    </w:p>
    <w:p w14:paraId="29AD934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4.      Korralduse transkriptsioon on elektroonilise side seaduse (Sloveenia Vabariigi ametlik väljaanne nr 130/22 ja 18/23-ZDU-1O artikli 228 kohaselt välja antud dokument, edaspidi: seadus). </w:t>
      </w:r>
    </w:p>
    <w:p w14:paraId="02F7743E"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Side seadusliku pealtkuulamise kontekstis pealtkuulatav side on side, mis:</w:t>
      </w:r>
    </w:p>
    <w:p w14:paraId="6A332E8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on pärit kontrollitavast ühenduspunktist või lõpeb seal;</w:t>
      </w:r>
    </w:p>
    <w:p w14:paraId="488C3614"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suunatakse kontrollitud ühenduspunkti ja salvestatakse ajutiselt salvestusseadmesse;</w:t>
      </w:r>
    </w:p>
    <w:p w14:paraId="4603699E"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lastRenderedPageBreak/>
        <w:t>suunatakse kontrollitavast ühenduspunktist salvestusseadmesse või seda nõutakse sealt kontrollitavast ühenduspunktist; või</w:t>
      </w:r>
    </w:p>
    <w:p w14:paraId="0BF7AFC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suunatakse kontrollitavast ühenduspunktist teise üldkasutatava sidevõrgu või muu lõppseadme ühenduspunkti või läbitakse teiste käitajate üldkasutatavaid sidevõrke.</w:t>
      </w:r>
    </w:p>
    <w:p w14:paraId="381E8BC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Pädev asutus on asutus, kes rakendab elektroonilise side õiguslikku kontrolli kooskõlas kriminaalmenetlust reguleerivate õigusaktidega või Sloveenia luure- ja julgeolekuameti suhtes kohaldatava õigusega.</w:t>
      </w:r>
    </w:p>
    <w:p w14:paraId="06E442A2"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Pealtkuulatava side andmed on signaalimine ja muu teave, mis on vajalik pealtkuulatava sidega seotud konkreetse avaliku sideteenuse loomiseks ja rakendamiseks, näiteks andmed helistatud või helistava ühenduspunkti numbri või muu kasutaja tunnuse kohta, andmed side aja ja kestuse kohta, kasutaja asukohaandmed.</w:t>
      </w:r>
    </w:p>
    <w:p w14:paraId="7DDCFA5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8.      Ühenduspunkt on võrguühenduspunkt või muu punkt üldkasutatavas sidevõrgus.</w:t>
      </w:r>
    </w:p>
    <w:p w14:paraId="217C01D8"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9.      Pealtkuulatava side sisu on teave, mida vahetatakse kahe või enama üldkasutatava sideteenuse kasutaja vahel, välja arvatud pealtkuulatava side andmed.</w:t>
      </w:r>
    </w:p>
    <w:p w14:paraId="2D5F7E3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10.   Elektroonilise side õiguslik kontroll on elektroonilise side kontrollimeede, mis hõlmab seaduslikku pealtkuulamist ning tõendite kontrollimist ja tagamist üldkasutatavas sidevõrgus kõigi sidevormide kohta, mida teostavad pädevad asutused kooskõlas kriminaalmenetlust reguleerivate õigusaktidega või Sloveenia luure- ja julgeolekuametit reguleerivate õigusaktidega.</w:t>
      </w:r>
    </w:p>
    <w:p w14:paraId="437A7134"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11.   Seaduslik side pealtkuulamine on kriminaalmenetlust reguleeriva õiguse või Sloveenia luure- ja julgeolekuameti seaduse alusel määratud menetlus, milles kogutakse üldkasutatava sidevõrgu konkreetses punktis toimuva side sisu, asjaolusid ja asjaolusid.</w:t>
      </w:r>
    </w:p>
    <w:p w14:paraId="4B55B49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Artikkel 3</w:t>
      </w:r>
    </w:p>
    <w:p w14:paraId="31FD5FB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(Põhinõuded)</w:t>
      </w:r>
    </w:p>
    <w:p w14:paraId="604CDF8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Käitaja paigaldab sellised liidesed ja seadmed oma elektroonilisse sidevõrku, mis pärast tellimuse ärakirja saamist võimaldab side seaduslikku pealtkuulamist konkreetses kontrollitavas ühenduspunktis korralduse ärakirjas täpsustatud viisil, ulatuses ja kestuse jooksul.</w:t>
      </w:r>
    </w:p>
    <w:p w14:paraId="0028B3F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Käitaja tagab oma elektroonilises sidevõrgus nende sõlmpunktide arvu ja korralduse võrgus, kuhu on paigaldatud side seaduslikuks pealtkuulamiseks vajalikud seadmed, nii et juurdepääs pealtkuulamistulemustele oleks igal ajal ja samaväärsel viisil tagatud igast kontrollitavast ühenduspunktist, mis kasutab ajutiselt või alaliselt käitaja üldkasutatavat sidevõrku või -teenust.</w:t>
      </w:r>
    </w:p>
    <w:p w14:paraId="348C9D6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Side seaduslik pealtkuulamine toimub nii, et kinnipeetud sidega seotud isikud ja teised volitamata isikud ei taju, et sidet seaduslikult pealt kuulatakse. Seadmete kasutamine side seaduslikuks pealtkuulamiseks ei tohi muuta pealtkuulatava side või muude üldkasutatavate sideteenuste tööomadusi ega kvaliteeti.</w:t>
      </w:r>
    </w:p>
    <w:p w14:paraId="117EC19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Side seaduslikuks pealtkuulamiseks vajalikud seadmed ja liidesed peavad võimaldama side seaduslikku pealtkuulamist konkreetses kontrollitavas ühenduspunktis kohe pärast elektroonilise side seadusliku kontrolli lubatud kestuse lõppemist selles ühenduspunktis või pärast seda, kui käitaja saab teate selle ühenduspunkti elektroonilise side õigusliku kontrolli lõpetamise kohta.</w:t>
      </w:r>
    </w:p>
    <w:p w14:paraId="46D4E7C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(5) Käitaja pakub selliseid seadmeid ja sellist liidest, et kõik pädevad asutused saaksid samaaegselt teostada elektroonilise side seaduslikku kontrolli.</w:t>
      </w:r>
    </w:p>
    <w:p w14:paraId="70CC08FE"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Artikkel 4</w:t>
      </w:r>
    </w:p>
    <w:p w14:paraId="5E81DA5A"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(Seadmed ja pealtkuulamise tulemused)</w:t>
      </w:r>
    </w:p>
    <w:p w14:paraId="36A2A60F"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Käitaja kasutab selliseid seadmeid, et anda kinnipeetud side kohta lisaks kinnipeetud side sisule pädevale asutusele järgmist teavet:</w:t>
      </w:r>
    </w:p>
    <w:p w14:paraId="18C94E7D"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kontrollitava ühenduspunkti number või muu tähis või kasutaja tunnus;</w:t>
      </w:r>
    </w:p>
    <w:p w14:paraId="7DD4DE5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ühenduspunkti number või muu tähis:</w:t>
      </w:r>
    </w:p>
    <w:p w14:paraId="6A635E2A"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millega kontrollitav ühenduspunkt püüab ühendust luua, isegi kui ühenduse loomine nurjus; või</w:t>
      </w:r>
    </w:p>
    <w:p w14:paraId="01205D15"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kes soovib luua ühenduse kontrollitava ühenduspunktiga, isegi kui ühendus ei olnud edukalt loodud või kui pealtkuulatud side kontrollitud ühenduspunktist suunati mujale või kui see suunati salvestusseadmesse (andmesalvestusseade);</w:t>
      </w:r>
    </w:p>
    <w:p w14:paraId="519FB0B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marsruudi muutmise korral ka kõikide ühenduspunktide numbrid või muud tähised, kuhu pealtkuulatud side suunati;</w:t>
      </w:r>
    </w:p>
    <w:p w14:paraId="764B3E43"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4.      teave kontrollitavas ühenduspunktis kasutatava üldkasutatava sideteenuse liigi või omaduste kohta;</w:t>
      </w:r>
    </w:p>
    <w:p w14:paraId="3FA0773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kontrollitava ühenduspunkti ja mis tahes muu ühenduspunkti vahelise ühenduse lõpliku lõpetamise tehnilised põhjused või asjaolu, et ühendus kontrollitava ühenduspunktiga ei ole loodud;</w:t>
      </w:r>
    </w:p>
    <w:p w14:paraId="0A0A61F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kõige üksikasjalikum kättesaadav teave kontrollitava ühenduspunkti asukoha kohta, kui tegemist on üldkasutatavate mobiilsidevõrkude kontrollitud ühenduspunktiga;</w:t>
      </w:r>
    </w:p>
    <w:p w14:paraId="4B5CB9D6"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side pealtkuulamise katse kuupäev ja kellaaeg, kui ühendust ei loodud, ning pealtkuulatud side alguse ja lõpu kuupäev ja kellaaeg või selle kestus, kui ühendus oli edukas.</w:t>
      </w:r>
    </w:p>
    <w:p w14:paraId="3F522BAC"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Eelmises lõikes osutatud andmed esitab ka käitaja:</w:t>
      </w:r>
    </w:p>
    <w:p w14:paraId="4E6232A9"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kui kontrollitav ühenduspunkt kuulub mitme ühenduspunkti vahelisesse ühendusse;</w:t>
      </w:r>
    </w:p>
    <w:p w14:paraId="283E5AA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kui kontrollitud lõpp-punktist on loodud ühendused mitme ühenduspunktiga.</w:t>
      </w:r>
    </w:p>
    <w:p w14:paraId="7B29A48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Kui käitaja ei esita tehnilistel põhjustel kõiki pealtkuulamise tulemusi oma üldkasutatavas sidevõrgus, teavitab ta sellest viivitamata pädevat asutust.</w:t>
      </w:r>
    </w:p>
    <w:p w14:paraId="07995DF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Pealtkuulatud side sisu ja sellega seotud pealtkuulatavate sideandmete vaheline korrelatsioon peab olema kordumatu.</w:t>
      </w:r>
    </w:p>
    <w:p w14:paraId="21B6392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Artikkel 5</w:t>
      </w:r>
    </w:p>
    <w:p w14:paraId="66BC3D8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(Üleandmisliides)</w:t>
      </w:r>
    </w:p>
    <w:p w14:paraId="5E91372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Olenemata käesolevate eeskirjade artikli 3 teises lõigus osutatud sõlmpunktide arvust, peab käitaja üldjuhul tagama ühe üleandmisliidese.</w:t>
      </w:r>
    </w:p>
    <w:p w14:paraId="03FD246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Käitaja loetakse seaduse artikli 228 kuuenda lõigu sätetele vastavaks, kui ta tagab üleandmise liidese koos teise käitaja(te)ga või kui ta ühendab oma võrgu teise käitaja üleandmisliidesega. Sellisel juhul tagab käitaja, et kõik pealtkuulamistulemuste saamiseks vajalikud andmed on üleandmisliideses kättesaadavad.</w:t>
      </w:r>
    </w:p>
    <w:p w14:paraId="216AC329"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Üleandmisliidest tuleb rakendada nii, et: </w:t>
      </w:r>
    </w:p>
    <w:p w14:paraId="17CDCEC5"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see annab pädevale asutusele side pealtkuulamise tulemused kogu elektroonilise side õigusliku kontrolli ajal konkreetses kontrollitavas ühenduspunktis;</w:t>
      </w:r>
    </w:p>
    <w:p w14:paraId="4D820AF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side kvaliteet üleandmisliideses ei ole madalam kui vastava pealtkuulatava side kvaliteet;</w:t>
      </w:r>
    </w:p>
    <w:p w14:paraId="10ECB1A8"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üldiselt kättesaadavaid ja teenindatavaid ülekandemarsruute ja ülekandeprotokolle saab kasutada pealtkuulamistulemuste edastamiseks ja üleandmiseks;</w:t>
      </w:r>
    </w:p>
    <w:p w14:paraId="6368256A"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avalike sidevõrkude või üldkasutatavate sideteenuste puhul võetakse arvesse standardeid SIST ES 201671, SIST-TS ETSI/TS 102232 SIST-TS ETSI/TS 103280.</w:t>
      </w:r>
    </w:p>
    <w:p w14:paraId="2D7033DE"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Kui käitaja kodeerib, tihendab või krüptib side oma üldkasutatavas sidevõrgus, peab ta tagama, et üleandmise liidese pealtkuulamise tulemused on kodeerimata, tihendamata või krüpteerimata.</w:t>
      </w:r>
    </w:p>
    <w:p w14:paraId="448295C1" w14:textId="77777777" w:rsidR="008157F1" w:rsidRDefault="00493FBD">
      <w:pPr>
        <w:pStyle w:val="center"/>
        <w:pBdr>
          <w:top w:val="none" w:sz="0" w:space="24" w:color="auto"/>
        </w:pBdr>
        <w:spacing w:before="210" w:after="210"/>
        <w:rPr>
          <w:rFonts w:ascii="Arial" w:eastAsia="Arial" w:hAnsi="Arial" w:cs="Arial"/>
          <w:caps/>
          <w:sz w:val="21"/>
          <w:szCs w:val="21"/>
        </w:rPr>
      </w:pPr>
      <w:r>
        <w:rPr>
          <w:rFonts w:ascii="Arial" w:hAnsi="Arial"/>
          <w:caps/>
          <w:sz w:val="21"/>
        </w:rPr>
        <w:t>LÕPPSÄTTED</w:t>
      </w:r>
    </w:p>
    <w:p w14:paraId="60B7D93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Artikkel 6</w:t>
      </w:r>
    </w:p>
    <w:p w14:paraId="0815E7FC"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(Kasutuse lõpetamine)</w:t>
      </w:r>
    </w:p>
    <w:p w14:paraId="4B71547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Seadusliku pealtkuulamise seadmeid ja liideseid käsitlevate eeskirjade (Sloveenia Vabariigi ametlik väljaanne nr 89/13 ja nr 189/21 – ZDU-1M) kohaldamine lõpeb käesoleva eeskirja jõustumise päeval.</w:t>
      </w:r>
    </w:p>
    <w:p w14:paraId="55C20942"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Artikkel 7</w:t>
      </w:r>
    </w:p>
    <w:p w14:paraId="0FEA136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(Jõustumine)</w:t>
      </w:r>
    </w:p>
    <w:p w14:paraId="21F6210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Käesolevad eeskirjad jõustuvad viieteistkümnendal päeval pärast nende avaldamist Sloveenia Vabariigi ametlikus väljaandes.</w:t>
      </w:r>
    </w:p>
    <w:p w14:paraId="7A5D79CE" w14:textId="77777777" w:rsidR="008157F1" w:rsidRDefault="00493FBD">
      <w:pPr>
        <w:pStyle w:val="evidencnastevilka"/>
        <w:spacing w:before="210" w:after="210"/>
        <w:rPr>
          <w:rFonts w:ascii="Arial" w:eastAsia="Arial" w:hAnsi="Arial" w:cs="Arial"/>
          <w:sz w:val="21"/>
          <w:szCs w:val="21"/>
        </w:rPr>
      </w:pPr>
      <w:r>
        <w:rPr>
          <w:rFonts w:ascii="Arial" w:hAnsi="Arial"/>
          <w:sz w:val="21"/>
        </w:rPr>
        <w:t>Nr 007-32/2023/51</w:t>
      </w:r>
    </w:p>
    <w:p w14:paraId="6F16CE7E" w14:textId="77777777" w:rsidR="008157F1" w:rsidRDefault="00493FBD">
      <w:pPr>
        <w:pStyle w:val="krajdatumsprejetja"/>
        <w:spacing w:before="210" w:after="210"/>
        <w:rPr>
          <w:rFonts w:ascii="Arial" w:eastAsia="Arial" w:hAnsi="Arial" w:cs="Arial"/>
          <w:sz w:val="21"/>
          <w:szCs w:val="21"/>
        </w:rPr>
      </w:pPr>
      <w:r>
        <w:rPr>
          <w:rFonts w:ascii="Arial" w:hAnsi="Arial"/>
          <w:sz w:val="21"/>
        </w:rPr>
        <w:lastRenderedPageBreak/>
        <w:t>Ljubljana, 22. november 2023</w:t>
      </w:r>
    </w:p>
    <w:p w14:paraId="58FC9EF3" w14:textId="77777777" w:rsidR="008157F1" w:rsidRDefault="00493FBD">
      <w:pPr>
        <w:pStyle w:val="evidencnastevilka"/>
        <w:spacing w:before="210" w:after="210"/>
        <w:rPr>
          <w:rFonts w:ascii="Arial" w:eastAsia="Arial" w:hAnsi="Arial" w:cs="Arial"/>
          <w:sz w:val="21"/>
          <w:szCs w:val="21"/>
        </w:rPr>
      </w:pPr>
      <w:r>
        <w:rPr>
          <w:rFonts w:ascii="Arial" w:hAnsi="Arial"/>
          <w:sz w:val="21"/>
        </w:rPr>
        <w:t>EVA 2023-3150-0009</w:t>
      </w:r>
    </w:p>
    <w:p w14:paraId="6E6AAE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Dr Emilija Stojmenova Duh</w:t>
      </w:r>
      <w:r>
        <w:rPr>
          <w:rFonts w:ascii="Arial" w:hAnsi="Arial"/>
          <w:sz w:val="21"/>
        </w:rPr>
        <w:br/>
        <w:t>Digiülemineku</w:t>
      </w:r>
      <w:r>
        <w:rPr>
          <w:rFonts w:ascii="Arial" w:hAnsi="Arial"/>
          <w:sz w:val="21"/>
        </w:rPr>
        <w:br/>
        <w:t>minister</w:t>
      </w:r>
    </w:p>
    <w:p w14:paraId="0DBF4A8E" w14:textId="77777777" w:rsidR="008157F1" w:rsidRDefault="00493FBD">
      <w:pPr>
        <w:pStyle w:val="podpisnik"/>
        <w:spacing w:before="210" w:after="210"/>
        <w:ind w:left="5669"/>
        <w:rPr>
          <w:rFonts w:ascii="Arial" w:eastAsia="Arial" w:hAnsi="Arial" w:cs="Arial"/>
          <w:sz w:val="21"/>
          <w:szCs w:val="21"/>
        </w:rPr>
      </w:pPr>
      <w:r>
        <w:rPr>
          <w:rFonts w:ascii="Arial" w:hAnsi="Arial"/>
          <w:sz w:val="21"/>
        </w:rPr>
        <w:t>Olen nõus!</w:t>
      </w:r>
    </w:p>
    <w:p w14:paraId="7E9BE9A5" w14:textId="77777777" w:rsidR="008157F1" w:rsidRDefault="00493FBD">
      <w:pPr>
        <w:pStyle w:val="podpisnik"/>
        <w:spacing w:before="210" w:after="210"/>
        <w:ind w:left="5669"/>
        <w:rPr>
          <w:rFonts w:ascii="Arial" w:eastAsia="Arial" w:hAnsi="Arial" w:cs="Arial"/>
          <w:sz w:val="21"/>
          <w:szCs w:val="21"/>
        </w:rPr>
      </w:pPr>
      <w:r>
        <w:rPr>
          <w:rFonts w:ascii="Arial" w:hAnsi="Arial"/>
          <w:b/>
          <w:bCs/>
          <w:sz w:val="21"/>
        </w:rPr>
        <w:t>Boštjan Poklukar</w:t>
      </w:r>
      <w:r>
        <w:rPr>
          <w:rFonts w:ascii="Arial" w:hAnsi="Arial"/>
          <w:sz w:val="21"/>
        </w:rPr>
        <w:br/>
        <w:t>Siseminister</w:t>
      </w:r>
    </w:p>
    <w:p w14:paraId="3E5F6AC2" w14:textId="77777777" w:rsidR="008157F1" w:rsidRDefault="00493FBD">
      <w:pPr>
        <w:pStyle w:val="podpisnik"/>
        <w:spacing w:before="210" w:after="210"/>
        <w:ind w:left="5669"/>
        <w:rPr>
          <w:rFonts w:ascii="Arial" w:eastAsia="Arial" w:hAnsi="Arial" w:cs="Arial"/>
          <w:sz w:val="21"/>
          <w:szCs w:val="21"/>
        </w:rPr>
      </w:pPr>
      <w:r>
        <w:rPr>
          <w:rFonts w:ascii="Arial" w:hAnsi="Arial"/>
          <w:b/>
          <w:bCs/>
          <w:sz w:val="21"/>
        </w:rPr>
        <w:t>Marjan Šarec</w:t>
      </w:r>
      <w:r>
        <w:rPr>
          <w:rFonts w:ascii="Arial" w:hAnsi="Arial"/>
          <w:sz w:val="21"/>
        </w:rPr>
        <w:br/>
        <w:t>Kaitseminister</w:t>
      </w:r>
    </w:p>
    <w:p w14:paraId="6D8F6C37" w14:textId="77777777" w:rsidR="008157F1" w:rsidRDefault="00493FBD">
      <w:pPr>
        <w:pStyle w:val="podpisnik"/>
        <w:spacing w:before="210" w:after="210"/>
        <w:ind w:left="5669"/>
        <w:rPr>
          <w:rFonts w:ascii="Arial" w:eastAsia="Arial" w:hAnsi="Arial" w:cs="Arial"/>
          <w:sz w:val="21"/>
          <w:szCs w:val="21"/>
        </w:rPr>
      </w:pPr>
      <w:r>
        <w:rPr>
          <w:rFonts w:ascii="Arial" w:hAnsi="Arial"/>
          <w:b/>
          <w:bCs/>
          <w:sz w:val="21"/>
        </w:rPr>
        <w:t>Joško Kadivnik</w:t>
      </w:r>
      <w:r>
        <w:rPr>
          <w:rFonts w:ascii="Arial" w:hAnsi="Arial"/>
          <w:sz w:val="21"/>
        </w:rPr>
        <w:br/>
        <w:t>Sloveenia luure- ja julgeolekuagentuuri</w:t>
      </w:r>
      <w:r>
        <w:rPr>
          <w:rFonts w:ascii="Arial" w:hAnsi="Arial"/>
          <w:sz w:val="21"/>
        </w:rPr>
        <w:br/>
        <w:t>direktor</w:t>
      </w:r>
    </w:p>
    <w:p w14:paraId="32376EB8"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110FA"/>
    <w:rsid w:val="00493FBD"/>
    <w:rsid w:val="00621566"/>
    <w:rsid w:val="008157F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3B46"/>
  <w15:docId w15:val="{426B9CB5-3F67-4B58-AB7D-FCDF913C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7877</Characters>
  <Application>Microsoft Office Word</Application>
  <DocSecurity>0</DocSecurity>
  <Lines>143</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PRAV14963 NPB0</dc:title>
  <dc:creator>Jožica Škof Nikolič</dc:creator>
  <cp:keywords>class='Internal'</cp:keywords>
  <cp:lastModifiedBy>Ragnhild Efraimsson</cp:lastModifiedBy>
  <cp:revision>2</cp:revision>
  <dcterms:created xsi:type="dcterms:W3CDTF">2024-08-14T12:24:00Z</dcterms:created>
  <dcterms:modified xsi:type="dcterms:W3CDTF">2024-08-14T12:24:00Z</dcterms:modified>
</cp:coreProperties>
</file>