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Vládní výnos č. 120/2024 ze dne 10. června 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kterým</w:t>
      </w:r>
      <w:r>
        <w:t xml:space="preserve"> </w:t>
      </w:r>
      <w:hyperlink r:id="rId4" w:history="1">
        <w:r>
          <w:rPr>
            <w:rFonts w:ascii="Times New Roman" w:hAnsi="Times New Roman"/>
            <w:b/>
            <w:sz w:val="32"/>
          </w:rPr>
          <w:t xml:space="preserve"> se mění vládní výnos </w:t>
        </w:r>
      </w:hyperlink>
      <w:hyperlink r:id="rId5" w:history="1">
        <w:r>
          <w:rPr>
            <w:rFonts w:ascii="Times New Roman" w:hAnsi="Times New Roman"/>
            <w:b/>
            <w:sz w:val="32"/>
          </w:rPr>
          <w:t xml:space="preserve">č. 39/2013 </w:t>
        </w:r>
      </w:hyperlink>
      <w:hyperlink r:id="rId6" w:history="1">
        <w:r>
          <w:rPr>
            <w:rFonts w:ascii="Times New Roman" w:hAnsi="Times New Roman"/>
            <w:b/>
            <w:sz w:val="32"/>
          </w:rPr>
          <w:t>ze dne 14. února 2013</w:t>
        </w:r>
      </w:hyperlink>
      <w:r>
        <w:rPr>
          <w:rFonts w:ascii="Times New Roman" w:hAnsi="Times New Roman"/>
          <w:b/>
          <w:sz w:val="32"/>
        </w:rPr>
        <w:t xml:space="preserve"> o výrobě, uvádění na trh a kontrole tabákových výrobků, o kombinovaných varováních a o podrobných ustanoveních o uplatňování zdravotnických sankcí</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Na základě zmocnění podle </w:t>
      </w:r>
      <w:hyperlink r:id="rId7" w:history="1">
        <w:r>
          <w:rPr>
            <w:rFonts w:ascii="Times New Roman" w:hAnsi="Times New Roman"/>
            <w:sz w:val="24"/>
          </w:rPr>
          <w:t>§ 8 odst. 5 písm. a)</w:t>
        </w:r>
      </w:hyperlink>
      <w:r>
        <w:rPr>
          <w:rFonts w:ascii="Times New Roman" w:hAnsi="Times New Roman"/>
          <w:sz w:val="24"/>
        </w:rPr>
        <w:t xml:space="preserve">, </w:t>
      </w:r>
      <w:hyperlink r:id="rId8" w:history="1">
        <w:r>
          <w:rPr>
            <w:rFonts w:ascii="Times New Roman" w:hAnsi="Times New Roman"/>
            <w:sz w:val="24"/>
          </w:rPr>
          <w:t>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a </w:t>
      </w:r>
      <w:hyperlink r:id="rId10" w:history="1">
        <w:r>
          <w:rPr>
            <w:rFonts w:ascii="Times New Roman" w:hAnsi="Times New Roman"/>
            <w:sz w:val="24"/>
          </w:rPr>
          <w:t>i)</w:t>
        </w:r>
      </w:hyperlink>
      <w:hyperlink r:id="rId11" w:history="1">
        <w:r>
          <w:rPr>
            <w:rFonts w:ascii="Times New Roman" w:hAnsi="Times New Roman"/>
            <w:sz w:val="24"/>
          </w:rPr>
          <w:t xml:space="preserve"> zákona  č. XLII z roku 1999 </w:t>
        </w:r>
      </w:hyperlink>
      <w:r>
        <w:rPr>
          <w:rFonts w:ascii="Times New Roman" w:hAnsi="Times New Roman"/>
          <w:sz w:val="24"/>
        </w:rPr>
        <w:t xml:space="preserve">o ochraně nekuřáků a o některých právních předpisech upravujících spotřebu a distribuci tabákových výrobků </w:t>
      </w:r>
      <w:hyperlink r:id="rId12" w:history="1">
        <w:r>
          <w:rPr>
            <w:rFonts w:ascii="Times New Roman" w:hAnsi="Times New Roman"/>
            <w:sz w:val="24"/>
          </w:rPr>
          <w:t>a v rámci svých úkolů stanovených v čl. 15 odst. 1 základního zákona</w:t>
        </w:r>
      </w:hyperlink>
      <w:r>
        <w:rPr>
          <w:rFonts w:ascii="Times New Roman" w:hAnsi="Times New Roman"/>
          <w:sz w:val="24"/>
        </w:rPr>
        <w:t xml:space="preserve"> vláda stanoví níže uvedené:</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1 </w:t>
      </w:r>
      <w:r>
        <w:rPr>
          <w:rFonts w:ascii="Times New Roman" w:hAnsi="Times New Roman"/>
          <w:sz w:val="24"/>
        </w:rPr>
        <w:t xml:space="preserve"> </w:t>
      </w:r>
      <w:hyperlink r:id="rId13" w:history="1">
        <w:r>
          <w:rPr>
            <w:rFonts w:ascii="Times New Roman" w:hAnsi="Times New Roman"/>
            <w:sz w:val="24"/>
          </w:rPr>
          <w:t>§</w:t>
        </w:r>
      </w:hyperlink>
      <w:r>
        <w:t xml:space="preserve"> </w:t>
      </w:r>
      <w:hyperlink r:id="rId14" w:history="1">
        <w:r>
          <w:rPr>
            <w:rFonts w:ascii="Times New Roman" w:hAnsi="Times New Roman"/>
            <w:sz w:val="24"/>
          </w:rPr>
          <w:t xml:space="preserve">4 </w:t>
        </w:r>
      </w:hyperlink>
      <w:hyperlink r:id="rId15" w:history="1">
        <w:r>
          <w:rPr>
            <w:rFonts w:ascii="Times New Roman" w:hAnsi="Times New Roman"/>
            <w:sz w:val="24"/>
          </w:rPr>
          <w:t xml:space="preserve">vládního výnosu </w:t>
        </w:r>
      </w:hyperlink>
      <w:hyperlink r:id="rId16" w:history="1">
        <w:r>
          <w:rPr>
            <w:rFonts w:ascii="Times New Roman" w:hAnsi="Times New Roman"/>
            <w:sz w:val="24"/>
          </w:rPr>
          <w:t xml:space="preserve">č. 39/2013 </w:t>
        </w:r>
      </w:hyperlink>
      <w:hyperlink r:id="rId17" w:history="1">
        <w:r>
          <w:rPr>
            <w:rFonts w:ascii="Times New Roman" w:hAnsi="Times New Roman"/>
            <w:sz w:val="24"/>
          </w:rPr>
          <w:t>ze dne 14. února 2013</w:t>
        </w:r>
      </w:hyperlink>
      <w:r>
        <w:rPr>
          <w:rFonts w:ascii="Times New Roman" w:hAnsi="Times New Roman"/>
          <w:sz w:val="24"/>
        </w:rPr>
        <w:t xml:space="preserve"> o výrobě, uvádění na trh a kontrole tabákových výrobků, o kombinovaných varováních a podrobných ustanoveních o uplatňování zdravotnických sankcí </w:t>
      </w:r>
      <w:hyperlink r:id="rId18" w:history="1">
        <w:r>
          <w:rPr>
            <w:rFonts w:ascii="Times New Roman" w:hAnsi="Times New Roman"/>
            <w:sz w:val="24"/>
          </w:rPr>
          <w:t>(dále jen:</w:t>
        </w:r>
      </w:hyperlink>
      <w:hyperlink r:id="rId19" w:history="1">
        <w:r>
          <w:rPr>
            <w:rFonts w:ascii="Times New Roman" w:hAnsi="Times New Roman"/>
            <w:sz w:val="24"/>
          </w:rPr>
          <w:t xml:space="preserve"> „výnos“)</w:t>
        </w:r>
      </w:hyperlink>
      <w:r>
        <w:rPr>
          <w:rFonts w:ascii="Times New Roman" w:hAnsi="Times New Roman"/>
          <w:sz w:val="24"/>
        </w:rPr>
        <w:t>se nahrazuje tímto:</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4 </w:t>
      </w:r>
      <w:r>
        <w:rPr>
          <w:rFonts w:ascii="Times New Roman" w:hAnsi="Times New Roman"/>
          <w:sz w:val="24"/>
        </w:rPr>
        <w:t>(1) Tabákový výrobek nesmí obsahovat cizí látky.</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Tabákový výrobek nesmí obsahovat</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vitamíny nebo další přísady vyvolávající dojem, že výrobek má příznivý fyziologický dopad nebo méně škodí zdraví;</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kofein, taurin nebo jiné doplňkové látky a stimulační sloučeniny, které dávají pocit zvýšení energie a vitality;</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doplňkové látky, které mění barvu výparů;</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v případě tabákových výrobků ke kouření přísady, které usnadňují vdechování nebo příjem nikotinu;</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doplňkové látky, které jsou v nespálené formě karcinogenní, mutagenní nebo reprotoxické (dále jen mají vlastnosti CMR).</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Tabákový výrobek nesmí obsahovat žádné zakázané přísady uvedené v příloze 4.</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Je zakázáno uvádět na trh a distribuovat tabákové výrobky, které nesplňují požadavky stanovené v </w:t>
      </w:r>
      <w:hyperlink r:id="rId20" w:history="1">
        <w:r>
          <w:rPr>
            <w:rFonts w:ascii="Times New Roman" w:hAnsi="Times New Roman"/>
            <w:sz w:val="24"/>
          </w:rPr>
          <w:t>odstavce 1 až 3</w:t>
        </w:r>
      </w:hyperlink>
      <w:r>
        <w:rPr>
          <w:rFonts w:ascii="Times New Roman" w:hAnsi="Times New Roman"/>
          <w:sz w:val="24"/>
        </w:rP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Kromě </w:t>
      </w:r>
      <w:hyperlink r:id="rId21" w:history="1">
        <w:r>
          <w:rPr>
            <w:rFonts w:ascii="Times New Roman" w:hAnsi="Times New Roman"/>
            <w:sz w:val="24"/>
          </w:rPr>
          <w:t>odstavce 1 až 4</w:t>
        </w:r>
      </w:hyperlink>
      <w:r>
        <w:rPr>
          <w:rFonts w:ascii="Times New Roman" w:hAnsi="Times New Roman"/>
          <w:sz w:val="24"/>
        </w:rPr>
        <w:t>je rovněž zakázáno uvádět na trh a distribuovat cigarety a tabák k ručnímu balení cigaret, které obsahují přísady odvozené od mentolu a mentolu.</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Uživatel, registrovaný obchodník, dovozce nebo oprávněný skladovatel (dále společně: oznamovatel) musí informovat Národní středisko pro veřejné zdraví a farmaceutiku (dále jen: </w:t>
      </w:r>
      <w:r>
        <w:rPr>
          <w:rFonts w:ascii="Times New Roman" w:hAnsi="Times New Roman"/>
          <w:sz w:val="24"/>
        </w:rPr>
        <w:lastRenderedPageBreak/>
        <w:t>„NNGYK“) o používání jakékoli nové přísady při výrobě tabákového výrobku a učiní tak 6 měsíců před zamýšleným počátečním datem použití, avšak nejpozději 30 dnů před zamýšleným datem použití. Oznámení obsahuje údaje uvedené v příloze 3. NNGYK vede úřední rejstřík oznámených údajů a zveřejňuje jej na svých internetových stránkách. Není třeba oznamovat používání přírodních částí surového tabáku.</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K oznámení se připojí</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povolení k užívání vydané orgánem státu, který je smluvní stranou Dohody o Evropském hospodářském prostoru, je-li k dispozici, a</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protokol s výsledky zkoušky vydaný akreditovanou laboratoří.</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Do 30 dnů od oznámení NNGYK přezkoumá, zda doplňková látka, která má být použita, patří k zakázaným doplňkovým látkám. </w:t>
      </w:r>
      <w:hyperlink r:id="rId22" w:history="1">
        <w:r>
          <w:rPr>
            <w:rFonts w:ascii="Times New Roman" w:hAnsi="Times New Roman"/>
            <w:sz w:val="24"/>
          </w:rPr>
          <w:t xml:space="preserve">ve výnosu, </w:t>
        </w:r>
      </w:hyperlink>
      <w:r>
        <w:rPr>
          <w:rFonts w:ascii="Times New Roman" w:hAnsi="Times New Roman"/>
          <w:sz w:val="24"/>
        </w:rPr>
        <w:t>na základě oznámení. Pokud v průběhu šetření NNGYK zjistí, že použití doplňkové látky (která má být použita) není zákonem zakázáno, potvrdí oznámení a informuje o tom oznamovatele. NNGYK o oznámení informuje ministra odpovědného za ochranu spotřebitele. Pokud společnost NNGYK nepředloží žádné prohlášení po uplynutí 30 dnů, považuje se oznámená doplňková látka za povolenou pro použití.</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Studie doplňkových látek oznámené v souladu s </w:t>
      </w:r>
      <w:hyperlink r:id="rId23" w:history="1">
        <w:r>
          <w:rPr>
            <w:rFonts w:ascii="Times New Roman" w:hAnsi="Times New Roman"/>
            <w:sz w:val="24"/>
          </w:rPr>
          <w:t>odstavec 6</w:t>
        </w:r>
      </w:hyperlink>
      <w:r>
        <w:rPr>
          <w:rFonts w:ascii="Times New Roman" w:hAnsi="Times New Roman"/>
          <w:sz w:val="24"/>
        </w:rPr>
        <w:t xml:space="preserve"> oznamovatel předloží NNGYK do 2 let poté, co je začal používat. Ministerstvo pod vedením ministra zdravotnictví do 6 měsíců od předložení dokumentace přezkoumá, zda z dokumentace vyplývá důvod pro zařazení doplňkové látky na seznam zakázaných doplňkových látek podle přílohy 4. Toto přezkoumání se provádí na základě dokumentace.</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Pokud hlavní lékař považuje za nezbytné zařadit doplňkovou látku na seznam v příloze 4, zahájí u ministra zdravotnictví změnu právních předpisů za účelem rozšíření seznamu.</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Zakazuje se používat jiné přísady než oznámené přísady a používat tabákové přísady za jiných podmínek, než jsou podmínky uvedené v oznámení.</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Cigarety propuštěné do volného oběhu musí splňovat bezpečnostní požadavky stanovené v normě MSZ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V případě přeshraničního prodeje na dálku se tabákové výrobky považují za uvedené na trh v členském státě, v němž se nachází spotřebitel.</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Pro účely tohoto § se přísada, které bylo výrobci povoleno používat při výrobě tabákového výrobku před 20. srpnem 2016 na základě zákonného povolení nebo zvláštního povolení, nepovažuje za novou přísadu a nepodléhá oznamovací povinnosti stanovené v </w:t>
      </w:r>
      <w:hyperlink r:id="rId24" w:history="1">
        <w:r>
          <w:rPr>
            <w:rFonts w:ascii="Times New Roman" w:hAnsi="Times New Roman"/>
            <w:sz w:val="24"/>
          </w:rPr>
          <w:t>odstavci 6</w:t>
        </w:r>
      </w:hyperlink>
      <w:r>
        <w:rPr>
          <w:rFonts w:ascii="Times New Roman" w:hAnsi="Times New Roman"/>
          <w:sz w:val="24"/>
        </w:rPr>
        <w:t xml:space="preserve"> za předpokladu, že není zařazen na seznam zakázaných přídatných látek v příloze 4.“</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2 </w:t>
      </w:r>
      <w:r>
        <w:rPr>
          <w:rFonts w:ascii="Times New Roman" w:hAnsi="Times New Roman"/>
          <w:sz w:val="24"/>
        </w:rPr>
        <w:t xml:space="preserve">V </w:t>
      </w:r>
      <w:hyperlink r:id="rId25" w:history="1">
        <w:r>
          <w:rPr>
            <w:rFonts w:ascii="Times New Roman" w:hAnsi="Times New Roman"/>
            <w:sz w:val="24"/>
          </w:rPr>
          <w:t xml:space="preserve">§ 6 odst. 1 písm. a) </w:t>
        </w:r>
      </w:hyperlink>
      <w:hyperlink r:id="rId26" w:history="1">
        <w:r>
          <w:rPr>
            <w:rFonts w:ascii="Times New Roman" w:hAnsi="Times New Roman"/>
            <w:sz w:val="24"/>
          </w:rPr>
          <w:t>výnosu,</w:t>
        </w:r>
      </w:hyperlink>
      <w:r>
        <w:rPr>
          <w:rFonts w:ascii="Times New Roman" w:hAnsi="Times New Roman"/>
          <w:sz w:val="24"/>
        </w:rPr>
        <w:t xml:space="preserve"> vyhlášky se doplňuje nové písmeno ai), které zní:</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(Druh tabákového výrobku musí být uveden na jednotkovém balení následujícím způsobem:)</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„zahřívaný tabákový výrobek“.“</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 3 </w:t>
      </w:r>
      <w:r>
        <w:rPr>
          <w:rFonts w:ascii="Times New Roman" w:hAnsi="Times New Roman"/>
          <w:sz w:val="24"/>
        </w:rPr>
        <w:t xml:space="preserve">(1) V </w:t>
      </w:r>
      <w:hyperlink r:id="rId27" w:history="1">
        <w:r>
          <w:rPr>
            <w:rFonts w:ascii="Times New Roman" w:hAnsi="Times New Roman"/>
            <w:sz w:val="24"/>
          </w:rPr>
          <w:t>§</w:t>
        </w:r>
      </w:hyperlink>
      <w:hyperlink r:id="rId28" w:history="1">
        <w:r>
          <w:rPr>
            <w:rFonts w:ascii="Times New Roman" w:hAnsi="Times New Roman"/>
            <w:sz w:val="24"/>
          </w:rPr>
          <w:t xml:space="preserve"> 15/A výnosu</w:t>
        </w:r>
      </w:hyperlink>
      <w:r>
        <w:t xml:space="preserve"> </w:t>
      </w:r>
      <w:hyperlink r:id="rId29" w:history="1">
        <w:r>
          <w:rPr>
            <w:rFonts w:ascii="Times New Roman" w:hAnsi="Times New Roman"/>
            <w:sz w:val="24"/>
          </w:rPr>
          <w:t>se písmeno a)</w:t>
        </w:r>
      </w:hyperlink>
      <w:r>
        <w:t xml:space="preserve"> </w:t>
      </w:r>
      <w:r>
        <w:rPr>
          <w:rFonts w:ascii="Times New Roman" w:hAnsi="Times New Roman"/>
          <w:sz w:val="24"/>
        </w:rPr>
        <w:t>nahrazuje tímto:</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(Jednotkové balení)</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obsahuje 20 cigaret v případě cigaret,“</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V </w:t>
      </w:r>
      <w:hyperlink r:id="rId30" w:history="1">
        <w:r>
          <w:rPr>
            <w:rFonts w:ascii="Times New Roman" w:hAnsi="Times New Roman"/>
            <w:sz w:val="24"/>
          </w:rPr>
          <w:t xml:space="preserve">§ 15/A výnosu se </w:t>
        </w:r>
      </w:hyperlink>
      <w:hyperlink r:id="rId31" w:history="1">
        <w:r>
          <w:rPr>
            <w:rFonts w:ascii="Times New Roman" w:hAnsi="Times New Roman"/>
            <w:sz w:val="24"/>
          </w:rPr>
          <w:t>písmeno c)</w:t>
        </w:r>
      </w:hyperlink>
      <w:r>
        <w:rPr>
          <w:rFonts w:ascii="Times New Roman" w:hAnsi="Times New Roman"/>
          <w:sz w:val="24"/>
        </w:rPr>
        <w:t xml:space="preserve"> nahrazuje tímto:</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(Jednotkové balení)</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v případě tabáku ke kouření obdélníkový nebo stojatý sáček obsahující tabák ke kouření o hmotnosti nejméně 30 g a nejvýše 50 gramů, avšak v každém případě o hmotnosti (v gramech) dělitelné deseti beze zbytku s tím, že v případě tabáku pro vodní dýmky představuje jednotkové balení rovněž karton obsahující nejvýše 50 gramů tabáku pro vodní dýmky;“.</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4 </w:t>
      </w:r>
      <w:r>
        <w:rPr>
          <w:rFonts w:ascii="Times New Roman" w:hAnsi="Times New Roman"/>
          <w:sz w:val="24"/>
        </w:rPr>
        <w:t xml:space="preserve"> V </w:t>
      </w:r>
      <w:hyperlink r:id="rId32" w:history="1">
        <w:r>
          <w:rPr>
            <w:rFonts w:ascii="Times New Roman" w:hAnsi="Times New Roman"/>
            <w:sz w:val="24"/>
          </w:rPr>
          <w:t>§ 17 výnosu</w:t>
        </w:r>
      </w:hyperlink>
      <w:r>
        <w:t xml:space="preserve"> </w:t>
      </w:r>
      <w:hyperlink r:id="rId33" w:history="1">
        <w:r>
          <w:rPr>
            <w:rFonts w:ascii="Times New Roman" w:hAnsi="Times New Roman"/>
            <w:sz w:val="24"/>
          </w:rPr>
          <w:t>se odst. 1 písm. a)</w:t>
        </w:r>
      </w:hyperlink>
      <w:r>
        <w:t xml:space="preserve"> </w:t>
      </w:r>
      <w:r>
        <w:rPr>
          <w:rFonts w:ascii="Times New Roman" w:hAnsi="Times New Roman"/>
          <w:sz w:val="24"/>
        </w:rPr>
        <w:t>nahrazuje tímto:</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(Dodržování tohoto výnosu)</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„a) pokud jde o oznámení</w:t>
      </w:r>
      <w:r>
        <w:t xml:space="preserve"> </w:t>
      </w:r>
      <w:hyperlink r:id="rId34" w:history="1">
        <w:r>
          <w:rPr>
            <w:rFonts w:ascii="Times New Roman" w:hAnsi="Times New Roman"/>
            <w:sz w:val="24"/>
          </w:rPr>
          <w:t>uvedené v § 4</w:t>
        </w:r>
      </w:hyperlink>
      <w:r>
        <w:t xml:space="preserve"> a </w:t>
      </w:r>
      <w:hyperlink r:id="rId35" w:history="1">
        <w:r>
          <w:rPr>
            <w:rFonts w:ascii="Times New Roman" w:hAnsi="Times New Roman"/>
            <w:sz w:val="24"/>
          </w:rPr>
          <w:t>pokud jde o číslo 9/B (s výjimkou ustanovení o jednotkových baleních výrobků)</w:t>
        </w:r>
      </w:hyperlink>
      <w:r>
        <w:t>,</w:t>
      </w:r>
      <w:r>
        <w:rPr>
          <w:rFonts w:ascii="Times New Roman" w:hAnsi="Times New Roman"/>
          <w:sz w:val="24"/>
        </w:rPr>
        <w:t xml:space="preserve"> ověří národní vrchní zdravotní úředník,“.</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(kdo bude jednat v rámci své pravomoci v případě porušení tohoto výnosu.)</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5 </w:t>
      </w:r>
      <w:r>
        <w:rPr>
          <w:rFonts w:ascii="Times New Roman" w:hAnsi="Times New Roman"/>
          <w:sz w:val="24"/>
        </w:rPr>
        <w:t xml:space="preserve"> V </w:t>
      </w:r>
      <w:hyperlink r:id="rId36" w:history="1">
        <w:r>
          <w:rPr>
            <w:rFonts w:ascii="Times New Roman" w:hAnsi="Times New Roman"/>
            <w:sz w:val="24"/>
          </w:rPr>
          <w:t>§ 18/A výnosu</w:t>
        </w:r>
      </w:hyperlink>
      <w:r>
        <w:t xml:space="preserve"> </w:t>
      </w:r>
      <w:r>
        <w:rPr>
          <w:rFonts w:ascii="Times New Roman" w:hAnsi="Times New Roman"/>
          <w:sz w:val="24"/>
        </w:rPr>
        <w:t>se doplňuje</w:t>
      </w:r>
      <w:hyperlink r:id="rId37" w:history="1">
        <w:r>
          <w:rPr>
            <w:rFonts w:ascii="Times New Roman" w:hAnsi="Times New Roman"/>
            <w:sz w:val="24"/>
          </w:rPr>
          <w:t xml:space="preserve"> nový odstavec 6, který zní:</w:t>
        </w:r>
      </w:hyperlink>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Považuje-li to vrchní zdravotní úředník na základě zprávy uvedené v tomto oddíle za nezbytné, podá podnět ministru zdravotnictví ke změně právních předpisů s cílem zakázat další používání přídatných látek zařazených na prioritní seznam.</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6 </w:t>
      </w:r>
      <w:r>
        <w:rPr>
          <w:rFonts w:ascii="Times New Roman" w:hAnsi="Times New Roman"/>
          <w:sz w:val="24"/>
        </w:rPr>
        <w:t xml:space="preserve"> </w:t>
      </w:r>
      <w:hyperlink r:id="rId38" w:history="1">
        <w:r>
          <w:rPr>
            <w:rFonts w:ascii="Times New Roman" w:hAnsi="Times New Roman"/>
            <w:sz w:val="24"/>
          </w:rPr>
          <w:t>§</w:t>
        </w:r>
      </w:hyperlink>
      <w:r>
        <w:t xml:space="preserve"> </w:t>
      </w:r>
      <w:hyperlink r:id="rId39" w:history="1">
        <w:r>
          <w:rPr>
            <w:rFonts w:ascii="Times New Roman" w:hAnsi="Times New Roman"/>
            <w:sz w:val="24"/>
          </w:rPr>
          <w:t>18/C výnosu se nahrazuje tímto:</w:t>
        </w:r>
      </w:hyperlink>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w:t>
      </w:r>
      <w:r>
        <w:rPr>
          <w:rFonts w:ascii="Times New Roman" w:hAnsi="Times New Roman"/>
          <w:b/>
          <w:sz w:val="24"/>
        </w:rPr>
        <w:t>§ 18/C</w:t>
      </w:r>
      <w:r>
        <w:rPr>
          <w:rFonts w:ascii="Times New Roman" w:hAnsi="Times New Roman"/>
          <w:sz w:val="24"/>
        </w:rPr>
        <w:t xml:space="preserve"> (1) Bylinný výrobek určený ke kouření může být uváděn na trh a může s ním být distribuováno za těchto podmínek:</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nesmí obsahovat žádnou doplňkovou látku uvedenou v příloze 4,</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nesmí obsahovat přidané vitaminy nebo jiné doplňkové látky, které vyvolávají dojem, že výrobek má příznivý fyziologický účinek nebo je méně škodlivý pro zdraví;</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nesmí obsahovat kofein, přidaný taurin ani jiné doplňkové látky a stimulační sloučeniny, které jsou spojovány s energií a vitalitou,</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nesmí obsahovat doplňkové látky usnadňující inhalaci a</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doplňková látka s vlastnostmi CMR (mutagenní nebo toxické pro rozmnožování).“</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Odchylně od </w:t>
      </w:r>
      <w:hyperlink r:id="rId40" w:history="1">
        <w:r>
          <w:rPr>
            <w:rFonts w:ascii="Times New Roman" w:hAnsi="Times New Roman"/>
            <w:sz w:val="24"/>
          </w:rPr>
          <w:t xml:space="preserve">odstavce 1, </w:t>
        </w:r>
      </w:hyperlink>
      <w:r>
        <w:rPr>
          <w:rFonts w:ascii="Times New Roman" w:hAnsi="Times New Roman"/>
          <w:sz w:val="24"/>
        </w:rPr>
        <w:t>pokud jde o rostlinné výrobky určené ke kouření, které jsou konzumovány zahříváním,</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a) </w:t>
      </w:r>
      <w:hyperlink r:id="rId41" w:history="1">
        <w:r>
          <w:rPr>
            <w:rFonts w:ascii="Times New Roman" w:hAnsi="Times New Roman"/>
            <w:sz w:val="24"/>
          </w:rPr>
          <w:t>ustanovení odst. 1 písm. a)</w:t>
        </w:r>
      </w:hyperlink>
      <w:r>
        <w:rPr>
          <w:rFonts w:ascii="Times New Roman" w:hAnsi="Times New Roman"/>
          <w:sz w:val="24"/>
        </w:rPr>
        <w:t xml:space="preserve"> se použije, pokud výrobek obsahuje čaj;</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uvedené látky </w:t>
      </w:r>
      <w:hyperlink r:id="rId42" w:history="1">
        <w:r>
          <w:rPr>
            <w:rFonts w:ascii="Times New Roman" w:hAnsi="Times New Roman"/>
            <w:sz w:val="24"/>
          </w:rPr>
          <w:t xml:space="preserve">v odst. 1 písm. b) až d) </w:t>
        </w:r>
      </w:hyperlink>
      <w:r>
        <w:rPr>
          <w:rFonts w:ascii="Times New Roman" w:hAnsi="Times New Roman"/>
          <w:sz w:val="24"/>
        </w:rPr>
        <w:t>mohou být použity v rozsahu, v jakém jsou základními složkami rostliny, byliny, ovoce nebo přidané aromatické látky.</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Výrobce, dovozce a distributor „bylinných výrobků určených ke kouření“ podá oznámení, pokud chce uvést na trh rostlinné výrobky ke kouření. Oznámení se podává elektronicky ministrovi odpovědnému za zemědělskou politiku, ministru zdravotnictví a vrchnímu zdravotnickému úředníkovi šest měsíců před plánovaným uvedením na trh. K oznámení se připojí podrobný popis bylinného výrobku určeného ke kouření a informace o všech složkách a množstvích použitých při jeho výrobě, a to podle obchodní značky a podtypu.</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Výrobce nebo dovozce bylinného výrobku určeného ke kouření rovněž informuje subjekty uvedené v </w:t>
      </w:r>
      <w:hyperlink r:id="rId43" w:history="1">
        <w:r>
          <w:rPr>
            <w:rFonts w:ascii="Times New Roman" w:hAnsi="Times New Roman"/>
            <w:sz w:val="24"/>
          </w:rPr>
          <w:t>odstavci 3</w:t>
        </w:r>
      </w:hyperlink>
      <w:r>
        <w:rPr>
          <w:rFonts w:ascii="Times New Roman" w:hAnsi="Times New Roman"/>
          <w:sz w:val="24"/>
        </w:rPr>
        <w:t>, pokud je složení výrobku změněno způsobem, který má dopad na informace poskytnuté v souladu s ustanovením tohoto §. Výrobce nebo dovozce bylinného výrobku určeného ke kouření může být požádán, aby provedl další zkoušky nebo poskytl dodatečné informace.</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Při zkoumání oznámení o bylinných výrobků určených ke kouření, národní vrchní zdravotnický úředník rozhodne, zda je nutné zakázat výrobek na základě poskytnutých údajů a informací, s přihlédnutím k ustanovením zákona o snižování prevalence kouření u mládeže a o maloobchodním prodeji tabákových výrobků.“ Po přezkoumání oznámení týkajících se těchto rostlinných výrobků určených ke kouření vydá vrchní zdravotní úředník osvědčení do 60 dnů od jejich předložení, pokud přípravek nemusí být zakázán. Pokud vrchní zdravotní úředník nepředloží prohlášení do 60 dnů, může být oznámený přípravek uveden na trh a může být distribuován.</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NNGYK zveřejňuje na svých internetových stránkách všechny informace, které obdržela v souladu s </w:t>
      </w:r>
      <w:hyperlink r:id="rId44" w:history="1">
        <w:r>
          <w:rPr>
            <w:rFonts w:ascii="Times New Roman" w:hAnsi="Times New Roman"/>
            <w:sz w:val="24"/>
          </w:rPr>
          <w:t>odstavci 3</w:t>
        </w:r>
      </w:hyperlink>
      <w:r>
        <w:rPr>
          <w:rFonts w:ascii="Times New Roman" w:hAnsi="Times New Roman"/>
          <w:sz w:val="24"/>
        </w:rPr>
        <w:t xml:space="preserve"> a </w:t>
      </w:r>
      <w:hyperlink r:id="rId45" w:history="1">
        <w:r>
          <w:rPr>
            <w:rFonts w:ascii="Times New Roman" w:hAnsi="Times New Roman"/>
            <w:sz w:val="24"/>
          </w:rPr>
          <w:t>4</w:t>
        </w:r>
      </w:hyperlink>
      <w:r>
        <w:rPr>
          <w:rFonts w:ascii="Times New Roman" w:hAnsi="Times New Roman"/>
          <w:sz w:val="24"/>
        </w:rPr>
        <w:t xml:space="preserve"> o složkách, které se používají při výrobě rostlinných produktů určených ke kouření, o jejich množstvích nebo jejich změnách. Zveřejnění těchto údajů musí vždy respektovat ochranu obchodního tajemství, které hospodářský subjekt označil.“</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w:t>
      </w:r>
      <w:r>
        <w:rPr>
          <w:rFonts w:ascii="Times New Roman" w:hAnsi="Times New Roman"/>
          <w:sz w:val="24"/>
        </w:rPr>
        <w:t xml:space="preserve"> </w:t>
      </w:r>
      <w:r>
        <w:rPr>
          <w:rFonts w:ascii="Times New Roman" w:hAnsi="Times New Roman"/>
          <w:b/>
          <w:sz w:val="24"/>
        </w:rPr>
        <w:t>7 </w:t>
      </w:r>
      <w:r>
        <w:rPr>
          <w:rFonts w:ascii="Times New Roman" w:hAnsi="Times New Roman"/>
          <w:sz w:val="24"/>
        </w:rPr>
        <w:t xml:space="preserve">(1) </w:t>
      </w:r>
      <w:hyperlink r:id="rId46" w:history="1">
        <w:r>
          <w:rPr>
            <w:rFonts w:ascii="Times New Roman" w:hAnsi="Times New Roman"/>
            <w:sz w:val="24"/>
          </w:rPr>
          <w:t xml:space="preserve">Níže </w:t>
        </w:r>
      </w:hyperlink>
      <w:hyperlink r:id="rId47" w:history="1">
        <w:r>
          <w:rPr>
            <w:rFonts w:ascii="Times New Roman" w:hAnsi="Times New Roman"/>
            <w:sz w:val="24"/>
          </w:rPr>
          <w:t xml:space="preserve">uvedený odstavec 1a </w:t>
        </w:r>
      </w:hyperlink>
      <w:r>
        <w:rPr>
          <w:rFonts w:ascii="Times New Roman" w:hAnsi="Times New Roman"/>
          <w:sz w:val="24"/>
        </w:rPr>
        <w:t>se vkládá do</w:t>
      </w:r>
      <w:r>
        <w:t xml:space="preserve"> §</w:t>
      </w:r>
      <w:r>
        <w:rPr>
          <w:rFonts w:ascii="Times New Roman" w:hAnsi="Times New Roman"/>
          <w:b/>
          <w:sz w:val="24"/>
        </w:rPr>
        <w:t xml:space="preserve"> </w:t>
      </w:r>
      <w:hyperlink r:id="rId48" w:history="1">
        <w:r>
          <w:rPr>
            <w:rFonts w:ascii="Times New Roman" w:hAnsi="Times New Roman"/>
            <w:sz w:val="24"/>
          </w:rPr>
          <w:t>19/A tohoto výnosu:</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„1a) </w:t>
      </w:r>
      <w:hyperlink r:id="rId49" w:history="1">
        <w:r>
          <w:rPr>
            <w:rFonts w:ascii="Times New Roman" w:hAnsi="Times New Roman"/>
            <w:sz w:val="24"/>
          </w:rPr>
          <w:t>Odchylně od odstavce 1,</w:t>
        </w:r>
      </w:hyperlink>
      <w:r>
        <w:t xml:space="preserve"> </w:t>
      </w:r>
      <w:r>
        <w:rPr>
          <w:rFonts w:ascii="Times New Roman" w:hAnsi="Times New Roman"/>
          <w:sz w:val="24"/>
        </w:rPr>
        <w:t xml:space="preserve">v případě náhražek kouření s obsahem nikotinu oznámení podle § </w:t>
      </w:r>
      <w:hyperlink r:id="rId50" w:history="1">
        <w:r>
          <w:rPr>
            <w:rFonts w:ascii="Times New Roman" w:hAnsi="Times New Roman"/>
            <w:sz w:val="24"/>
          </w:rPr>
          <w:t>7/D</w:t>
        </w:r>
      </w:hyperlink>
      <w:hyperlink r:id="rId51" w:history="1">
        <w:r>
          <w:rPr>
            <w:rFonts w:ascii="Times New Roman" w:hAnsi="Times New Roman"/>
            <w:sz w:val="24"/>
          </w:rPr>
          <w:t xml:space="preserve"> odst. 1</w:t>
        </w:r>
      </w:hyperlink>
      <w:r>
        <w:rPr>
          <w:rFonts w:ascii="Times New Roman" w:hAnsi="Times New Roman"/>
          <w:sz w:val="24"/>
        </w:rPr>
        <w:t xml:space="preserve"> podle zákona XLII z roku 1999 se vrchnímu zdravotnímu úředníkovi elektronicky zasílá v souladu se zákonem o obecných pravidlech elektronické správy a důvěryhodných služeb.“</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Následující odstavec 2a </w:t>
        </w:r>
      </w:hyperlink>
      <w:r>
        <w:rPr>
          <w:rFonts w:ascii="Times New Roman" w:hAnsi="Times New Roman"/>
          <w:sz w:val="24"/>
        </w:rPr>
        <w:t xml:space="preserve">se vkládá do § </w:t>
      </w:r>
      <w:hyperlink r:id="rId53" w:history="1">
        <w:r>
          <w:rPr>
            <w:rFonts w:ascii="Times New Roman" w:hAnsi="Times New Roman"/>
            <w:sz w:val="24"/>
          </w:rPr>
          <w:t>19/A tohoto výnosu:</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Odchylně od </w:t>
      </w:r>
      <w:hyperlink r:id="rId54" w:history="1">
        <w:r>
          <w:rPr>
            <w:rFonts w:ascii="Times New Roman" w:hAnsi="Times New Roman"/>
            <w:sz w:val="24"/>
          </w:rPr>
          <w:t>odstavce 2</w:t>
        </w:r>
      </w:hyperlink>
      <w:r>
        <w:rPr>
          <w:rFonts w:ascii="Times New Roman" w:hAnsi="Times New Roman"/>
          <w:sz w:val="24"/>
        </w:rPr>
        <w:t xml:space="preserve"> v případě náhražek kouření s obsahem nikotinu podléhá obsah oznámení požadavkům ustanovení § </w:t>
      </w:r>
      <w:hyperlink r:id="rId55" w:history="1">
        <w:r>
          <w:rPr>
            <w:rFonts w:ascii="Times New Roman" w:hAnsi="Times New Roman"/>
            <w:sz w:val="24"/>
          </w:rPr>
          <w:t>19/F</w:t>
        </w:r>
      </w:hyperlink>
      <w:hyperlink r:id="rId56" w:history="1">
        <w:r>
          <w:rPr>
            <w:rFonts w:ascii="Times New Roman" w:hAnsi="Times New Roman"/>
            <w:sz w:val="24"/>
          </w:rPr>
          <w:t>odst. 3</w:t>
        </w:r>
      </w:hyperlink>
      <w:r>
        <w:rPr>
          <w:rFonts w:ascii="Times New Roman" w:hAnsi="Times New Roman"/>
          <w:sz w:val="24"/>
        </w:rPr>
        <w:t xml:space="preserve"> a </w:t>
      </w:r>
      <w:hyperlink r:id="rId57" w:history="1">
        <w:r>
          <w:rPr>
            <w:rFonts w:ascii="Times New Roman" w:hAnsi="Times New Roman"/>
            <w:sz w:val="24"/>
          </w:rPr>
          <w:t>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8 </w:t>
      </w:r>
      <w:r>
        <w:rPr>
          <w:rFonts w:ascii="Times New Roman" w:hAnsi="Times New Roman"/>
          <w:sz w:val="24"/>
        </w:rPr>
        <w:t xml:space="preserve"> </w:t>
      </w:r>
      <w:hyperlink r:id="rId58" w:history="1">
        <w:r>
          <w:rPr>
            <w:rFonts w:ascii="Times New Roman" w:hAnsi="Times New Roman"/>
            <w:sz w:val="24"/>
          </w:rPr>
          <w:t>V § 19/B výnos</w:t>
        </w:r>
      </w:hyperlink>
      <w:hyperlink r:id="rId59" w:history="1">
        <w:r>
          <w:rPr>
            <w:rFonts w:ascii="Times New Roman" w:hAnsi="Times New Roman"/>
            <w:sz w:val="24"/>
          </w:rPr>
          <w:t>u se odst. 1 písm. b</w:t>
        </w:r>
      </w:hyperlink>
      <w:r>
        <w:rPr>
          <w:rFonts w:ascii="Times New Roman" w:hAnsi="Times New Roman"/>
          <w:sz w:val="24"/>
        </w:rPr>
        <w:t>) nahrazuje tímto:</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(Elektronické cigarety a náhradní náplně mohou být uváděny na trh a distribuovány za těchto podmínek:)</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lastRenderedPageBreak/>
        <w:t>„b) kapaliny obsahující nikotin nebo kapaliny obsahující nikotin v jakékoli formě, používané v elektronických cigaretách nebo náhradních náplních, mohou být uváděny na trh v podobě:</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náhradní náplně o objemu nepřesahujícím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jednorázových elektronických cigaret nebo kazet či nádob na jedno použití o objemu nepřesahujícím 2 ml, přičemž všechny položky v těchto podbodech jsou speciálně navrženy pro tento účel.“</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9 </w:t>
      </w:r>
      <w:r>
        <w:rPr>
          <w:rFonts w:ascii="Times New Roman" w:hAnsi="Times New Roman"/>
          <w:sz w:val="24"/>
        </w:rPr>
        <w:t xml:space="preserve">(1) V </w:t>
      </w:r>
      <w:hyperlink r:id="rId60" w:history="1">
        <w:r>
          <w:rPr>
            <w:rFonts w:ascii="Times New Roman" w:hAnsi="Times New Roman"/>
            <w:sz w:val="24"/>
          </w:rPr>
          <w:t>§</w:t>
        </w:r>
      </w:hyperlink>
      <w:hyperlink r:id="rId61" w:history="1">
        <w:r>
          <w:rPr>
            <w:rFonts w:ascii="Times New Roman" w:hAnsi="Times New Roman"/>
            <w:sz w:val="24"/>
          </w:rPr>
          <w:t>19/C výnosu se</w:t>
        </w:r>
      </w:hyperlink>
      <w:r>
        <w:t xml:space="preserve"> </w:t>
      </w:r>
      <w:hyperlink r:id="rId62" w:history="1">
        <w:r>
          <w:rPr>
            <w:rFonts w:ascii="Times New Roman" w:hAnsi="Times New Roman"/>
            <w:sz w:val="24"/>
          </w:rPr>
          <w:t>odstavec 1</w:t>
        </w:r>
      </w:hyperlink>
      <w:r>
        <w:rPr>
          <w:rFonts w:ascii="Times New Roman" w:hAnsi="Times New Roman"/>
          <w:sz w:val="24"/>
        </w:rPr>
        <w:t xml:space="preserve"> nahrazuje tímto:</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Elektronická zařízení simulující kouření a náhradní náplně bez nikotinu mohou být uváděny na trh a distribuovány za těchto podmínek:</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kapalina v nich nesmí obsahovat nikotin (dále pro účely tohoto oddílu: „kapalina bez nikotinu“);</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kapalina bez nikotinu nesmí obsahovat látky určené k aromatizaci;</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kapalina bez nikotinu nesmí obsahovat</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jakoukoli doplňkovou látku uvedenou v příloze 4;</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vitamíny nebo další doplňkové látky vyvolávající dojem, že výrobek má příznivý fyziologický dopad nebo je méně zdraví škodlivý;</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kofein, taurin nebo jiné doplňkové látky a stimulační sloučeniny, které jsou spojovány s energií a vitalitou;</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doplňkové látky, které mění barvu výparů;</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doplňkové látky usnadňující inhalaci; a</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doplňkové látky s vlastnostmi CMR; a</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cg) složky s obsahem nečistot vyšším než 0,1 %s;</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kapalina bez nikotinu může obsahovat pouze složky, které nejsou škodlivé pro lidské zdraví – ani v reakci na teplo nebo bez něj;</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výrobek je vybaven dětskou pojistkou a</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výrobek je chráněn proti prasknutí a úniku a vybaven mechanismem, který zaručuje opětovné naplnění bez úniku.“</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V </w:t>
      </w:r>
      <w:hyperlink r:id="rId63" w:history="1">
        <w:r>
          <w:rPr>
            <w:rFonts w:ascii="Times New Roman" w:hAnsi="Times New Roman"/>
            <w:sz w:val="24"/>
          </w:rPr>
          <w:t>§ 19/C výnosu se doplňuje</w:t>
        </w:r>
      </w:hyperlink>
      <w:r>
        <w:t xml:space="preserve"> </w:t>
      </w:r>
      <w:hyperlink r:id="rId64" w:history="1">
        <w:r>
          <w:rPr>
            <w:rFonts w:ascii="Times New Roman" w:hAnsi="Times New Roman"/>
            <w:sz w:val="24"/>
          </w:rPr>
          <w:t xml:space="preserve"> nový odstavec 6,</w:t>
        </w:r>
      </w:hyperlink>
      <w:r>
        <w:t xml:space="preserve"> </w:t>
      </w:r>
      <w:r>
        <w:rPr>
          <w:rFonts w:ascii="Times New Roman" w:hAnsi="Times New Roman"/>
          <w:sz w:val="24"/>
        </w:rPr>
        <w:t>který zní:</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Na dvou největších plochách jednotkových balení a balení s více kusy náhradních náplní bez nikotinu, kdy je zabráno nejméně 30 % každé z ploch, se v souladu s požadavky </w:t>
      </w:r>
      <w:hyperlink r:id="rId65" w:history="1">
        <w:r>
          <w:rPr>
            <w:rFonts w:ascii="Times New Roman" w:hAnsi="Times New Roman"/>
            <w:sz w:val="24"/>
          </w:rPr>
          <w:t xml:space="preserve">§ 19/B odst. 6 </w:t>
        </w:r>
      </w:hyperlink>
      <w:r>
        <w:rPr>
          <w:rFonts w:ascii="Times New Roman" w:hAnsi="Times New Roman"/>
          <w:sz w:val="24"/>
        </w:rPr>
        <w:t>: uvádí níže uvedené zdravotní varování: „Tento výrobek je náhradní náplň bez nikotinu. Používání dětmi je zakázáno.“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 10 </w:t>
      </w:r>
      <w:r>
        <w:rPr>
          <w:rFonts w:ascii="Times New Roman" w:hAnsi="Times New Roman"/>
          <w:sz w:val="24"/>
        </w:rPr>
        <w:t xml:space="preserve"> Do výnosu se doplňuje </w:t>
      </w:r>
      <w:hyperlink r:id="rId66" w:history="1">
        <w:r>
          <w:rPr>
            <w:rFonts w:ascii="Times New Roman" w:hAnsi="Times New Roman"/>
            <w:sz w:val="24"/>
          </w:rPr>
          <w:t>nový nadpis 9/B, která zní</w:t>
        </w:r>
      </w:hyperlink>
      <w:r>
        <w:t>:</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„Nadpis 9/B Pravidla pro náhražky kouření s obsahem nikotinu</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19/F</w:t>
      </w:r>
      <w:r>
        <w:rPr>
          <w:rFonts w:ascii="Times New Roman" w:hAnsi="Times New Roman"/>
          <w:sz w:val="24"/>
        </w:rPr>
        <w:t xml:space="preserve"> odst. 1 Náhražky kouření s obsahem nikotinu mají maximální obsah nikotinu 17 mg na spotřební kus.</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Jednotkové balení náhražky kouření s obsahem nikotinu musí obsahovat maximálně 20 výrobků.</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Výrobci, dovozci a distributoři náhrad kouření obsahujících nikotin předloží šest měsíců před plánovaným uvedením na trh v elektronické podobě hlavnímu lékaři oznámení, které obsahuje tyto údaje:</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jméno/název a kontaktní údaje výrobce, dovozce, distributora;</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seznam všech složek výrobku a uvolněných látek spolu s jejich množstvím, podle značky a typu;</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toxikologické údaje o složkách výrobku,</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prohlášení, že výrobní proces zajišťuje soulad s požadavky právních předpisů; a</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prohlášení, že výrobce, dovozce nebo distributor přebírá plnou odpovědnost za jakost a bezpečnost výrobku, pokud je uveden na trh a používán za běžných nebo rozumně předvídatelných podmínek.</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V případě jakékoli změny výrobku, která má vliv na údaje uvedené v </w:t>
      </w:r>
      <w:hyperlink r:id="rId67" w:history="1">
        <w:r>
          <w:rPr>
            <w:rFonts w:ascii="Times New Roman" w:hAnsi="Times New Roman"/>
            <w:sz w:val="24"/>
          </w:rPr>
          <w:t>odstavci 3</w:t>
        </w:r>
      </w:hyperlink>
      <w:r>
        <w:rPr>
          <w:rFonts w:ascii="Times New Roman" w:hAnsi="Times New Roman"/>
          <w:sz w:val="24"/>
        </w:rPr>
        <w:t>, se podává nové oznámení.</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19/G</w:t>
      </w:r>
      <w:r>
        <w:rPr>
          <w:rFonts w:ascii="Times New Roman" w:hAnsi="Times New Roman"/>
          <w:sz w:val="24"/>
        </w:rPr>
        <w:t xml:space="preserve"> odst. 1 Náhražky kouření s obsahem nikotinu mohou být uváděny na trh a distribuovány, pokud výrobek neobsahuje</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vitamíny nebo další přísady vyvolávající dojem, že výrobek má příznivý fyziologický dopad nebo méně škodí zdraví;</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kofein, taurin nebo jiné přísady a stimulační sloučeniny spojované s energií a vitalitou;</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doplňkové látky s vlastnostmi CMR;</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složky s nečistotami vyššími než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 jednotkovým balením výrobku musí být přiloženy příbalové informace obsahující:</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návod k použití a skladování výrobku a upozornění, že používání výrobku je zakázáno nezletilým osobám;</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informace o kontraindikacích;</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varování týkající se konkrétních rizikových skupin;</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informace o možných nepříznivých účincích;</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informace o návykových vlastnostech a toxicitě; a</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kontaktní údaje výrobce, distributora nebo dovozce, jakož i kontaktní údaje kontaktní osoby.</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Na jednotkových baleních a vícenásobných baleních výrobku musí být kromě údajů požadovaných jinými právními předpisy uvedeny tyto údaje:</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všechny složky výrobku uvedené v sestupném pořadí podle hmotnosti,</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obsah nikotinu na spotřební kus výrobku;</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číslo šarže; a</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níže uvedená varování, a to jasně viditelným, čitelným a nesmazatelným způsobem: „Výrobek by měl být uchováván mimo dosah dětí.“</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Varování uvedené v </w:t>
      </w:r>
      <w:hyperlink r:id="rId68" w:history="1">
        <w:r>
          <w:rPr>
            <w:rFonts w:ascii="Times New Roman" w:hAnsi="Times New Roman"/>
            <w:sz w:val="24"/>
          </w:rPr>
          <w:t>odstavci 3</w:t>
        </w:r>
      </w:hyperlink>
      <w:r>
        <w:rPr>
          <w:rFonts w:ascii="Times New Roman" w:hAnsi="Times New Roman"/>
          <w:sz w:val="24"/>
        </w:rPr>
        <w:t xml:space="preserve"> jsou vytištěna na bílém pozadí typem písma Helvetica tučně černou barvou. Nápis musí být malými písmeny, s výjimkou iniciál textu, a pokud je použití velkého písma vyžadováno gramatickým pravidlem.</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Označení jednotlivých balení a vícečetných balení výrobku a označení samotného výrobku nesmí obsahovat jakékoliv prvky nebo řešení, které:</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propagují výrobek z hlediska jeho vlastností, účinků na zdraví nebo nebezpečí a úniků způsobem, který by vytvářel mylný dojem nebo tímto způsobem podporoval spotřebu daného výrobku;</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vyvolávají dojem, že výrobek je méně škodlivý než jiné výrobky;</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vyvolává dojem, že výrobek má vitalizující, energizující, léčivé, omlazující, přírodní, ekologické vlastnosti nebo jiné zdraví či životnímu stylu prospěšné vlastnosti;</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odkazují na příchuť, vůni, látku určenou k aromatizaci nebo jinou doplňkovou látku nebo jejich nepřítomnost způsobem, který by spotřebitele uváděl v omyl;</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připomínají prvky a řešení u potravin nebo kosmetických výrobků;</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vyvolávají dojem, že některé výrobky jsou lépe biologicky rozložitelné nebo mají jiné přínosy pro životní prostředí.</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Jednotková a vícečetná balení nesmí vyvolávat dojem ekonomické výhody za použití tištěných kupónů, které nabízejí slevy nebo bezplatnou distribuci, nebo formou propagační akce typu „kupte jeden kus, získáte dva“ nebo jiné podobné nabídky.</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Na dvě největší plochy jednotlivých balení a vícečetného balení výrobku, kdy je zabráno nejméně 30 % každé z ploch, se umísťuje následující zdravotní varování: „Tento výrobek obsahuje nikotin, který je zdraví škodlivý a návykový.“ Zdravotní varování musí být vytištěna tak, aby byla na jednotkových baleních a vícečetných baleních nesmazatelná, včetně toho, že </w:t>
      </w:r>
      <w:r>
        <w:rPr>
          <w:rFonts w:ascii="Times New Roman" w:hAnsi="Times New Roman"/>
          <w:sz w:val="24"/>
        </w:rPr>
        <w:lastRenderedPageBreak/>
        <w:t>při uvedení výrobku na trh nesmí být částečně nebo zcela skryta nebo překryta kolkem, cenovkou, bezpečnostním prvkem, obalovým materiálem, sáčkem, krabicí nebo jiným prostředkem.</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Zdravotní varování uvedené v</w:t>
      </w:r>
      <w:r>
        <w:t xml:space="preserve"> </w:t>
      </w:r>
      <w:hyperlink r:id="rId69" w:history="1">
        <w:r>
          <w:rPr>
            <w:rFonts w:ascii="Times New Roman" w:hAnsi="Times New Roman"/>
            <w:sz w:val="24"/>
          </w:rPr>
          <w:t xml:space="preserve">odstavci 7 </w:t>
        </w:r>
      </w:hyperlink>
      <w:r>
        <w:rPr>
          <w:rFonts w:ascii="Times New Roman" w:hAnsi="Times New Roman"/>
          <w:sz w:val="24"/>
        </w:rPr>
        <w:t>je vytištěno na bílém pozadí typem písma Helvetica tučně černou barvou. Nápis musí být malými písmeny, s výjimkou iniciál textu, a pokud je použití velkého písma vyžadováno gramatickým pravidlem. Zdravotní varování se umísťuje do středu na horní okraj balení na ploše vyhrazené pro tisk.</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Jednotkové balení výrobku musí být vybaveno dětskou pojistkou.</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Po přezkoumání oznámení týkajících se náhrad kouření obsahujících nikotin vydá národní vrchní zdravotní úředník do 60 dnů od předložení těchto oznámení osvědčení, zda výrobek nemusí být zakázán. Pokud se národní vrchní zdravotnický úředník nevyjádří do 60 dnů, je oznámený výrobek povolen k uvedení na trh a může být distribuován.“</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11 </w:t>
      </w:r>
      <w:r>
        <w:rPr>
          <w:rFonts w:ascii="Times New Roman" w:hAnsi="Times New Roman"/>
          <w:sz w:val="24"/>
        </w:rPr>
        <w:t xml:space="preserve"> Do výnosu se vkládá nové </w:t>
      </w:r>
      <w:hyperlink r:id="rId70" w:history="1">
        <w:r>
          <w:rPr>
            <w:rFonts w:ascii="Times New Roman" w:hAnsi="Times New Roman"/>
            <w:sz w:val="24"/>
          </w:rPr>
          <w:t xml:space="preserve"> ustanovení </w:t>
        </w:r>
        <w:hyperlink r:id="rId71" w:history="1">
          <w:r>
            <w:rPr>
              <w:rFonts w:ascii="Times New Roman" w:hAnsi="Times New Roman"/>
              <w:sz w:val="24"/>
            </w:rPr>
            <w:t xml:space="preserve">§ </w:t>
          </w:r>
        </w:hyperlink>
        <w:r>
          <w:rPr>
            <w:rFonts w:ascii="Times New Roman" w:hAnsi="Times New Roman"/>
            <w:sz w:val="24"/>
          </w:rPr>
          <w:t>21/E</w:t>
        </w:r>
      </w:hyperlink>
      <w:r>
        <w:rPr>
          <w:rFonts w:ascii="Times New Roman" w:hAnsi="Times New Roman"/>
          <w:sz w:val="24"/>
        </w:rPr>
        <w:t>, který zní:</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21/E</w:t>
      </w:r>
      <w:r>
        <w:rPr>
          <w:rFonts w:ascii="Times New Roman" w:hAnsi="Times New Roman"/>
          <w:sz w:val="24"/>
        </w:rPr>
        <w:t xml:space="preserve"> odst. 1 Bylinné výrobky ke kouření, které byly na trhu již v době vydání</w:t>
      </w:r>
      <w:r>
        <w:t xml:space="preserve"> </w:t>
      </w:r>
      <w:hyperlink r:id="rId72" w:history="1">
        <w:r>
          <w:rPr>
            <w:rFonts w:ascii="Times New Roman" w:hAnsi="Times New Roman"/>
            <w:sz w:val="24"/>
          </w:rPr>
          <w:t>vládního výnosu č. 120/2024 ze dne 10. června 2024 (dále jen:</w:t>
        </w:r>
      </w:hyperlink>
      <w:hyperlink r:id="rId73" w:history="1">
        <w:r>
          <w:rPr>
            <w:rFonts w:ascii="Times New Roman" w:hAnsi="Times New Roman"/>
            <w:sz w:val="24"/>
          </w:rPr>
          <w:t xml:space="preserve"> „pozměňovací výnos č. 5“) </w:t>
        </w:r>
      </w:hyperlink>
      <w:r>
        <w:rPr>
          <w:rFonts w:ascii="Times New Roman" w:hAnsi="Times New Roman"/>
          <w:sz w:val="24"/>
        </w:rPr>
        <w:t xml:space="preserve">když vstoupil v platnost pozměňující </w:t>
      </w:r>
      <w:hyperlink r:id="rId74" w:history="1">
        <w:r>
          <w:rPr>
            <w:rFonts w:ascii="Times New Roman" w:hAnsi="Times New Roman"/>
            <w:sz w:val="24"/>
          </w:rPr>
          <w:t>vládní výnos č. 39/2013 ze dne 14. února 2013</w:t>
        </w:r>
      </w:hyperlink>
      <w:r>
        <w:rPr>
          <w:rFonts w:ascii="Times New Roman" w:hAnsi="Times New Roman"/>
          <w:sz w:val="24"/>
        </w:rPr>
        <w:t xml:space="preserve"> o výrobě, uvádění na trh a kontrole tabákových výrobků, kombinovaných varování a podrobných ustanoveních o uplatňování sankcí v oblasti zdravotní péče nebo bylinných výrobků určených ke kouření, které byly dříve oznámeny ministru odpovědnému za zemědělskou politiku</w:t>
      </w:r>
      <w:r>
        <w:t xml:space="preserve">, </w:t>
      </w:r>
      <w:r>
        <w:rPr>
          <w:rFonts w:ascii="Times New Roman" w:hAnsi="Times New Roman"/>
          <w:sz w:val="24"/>
        </w:rPr>
        <w:t xml:space="preserve">se oznámí vrchnímu zdravotnímu úředníkovi způsobem a s obsahem údajů předepsaným v </w:t>
      </w:r>
      <w:hyperlink r:id="rId75" w:history="1">
        <w:r>
          <w:rPr>
            <w:rFonts w:ascii="Times New Roman" w:hAnsi="Times New Roman"/>
            <w:sz w:val="24"/>
          </w:rPr>
          <w:t xml:space="preserve">§ 18/C </w:t>
        </w:r>
      </w:hyperlink>
      <w:hyperlink r:id="rId76" w:history="1">
        <w:r>
          <w:rPr>
            <w:rFonts w:ascii="Times New Roman" w:hAnsi="Times New Roman"/>
            <w:sz w:val="24"/>
          </w:rPr>
          <w:t>tohoto výnosu</w:t>
        </w:r>
      </w:hyperlink>
      <w:r>
        <w:rPr>
          <w:rFonts w:ascii="Times New Roman" w:hAnsi="Times New Roman"/>
          <w:sz w:val="24"/>
        </w:rPr>
        <w:t>, jak je stanoveno v</w:t>
      </w:r>
      <w:hyperlink r:id="rId77" w:history="1">
        <w:r>
          <w:rPr>
            <w:rFonts w:ascii="Times New Roman" w:hAnsi="Times New Roman"/>
            <w:sz w:val="24"/>
          </w:rPr>
          <w:t xml:space="preserve"> pozměňovacím výnosu č. 5</w:t>
        </w:r>
      </w:hyperlink>
      <w:r>
        <w:t xml:space="preserve"> </w:t>
      </w:r>
      <w:r>
        <w:rPr>
          <w:rFonts w:ascii="Times New Roman" w:hAnsi="Times New Roman"/>
          <w:sz w:val="24"/>
        </w:rPr>
        <w:t xml:space="preserve">do 31. prosince 2024. Při plnění oznamovací povinnosti podle tohoto odstavce se tato šestiměsíční lhůta stanovená v </w:t>
      </w:r>
      <w:hyperlink r:id="rId78" w:history="1">
        <w:r>
          <w:rPr>
            <w:rFonts w:ascii="Times New Roman" w:hAnsi="Times New Roman"/>
            <w:sz w:val="24"/>
          </w:rPr>
          <w:t>§ 18/C odst. 3</w:t>
        </w:r>
      </w:hyperlink>
      <w:r>
        <w:rPr>
          <w:rFonts w:ascii="Times New Roman" w:hAnsi="Times New Roman"/>
          <w:sz w:val="24"/>
        </w:rPr>
        <w:t xml:space="preserve"> neuplatňuje.</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S </w:t>
      </w:r>
      <w:hyperlink r:id="rId79" w:history="1">
        <w:r>
          <w:rPr>
            <w:rFonts w:ascii="Times New Roman" w:hAnsi="Times New Roman"/>
            <w:sz w:val="24"/>
          </w:rPr>
          <w:t>výjimkou podle odstavce 3</w:t>
        </w:r>
      </w:hyperlink>
      <w:r>
        <w:t xml:space="preserve"> </w:t>
      </w:r>
      <w:r>
        <w:rPr>
          <w:rFonts w:ascii="Times New Roman" w:hAnsi="Times New Roman"/>
          <w:sz w:val="24"/>
        </w:rPr>
        <w:t xml:space="preserve">výrobky, které nejsou v souladu s ustanoveními </w:t>
      </w:r>
      <w:hyperlink r:id="rId80" w:history="1">
        <w:r>
          <w:rPr>
            <w:rFonts w:ascii="Times New Roman" w:hAnsi="Times New Roman"/>
            <w:sz w:val="24"/>
          </w:rPr>
          <w:t>pozměňujícího výnosu č. 5</w:t>
        </w:r>
      </w:hyperlink>
      <w:r>
        <w:t>,</w:t>
      </w:r>
      <w:r>
        <w:rPr>
          <w:rFonts w:ascii="Times New Roman" w:hAnsi="Times New Roman"/>
          <w:sz w:val="24"/>
        </w:rPr>
        <w:t xml:space="preserve"> ale jsou v souladu s ustanoveními </w:t>
      </w:r>
      <w:hyperlink r:id="rId81" w:history="1">
        <w:r>
          <w:rPr>
            <w:rFonts w:ascii="Times New Roman" w:hAnsi="Times New Roman"/>
            <w:sz w:val="24"/>
          </w:rPr>
          <w:t>tohoto výnosu</w:t>
        </w:r>
      </w:hyperlink>
      <w:r>
        <w:t>,</w:t>
      </w:r>
      <w:r>
        <w:rPr>
          <w:rFonts w:ascii="Times New Roman" w:hAnsi="Times New Roman"/>
          <w:sz w:val="24"/>
        </w:rPr>
        <w:t xml:space="preserve"> ve znění účinném před vstupem v platnost </w:t>
      </w:r>
      <w:hyperlink r:id="rId82" w:history="1">
        <w:r>
          <w:rPr>
            <w:rFonts w:ascii="Times New Roman" w:hAnsi="Times New Roman"/>
            <w:sz w:val="24"/>
          </w:rPr>
          <w:t>pozměňujícího výnosu č. 5</w:t>
        </w:r>
      </w:hyperlink>
      <w:r>
        <w:rPr>
          <w:rFonts w:ascii="Times New Roman" w:hAnsi="Times New Roman"/>
          <w:sz w:val="24"/>
        </w:rPr>
        <w:t xml:space="preserve">, jakož i s požadavky jiných použitelných a platných právních předpisů mohou být předány maloobchodníkům s tabákovými výrobky za účelem jejich uvedení na trh po dobu nejvýše 1 roku ode dne vstupu v platnost </w:t>
      </w:r>
      <w:hyperlink r:id="rId83" w:history="1">
        <w:r>
          <w:rPr>
            <w:rFonts w:ascii="Times New Roman" w:hAnsi="Times New Roman"/>
            <w:sz w:val="24"/>
          </w:rPr>
          <w:t>tohoto výnosu</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Odchylně od: </w:t>
      </w:r>
      <w:hyperlink r:id="rId84" w:history="1">
        <w:r>
          <w:rPr>
            <w:rFonts w:ascii="Times New Roman" w:hAnsi="Times New Roman"/>
            <w:sz w:val="24"/>
          </w:rPr>
          <w:t>odstavce 2</w:t>
        </w:r>
      </w:hyperlink>
      <w:r>
        <w:rPr>
          <w:rFonts w:ascii="Times New Roman" w:hAnsi="Times New Roman"/>
          <w:sz w:val="24"/>
        </w:rPr>
        <w:t xml:space="preserve">kuřácké náhražky obsahující nikotin, které nejsou v souladu s ustanoveními </w:t>
      </w:r>
      <w:hyperlink r:id="rId85" w:history="1">
        <w:r>
          <w:rPr>
            <w:rFonts w:ascii="Times New Roman" w:hAnsi="Times New Roman"/>
            <w:sz w:val="24"/>
          </w:rPr>
          <w:t>§ 19/F</w:t>
        </w:r>
      </w:hyperlink>
      <w:hyperlink r:id="rId86" w:history="1">
        <w:r>
          <w:rPr>
            <w:rFonts w:ascii="Times New Roman" w:hAnsi="Times New Roman"/>
            <w:sz w:val="24"/>
          </w:rPr>
          <w:t xml:space="preserve"> odst. 1</w:t>
        </w:r>
      </w:hyperlink>
      <w:r>
        <w:rPr>
          <w:rFonts w:ascii="Times New Roman" w:hAnsi="Times New Roman"/>
          <w:sz w:val="24"/>
        </w:rPr>
        <w:t xml:space="preserve"> a </w:t>
      </w:r>
      <w:hyperlink r:id="rId87" w:history="1">
        <w:r>
          <w:rPr>
            <w:rFonts w:ascii="Times New Roman" w:hAnsi="Times New Roman"/>
            <w:sz w:val="24"/>
          </w:rPr>
          <w:t>2</w:t>
        </w:r>
      </w:hyperlink>
      <w:r>
        <w:rPr>
          <w:rFonts w:ascii="Times New Roman" w:hAnsi="Times New Roman"/>
          <w:sz w:val="24"/>
        </w:rPr>
        <w:t xml:space="preserve"> ze dne </w:t>
      </w:r>
      <w:hyperlink r:id="rId88" w:history="1">
        <w:r>
          <w:rPr>
            <w:rFonts w:ascii="Times New Roman" w:hAnsi="Times New Roman"/>
            <w:sz w:val="24"/>
          </w:rPr>
          <w:t>tohoto výnosu</w:t>
        </w:r>
      </w:hyperlink>
      <w:r>
        <w:rPr>
          <w:rFonts w:ascii="Times New Roman" w:hAnsi="Times New Roman"/>
          <w:sz w:val="24"/>
        </w:rPr>
        <w:t xml:space="preserve"> v souladu s </w:t>
      </w:r>
      <w:hyperlink r:id="rId89" w:history="1">
        <w:r>
          <w:rPr>
            <w:rFonts w:ascii="Times New Roman" w:hAnsi="Times New Roman"/>
            <w:sz w:val="24"/>
          </w:rPr>
          <w:t>pozměňovacím výnosem č. 5,</w:t>
        </w:r>
      </w:hyperlink>
      <w:r>
        <w:rPr>
          <w:rFonts w:ascii="Times New Roman" w:hAnsi="Times New Roman"/>
          <w:sz w:val="24"/>
        </w:rPr>
        <w:t xml:space="preserve"> ani s ustanoveními </w:t>
      </w:r>
      <w:hyperlink r:id="rId90" w:history="1">
        <w:r>
          <w:rPr>
            <w:rFonts w:ascii="Times New Roman" w:hAnsi="Times New Roman"/>
            <w:sz w:val="24"/>
          </w:rPr>
          <w:t>§ 19/G odst. 10,</w:t>
        </w:r>
      </w:hyperlink>
      <w:r>
        <w:rPr>
          <w:rFonts w:ascii="Times New Roman" w:hAnsi="Times New Roman"/>
          <w:sz w:val="24"/>
        </w:rPr>
        <w:t xml:space="preserve"> ale jsou v souladu s ustanoveními </w:t>
      </w:r>
      <w:hyperlink r:id="rId91" w:history="1">
        <w:r>
          <w:rPr>
            <w:rFonts w:ascii="Times New Roman" w:hAnsi="Times New Roman"/>
            <w:sz w:val="24"/>
          </w:rPr>
          <w:t xml:space="preserve">ttohoto výnosu </w:t>
        </w:r>
      </w:hyperlink>
      <w:r>
        <w:rPr>
          <w:rFonts w:ascii="Times New Roman" w:hAnsi="Times New Roman"/>
          <w:sz w:val="24"/>
        </w:rPr>
        <w:t xml:space="preserve"> ve znění účinném před nabytí účinnosti </w:t>
      </w:r>
      <w:hyperlink r:id="rId92" w:history="1">
        <w:r>
          <w:rPr>
            <w:rFonts w:ascii="Times New Roman" w:hAnsi="Times New Roman"/>
            <w:sz w:val="24"/>
          </w:rPr>
          <w:t>pozměňovacího výnosu č. 5</w:t>
        </w:r>
      </w:hyperlink>
      <w:r>
        <w:t xml:space="preserve">, </w:t>
      </w:r>
      <w:r>
        <w:rPr>
          <w:rFonts w:ascii="Times New Roman" w:hAnsi="Times New Roman"/>
          <w:sz w:val="24"/>
        </w:rPr>
        <w:t xml:space="preserve">jakož i s požadavky jiných použitelných a platných právních předpisů mohou být předány maloobchodníkům s tabákovými výrobky za účelem jejich uvedení na trh po dobu nepřesahující 3 měsíce ode dne vstupu v platnost </w:t>
      </w:r>
      <w:hyperlink r:id="rId93" w:history="1">
        <w:r>
          <w:rPr>
            <w:rFonts w:ascii="Times New Roman" w:hAnsi="Times New Roman"/>
            <w:sz w:val="24"/>
          </w:rPr>
          <w:t>tohoto výnosu</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Výrobky, které nejsou v souladu s ustanoveními </w:t>
      </w:r>
      <w:hyperlink r:id="rId94" w:history="1">
        <w:r>
          <w:rPr>
            <w:rFonts w:ascii="Times New Roman" w:hAnsi="Times New Roman"/>
            <w:sz w:val="24"/>
          </w:rPr>
          <w:t xml:space="preserve">tohoto výnosu </w:t>
        </w:r>
      </w:hyperlink>
      <w:r>
        <w:rPr>
          <w:rFonts w:ascii="Times New Roman" w:hAnsi="Times New Roman"/>
          <w:sz w:val="24"/>
        </w:rPr>
        <w:t xml:space="preserve">v souladu s </w:t>
      </w:r>
      <w:hyperlink r:id="rId95" w:history="1">
        <w:r>
          <w:rPr>
            <w:rFonts w:ascii="Times New Roman" w:hAnsi="Times New Roman"/>
            <w:sz w:val="24"/>
          </w:rPr>
          <w:t>pozměňovacím výnosem č. 5</w:t>
        </w:r>
      </w:hyperlink>
      <w:r>
        <w:t xml:space="preserve">, </w:t>
      </w:r>
      <w:r>
        <w:rPr>
          <w:rFonts w:ascii="Times New Roman" w:hAnsi="Times New Roman"/>
          <w:sz w:val="24"/>
        </w:rPr>
        <w:t xml:space="preserve">ale které jsou v souladu s ustanoveními </w:t>
      </w:r>
      <w:hyperlink r:id="rId96" w:history="1">
        <w:r>
          <w:rPr>
            <w:rFonts w:ascii="Times New Roman" w:hAnsi="Times New Roman"/>
            <w:sz w:val="24"/>
          </w:rPr>
          <w:t>tohoto výnosu</w:t>
        </w:r>
      </w:hyperlink>
      <w:r>
        <w:t>,</w:t>
      </w:r>
      <w:r>
        <w:rPr>
          <w:rFonts w:ascii="Times New Roman" w:hAnsi="Times New Roman"/>
          <w:sz w:val="24"/>
        </w:rPr>
        <w:t xml:space="preserve"> ve znění účinném před nabytím platnosti </w:t>
      </w:r>
      <w:hyperlink r:id="rId97" w:history="1">
        <w:r>
          <w:rPr>
            <w:rFonts w:ascii="Times New Roman" w:hAnsi="Times New Roman"/>
            <w:sz w:val="24"/>
          </w:rPr>
          <w:t>pozměňovacího výnosu č. 5</w:t>
        </w:r>
      </w:hyperlink>
      <w:r>
        <w:rPr>
          <w:rFonts w:ascii="Times New Roman" w:hAnsi="Times New Roman"/>
          <w:sz w:val="24"/>
        </w:rPr>
        <w:t xml:space="preserve">, jakož i s požadavky jiných použitelných a platných právních předpisů, které maloobchodníci tabákových výrobků odebrali na skladě do lhůty stanovené v </w:t>
      </w:r>
      <w:hyperlink r:id="rId98" w:history="1">
        <w:r>
          <w:rPr>
            <w:rFonts w:ascii="Times New Roman" w:hAnsi="Times New Roman"/>
            <w:sz w:val="24"/>
          </w:rPr>
          <w:t>odstavci 2</w:t>
        </w:r>
      </w:hyperlink>
      <w:r>
        <w:rPr>
          <w:rFonts w:ascii="Times New Roman" w:hAnsi="Times New Roman"/>
          <w:sz w:val="24"/>
        </w:rPr>
        <w:t xml:space="preserve"> a </w:t>
      </w:r>
      <w:hyperlink r:id="rId99" w:history="1">
        <w:r>
          <w:rPr>
            <w:rFonts w:ascii="Times New Roman" w:hAnsi="Times New Roman"/>
            <w:sz w:val="24"/>
          </w:rPr>
          <w:t>3</w:t>
        </w:r>
      </w:hyperlink>
      <w:r>
        <w:t xml:space="preserve">, </w:t>
      </w:r>
      <w:r>
        <w:rPr>
          <w:rFonts w:ascii="Times New Roman" w:hAnsi="Times New Roman"/>
          <w:sz w:val="24"/>
        </w:rPr>
        <w:t>mohou maloobchodníci s tabákovými výrobky uvádět na trh na neomezenou dobu.“</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b/>
        </w:rPr>
        <w:lastRenderedPageBreak/>
        <w:t>§</w:t>
      </w:r>
      <w:r>
        <w:rPr>
          <w:rFonts w:ascii="Times New Roman" w:hAnsi="Times New Roman"/>
          <w:b/>
          <w:sz w:val="24"/>
        </w:rPr>
        <w:t xml:space="preserve"> 12</w:t>
      </w:r>
      <w:r>
        <w:t xml:space="preserve"> </w:t>
      </w:r>
      <w:hyperlink r:id="rId100" w:history="1">
        <w:r>
          <w:rPr>
            <w:rFonts w:ascii="Times New Roman" w:hAnsi="Times New Roman"/>
            <w:sz w:val="24"/>
          </w:rPr>
          <w:t>Příloha 4 výnosu</w:t>
        </w:r>
      </w:hyperlink>
      <w:r>
        <w:t xml:space="preserve"> </w:t>
      </w:r>
      <w:r>
        <w:rPr>
          <w:rFonts w:ascii="Times New Roman" w:hAnsi="Times New Roman"/>
          <w:sz w:val="24"/>
        </w:rPr>
        <w:t>se nahrazuje zde uvedenou přílohou 1.</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t xml:space="preserve">§ </w:t>
      </w:r>
      <w:r>
        <w:rPr>
          <w:rFonts w:ascii="Times New Roman" w:hAnsi="Times New Roman"/>
          <w:b/>
          <w:sz w:val="24"/>
        </w:rPr>
        <w:t>13 </w:t>
      </w:r>
      <w:r>
        <w:rPr>
          <w:rFonts w:ascii="Times New Roman" w:hAnsi="Times New Roman"/>
          <w:sz w:val="24"/>
        </w:rPr>
        <w:t xml:space="preserve"> Ve </w:t>
      </w:r>
      <w:hyperlink r:id="rId101" w:history="1">
        <w:r>
          <w:rPr>
            <w:rFonts w:ascii="Times New Roman" w:hAnsi="Times New Roman"/>
            <w:sz w:val="24"/>
          </w:rPr>
          <w:t>výnosu,</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102" w:history="1">
        <w:r>
          <w:t>v § 1</w:t>
        </w:r>
        <w:hyperlink r:id="rId103" w:history="1">
          <w:r>
            <w:rPr>
              <w:rFonts w:ascii="Times New Roman" w:hAnsi="Times New Roman"/>
              <w:sz w:val="24"/>
            </w:rPr>
            <w:t xml:space="preserve"> odst. 1</w:t>
          </w:r>
        </w:hyperlink>
      </w:hyperlink>
      <w:r>
        <w:rPr>
          <w:rFonts w:ascii="Times New Roman" w:hAnsi="Times New Roman"/>
          <w:sz w:val="24"/>
        </w:rPr>
        <w:t xml:space="preserve"> se slova „kapaliny náhradních náplní a elektronická zařízení simulující kouření“ nahrazují slovy „náhradní náplně, elektronická zařízení simulující kouření, náhradní náplně bez nikotinu a bylinné výrobky určené ke kouření, jakož i náhražky kouření s obsahem nikotinu“;</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4" w:history="1">
        <w:r>
          <w:rPr>
            <w:rFonts w:ascii="Times New Roman" w:hAnsi="Times New Roman"/>
            <w:sz w:val="24"/>
          </w:rPr>
          <w:t>v § 4/A</w:t>
        </w:r>
      </w:hyperlink>
      <w:hyperlink r:id="rId105" w:history="1">
        <w:r>
          <w:rPr>
            <w:rFonts w:ascii="Times New Roman" w:hAnsi="Times New Roman"/>
            <w:sz w:val="24"/>
          </w:rPr>
          <w:t xml:space="preserve"> odst. 1 </w:t>
        </w:r>
      </w:hyperlink>
      <w:r>
        <w:rPr>
          <w:rFonts w:ascii="Times New Roman" w:hAnsi="Times New Roman"/>
          <w:sz w:val="24"/>
        </w:rPr>
        <w:t>se výraz „jeho karcinogenní, mutagenní nebo reprotoxické vlastnosti (dále jen: „vlastnosti CMR“)“ nahrazují slovy „vlastnosti CMR“,</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t>
      </w:r>
      <w:hyperlink r:id="rId106" w:history="1">
        <w:r>
          <w:rPr>
            <w:rFonts w:ascii="Times New Roman" w:hAnsi="Times New Roman"/>
            <w:sz w:val="24"/>
          </w:rPr>
          <w:t>v § 19/B</w:t>
        </w:r>
      </w:hyperlink>
      <w:hyperlink r:id="rId107" w:history="1">
        <w:r>
          <w:rPr>
            <w:rFonts w:ascii="Times New Roman" w:hAnsi="Times New Roman"/>
            <w:sz w:val="24"/>
          </w:rPr>
          <w:t xml:space="preserve"> odst. 1 písm. i) </w:t>
        </w:r>
      </w:hyperlink>
      <w:r>
        <w:rPr>
          <w:rFonts w:ascii="Times New Roman" w:hAnsi="Times New Roman"/>
          <w:sz w:val="24"/>
        </w:rPr>
        <w:t>se slova „pojistka pro děti“ nahrazují slovy „dětská pojistka“,</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t xml:space="preserve">d) </w:t>
      </w:r>
      <w:hyperlink r:id="rId108" w:history="1">
        <w:r>
          <w:rPr>
            <w:rFonts w:ascii="Times New Roman" w:hAnsi="Times New Roman"/>
            <w:sz w:val="24"/>
          </w:rPr>
          <w:t>v § 19/D</w:t>
        </w:r>
      </w:hyperlink>
      <w:hyperlink r:id="rId109" w:history="1">
        <w:r>
          <w:rPr>
            <w:rFonts w:ascii="Times New Roman" w:hAnsi="Times New Roman"/>
            <w:sz w:val="24"/>
          </w:rPr>
          <w:t xml:space="preserve"> odst. 1</w:t>
        </w:r>
      </w:hyperlink>
      <w:r>
        <w:rPr>
          <w:rFonts w:ascii="Times New Roman" w:hAnsi="Times New Roman"/>
          <w:sz w:val="24"/>
        </w:rPr>
        <w:t xml:space="preserve"> se slova „výrobci zásobníků“ nahrazují slovy „výrobci zásobníků, kazet bez nikotinu a náhradních náplní bez nikotinu“.</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w:t>
      </w:r>
      <w:r>
        <w:rPr>
          <w:rFonts w:ascii="Times New Roman" w:hAnsi="Times New Roman"/>
          <w:b/>
          <w:sz w:val="24"/>
        </w:rPr>
        <w:t xml:space="preserve"> 14</w:t>
      </w:r>
      <w:r>
        <w:rPr>
          <w:rFonts w:ascii="Times New Roman" w:hAnsi="Times New Roman"/>
          <w:b/>
          <w:sz w:val="24"/>
        </w:rPr>
        <w:tab/>
      </w:r>
      <w:r>
        <w:rPr>
          <w:rFonts w:ascii="Times New Roman" w:hAnsi="Times New Roman"/>
          <w:sz w:val="24"/>
        </w:rPr>
        <w:t>Tento výnos nabývá účinnosti 15. dnem po jeho zveřejnění.</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w:t>
      </w:r>
      <w:r>
        <w:rPr>
          <w:rFonts w:ascii="Times New Roman" w:hAnsi="Times New Roman"/>
          <w:b/>
          <w:sz w:val="24"/>
        </w:rPr>
        <w:t xml:space="preserve"> 15</w:t>
      </w:r>
      <w:r>
        <w:rPr>
          <w:rFonts w:ascii="Times New Roman" w:hAnsi="Times New Roman"/>
          <w:sz w:val="24"/>
        </w:rPr>
        <w:tab/>
        <w:t>Návrh tohoto výnosu byl předem oznámen v souladu s články 5–7 směrnice Evropského parlamentu a Rady (EU) 2015/1535 ze dne 9. září 2015 o postupu při poskytování informací v oblasti technických předpisů a předpisů pro služby informační společnosti.</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v. r.,</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předseda vlády</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Příloha č. 1 k vládnímu výnosu č. 120/2024 ze dne 10. června 2024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„Příloha č. 4 k </w:t>
      </w:r>
      <w:hyperlink r:id="rId110" w:history="1">
        <w:r>
          <w:rPr>
            <w:rFonts w:ascii="Times New Roman" w:hAnsi="Times New Roman"/>
            <w:sz w:val="24"/>
          </w:rPr>
          <w:t xml:space="preserve">vládnímu výnosu </w:t>
        </w:r>
      </w:hyperlink>
      <w:hyperlink r:id="rId111" w:history="1">
        <w:r>
          <w:rPr>
            <w:rFonts w:ascii="Times New Roman" w:hAnsi="Times New Roman"/>
            <w:sz w:val="24"/>
          </w:rPr>
          <w:t>č. 39/2013</w:t>
        </w:r>
      </w:hyperlink>
      <w:hyperlink r:id="rId112" w:history="1">
        <w:r>
          <w:rPr>
            <w:rFonts w:ascii="Times New Roman" w:hAnsi="Times New Roman"/>
            <w:sz w:val="24"/>
          </w:rPr>
          <w:t xml:space="preserve"> ze dne 14. února 2013</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Zakázané doplňkové látky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8"/>
        <w:gridCol w:w="4811"/>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sériové číslo</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Sloučenina</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2-methyl-3-(para-isopropylfenyl)propionaldehyd</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Oxid hlinitý</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Octan amonný</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Citronan amonný</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Formiát amonný</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Hydrogenuhličitan amonný</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Hydrogenmalát amonný</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Hydroxid amonný</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Karbamát amonný</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Chlorid amonný</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Laktát amonný</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Malát amonný</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Sukcinát amonný</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Sulfamát amonný</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Vínan amonný</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Antrachinonová modř</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Základní modrá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Kyselina jantarová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Dehydromenthofurolakton</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Di-(2-ethylhexyl) adipát</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Hydrogenfosforečnan diamonný</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Uhličitan diamonný</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Jablečnan diamonný</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Sukcinát diamonný</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Dibutylftalát</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Kalafuna modifikovaná fenol-formaldehydem</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Galaktóza</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Kyselina mravenčí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Karbamid (Urea)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Karmínová červeň</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Tonka boby bez kumarinu</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Laktóza</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Sladový cukr</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Manóza</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Metylová fialová</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Fosforečnan monoamonný</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Křemičitan sodný</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Solventní červeň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Pektiny</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Polyetylén glykol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Riboflavin-5-fosfát</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Oktaacetát sacharózy</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Sacharín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Sudánská modř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Čaj</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Theobromin</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Kannabidiol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7151FB"/>
    <w:rsid w:val="00AA287C"/>
    <w:rsid w:val="00B16E7B"/>
    <w:rsid w:val="00CC7D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4172</Words>
  <Characters>23159</Characters>
  <Application>Microsoft Office Word</Application>
  <DocSecurity>0</DocSecurity>
  <Lines>526</Lines>
  <Paragraphs>374</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2024-07-19T13:18:00Z</dcterms:created>
  <dcterms:modified xsi:type="dcterms:W3CDTF">2024-07-19T13:18:00Z</dcterms:modified>
</cp:coreProperties>
</file>