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Dekret, förordningar, cirkulär</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ALLMÄNNA TEXTER</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MINISTERIET FÖR JORDBRUK OCH LIVSMEDELSSUVERÄNITET</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Förordning nr </w:t>
      </w:r>
      <w:proofErr w:type="gramStart"/>
      <w:r>
        <w:rPr>
          <w:rFonts w:ascii="Times New Roman" w:hAnsi="Times New Roman"/>
          <w:b/>
          <w:color w:val="5B5D60"/>
          <w:sz w:val="24"/>
        </w:rPr>
        <w:t>2024-144</w:t>
      </w:r>
      <w:proofErr w:type="gramEnd"/>
      <w:r>
        <w:rPr>
          <w:rFonts w:ascii="Times New Roman" w:hAnsi="Times New Roman"/>
          <w:b/>
          <w:color w:val="5B5D60"/>
          <w:sz w:val="24"/>
        </w:rPr>
        <w:t xml:space="preserve"> av den 26 februari 2024 om användning av vissa namn som används för att beteckna livsmedel som innehåller växtproteiner</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Målgrupper som berörs: </w:t>
      </w:r>
      <w:r>
        <w:rPr>
          <w:i/>
          <w:sz w:val="21"/>
        </w:rPr>
        <w:t>ekonomiska aktörer inom den jordbruksbaserade livsmedelssektorn och cateringverksamhet utanför hemmet. livsmedelsdistributörer; konsumenter.</w:t>
      </w:r>
    </w:p>
    <w:p w14:paraId="58157B03" w14:textId="77777777" w:rsidR="009827E1" w:rsidRPr="009827E1" w:rsidRDefault="009827E1" w:rsidP="00FF49BD">
      <w:pPr>
        <w:spacing w:before="37" w:line="213" w:lineRule="auto"/>
        <w:ind w:left="112" w:right="-138" w:firstLine="215"/>
        <w:jc w:val="both"/>
        <w:rPr>
          <w:i/>
          <w:sz w:val="21"/>
        </w:rPr>
      </w:pPr>
      <w:r>
        <w:rPr>
          <w:b/>
          <w:i/>
          <w:sz w:val="21"/>
        </w:rPr>
        <w:t>Syfte:</w:t>
      </w:r>
      <w:r>
        <w:rPr>
          <w:i/>
          <w:sz w:val="21"/>
        </w:rPr>
        <w:t xml:space="preserve"> fastställande av bestämmelser om användningen av namn på produkter av animaliskt ursprung och därav framställda livsmedel i syfte att beskriva, saluföra eller marknadsföra livsmedel som innehåller växtprotein.</w:t>
      </w:r>
    </w:p>
    <w:p w14:paraId="4B1D181A" w14:textId="77777777" w:rsidR="009827E1" w:rsidRPr="009827E1" w:rsidRDefault="009827E1" w:rsidP="00FF49BD">
      <w:pPr>
        <w:spacing w:before="17"/>
        <w:ind w:left="327" w:right="-138"/>
        <w:jc w:val="both"/>
        <w:rPr>
          <w:i/>
          <w:sz w:val="21"/>
        </w:rPr>
      </w:pPr>
      <w:r>
        <w:rPr>
          <w:b/>
          <w:i/>
          <w:sz w:val="21"/>
        </w:rPr>
        <w:t>Ikraftträdande:</w:t>
      </w:r>
      <w:r>
        <w:rPr>
          <w:i/>
          <w:sz w:val="21"/>
        </w:rPr>
        <w:t xml:space="preserve"> texten träder i kraft tre månader efter dess publicering.</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Anmärkning: </w:t>
      </w:r>
      <w:r>
        <w:rPr>
          <w:i/>
          <w:sz w:val="21"/>
        </w:rPr>
        <w:t>i texten fastställs bestämmelser för Frankrikes territorium om användning av beteckningar som traditionellt betecknar livsmedel av animaliskt ursprung för beskrivning, saluföring eller marknadsföring av livsmedel baserade på växtproteiner. De livsmedel som omfattas av texten är sådana som innehåller växtproteiner. Den innehåller en förteckning över begrepp som inte får användas för att beskriva livsmedel som innehåller växtproteiner (bilaga 1) och en förteckning över begrepp som får användas för att beskriva livsmedel av animaliskt ursprung som kan innehålla växtproteiner, samt den maximala andel växtproteiner som de livsmedel för vilka dessa begrepp används får innehålla (bilaga 2). Den innehåller en klausul om ömsesidigt erkännande genom vilken produkter som lagligen tillverkas eller saluförs i en annan medlemsstat i Europeiska unionen eller ett tredjeland undantas från dess tillämpningsområde. I texten föreskrivs dessutom påföljder vid överträdelse av dess bestämmelser, en tidsfrist för ikraftträdande på tre månader efter offentliggörandet för att ge aktörer tid att anpassa sin märkning och möjligheten att saluföra livsmedel som tillverkats eller märkts innan den träder i kraft till dess att lagren har tömts, och senast ett år efter offentliggörandet.</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Referenser: </w:t>
      </w:r>
      <w:r>
        <w:rPr>
          <w:i/>
          <w:sz w:val="21"/>
        </w:rPr>
        <w:t>förordningen utfärdas för tillämpning av artikel L. </w:t>
      </w:r>
      <w:proofErr w:type="gramStart"/>
      <w:r>
        <w:rPr>
          <w:i/>
          <w:sz w:val="21"/>
        </w:rPr>
        <w:t>412-10</w:t>
      </w:r>
      <w:proofErr w:type="gramEnd"/>
      <w:r>
        <w:rPr>
          <w:i/>
          <w:sz w:val="21"/>
        </w:rPr>
        <w:t xml:space="preserve"> i konsumentlagen i dess lydelse enligt artikel 5 i lag nr</w:t>
      </w:r>
      <w:r>
        <w:rPr>
          <w:i/>
          <w:sz w:val="10"/>
        </w:rPr>
        <w:t> </w:t>
      </w:r>
      <w:r>
        <w:rPr>
          <w:i/>
          <w:sz w:val="21"/>
        </w:rPr>
        <w:t xml:space="preserve">2020-699 av den 10 juni 2020 om insyn i information om jordbruks- och livsmedelsprodukter. Texten kan läsas på webbplatsen </w:t>
      </w:r>
      <w:proofErr w:type="spellStart"/>
      <w:r>
        <w:rPr>
          <w:i/>
          <w:sz w:val="21"/>
        </w:rPr>
        <w:t>Légifrance</w:t>
      </w:r>
      <w:proofErr w:type="spellEnd"/>
      <w:r>
        <w:rPr>
          <w:i/>
          <w:sz w:val="21"/>
        </w:rPr>
        <w:t xml:space="preserve"> (https://www.legifrance. gouv.fr).</w:t>
      </w:r>
    </w:p>
    <w:p w14:paraId="17CFE37E" w14:textId="77777777" w:rsidR="009827E1" w:rsidRPr="009827E1" w:rsidRDefault="009827E1" w:rsidP="00FF49BD">
      <w:pPr>
        <w:pStyle w:val="BodyText"/>
        <w:spacing w:before="91"/>
        <w:ind w:left="327" w:right="-138"/>
        <w:jc w:val="both"/>
      </w:pPr>
      <w:r>
        <w:t>Premiärministern föreskriver följande,</w:t>
      </w:r>
    </w:p>
    <w:p w14:paraId="1D5710BF" w14:textId="77777777" w:rsidR="009827E1" w:rsidRPr="009827E1" w:rsidRDefault="009827E1" w:rsidP="00FF49BD">
      <w:pPr>
        <w:pStyle w:val="BodyText"/>
        <w:spacing w:before="46"/>
        <w:ind w:left="327" w:right="-138"/>
        <w:jc w:val="both"/>
      </w:pPr>
      <w:r>
        <w:t>på grundval av rapporten från ministern för ekonomi, finans och industriell och digital suveränitet,</w:t>
      </w:r>
    </w:p>
    <w:p w14:paraId="302A3D2A" w14:textId="525FDCA2" w:rsidR="009827E1" w:rsidRPr="009827E1" w:rsidRDefault="009827E1" w:rsidP="00FF49BD">
      <w:pPr>
        <w:pStyle w:val="BodyText"/>
        <w:spacing w:before="69" w:line="213" w:lineRule="auto"/>
        <w:ind w:right="-138" w:firstLine="215"/>
        <w:jc w:val="both"/>
      </w:pPr>
      <w:r>
        <w:t>med beaktande av 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särskilt artikel 38,</w:t>
      </w:r>
    </w:p>
    <w:p w14:paraId="5F793C90" w14:textId="44A80F1E" w:rsidR="009827E1" w:rsidRPr="009827E1" w:rsidRDefault="009827E1" w:rsidP="00FF49BD">
      <w:pPr>
        <w:pStyle w:val="BodyText"/>
        <w:spacing w:before="40" w:line="213" w:lineRule="auto"/>
        <w:ind w:right="-138" w:firstLine="215"/>
        <w:jc w:val="both"/>
      </w:pPr>
      <w:r>
        <w:t>med beaktande av Europaparlamentets och rådets direktiv (EU) 2015/1535 av den 9 september 2015 om ett informationsförfarande beträffande tekniska föreskrifter och beträffande föreskrifter för informationssamhällets tjänster,</w:t>
      </w:r>
    </w:p>
    <w:p w14:paraId="49154504" w14:textId="77777777" w:rsidR="009827E1" w:rsidRPr="009827E1" w:rsidRDefault="009827E1" w:rsidP="00FF49BD">
      <w:pPr>
        <w:pStyle w:val="BodyText"/>
        <w:spacing w:before="16"/>
        <w:ind w:left="327" w:right="-138"/>
        <w:jc w:val="both"/>
      </w:pPr>
      <w:r>
        <w:t xml:space="preserve">med beaktande av konsumentlagen, särskilt artikel L. </w:t>
      </w:r>
      <w:proofErr w:type="gramStart"/>
      <w:r>
        <w:t>412-10</w:t>
      </w:r>
      <w:proofErr w:type="gramEnd"/>
      <w:r>
        <w:t>,</w:t>
      </w:r>
    </w:p>
    <w:p w14:paraId="50058916" w14:textId="2DAFB8CD" w:rsidR="009827E1" w:rsidRPr="009827E1" w:rsidRDefault="009827E1" w:rsidP="00FF49BD">
      <w:pPr>
        <w:pStyle w:val="BodyText"/>
        <w:spacing w:before="33" w:line="213" w:lineRule="auto"/>
        <w:ind w:right="-138" w:firstLine="215"/>
        <w:jc w:val="both"/>
      </w:pPr>
      <w:r>
        <w:t>med beaktande av anmälan nr 2023/510/F av den 23 augusti 2023 riktad till Europeiska kommissionen och kommissionens svar, daterat den 22 november 2023.</w:t>
      </w:r>
    </w:p>
    <w:p w14:paraId="7F68FAA3" w14:textId="77777777" w:rsidR="009827E1" w:rsidRPr="009827E1" w:rsidRDefault="009827E1" w:rsidP="00FF49BD">
      <w:pPr>
        <w:pStyle w:val="BodyText"/>
        <w:spacing w:before="162"/>
        <w:ind w:left="1189" w:right="-138"/>
      </w:pPr>
      <w:r>
        <w:t>Härigenom föreskrivs följande:</w:t>
      </w:r>
    </w:p>
    <w:p w14:paraId="796443C3" w14:textId="77777777" w:rsidR="009827E1" w:rsidRPr="009827E1" w:rsidRDefault="009827E1" w:rsidP="00FF49BD">
      <w:pPr>
        <w:pStyle w:val="BodyText"/>
        <w:spacing w:before="87" w:line="213" w:lineRule="auto"/>
        <w:ind w:right="-138" w:firstLine="204"/>
      </w:pPr>
      <w:r>
        <w:rPr>
          <w:b/>
          <w:sz w:val="20"/>
        </w:rPr>
        <w:t xml:space="preserve">Artikel 1 – </w:t>
      </w:r>
      <w:r>
        <w:t>Bestämmelserna i denna förordning ska tillämpas på livsmedel som innehåller växtproteiner.</w:t>
      </w:r>
    </w:p>
    <w:p w14:paraId="1688761F" w14:textId="77777777" w:rsidR="009827E1" w:rsidRPr="009827E1" w:rsidRDefault="009827E1" w:rsidP="00FF49BD">
      <w:pPr>
        <w:pStyle w:val="BodyText"/>
        <w:spacing w:before="89"/>
        <w:ind w:left="327" w:right="-138"/>
      </w:pPr>
      <w:r>
        <w:t>I denna förordning gäller följande definitioner:</w:t>
      </w:r>
    </w:p>
    <w:p w14:paraId="0C28347E" w14:textId="52759B21" w:rsidR="009827E1" w:rsidRPr="00AF623F" w:rsidRDefault="009827E1" w:rsidP="00FF49BD">
      <w:pPr>
        <w:pStyle w:val="BodyText"/>
        <w:spacing w:before="69" w:line="213" w:lineRule="auto"/>
        <w:ind w:right="-138" w:firstLine="215"/>
      </w:pPr>
      <w:r>
        <w:t>1) växtproteiner: proteiner som framställts av eller härrör från organismer som tillhör alla andra riken än djurriket.</w:t>
      </w:r>
    </w:p>
    <w:p w14:paraId="3F1F9B0C" w14:textId="20D52559" w:rsidR="00396C43" w:rsidRPr="00AF623F" w:rsidRDefault="009827E1" w:rsidP="00AF623F">
      <w:pPr>
        <w:pStyle w:val="BodyText"/>
        <w:spacing w:before="69" w:line="213" w:lineRule="auto"/>
        <w:ind w:right="-138" w:firstLine="215"/>
      </w:pPr>
      <w:r>
        <w:t>2) livsmedel av animaliskt ursprung: produkter av animaliskt ursprung och livsmedel som härrör från dessa.</w:t>
      </w:r>
    </w:p>
    <w:p w14:paraId="2A5E9082" w14:textId="34E66B06" w:rsidR="009827E1" w:rsidRPr="00AF623F" w:rsidRDefault="009827E1" w:rsidP="00FF49BD">
      <w:pPr>
        <w:pStyle w:val="BodyText"/>
        <w:spacing w:before="0" w:line="213" w:lineRule="auto"/>
        <w:ind w:right="-138" w:firstLine="215"/>
        <w:jc w:val="both"/>
      </w:pPr>
      <w:r>
        <w:t>3) föreskriven beteckning: den beteckning för ett livsmedel som föreskrivs i de lagar och andra författningar som gäller för detta livsmedel.</w:t>
      </w:r>
    </w:p>
    <w:p w14:paraId="08DA9123" w14:textId="30054FC7" w:rsidR="009827E1" w:rsidRPr="00AF623F" w:rsidRDefault="009827E1" w:rsidP="00FF49BD">
      <w:pPr>
        <w:pStyle w:val="BodyText"/>
        <w:spacing w:before="56" w:line="213" w:lineRule="auto"/>
        <w:ind w:right="-138" w:firstLine="215"/>
        <w:jc w:val="both"/>
      </w:pPr>
      <w:r>
        <w:t xml:space="preserve">4) bearbetning: åtgärd som väsentligt förändrar den ursprungliga produkten genom bland annat värmebehandling, rökning, rimning, mognadslagring, torkning, marinering, extraktion, </w:t>
      </w:r>
      <w:proofErr w:type="spellStart"/>
      <w:r>
        <w:t>extrudering</w:t>
      </w:r>
      <w:proofErr w:type="spellEnd"/>
      <w:r>
        <w:t xml:space="preserve"> eller en kombination av dessa behandlingar.</w:t>
      </w:r>
    </w:p>
    <w:p w14:paraId="43FEB140" w14:textId="0DA7A2EE" w:rsidR="009827E1" w:rsidRPr="00AF623F" w:rsidRDefault="009827E1" w:rsidP="00FF49BD">
      <w:pPr>
        <w:pStyle w:val="BodyText"/>
        <w:spacing w:before="57" w:line="213" w:lineRule="auto"/>
        <w:ind w:right="-138" w:firstLine="215"/>
        <w:jc w:val="both"/>
      </w:pPr>
      <w:r>
        <w:lastRenderedPageBreak/>
        <w:t>5) bearbetade produkter: livsmedel som framställs av obearbetade produkter. Dessa produkter får innehålla ingredienser som behövs vid tillverkningen för att de ska få särskilda egenskaper.</w:t>
      </w:r>
    </w:p>
    <w:p w14:paraId="1CE2AD4F" w14:textId="4FD01B24" w:rsidR="009827E1" w:rsidRPr="00AF623F" w:rsidRDefault="009827E1" w:rsidP="00FF49BD">
      <w:pPr>
        <w:pStyle w:val="BodyText"/>
        <w:spacing w:before="56" w:line="213" w:lineRule="auto"/>
        <w:ind w:right="-138" w:firstLine="215"/>
        <w:jc w:val="both"/>
      </w:pPr>
      <w:r>
        <w:t>6) ingrediens: varje ämne eller produkt, inklusive aromer, livsmedelstillsatser och livsmedelsenzymer, och varje beståndsdel i en sammansatt ingrediens som används vid tillverkningen eller beredningen av ett livsmedel och som finns kvar i den färdiga varan, om än i annan form; restprodukter ska inte anses vara ingredienser.</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Artikel 2 – </w:t>
      </w:r>
      <w:r>
        <w:t>Om inte annat följer av bestämmelserna i artiklarna 3 och 4 är det förbjudet att använda följande för att beskriva, saluföra eller marknadsföra en bearbetad produkt som innehåller växtproteiner:</w:t>
      </w:r>
    </w:p>
    <w:p w14:paraId="32BF206D" w14:textId="2C4A0094" w:rsidR="009827E1" w:rsidRPr="009827E1" w:rsidRDefault="009827E1" w:rsidP="00FF49BD">
      <w:pPr>
        <w:pStyle w:val="BodyText"/>
        <w:spacing w:before="111" w:line="213" w:lineRule="auto"/>
        <w:ind w:right="-138" w:firstLine="215"/>
        <w:jc w:val="both"/>
      </w:pPr>
      <w:r>
        <w:t>(1) En föreskriven beteckning för vilken det inte föreskrivs någon tillsats av växtprotein i bestämmelserna om berörda livsmedlets sammansättning.</w:t>
      </w:r>
    </w:p>
    <w:p w14:paraId="694BBCA1" w14:textId="6B49F726" w:rsidR="009827E1" w:rsidRPr="009827E1" w:rsidRDefault="009827E1" w:rsidP="00FF49BD">
      <w:pPr>
        <w:pStyle w:val="BodyText"/>
        <w:spacing w:before="57" w:line="213" w:lineRule="auto"/>
        <w:ind w:right="-138" w:firstLine="215"/>
        <w:jc w:val="both"/>
      </w:pPr>
      <w:r>
        <w:t>(2) En beteckning som hänvisar till namnen på djurarter eller grupper av arter eller till djurmorfologi eller djuranatomi.</w:t>
      </w:r>
    </w:p>
    <w:p w14:paraId="19904DD3" w14:textId="21156C1B" w:rsidR="009827E1" w:rsidRPr="009827E1" w:rsidRDefault="009827E1" w:rsidP="00FF49BD">
      <w:pPr>
        <w:pStyle w:val="BodyText"/>
        <w:spacing w:before="35"/>
        <w:ind w:left="327" w:right="-138"/>
        <w:jc w:val="both"/>
      </w:pPr>
      <w:r>
        <w:t>(3) En beteckning som innehåller de begrepp som anges i bilaga I.</w:t>
      </w:r>
    </w:p>
    <w:p w14:paraId="50064941" w14:textId="77777777" w:rsidR="009827E1" w:rsidRPr="009827E1" w:rsidRDefault="009827E1" w:rsidP="00FF49BD">
      <w:pPr>
        <w:pStyle w:val="BodyText"/>
        <w:spacing w:before="112"/>
        <w:ind w:left="316" w:right="-138"/>
        <w:jc w:val="both"/>
      </w:pPr>
      <w:r>
        <w:rPr>
          <w:b/>
          <w:sz w:val="20"/>
        </w:rPr>
        <w:t xml:space="preserve">Artikel 3 – </w:t>
      </w:r>
      <w:r>
        <w:t>Beteckningen på ett livsmedel av animaliskt ursprung får användas</w:t>
      </w:r>
    </w:p>
    <w:p w14:paraId="1C3525E5" w14:textId="3891CAB9" w:rsidR="009827E1" w:rsidRPr="009827E1" w:rsidRDefault="009827E1" w:rsidP="00FF49BD">
      <w:pPr>
        <w:pStyle w:val="BodyText"/>
        <w:spacing w:before="105" w:line="213" w:lineRule="auto"/>
        <w:ind w:right="-138" w:firstLine="215"/>
        <w:jc w:val="both"/>
      </w:pPr>
      <w:r>
        <w:t>(1) för livsmedel av animaliskt ursprung som innehåller växtproteiner i en viss proportion, om sådan förekomst föreskrivs genom en förordning eller i förteckningen i bilaga II till denna förordning,</w:t>
      </w:r>
    </w:p>
    <w:p w14:paraId="3DFB8F85" w14:textId="20810A37" w:rsidR="009827E1" w:rsidRPr="009827E1" w:rsidRDefault="009827E1" w:rsidP="00FF49BD">
      <w:pPr>
        <w:pStyle w:val="BodyText"/>
        <w:spacing w:before="58" w:line="213" w:lineRule="auto"/>
        <w:ind w:right="-138" w:firstLine="215"/>
        <w:jc w:val="both"/>
      </w:pPr>
      <w:r>
        <w:t>(2) för att beteckna aromer eller livsmedelsingredienser med aromgivande egenskaper som används i livsmedel.</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Artikel 4 – </w:t>
      </w:r>
      <w:r>
        <w:t>De beteckningar som nämns i artikel 2 får användas i de beskrivande beteckningarna för kombinationer av livsmedel av animaliskt ursprung med andra typer av livsmedel som inte ersätter dessa livsmedel av animaliskt ursprung, utan läggs till som tillägg till dem i samband med sådana kombinationer.</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Artikel 5 – </w:t>
      </w:r>
      <w:r>
        <w:t>Produkter som lagligen tillverkas eller saluförs i en annan medlemsstat i Europeiska unionen eller i ett tredjeland ska inte omfattas av kraven i denna förordning.</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Artikel 6 – </w:t>
      </w:r>
      <w:r>
        <w:t>Det är förbjudet att inneha eller kostnadsfritt distribuera livsmedel, att utbjuda till försäljning, sälja eller kostnadsfritt distribuera livsmedel som inte överensstämmer med bestämmelserna i denna förordning.</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Artikel 7 – </w:t>
      </w:r>
      <w:r>
        <w:t>Underlåtenhet att följa bestämmelserna i artikel 6 i denna förordning kan leda till administrativa böter på högst 1 500 euro för fysiska personer och 7 500 euro för juridiska personer.</w:t>
      </w:r>
    </w:p>
    <w:p w14:paraId="3D2876F8" w14:textId="77777777" w:rsidR="009827E1" w:rsidRPr="009827E1" w:rsidRDefault="009827E1" w:rsidP="00FF49BD">
      <w:pPr>
        <w:pStyle w:val="BodyText"/>
        <w:spacing w:before="56" w:line="213" w:lineRule="auto"/>
        <w:ind w:right="-138" w:firstLine="215"/>
        <w:jc w:val="both"/>
      </w:pPr>
      <w:r>
        <w:t>Dessa böter ska åläggas i enlighet med kapitel II, avdelning II i bok V i konsumentlagen.</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Artikel 8 – </w:t>
      </w:r>
      <w:r>
        <w:t>Bestämmelserna i denna förordning träder i kraft den första dagen i den tredje månaden efter det att förordningen har offentliggjorts.</w:t>
      </w:r>
    </w:p>
    <w:p w14:paraId="534F266C" w14:textId="77777777" w:rsidR="009827E1" w:rsidRPr="009827E1" w:rsidRDefault="009827E1" w:rsidP="00FF49BD">
      <w:pPr>
        <w:pStyle w:val="BodyText"/>
        <w:spacing w:before="57" w:line="213" w:lineRule="auto"/>
        <w:ind w:right="-138" w:firstLine="215"/>
        <w:jc w:val="both"/>
      </w:pPr>
      <w:r>
        <w:t>Livsmedel som tillverkats eller märkts före den första dagen i den tredje månaden efter det att denna förordning har offentliggjorts och som överensstämmer med de bestämmelser som gällde det datumet får saluföras till dess att lagren har tömts, och under alla omständigheter senast ett år efter det att denna förordning har offentliggjorts.</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Artikel 9 – </w:t>
      </w:r>
      <w:r>
        <w:t>Förordning nr </w:t>
      </w:r>
      <w:proofErr w:type="gramStart"/>
      <w:r>
        <w:t>2022-947</w:t>
      </w:r>
      <w:proofErr w:type="gramEnd"/>
      <w:r>
        <w:t xml:space="preserve"> av den 29 juni 2022 om användning av vissa namn som används för att beteckna livsmedel som innehåller växtproteiner ska upphöra att gälla.</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Artikel 10 – </w:t>
      </w:r>
      <w:r>
        <w:t>Ministern för ekonomi, finans och industriell och digital suveränitet och ministern för jordbruks- och livsmedelssuveränitet är inom sina respektive befogenhetsområden ansvariga för genomförandet av denna förordning, som kommer att offentliggöras i Republiken Frankrikes officiella tidning.</w:t>
      </w:r>
    </w:p>
    <w:p w14:paraId="0F1EB1C1" w14:textId="77777777" w:rsidR="009827E1" w:rsidRPr="009827E1" w:rsidRDefault="009827E1" w:rsidP="00FF49BD">
      <w:pPr>
        <w:pStyle w:val="BodyText"/>
        <w:spacing w:before="118"/>
        <w:ind w:left="327" w:right="-138"/>
        <w:jc w:val="both"/>
      </w:pPr>
      <w:r>
        <w:t>Utfärdad den 26 februari 2024.</w:t>
      </w:r>
    </w:p>
    <w:p w14:paraId="2795F894" w14:textId="77777777" w:rsidR="009827E1" w:rsidRPr="009827E1" w:rsidRDefault="009827E1" w:rsidP="00FF49BD">
      <w:pPr>
        <w:pStyle w:val="BodyText"/>
        <w:spacing w:before="2"/>
        <w:ind w:left="0" w:right="-138"/>
        <w:jc w:val="right"/>
      </w:pPr>
      <w:r>
        <w:rPr>
          <w:smallCaps/>
        </w:rPr>
        <w:t xml:space="preserve">Gabriel </w:t>
      </w:r>
      <w:proofErr w:type="spellStart"/>
      <w:r>
        <w:rPr>
          <w:smallCaps/>
        </w:rPr>
        <w:t>Attal</w:t>
      </w:r>
      <w:proofErr w:type="spellEnd"/>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För premiärministern:</w:t>
      </w:r>
    </w:p>
    <w:p w14:paraId="0272B1D5" w14:textId="49A176C2" w:rsidR="009827E1" w:rsidRPr="009827E1" w:rsidRDefault="009827E1" w:rsidP="00FF49BD">
      <w:pPr>
        <w:spacing w:before="94" w:line="228" w:lineRule="exact"/>
        <w:ind w:left="72" w:right="6710"/>
        <w:jc w:val="center"/>
        <w:rPr>
          <w:i/>
          <w:sz w:val="21"/>
        </w:rPr>
      </w:pPr>
      <w:r>
        <w:rPr>
          <w:i/>
          <w:sz w:val="21"/>
        </w:rPr>
        <w:t>Ministern för jordbruk och livsmedelssuveränitet</w:t>
      </w:r>
    </w:p>
    <w:p w14:paraId="051CEBDC" w14:textId="77777777" w:rsidR="009827E1" w:rsidRPr="009827E1" w:rsidRDefault="009827E1" w:rsidP="00FF49BD">
      <w:pPr>
        <w:pStyle w:val="BodyText"/>
        <w:spacing w:before="2"/>
        <w:ind w:left="72" w:right="6710"/>
        <w:jc w:val="center"/>
      </w:pPr>
      <w:r>
        <w:rPr>
          <w:smallCaps/>
        </w:rPr>
        <w:t xml:space="preserve">Marc </w:t>
      </w:r>
      <w:proofErr w:type="spellStart"/>
      <w:r>
        <w:rPr>
          <w:smallCaps/>
        </w:rPr>
        <w:t>Fesneau</w:t>
      </w:r>
      <w:proofErr w:type="spellEnd"/>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Ministern för ekonomi, finans och industriell och digital suveränitet</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BILAGA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Beteckningar vars användning är förbjuden för namn</w:t>
      </w:r>
      <w:r>
        <w:rPr>
          <w:b/>
          <w:sz w:val="21"/>
        </w:rPr>
        <w:br/>
        <w:t>på livsmedel som innehåller växtproteiner</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Filé</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Ryggbiff</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Rumpstek</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Entrecote</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Slaksida</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Bakre delen av ryggbiffen</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Njurtapp</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Mellangärde</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Biffstek</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Högrev</w:t>
      </w:r>
    </w:p>
    <w:p w14:paraId="33A907FB" w14:textId="77777777" w:rsidR="009827E1" w:rsidRPr="009827E1" w:rsidRDefault="009827E1" w:rsidP="00FF49BD">
      <w:pPr>
        <w:numPr>
          <w:ilvl w:val="0"/>
          <w:numId w:val="1"/>
        </w:numPr>
        <w:tabs>
          <w:tab w:val="left" w:pos="541"/>
        </w:tabs>
        <w:spacing w:before="8"/>
        <w:ind w:left="541" w:right="-138" w:hanging="214"/>
        <w:rPr>
          <w:sz w:val="21"/>
        </w:rPr>
      </w:pPr>
      <w:proofErr w:type="spellStart"/>
      <w:r>
        <w:rPr>
          <w:sz w:val="21"/>
        </w:rPr>
        <w:t>Bogstek</w:t>
      </w:r>
      <w:proofErr w:type="spellEnd"/>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Flankstek</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Biff</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Schnitzel</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Flank</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Grillad</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Kotlettrad</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Revbensspjäll</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Skinka</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Slaktare</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Köttproduktsproducent</w:t>
      </w:r>
    </w:p>
    <w:p w14:paraId="5BA0E258" w14:textId="77777777" w:rsidR="009827E1" w:rsidRPr="009827E1" w:rsidRDefault="009827E1" w:rsidP="00FF49BD">
      <w:pPr>
        <w:pStyle w:val="BodyText"/>
        <w:spacing w:before="231"/>
        <w:ind w:left="0" w:right="-138"/>
        <w:jc w:val="center"/>
      </w:pPr>
      <w:r>
        <w:t>BILAGA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Godkända begrepp för att beskriva livsmedel av animaliskt ursprung som får innehålla växtproteiner och den maximala andel växtproteiner som får ingå i de livsmedel för vilka sådana begrepp används</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Begrepp eller namn</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Högsta växtproteinhalt</w:t>
            </w:r>
            <w:r>
              <w:rPr>
                <w:rFonts w:ascii="Times New Roman" w:hAnsi="Times New Roman"/>
                <w:b/>
                <w:i/>
                <w:sz w:val="13"/>
              </w:rPr>
              <w:br/>
              <w:t>(uttryckt som torrsubstans)</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w:t>
            </w:r>
            <w:proofErr w:type="spellEnd"/>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Andouillette</w:t>
            </w:r>
            <w:proofErr w:type="spellEnd"/>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Bacon</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Ballotine</w:t>
            </w:r>
            <w:proofErr w:type="spellEnd"/>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Vit (fjäderfä*)</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Boudin</w:t>
            </w:r>
            <w:proofErr w:type="spellEnd"/>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Cervelat</w:t>
            </w:r>
            <w:proofErr w:type="spellEnd"/>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Korvblandning</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Blandning av fjäderfäkorv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Chipolata</w:t>
            </w:r>
            <w:proofErr w:type="spellEnd"/>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Kycklingchorizo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Konfit</w:t>
            </w:r>
            <w:proofErr w:type="spellEnd"/>
            <w:r>
              <w:rPr>
                <w:rFonts w:ascii="Times New Roman" w:hAnsi="Times New Roman"/>
                <w:sz w:val="16"/>
              </w:rPr>
              <w:t>/</w:t>
            </w:r>
            <w:proofErr w:type="spellStart"/>
            <w:r>
              <w:rPr>
                <w:rFonts w:ascii="Times New Roman" w:hAnsi="Times New Roman"/>
                <w:sz w:val="16"/>
              </w:rPr>
              <w:t>leverkonfit</w:t>
            </w:r>
            <w:proofErr w:type="spellEnd"/>
            <w:r>
              <w:rPr>
                <w:rFonts w:ascii="Times New Roman" w:hAnsi="Times New Roman"/>
                <w:sz w:val="16"/>
              </w:rPr>
              <w:t xml:space="preserve"> (utom fjäderfä)</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 xml:space="preserve">Cordon </w:t>
            </w:r>
            <w:proofErr w:type="spellStart"/>
            <w:r>
              <w:rPr>
                <w:rFonts w:ascii="Times New Roman" w:hAnsi="Times New Roman"/>
                <w:sz w:val="16"/>
              </w:rPr>
              <w:t>bleu</w:t>
            </w:r>
            <w:proofErr w:type="spellEnd"/>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Corned</w:t>
            </w:r>
            <w:proofErr w:type="spellEnd"/>
            <w:r>
              <w:rPr>
                <w:rFonts w:ascii="Times New Roman" w:hAnsi="Times New Roman"/>
                <w:sz w:val="16"/>
              </w:rPr>
              <w:t xml:space="preserve"> </w:t>
            </w:r>
            <w:proofErr w:type="spellStart"/>
            <w:r>
              <w:rPr>
                <w:rFonts w:ascii="Times New Roman" w:hAnsi="Times New Roman"/>
                <w:sz w:val="16"/>
              </w:rPr>
              <w:t>beef</w:t>
            </w:r>
            <w:proofErr w:type="spellEnd"/>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Kokta fläskrevben</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Crépinette</w:t>
            </w:r>
            <w:proofErr w:type="spellEnd"/>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Crépinette</w:t>
            </w:r>
            <w:proofErr w:type="spellEnd"/>
            <w:r>
              <w:rPr>
                <w:rFonts w:ascii="Times New Roman" w:hAnsi="Times New Roman"/>
                <w:sz w:val="16"/>
              </w:rPr>
              <w:t xml:space="preserve"> från fjäderfä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Kokt fläskbog</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bog</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Medelsaltad bog</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Torkad bog</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Schnitzel (av fjäderfä)</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Wienerschnitzel (fjäderfäart)</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filé</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fläskfilé</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Torkad fläskfilé</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Rökt fläskfilé</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Fuseau</w:t>
            </w:r>
            <w:proofErr w:type="spellEnd"/>
            <w:r>
              <w:rPr>
                <w:rFonts w:ascii="Times New Roman" w:hAnsi="Times New Roman"/>
                <w:sz w:val="16"/>
              </w:rPr>
              <w:t xml:space="preserve"> (rökt salami)</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Galantine</w:t>
            </w:r>
            <w:proofErr w:type="spellEnd"/>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Benfri bog</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Bog</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skinka</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Lufttorkad skinka</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Torkad skinka</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Reimsskinka</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Bourgogneskinka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Marmorerad skinka</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Fjäderfäskinka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Baklägg</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lägg</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Knackkorv</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Fjäderfäknack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Ryggbacon</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Skinkbacon</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Lantbacon</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Bacontärningar</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Bacontärningar av fjäderfä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Longaniza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Lonzo</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Merguès</w:t>
            </w:r>
            <w:proofErr w:type="spellEnd"/>
            <w:r>
              <w:rPr>
                <w:rFonts w:ascii="Times New Roman" w:hAnsi="Times New Roman"/>
                <w:sz w:val="16"/>
              </w:rPr>
              <w:t>/</w:t>
            </w:r>
            <w:proofErr w:type="spellStart"/>
            <w:r>
              <w:rPr>
                <w:rFonts w:ascii="Times New Roman" w:hAnsi="Times New Roman"/>
                <w:sz w:val="16"/>
              </w:rPr>
              <w:t>Merguez</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Styckningsdelar av fjäderfä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Bog</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Innanlår</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Nuggets</w:t>
            </w:r>
            <w:proofErr w:type="spellEnd"/>
            <w:r>
              <w:rPr>
                <w:rFonts w:ascii="Times New Roman" w:hAnsi="Times New Roman"/>
                <w:sz w:val="16"/>
              </w:rPr>
              <w:t xml:space="preserve"> (+ fjäderfäarter)</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Bogblad</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Medelsaltat</w:t>
            </w:r>
            <w:proofErr w:type="spellEnd"/>
            <w:r>
              <w:rPr>
                <w:rFonts w:ascii="Times New Roman" w:hAnsi="Times New Roman"/>
                <w:sz w:val="16"/>
              </w:rPr>
              <w:t xml:space="preserve"> bogblad</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Bogblad à la </w:t>
            </w:r>
            <w:proofErr w:type="spellStart"/>
            <w:r>
              <w:rPr>
                <w:rFonts w:ascii="Times New Roman" w:hAnsi="Times New Roman"/>
                <w:sz w:val="16"/>
              </w:rPr>
              <w:t>diable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Pancetta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Paté</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Rulad:</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av (+ arter) (utom fjäderfä)</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mer än (+ arter)</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traditionell</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fjäderfä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Saltat fläsk</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Medelsaltade </w:t>
            </w:r>
            <w:proofErr w:type="spellStart"/>
            <w:r>
              <w:rPr>
                <w:rFonts w:ascii="Times New Roman" w:hAnsi="Times New Roman"/>
                <w:sz w:val="16"/>
              </w:rPr>
              <w:t>kamben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bringa</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Rökt bringa</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Torkad bringa</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Rillette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Rosette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stek</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Saltad stek</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Korv</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korv</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Stekt korv</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Grillad korv</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Rökt korv från Alsace</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Lorrainekorv</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Toulousekorv</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Torkad korv</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Cocktailkorv</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 korv</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Alsacekorv</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Korv från Alsace</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Lyonkorv</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Wienerkorv</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Frankfurterkorv</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Strasbourgkorv</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Korv av fjäderfä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Saucisson</w:t>
            </w:r>
            <w:proofErr w:type="spellEnd"/>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Kokt </w:t>
            </w:r>
            <w:proofErr w:type="spellStart"/>
            <w:r>
              <w:rPr>
                <w:rFonts w:ascii="Times New Roman" w:hAnsi="Times New Roman"/>
                <w:sz w:val="16"/>
              </w:rPr>
              <w:t>saucisson</w:t>
            </w:r>
            <w:proofErr w:type="spellEnd"/>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Stekt </w:t>
            </w:r>
            <w:proofErr w:type="spellStart"/>
            <w:r>
              <w:rPr>
                <w:rFonts w:ascii="Times New Roman" w:hAnsi="Times New Roman"/>
                <w:sz w:val="16"/>
              </w:rPr>
              <w:t>saucisson</w:t>
            </w:r>
            <w:proofErr w:type="spellEnd"/>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Grillad </w:t>
            </w:r>
            <w:proofErr w:type="spellStart"/>
            <w:r>
              <w:rPr>
                <w:rFonts w:ascii="Times New Roman" w:hAnsi="Times New Roman"/>
                <w:sz w:val="16"/>
              </w:rPr>
              <w:t>saucisson</w:t>
            </w:r>
            <w:proofErr w:type="spellEnd"/>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Torkad </w:t>
            </w:r>
            <w:proofErr w:type="spellStart"/>
            <w:r>
              <w:rPr>
                <w:rFonts w:ascii="Times New Roman" w:hAnsi="Times New Roman"/>
                <w:sz w:val="16"/>
              </w:rPr>
              <w:t>saucisson</w:t>
            </w:r>
            <w:proofErr w:type="spellEnd"/>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Saucisson</w:t>
            </w:r>
            <w:proofErr w:type="spellEnd"/>
            <w:r>
              <w:rPr>
                <w:rFonts w:ascii="Times New Roman" w:hAnsi="Times New Roman"/>
                <w:sz w:val="16"/>
              </w:rPr>
              <w:t xml:space="preserve"> från Lyon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w:t>
            </w:r>
            <w:proofErr w:type="spellStart"/>
            <w:r>
              <w:rPr>
                <w:rFonts w:ascii="Times New Roman" w:hAnsi="Times New Roman"/>
                <w:sz w:val="16"/>
              </w:rPr>
              <w:t>saucisson</w:t>
            </w:r>
            <w:proofErr w:type="spellEnd"/>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Kokt </w:t>
            </w:r>
            <w:proofErr w:type="spellStart"/>
            <w:r>
              <w:rPr>
                <w:rFonts w:ascii="Times New Roman" w:hAnsi="Times New Roman"/>
                <w:sz w:val="16"/>
              </w:rPr>
              <w:t>saucisson</w:t>
            </w:r>
            <w:proofErr w:type="spellEnd"/>
            <w:r>
              <w:rPr>
                <w:rFonts w:ascii="Times New Roman" w:hAnsi="Times New Roman"/>
                <w:sz w:val="16"/>
              </w:rPr>
              <w:t xml:space="preserve"> av fjäderfä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Torkad </w:t>
            </w:r>
            <w:proofErr w:type="spellStart"/>
            <w:r>
              <w:rPr>
                <w:rFonts w:ascii="Times New Roman" w:hAnsi="Times New Roman"/>
                <w:sz w:val="16"/>
              </w:rPr>
              <w:t>saucisson</w:t>
            </w:r>
            <w:proofErr w:type="spellEnd"/>
            <w:r>
              <w:rPr>
                <w:rFonts w:ascii="Times New Roman" w:hAnsi="Times New Roman"/>
                <w:sz w:val="16"/>
              </w:rPr>
              <w:t xml:space="preserve"> av fjäderfä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Lantterrin</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 från Bretagne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 från Ardennes</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Leverterrin</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Skinkterrin</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 från Jura</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Mormorstilsterrin</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X Terrin (X är ett artnamn)</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Terrin (X är ett artnamn)</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Tournedos (av fjäderfä)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Ventrèche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Marinerat kött från (+ art)</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Namn på marinerade slaktbiprodukter från (+ arter)</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Wienerfjäderfä</w:t>
            </w:r>
            <w:proofErr w:type="spellEnd"/>
            <w:r>
              <w:rPr>
                <w:rFonts w:ascii="Times New Roman" w:hAnsi="Times New Roman"/>
                <w:sz w:val="16"/>
              </w:rPr>
              <w:t xml:space="preserve">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Flytande hela ägg/torkade hela ägg</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Flytande äggula/torkad äggula</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Flytande äggvita/torkad äggvita</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Omelett</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Växtproteinhalt som endast härrör från de kryddor och aromer som ingår i produkten.</w:t>
      </w:r>
    </w:p>
    <w:p w14:paraId="2CD4B5A4" w14:textId="6F078BE2" w:rsidR="009827E1" w:rsidRPr="009827E1" w:rsidRDefault="009827E1" w:rsidP="00FB1DEC">
      <w:pPr>
        <w:pStyle w:val="BodyText"/>
        <w:spacing w:before="0" w:line="247" w:lineRule="auto"/>
        <w:ind w:left="329" w:right="473"/>
      </w:pPr>
      <w:r>
        <w:t>(**) Varav 1 % endast får härröra från de kryddor och aromer som ingår i produkten.</w:t>
      </w:r>
    </w:p>
    <w:p w14:paraId="7749292B" w14:textId="77777777" w:rsidR="009827E1" w:rsidRPr="009827E1" w:rsidRDefault="009827E1" w:rsidP="00FB1DEC">
      <w:pPr>
        <w:pStyle w:val="BodyText"/>
        <w:spacing w:before="1"/>
        <w:ind w:left="327" w:right="473"/>
      </w:pPr>
      <w:r>
        <w:t>(***) Varav 1,5 % endast får härröra från de kryddor och aromer som ingår i produkten.</w:t>
      </w:r>
    </w:p>
    <w:p w14:paraId="4CBD5998" w14:textId="77777777" w:rsidR="009827E1" w:rsidRPr="009827E1" w:rsidRDefault="009827E1" w:rsidP="00FB1DEC">
      <w:pPr>
        <w:pStyle w:val="BodyText"/>
        <w:spacing w:before="30" w:line="213" w:lineRule="auto"/>
        <w:ind w:right="473" w:firstLine="215"/>
      </w:pPr>
      <w:r>
        <w:t>**** fjäderfä: fjäderfä och alla fjäderfäarter (kalkon, kyckling, anka, pärlhöns, vaktel, duva).</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Ytterligare 2 % av växtprotein får tillsättas för produkter som ingår i konserverade rätter.</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Tillsats av växtprotein upp till och med en total gräns på 7 % (exklusive proteiner från kryddor och aromer) är tillåten för produkter som ingår i konserverade rätter.</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7040" w14:textId="77777777" w:rsidR="00A12B14" w:rsidRDefault="00A12B14" w:rsidP="009827E1">
      <w:r>
        <w:separator/>
      </w:r>
    </w:p>
  </w:endnote>
  <w:endnote w:type="continuationSeparator" w:id="0">
    <w:p w14:paraId="1FEF9D69" w14:textId="77777777" w:rsidR="00A12B14" w:rsidRDefault="00A12B14"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8597" w14:textId="77777777" w:rsidR="00A12B14" w:rsidRDefault="00A12B14" w:rsidP="009827E1">
      <w:r>
        <w:separator/>
      </w:r>
    </w:p>
  </w:footnote>
  <w:footnote w:type="continuationSeparator" w:id="0">
    <w:p w14:paraId="46B72270" w14:textId="77777777" w:rsidR="00A12B14" w:rsidRDefault="00A12B14"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februari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REPUBLIKEN FRANKRIKES OFFICIELLA TIDNING</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Text 15 av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2F3CFA"/>
    <w:rsid w:val="00396C43"/>
    <w:rsid w:val="009827E1"/>
    <w:rsid w:val="009D0DC6"/>
    <w:rsid w:val="00A12B14"/>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sv-SE"/>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10279</Characters>
  <Application>Microsoft Office Word</Application>
  <DocSecurity>0</DocSecurity>
  <Lines>380</Lines>
  <Paragraphs>376</Paragraphs>
  <ScaleCrop>false</ScaleCrop>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2024-05-08T06:41:00Z</dcterms:created>
  <dcterms:modified xsi:type="dcterms:W3CDTF">2024-05-08T06:41:00Z</dcterms:modified>
</cp:coreProperties>
</file>