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 xml:space="preserve">REPUBLIKEN FRANKRIKE</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 xml:space="preserve">Ministeriet för partnerskap med territorier och decentralisering</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 xml:space="preserve">Dekret nr                           av den</w:t>
      </w:r>
    </w:p>
    <w:p w14:paraId="2D7A540B" w14:textId="77777777" w:rsidR="00883D72" w:rsidRPr="00C32FE3" w:rsidRDefault="00883D72" w:rsidP="00883D72">
      <w:pPr>
        <w:pStyle w:val="SNtitre"/>
      </w:pPr>
      <w:r>
        <w:t xml:space="preserve">om villkoren för tillämpning av artikel L.1214-8-3 i transportlagen</w:t>
      </w:r>
    </w:p>
    <w:p w14:paraId="48F7015D" w14:textId="77777777" w:rsidR="00883D72" w:rsidRPr="00C32FE3" w:rsidRDefault="00883D72" w:rsidP="00883D72">
      <w:pPr>
        <w:pStyle w:val="SNNORCentr"/>
      </w:pPr>
      <w:r>
        <w:t xml:space="preserve">NOR:</w:t>
      </w:r>
      <w:r>
        <w:t xml:space="preserve"> </w:t>
      </w:r>
      <w:r>
        <w:t xml:space="preserve">TRET2326169D</w:t>
      </w:r>
    </w:p>
    <w:p w14:paraId="46FC1EAF" w14:textId="77777777" w:rsidR="00883D72" w:rsidRPr="000D7A23" w:rsidRDefault="00883D72" w:rsidP="00883D72">
      <w:pPr>
        <w:pStyle w:val="SNAutorit"/>
        <w:ind w:left="708" w:firstLine="0"/>
        <w:jc w:val="both"/>
        <w:rPr>
          <w:b w:val="0"/>
          <w:i/>
        </w:rPr>
      </w:pPr>
      <w:r>
        <w:rPr>
          <w:i/>
        </w:rPr>
        <w:t xml:space="preserve">Målgrupp: </w:t>
      </w:r>
      <w:r>
        <w:rPr>
          <w:i/>
          <w:b w:val="0"/>
        </w:rPr>
        <w:t xml:space="preserve">Digitala reseassistanstjänster som syftar till att underlätta enmodala eller multimodala resor med hjälp av transporttjänster, fordon, cyklar, personliga rörlighetshjälpmedel eller till fots.</w:t>
      </w:r>
    </w:p>
    <w:p w14:paraId="5131E781" w14:textId="77777777" w:rsidR="00883D72" w:rsidRPr="000D7A23" w:rsidRDefault="00883D72" w:rsidP="00883D72">
      <w:pPr>
        <w:pStyle w:val="SNAutorit"/>
        <w:spacing w:before="120"/>
        <w:ind w:left="708" w:firstLine="0"/>
        <w:jc w:val="both"/>
        <w:rPr>
          <w:b w:val="0"/>
          <w:i/>
        </w:rPr>
      </w:pPr>
      <w:r>
        <w:rPr>
          <w:i/>
        </w:rPr>
        <w:t xml:space="preserve">Ärende: </w:t>
      </w:r>
      <w:r>
        <w:rPr>
          <w:i/>
          <w:b w:val="0"/>
        </w:rPr>
        <w:t xml:space="preserve">Fastställande av förfaranden för tillämpningen av artikel L.1214-8-3 i transportlagen.</w:t>
      </w:r>
    </w:p>
    <w:p w14:paraId="028B2818" w14:textId="77777777" w:rsidR="00883D72" w:rsidRPr="000D7A23" w:rsidRDefault="00883D72" w:rsidP="00883D72">
      <w:pPr>
        <w:pStyle w:val="SNAutorit"/>
        <w:spacing w:before="120"/>
        <w:ind w:left="708" w:firstLine="0"/>
        <w:jc w:val="both"/>
        <w:rPr>
          <w:b w:val="0"/>
          <w:i/>
        </w:rPr>
      </w:pPr>
      <w:r>
        <w:rPr>
          <w:i/>
        </w:rPr>
        <w:t xml:space="preserve">Ikraftträdande: </w:t>
      </w:r>
      <w:r>
        <w:rPr>
          <w:i/>
          <w:b w:val="0"/>
        </w:rPr>
        <w:t xml:space="preserve">Texten ska träda i kraft dagen efter dess publicering.</w:t>
      </w:r>
    </w:p>
    <w:p w14:paraId="2F8DC73C" w14:textId="1CA4465B" w:rsidR="00883D72" w:rsidRPr="000D7A23" w:rsidRDefault="00883D72" w:rsidP="00883D72">
      <w:pPr>
        <w:pStyle w:val="SNAutorit"/>
        <w:spacing w:before="120"/>
        <w:ind w:left="708" w:firstLine="0"/>
        <w:jc w:val="both"/>
        <w:rPr>
          <w:b w:val="0"/>
          <w:i/>
        </w:rPr>
      </w:pPr>
      <w:r>
        <w:rPr>
          <w:i/>
        </w:rPr>
        <w:t xml:space="preserve">Anmärkning: </w:t>
      </w:r>
      <w:r>
        <w:rPr>
          <w:i/>
          <w:b w:val="0"/>
        </w:rPr>
        <w:t xml:space="preserve">I dekretet anges förfarandena för tillämpningen av bestämmelserna i artikel L.1214-8-3 i transportlagen om tillgång till relevanta uppgifter från digitala reseassistanstjänster för mobilitetsorganiserande myndigheter i syfte att förstå mobilitet inom deras territoriella jurisdiktion, med målet att främja relevanta alternativ till exklusiv användning av det enskilda fordonet, särskilt i utsläppssnåla mobilitetszoner, och bedöma effekterna av trafikomställningsstrategier, särskilt lämpligheten hos anläggningar för infartsparkeringar.</w:t>
      </w:r>
      <w:r>
        <w:rPr>
          <w:i/>
          <w:b w:val="0"/>
        </w:rPr>
        <w:t xml:space="preserve"> </w:t>
      </w:r>
      <w:r>
        <w:rPr>
          <w:i/>
          <w:b w:val="0"/>
        </w:rPr>
        <w:t xml:space="preserve">I dekretet fastställs de berörda uppgifterna, formerna för åtkomst till och säkring av uppgifterna samt formerna för information till de berörda personerna.</w:t>
      </w:r>
    </w:p>
    <w:p w14:paraId="6D210A36" w14:textId="5B4C1B6F" w:rsidR="00883D72" w:rsidRPr="000D7A23" w:rsidRDefault="00883D72" w:rsidP="00883D72">
      <w:pPr>
        <w:pStyle w:val="SNAutorit"/>
        <w:spacing w:before="120"/>
        <w:ind w:left="708" w:firstLine="0"/>
        <w:rPr>
          <w:b w:val="0"/>
          <w:i/>
        </w:rPr>
      </w:pPr>
      <w:r>
        <w:rPr>
          <w:i/>
        </w:rPr>
        <w:t xml:space="preserve">Referenser: </w:t>
      </w:r>
      <w:r>
        <w:rPr>
          <w:i/>
          <w:b w:val="0"/>
        </w:rPr>
        <w:t xml:space="preserve">Detta dekret utfärdas för tillämpningen av artikel L.1214-8-3 i transportlagen till följd av artikel 109 i lag nr 2021-1104 av den 22 augusti 2021 om bekämpning av klimatförändringar och förstärkningen av resiliensen mot dess effekter.</w:t>
      </w:r>
      <w:r>
        <w:rPr>
          <w:i/>
          <w:b w:val="0"/>
        </w:rPr>
        <w:t xml:space="preserve"> </w:t>
      </w:r>
      <w:r>
        <w:rPr>
          <w:i/>
          <w:b w:val="0"/>
        </w:rPr>
        <w:t xml:space="preserve">Den kan ses på Légifrances webbplats (http://www.legifrance.gouv.fr).</w:t>
      </w:r>
    </w:p>
    <w:p w14:paraId="27919A0D" w14:textId="77777777" w:rsidR="00883D72" w:rsidRPr="00C32FE3" w:rsidRDefault="00883D72" w:rsidP="00883D72">
      <w:pPr>
        <w:pStyle w:val="SNAutorit"/>
      </w:pPr>
      <w:r>
        <w:t xml:space="preserve">Premiärministern utfärdar detta dekret,</w:t>
      </w:r>
    </w:p>
    <w:p w14:paraId="17CFB5DF" w14:textId="4FF4D1D2" w:rsidR="00883D72" w:rsidRPr="00C32FE3" w:rsidRDefault="00883D72" w:rsidP="00396E80">
      <w:pPr>
        <w:pStyle w:val="SNRapport"/>
      </w:pPr>
      <w:r>
        <w:t xml:space="preserve">på grundval av rapporten från den delegerade ministern till ministern för partnerskap med territorier och decentralisering, med ansvar för transport,</w:t>
      </w:r>
    </w:p>
    <w:p w14:paraId="1680FAFD" w14:textId="217FE4C0" w:rsidR="00883D72" w:rsidRDefault="00883D72" w:rsidP="00883D72">
      <w:pPr>
        <w:ind w:left="708"/>
        <w:jc w:val="both"/>
        <w:rPr>
          <w:iCs/>
          <w:color w:val="00000A"/>
        </w:rPr>
      </w:pPr>
      <w:r>
        <w:rPr>
          <w:color w:val="00000A"/>
        </w:rPr>
        <w:t xml:space="preserve">med beaktande av Europaparlamentets och rådets direktiv (EU) 2015/1535 av den 9 september 2015 om ett informationsförfarande beträffande tekniska standarder och föreskrifter och beträffande föreskrifter för informationssamhällets tjänster samt av anmälan nr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 xml:space="preserve">med beaktande av Europaparlamentets och rådets förordning (EU) 2016/679 av den 27 april 2016 om skydd för fysiska personer med avseende på behandling av personuppgifter och om det fria flödet av sådana uppgifter,</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 xml:space="preserve">med beaktande av transportlagen, särskilt artikel L. 1214-8-3,</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 xml:space="preserve">med beaktande av lag nr. 2021</w:t>
      </w:r>
      <w:r>
        <w:rPr>
          <w:color w:val="00000A"/>
        </w:rPr>
        <w:noBreakHyphen/>
      </w:r>
      <w:r>
        <w:rPr>
          <w:color w:val="00000A"/>
        </w:rPr>
        <w:t xml:space="preserve">1104 av den 22 augusti 2021 om bekämpning av klimatförändringar och förstärkning av motståndskraften mot dess effekter, särskilt artikel 109,</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 xml:space="preserve">med beaktande av yttrandet från det nationella rådet för utvärdering av standarder av den 10 oktober 2024,</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 xml:space="preserve">med beaktande av yttrandet från den franska dataskyddsmyndigheten av den 19 september 2024.</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 xml:space="preserve">Härigenom föreskrivs följande:</w:t>
      </w:r>
    </w:p>
    <w:p w14:paraId="268BF584" w14:textId="77777777" w:rsidR="00883D72" w:rsidRPr="004E0C89" w:rsidRDefault="00883D72" w:rsidP="00D91770">
      <w:pPr>
        <w:pStyle w:val="Titre1"/>
        <w:jc w:val="left"/>
      </w:pPr>
      <w:r>
        <w:t xml:space="preserve">[</w:t>
      </w:r>
    </w:p>
    <w:p w14:paraId="625697DA" w14:textId="77777777" w:rsidR="00883D72" w:rsidRPr="00C32FE3" w:rsidRDefault="00883D72" w:rsidP="00883D72">
      <w:pPr>
        <w:pStyle w:val="SNArticle"/>
      </w:pPr>
      <w:r>
        <w:t xml:space="preserve">Artikel 1</w:t>
      </w:r>
    </w:p>
    <w:p w14:paraId="2F0C6A4D" w14:textId="77777777" w:rsidR="00883D72" w:rsidRDefault="00883D72" w:rsidP="00883D72">
      <w:pPr>
        <w:pStyle w:val="Corpsdetexte"/>
      </w:pPr>
      <w:r>
        <w:t xml:space="preserve">I. – Kapitel IV i avdelning I i bok II i del I i transportlagen (regeldelen) ändras på följande sätt:</w:t>
      </w:r>
    </w:p>
    <w:p w14:paraId="0A56D93A" w14:textId="5E8B9A06" w:rsidR="00883D72" w:rsidRDefault="00883D72" w:rsidP="00883D72">
      <w:pPr>
        <w:pStyle w:val="Corpsdetexte"/>
      </w:pPr>
      <w:r>
        <w:t xml:space="preserve">1)</w:t>
      </w:r>
      <w:r>
        <w:t xml:space="preserve"> </w:t>
      </w:r>
      <w:r>
        <w:t xml:space="preserve">Ett avsnitt 5 inrättas härmed med rubriken:</w:t>
      </w:r>
      <w:r>
        <w:t xml:space="preserve"> </w:t>
      </w:r>
      <w:r>
        <w:t xml:space="preserve">”</w:t>
      </w:r>
      <w:r>
        <w:t xml:space="preserve"> </w:t>
      </w:r>
      <w:r>
        <w:t xml:space="preserve">Bestämmelser om digitala reseassistanstjänster”, som omfattar artiklarna D.1214-13 till D.1214-18, med följande lydelse:</w:t>
      </w:r>
    </w:p>
    <w:p w14:paraId="40D843F6" w14:textId="2E970FFB" w:rsidR="00883D72" w:rsidRDefault="00883D72" w:rsidP="00883D72">
      <w:pPr>
        <w:jc w:val="center"/>
      </w:pPr>
      <w:r>
        <w:t xml:space="preserve">”</w:t>
      </w:r>
      <w:r>
        <w:t xml:space="preserve"> </w:t>
      </w:r>
      <w:r>
        <w:rPr>
          <w:i/>
        </w:rPr>
        <w:t xml:space="preserve">5 §</w:t>
      </w:r>
    </w:p>
    <w:p w14:paraId="43B40F8E" w14:textId="77777777" w:rsidR="00883D72" w:rsidRDefault="00883D72" w:rsidP="00883D72">
      <w:pPr>
        <w:jc w:val="center"/>
        <w:rPr>
          <w:i/>
        </w:rPr>
      </w:pPr>
      <w:r>
        <w:t xml:space="preserve">”</w:t>
      </w:r>
      <w:r>
        <w:t xml:space="preserve"> </w:t>
      </w:r>
      <w:r>
        <w:rPr>
          <w:i/>
        </w:rPr>
        <w:t xml:space="preserve">”</w:t>
      </w:r>
      <w:r>
        <w:rPr>
          <w:i/>
        </w:rPr>
        <w:t xml:space="preserve">Bestämmelser för digitala reseassistanstjänster</w:t>
      </w:r>
      <w:r>
        <w:rPr>
          <w:i/>
        </w:rPr>
        <w:t xml:space="preserve"> </w:t>
      </w:r>
    </w:p>
    <w:p w14:paraId="6DC59698" w14:textId="77777777" w:rsidR="00883D72" w:rsidRDefault="00883D72" w:rsidP="00883D72">
      <w:pPr>
        <w:jc w:val="center"/>
        <w:rPr>
          <w:i/>
        </w:rPr>
      </w:pPr>
    </w:p>
    <w:p w14:paraId="502F4785" w14:textId="51AEE314" w:rsidR="00883D72" w:rsidRPr="0035097F" w:rsidRDefault="00883D72" w:rsidP="00883D72">
      <w:pPr>
        <w:pStyle w:val="Corpsdetexte"/>
      </w:pPr>
      <w:r>
        <w:t xml:space="preserve">”</w:t>
      </w:r>
      <w:r>
        <w:t xml:space="preserve"> </w:t>
      </w:r>
      <w:r>
        <w:rPr>
          <w:i/>
        </w:rPr>
        <w:t xml:space="preserve">Artikel D. 1214-13.</w:t>
      </w:r>
      <w:r>
        <w:t xml:space="preserve"> </w:t>
      </w:r>
      <w:r>
        <w:t xml:space="preserve">–</w:t>
      </w:r>
      <w:r>
        <w:t xml:space="preserve"> </w:t>
      </w:r>
      <w:r>
        <w:t xml:space="preserve">De relevanta rese- och trafikuppgifter som innehas av de digitala reseassistanstjänster som avses i I i artikel L.1214-8-3 ska bestå av följande uppgifter:</w:t>
      </w:r>
      <w:r>
        <w:t xml:space="preserve"> </w:t>
      </w:r>
    </w:p>
    <w:p w14:paraId="40D78E5C" w14:textId="77777777" w:rsidR="00883D72" w:rsidRPr="0035097F" w:rsidRDefault="00883D72" w:rsidP="00883D72">
      <w:pPr>
        <w:pStyle w:val="Commentaire"/>
        <w:numPr>
          <w:ilvl w:val="0"/>
          <w:numId w:val="1"/>
        </w:numPr>
        <w:rPr>
          <w:sz w:val="24"/>
          <w:szCs w:val="24"/>
        </w:rPr>
      </w:pPr>
      <w:r>
        <w:rPr>
          <w:sz w:val="24"/>
        </w:rPr>
        <w:t xml:space="preserve">Tidsstämpel av spår.</w:t>
      </w:r>
    </w:p>
    <w:p w14:paraId="287D3F7B" w14:textId="77777777" w:rsidR="00883D72" w:rsidRPr="0035097F" w:rsidRDefault="00883D72" w:rsidP="00883D72">
      <w:pPr>
        <w:pStyle w:val="Commentaire"/>
        <w:numPr>
          <w:ilvl w:val="0"/>
          <w:numId w:val="1"/>
        </w:numPr>
        <w:rPr>
          <w:sz w:val="24"/>
          <w:szCs w:val="24"/>
        </w:rPr>
      </w:pPr>
      <w:r>
        <w:rPr>
          <w:sz w:val="24"/>
        </w:rPr>
        <w:t xml:space="preserve">Unik ruttidentifierare.</w:t>
      </w:r>
    </w:p>
    <w:p w14:paraId="67F92647" w14:textId="10403F03" w:rsidR="00883D72" w:rsidRPr="0035097F" w:rsidRDefault="00883D72" w:rsidP="00883D72">
      <w:pPr>
        <w:pStyle w:val="Commentaire"/>
        <w:numPr>
          <w:ilvl w:val="0"/>
          <w:numId w:val="1"/>
        </w:numPr>
        <w:rPr>
          <w:sz w:val="24"/>
          <w:szCs w:val="24"/>
        </w:rPr>
      </w:pPr>
      <w:r>
        <w:rPr>
          <w:sz w:val="24"/>
        </w:rPr>
        <w:t xml:space="preserve">Tidsstämpel av plats.</w:t>
      </w:r>
    </w:p>
    <w:p w14:paraId="5C3E4E67" w14:textId="77777777" w:rsidR="00883D72" w:rsidRPr="0035097F" w:rsidRDefault="00883D72" w:rsidP="00883D72">
      <w:pPr>
        <w:pStyle w:val="Commentaire"/>
        <w:numPr>
          <w:ilvl w:val="0"/>
          <w:numId w:val="1"/>
        </w:numPr>
        <w:rPr>
          <w:sz w:val="24"/>
          <w:szCs w:val="24"/>
        </w:rPr>
      </w:pPr>
      <w:r>
        <w:rPr>
          <w:sz w:val="24"/>
        </w:rPr>
        <w:t xml:space="preserve">Latitud.</w:t>
      </w:r>
    </w:p>
    <w:p w14:paraId="5D52B2BD" w14:textId="77777777" w:rsidR="00883D72" w:rsidRPr="0035097F" w:rsidRDefault="00883D72" w:rsidP="00883D72">
      <w:pPr>
        <w:pStyle w:val="Commentaire"/>
        <w:numPr>
          <w:ilvl w:val="0"/>
          <w:numId w:val="1"/>
        </w:numPr>
        <w:rPr>
          <w:sz w:val="24"/>
          <w:szCs w:val="24"/>
        </w:rPr>
      </w:pPr>
      <w:r>
        <w:rPr>
          <w:sz w:val="24"/>
        </w:rPr>
        <w:t xml:space="preserve">Longitud.</w:t>
      </w:r>
    </w:p>
    <w:p w14:paraId="489FD706" w14:textId="45B5C8C2" w:rsidR="00883D72" w:rsidRPr="0035097F" w:rsidRDefault="00883D72" w:rsidP="00883D72">
      <w:pPr>
        <w:pStyle w:val="Commentaire"/>
        <w:numPr>
          <w:ilvl w:val="0"/>
          <w:numId w:val="1"/>
        </w:numPr>
        <w:rPr>
          <w:sz w:val="24"/>
          <w:szCs w:val="24"/>
        </w:rPr>
      </w:pPr>
      <w:r>
        <w:rPr>
          <w:sz w:val="24"/>
        </w:rPr>
        <w:t xml:space="preserve">Rubrik.</w:t>
      </w:r>
    </w:p>
    <w:p w14:paraId="3708DD44" w14:textId="21AD2965" w:rsidR="00883D72" w:rsidRDefault="00883D72" w:rsidP="00883D72">
      <w:pPr>
        <w:pStyle w:val="Commentaire"/>
        <w:numPr>
          <w:ilvl w:val="0"/>
          <w:numId w:val="1"/>
        </w:numPr>
        <w:rPr>
          <w:sz w:val="24"/>
          <w:szCs w:val="24"/>
        </w:rPr>
      </w:pPr>
      <w:r>
        <w:rPr>
          <w:sz w:val="24"/>
        </w:rPr>
        <w:t xml:space="preserve">Momentanhastighet.</w:t>
      </w:r>
    </w:p>
    <w:p w14:paraId="58569D43" w14:textId="5DE622F0" w:rsidR="00B45048" w:rsidRPr="0035097F" w:rsidRDefault="00B45048" w:rsidP="00883D72">
      <w:pPr>
        <w:pStyle w:val="Commentaire"/>
        <w:numPr>
          <w:ilvl w:val="0"/>
          <w:numId w:val="1"/>
        </w:numPr>
        <w:rPr>
          <w:sz w:val="24"/>
          <w:szCs w:val="24"/>
        </w:rPr>
      </w:pPr>
      <w:r>
        <w:rPr>
          <w:sz w:val="24"/>
        </w:rPr>
        <w:t xml:space="preserve">Transportsätt.</w:t>
      </w:r>
    </w:p>
    <w:p w14:paraId="6A1D5C9B" w14:textId="77777777" w:rsidR="00883D72" w:rsidRPr="0020266F" w:rsidRDefault="00883D72" w:rsidP="00883D72">
      <w:pPr>
        <w:pStyle w:val="Commentaire"/>
        <w:ind w:left="405"/>
      </w:pPr>
    </w:p>
    <w:p w14:paraId="03769D86" w14:textId="7359D231" w:rsidR="00883D72" w:rsidRDefault="00883D72" w:rsidP="00883D72">
      <w:pPr>
        <w:pStyle w:val="Corpsdetexte"/>
      </w:pPr>
      <w:r>
        <w:t xml:space="preserve"> </w:t>
      </w:r>
      <w:r>
        <w:t xml:space="preserve">”</w:t>
      </w:r>
      <w:r>
        <w:rPr>
          <w:i/>
        </w:rPr>
        <w:t xml:space="preserve"> </w:t>
      </w:r>
      <w:r>
        <w:rPr>
          <w:i/>
        </w:rPr>
        <w:t xml:space="preserve">Artikel D. 1214-14.</w:t>
      </w:r>
      <w:r>
        <w:rPr>
          <w:i/>
        </w:rPr>
        <w:t xml:space="preserve"> </w:t>
      </w:r>
      <w:r>
        <w:rPr>
          <w:i/>
        </w:rPr>
        <w:t xml:space="preserve">-</w:t>
      </w:r>
      <w:r>
        <w:rPr>
          <w:i/>
        </w:rPr>
        <w:t xml:space="preserve"> </w:t>
      </w:r>
      <w:r>
        <w:t xml:space="preserve"> </w:t>
      </w:r>
      <w:r>
        <w:t xml:space="preserve">Den begäran om tillhandahållande av relevanta uppgifter i den mening som avses i I i artikel L. 1214-8-3 som görs av de mobilitetsorganiserande myndigheterna får endast avse uppgifter som härrör från en uppgiftsanonymiseringsprocess som avses i artikel D. 1214-13 och vars användning är nödvändig för att uppnå de syften som anges i III i artikel L. 1214-8-3.</w:t>
      </w:r>
    </w:p>
    <w:p w14:paraId="7885D0C7" w14:textId="073774D2" w:rsidR="00883D72" w:rsidRDefault="00883D72" w:rsidP="00883D72">
      <w:pPr>
        <w:pStyle w:val="Corpsdetexte"/>
      </w:pPr>
      <w:r>
        <w:t xml:space="preserve">”</w:t>
      </w:r>
      <w:r>
        <w:t xml:space="preserve"> </w:t>
      </w:r>
      <w:r>
        <w:rPr>
          <w:i/>
        </w:rPr>
        <w:t xml:space="preserve">Artikel D. 1214-15.</w:t>
      </w:r>
      <w:r>
        <w:t xml:space="preserve"> </w:t>
      </w:r>
      <w:r>
        <w:t xml:space="preserve">– -</w:t>
      </w:r>
      <w:r>
        <w:t xml:space="preserve"> </w:t>
      </w:r>
      <w:r>
        <w:t xml:space="preserve">Vid tillämpning av I i artikel L. 1214-8-3 är de digitala reseassistanstjänsterna skyldiga att anonymisera de uppgifter som avses i artikel D.1214-13.</w:t>
      </w:r>
      <w:r>
        <w:t xml:space="preserve"> </w:t>
      </w:r>
      <w:r>
        <w:t xml:space="preserve">Den valda anonymiseringsmetoden måste garantera en oåterkallelig anonymisering av uppgifterna i enlighet med den senaste tekniken, samtidigt som relevant och användbar information tillhandahålls för att tillgodose behoven hos de mobilitetsorganiserande myndigheterna.</w:t>
      </w:r>
      <w:r>
        <w:t xml:space="preserve"> </w:t>
      </w:r>
      <w:r>
        <w:t xml:space="preserve">Den information som görs tillgänglig för de mobilitetsorganiserande myndigheterna ska presenteras i ett öppet format som är lätt att använda och som kan utnyttjas av ett automatiserat behandlingssystem.”</w:t>
      </w:r>
    </w:p>
    <w:p w14:paraId="40A75DDA" w14:textId="302A7F5A" w:rsidR="00883D72" w:rsidRDefault="00883D72" w:rsidP="008B5EF2">
      <w:pPr>
        <w:pStyle w:val="Corpsdetexte"/>
      </w:pPr>
      <w:r>
        <w:t xml:space="preserve">”</w:t>
      </w:r>
      <w:r>
        <w:t xml:space="preserve"> </w:t>
      </w:r>
      <w:r>
        <w:rPr>
          <w:i/>
        </w:rPr>
        <w:t xml:space="preserve">Artikel D. 1214-16.</w:t>
      </w:r>
      <w:r>
        <w:t xml:space="preserve"> </w:t>
      </w:r>
      <w:r>
        <w:t xml:space="preserve">–</w:t>
      </w:r>
      <w:r>
        <w:t xml:space="preserve"> </w:t>
      </w:r>
      <w:r>
        <w:t xml:space="preserve">Digitala reseassistanstjänster som tar emot en begäran från en mobilitetsorganiserande myndighet om att göra uppgifter tillgängliga ska informera de berörda användarna om genomförandet av en behandling som syftar till att anonymisera deras reseuppgifter, på de villkor som fastställs i artiklarna 12 och 13 i förordning (EU) 2016/679 om skydd för fysiska personer med avseende på behandling av personuppgifter och om det fria flödet av sådana uppgifter.”</w:t>
      </w:r>
    </w:p>
    <w:p w14:paraId="25E997EB" w14:textId="77777777" w:rsidR="00B45048" w:rsidRDefault="00B45048" w:rsidP="00B45048">
      <w:pPr>
        <w:pStyle w:val="Corpsdetexte"/>
      </w:pPr>
      <w:r>
        <w:t xml:space="preserve">”</w:t>
      </w:r>
      <w:r>
        <w:t xml:space="preserve"> </w:t>
      </w:r>
      <w:r>
        <w:t xml:space="preserve">Artikel D. 1214-17.</w:t>
      </w:r>
      <w:r>
        <w:t xml:space="preserve"> </w:t>
      </w:r>
      <w:r>
        <w:t xml:space="preserve">–</w:t>
      </w:r>
      <w:r>
        <w:t xml:space="preserve"> </w:t>
      </w:r>
      <w:r>
        <w:t xml:space="preserve">Ekonomisk ersättning för kostnaderna i samband med anonymiseringen av uppgifter kan erhållas av de digitala reseassistanstjänsterna, som ger den mobilitetsorganiserande myndigheten detaljerad information om kostnaderna till följd av anonymiseringen.</w:t>
      </w:r>
    </w:p>
    <w:p w14:paraId="6FAEE03C" w14:textId="54DF830F" w:rsidR="00883D72" w:rsidRPr="00C32FE3" w:rsidRDefault="00B45048" w:rsidP="003C7294">
      <w:pPr>
        <w:jc w:val="both"/>
      </w:pPr>
      <w:r>
        <w:t xml:space="preserve">”</w:t>
      </w:r>
      <w:r>
        <w:t xml:space="preserve"> </w:t>
      </w:r>
      <w:r>
        <w:t xml:space="preserve">Artikel D. 1214-18.</w:t>
      </w:r>
      <w:r>
        <w:t xml:space="preserve"> </w:t>
      </w:r>
      <w:r>
        <w:t xml:space="preserve">I enlighet med bestämmelserna i artikel 32 i förordning (EU) 2016/679 om skydd för fysiska personer med avseende på behandling av personuppgifter och om det fria flödet av sådana uppgifter ska digitala reseassistanstjänster genomföra lämpliga tekniska och organisatoriska åtgärder när de genomför den uppgiftsanonymiseringsprocess som avses i artikel D.1214-13.</w:t>
      </w:r>
    </w:p>
    <w:p w14:paraId="22DD5D67" w14:textId="05023230" w:rsidR="00883D72" w:rsidRPr="00C32FE3" w:rsidRDefault="00883D72" w:rsidP="00883D72">
      <w:pPr>
        <w:pStyle w:val="SNArticle"/>
      </w:pPr>
      <w:r>
        <w:t xml:space="preserve">Artikel 2</w:t>
      </w:r>
    </w:p>
    <w:p w14:paraId="2154F8C9" w14:textId="3F5253A1" w:rsidR="00883D72" w:rsidRDefault="00883D72" w:rsidP="00883D72">
      <w:pPr>
        <w:pStyle w:val="Corpsdetexte"/>
      </w:pPr>
      <w:r>
        <w:t xml:space="preserve">Ministern för partnerskap med territorier och decentralisering och den biträdande ministern åt ministern för partnerskap med territorier och decentralisering, med ansvar för transport, ska ansvara för genomförandet av detta dekret, som ska offentliggöras i </w:t>
      </w:r>
      <w:r>
        <w:rPr>
          <w:i/>
        </w:rPr>
        <w:t xml:space="preserve">Frankrikes officiella tidning</w:t>
      </w:r>
      <w:r>
        <w:t xml:space="preserve">.</w:t>
      </w:r>
    </w:p>
    <w:p w14:paraId="43D3F9DE" w14:textId="68A1FFE5" w:rsidR="00883D72" w:rsidRPr="00C32FE3" w:rsidRDefault="00883D72" w:rsidP="00883D72">
      <w:pPr>
        <w:pStyle w:val="Corpsdetexte"/>
      </w:pPr>
    </w:p>
    <w:p w14:paraId="3625A1F3" w14:textId="1A349CEF" w:rsidR="00883D72" w:rsidRPr="00E90E1B" w:rsidRDefault="00883D72" w:rsidP="00883D72">
      <w:pPr>
        <w:jc w:val="both"/>
        <w:rPr>
          <w:color w:val="00000A"/>
          <w:rFonts w:eastAsia="MS Mincho"/>
        </w:rPr>
      </w:pPr>
      <w:r>
        <w:rPr>
          <w:color w:val="00000A"/>
        </w:rPr>
        <w:t xml:space="preserve">Utfärdat den XXX 2024.</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 xml:space="preserve">Av premiärministern:</w:t>
      </w:r>
    </w:p>
    <w:p w14:paraId="7B39E09B" w14:textId="5BFF95BE" w:rsidR="00B45048" w:rsidRPr="00B45048" w:rsidRDefault="00992FA1" w:rsidP="00B45048">
      <w:pPr>
        <w:rPr>
          <w:color w:val="00000A"/>
        </w:rPr>
      </w:pPr>
      <w:r>
        <w:rPr>
          <w:color w:val="00000A"/>
        </w:rPr>
        <w:t xml:space="preserve">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 xml:space="preserve">Ministern för partnerskap med territorier och decentralisering,</w:t>
      </w:r>
    </w:p>
    <w:p w14:paraId="70801EE3" w14:textId="69E20974" w:rsidR="00B45048" w:rsidRDefault="00853B18" w:rsidP="00B45048">
      <w:pPr>
        <w:rPr>
          <w:color w:val="00000A"/>
        </w:rPr>
      </w:pPr>
      <w:r>
        <w:rPr>
          <w:color w:val="00000A"/>
        </w:rPr>
        <w:t xml:space="preserve">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 xml:space="preserve">Den biträdande ministern åt ministern för partnerskap med territorierna och decentralisering, med ansvar för transport,</w:t>
      </w:r>
    </w:p>
    <w:p w14:paraId="3FC793F1" w14:textId="73F8BF45" w:rsidR="00B45048" w:rsidRPr="00B45048" w:rsidRDefault="002835FE" w:rsidP="00AD1053">
      <w:pPr>
        <w:jc w:val="right"/>
        <w:rPr>
          <w:color w:val="00000A"/>
        </w:rPr>
      </w:pPr>
      <w:r>
        <w:rPr>
          <w:color w:val="00000A"/>
        </w:rPr>
        <w:t xml:space="preserve">François DUROVRAY</w:t>
      </w:r>
      <w:r>
        <w:rPr>
          <w:color w:val="00000A"/>
        </w:rPr>
        <w:t xml:space="preserve"> </w:t>
      </w:r>
    </w:p>
    <w:p w14:paraId="269A6C81" w14:textId="77777777" w:rsidR="00883D72" w:rsidRDefault="00883D72" w:rsidP="00883D72">
      <w:pPr>
        <w:pStyle w:val="SNDate"/>
      </w:pPr>
    </w:p>
    <w:sectPr w:rsidR="00883D7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AE7" w14:textId="77777777" w:rsidR="007C6233" w:rsidRDefault="00602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1C86" w14:textId="77777777" w:rsidR="007C6233" w:rsidRDefault="006020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8D" w14:textId="77777777" w:rsidR="007C6233" w:rsidRDefault="0060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BC" w14:textId="77777777" w:rsidR="007C6233" w:rsidRDefault="006020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92431"/>
      <w:docPartObj>
        <w:docPartGallery w:val="Watermarks"/>
        <w:docPartUnique/>
      </w:docPartObj>
    </w:sdtPr>
    <w:sdtEndPr/>
    <w:sdtContent>
      <w:p w14:paraId="3B328644" w14:textId="77777777" w:rsidR="007C6233" w:rsidRDefault="00602055">
        <w:pPr>
          <w:pStyle w:val="En-tte"/>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29E" w14:textId="77777777" w:rsidR="007C6233" w:rsidRDefault="0060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883D72"/>
    <w:pPr>
      <w:keepNext/>
      <w:spacing w:before="240"/>
      <w:jc w:val="center"/>
      <w:outlineLvl w:val="0"/>
    </w:pPr>
    <w:rPr>
      <w:rFonts w:cs="Arial"/>
      <w:bCs/>
      <w:caps/>
      <w:color w:val="FFFFFF" w:themeColor="background1"/>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Normal"/>
    <w:rsid w:val="00883D72"/>
    <w:pPr>
      <w:jc w:val="center"/>
    </w:pPr>
    <w:rPr>
      <w:b/>
      <w:bCs/>
      <w:szCs w:val="20"/>
    </w:rPr>
  </w:style>
  <w:style w:type="paragraph" w:styleId="Corpsdetexte">
    <w:name w:val="Body Text"/>
    <w:basedOn w:val="Normal"/>
    <w:link w:val="CorpsdetexteCar"/>
    <w:rsid w:val="00883D72"/>
    <w:pPr>
      <w:spacing w:after="120"/>
      <w:jc w:val="both"/>
    </w:pPr>
  </w:style>
  <w:style w:type="character" w:customStyle="1" w:styleId="CorpsdetexteCar">
    <w:name w:val="Corps de texte Car"/>
    <w:basedOn w:val="Policepardfaut"/>
    <w:link w:val="Corpsdetexte"/>
    <w:rsid w:val="00883D72"/>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883D72"/>
    <w:pPr>
      <w:spacing w:before="720" w:after="240"/>
      <w:ind w:firstLine="720"/>
    </w:pPr>
    <w:rPr>
      <w:b/>
    </w:rPr>
  </w:style>
  <w:style w:type="paragraph" w:customStyle="1" w:styleId="SNTimbre">
    <w:name w:val="SNTimbre"/>
    <w:basedOn w:val="Normal"/>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396E80"/>
    <w:pPr>
      <w:spacing w:before="240" w:after="120"/>
      <w:ind w:left="708"/>
      <w:jc w:val="both"/>
    </w:pPr>
  </w:style>
  <w:style w:type="paragraph" w:customStyle="1" w:styleId="SNDate">
    <w:name w:val="SNDate"/>
    <w:basedOn w:val="Normal"/>
    <w:next w:val="Normal"/>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Normal"/>
    <w:autoRedefine/>
    <w:rsid w:val="00E67613"/>
    <w:pPr>
      <w:spacing w:before="360" w:after="360"/>
      <w:jc w:val="center"/>
    </w:pPr>
    <w:rPr>
      <w:b/>
    </w:rPr>
  </w:style>
  <w:style w:type="paragraph" w:customStyle="1" w:styleId="SNArticle">
    <w:name w:val="SNArticle"/>
    <w:basedOn w:val="Normal"/>
    <w:next w:val="Corpsdetexte"/>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Marquedecommentaire">
    <w:name w:val="annotation reference"/>
    <w:basedOn w:val="Policepardfaut"/>
    <w:rsid w:val="00883D72"/>
    <w:rPr>
      <w:sz w:val="16"/>
      <w:szCs w:val="16"/>
    </w:rPr>
  </w:style>
  <w:style w:type="paragraph" w:styleId="Commentaire">
    <w:name w:val="annotation text"/>
    <w:basedOn w:val="Normal"/>
    <w:link w:val="CommentaireCar"/>
    <w:rsid w:val="00883D72"/>
    <w:rPr>
      <w:sz w:val="20"/>
      <w:szCs w:val="20"/>
    </w:rPr>
  </w:style>
  <w:style w:type="character" w:customStyle="1" w:styleId="CommentaireCar">
    <w:name w:val="Commentaire Car"/>
    <w:basedOn w:val="Policepardfaut"/>
    <w:link w:val="Commentaire"/>
    <w:rsid w:val="00883D7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83D72"/>
    <w:pPr>
      <w:tabs>
        <w:tab w:val="center" w:pos="4536"/>
        <w:tab w:val="right" w:pos="9072"/>
      </w:tabs>
    </w:pPr>
  </w:style>
  <w:style w:type="character" w:customStyle="1" w:styleId="En-tteCar">
    <w:name w:val="En-tête Car"/>
    <w:basedOn w:val="Policepardfaut"/>
    <w:link w:val="En-tte"/>
    <w:uiPriority w:val="99"/>
    <w:rsid w:val="00883D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3D72"/>
    <w:pPr>
      <w:tabs>
        <w:tab w:val="center" w:pos="4536"/>
        <w:tab w:val="right" w:pos="9072"/>
      </w:tabs>
    </w:pPr>
  </w:style>
  <w:style w:type="character" w:customStyle="1" w:styleId="PieddepageCar">
    <w:name w:val="Pied de page Car"/>
    <w:basedOn w:val="Policepardfaut"/>
    <w:link w:val="Pieddepage"/>
    <w:uiPriority w:val="99"/>
    <w:rsid w:val="00883D7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3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D7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5097F"/>
    <w:rPr>
      <w:b/>
      <w:bCs/>
    </w:rPr>
  </w:style>
  <w:style w:type="character" w:customStyle="1" w:styleId="ObjetducommentaireCar">
    <w:name w:val="Objet du commentaire Car"/>
    <w:basedOn w:val="CommentaireCar"/>
    <w:link w:val="Objetducommentaire"/>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JOSSET Sokhetra</cp:lastModifiedBy>
  <cp:revision>35</cp:revision>
  <dcterms:created xsi:type="dcterms:W3CDTF">2024-11-14T09:33:00Z</dcterms:created>
  <dcterms:modified xsi:type="dcterms:W3CDTF">2024-11-14T11:33:00Z</dcterms:modified>
</cp:coreProperties>
</file>