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Aceasta este o traducere automată</w:t>
      </w:r>
    </w:p>
    <w:p w14:paraId="48A46481" w14:textId="77777777">
      <w:pPr>
        <w:pStyle w:val="P68B1DB1-Title1"/>
        <w:spacing w:before="0"/>
        <w:ind w:left="0"/>
      </w:pPr>
    </w:p>
    <w:p w14:paraId="5DDBFD33" w14:textId="3AD4A40E">
      <w:pPr>
        <w:pStyle w:val="P68B1DB1-Title1"/>
        <w:spacing w:before="0"/>
        <w:ind w:left="0"/>
      </w:pPr>
      <w:r>
        <w:t xml:space="preserve">Jurisprudența privind Directiva (UE) 2015/1535</w:t>
      </w:r>
    </w:p>
    <w:p w14:paraId="5AFCD03C" w14:textId="77777777">
      <w:pPr>
        <w:pStyle w:val="BodyText"/>
      </w:pPr>
    </w:p>
    <w:p w14:paraId="55805DA1" w14:textId="3A3D4AA9">
      <w:pPr>
        <w:pStyle w:val="BodyText"/>
      </w:pPr>
      <w:r>
        <w:t xml:space="preserve">Prezentul document identifică principalele hotărâri și ordonanțe ale Curții de Justiție a Uniunii Europene privind domeniul de aplicare și aplicarea Directivei (UE) 2015/1535, care stabilește o procedură pentru furnizarea de informații în domeniul reglementărilor tehnice și al normelor privind serviciile societății informaționale. Scopul său este de a servi drept ghid pentru administrațiile statelor membre, industrie și cetățeni.</w:t>
      </w:r>
    </w:p>
    <w:p w14:paraId="4F3E66AE" w14:textId="77777777">
      <w:pPr>
        <w:pStyle w:val="BodyText"/>
        <w:rPr>
          <w:sz w:val="22"/>
          <w:szCs w:val="18"/>
        </w:rPr>
      </w:pPr>
    </w:p>
    <w:p w14:paraId="53D6EBA0" w14:textId="77777777">
      <w:pPr>
        <w:pStyle w:val="BodyText"/>
      </w:pPr>
      <w:r>
        <w:t xml:space="preserve">Întrucât prezentul document nu este exhaustiv, este posibil ca unele decizii relevante să nu fie incluse.</w:t>
      </w:r>
    </w:p>
    <w:p w14:paraId="771A43E5" w14:textId="77777777">
      <w:pPr>
        <w:pStyle w:val="BodyText"/>
      </w:pPr>
    </w:p>
    <w:p w14:paraId="45186CE0" w14:textId="45ABA22D">
      <w:pPr>
        <w:pStyle w:val="BodyText"/>
      </w:pPr>
      <w:r>
        <w:t xml:space="preserve">Hotărârile sunt prezentate în ordine cronologică, iar documentul este structurat în patru părți:</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Deciziile din care au fost compilate extrase din prezentul document se referă la directive succesive de stabilire a unei proceduri pentru furnizarea de informații în domeniul reglementărilor tehnice. Următorul tabel de echivalență ilustrează continuitatea principalelor dispoziții ale acestora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Tabel de echivalență a principalelor dispoziții </w:t>
      </w:r>
    </w:p>
    <w:p w14:paraId="74F41B86" w14:textId="7258661E">
      <w:pPr>
        <w:pStyle w:val="P68B1DB1-Normal5"/>
        <w:spacing w:after="0" w:line="240" w:lineRule="auto"/>
        <w:jc w:val="center"/>
        <w:rPr>
          <w:bCs/>
        </w:rPr>
      </w:pPr>
      <w:r>
        <w:t xml:space="preserve">Directivele (UE) 2015/1535, 98/34/CE și 83/189/CEE</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Conținutul dispozițiilor</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Directiva (UE) 2015/1535 a Consiliului</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Directiva 98/34/CE a Consiliului</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Directiva 83/189/CEE a Consiliului</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Definiția „produselor”</w:t>
            </w:r>
          </w:p>
        </w:tc>
        <w:tc>
          <w:tcPr>
            <w:tcW w:w="2457" w:type="dxa"/>
          </w:tcPr>
          <w:p w14:paraId="4A418F3D" w14:textId="11CADE6C">
            <w:pPr>
              <w:pStyle w:val="P68B1DB1-Normal7"/>
              <w:spacing w:line="240" w:lineRule="auto"/>
            </w:pPr>
            <w:r>
              <w:t xml:space="preserve">Articolul 1 alineatul (1) litera (a)</w:t>
            </w:r>
          </w:p>
        </w:tc>
        <w:tc>
          <w:tcPr>
            <w:tcW w:w="2315" w:type="dxa"/>
          </w:tcPr>
          <w:p w14:paraId="5020F0EC" w14:textId="29FBC8B8">
            <w:pPr>
              <w:pStyle w:val="P68B1DB1-Normal7"/>
              <w:spacing w:line="240" w:lineRule="auto"/>
            </w:pPr>
            <w:r>
              <w:t xml:space="preserve">Articolul 1 alineatul (1)</w:t>
            </w:r>
          </w:p>
        </w:tc>
        <w:tc>
          <w:tcPr>
            <w:tcW w:w="2315" w:type="dxa"/>
          </w:tcPr>
          <w:p w14:paraId="1AC77ECE" w14:textId="6BC392C6">
            <w:pPr>
              <w:pStyle w:val="P68B1DB1-Normal7"/>
              <w:spacing w:line="240" w:lineRule="auto"/>
            </w:pPr>
            <w:r>
              <w:t xml:space="preserve">Articolul 1 alineatul (7)</w:t>
            </w:r>
          </w:p>
        </w:tc>
      </w:tr>
      <w:tr w14:paraId="4F3F95AF" w14:textId="77777777">
        <w:trPr>
          <w:trHeight w:val="599"/>
        </w:trPr>
        <w:tc>
          <w:tcPr>
            <w:tcW w:w="3119" w:type="dxa"/>
          </w:tcPr>
          <w:p w14:paraId="42CDA066" w14:textId="77777777">
            <w:pPr>
              <w:pStyle w:val="P68B1DB1-Normal7"/>
              <w:spacing w:line="240" w:lineRule="auto"/>
            </w:pPr>
            <w:r>
              <w:t xml:space="preserve">Definiția „serviciilor”</w:t>
            </w:r>
          </w:p>
        </w:tc>
        <w:tc>
          <w:tcPr>
            <w:tcW w:w="2457" w:type="dxa"/>
          </w:tcPr>
          <w:p w14:paraId="658F3867" w14:textId="6E2F4A98">
            <w:pPr>
              <w:pStyle w:val="P68B1DB1-Normal7"/>
              <w:spacing w:line="240" w:lineRule="auto"/>
            </w:pPr>
            <w:r>
              <w:t xml:space="preserve">Articolul 1 alineatul (1) litera (b)</w:t>
            </w:r>
          </w:p>
        </w:tc>
        <w:tc>
          <w:tcPr>
            <w:tcW w:w="2315" w:type="dxa"/>
          </w:tcPr>
          <w:p w14:paraId="4273AEF8" w14:textId="51C8B937">
            <w:pPr>
              <w:pStyle w:val="P68B1DB1-Normal7"/>
              <w:spacing w:line="240" w:lineRule="auto"/>
            </w:pPr>
            <w:r>
              <w:t xml:space="preserve">Articolul 1 alineatul (2)</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Definiția „specificației tehnice”</w:t>
            </w:r>
          </w:p>
        </w:tc>
        <w:tc>
          <w:tcPr>
            <w:tcW w:w="2457" w:type="dxa"/>
          </w:tcPr>
          <w:p w14:paraId="1CD6781C" w14:textId="4816FB95">
            <w:pPr>
              <w:pStyle w:val="P68B1DB1-Normal7"/>
              <w:spacing w:line="240" w:lineRule="auto"/>
            </w:pPr>
            <w:r>
              <w:t xml:space="preserve">Articolul 1 alineatul (1) litera (c)</w:t>
            </w:r>
          </w:p>
        </w:tc>
        <w:tc>
          <w:tcPr>
            <w:tcW w:w="2315" w:type="dxa"/>
          </w:tcPr>
          <w:p w14:paraId="6ACA8AFC" w14:textId="5CBBFC47">
            <w:pPr>
              <w:pStyle w:val="P68B1DB1-Normal7"/>
              <w:spacing w:line="240" w:lineRule="auto"/>
            </w:pPr>
            <w:r>
              <w:t xml:space="preserve">Articolul 1 alineatul (3)</w:t>
            </w:r>
          </w:p>
        </w:tc>
        <w:tc>
          <w:tcPr>
            <w:tcW w:w="2315" w:type="dxa"/>
          </w:tcPr>
          <w:p w14:paraId="7742C3F4" w14:textId="668574B6">
            <w:pPr>
              <w:pStyle w:val="P68B1DB1-Normal7"/>
              <w:spacing w:line="240" w:lineRule="auto"/>
            </w:pPr>
            <w:r>
              <w:t xml:space="preserve">Articolul 1 alineatul (1)</w:t>
            </w:r>
          </w:p>
        </w:tc>
      </w:tr>
      <w:tr w14:paraId="39DCA993" w14:textId="77777777">
        <w:trPr>
          <w:trHeight w:val="599"/>
        </w:trPr>
        <w:tc>
          <w:tcPr>
            <w:tcW w:w="3119" w:type="dxa"/>
          </w:tcPr>
          <w:p w14:paraId="412D2403" w14:textId="77777777">
            <w:pPr>
              <w:pStyle w:val="P68B1DB1-Normal7"/>
              <w:spacing w:line="240" w:lineRule="auto"/>
            </w:pPr>
            <w:r>
              <w:t xml:space="preserve">Definiția „altor cerințe”</w:t>
            </w:r>
          </w:p>
        </w:tc>
        <w:tc>
          <w:tcPr>
            <w:tcW w:w="2457" w:type="dxa"/>
          </w:tcPr>
          <w:p w14:paraId="7BCB4CC5" w14:textId="4C804DFA">
            <w:pPr>
              <w:pStyle w:val="P68B1DB1-Normal7"/>
              <w:spacing w:line="240" w:lineRule="auto"/>
            </w:pPr>
            <w:r>
              <w:t xml:space="preserve">Articolul 1 alineatul (1) litera (d)</w:t>
            </w:r>
          </w:p>
        </w:tc>
        <w:tc>
          <w:tcPr>
            <w:tcW w:w="2315" w:type="dxa"/>
          </w:tcPr>
          <w:p w14:paraId="414D1EEC" w14:textId="18CAA0FE">
            <w:pPr>
              <w:pStyle w:val="P68B1DB1-Normal7"/>
              <w:spacing w:line="240" w:lineRule="auto"/>
            </w:pPr>
            <w:r>
              <w:t xml:space="preserve">Articolul 1 alineatul (4)</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Definiția „normei privind serviciile”</w:t>
            </w:r>
          </w:p>
        </w:tc>
        <w:tc>
          <w:tcPr>
            <w:tcW w:w="2457" w:type="dxa"/>
          </w:tcPr>
          <w:p w14:paraId="136F7BB7" w14:textId="4AA67A90">
            <w:pPr>
              <w:pStyle w:val="P68B1DB1-Normal7"/>
              <w:spacing w:line="240" w:lineRule="auto"/>
            </w:pPr>
            <w:r>
              <w:t xml:space="preserve">Articolul 1 alineatul (1) litera (e)</w:t>
            </w:r>
          </w:p>
        </w:tc>
        <w:tc>
          <w:tcPr>
            <w:tcW w:w="2315" w:type="dxa"/>
          </w:tcPr>
          <w:p w14:paraId="36E9CD4F" w14:textId="1B75247A">
            <w:pPr>
              <w:pStyle w:val="P68B1DB1-Normal7"/>
              <w:spacing w:line="240" w:lineRule="auto"/>
            </w:pPr>
            <w:r>
              <w:t xml:space="preserve">Articolul 1 alineatul (5)</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Noțiunea de „reglementare tehnică”</w:t>
            </w:r>
          </w:p>
        </w:tc>
        <w:tc>
          <w:tcPr>
            <w:tcW w:w="2457" w:type="dxa"/>
          </w:tcPr>
          <w:p w14:paraId="46C85599" w14:textId="1342B29E">
            <w:pPr>
              <w:pStyle w:val="P68B1DB1-Normal7"/>
              <w:spacing w:line="240" w:lineRule="auto"/>
            </w:pPr>
            <w:r>
              <w:t xml:space="preserve">Articolul 1 alineatul (1) litera (f)</w:t>
            </w:r>
          </w:p>
        </w:tc>
        <w:tc>
          <w:tcPr>
            <w:tcW w:w="2315" w:type="dxa"/>
          </w:tcPr>
          <w:p w14:paraId="0E88B9E2" w14:textId="31F951B8">
            <w:pPr>
              <w:pStyle w:val="P68B1DB1-Normal7"/>
              <w:spacing w:line="240" w:lineRule="auto"/>
            </w:pPr>
            <w:r>
              <w:t xml:space="preserve">Articolul 1 alineatul (11)</w:t>
            </w:r>
          </w:p>
        </w:tc>
        <w:tc>
          <w:tcPr>
            <w:tcW w:w="2315" w:type="dxa"/>
          </w:tcPr>
          <w:p w14:paraId="2E4FCAC6" w14:textId="1930FF48">
            <w:pPr>
              <w:pStyle w:val="P68B1DB1-Normal7"/>
              <w:spacing w:line="240" w:lineRule="auto"/>
            </w:pPr>
            <w:r>
              <w:t xml:space="preserve">Articolul 1 alineatul (5)</w:t>
            </w:r>
          </w:p>
        </w:tc>
      </w:tr>
      <w:tr w14:paraId="0C829266" w14:textId="77777777">
        <w:trPr>
          <w:trHeight w:val="599"/>
        </w:trPr>
        <w:tc>
          <w:tcPr>
            <w:tcW w:w="3119" w:type="dxa"/>
          </w:tcPr>
          <w:p w14:paraId="2E36B6FC" w14:textId="77777777">
            <w:pPr>
              <w:pStyle w:val="P68B1DB1-Normal7"/>
              <w:spacing w:line="240" w:lineRule="auto"/>
            </w:pPr>
            <w:r>
              <w:t xml:space="preserve">Obligația de notificare</w:t>
            </w:r>
          </w:p>
        </w:tc>
        <w:tc>
          <w:tcPr>
            <w:tcW w:w="2457" w:type="dxa"/>
          </w:tcPr>
          <w:p w14:paraId="04169FF7" w14:textId="77777777">
            <w:pPr>
              <w:pStyle w:val="P68B1DB1-Normal7"/>
              <w:spacing w:line="240" w:lineRule="auto"/>
            </w:pPr>
            <w:r>
              <w:t xml:space="preserve">Articolul 5 alineatul (1) prima teză</w:t>
            </w:r>
          </w:p>
        </w:tc>
        <w:tc>
          <w:tcPr>
            <w:tcW w:w="2315" w:type="dxa"/>
          </w:tcPr>
          <w:p w14:paraId="730385F8" w14:textId="77777777">
            <w:pPr>
              <w:pStyle w:val="P68B1DB1-Normal7"/>
              <w:spacing w:line="240" w:lineRule="auto"/>
            </w:pPr>
            <w:r>
              <w:t xml:space="preserve">Articolul 8 alineatul (1) prima teză</w:t>
            </w:r>
          </w:p>
        </w:tc>
        <w:tc>
          <w:tcPr>
            <w:tcW w:w="2315" w:type="dxa"/>
          </w:tcPr>
          <w:p w14:paraId="6937609F" w14:textId="5A2377E0">
            <w:pPr>
              <w:pStyle w:val="P68B1DB1-Normal8"/>
              <w:spacing w:line="240" w:lineRule="auto"/>
            </w:pPr>
            <w:r>
              <w:t xml:space="preserve">Articolul 8 alineatul (1)</w:t>
            </w:r>
          </w:p>
        </w:tc>
      </w:tr>
      <w:tr w14:paraId="4472DE96" w14:textId="77777777">
        <w:trPr>
          <w:trHeight w:val="599"/>
        </w:trPr>
        <w:tc>
          <w:tcPr>
            <w:tcW w:w="3119" w:type="dxa"/>
          </w:tcPr>
          <w:p w14:paraId="08371658" w14:textId="2AE2569B">
            <w:pPr>
              <w:pStyle w:val="P68B1DB1-Normal7"/>
              <w:spacing w:line="240" w:lineRule="auto"/>
            </w:pPr>
            <w:r>
              <w:t xml:space="preserve">Notificarea dispozițiilor de bază sau a dispozițiilor în cauză</w:t>
            </w:r>
          </w:p>
        </w:tc>
        <w:tc>
          <w:tcPr>
            <w:tcW w:w="2457" w:type="dxa"/>
          </w:tcPr>
          <w:p w14:paraId="4460E5CA" w14:textId="77777777">
            <w:pPr>
              <w:pStyle w:val="P68B1DB1-Normal7"/>
              <w:spacing w:line="240" w:lineRule="auto"/>
            </w:pPr>
            <w:r>
              <w:t xml:space="preserve">Articolul 5 alineatul (1) a doua teză</w:t>
            </w:r>
          </w:p>
        </w:tc>
        <w:tc>
          <w:tcPr>
            <w:tcW w:w="2315" w:type="dxa"/>
          </w:tcPr>
          <w:p w14:paraId="545C5C96" w14:textId="77777777">
            <w:pPr>
              <w:pStyle w:val="P68B1DB1-Normal7"/>
              <w:spacing w:line="240" w:lineRule="auto"/>
            </w:pPr>
            <w:r>
              <w:t xml:space="preserve">Articolul 8 alineatul (1) a doua teză</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Renotificarea în timpul perioadei de așteptare</w:t>
            </w:r>
          </w:p>
        </w:tc>
        <w:tc>
          <w:tcPr>
            <w:tcW w:w="2457" w:type="dxa"/>
          </w:tcPr>
          <w:p w14:paraId="65494BDB" w14:textId="77777777">
            <w:pPr>
              <w:pStyle w:val="P68B1DB1-Normal7"/>
              <w:spacing w:line="240" w:lineRule="auto"/>
            </w:pPr>
            <w:r>
              <w:t xml:space="preserve">Articolul 5 alineatul (1) a treia teză</w:t>
            </w:r>
          </w:p>
        </w:tc>
        <w:tc>
          <w:tcPr>
            <w:tcW w:w="2315" w:type="dxa"/>
          </w:tcPr>
          <w:p w14:paraId="47F0091E" w14:textId="77777777">
            <w:pPr>
              <w:pStyle w:val="P68B1DB1-Normal7"/>
              <w:spacing w:line="240" w:lineRule="auto"/>
            </w:pPr>
            <w:r>
              <w:t xml:space="preserve">Articolul 8 alineatul (1) a treia teză</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 xml:space="preserve">Termenul suspensiv</w:t>
            </w:r>
          </w:p>
        </w:tc>
        <w:tc>
          <w:tcPr>
            <w:tcW w:w="2457" w:type="dxa"/>
          </w:tcPr>
          <w:p w14:paraId="0FDAA36A" w14:textId="77777777">
            <w:pPr>
              <w:pStyle w:val="P68B1DB1-Normal7"/>
              <w:spacing w:line="240" w:lineRule="auto"/>
            </w:pPr>
            <w:r>
              <w:t xml:space="preserve">Articolul 6</w:t>
            </w:r>
          </w:p>
        </w:tc>
        <w:tc>
          <w:tcPr>
            <w:tcW w:w="2315" w:type="dxa"/>
          </w:tcPr>
          <w:p w14:paraId="51BBC4E4" w14:textId="77777777">
            <w:pPr>
              <w:pStyle w:val="P68B1DB1-Normal7"/>
              <w:spacing w:line="240" w:lineRule="auto"/>
            </w:pPr>
            <w:r>
              <w:t xml:space="preserve">Articolul 9</w:t>
            </w:r>
          </w:p>
        </w:tc>
        <w:tc>
          <w:tcPr>
            <w:tcW w:w="2315" w:type="dxa"/>
          </w:tcPr>
          <w:p w14:paraId="2B7D3F30" w14:textId="77777777">
            <w:pPr>
              <w:pStyle w:val="P68B1DB1-Normal8"/>
              <w:spacing w:line="240" w:lineRule="auto"/>
            </w:pPr>
            <w:r>
              <w:t xml:space="preserve">Articolul 9</w:t>
            </w:r>
          </w:p>
        </w:tc>
      </w:tr>
      <w:tr w14:paraId="31FCCE62" w14:textId="77777777">
        <w:trPr>
          <w:trHeight w:val="599"/>
        </w:trPr>
        <w:tc>
          <w:tcPr>
            <w:tcW w:w="3119" w:type="dxa"/>
          </w:tcPr>
          <w:p w14:paraId="067F46A1" w14:textId="77777777">
            <w:pPr>
              <w:pStyle w:val="P68B1DB1-Normal7"/>
              <w:spacing w:line="240" w:lineRule="auto"/>
            </w:pPr>
            <w:r>
              <w:t xml:space="preserve">Excepții de la obligațiile de notificare și de statu-quo</w:t>
            </w:r>
          </w:p>
        </w:tc>
        <w:tc>
          <w:tcPr>
            <w:tcW w:w="2457" w:type="dxa"/>
          </w:tcPr>
          <w:p w14:paraId="5BC53094" w14:textId="77777777">
            <w:pPr>
              <w:pStyle w:val="P68B1DB1-Normal7"/>
              <w:spacing w:line="240" w:lineRule="auto"/>
            </w:pPr>
            <w:r>
              <w:t xml:space="preserve">Articolul 7</w:t>
            </w:r>
          </w:p>
        </w:tc>
        <w:tc>
          <w:tcPr>
            <w:tcW w:w="2315" w:type="dxa"/>
          </w:tcPr>
          <w:p w14:paraId="36E59068" w14:textId="77777777">
            <w:pPr>
              <w:pStyle w:val="P68B1DB1-Normal7"/>
              <w:spacing w:line="240" w:lineRule="auto"/>
            </w:pPr>
            <w:r>
              <w:t xml:space="preserve">Articolul 10</w:t>
            </w:r>
          </w:p>
        </w:tc>
        <w:tc>
          <w:tcPr>
            <w:tcW w:w="2315" w:type="dxa"/>
          </w:tcPr>
          <w:p w14:paraId="1FE1BC2D" w14:textId="77777777">
            <w:pPr>
              <w:pStyle w:val="P68B1DB1-Normal8"/>
              <w:spacing w:line="240" w:lineRule="auto"/>
            </w:pPr>
            <w:r>
              <w:t xml:space="preserve">Articolul 10</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Disclaimer</w:t>
      </w:r>
    </w:p>
    <w:p w14:paraId="0CB71D4E" w14:textId="7BF1CD8D">
      <w:pPr>
        <w:jc w:val="both"/>
        <w:rPr>
          <w:rFonts w:ascii="Times New Roman" w:hAnsi="Times New Roman" w:cs="Times New Roman"/>
          <w:sz w:val="24"/>
          <w:szCs w:val="24"/>
        </w:rPr>
        <w:pStyle w:val="P68B1DB1-Normal7"/>
      </w:pPr>
      <w:r>
        <w:t xml:space="preserve">Informațiile și orientările din prezentul document sunt menite să contribuie la o mai bună înțelegere a normelor de notificare din Directiva (UE) 2015/1535.</w:t>
      </w:r>
    </w:p>
    <w:p w14:paraId="67EC004B" w14:textId="434F8650">
      <w:pPr>
        <w:jc w:val="both"/>
        <w:rPr>
          <w:rFonts w:ascii="Times New Roman" w:hAnsi="Times New Roman" w:cs="Times New Roman"/>
          <w:sz w:val="24"/>
          <w:szCs w:val="24"/>
        </w:rPr>
        <w:pStyle w:val="P68B1DB1-Normal7"/>
      </w:pPr>
      <w:r>
        <w:t xml:space="preserve">Acesta este conceput doar ca un instrument de orientare. Numai textul directivei are forță juridică și poate crea drepturi și obligații pentru persoanele fizice și statele membre. Prezentul document nu creează niciun drept sau așteptare executorie.</w:t>
      </w:r>
    </w:p>
    <w:p w14:paraId="63D425FC" w14:textId="2836B58B">
      <w:pPr>
        <w:jc w:val="both"/>
        <w:rPr>
          <w:rFonts w:ascii="Times New Roman" w:hAnsi="Times New Roman" w:cs="Times New Roman"/>
          <w:sz w:val="24"/>
          <w:szCs w:val="24"/>
        </w:rPr>
        <w:pStyle w:val="P68B1DB1-Normal7"/>
      </w:pPr>
      <w:r>
        <w:t xml:space="preserve">Interpretarea obligatorie a legislației Uniunii Europene este de competența exclusivă a Curții de Justiție a Uniunii Europene. Opiniile exprimate în prezentul document nu aduc atingere poziției pe care Comisia ar putea să o adopte în fața Curții de Justiție.</w:t>
      </w:r>
    </w:p>
    <w:p w14:paraId="5CC222EA" w14:textId="4A13BEE2">
      <w:pPr>
        <w:jc w:val="both"/>
        <w:rPr>
          <w:rFonts w:ascii="Times New Roman" w:hAnsi="Times New Roman" w:cs="Times New Roman"/>
          <w:sz w:val="24"/>
          <w:szCs w:val="24"/>
        </w:rPr>
        <w:pStyle w:val="P68B1DB1-Normal7"/>
      </w:pPr>
      <w:r>
        <w:t xml:space="preserve">Întrucât prezentul document reflectă situația jurisprudenței de la momentul redactării sale, acesta ar trebui considerat un „instrument viu” care poate fi îmbunătățit, iar conținutul său poate face obiectul unor modificări fără preaviz.</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Clasificarea ca regulament tehnic</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noțiunea de «reglementare tehnică» cuprinde patru categorii de măsuri, și anume (i) «specificații tehnice» în sensul articolului 1 alineatul (3) din Directiva 98/34, (ii) «alte cerințe», astfel cum sunt definite la articolul 1 alineatul (4) din această directivă, (iii) «norme cu privire la servicii», astfel cum sunt prevăzute la articolul 1 alineatul (5) din această directivă, și (iv) «acte cu putere de lege sau acte administrative ale statelor membre [...] care interzic fabricarea, importul, comercializarea sau utilizarea unui produs sau care interzic prestarea sau utilizarea unui serviciu sau stabilirea în calitate de prestator de servicii».”</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r>
        <w:t>(</w:t>
      </w:r>
      <w:hyperlink r:id="rId11" w:history="1">
        <w:r>
          <w:rPr>
            <w:rStyle w:val="Hyperlink"/>
            <w:color w:val="0000FF"/>
          </w:rPr>
          <w:t xml:space="preserve">Hotărârea din 2 februarie 2016</w:t>
        </w:r>
      </w:hyperlink>
      <w:r>
        <w:t xml:space="preserve">, </w:t>
      </w:r>
      <w:r>
        <w:rPr>
          <w:i/>
        </w:rPr>
        <w:t>Ince</w:t>
      </w:r>
      <w:r>
        <w:t xml:space="preserve">, C-336/14, punctul 70)</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Criterii comune pentru reglementările </w:t>
      </w:r>
      <w:bookmarkEnd w:id="6"/>
      <w:r>
        <w:t>tehnice</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„«Reglementare tehnică» înseamnă specificațiile tehnice și alte cerințe sau norme cu privire la servicii, inclusiv dispozițiile administrative relevante, a căror respectare este obligatorie, de jure sau de facto, în cazul comercializării, prestării unui serviciu, stabilirii unui operator de servicii sau utilizării într-un stat membru sau într-o parte semnificativă a acestuia, precum și actele cu putere de lege sau actele administrative ale statelor membre, cu excepția celor prevăzute la articolul 7, care interzic fabricarea, importul, comercializarea sau utilizarea unui produs sau care interzic prestarea sau utilizarea unui serviciu sau stabilirea în calitate de prestator de servicii.”</w:t>
      </w:r>
    </w:p>
    <w:p w14:paraId="56CBE257" w14:textId="77777777">
      <w:pPr>
        <w:pStyle w:val="BodyText"/>
      </w:pPr>
    </w:p>
    <w:p w14:paraId="66B70B28" w14:textId="1278CE54">
      <w:pPr>
        <w:pStyle w:val="P68B1DB1-Normal7"/>
        <w:spacing w:after="0" w:line="240" w:lineRule="auto"/>
        <w:jc w:val="right"/>
      </w:pPr>
      <w:r>
        <w:t xml:space="preserve">[articolul 1 alineatul (1) litera (f) prima teză din Directiva (UE) 2015/1535]</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Hotărârea din 30 aprilie 1996</w:t>
        </w:r>
      </w:hyperlink>
      <w:r>
        <w:rPr>
          <w:rFonts w:ascii="Times New Roman" w:hAnsi="Times New Roman" w:cs="Times New Roman" w:eastAsia="Times New Roman"/>
          <w:b/>
          <w:i/>
          <w:szCs w:val="20"/>
        </w:rPr>
        <w:t xml:space="preserve">, CIA Security International SA, C-194/94, punctul 29.</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O normă poate fi calificată drept „reglementare tehnică” numai dacă produce efecte juridice proprii. Acest lucru nu este valabil în cazul unei legi-cadru care nu produce efecte juridice pentru particulari.</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O normă este calificată drept reglementare tehnică în sensul Directivei 83/189 dacă produce efecte juridice proprii. În cazul în care, în dreptul intern, norma servește doar ca temei pentru a permite adoptarea unor acte administrative care conțin norme obligatorii pentru persoanele interesate, astfel încât, în sine, aceasta nu produce efecte juridice pentru particulari, norma nu constituie o reglementare tehnică în sensul directivei (a se vedea Hotărârea din 1994 decembrie 1, Comisia/Germania, C-317/92, nepublicată încă în Repertoriu, punctul 2039). Ar trebui reamintit aici că, în conformitate cu articolul 8 alineatul (1) primul paragraf din Directiva 83/189, statele membre trebuie să comunice, în același timp cu proiectul de reglementare tehnică, instrumentul de abilitare pe baza căruia a fost adoptat, în cazul în care este necesară cunoașterea unui astfel de text pentru a evalua implicațiile proiectului de reglementare tehnică.”</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Hotărârea din 20 martie 1997</w:t>
        </w:r>
      </w:hyperlink>
      <w:r>
        <w:rPr>
          <w:rFonts w:ascii="Times New Roman" w:hAnsi="Times New Roman" w:cs="Times New Roman" w:eastAsia="Times New Roman"/>
          <w:b/>
          <w:i/>
          <w:szCs w:val="20"/>
        </w:rPr>
        <w:t xml:space="preserve">, Bic Benelux, C-13/96, punctele 19 și 20.</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Motivele care au stat la baza adoptării unei măsuri naționale sunt lipsite de relevanță pentru calificarea acestei măsuri drept „reglementare tehnică”. Obiectivul directivei este, prin monitorizare preventivă, de a proteja libera circulație a mărfurilor, care reprezintă unul dintre fundamentele Comunității.</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În Directiva 83/189 nu există niciun temei pentru o interpretare care să limiteze aplicarea sa la măsurile naționale care pot fi armonizate numai în temeiul articolului 100a din tratat. Obiectivul acestei directive este, prin monitorizare preventivă, de a proteja libera circulație a mărfurilor, care constituie unul dintre fundamentele Comunității. O astfel de monitorizare este necesară deoarece reglementările tehnice reglementate de directivă pot împiedica, direct sau indirect, efectiv sau potențial, comerțul intracomunitar cu bunuri. Astfel de obstacole pot rezulta din adoptarea unor reglementări tehnice naționale chiar dacă acestea nu dublează marcajele aplicate în statul membru de origine și indiferent de motivele pentru care au fost adoptate.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În consecință, faptul că o măsură națională a fost adoptată pentru a proteja mediul sau că aceasta nu pune în aplicare un standard tehnic care poate constitui în sine un obstacol în calea liberei circulații nu înseamnă că măsura în cauză nu poate fi o reglementare tehnică în sensul Directivei 83/189.”</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Hotărârea din 16 noiembrie 2000</w:t>
        </w:r>
      </w:hyperlink>
      <w:r>
        <w:rPr>
          <w:rFonts w:ascii="Times New Roman" w:hAnsi="Times New Roman" w:cs="Times New Roman" w:eastAsia="Times New Roman"/>
          <w:b/>
          <w:i/>
          <w:szCs w:val="20"/>
        </w:rPr>
        <w:t xml:space="preserve">, Donkersteeg, C-37/99, punctele 30-34.</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Normele detaliate privind vaccinarea animalelor reprezintă o „specificație tehnică”. Cu toate acestea, va fi vorba despre o „reglementare tehnică” care trebuie notificată numai în cazul în care respectarea sa este obligatorie de jure sau de facto. Această situație nu se regăsește atunci când, în cazul încălcării normei, nu sunt impuse restricții privind comercializarea sau utilizarea produselor în cauză.</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în conformitate cu articolul 1 alineatul (1) din directivă, în ceea ce privește produsele agricole, o „specificație tehnică” este inclusă într-un document care stabilește caracteristicile unui produs sau metodele și procedurile sale de producție.</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O normă precum cea cuprinsă la articolul 2 alineatul (1) din VBZA este o specificație tehnică în sensul articolului 1 alineatul (1) din directivă. Astfel, după cum susține în mod întemeiat Comisia, întrucât normele precise și detaliate privind vaccinarea împotriva bolii Aujeszky sunt legate de producția propriu-zisă a produsului agricol în cauză și trebuie respectate pe parcursul întregului ciclu de producție, această normă definește, așadar, o „procedură” în producția acestui produs.</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Cu toate acestea, pentru a fi calificată drept normă tehnică în sensul directivei, norma în discuție în litigiul principal trebuie, în conformitate cu articolul 1 alineatul (5) din aceasta, să conțină specificații tehnice „a căror respectare este obligatorie, de jure sau de facto, în cazul comercializării sau al utilizării într-un stat membru sau într-o mare parte a acestuia, cu excepția celor stabilite de colectivitățile locale.</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Trebuie subliniat, astfel cum a procedat guvernul olandez, că norma prevăzută la articolul 2 alineatul (1) din VBZA nu impune restricții nici în ceea ce privește comercializarea, nici în ceea ce privește utilizarea produselor în cauză în cazul în care, cu încălcarea acestei norme, porcii nu au fost vaccinați împotriva bolii Aujeszky.</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Prin urmare, trebuie să se răspundă la a doua întrebare că o dispoziție precum cea în discuție în litigiul principal, care impune fiecărui agricultor să asigure vaccinarea porcilor în exploatația sa împotriva bolii Aujeszky, nu constituie, în sensul directivei, o reglementare tehnică care ar fi trebuit să fie notificată Comisiei înainte de a fi adoptată.”</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Hotărârea din 3 decembrie 2020</w:t>
        </w:r>
      </w:hyperlink>
      <w:r>
        <w:rPr>
          <w:rFonts w:ascii="Times New Roman" w:hAnsi="Times New Roman" w:cs="Times New Roman" w:eastAsia="Times New Roman"/>
          <w:b/>
          <w:i/>
          <w:szCs w:val="20"/>
        </w:rPr>
        <w:t xml:space="preserve">, Star Taxi App, C-62/19, punctele 60 și 61.</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Pentru ca o măsură națională să poată fi calificată drept „reglementare tehnică”, aceasta trebuie să fie obligatorie de jure sau de facto pentru prestarea sau utilizarea serviciului în cauză într-un stat membru sau într-o mare parte a acestuia.</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reiese din articolul 1 alineatul (1) litera (f) primul paragraf din Directiva 2015/1535 că o „reglementare tehnică” înseamnă „specificațiile tehnice și alte cerințe sau norme cu privire la servicii, inclusiv dispozițiile administrative relevante, a căror respectare este obligatorie, de jure sau de facto, în cazul comercializării, prestării unui serviciu, stabilirii unui operator de servicii sau utilizării într-un stat membru sau într-o parte semnificativă a acestuia, precum și actele cu putere de lege sau actele administrative ale statelor membre, cu excepția celor prevăzute la articolul 7, care interzic fabricarea, importul, comercializarea sau utilizarea unui produs sau care interzic prestarea sau utilizarea unui serviciu sau stabilirea în calitate de prestator de servicii”.</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Rezultă că, pentru ca o reglementare națională care afectează un serviciu al societății informaționale să poată fi calificată drept «reglementare tehnică», aceasta trebuie nu numai să fie calificată drept «normă cu privire la servicii», astfel cum este definită la articolul 1 alineatul (1) litera (e) din Directiva 2015/1535, ci și să fie obligatorie, de jure sau de facto, în special în cazul prestării serviciului în cauză sau al utilizării sale într-un stat membru sau într-o mare parte a acestui stat.”</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r>
        <w:t>Specificații</w:t>
      </w:r>
      <w:bookmarkEnd w:id="15"/>
      <w:r>
        <w:t xml:space="preserve"> tehnice</w:t>
      </w:r>
      <w:bookmarkEnd w:id="16"/>
      <w:bookmarkEnd w:id="17"/>
    </w:p>
    <w:p w14:paraId="241DC1E1" w14:textId="77777777">
      <w:pPr>
        <w:pStyle w:val="BodyText"/>
      </w:pPr>
    </w:p>
    <w:p w14:paraId="24A39E18" w14:textId="77777777">
      <w:pPr>
        <w:pStyle w:val="P68B1DB1-BodyText11"/>
        <w:ind w:left="567"/>
      </w:pPr>
      <w:r>
        <w:t xml:space="preserve">„«specificație tehnică» înseamnă o specificație inclusă într-un document care stabilește caracteristicile unui produs, cum ar fi nivelurile de calitate, performanță, siguranță sau dimensiuni, inclusiv cerințele aplicabile produsului în ceea ce privește denumirea sub care este vândut, terminologia, simbolurile, încercările și metodele de încercare, ambalarea, marcarea sau etichetarea și procedurile de evaluare a conformității.</w:t>
      </w:r>
    </w:p>
    <w:p w14:paraId="33F4D1E4" w14:textId="77777777">
      <w:pPr>
        <w:pStyle w:val="P68B1DB1-BodyText11"/>
        <w:ind w:left="567"/>
      </w:pPr>
    </w:p>
    <w:p w14:paraId="5224E321" w14:textId="77777777">
      <w:pPr>
        <w:pStyle w:val="P68B1DB1-BodyText11"/>
        <w:ind w:left="567"/>
        <w:rPr>
          <w:iCs/>
        </w:rPr>
      </w:pPr>
      <w:r>
        <w:t xml:space="preserve">Termenul «specificație tehnică» se referă, de asemenea, la metodele și procesele de producție utilizate în ceea ce privește produsele agricole, astfel cum sunt menționate la articolul 38 alineatul (1) al doilea paragraf din Tratatul privind funcționarea Uniunii Europene (TFUE), produsele destinate consumului uman și animal și medicamentele, astfel cum sunt definite la articolul 1 din Directiva 2001/83/CE a Parlamentului European și a Consiliului (1), precum și metodele și procesele de producție legate de alte produse, în cazul în care acestea au un efect asupra caracteristicilor lor;”</w:t>
      </w:r>
    </w:p>
    <w:p w14:paraId="6C2A57E1" w14:textId="77777777">
      <w:pPr>
        <w:pStyle w:val="BodyText"/>
        <w:ind w:left="567"/>
        <w:rPr>
          <w:i/>
          <w:iCs/>
        </w:rPr>
      </w:pPr>
    </w:p>
    <w:p w14:paraId="2F7A4C59" w14:textId="62E0EC95">
      <w:pPr>
        <w:pStyle w:val="BodyText"/>
        <w:ind w:left="1440"/>
        <w:jc w:val="right"/>
      </w:pPr>
      <w:r>
        <w:t xml:space="preserve">[Articolul 1 alineatul (1) litera (c) din Directiva (UE) 2015/1535]</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Hotărârea din 11 ianuarie 1996</w:t>
        </w:r>
      </w:hyperlink>
      <w:r>
        <w:rPr>
          <w:rFonts w:ascii="Times New Roman" w:hAnsi="Times New Roman" w:cs="Times New Roman" w:eastAsia="Times New Roman"/>
          <w:b/>
          <w:i/>
          <w:szCs w:val="20"/>
        </w:rPr>
        <w:t xml:space="preserve">, Comisia/Țările de Jos, C-273/94, punctul 13.</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O normă națională care introduce o derogare de la o reglementare tehnică existentă pentru un anumit produs constituie o „reglementare tehnică” în cazul în care impune „specificații tehnice” alternative pe care trebuie să le respecte orice persoană care dorește să beneficieze de derogare.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Aplicarea la un produs specific precum margarina a unei reglementări care derogă de la o altă reglementare tehnică deja existentă privind același produs constituie o reglementare tehnică în sensul articolului 1 alineatul (5) din directivă, întrucât stabilește specificații tehnice în sensul articolului 1 alineatul (1) a căror respectare este obligatorie, de jure sau de facto, atunci când acest produs este comercializat sau utilizat. În cazul în care margarina nu este fabricată în conformitate cu dispozițiile Decretului Margarine, aceasta poate fi fabricată numai cu produse de substituție autorizate prin ordinul în litigiu. Nu numai că utilizarea acestor produse de substituție este restricționată de condițiile prevăzute în ordinul în litigiu, ci aceste produse sunt singurele alternative la produsele care pot fi utilizate în temeiul Decretului Margarine. Prin urmare, ordinul contestat ar fi trebuit să fie notificat în conformitate cu directiva.”</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Hotărârea din 30 aprilie 1996</w:t>
      </w:r>
      <w:r/>
      <w:r>
        <w:rPr>
          <w:b/>
          <w:bCs/>
          <w:i/>
          <w:iCs/>
          <w:color w:val="0000FF"/>
          <w:sz w:val="22"/>
          <w:szCs w:val="18"/>
          <w:u w:val="single"/>
        </w:rPr>
        <w:fldChar w:fldCharType="end"/>
        <w:t xml:space="preserve">, CIA Security International SA, C-194/94, punctul 30.</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O normă trebuie calificată drept „reglementare tehnică” în cazul în care impune întreprinderilor în cauză să solicite aprobarea prealabilă a echipamentelor lor, chiar dacă normele administrative avute în vedere nu au fost adoptate.</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o normă trebuie calificată drept reglementare tehnică în sensul Directivei 83/189 dacă, astfel cum a susținut guvernul belgian în ședință, aceasta impune întreprinderilor în cauză să solicite aprobarea prealabilă a echipamentelor lor, chiar dacă normele administrative avute în vedere nu au fost adoptate.”</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Hotărârea din 16 septembrie 1996</w:t>
      </w:r>
      <w:r>
        <w:rPr>
          <w:b/>
          <w:bCs/>
          <w:i/>
          <w:iCs/>
          <w:color w:val="0000FF"/>
          <w:sz w:val="24"/>
          <w:szCs w:val="20"/>
          <w:u w:val="single"/>
        </w:rPr>
        <w:fldChar w:fldCharType="end"/>
        <w:t xml:space="preserve">, Comisia/Italia, C-279/94, punctul 34.</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O dispoziție care stabilește limite privind concentrația fibrelor de azbest respirabile la locul de muncă nu este o „specificație tehnică”, deoarece nu definește caracteristicile necesare ale unui produs.</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Cu toate acestea, potrivit articolului 1 punctul 5 din directivă, prin „reglementare tehnică” se înțelege „specificațiile tehnice, inclusiv dispozițiile administrative relevante, a căror respectare este obligatorie, de jure sau de facto, în cazul comercializării sau al utilizării într-un stat membru”. În conformitate cu articolul 1 punctul 1 din directivă, o „specificație tehnică” este o specificație inclusă într-un document care stabilește caracteristicile unui produs, cum ar fi nivelurile de calitate, performanță și siguranță. Articolul 3 alineatul (1) din Legea nr. 257/92 stabilește limite pentru concentrația fibrelor de azbest inhalabile la locul de muncă. Întrucât această dispoziție nu definește o caracteristică impusă unui produs, ea nu se încadrează, în principiu, în definiția unei specificații tehnice și, prin urmare, nu poate fi considerată o reglementare tehnică care trebuie notificată Comisiei în temeiul articolului 8 alineatul (1) primul paragraf din directivă. Deși respectarea valorilor-limită pentru concentrațiile de fibre de azbest inhalabile prevăzute la articolul 3 din Legea nr. 257/92 poate avea consecințe în ceea ce privește caracteristicile produsului în cauză, astfel cum sunt prevăzute la articolul 1 punctul 1 din directivă, Comisia nu a demonstrat cum ar putea fi cazul.”</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Hotărârea din 17 septembrie 1996</w:t>
        </w:r>
      </w:hyperlink>
      <w:r>
        <w:t xml:space="preserve">, Comisia/Italia, C-289/94, punctul 32.</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Un decret care reglementează calitatea apei destinate cultivării moluștelor constituie o „reglementare tehnică” supusă notificării ca urmare a impactului său direct asupra comercializării produselor în cauză.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Deși Decretul nr. 256 privește anumite aspecte ale calității apelor destinate moluștelor comestibile de lamellibrant, acesta stabilește totuși, astfel cum a arătat în mod întemeiat Comisia, o corelație foarte strânsă între calitatea apelor utilizate pentru o astfel de cultivare și comercializarea moluștelor lamellibranhe destinate consumului uman. Astfel, numai moluștele crescute în ape care respectă specificațiile tehnice stabilite prin Decretul nr. 256 pot fi comercializate. Respectarea acestor specificații, care sunt obligatorii, are astfel un impact direct asupra comercializării moluștelor, astfel încât Decretul nr. 256 trebuie considerat o reglementare tehnică supusă obligației de notificare în temeiul articolului 8 din Directiva 83/189.”</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Hotărârea din 11 mai 1999</w:t>
        </w:r>
      </w:hyperlink>
      <w:r>
        <w:t xml:space="preserve">, Albers și alții, C-425/97-427/97, punctele 16 și 17.</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Normele care interzic administrarea anumitor medicamente la bovine constituie „specificații tehnice”, întrucât definesc metodele de producție pentru produsele agricole.</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 normele care, precum cele din prezenta cauză, urmăresc să prevină administrarea de substanțe simpatiicomimetice la îngrășarea bovinelor cu vârsta de peste 14 săptămâni constituie specificații tehnice în sensul articolului 1 alineatul (1) din Directiva 83/189.</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Aceste norme definesc metodele și procedurile de producție pentru produsele agricole, astfel cum sunt definite la articolul 38 alineatul (1) din Tratatul CE [devenit, după modificare, articolul 32 alineatul (1) CE] destinate consumului uman.”</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Hotărârea din 22 ianuarie 2000</w:t>
        </w:r>
      </w:hyperlink>
      <w:r>
        <w:t xml:space="preserve">, Canal Satélite Digital, C-390/99, punctele 45-47.</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O reglementare națională care impune înregistrarea și certificarea prealabilă a echipamentelor de transmisie digitală și de recepție a semnalelor de televiziune prin satelit înainte de comercializare constituie o „reglementare tehnică”, întrucât definește caracteristicile produselor în cauză.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 Curtea a statuat deja că dispozițiile naționale care se limitează să prevadă condiții de stabilire a întreprinderilor, precum dispozițiile care condiționează exercitarea unei activități de obținerea unei autorizații prealabile, nu constituie reglementări tehnice în sensul articolului 1 punctul 9 din Directiva 83/189. Reglementările tehnice în sensul acestei dispoziții sunt specificații care definesc caracteristicile produselor, iar nu specificații privind operatorii economici (cauza C-194/94 CIA Security, Rec., 1996, p. I-2201, punctul 25; Cauza C-278/99 Van der Burg, Rec., 2001, p. I-2015, punctul 20).</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Cu toate acestea, o dispoziție națională trebuie calificată drept reglementare tehnică în sensul articolului 1 punctul 9 din Directiva 83/189 în cazul în care impune întreprinderilor în cauză să solicite aprobarea prealabilă a echipamentelor lor (Hotărârea CIA Security, citată anterior, punctul 30).</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Rezultă că o reglementare națională care impune operatorilor de servicii de acces condiționat să intre în echipamentele, decodoarele sau sistemele de transmisie și de recepție digitală a semnalelor de televiziune prin satelit pe care intenționează să le comercializeze într-un registru și să obțină o certificare prealabilă pentru aceste produse înainte de a le putea comercializa constituie o «reglementare tehnică» în sensul articolului 1 punctul 9 din Directiva 83/189.”</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Hotărârea din 26 septembrie 2000</w:t>
        </w:r>
      </w:hyperlink>
      <w:r>
        <w:t xml:space="preserve">, Unilever Italia, C-443/98, punctele 25 și 26.</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O dispoziție privind etichetarea originii uleiului de măsline este o „specificație tehnică”, deoarece este o cerință care reglementează etichetarea unui produs.</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Este suficient să se arate, cu privire la acest aspect, că, potrivit articolului 1 alineatul (1) din Directiva 83/189, aceasta califică drept „produse” atât produse industriale, cât și produse agricole și că, potrivit alineatului (2) al aceluiași articol, Directiva 83/189 tratează drept „specificație tehnică” orice specificație conținută într-un document care stabilește caracteristicile unui produs, inclusiv cerințele aplicabile produsului în ceea ce privește etichetarea. Normele naționale care conțin astfel de specificații constituie specificații tehnice în sensul Directivei 83/189, independent de motivele pentru care au fost adoptate (a se vedea în acest sens Hotărârea din 1997 octombrie 1753, Bic Benelux/État belge, C-13/96, nepublicată încă în Repertoriu, punctul 19).</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Astfel, legea atacată, care reglementează indicarea pe etichetă a originii uleiului de măsline, conține norme care trebuie calificate drept «specificații tehnice» în sensul Directivei 83/189.”</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Hotărârea din 12 octombrie 2000</w:t>
        </w:r>
      </w:hyperlink>
      <w:r>
        <w:t xml:space="preserve">, Snellers, C-314/98, punctele 37-39.</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O „specificație tehnică” trebuie să se refere la produsul ca atare. Un regulament care stabilește criteriile de stabilire a datei la care se consideră că un vehicul a fost autorizat pentru prima dată să circule pe drumurile publice, în scopul eliberării unui certificat de înmatriculare, nu definește nicio caracteristică impusă produsului însuși și, prin urmare, nu poate fi calificat drept „reglementare tehnică”.</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 normele care, precum cele în discuție în litigiul principal, urmăresc să stabilească data primei autorizații de utilizare a unui vehicul pe drumurile publice nu constituie specificații tehnice în sensul Directivei 83/189 și, prin urmare, nu pot fi calificate drept reglementări tehnice care intră în domeniul de aplicare al acestei directive.</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Articolul 1 alineatul (1) din Directiva 83/189 prevede că, în ceea ce privește produsele precum cele în discuție în litigiul principal, o specificație tehnică în sensul acestei directive este „o specificație conținută într-un document care stabilește caracteristicile unui produs. Prin urmare, specificațiile tehnice în sensul Directivei 83/189 trebuie să se refere la produsul ca atare; acest lucru este de altfel confirmat de lista neexhaustivă a caietului de sarcini în cauză, furnizată cu titlu de exemplu la articolul 1 alineatul (1) din directiva menționată.</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Regulamentul prevede o serie de criterii pentru a stabili data la care un vehicul, în sensul Wegenverkeerswet, este considerat a fi fost autorizat pentru prima dată să utilizeze drumurile publice în scopul întocmirii unui certificat de înmatriculare. Prin urmare, regulamentul nu definește nicio caracteristică impusă produsului ca atare.”</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Hotărârea din 16 noiembrie 2000</w:t>
        </w:r>
      </w:hyperlink>
      <w:r>
        <w:rPr>
          <w:rFonts w:ascii="Times New Roman" w:hAnsi="Times New Roman" w:cs="Times New Roman" w:eastAsia="Times New Roman"/>
          <w:b/>
          <w:i/>
          <w:szCs w:val="20"/>
        </w:rPr>
        <w:t xml:space="preserve">, Donkersteeg, C-37/99, punctele 30 și 31.</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Pentru produsele agricole, o „specificație tehnică” este un text care definește caracteristicile sau metodele de producție necesare ale acestora. O normă care stabilește condițiile de vaccinare a șeptelului este o normă de producție și, prin urmare, o „specificație tehnică”.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Astfel cum s-a amintit la punctul 20 din prezenta hotărâre, în conformitate cu articolul 1 alineatul (1) din directiva menționată, în ceea ce privește produsele agricole, o „specificație tehnică” figurează într-un document care stabilește caracteristicile impuse unui produs sau metodele și procedurile sale de producție.</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O normă precum cea cuprinsă la articolul 2 alineatul (1) din VBZA este o specificație tehnică în sensul articolului 1 alineatul (1) din directivă. Astfel cum susține în mod întemeiat Comisia, întrucât normele precise și detaliate privind vaccinarea împotriva bolii Aujeszky sunt legate de producția propriu-zisă a produsului agricol în cauză și trebuie respectate pe parcursul întregului ciclu de producție, această regulă definește, așadar, o «procedură» de fabricare a acestui produs.”</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Hotărârea din 8 martie 2001</w:t>
        </w:r>
      </w:hyperlink>
      <w:r>
        <w:t xml:space="preserve">, Van der Burg, C-278/99, punctul 20.</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O reglementare care se limitează să interzică publicitatea comercială, dar care nu stabilește caracteristicile impuse unui produs nu constituie o „specificație tehnică” și, prin urmare, nu poate fi considerată o „reglementare tehnică”.</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 Potrivit articolului 1 alineatul (1) din Directiva 83/189, în sensul directivei, o „specificație tehnică” este „o specificație conținută într-un document care stabilește caracteristicile unui produs”. Prin urmare, specificațiile tehnice în sensul Directivei 83/189 trebuie să se refere la produsul ca atare (a se vedea Hotărârea din 2000 iulie 0000, Snellers Auto/Algemeen Directeur van de Dienst Wegverkeer, C-314/98, nepublicată încă în Repertoriu, punctul 38). Cu toate acestea, o reglementare precum articolul C.11.1 alineatul (1) din decret, care se limitează să interzică o metodă de comercializare, nu prevede caracteristicile impuse unui produs.”</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Hotărârea din 6 iunie 2002</w:t>
        </w:r>
      </w:hyperlink>
      <w:r>
        <w:t xml:space="preserve">, Sapod Audic, C-159/00, punctele 30-33.</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O dispoziție de drept național care prevede o obligație de identificare a unui ambalaj constituie o „reglementare tehnică” care trebuie notificată în măsura în care implică o obligație de marcare sau de etichetare a acestui ambalaj.</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Prin urmare, întrucât obligația de identificare a ambalajului prevăzută la articolul 4 al doilea paragraf din Decretul nr. 92-377 nu pare să implice o obligație de marcare sau de etichetare a acestui ambalaj, această obligație nu pare să se refere în mod necesar la produs sau la ambalajul acestuia ca atare. Astfel interpretată, nu se poate considera că această dispoziție stabilește caracteristicile impuse unui produs în sensul articolului 1 alineatul (1) din Directiva 83/189 și, prin urmare, nu poate fi considerată o specificație tehnică (a se vedea în special Hotărârea din 2001 iulie 2015, Van der Burg, C-278/99, nepublicată încă în Repertoriu, punctul 20).</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31.Cu toate acestea, trebuie arătat că, în cadrul repartizării competențelor prevăzute la articolul 234 CE, revine instanței naționale sarcina de a interpreta dreptul național, în speță articolul 4 al doilea paragraf din Decretul nr. 92-377.</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În consecință, Curtea trebuie să examineze de asemenea posibilitatea ca, având în vedere ansamblul elementelor de fapt și de drept de care dispune instanța națională, aceasta să ajungă la concluzia că articolul 4 al doilea paragraf din Decretul nr. 92-377 trebuie interpretat în sensul că impune producătorilor o obligație de a marca sau de a eticheta ambalajul, fără a preciza semnul care trebuie aplicat.</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Într-un astfel de caz, ar trebui să se considere că această dispoziție constituie într-adevăr o specificație tehnică în sensul Directivei 83/189 și, în consecință, că, întrucât obligația este impusă prin decret în cazul comercializării produselor ambalate pe întreg teritoriul național, această dispoziție constituie o reglementare tehnică.”</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Hotărârea din 8 septembrie 2005</w:t>
        </w:r>
      </w:hyperlink>
      <w:r>
        <w:t xml:space="preserve">, C-500/03, Comisia/Portugalia, punctul 30.</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O normă care stabilește lungimea și înălțimea maximă a ambarcațiunilor de agrement și care limitează puterea de propulsie a acestora este o „specificație tehnică”.</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(Întrucât hotărârea este disponibilă numai în limbile franceză și portugheză, următorul text este o traducere.)</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Din modul de redactare a articolului 2 alineatul (1) din acest regulament rezultă că acesta conține specificații tehnice, în sensul articolului 1 punctul 3 din Directiva 98/34, care constituie reglementări tehnice în sensul acestei directive. Cerințele cuprinse în acest regulament privesc lungimea și înălțimea maxime, precum și limitarea puterii de propulsie a ambarcațiunilor de agrement utilizate în scopuri de navigație. Aceste limitări tehnice se aplică tuturor lagunelor publice de apă din cadrul serviciului public din Portugalia, cu excepția celor ale râului Douro.”</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Hotărârea din 8 noiembrie 2007</w:t>
        </w:r>
      </w:hyperlink>
      <w:r>
        <w:t xml:space="preserve">, Schwibbert, C-20/05, punctele 35-37.</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Dispozițiile naționale care introduc obligația de a aplica un semn distinctiv pe produse în scopul comercializării lor într-un stat membru constituie o „specificație tehnică”, deoarece sunt cerințe referitoare la marcarea și etichetarea produselor.</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Astfel cum a statuat Curtea, noțiunea de specificație tehnică presupune ca măsura națională să se refere la produs sau la ambalajul acestuia ca atare și să stabilească astfel una dintre caracteristicile impuse unui produs (a se vedea în acest sens Hotărârea din 2001 octombrie 2015, van der Burg, C-278/99, nepublicată încă în Repertoriu, punctul 20; Cauza C-390/99 Canal Satélite Digital, Rec., 2002, p. I-607, punctul 45; precum și Sapod Audic (punctul 30) și Lindberg (punctul 57).</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În prezenta cauză, trebuie să se constate, astfel cum a arătat avocatul general la punctele 46 și 48 din concluziile prezentate, că aplicarea semnului distinctiv „SIAE”, care urmărește să informeze consumatorii și autoritățile naționale că reproducerile sunt legale, se efectuează chiar pe suportul ce conține opera intelectuală, așadar pe produsul însuși. Prin urmare, nu este riguros să se susțină, precum au afirmat Società Italiana degli Autori ed Editori și guvernul italian, că acest semn s-ar referi doar la opera intelectuală.</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OR, un asemenea semn distinctiv constituie o „specificație tehnică” în sensul articolului 1 alineatul (3) din Directiva 98/34, întrucât ține de normele aplicabile produselor respective în ceea ce privește marcarea și etichetarea. Prin urmare, întrucât respectarea acestei specificații este obligatorie de jure pentru comercializarea acestor produse, caietul de sarcini constituie o «reglementare tehnică» în sensul articolului 1 alineatul (11) din directiva menționată (a se vedea în acest sens Hotărârea din 1997 iulie 1753, Bic Benelux, C-13/96, nepublicată încă în Repertoriu, punctul 23).”</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Hotărârea din 14 aprilie 2011</w:t>
        </w:r>
      </w:hyperlink>
      <w:r>
        <w:t xml:space="preserve">, Vlaamse Dierenartsenvereniging și Janssens, C-42/10, C-45/10 și C-57/10, punctele 68-70.</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Directiva nu se aplică pașapoartelor pentru animale de companie care nu pot fi clasificate drept „produse” deoarece nu pot face obiectul unor tranzacții comerciale. Prin urmare, dispozițiile naționale privind pașapoartele animalelor de companie nu sunt „specificații tehnice” care trebuie comunicate Comisiei.</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 Curtea a avut ocazia să sublinieze că numai produsele care pot fi evaluate în bani și care sunt susceptibile, ca atare, să facă obiectul unor tranzacții comerciale intră în domeniul de aplicare al liberei circulații a mărfurilor (a se vedea în acest sens, printre altele, cauza 7/68, Comisia/Italia, Rec., 1968, p. 617, 626, și cauza C-65/05, Comisia/Grecia, Rec., 2006, p. I-10341, punctele 23-25).</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OR, este cert că pașapoartele pentru animale de companie, de vreme ce au un număr unic și identifică un anumit animal, nu pot face, ca atare, obiectul tranzacțiilor comerciale.</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Prin urmare, aceste pașapoarte nu pot fi calificate drept „produse” în sensul jurisprudenței Curții; nici Directiva 98/34 nu li se poate aplica. În consecință, specificațiile precum cele cuprinse în reglementarea belgiană în discuție în litigiul principal nu pot fi calificate drept specificații tehnice care, în conformitate cu articolul 8 din această directivă, trebuie comunicate în prealabil Comisiei și, în caz contrar, nu trebuie să fie aplicate de instanța națională (a se vedea în acest sens Hotărârea din 2007 iulie 9447, Schwibbert, C-20/05, nepublicată încă în Repertoriu, punctele 33 și 44, precum și jurisprudența citată).”</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Hotărârea din 9 iunie 2011</w:t>
        </w:r>
      </w:hyperlink>
      <w:r>
        <w:t xml:space="preserve">, Intercommunale Intermosane și Fédération de l’industrie et du gaz, C-361/10, punctele 14-18.</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Dispozițiile naționale de stabilire a cerințelor minime pentru construcția instalațiilor electrice și pentru siguranța lucrătorilor nu constituie „specificații tehnice”, deoarece stabilesc obiective generale de siguranță și protecție fără a se referi în mod direct la un produs sau la ambalajul acestuia și fără a defini caracteristicile acestuia.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trebuie să se stabilească dacă dispozițiile naționale în discuție în litigiul principal se încadrează în prima categorie de reglementări tehnice prevăzută la articolul 1 alineatul (11) din Directiva 98/34, și anume noțiunea de „specificație tehnică”.</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Rezultă din jurisprudență că această noțiune, care este definită la articolul 1 alineatul (3) din directivă, presupune ca măsura națională să se refere în mod necesar la produs sau la ambalajul acestuia ca atare și să stabilească astfel una dintre caracteristicile impuse unui produs (a se vedea Hotărârea Schwibbert, citată anterior, punctul 35 și jurisprudența citată).</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În ceea ce privește dispozițiile naționale în cauză în acțiunea principală, este necesar să se arate că cerințele minime privind realizarea anumitor instalații electrice prevăzute de aceste dispoziții urmăresc să asigure securitatea instalațiilor în cauză cu scopul de a-i proteja pe lucrătorii care le utilizează.</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OR, trebuie să se constate că aceste cerințe minime includ obligații și obiective generale în materie de securitate și de protecție, fără a face referire în mod necesar la produsul în cauză sau la ambalajul acestuia ca atare și, prin urmare, fără a stabili caracteristicile produsului respectiv.</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În consecință, dispozițiile naționale în discuție în litigiul principal nu conțin specificații tehnice în sensul Directivei 98/34.”</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Hotărârea din 19 iulie 2012</w:t>
        </w:r>
      </w:hyperlink>
      <w:r>
        <w:t xml:space="preserve">, Fortuna și alții, C-213/11, C-214/11 și C-217/11, punctele 28-30.</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Dispozițiile naționale care limitează exploatarea aparatelor de jocuri de noroc ieftine în afara cazinourilor nu constituie „reglementări tehnice”, deoarece nu se referă la caracteristicile aparatelor de jocuri de noroc sau la ambalajul acestora.</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 pentru ca o măsură națională să se încadreze în prima categorie de reglementări tehnice prevăzută la articolul 1 alineatul (11) din Directiva 98/34, și anume în noțiunea de „specificație tehnică”, această măsură trebuie în mod necesar să se refere la produs sau la ambalajul acestuia ca atare și să stabilească astfel una dintre caracteristicile impuse unui produs (a se vedea Hotărârea Intercommunale Intermosane și Fédération de l’industrie et du gaz, citată anterior, punctul 15).</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OR, este suficient să se constate că dispozițiile tranzitorii din Legea privind jocurile de noroc privesc autorizațiile de a exercita activitatea de jocuri automate cu câștiguri reduse. Dispozițiile respective nu se referă la aparatele de jocuri cu câștiguri reduse sau la ambalajul lor ca atare și, în consecință, nu stabilesc caracteristicile acestora.</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În consecință, dispozițiile naționale în discuție în litigiul principal nu conțin specificații tehnice în sensul Directivei 98/34.”</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Hotărârea din 10 iulie 2014</w:t>
        </w:r>
      </w:hyperlink>
      <w:r>
        <w:rPr>
          <w:b/>
          <w:i/>
        </w:rPr>
        <w:t xml:space="preserve">, Ivansson și alții</w:t>
      </w:r>
      <w:r>
        <w:rPr>
          <w:b/>
          <w:i/>
        </w:rPr>
        <w:t xml:space="preserve">, C-307/13, punctele 19-23</w:t>
      </w:r>
      <w:r>
        <w:rPr>
          <w:sz w:val="25"/>
        </w:rPr>
        <w:t>.</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O normă care stabilește un obiectiv general de confort al păsărilor de curte și de calitate a instalațiilor de creștere nu este o „specificație tehnică”, deoarece nu stabilește caracteristicile produsului și nu este suficient de precisă pentru a defini o metodă de producție.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Trebuie precizat că, potrivit jurisprudenței, această noțiune presupune ca măsura națională să se refere în mod necesar la produs sau la ambalajul acestuia ca atare și să stabilească astfel una dintre caracteristicile impuse unui produs (a se vedea în acest sens Hotărârea Fortuna și alții, punctul 28).</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În plus, în ceea ce privește produsele agricole, Curtea a precizat că o specificație tehnică figurează într-un document care stabilește caracteristicile impuse unui produs sau metodele și procedurile sale de producție (a se vedea în acest sens Hotărârea Donkersteeg, C-37/99, punctul 30).</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Trebuie arătat, pe de o parte, că, deși articolul 9 din DSF privește confortul și calitatea instalațiilor de creștere a găinilor pentru producția de ouă, și anume cuștile îmbunătățite, această dispoziție nu definește totuși, astfel cum a arătat guvernul polonez, caracteristicile pe care trebuie să le aibă articolele în discuție în litigiul principal.</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Pe de altă parte, presupunând că se poate considera că această dispoziție se referă la o metodă de producție în măsura în care vizează, astfel cum s-a arătat la punctul anterior, creșterea găinilor ouătoare în anumite cuști amenajate, trebuie totuși subliniat că dispoziția respectivă se limitează să menționeze în mod general cerința privind existența unor cuibare, stinghii și băi de praf în cadrul acestor infrastructuri, fără însă a stabili în mod specific diversele aspecte ale acestui sistem de creștere. Punctul 9 din DSF nu conține nicio indicație privind, de exemplu, dimensiunea, numărul, temperatura, întreținerea sau funcționarea acestor instalații în ceea ce privește expunerea găinilor pentru producția de ouă la lumină sau chiar în ceea ce privește hrănirea și adăparea. În lipsa unei precizări la articolul 9 din DSF, nu se poate considera că aceasta stabilește metodele și procedurile de producție.</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În plus, este necesar să se arate că, afirmând că „sistemul de adăpostire trebuie să fie de așa natură încât rata mortalității și tulburările comportamentale ale găinilor să fie menținute la un nivel scăzut”, fără nicio altă indicație, articolul 9 primul paragraf din DSF se limitează să enunțe obiective generale în ceea ce privește bunăstarea găinilor pentru producția de ouă, fără a face în mod necesar referire la produsul în cauză și, prin urmare, fără a preciza caracteristicile acestui produs (a se vedea prin analogie Hotărârea Intercommunale Intermosane și Fédération de l’Industrie et du gaz, C-361/10, punctul 17).”</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Hotărârea din 27 octombrie 2016</w:t>
        </w:r>
      </w:hyperlink>
      <w:r>
        <w:t xml:space="preserve">, James Elliott Construction, C-613/14, punctul 67.</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Dispozițiile naționale care stabilesc condiții contractuale implicite privind calitatea produselor vândute nu constituie „specificații tehnice”, deoarece nu definesc caracteristicile produsului în cauză.</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În speță, reiese, pe de o parte, că dispoziții precum cele în discuție în litigiul principal, fie ele însele, fie astfel cum au fost interpretate de instanțele irlandeze, nu intră în sfera noțiunii de „specificație tehnică”, în sensul articolului 1 alineatul (3) din Directiva 98/34. Această noțiune nu acoperă decât măsurile naționale care se referă ca atare la un produs sau la ambalajul acestuia și care stabilesc astfel una dintre caracteristicile impuse unui produs (Hotărârea din 10 iulie 2014, Ivansson și alții,</w:t>
        <w:noBreakHyphen/>
        <w:t xml:space="preserve">C 307/13, punctul 19, precum și jurisprudența citată). În mod evident, acest lucru nu este valabil pentru o cerință care se aplică, cu excepția cazului în care părțile au convenit altfel, în general vânzării tuturor produselor.”</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Hotărârea din 1 februarie 2017</w:t>
        </w:r>
      </w:hyperlink>
      <w:r>
        <w:t xml:space="preserve">, Município de Palmela, C-144/16, punctul 30.</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Un regulament care impune afișarea, într-o zonă de agrement, a unor informații privind capacitatea maximă a zonei respective nu constituie o „specificație tehnică”, întrucât nu stabilește caracteristicile unui produs.</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o astfel de dispoziție nu intră în categoria specificațiilor tehnice în sensul articolului 1 alineatul (3) din Directiva 98/34, în măsura în care este cert că dispozițiile care stabilesc cerințele și obiectivele generale în materie de siguranță și de protecție, fără a se referi în mod necesar la produsul în cauză sau la ambalajul acestuia ca atare și, prin urmare, fără a stabili caracteristicile acestui produs, nu constituie specificații tehnice (a se vedea în acest sens Hotărârea din 9 iunie 2011, Intercommunale Intermosane și Fédération de l’industrie et du gaz, C-361/10, punctele 17 și 18).”</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Hotărârea din 26 septembrie 2018</w:t>
        </w:r>
      </w:hyperlink>
      <w:r>
        <w:t xml:space="preserve">, Van Gennip și alții, C-137/17, punctul 38.</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Dispozițiile naționale care condiționează comercializarea produselor de deținerea de către cumpărător a unei autorizații nu intră în sfera noțiunii de „specificație tehnică”, întrucât nu definesc caracteristicile produsului însuși sau ale ambalajului acestuia.</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În ceea ce privește, în primul rând, noțiunea de „specificație tehnică”, trebuie amintit că această noțiune presupune ca măsura națională să se refere în mod necesar la produs sau la ambalajul acestuia ca atare și să stabilească, prin urmare, una dintre caracteristicile impuse unui produs, precum dimensiunile, denumirea comercială, etichetarea sau marcarea (Hotărârea din 10 iulie 2014, Ivansson și alții, C 307/13</w:t>
        <w:noBreakHyphen/>
        <w:t xml:space="preserve">, punctul 19, precum și jurisprudența citată). OR, astfel cum a arătat avocatul general la punctul 74 din concluzii, reglementarea belgiană nu se referă la articolele pirotehnice sau la ambalajul lor ca atare, astfel că această reglementare nu stabilește una dintre caracteristicile impuse acestui produs. Prin urmare, această reglementare nu constituie o «specificație tehnică», în sensul articolului 1 punctul 3 din Directiva 98/34.”</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Hotărârea din 28 mai 2020</w:t>
        </w:r>
      </w:hyperlink>
      <w:r>
        <w:t xml:space="preserve">, ECO-WIND Construction, C-727/17, punctele 36 și 37.</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Un regulament care impune o distanță minimă pentru instalarea de turbine eoliene nu constituie o „specificație tehnică”, deoarece nu stabilește caracteristicile produsului.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în ceea ce privește eventuala calificare a aceleiași cerințe drept reglementare tehnică pe baza faptului că aceasta intră în categoria „specificațiilor tehnice”, trebuie amintit că o specificație tehnică presupune ca măsura națională care o prescrie să se refere la produs sau la ambalajul acestuia ca atare și să stabilească, prin urmare, una dintre caracteristicile impuse acestui produs (Hotărârea din 21 aprilie 2005, Lindberg, C-267/03, punctul 57, precum și Hotărârea din 19 iulie 2012, Fortuna și alții, C-213/11, C-214/11 și C-217/11, punctul 28).</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OR, în speță, reglementarea în discuție în litigiul principal se limitează să reglementeze instalarea de turbine eoliene prin stabilirea unei constrângeri privind o distanță minimă de respectat la amplasarea lor. În consecință, această reglementare nu se referă la un produs ca atare, în speță generatorul de vânt, și, prin urmare, nu prevede una dintre caracteristicile impuse acestui produs în sensul articolului 1 alineatul (1) litera (f) din Directiva 2015/1535, interpretat în lumina articolului 1 alineatul (1) litera (c) din această directivă.”</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Hotărârea din 22 octombrie 2020</w:t>
        </w:r>
      </w:hyperlink>
      <w:r>
        <w:t xml:space="preserve">, Sportingbet și Internet Opportunity Entertainment, C-275/19, punctele 42 și 43</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O reglementare națională care rezervă statului exploatarea jocurilor de noroc și care impune ca licențele să fie acordate numai societăților publice nu este o „specificație tehnică”, întrucât nu definește caracteristicile impuse unui produs.</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Potrivit articolului 1 alineatul (1) din Directiva 83/189, o „specificație tehnică” în sensul acestei directive este cea cuprinsă într-un document care stabilește caracteristicile unui produs, cum ar fi nivelurile de calitate, performanță, siguranță sau dimensiuni, inclusiv cerințele aplicabile produsului în ceea ce privește terminologia, simbolurile, încercările și metodele de testare, ambalarea, marcarea sau etichetarea (a se vedea în acest sens Hotărârea din 8 martie 2001, van der Burg, C-278/99, punctul 20).</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Întrucât articolele 3 și 9 din Decretul-lege nr. 422/89 prevăd norme de concesiune pentru exploatarea jocurilor de noroc, precum și a condițiilor și a zonelor de exercitare a acestei activități, nu rezultă că aceste dispoziții privesc caracteristicile impuse unui produs, în sensul articolului 1 alineatul (1) din Directiva 83/189, astfel încât nu pot fi calificate drept «reglementări tehnice» în sensul articolului 1 alineatul (5) din această directivă.”</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Alte cerințe</w:t>
      </w:r>
      <w:bookmarkEnd w:id="46"/>
      <w:bookmarkEnd w:id="47"/>
    </w:p>
    <w:p w14:paraId="48370E42" w14:textId="77777777">
      <w:pPr>
        <w:pStyle w:val="BodyText"/>
      </w:pPr>
    </w:p>
    <w:p w14:paraId="032AC50F" w14:textId="77777777">
      <w:pPr>
        <w:pStyle w:val="P68B1DB1-BodyText11"/>
        <w:ind w:left="567"/>
        <w:rPr>
          <w:i/>
        </w:rPr>
      </w:pPr>
      <w:r>
        <w:t xml:space="preserve">„«alte cerințe» înseamnă o cerință, alta decât o specificație tehnică, impusă unui produs în scopul protejării, în special a consumatorilor sau a mediului, și care afectează ciclul de viață al produsului după introducerea sa pe piață, cum ar fi condițiile de utilizare, reciclare, reutilizare sau eliminare, în cazul în care astfel de condiții pot influența în mod semnificativ compoziția sau natura produsului sau comercializarea acestuia;”</w:t>
      </w:r>
    </w:p>
    <w:p w14:paraId="1AD68414" w14:textId="77777777">
      <w:pPr>
        <w:pStyle w:val="BodyText"/>
        <w:ind w:left="567"/>
        <w:rPr>
          <w:i/>
          <w:iCs/>
        </w:rPr>
      </w:pPr>
    </w:p>
    <w:p w14:paraId="3295AC84" w14:textId="258D2B2D">
      <w:pPr>
        <w:pStyle w:val="BodyText"/>
        <w:ind w:left="1440"/>
        <w:jc w:val="right"/>
      </w:pPr>
      <w:r>
        <w:t xml:space="preserve">[Articolul 1 alineatul (1) litera (d) din Directiva (UE) 2015/1535]</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Hotărârea Lindberg din 21 aprilie 2005</w:t>
        </w:r>
      </w:hyperlink>
      <w:r>
        <w:t xml:space="preserve">, C-267/03, punctele 68-78.</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O interdicție națională a anumitor jocuri de noroc poate fi calificată drept „altă cerință” dacă este de natură să influențeze compoziția, natura sau comercializarea produsului. Cu toate acestea, în cazul în care interdicția nu lasă loc pentru utilizarea produsului, aceasta va fi descrisă ca o dispoziție de interdicție (a se vedea partea I. subpartea e. „Dispoziții privind interzicerea” din prezentul document).</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trebuie să se constate că o măsură națională precum interdicția în discuție în litigiul principal pare să fie acoperită în mod specific de noțiunea „alte cerințe” introdusă de Directiva 94/10 în Directiva 83/189 pentru a extinde domeniul său de aplicare și că, prin urmare, aceasta nu intră în categoria specificațiilor tehnice.</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O astfel de măsură este o cerință impusă în legătură cu un produs, și anume aparatele de jocuri de noroc, în esență în scopul protecției consumatorilor, în speță a jucătorilor în cauză.</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Prin urmare, o interdicție precum cea prevăzută de dispozițiile relevante ale Legii privind loteriile modificate privește utilizarea unui produs în sensul articolului 1 alineatul (9) din Directiva 83/189.</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Pe de altă parte, cerința în discuție în litigiul principal nu este impusă aparatelor de jocuri de noroc în scopul introducerii lor pe piață, ci privește ciclul lor de viață după introducerea lor pe piață în sensul definiției „altor cerințe” prevăzute la articolul 1 alineatul (3) din Directiva 83/189.</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Pentru a se încadra în „alte cerințe” în sensul articolului 1 alineatul (3) din Directiva 83/189, o cerință precum interdicția de utilizare a aparatelor de jocuri în discuție în litigiul principal trebuie să constituie o „condiție”, în speță, de utilizare, care poate influența în mod semnificativ compoziția sau natura produsului ori comercializarea acestuia.</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Cu toate acestea, se ridică în continuare problema dacă această interdicție trebuie considerată o „condiție” de utilizare a produsului în cauză sau dacă este mai degrabă o măsură națională care se încadrează în a treia categorie de reglementări tehnice prevăzute la articolul 1 alineatul (9) din Directiva 83/189, care a fost de asemenea introdusă în aceasta prin Directiva 94/10, și anume cea a „legislațiilor [...] statelor membre [...] care interzic fabricarea, importul, comercializarea sau utilizarea unui produs”.</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Aspectul dacă o măsură națională precum cea în discuție în litigiul principal se încadrează în una sau în cealaltă dintre aceste două categorii de reglementări tehnice depinde de domeniul de aplicare al interdicției prevăzute de această măsură.</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În această privință, este important faptul că, spre deosebire de a doua categorie, care constă în alte cerințe în sensul articolului 1 alineatul (3), această a treia categorie de reglementări tehnice definită la articolul 1 alineatul (9) din Directiva 83/189 nu include condiția potrivit căreia interdicția în cauză trebuie să fie de natură să influențeze în mod semnificativ compoziția sau natura produsului ori comercializarea acestuia.</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Pentru a se încadra în această a treia categorie de reglementări tehnice referitoare, printre altele, la interzicerea utilizării, măsurile trebuie să aibă un domeniu de aplicare care depășește cu mult o limitare a anumitor utilizări posibile ale produsului în cauză și, prin urmare, nu trebuie să se limiteze la o simplă limitare a utilizării sale.</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Astfel cum a arătat avocatul general la punctul 70 din concluzii, această categorie de reglementări tehnice vizează în special măsurile naționale care nu lasă loc niciunei utilizări rezonabile a produsului în cauză decât una pur marginală. Revine instanței de trimitere sarcina de a verifica dacă interdicția pe care o implică dispoziția națională în discuție în litigiul principal constituie o astfel de măsură.</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Dacă ar dovedi, în urma unei astfel de examinări de către instanța de trimitere, că nu aceasta este situația în cauza principală, această dispoziție națională ar putea fi considerată o „altă cerință”, din moment ce este cert că respectarea acestei cerințe este imperativă de drept pentru utilizarea produsului în statul membru în cauză, în sensul articolului 1 alineatul (9) din Directiva 83/189. Cu toate acestea, în acest caz, revine de asemenea instanței de trimitere sarcina de a verifica dacă interdicția în cauză poate influența în mod semnificativ compoziția sau natura produsului ori comercializarea acestuia în sensul articolului 1 alineatul (3).”</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Hotărârea din 9 iunie 2011</w:t>
        </w:r>
      </w:hyperlink>
      <w:r>
        <w:t xml:space="preserve">, Intercommunale Intermosane și Fédération de l’industrie et du gaz, C-361/10, punctele 20 și 21.</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Dispozițiile naționale care prevăd cerințe minime pentru construcția instalațiilor electrice și pentru securitatea lucrătorilor nu pot fi calificate drept „alte cerințe”, întrucât caracterul lor general nu permite să se influențeze în mod semnificativ compoziția, natura sau comercializarea produselor în cauză.</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Potrivit jurisprudenței, pentru a fi calificate drept „alte cerințe” în sensul articolului 1 alineatul (4) din Directiva 98/34, cerințele minime prevăzute de dispozițiile în cauză trebuie să constituie „condiții” care pot influența în mod semnificativ compoziția, natura sau comercializarea produsului în cauză (a se vedea în acest sens Hotărârea Lindberg, citată anterior, punctul 72).</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Ținând seama de caracterul general al cerințelor menționate, acestea nu pot constitui astfel de condiții și, în consecință, nu pot fi calificate drept «alte cerințe» în sensul articolului 1 alineatul (4) din directivă.”</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Hotărârea din 19 iulie 2012</w:t>
        </w:r>
      </w:hyperlink>
      <w:r>
        <w:t xml:space="preserve">, Fortuna și alții, C-213/11, C-214/11 și C-217/11, punctele 35, 36 și 40</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Dispozițiile naționale care limitează exploatarea aparatelor de jocuri în afara cazinourilor pot fi calificate drept „alte cerințe” și, prin urmare, drept „norme tehnice” dacă influențează în mod semnificativ natura sau comercializarea produselor în cauză.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 Curtea a statuat că, pentru a fi calificate drept „alte cerințe” în sensul articolului 1 alineatul (4) din Directiva 98/34, măsurile naționale în cauză trebuie să constituie „condiții” care pot influența în mod semnificativ compoziția, natura sau comercializarea produsului în cauză (a se vedea în acest sens Hotărârile citate anterior Lindberg, punctul 72, precum și Intercommunale Intermosane și Fédération de l’industrie et du gaz, punctul 20).</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În această privință, trebuie să se arate că dispozițiile tranzitorii ale Legii privind jocurile de noroc impun condiții susceptibile să afecteze comercializarea aparatelor de jocuri automate cu câștiguri reduse. Interdicția de a elibera, de a prelungi sau de a modifica autorizațiile pentru activitățile legate de jocurile automate cu câștiguri reduse în afara cazinourilor este de natură să afecteze în mod direct comerțul cu aparate de jocuri cu câștiguri reduse.”</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 trebuie să se răspundă la întrebările adresate că articolul 1 alineatul (11) din Directiva 98/34 trebuie interpretat în sensul că dispozițiile naționale, precum cele din Legea privind jocurile de noroc, care ar putea avea ca efect limitarea sau chiar imposibilitatea treptată a exploatării jocurilor pe aparate cu câștiguri reduse oriunde în alte locuri decât în cazinouri și în sălile de jocuri, pot constitui «reglementări tehnice», în sensul acestei dispoziții, ale căror proiecte trebuie să facă obiectul unei comunicări în sensul articolului 8 alineatul (1) primul paragraf din directiva menționată, în măsura în care se stabilește că aceste dispoziții constituie condiții care pot influența în mod semnificativ natura sau comercializarea produsului în cauză, aspect a cărui verificare este de competența instanței de trimitere.”</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Hotărârea din 10 iulie 2014</w:t>
        </w:r>
      </w:hyperlink>
      <w:r>
        <w:rPr>
          <w:b/>
          <w:i/>
        </w:rPr>
        <w:t xml:space="preserve">, Ivansson și alții</w:t>
      </w:r>
      <w:r>
        <w:rPr>
          <w:b/>
          <w:i/>
        </w:rPr>
        <w:t xml:space="preserve">, C-307/13, punctele 26-28</w:t>
      </w:r>
      <w:r>
        <w:rPr>
          <w:sz w:val="25"/>
        </w:rPr>
        <w:t>.</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O normă care stabilește un obiectiv general de confort al păsărilor de curte și de calitate a instalațiilor de creștere nu este o „altă cerință”, deoarece este puțin probabil ca natura sa generală să afecteze compoziția, natura sau comercializarea produsului final.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Curtea a statuat deja că, pentru a fi calificate drept „alte cerințe” în sensul articolului 1 alineatul (4) din Directiva 98/34, măsurile naționale în cauză trebuie să constituie „condiții” care pot influența în mod semnificativ compoziția, natura sau comercializarea produsului în cauză (a se vedea Hotărârea Fortuna și alții, punctul 35 și jurisprudența citată).</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Curtea a statuat de asemenea că, atunci când dispozițiile unei măsuri naționale au un caracter general, acestea nu pot constitui astfel de condiții și, prin urmare, nu pot fi calificate drept „alte cerințe”, în sensul articolului 1 alineatul (4) din directiva menționată (a se vedea în acest sens Hotărârea Intercommunale Intermosane și Fédération de l’Industrie et du gaz, punctul 21).</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Formularea foarte generală a articolului 9 din DSF, astfel cum reiese din cuprinsul punctelor 22 și 23 din prezenta hotărâre, se opune astfel ca această dispoziție să fie considerată o condiție privind compoziția sau natura produselor în cauză sau comercializarea acestora.”</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Hotărârea din 11 iunie 2015</w:t>
        </w:r>
      </w:hyperlink>
      <w:r>
        <w:t xml:space="preserve">, Berlington Hungary și alții, C-98/14, punctele 98 și 99.</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Dispozițiile naționale care interzic exploatarea jocurilor de tip slot-machine în afara cazinourilor constituie „alte cerințe”, deoarece pot influența în mod semnificativ natura sau comercializarea unor astfel de aparate.</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Curtea a statuat deja că o măsură națională care limitează organizarea anumitor jocuri de noroc la cazinouri constituie o „reglementare tehnică”, în sensul articolului 1 alineatul (11) din directivă, în măsura în care poate influența în mod semnificativ natura sau comercializarea produselor utilizate în acest context (a se vedea în acest sens Hotărârea Comisia/Grecia, C-65/05, punctul 61, precum și Hotărârea Fortuna și alții, C-213/11, C-214/11 și C-217/11, punctele 24 și 40).</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Cu toate acestea, o interdicție de a exploata aparate de tip slot-machine în afara cazinourilor, precum cea introdusă prin Legea de modificare din 2012, poate influența în mod semnificativ natura sau comercializarea acestor aparate, care constituie mărfuri care pot intra sub incidența articolului 34 TFUE (a se vedea Hotărârea Läärä și alții, C-124/97, punctele 20 și 24), prin reducerea punctelor de vânzare în care pot fi utilizate.”</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Hotărârea din 13 octombrie 2016</w:t>
        </w:r>
      </w:hyperlink>
      <w:r>
        <w:t xml:space="preserve">, Naczelnik Urzędu Celnego I w., C-303/15, punctele 25-30</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O dispoziție care condiționează exercitarea activităților de jocuri de noroc de deținerea unei autorizații de exploatare a cazinourilor nu constituie o „altă cerință”. Astfel, deși dispozițiile care limitează organizarea jocurilor de noroc la cazinouri pot afecta în mod semnificativ comercializarea produselor conexe prin reducerea canalelor lor de distribuție, normele care reglementează condițiile de stabilire a întreprinderilor nu sunt susceptibile să afecteze în mod semnificativ natura sau comercializarea produselor utilizate.</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În sfârșit, pentru a stabili dacă articolul 6 alineatul (1) din Legea privind jocurile de noroc intră fie în domeniul de aplicare al articolului 1 alineatul (4) din Directiva 98/34, fie în cel al articolului 1 alineatul (11) din această directivă, trebuie să se verifice dacă o astfel de dispoziție poate influența în mod semnificativ compoziția, natura sau comercializarea produsului în cauză, în speță aparatele de jocuri de noroc, ca o „condiție” privind utilizarea produsului în cauză sau dacă este vorba despre o măsură națională care face parte din categoria interdicțiilor prevăzute la articolul 1 alineatul (11) din această directivă.</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În această privință, trebuie amintit că articolul 14 alineatul (1) din Legea privind jocurile de noroc este cel care limitează organizarea jocurilor de ruletă, de cărți, de zaruri și a jocurilor automate la cazinourile de jocuri. Această dispoziție a fost notificată Comisiei ca o „reglementare tehnică”, având în vedere că Curtea a statuat deja, pe de o parte, că o măsură națională care rezervă organizarea anumitor jocuri de noroc numai cazinourilor constituie o „reglementare tehnică”, în sensul articolului 1 alineatul (11) din Directiva 98/34, în măsura în care poate influența în mod semnificativ natura sau comercializarea produselor utilizate în acest context și, pe de altă parte, că o interdicție de a exploata anumite produse în afara cazinourilor poate influența în mod semnificativ comercializarea acestor produse, prin reducerea debușeelor în care pot fi utilizate (a se vedea în acest sens Hotărârea din 11 iunie 2015, Berlington Hungary și alții, C-98/14, punctele 98 și 99).</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În schimb, nu a fost notificat articolul 6 alineatul (1) din această lege, care prevede că este necesară o licență pentru exploatarea unui cazinou pentru organizarea jocurilor de ruletă, a jocurilor de cărți, a jocurilor de zardă și a jocurilor automate.</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28.Cu privire la argumentul Comisiei potrivit căruia legătura strânsă dintre cele două dispoziții de drept național în cauză implică imposibilitatea de a izola articolul 14 alineatul (1) din Legea privind jocurile de noroc de articolul 6 alineatul (1) din această lege, nu poate fi primit. Astfel cum a arătat avocatul general la punctele 38-44 din concluzii, articolul 6 alineatul (1) din legea menționată și articolul 14 alineatul (1) din această lege sunt diferite în ceea ce privește funcția și domeniul lor de aplicare. Descrierea care figurează la articolul 6 alineatul (1) din legea menționată, care precizează autorizația în cauză drept autorizație „de exploatare a unui cazinou de jocuri”, nu modifică această concluzie.</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Prin urmare, este necesar să se considere că articolul 6 alineatul (1) din Legea privind jocurile de noroc nu poate fi considerat ca intrând în categoria „altor cerințe”, în sensul articolului 1 alineatul (4) din Directiva 98/34, din moment ce autorizarea impusă de această dispoziție națională pentru organizarea jocurilor de noroc constituie o condiție impusă pentru activitatea de organizare a unor astfel de jocuri, distinctă de articolul 14 alineatul (1) din această lege, care impune condiții pentru produsele în cauză prin interzicerea utilizării lor în alte cazinouri decât în cazinouri.</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În plus, potrivit unei jurisprudențe constante, dispozițiile de drept național care se limitează să prevadă condiții de stabilire sau de prestare de servicii de către întreprinderi, precum dispozițiile care condiționează exercitarea unei activități economice de obținerea unei autorizații prealabile, nu constituie reglementări tehnice în sensul articolului 1 alineatul (11) din Directiva 98/34 (a se vedea în acest sens Hotărârea din 4 februarie 2016, Ince, C-336/14, punctul 76 și jurisprudența citată).”</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Hotărârea din 27 octombrie 2016</w:t>
        </w:r>
      </w:hyperlink>
      <w:r>
        <w:t xml:space="preserve">, James Elliott Construction, C-613/14, punctele 67-69.</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Dispozițiile naționale care stabilesc condiții contractuale implicite privind calitatea comercializabilă, adecvarea pentru utilizare sau calitatea produselor vândute nu constituie „alte cerințe”, deoarece natura lor generală face puțin probabil ca acestea să influențeze în mod semnificativ compoziția, natura sau comercializarea produselor în cauză.</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În speță, reiese, pe de o parte, că dispoziții precum cele în discuție în litigiul principal, fie ele însele, fie astfel cum au fost interpretate de instanțele irlandeze, nu intră în sfera noțiunii de „specificație tehnică”, în sensul articolului 1 alineatul (3) din Directiva 98/34. Această noțiune nu acoperă decât măsurile naționale care se referă ca atare la un produs sau la ambalajul acestuia și care stabilesc astfel una dintre caracteristicile impuse unui produs (Hotărârea din 10 iulie 2014, Ivansson și alții, C-307/13, punctul 19, precum și jurisprudența citată). OR, situația este evident diferită în cazul unei cerințe care se aplică în mod general vânzării oricărui produs, în lipsa voinței în sens contrar a părților.</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În al doilea rând și pentru același motiv, aceste dispoziții nu pot fi calificate drept „alte cerințe” în sensul articolului 1 alineatul (4) din Directiva 98/34.</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În această privință, Curtea a precizat că, pentru a fi calificate drept „alte cerințe” în sensul acestei dispoziții, măsurile naționale în cauză trebuie să constituie condiții care pot influența în mod semnificativ compoziția sau natura produsului în cauză ori comercializarea acestuia, cerințe cu caracter general neputând constitui astfel de condiții și nici, în consecință, nu pot fi calificate drept «alte cerințe» (a se vedea Hotărârea din 10 iulie 2014, Ivansson și alții, C-307/13, punctele 26 și 27, precum și jurisprudența citată).”</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Hotărârea din 1 februarie 2017</w:t>
        </w:r>
      </w:hyperlink>
      <w:r>
        <w:t xml:space="preserve">, Município de Palmela, C-144/16, punctele 23 și 33.</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O dispoziție care stabilește cerințele de ambalare impuse unui produs din motive de protecție a consumatorilor este o „altă cerință”, deoarece se referă la ciclul de viață al produselor după introducerea pe piață și influențează în mod semnificativ compoziția și comercializarea acestora.</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Pe de altă parte, un regulament care impune ca informațiile privind capacitatea maximă a unei zone de agrement să fie afișate în mai multe locuri în această zonă nu constituie o „altă cerință” din cauza naturii sale generale.</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În ceea ce privește articolul 16 alineatul (1) și alineatul (2) din Regulamentul PRA, astfel cum a fost modificat prin Decretul-lege nr. 119/2009, trebuie arătat, astfel cum a arătat instanța de trimitere, că acesta constituie o reglementare tehnică în sensul Directivelor 83/189 și 98/34, în măsura în care această dispoziție prevede cerințe impuse unui produs, în scopul protecției consumatorilor, care afectează ciclul său de viață după introducerea sa pe piață și influențează în mod semnificativ compoziția și comercializarea unui astfel de produs. În consecință, această dispoziție intră în categoria «altor cerințe» atât în sensul articolului 1 alineatul (3) din Directiva 83/189, cât și al articolului 1 alineatul (4) din Directiva 98/34.”</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o dispoziție precum cea în discuție în litigiul principal nu constituie o „altă cerință” în sensul articolului 1 alineatul (4) din Directiva 98/34, ținând seama de caracterul general al cerințelor pe care le prevede (a se vedea în acest sens Hotărârea din 9 iunie 2011, Intercommunale Intermosane și Fédération de l’industrie et du gaz,</w:t>
        <w:noBreakHyphen/>
        <w:t xml:space="preserve">C 361/10, punctul 21). Pe de altă parte, acesta nu conține interdicții care l-ar putea încadra în categoria interdicțiilor prevăzute la articolul 1 alineatul (11) din directiva menționată.”</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Hotărârea din 26 septembrie 2018</w:t>
      </w:r>
      <w:r>
        <w:rPr>
          <w:b/>
          <w:bCs/>
          <w:i/>
          <w:iCs/>
          <w:color w:val="0000FF"/>
          <w:sz w:val="22"/>
          <w:szCs w:val="22"/>
          <w:u w:val="single"/>
        </w:rPr>
        <w:fldChar w:fldCharType="end"/>
        <w:t xml:space="preserve">, Van Gennip și alții, C-137/17, punctele 39 și 40.</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Dispozițiile naționale care condiționează comercializarea produselor de deținerea de către cumpărător a unei autorizații nu intră în sfera noțiunii „alte cerințe”, întrucât este vorba despre o condiție impusă nu asupra produselor, ci asupra cumpărătorilor.</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în ceea ce privește categoria „alte cerințe”, trebuie amintit că, pentru a fi calificată drept „alte cerințe”, în sensul articolului 1 punctul 4 din Directiva 98/34, o măsură națională trebuie să constituie o „condiție” care poate influența în mod semnificativ compoziția, natura sau comercializarea produsului în cauză (Hotărârea din 13 octombrie 2016, M. și S., C-303/15, punctul 20, precum și jurisprudența citată).</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În această privință, trebuie arătat, astfel cum a procedat avocatul general la punctul 76 din concluzii, că reglementarea belgiană condiționează vânzarea articolelor pirotehnice a cărui conținut de compoziție pirotehnică depășește 1 kg de obținerea de către cumpărător a unei autorizații. Astfel, autorizația necesară nu constituie o cerință pentru produsul în cauză, ci pentru cumpărătorii potențiali și, indirect, pentru operatorii economici care vând articole pirotehnice (a se vedea în acest sens Hotărârea din 21 aprilie 2005, Lindberg, C-267/03, punctul 87, și Hotărârea din 13 octombrie 2016, M. și S., C-303/15, punctul 29).”</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Hotărârea din 28 mai 2020</w:t>
        </w:r>
      </w:hyperlink>
      <w:r>
        <w:t xml:space="preserve">, ECO-WIND Construction, C-727/17, punctele 40 și 41.</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Un regulament care impune o distanță minimă pentru instalarea de turbine eoliene nu se încadrează în categoria „altor cerințe”, deoarece impactul său asupra comercializării produselor în cauză nu este suficient de direct.</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reiese dintr-o jurisprudență constantă că această categorie include o reglementare care prevede o condiție de natură să influențeze în mod semnificativ compoziția, natura sau comercializarea unui produs (Hotărârea din 21 aprilie 2005, Lindberg, C-267/03, punctele 69-72, și Hotărârea din 19 iulie 2012, Fortuna și alții, C-213/11, C-214/11 și C-217/11, punctul 35), aceste „alte cerințe” acoperind cerințele care decurg din luarea în considerare a ciclului de viață al produsului în cauză după introducerea sa pe piață și referitoare în special la utilizarea acestuia.</w:t>
      </w:r>
    </w:p>
    <w:p w14:paraId="15144425" w14:textId="77777777">
      <w:pPr>
        <w:pStyle w:val="P68B1DB1-BodyText19"/>
        <w:ind w:left="567"/>
        <w:rPr>
          <w:iCs/>
        </w:rPr>
      </w:pPr>
    </w:p>
    <w:p w14:paraId="45870460" w14:textId="6B88BEBE">
      <w:pPr>
        <w:pStyle w:val="P68B1DB1-BodyText19"/>
        <w:ind w:left="567"/>
        <w:rPr>
          <w:iCs/>
        </w:rPr>
      </w:pPr>
      <w:r>
        <w:t xml:space="preserve">41. OR, în speță, similar aprecierii care figurează la punctul 37 din prezenta hotărâre, este necesar să se arate că cerința potrivit căreia instalarea unei turbine eoliene este supusă condiției respectării unei distanțe minime între aceasta și clădiri cu destinație rezidențială nu prezintă o legătură directă cu compoziția, natura sau comercializarea unui produs precum o turbină eoliană. În această privință, chiar dacă această cerință ar conduce la o limitare a amplasamentelor adecvate pentru instalarea de turbine eoliene și, prin urmare, ar avea un efect asupra comercializării generatoarelor eoliene, acest efect nu ar fi suficient de direct pentru ca această cerință să intre în categoria «altor cerințe» prevăzute la articolul 1 alineatul (1) litera (f) din Directiva 2015/1535.”</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Hotărârea din 4 noiembrie 2022</w:t>
        </w:r>
      </w:hyperlink>
      <w:r>
        <w:rPr>
          <w:rFonts w:ascii="Times New Roman" w:hAnsi="Times New Roman" w:cs="Times New Roman" w:eastAsia="Times New Roman"/>
          <w:b/>
          <w:i/>
          <w:szCs w:val="20"/>
        </w:rPr>
        <w:t xml:space="preserve">, Phytofar, C</w:t>
        <w:noBreakHyphen/>
        <w:t xml:space="preserve">658/21, punctele 36-42.</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O reglementare care interzice persoanelor care nu dețin o autorizație pentru profesioniști să utilizeze pesticide care conțin glifosat poate constitui o „altă cerință”, întrucât ar putea influența în mod semnificativ comercializarea glifosatului. Importanța acestei influențe este apreciată în funcție de volumul achizițiilor de produse în cauză și de evoluția obiceiurilor de vânzare.</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În speță, reiese, mai întâi, din preambulul Ordinului din 14 iulie 2017 că interdicția pe care o stabilește este impusă pentru protecția sănătății umane și a mediului.</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În continuare, este necesar să se arate că această interdicție privește ciclul de viață al pesticidelor care conțin glifosat după introducerea lor pe piață, prin stabilirea unei condiții legate de utilizarea acestor produse, în măsura în care, pe terenuri de uz privat, numai profesioniștii titulari ai unei fitolicențe sunt autorizați să le utilizeze.</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În sfârșit, trebuie să se constate că o atare măsură de interdicție poate influența comercializarea produselor în cauză.</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Astfel, această măsură conduce la dispariția unei categorii de cumpărători potențiali de pesticide care conțin glifosat, și anume particularii care doresc să utilizeze ei înșiși asemenea pesticide, fără a recurge la serviciile unor profesioniști titulari ai fitolicenței impuse. O astfel de limitare a posibilității de a utiliza pesticide care conțin glifosat afectează astfel comercializarea acestora (a se vedea prin analogie Hotărârea din 13 octombrie 2016, M. și S., C-303/15, punctul 26 și jurisprudența citată).</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Cu toate acestea, astfel cum arată Comisia în observațiile sale scrise, pentru ca măsura introdusă prin Decizia din 14 iulie 2017 să poată fi calificată drept „reglementare tehnică”, care intră în categoria „altor cerințe” în sensul articolului 1 alineatul (1) litera (d) și litera (f) din Directiva 2015/1535, comercializarea pesticidelor care conțin glifosat trebuie să fie influențată „în mod semnificativ” de această măsură.</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Revine instanței de trimitere sarcina de a verifica dacă aceasta este într-adevăr situația în speță.</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Cu ocazia acestei aprecieri, instanța de trimitere va putea ține seama în special de volumul global al vânzărilor de pesticide care conțin glifosat pe teritoriul Regiunii Flamande și de modificarea obiceiurilor de cumpărare ale fiecărei categorii de cumpărători, pe baza frecvenței achizițiilor lor și a cantității de produs cumpărate, precum și de schimbarea locurilor de cumpărare și a canalelor de distribuție. În acest context, instanța menționată poate lua în considerare măsura în care, pe de o parte, cererea utilizatorilor profesioniști o înlocuiește pe cea a persoanelor care utilizează serviciile utilizatorilor profesioniști și, pe de altă parte, utilizatorii individuali obțin în prezent pesticide fără glifosat în locul celor care conțin această substanță.”</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Hotărârea din 9 martie 2023</w:t>
        </w:r>
      </w:hyperlink>
      <w:r>
        <w:rPr>
          <w:rFonts w:ascii="Times New Roman" w:hAnsi="Times New Roman" w:cs="Times New Roman" w:eastAsia="Times New Roman"/>
          <w:b/>
          <w:i/>
          <w:szCs w:val="20"/>
        </w:rPr>
        <w:t xml:space="preserve">, Vapo Atlantic, C-604/21, punctele 40 și 41.</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Legislația națională care impune operatorilor care eliberează carburanți pentru consum să contribuie la îndeplinirea obiectivelor de încorporare a biocombustibililor în carburanți și a căror încălcare poate duce la sancțiuni financiare poate influența în mod semnificativ comercializarea combustibililor. Prin urmare, aceasta constituie o „altă cerință”.</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În speță, întrebările instanței de trimitere privesc o reglementare națională care impune operatorilor economici ce eliberează pentru consum carburanți pentru transportul rutier, cu excepția GPL-ului și a gazelor naturale, să contribuie la respectarea obiectivelor de încorporare a biocarburanților în cantitățile anuale de carburanți pentru transportul rutier pe care le eliberează pentru consum, și anume un obiectiv de 10 % pentru anul 2020. Chiar dacă o astfel de reglementare nu precizează tipul de carburant pentru transportul rutier vizat, nici nu stabilește un procent de biocarburant care trebuie să fie încorporat fizic în carburanții pentru transportul rutier, nici nu precizează tipul de biocarburant care trebuie încorporat, cerința pe care o prevede, adoptată în scopul protecției mediului, vizează ciclul de viață al carburanților pentru transportul rutier după introducerea lor pe piață și poate influența în mod semnificativ comercializarea produselor menționate, întrucât neîndeplinirea obligației de încorporare a biocarburanților pe care o prevede poate determina impunerea unei compensații financiare.</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Rezultă că o reglementare națională care stabilește un obiectiv de încorporare a biocarburanților în proporție de 10 % în carburanții eliberați pentru consum de un operator economic pentru anul 2020 intră sub incidența noțiunii «alte cerințe» în sensul articolului 1 alineatul (4) din Directiva 98/34 și constituie astfel o «reglementare tehnică» în sensul articolului 1 alineatul (11) din această directivă.”</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Norme privind serviciile</w:t>
      </w:r>
      <w:bookmarkEnd w:id="5"/>
      <w:bookmarkEnd w:id="68"/>
      <w:bookmarkEnd w:id="69"/>
    </w:p>
    <w:p w14:paraId="19E12A03" w14:textId="77777777">
      <w:pPr>
        <w:pStyle w:val="BodyText"/>
      </w:pPr>
    </w:p>
    <w:p w14:paraId="6D8B2150" w14:textId="77777777">
      <w:pPr>
        <w:pStyle w:val="P68B1DB1-BodyText11"/>
        <w:ind w:left="567"/>
        <w:rPr>
          <w:iCs/>
        </w:rPr>
      </w:pPr>
      <w:r>
        <w:t xml:space="preserve">„«normă cu privire la servicii» înseamnă o cerință cu caracter general referitoare la inițierea și desfășurarea activităților de servicii în sensul literei (b), în special dispoziții privind prestatorul de servicii, serviciile și beneficiarul serviciilor, cu excepția normelor care nu vizează în mod specific serviciile definite la punctul respectiv. </w:t>
      </w:r>
    </w:p>
    <w:p w14:paraId="7C9B8AC3" w14:textId="77777777">
      <w:pPr>
        <w:pStyle w:val="P68B1DB1-BodyText11"/>
        <w:ind w:left="567"/>
        <w:rPr>
          <w:iCs/>
        </w:rPr>
      </w:pPr>
    </w:p>
    <w:p w14:paraId="46FCE36C" w14:textId="0D89DACC">
      <w:pPr>
        <w:pStyle w:val="P68B1DB1-BodyText11"/>
        <w:ind w:left="567"/>
        <w:rPr>
          <w:iCs/>
        </w:rPr>
      </w:pPr>
      <w:r>
        <w:t xml:space="preserve">În sensul prezentei definiții: </w:t>
      </w:r>
    </w:p>
    <w:p w14:paraId="0FA17B64" w14:textId="77777777">
      <w:pPr>
        <w:pStyle w:val="P68B1DB1-BodyText11"/>
        <w:ind w:left="567"/>
        <w:rPr>
          <w:iCs/>
        </w:rPr>
      </w:pPr>
    </w:p>
    <w:p w14:paraId="5287D99C" w14:textId="40B4253E">
      <w:pPr>
        <w:pStyle w:val="P68B1DB1-BodyText11"/>
        <w:numPr>
          <w:ilvl w:val="0"/>
          <w:numId w:val="30"/>
        </w:numPr>
        <w:rPr>
          <w:iCs/>
        </w:rPr>
      </w:pPr>
      <w:r>
        <w:t xml:space="preserve">o normă este considerată ca referindu-se în mod specific la serviciile societății informaționale dacă, având în vedere expunerea de motive și partea sa dispozitivă, aceasta are ca scop și obiect specific, în totalitate sau în unele din dispozițiile sale, reglementarea acestor servicii într-o manieră explicită și direcționată; </w:t>
      </w:r>
    </w:p>
    <w:p w14:paraId="112BC54B" w14:textId="13ACB17B">
      <w:pPr>
        <w:pStyle w:val="P68B1DB1-BodyText11"/>
        <w:numPr>
          <w:ilvl w:val="0"/>
          <w:numId w:val="30"/>
        </w:numPr>
        <w:rPr>
          <w:iCs/>
        </w:rPr>
      </w:pPr>
      <w:r>
        <w:t xml:space="preserve">se consideră că o normă nu vizează în mod specific serviciile societății informaționale în cazul în care afectează astfel de servicii numai în mod implicit sau ocazional;”</w:t>
      </w:r>
    </w:p>
    <w:p w14:paraId="573C811F" w14:textId="77777777">
      <w:pPr>
        <w:pStyle w:val="BodyText"/>
        <w:ind w:left="567"/>
        <w:rPr>
          <w:i/>
          <w:iCs/>
        </w:rPr>
      </w:pPr>
    </w:p>
    <w:p w14:paraId="2735376A" w14:textId="709F0465">
      <w:pPr>
        <w:pStyle w:val="BodyText"/>
        <w:ind w:left="1440"/>
        <w:jc w:val="right"/>
      </w:pPr>
      <w:r>
        <w:t xml:space="preserve">[Articolul 1 alineatul (1) litera (e) din Directiva (UE) 2015/1535]</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„«serviciu» înseamnă orice serviciu al societății informaționale, și anume orice serviciu prestat în mod normal în schimbul unei remunerații, la distanță, prin mijloace electronice și la solicitarea individuală a beneficiarului serviciului.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În sensul prezentei definiții: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„la distanță” înseamnă că serviciul este prestat fără ca părțile să fie prezente simultan;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„prin mijloace electronice” înseamnă că serviciul este trimis inițial și primit la destinație prin intermediul unui echipament electronic pentru prelucrarea (inclusiv compresia digitală) și stocarea datelor și este transmis integral, transmis și recepționat prin cablu, radio, mijloace optice sau alte mijloace electromagnetice;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„la cererea individuală a unui destinatar al serviciilor” înseamnă că serviciul este furnizat prin transmiterea de date la cerere individuală.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O listă orientativă a serviciilor care nu intră sub incidența prezentei definiții este prevăzută în anexa I;”</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[Articolul 1 alineatul (1) litera (b) din Directiva (UE) 2015/1535]</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„Lista orientativă a serviciilor care nu intră sub incidența articolului 1 alineatul (1) litera (b) al doilea paragraf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Serviciile care nu sunt prestate „la distanță”</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Serviciile prestate în prezența fizică a prestatorului și a beneficiarului, chiar dacă acest lucru presupune utilizarea de echipamente electronice: </w:t>
      </w:r>
    </w:p>
    <w:p w14:paraId="3362CCDE" w14:textId="74A453DA">
      <w:pPr>
        <w:spacing w:after="0" w:line="240" w:lineRule="auto"/>
        <w:ind w:left="1287"/>
        <w:rPr>
          <w:rFonts w:ascii="Times New Roman" w:hAnsi="Times New Roman" w:cs="Times New Roman"/>
          <w:i/>
          <w:sz w:val="24"/>
          <w:szCs w:val="24"/>
        </w:rPr>
        <w:pStyle w:val="P68B1DB1-Normal12"/>
      </w:pPr>
      <w:r>
        <w:t xml:space="preserve">(a) examene medicale sau tratament medical la o intervenție chirurgicală a unui medic cu ajutorul echipamentelor electronice la care pacientul este prezent fizic;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(b) consultarea unui catalog electronic într-un magazin cu clientul la fața locului; </w:t>
      </w:r>
    </w:p>
    <w:p w14:paraId="7DA6C469" w14:textId="5F31D5B1">
      <w:pPr>
        <w:spacing w:after="0" w:line="240" w:lineRule="auto"/>
        <w:ind w:left="1287"/>
        <w:rPr>
          <w:rFonts w:ascii="Times New Roman" w:hAnsi="Times New Roman" w:cs="Times New Roman"/>
          <w:i/>
          <w:sz w:val="24"/>
          <w:szCs w:val="24"/>
        </w:rPr>
        <w:pStyle w:val="P68B1DB1-Normal12"/>
      </w:pPr>
      <w:r>
        <w:t xml:space="preserve">(c) rezervarea biletului de avion la o agenție de turism în prezența fizică a clientului prin intermediul unei rețele de calculatoare; </w:t>
      </w:r>
    </w:p>
    <w:p w14:paraId="01C9EFAD" w14:textId="77777777">
      <w:pPr>
        <w:spacing w:after="0" w:line="240" w:lineRule="auto"/>
        <w:ind w:left="1287"/>
        <w:rPr>
          <w:rFonts w:ascii="Times New Roman" w:hAnsi="Times New Roman" w:cs="Times New Roman"/>
          <w:i/>
          <w:sz w:val="24"/>
          <w:szCs w:val="24"/>
        </w:rPr>
        <w:pStyle w:val="P68B1DB1-Normal12"/>
      </w:pPr>
      <w:r>
        <w:t xml:space="preserve">(d) jocurile electronice puse la dispoziție într-o galerie video în care clientul este prezent fizic.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Serviciile care nu sunt prestate prin „mijloace electronice”</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servicii cu conținut material, chiar dacă sunt furnizate prin intermediul dispozitivelor electronice: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 distribuitoare automate de numerar sau de legitimații de transport (bancnote, bilete de tren); </w:t>
      </w:r>
    </w:p>
    <w:p w14:paraId="07693B6B" w14:textId="1A59726A">
      <w:pPr>
        <w:spacing w:after="0" w:line="240" w:lineRule="auto"/>
        <w:ind w:left="1287"/>
        <w:rPr>
          <w:rFonts w:ascii="Times New Roman" w:hAnsi="Times New Roman" w:cs="Times New Roman"/>
          <w:i/>
          <w:sz w:val="24"/>
          <w:szCs w:val="24"/>
        </w:rPr>
        <w:pStyle w:val="P68B1DB1-Normal12"/>
      </w:pPr>
      <w:r>
        <w:t xml:space="preserve">(b) accesul la rețelele rutiere, parcările etc., taxarea utilizării, chiar dacă la intrare/ieșire există dispozitive electronice care controlează accesul și/sau asigură plata corectă; </w:t>
      </w:r>
    </w:p>
    <w:p w14:paraId="6B193BE7" w14:textId="77777777">
      <w:pPr>
        <w:spacing w:after="0" w:line="240" w:lineRule="auto"/>
        <w:ind w:left="567"/>
        <w:rPr>
          <w:rFonts w:ascii="Times New Roman" w:hAnsi="Times New Roman" w:cs="Times New Roman"/>
          <w:i/>
          <w:sz w:val="24"/>
          <w:szCs w:val="24"/>
        </w:rPr>
        <w:pStyle w:val="P68B1DB1-Normal12"/>
      </w:pPr>
      <w:r>
        <w:t xml:space="preserve">— servicii offline: distribuția de CD-ROM-uri sau de software pe disketuri; </w:t>
      </w:r>
    </w:p>
    <w:p w14:paraId="421C0A6C" w14:textId="77777777">
      <w:pPr>
        <w:spacing w:after="0" w:line="240" w:lineRule="auto"/>
        <w:ind w:left="567"/>
        <w:rPr>
          <w:rFonts w:ascii="Times New Roman" w:hAnsi="Times New Roman" w:cs="Times New Roman"/>
          <w:i/>
          <w:sz w:val="24"/>
          <w:szCs w:val="24"/>
        </w:rPr>
        <w:pStyle w:val="P68B1DB1-Normal12"/>
      </w:pPr>
      <w:r>
        <w:t xml:space="preserve">— servicii care nu sunt furnizate prin intermediul sistemelor electronice de prelucrare/inventariere: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(a) servicii de telefonie vocală;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servicii de telefax/telex;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servicii furnizate prin telefonie vocală sau fax;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(d) consultarea unui medic prin telefon/fax;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consultarea unui avocat prin telefon/fax;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marketing direct prin telefon/fax.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Serviciile care nu sunt prestate „la solicitarea individuală a beneficiarului serviciului”</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Serviciile prestate prin transmiterea de date fără solicitare individuală în scopul recepționării simultane de către un număr nelimitat de beneficiari individuali (transmisie punct multipunct): </w:t>
      </w:r>
    </w:p>
    <w:p w14:paraId="7348FF90" w14:textId="622E29E3">
      <w:pPr>
        <w:spacing w:after="0" w:line="240" w:lineRule="auto"/>
        <w:ind w:left="1287"/>
        <w:rPr>
          <w:rFonts w:ascii="Times New Roman" w:hAnsi="Times New Roman" w:cs="Times New Roman"/>
          <w:i/>
          <w:sz w:val="24"/>
          <w:szCs w:val="24"/>
        </w:rPr>
        <w:pStyle w:val="P68B1DB1-Normal12"/>
      </w:pPr>
      <w:r>
        <w:t xml:space="preserve">(a) servicii de difuzare a programelor de televiziune (inclusiv servicii aproape de video la cerere), care intră sub incidența articolului 1 alineatul (1) litera (e) din Directiva 2010/13/UE;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(b) servicii de radiodifuziune; </w:t>
      </w:r>
    </w:p>
    <w:p w14:paraId="50FD6B17" w14:textId="6C6940F1">
      <w:pPr>
        <w:spacing w:after="0" w:line="240" w:lineRule="auto"/>
        <w:ind w:left="567" w:firstLine="720"/>
        <w:pStyle w:val="P68B1DB1-Normal12"/>
      </w:pPr>
      <w:r>
        <w:t xml:space="preserve">(c) teletext (televizat).”</w:t>
      </w:r>
    </w:p>
    <w:p w14:paraId="4CB8A09D" w14:textId="49490E91">
      <w:pPr>
        <w:pStyle w:val="BodyText"/>
        <w:ind w:left="1440"/>
        <w:jc w:val="right"/>
      </w:pPr>
      <w:r>
        <w:t xml:space="preserve">(Anexa I la Directiva (UE) 2015/1535)</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Hotărârea din 2 iunie 2005</w:t>
        </w:r>
      </w:hyperlink>
      <w:r>
        <w:rPr>
          <w:rFonts w:ascii="Times New Roman" w:hAnsi="Times New Roman" w:cs="Times New Roman" w:eastAsia="Times New Roman"/>
          <w:b/>
          <w:i/>
          <w:szCs w:val="20"/>
        </w:rPr>
        <w:t xml:space="preserve">, Mediakabel BV, C-89/04, punctele 38 și 39.</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Un serviciu de difuzare a programelor de televiziune pus la dispoziție la cererea abonatului, dar pentru care frecvența și calendarul filmelor sunt stabilite de furnizor, nu constituie un „serviciu al societății informaționale”, întrucât conținutul este selectat și programat de furnizor și, prin urmare, nu este furnizat la cererea individuală a destinatarului.</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Deși un astfel de serviciu îndeplinește primele două criterii pentru a constitui un „serviciu al societății informaționale” în sensul articolului 1 alineatul (2) din Directiva 98/34, și anume este furnizat la distanță și este transmis parțial prin intermediul unui echipament electronic, acesta nu îndeplinește al treilea criteriu al noțiunii, potrivit căruia serviciul în cauză trebuie furnizat „la cererea individuală a beneficiarului serviciului”. Lista filmelor oferite în cadrul unui serviciu precum Filmtime este stabilită de furnizorul de servicii. Această selecție de filme este oferită tuturor abonaților în aceleași condiții, fie prin mijloace scrise, fie prin informații transmise pe ecranul de televiziune, iar aceste filme sunt accesibile la orele de emisie stabilite de furnizor. Cheia individuală care permite accesul la filme este doar un mijloc de a debloca imagini ale căror semnale sunt transmise simultan tuturor abonaților.</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Un astfel de serviciu nu este, așadar, comandat în mod individual de un beneficiar izolat, care are libertatea de a alege programele într-un cadru interactiv. Acesta trebuie considerat a fi un serviciu aproape de video la cerere, furnizat pe o bază «punct la multipunct», și nu «la cererea individuală a unui destinatar al serviciilor».”</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Hotărârea din 2 februarie 2016</w:t>
        </w:r>
      </w:hyperlink>
      <w:r>
        <w:t xml:space="preserve">, Ince, C-336/14, punctele 75 și 76.</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Dispozițiile naționale care restricționează oferta de jocuri de noroc online sau care interzic publicitatea online pentru astfel de jocuri pot fi considerate „norme privind serviciile”, deoarece se referă la un „serviciu al societății informaționale”. În schimb, dispozițiile care impun autorizarea prealabilă a operatorilor care organizează jocuri de noroc sau care interzic acordarea unei astfel de autorizații operatorilor privați se referă la condițiile de stabilire a întreprinderilor și, prin urmare, nu constituie „norme cu privire la servicii”.</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anumite dispoziții ale tratatului referitoare la jocurile de noroc pot fi calificate drept „norme cu privire la servicii”, în măsura în care privesc un „serviciu al societății informaționale” în sensul articolului 1 punctul 2 din Directiva 98/34. Aceste dispoziții includ interdicția de a propune jocuri de noroc pe internet prevăzută la articolul 4 alineatul (4) din tratatul privind jocurile de noroc, excepțiile de la această interdicție, enumerate la articolul 25 alineatul (6) din acest tratat, limitările aduse posibilității de a propune pariuri sportive prin mijloace de telecomunicații în temeiul articolului 21 alineatul (2) din tratatul menționat, precum și interdicția de a difuza publicitate privind jocurile de noroc pe internet sau prin mijloace de telecomunicații, în temeiul articolului 5 alineatul (3) din același tratat.</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În ceea ce privește, în schimb, celelalte dispoziții ale tratatului privind jocurile de noroc, cu excepția celor referitoare la un „serviciu al societății informaționale” în sensul articolului 1 alineatul (2) din Directiva 98/34, cum ar fi dispozițiile care stabilesc obligația de a obține o autorizație pentru organizarea sau pentru colectarea de pariuri sportive, precum și imposibilitatea de a elibera o astfel de autorizație operatorilor privați, acestea nu constituie „reglementări tehnice” în sensul articolului 1 alineatul (11) din această directivă. Dispozițiile naționale care se limitează să stabilească condițiile de stabilire sau de prestare de servicii de către întreprinderi, precum dispozițiile care condiționează exercitarea unei activități de obținerea unei autorizații prealabile, nu constituie reglementări tehnice în sensul acestei dispoziții (a se vedea în acest sens Hotărârea Lindberg, C-267/03, punctul 87).”</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Hotărârea Curții din 13 octombrie 2016</w:t>
        </w:r>
      </w:hyperlink>
      <w:r>
        <w:t xml:space="preserve">, Naczelnik Urzędu Celnego I w.,</w:t>
        <w:noBreakHyphen/>
        <w:t xml:space="preserve">C 303/15, punctul 24</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O dispoziție care condiționează exercitarea activităților de jocuri de noroc de deținerea unei licențe de exploatare a cazinourilor nu constituie o „normă cu privire la servicii”, întrucât nu privește un „serviciu al societății informaționale”.</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această dispoziție nu poate fi încadrată în categoria «normelor privind serviciile [societății informaționale]», în sensul articolului 1 alineatul (5) din Directiva 98/34, întrucât nu privește un «serviciu al societății informaționale», în sensul articolului 1 alineatul (2) din această directivă.”</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Hotărârea din 20 decembrie 2017</w:t>
      </w:r>
      <w:r>
        <w:rPr>
          <w:color w:val="0000FF"/>
          <w:u w:val="single"/>
        </w:rPr>
        <w:fldChar w:fldCharType="end"/>
        <w:t xml:space="preserve">, Falbert și alții</w:t>
        <w:noBreakHyphen/>
        <w:t xml:space="preserve">, C 255/16, punctele 27-29, 32 și 33</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Dispozițiile naționale privind serviciile de jocuri de noroc sau de publicitate pot constitui „norme cu privire la servicii” în cazul în care se referă în mod direct la serviciile furnizate la distanță, prin mijloace electronice și la cererea individuală a beneficiarului. Chiar dacă modul de redactare a unor astfel de dispoziții nu face distincție între serviciile online și cele offline, obiectivul lor în ceea ce privește „serviciile societății informaționale” poate fi dedus din considerentele sau din </w:t>
      </w:r>
      <w:r>
        <w:rPr>
          <w:i/>
        </w:rPr>
        <w:t xml:space="preserve">lucrările pregătitoare ale acestora</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Trebuie amintit că, în temeiul articolului 1 alineatul (2) din această directivă, noțiunea de „reglementare tehnică” acoperă numai reglementările privind serviciile societății informaționale, și anume orice serviciu furnizat la distanță prin mijloace electronice și la cererea individuală a beneficiarului serviciului (a se vedea Hotărârea din 13 octombrie 2016, M. și S., C-303/15, punctul 21, precum și Hotărârea din 1 februarie 2017, Município de Palmela, C-144/16, punctul 28).</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În această privință, trebuie arătat că, în principiu, articolul 10 alineatul (3) punctul (3) din Legea privind jocurile de noroc privește două tipuri de servicii, și anume, pe de o parte, serviciile de publicitate, care sunt imediat sancționate în temeiul acestei dispoziții, și, pe de altă parte, serviciile de jocuri care intră sub incidența interdicției publicității și care fac obiectul principal al Legii privind jocurile de noroc, interpretată în ansamblul său.</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Atât serviciile de publicitate, cât și serviciile de jocuri de noroc, în măsura în care sunt furnizate, printre altele, prin mijloace electronice (online), constituie «servicii ale societății informaționale» în sensul articolului 1 alineatul (2) din Directiva 98/34 și normele aferente acestora, care pot fi considerate, prin urmare, «norme cu privire la servicii» în sensul articolului 1 alineatul (5) din Directiva 98/34.”</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În această privință, trebuie arătat, pe de o parte, că, în temeiul articolului 1 alineatul (5) prima liniuță din Directiva 98/34, problema dacă o normă se referă în mod specific la serviciile societății informaționale trebuie apreciată atât în funcție de motivele invocate, cât și de modul de redactare a normei. În plus, în temeiul aceleiași dispoziții, nu este necesar ca norma în cauză să aibă în totalitate „ca scop și obiect specific” reglementarea unor servicii ale societății informaționale, din moment ce este suficient ca respectiva normă să urmărească acest scop sau acest obiect în anumite dispoziții ale sale.</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În consecință, dacă nu reiese numai din modul de redactare a unei norme naționale că aceasta urmărește, cel puțin în parte, să reglementeze în mod specific serviciile societății informaționale – precum în speță, în care modul de redactare nu face nicio distincție între serviciile furnizate offline și serviciile furnizate online –, acest obiect poate fi totuși destul de ușor de identificat din motivarea normei – din nou, precum în speță, în temeiul normelor naționale de interpretare relevante, care permit, printre altele, lucrările pregătitoare ale normei să ofere îndrumări.”</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Hotărârea din 20 decembrie 2017</w:t>
        </w:r>
      </w:hyperlink>
      <w:r>
        <w:t xml:space="preserve">, Asociación Profesional Elite Taxi, C</w:t>
        <w:noBreakHyphen/>
        <w:t xml:space="preserve">434/15, punctele 37 și 39-41.</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Un serviciu de intermediere care conectează, prin intermediul unei aplicații pentru telefoane inteligente și în schimbul unei remunerații, conducătorii auto neprofesioniști care utilizează propriile vehicule cu persoane care doresc să efectueze transporturi urbane trebuie considerat ca fiind legat în mod intrinsec de un serviciu de transport și, prin urmare, calificat drept „serviciu în domeniul transporturilor” (iar nu drept „serviciu al societății informaționale”).</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Cu toate acestea, trebuie să se observe că un serviciu precum cel din acțiunea principală este mai mult decât un serviciu de intermediere care constă în conectarea, prin intermediul unei aplicații pentru telefoane inteligente, a unui conducător auto neprofesionist care utilizează propriul vehicul cu o persoană care dorește să efectueze o deplasare urbană.”</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În această privință, din informațiile de care dispune Curtea reiese că serviciul de intermediere al Uber se bazează pe selectarea unor conducători auto neprofesioniști care utilizează propriul autovehicul cărora această societate le furnizează o aplicație în lipsa căreia, pe de o parte, acești conducători auto nu ar fi în situația de a furniza servicii de transport și, pe de altă parte, persoanele care doresc să efectueze o deplasare urbană nu ar recurge la serviciile respectivilor conducători auto. În plus, Uber exercită o influență decisivă asupra condițiilor prestației furnizate de astfel de conducători auto. Cu privire la acest ultim aspect, reiese între altele că Uber stabilește, prin aplicația eponimă, cel puțin prețul maxim pe cursă, că această societate percepe acest preț de la client înainte de a achita o parte conducătorului auto neprofesionist al autovehiculului și că exercită un anumit control asupra calității autovehiculelor și a conducătorilor auto ai acestora, precum și asupra comportamentului celor din urmă, care poate conduce, dacă este cazul, la excluderea lor.</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Acest serviciu de intermediere trebuie, așadar, să fie considerat ca făcând parte integrantă dintr-un serviciu global a cărui componentă principală este un serviciu de transport și, prin urmare, trebuie calificat nu drept „serviciu al societății informaționale”, în sensul articolului 1 alineatul (2) din Directiva 98/34, la care face trimitere articolul 2 litera a) din Directiva 2000/31, ci drept „serviciu în domeniul transporturilor”, în sensul articolului 2 alineatul (2) litera (d) din Directiva 2006/123.</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Această calificare este, desigur, confirmată de jurisprudența Curții, potrivit căreia noțiunea de «servicii în domeniul transporturilor» include nu numai serviciile de transport în sine, ci și orice serviciu legat intrinsec de orice act fizic de deplasare a persoanelor sau a mărfurilor dintr-un loc în altul prin mijloace de transport [a se vedea în acest sens Hotărârea din 15 octombrie 2015, Grupo Itevelesa și alții, C-168/14, punctele 45 și 46, precum și Avizul 2/15 (Acordul de liber schimb cu Singapore) din 16 mai 2017, punctul 61].”</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Hotărârea din 10 aprilie 2018</w:t>
        </w:r>
      </w:hyperlink>
      <w:r>
        <w:t xml:space="preserve">, Uber France,</w:t>
        <w:noBreakHyphen/>
        <w:t xml:space="preserve">C 320/16, punctele 21 și 22.</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O dispoziție de drept național care impune sancțiuni penale pentru organizarea unui sistem de conectare a clienților cu conducătorii auto, fără autorizația necesară, se referă la un „serviciu în domeniul transporturilor” (și nu la un „serviciu al societății informaționale”), în măsura în care serviciul de intermediere căruia i se aplică face parte integrantă dintr-un serviciu global a cărui componentă principală este serviciul de transport.</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 Curtea a constatat că serviciul de intermediere furnizat de societatea în cauză era legat în mod intrinsec de oferta acestei societăți de servicii de transport urban care nu sunt publice, ținând seama, în primul rând, de faptul că această societate a furnizat o aplicație în lipsa căreia acești conducători auto nu ar fi fost determinați să furnizeze servicii de transport, iar persoanele care doreau să efectueze o călătorie urbană nu ar fi utilizat serviciile furnizate de acești conducători auto și, în al doilea rând, această societate a exercitat o influență decisivă asupra condițiilor de prestare a serviciilor de către acești conducători auto, în special prin stabilirea tarifului maxim, prin perceperea acestui tarif de la client înainte de a plăti o parte din acesta conducătorului auto neprofesionist al vehiculului și prin exercitarea unui anumit control asupra calității vehiculelor, a conducătorilor auto și a comportamentului acestora, ceea ce ar putea conduce, eventual, la excluderea lor (a se vedea în acest sens Hotărârea din 20 decembrie 2017, Asociación Profesional Elite Taxi, C-434/15, punctele 38 și 39).</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Curtea a constatat, pe baza acestor elemente, că serviciul de intermediere în discuție în această cauză trebuia considerat ca făcând parte integrantă dintr-un serviciu global a cărui componentă principală era un serviciu de transport și, prin urmare, trebuia calificat nu drept «serviciu al societății informaționale» în sensul articolului 1 alineatul (2) din Directiva 98/34, ci drept «serviciu în domeniul transporturilor» în sensul articolului 2 alineatul (2) litera (d) din Directiva 2006/123 (a se vedea în acest sens Hotărârea din 20 decembrie 2017, Asociación Profesional Elite Taxi, C-434/15, punctul 40).”</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Hotărârea din 26 septembrie 2018</w:t>
        </w:r>
      </w:hyperlink>
      <w:r>
        <w:t xml:space="preserve">, Van Gennip și alții, C-137/17, punctele 42 și 43.</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Dispozițiile naționale care condiționează comercializarea produselor de deținerea de către cumpărător a unei autorizații nu intră în sfera noțiunii de „normă cu privire la servicii”, întrucât nu privesc „serviciile societății informaționale”.</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În ceea ce privește, în al treilea rând, categoria „normă cu privire la servicii”, trebuie amintit că, în temeiul articolului 1 punctul 5 din Directiva 98/34, o astfel de normă constituie orice cerință cu caracter general referitoare la inițierea și la exercitarea serviciilor prevăzute la articolul 1 punctul 2 din această directivă, care desemnează „orice serviciu al societății informaționale, și anume orice serviciu prestat în mod normal în schimbul unei remunerații, la distanță, prin mijloace electronice și la cererea individuală a beneficiarului serviciilor” (Hotărârea din 4 februarie 2016, Ince, C-336/14, punctul 74).</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În speță, trebuie să se constate, astfel cum a arătat avocatul general la punctul 73 din concluzii, că reglementarea în discuție în litigiul principal nu se referă la serviciile societății informaționale în sensul articolului 1 punctul 2 din Directiva 98/34. Prin urmare, această reglementare nu poate intra în categoria «Normei cu privire la servicii» a societății informaționale, în sensul articolului 1 punctul 5 din această directivă.”</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Hotărârea din 12 septembrie 2019</w:t>
        </w:r>
      </w:hyperlink>
      <w:r>
        <w:t xml:space="preserve">, VG Media, C-299/17, punctele 32, 33 și 36</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O dispoziție națională care interzice operatorilor comerciali de motoare de căutare și furnizorilor de servicii de conținut comercial să pună la dispoziția publicului ziare constituie o „reglementare tehnică” și trebuie notificată Comisiei.</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Se consideră că o normă vizează în mod specific „serviciile societății informaționale” dacă anumite dispoziții urmăresc acest obiectiv, chiar dacă nu este scopul exclusiv al normei. Acest obiectiv poate fi dedus din motivarea normei, care poate figura în lucrările pregătitoare, chiar dacă nu rezultă în mod explicit din însuși modul de redactare a normei.</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În această privință, trebuie arătat că, potrivit articolului 1 alineatul (5) al cincilea paragraf prima liniuță din această directivă, o normă este considerată ca fiind destinată în mod special serviciilor societății informaționale atât în raport cu motivarea sa, cât și în raport cu textul dispozitivului său. În plus, în temeiul aceleiași dispoziții, nu este necesar ca „scopul și obiectul specific” al întregii norme în cauză să fie reglementarea serviciilor societății informaționale, întrucât este suficient ca această normă să urmărească acest scop sau acest obiect prin unele dintre dispozițiile sale (Hotărârea din 20 decembrie 2017, Falbert și alții, C-255/16, punctul 32).</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În plus, chiar dacă nu reiese numai din modul de redactare a unei norme naționale că aceasta urmărește, cel puțin în parte, să reglementeze în mod concret serviciile societății informaționale, acest obiect poate totuși să reiasă cu ușurință din motivarea normei, astfel cum reiese din aceasta, în conformitate cu normele naționale de interpretare relevante în această privință, în special din lucrările pregătitoare ale normei (a se vedea în acest sens Hotărârea din 20 decembrie 2017, Falbert și alții, C-255/16, punctul 33).”</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Astfel, deși instanța de trimitere nu oferă indicații clare privind scopul și obiectul specifice ale reglementării naționale în discuție în litigiul principal, reiese totuși din observațiile prezentate de guvernul german în cadrul ședinței în fața Curții că, inițial, modificarea UrhG viza în mod specific furnizorii de motoare de căutare pe internet. De asemenea, părțile din acțiunea principală și Comisia arată în observațiile lor scrise că obiectivul acestei reglementări era de a proteja interesele legitime ale editorilor de presă în lumea digitală. Prin urmare, se pare că obiectul principal și scopul dispoziției naționale în discuție în litigiul principal erau de a proteja acești editori împotriva încălcării dreptului de autor prin intermediul motoarelor de căutare online. În acest context, protecția pare să fi fost considerată necesară numai pentru încălcările sistematice ale operelor editorilor online de către furnizorii de servicii ale societății informaționale.”</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Hotărârea din 19 decembrie 2019</w:t>
        </w:r>
      </w:hyperlink>
      <w:r>
        <w:t xml:space="preserve">, Airbnb Ireland</w:t>
        <w:noBreakHyphen/>
        <w:t xml:space="preserve">, C 390/18, punctele 64-68 și 99</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Un serviciu de intermediere care conectează clienții cu gazdele care oferă cazare pe termen scurt prin intermediul unei platforme electronice, deși furnizează servicii auxiliare, constituie un „serviciu al societății informaționale”, întrucât serviciile auxiliare nu conferă o influență semnificativă asupra prestării serviciilor de cazare.</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Pentru ca un serviciu să poată fi calificat drept „serviciu al societății informaționale”, acesta trebuie să îndeplinească cumulativ patru condiții: acestea trebuie furnizate în schimbul unei remunerații, la distanță, prin mijloace electronice și la cererea individuală a beneficiarului.</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Chiar luate în considerare împreună, serviciile, opționale sau nu, prestate de Airbnb Ireland și menționate la punctele 59-63 din prezenta hotărâre nu permit să se repună în discuție caracterul disociabil al serviciului de intermediere furnizat de această societate și, prin urmare, calificarea sa drept „serviciu al societății informaționale”, în absența modificării substanțiale a caracteristicilor proprii ale acestui serviciu. În această privință, ar fi de altfel paradoxal ca asemenea prestații accesorii cu valoare adăugată furnizate de o platformă electronică clienților săi, în special pentru a se diferenția de concurenții săi, să poată, în absența unor elemente suplimentare, să conducă la modificarea naturii și, prin urmare, a calificării juridice a activității acesteia, astfel cum a arătat domnul avocat general la punctul 46 din concluziile sale.</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În plus și contrar celor susținute de AHTOP și de guvernul francez, normele de funcționare a unui serviciu de intermediere precum cel furnizat de Airbnb nu pot fi asimilate celor ale serviciului de intermediere în care s-a pronunțat Hotărârea din 20 decembrie 2017, Asociación Profesional Elite Taxi (C-434/15, punctul 39), și Hotărârea din 10 aprilie 2018, Uber France (C-320/16, punctul 21).</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Pe lângă faptul că hotărârile menționate se înscriau în contextul specific al transportului urban de persoane căruia i se aplică articolul 58 alineatul (1) TFUE și că serviciile prestate de Airbnb Ireland nu sunt comparabile cu cele în discuție în cauzele în care s-au pronunțat hotărârile menționate la punctul anterior, prestațiile accesorii menționate la punctele 59-63 din prezenta hotărâre nu permit evidențierea nivelului de control constatat de Curte în hotărârile menționate. Astfel, Curtea a arătat în acestea că Uber exercita o influență decisivă asupra condițiilor prestației de transport a conducătorilor</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Astfel, Curtea a precizat în aceste hotărâri că Uber exercita o influență decisivă asupra condițiilor de prestare a serviciilor de transport de către conducătorii auto neprofesioniști prin intermediul cererii puse la dispoziția lor de această societate (Hotărârea din 20 decembrie 2017, Asociación Profesional Elite Taxi, C-434/15, punctul 39, și Hotărârea din 10 aprilie 2018, Uber France, C-320/16, punctul 21).</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Elementele menționate de instanța de trimitere și amintite la punctul 19 din prezenta hotărâre nu permit să se stabilească faptul că Airbnb Ireland exercită o astfel de influență decisivă asupra condițiilor de prestare a serviciilor de cazare la care se referă serviciul său de intermediere, cu atât mai mult cu cât Airbnb Ireland nu stabilește, direct sau indirect, prețul de închiriere facturat, astfel cum s-a constatat la punctele 56 și 62 din prezenta hotărâre, cu atât mai puțin cu cât alege gazdele sau cazarea închiriată pe platforma sa.”</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Având în vedere că Republica Franceză nu a notificat Legea Hoguet și având în vedere caracterul cumulativ al condițiilor prevăzute la articolul 3 alineatul (4) din Directiva 2000/31, amintite la punctele 84 și 85 din prezenta hotărâre, trebuie să se considere că această lege nu poate, în niciun caz, să fie aplicată unui particular care se află într-o situație precum cea a Airbnb Ireland în acțiunea principală, independent de aspectul dacă această lege îndeplinește celelalte condiții prevăzute de această dispoziție.”</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Hotărârea din 22 octombrie 2020</w:t>
        </w:r>
      </w:hyperlink>
      <w:r>
        <w:t xml:space="preserve">, Sportingbet și Internet Opportunity</w:t>
        <w:noBreakHyphen/>
        <w:t xml:space="preserve">Entertainment, C 275/19, punctele 47-49</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O reglementare care conferă unei entități publice dreptul exclusiv de a exploata anumite jocuri de noroc, inclusiv pe internet, se încadrează în definiția „normelor cu privire la servicii”, în măsura în care acestea privesc un serviciu al societății informaționale.</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Potrivit articolului 1 alineatul (5) din directiva menționată, „normele cu privire la servicii” constau în orice cerință cu caracter general referitoare la inițierea și exercitarea activităților de servicii menționate la articolul 1 alineatul (2) din directiva menționată, care includ „orice serviciu al societății informaționale, și anume orice serviciu furnizat în mod normal în schimbul unei remunerații, la distanță, prin mijloace electronice și la cererea individuală a beneficiarului serviciului”.</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În această privință, Curtea a statuat deja că dispozițiile referitoare la interdicția de a oferi jocuri de noroc pe internet, la excepțiile de la această interdicție, la restricțiile impuse ofertei de pariuri sportive pe internet și la interdicția de a difuza anunțuri publicitare pentru jocurile de noroc pe internet pot fi calificate drept „norme cu privire la servicii”, în sensul articolului 1 alineatul (5) din Directiva 98/34, în măsura în care privesc un „serviciu al societății informaționale” în sensul articolului 1 alineatul (2) din această directivă (a se vedea prin analogie Hotărârea din 4 februarie 2016, Ince, C-336/14, punctul 75).</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OR, în speță, normele prevăzute la articolele 2 și 3 din Decretul-lege nr. 282/2003 vizează în mod specific servicii ale societății informaționale. În plus, ca urmare a atribuirii către Santa Casa a dreptului exclusiv de exploatare a jocurilor de noroc pe internet, aceste dispoziții interzic tuturor operatorilor economici să furnizeze aceste servicii, cu excepția Santa Casa.”</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Hotărârea din 3 decembrie 2020</w:t>
        </w:r>
      </w:hyperlink>
      <w:r>
        <w:t xml:space="preserve">, Star Taxi</w:t>
        <w:noBreakHyphen/>
        <w:t xml:space="preserve">App, C 62/19, punctele 52-54 și 64-66</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Un serviciu de intermediere care se limitează să conecteze clienții cu șoferii de taxi deja autorizați – fără a organiza el însuși serviciul de transport, fără a selecta conducătorii auto, fără a stabili tarife sau fără a exercita controlul asupra vehiculelor sau a conducătorilor auto – intră în categoria „serviciilor societății informaționale”.</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În plus, o reglementare care nu vizează în mod specific astfel de servicii, ci se aplică în mod nediferențiat tuturor formelor de dispecerizare, inclusiv prin telefon sau prin intermediul unei aplicații, nu poate fi calificată drept „normă cu privire la servicii”.</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Astfel, pe de o parte, din decizia de trimitere reiese că, spre deosebire de serviciul de intermediere în discuție în cauza în care s-a pronunțat Hotărârea din 20 decembrie 2017, Asociación Profesional Elite Taxi (C-434/15,), care oferea și făcea accesibile servicii de transport urban operate de conducători auto neprofesioniști absenți anterior de pe piață, serviciul în discuție în litigiul principal se limitează, astfel cum a arătat domnul avocat general la punctul 49 din concluzii, să pună în legătură persoanele care doresc să efectueze călătorii urbane numai cu șoferii de taxi autorizați care desfășoară deja această activitate și pentru care serviciul de intermediere nu este decât una dintre mai multe modalități de dobândire a clientelei, iar nu una, de altfel, pe care aceștia sunt obligați să o utilizeze.</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În al doilea rând, nu se poate considera că un asemenea serviciu de intermediere organizează funcționarea generală a serviciului subsecvent de deplasare urbană din moment ce prestatorul nu selecționează șoferii de taxi și nici nu stabilește și nu percepe prețul cursei și, în plus, nici nu exercită un control asupra calității autovehiculelor și a șoferilor lor sau asupra comportamentului acestora.</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Rezultă că un serviciu de intermediere precum cel furnizat de Star Taxi App nu poate fi considerat ca făcând parte integrantă dintr-un serviciu global a cărui componentă principală este un serviciu de transport și, prin urmare, trebuie calificat drept «serviciu al societății informaționale» în sensul articolului 2 litera a) din Directiva 2000/31.”</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În speță, din decizia de trimitere reiese că reglementarea română în discuție în litigiul principal, indiferent dacă este vorba despre Legea nr. 38/2003 sau despre Decizia nr. 178/2008, nu face nicio referire la serviciile societății informaționale. În plus, articolul 3, articolul 21 alineatul (1) și alineatul (31), precum și articolul 41 alineatul (21) din anexa I la Decizia nr. 178/2008 se referă în mod nediferențiat la toate tipurile de servicii de dispecerizare, indiferent dacă sunt furnizate prin telefon sau prin orice alte mijloace, cum ar fi o aplicație software.</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Pe de altă parte, astfel cum a arătat avocatul general la punctul 108 din concluzii, Legea nr. 38/2003 impune furnizorilor de servicii de dispecerizare care operează prin intermediul unei aplicații pentru telefoane inteligente, la fel ca toți ceilalți furnizori de servicii de dispecerat, să dețină echipamente, în speță aparate radio bidirecționale, care, având în vedere tehnologia utilizată pentru furnizarea serviciului, nu au nicio utilitate.</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Astfel, în lipsa vizării în mod specific a serviciilor societății informaționale, o reglementare precum cea în discuție în litigiul principal nu privește aceste servicii decât într-o manieră implicită sau incidentă. Prin urmare, o asemenea normă nu poate fi considerată o «normă cu privire la servicii» în sensul articolului 1 alineatul (1) litera (e) din Directiva 2015/1535 sau, în consecință, o «reglementare tehnică» în sensul articolului 1 alineatul (1) litera (f) din această directivă.”</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Hotărârea din 29 februarie 2024</w:t>
        </w:r>
      </w:hyperlink>
      <w:r>
        <w:rPr>
          <w:rFonts w:ascii="Times New Roman" w:hAnsi="Times New Roman" w:cs="Times New Roman" w:eastAsia="Times New Roman"/>
          <w:b/>
          <w:i/>
          <w:szCs w:val="20"/>
        </w:rPr>
        <w:t xml:space="preserve">, Doctipharma SAS, C-606/21, punctele 26-30 și 34-36</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Remunerația pentru un serviciu prestat de un prestator de servicii în cadrul unei activități economice nu trebuie neapărat să fie plătită de persoanele beneficiare. Acest lucru este valabil în cazul unui serviciu furnizat pe un site internet, care constă în punerea în legătură a farmaciștilor și a clienților pentru vânzarea de medicamente, în cazul în care serviciul este remunerat de farmaciștii care s-au abonat la platforma sa pe baza unei taxe fixe.</w:t>
      </w:r>
    </w:p>
    <w:p w14:paraId="60E238C1" w14:textId="77777777">
      <w:pPr>
        <w:pStyle w:val="P68B1DB1-BodyText22"/>
      </w:pPr>
    </w:p>
    <w:p w14:paraId="16BCA1E5" w14:textId="5221BD03">
      <w:pPr>
        <w:pStyle w:val="P68B1DB1-BodyText22"/>
      </w:pPr>
      <w:r>
        <w:t xml:space="preserve">Un astfel de serviciu nu face parte dintr-un serviciu global al cărui element principal este supus unei alte calificări juridice decât „serviciu al societății informaționale”.</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 Articolul 1 alineatul (2) din Directiva 98/34 și articolul 1 alineatul (1) litera (b) din Directiva 2015/1535 definesc noțiunea de „serviciu al societății informaționale” ca însemnând „orice serviciu prestat în mod normal în schimbul unei remunerații, la distanță, prin mijloace electronice și la cererea individuală a beneficiarului serviciului”.</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În speță, în ceea ce privește prima condiție prevăzută de aceste dispoziții, trebuie amintit că, potrivit unei jurisprudențe constante, remunerația pentru un serviciu prestat de un prestator în cadrul unei activități economice nu trebuie în mod necesar să fie plătită de beneficiarii săi (a se vedea în acest sens Hotărârea din 15 septembrie 2016, Mc Fadden, C-484/14, punctul 41, și Hotărârea din 4 mai 2017, Vanderborght, C-339/15, punctul 36).</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Astfel, pentru a califica un serviciu precum cel în discuție în litigiul principal ca intrând în sfera noțiunii de „serviciu al societății informaționale”, în sensul articolului 1 alineatul (2) din Directiva 98/34 și al articolului 1 alineatul (1) litera (b) din Directiva 2015/1535, este irelevant dacă acest serviciu este furnizat gratuit persoanei care achiziționează medicamentul care nu se eliberează pe bază de prescripție medicală, în cazul în care conduce la încheierea între furnizorul acestui serviciu și fiecare farmacist care utilizează acest serviciu a unui contract de prestări de servicii care implică o plată.</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De asemenea, ar fi indiferente în această privință faptul că, așa cum a arătat Doctipharma, ea era, în temeiul condițiilor generale de vânzare, remunerată de farmaciștii care subscriu la platforma sa, pe baza unui comision fix sau chiar, așa cum a arătat guvernul francez, faptul că serviciul furnizat de Doctipharma făcea obiectul unui abonament lunar plătit acesteia de către farmaciștii clienți și al unei retrocedări a unui procent din cuantumul vânzărilor, prelevat de platformă.</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Rezultă că, sub rezerva verificărilor care trebuie efectuate de instanța de trimitere, serviciul în discuție în litigiul principal trebuie, în orice caz, să fie considerat ca fiind prestat în schimbul unei remunerații.”</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Această concluzie nu este repusă în discuție de jurisprudența stabilită de Curte în Hotărârea din 20 decembrie 2017, Asociación Profesional Elite Taxi (C-434/15,), în Hotărârea din 19 decembrie 2019, Airbnb Ireland (C-390/18), și în Hotărârea din 3 decembrie 2020, Star Taxi App (C-62/19).</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Din această jurisprudență rezultă că un serviciu care are ca obiect conectarea clienților cu furnizori ai unui alt serviciu de natură diferită și care îndeplinește toate condițiile prevăzute la articolul 1 alineatul (2) din Directiva 98/34 și la articolul 1 alineatul (1) litera (b) din Directiva 2015/1535 trebuie calificat drept „serviciu al societății informaționale” atunci când un astfel de serviciu este distinct de serviciul de natură diferită furnizat de acești furnizori. Cu toate acestea, situația trebuie să fie diferită dacă rezultă că acest serviciu care leagă vânzătorii de clienți face parte integrantă dintr-un serviciu global al cărui element principal este supus unei alte calificări juridice decât cea de „serviciu al societății informaționale” (Hotărârea din 3 decembrie 2020, Star Taxi App, C-62/19, punctul 49 și jurisprudența citată).</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Astfel cum a arătat avocatul general la punctele 28 și 29 din concluzii, un serviciu de punere în legătură a farmaciștilor și a clienților în scopul vânzării de medicamente care nu se eliberează pe bază de prescripție medicală de pe site-urile internet ale farmaciilor care au subscris la acest serviciu nu poate face parte integrantă dintr-un serviciu global al cărui element principal nu poate fi calificat drept «serviciu al societății informaționale».”</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Hotărârea din 13 martie 2025</w:t>
        </w:r>
      </w:hyperlink>
      <w:r>
        <w:rPr>
          <w:rFonts w:ascii="Times New Roman" w:hAnsi="Times New Roman" w:cs="Times New Roman" w:eastAsia="Times New Roman"/>
          <w:b/>
          <w:i/>
          <w:szCs w:val="20"/>
        </w:rPr>
        <w:t xml:space="preserve">, Uniames UAB</w:t>
        <w:noBreakHyphen/>
        <w:t xml:space="preserve">, C 120/24, punctele 38-42.</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Interdicția de a face publicitate jocurilor de noroc pe site-urile de jocuri de noroc nu privește un serviciu de publicitate independent de serviciul de jocuri de noroc, ci un serviciu inseparabil de serviciul de jocuri de noroc online. În consecință, pentru a stabili dacă aceasta constituie o „normă cu privire la servicii”, este necesar să se examineze mai întâi calificarea serviciilor de jocuri online drept „servicii ale societății informaționale”.</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Considerațiile expuse la punctele 36 și 37 din prezenta hotărâre</w:t>
      </w:r>
      <w:r>
        <w:rPr>
          <w:i w:val="0"/>
        </w:rPr>
        <w:t xml:space="preserve"> [potrivit cărora serviciile de jocuri de noroc online trebuie considerate «servicii ale societății informaționale»] </w:t>
      </w:r>
      <w:r>
        <w:t xml:space="preserve">nu sunt repuse în discuție de faptul că informațiile privind jocurile de noroc publicate de operatorul de jocuri de noroc pe site-ul său internet nu sunt în mod necesar furnizate „la cererea individuală a beneficiarului serviciilor”. Această publicare de informații nu poate, în împrejurări precum cele în discuție în litigiul principal, să fie considerată un serviciu de publicitate sau un alt serviciu furnizat destinatarilor serviciilor de jocuri de noroc la distanță, ci constituie o activitate accesorie și indisociabilă de serviciile de jocuri de noroc la distanță în cauză din care își are întreaga semnificație economică [a se vedea prin analogie Hotărârea din 1 octombrie 2020, A (Publicitate și vânzare de medicamente online), C-649/18, punctul 56]. Prin urmare, numai serviciile de jocuri de noroc însele trebuie să îndeplinească condițiile relevante pentru a intra sub incidența noțiunii de „serviciu”, în sensul articolului 1 alineatul (1) litera (b) din Directiva 2015/1535, iar interdicția în discuție în litigiul principal, referitoare la o astfel de publicare de informații, trebuie, la rândul său, să îndeplinească criteriile specifice prevăzute la articolul 1 alineatul (1) litera (e) din această directivă pentru a fi considerată o „normă” a acestor servicii, în sensul acestei din urmă dispoziții.</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În această din urmă privință, deși este cert că interdicția în discuție în litigiul principal constituie o „cerință cu caracter general”, în sensul articolului 1 alineatul (1) litera (e) din Directiva 2015/1535, mai trebuie să se examineze, pe de o parte, dacă aceasta poate fi considerată ca fiind „referitoare la inițierea și la exercitarea activităților de servicii”, această dispoziție precizând că aceasta este situația în special în ceea ce privește dispozițiile referitoare la prestatorul de servicii, la servicii și la beneficiarul serviciilor.</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În această privință, trebuie să se constate că articolul 10 alineatul (19) din Legea privind jocurile de noroc poate intra sub incidența noțiunii de „normă cu privire la servicii”, în măsura în care prevede o interdicție de a încuraja, printre altele, participarea la jocurile de noroc la distanță și în special de a publica informații referitoare la joc pe site-ul internet al unui operator de jocuri de noroc sau de a efectua acte de încurajare a participării la jocuri de noroc (a se vedea în acest sens Hotărârea din 22 octombrie 2020, Sportingbet și Internet Opportunity Entertainment, C-275/19, punctul 48 și jurisprudența citată).</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Pe de altă parte, astfel cum reiese din însuși modul de redactare a articolului 1 alineatul (1) litera (e) din Directiva 2015/1535, pentru a fi calificată drept „normă cu privire la servicii”, interdicția în discuție în litigiul principal trebuie să vizeze „în mod specific” serviciile societății informaționale (a se vedea în acest sens Hotărârea din 12 septembrie 2019, VG Media, C-299/17, punctul 31).</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În această privință, din articolul 1 alineatul (1) litera (e) al doilea paragraf punctul (i) din Directiva 2015/1535 rezultă că verificarea faptului că o normă vizează în mod specific serviciile societății informaționale trebuie efectuată atât în raport cu modul de redactare a acestei norme, cât și cu scopul pe care îl urmărește. În plus, în temeiul acestei dispoziții, nu este necesar ca „scopul și obiectul specific” al întregii norme în cauză să fie reglementarea serviciilor societății informaționale, ci este suficient ca aceasta să urmărească acest scop sau acest obiect prin intermediul unora dintre dispozițiile sale (a se vedea în acest sens Hotărârea din 12 septembrie 2019, VG Media, C-299/17, punctul 32 și jurisprudența citată). În sfârșit, în conformitate cu articolul 1 alineatul (1) litera (e) al doilea paragraf punctul (ii) din directiva menționată, se consideră că o normă nu vizează în mod specific serviciile societății informaționale în cazul în care afectează astfel de servicii numai în mod implicit sau ocazional.”</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 xml:space="preserve">Dispoziții de interdicție</w:t>
      </w:r>
      <w:bookmarkEnd w:id="98"/>
      <w:bookmarkEnd w:id="99"/>
    </w:p>
    <w:p w14:paraId="11A12362" w14:textId="77777777">
      <w:pPr>
        <w:pStyle w:val="BodyText"/>
      </w:pPr>
    </w:p>
    <w:p w14:paraId="6DD7108F" w14:textId="22E84863">
      <w:pPr>
        <w:pStyle w:val="P68B1DB1-BodyText11"/>
        <w:ind w:left="567"/>
        <w:rPr>
          <w:iCs/>
        </w:rPr>
      </w:pPr>
      <w:r>
        <w:t xml:space="preserve">„«reglementare tehnică» înseamnă [...] actele cu putere de lege și actele administrative ale statelor membre, cu excepția celor prevăzute la articolul 7, care interzic fabricarea, importul, comercializarea sau utilizarea unui produs sau care interzic prestarea sau utilizarea unui serviciu sau stabilirea în calitate de prestator de servicii.”</w:t>
      </w:r>
    </w:p>
    <w:p w14:paraId="6EA3335C" w14:textId="77777777">
      <w:pPr>
        <w:pStyle w:val="BodyText"/>
        <w:ind w:left="567"/>
        <w:rPr>
          <w:i/>
          <w:iCs/>
        </w:rPr>
      </w:pPr>
    </w:p>
    <w:p w14:paraId="05F6428B" w14:textId="3C27EE7A">
      <w:pPr>
        <w:pStyle w:val="BodyText"/>
        <w:ind w:left="1440"/>
        <w:jc w:val="right"/>
      </w:pPr>
      <w:r>
        <w:t xml:space="preserve">[articolul 1 alineatul (1) litera (f) prima teză din Directiva (UE) 2015/1535]</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Hotărârea din 16 septembrie 1996</w:t>
        </w:r>
      </w:hyperlink>
      <w:r>
        <w:t xml:space="preserve">, Comisia/Italia, C-279/94, punctul 30.</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Interzicerea introducerii pe piață și a utilizării azbestului este o „reglementare tehnică” care trebuie notificată, care trebuie notificată, deoarece interzice comercializarea și utilizarea unui produs.</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În ceea ce privește articolul 1 alineatul (2) din Legea nr. 257/92, această dispoziție interzice extracția, importul, exportul, comercializarea și producerea azbestului, a produselor din azbest și a produselor care conțin azbest după o perioadă de un an de la data intrării în vigoare a legii. O astfel de dispoziție, care interzice comercializarea și utilizarea azbestului, constituie o reglementare tehnică pe care guvernul italian ar fi trebuit să o notifice în conformitate cu articolul 8 alineatul (1) primul paragraf din directivă.”</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Hotărârea Lindberg din 21 aprilie 2005</w:t>
        </w:r>
      </w:hyperlink>
      <w:r>
        <w:t xml:space="preserve">, C-267/03, punctele 75-77.</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O interdicție națională privind anumite jocuri de noroc poate fi calificată drept dispoziție de interdicție în cazul în care nu lasă loc niciunei alte utilizări rezonabile a produsului în cauză decât una pur marginală. În schimb, calificarea drept interdicție nu depinde de efectul interdicției asupra compoziției, a naturii sau a comercializării produselor în cauză.</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În această privință, este important faptul că, spre deosebire de a doua categorie, care constă în alte cerințe în sensul articolului 1 alineatul (3), această a treia categorie de reglementări tehnice definită la articolul 1 alineatul (9) din Directiva 83/189 nu include condiția potrivit căreia interdicția în cauză trebuie să fie de natură să influențeze în mod semnificativ compoziția sau natura produsului ori comercializarea acestuia.</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Pentru a se încadra în această a treia categorie de reglementări tehnice referitoare, printre altele, la interzicerea utilizării, măsurile trebuie să aibă un domeniu de aplicare care depășește cu mult o limitare a anumitor utilizări posibile ale produsului în cauză și, prin urmare, nu trebuie să se limiteze la o simplă limitare a utilizării sale.</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Astfel cum a arătat avocatul general la punctul 70 din concluzii, această categorie de reglementări tehnice vizează în special măsurile naționale care nu lasă loc niciunei utilizări rezonabile a produsului în cauză decât una pur marginală. Revine instanței naționale sarcina de a verifica dacă interdicția pe care o implică dispoziția națională în discuție în litigiul principal constituie o astfel de măsură.”</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Hotărârea din 8 septembrie 2005</w:t>
        </w:r>
      </w:hyperlink>
      <w:r>
        <w:t xml:space="preserve">, Lidl Italia, C-303/04, punctele 12 și 13.</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O interdicție națională de comercializare a produselor care nu sunt fabricate din anumite materiale constituie o dispoziție care interzice fabricarea și comercializarea produselor.</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 potrivit articolului 1 alineatul (11) din Directiva 98/34, o dispoziție națională a unui stat membru care interzice fabricarea, importul, comercializarea sau utilizarea unui produs trebuie considerată o categorie de reglementări tehnice (a se vedea Hotărârea din 2005 decembrie 0000, Lindberg, C-267/03, nepublicată încă în Repertoriu, punctul 54).</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În speță, este suficient să se constate că articolul 19 alineatul (2) din Legea nr. 93/2001 este o astfel de dispoziție. În temeiul acestei dispoziții, fabricarea și comercializarea bețișoarelor de bumbac care nu prezintă caracteristicile menționate, și anume cele care nu sunt fabricate în întregime din materiale biodegradabile în conformitate cu standardele UNI 10785, constituie încălcări care atrag sancțiuni administrative.”</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Hotărârea din 26 octombrie 2006</w:t>
        </w:r>
      </w:hyperlink>
      <w:r>
        <w:t xml:space="preserve">, Comisia/Grecia, C-65/05, punctul 61.</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Măsurile care interzic instalarea, în afara cazinourilor, a tuturor dispozitivelor electrice sau electronice de jocuri și utilizarea jocurilor pe calculator în întreprinderile care furnizează servicii de internet, precum și condiționarea exploatării unor astfel de întreprinderi de eliberarea unei licențe speciale trebuie considerate reglementări tehnice.</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 măsurile precum cele prevăzute la articolul 2 alineatul (1) și la articolul 3 din Legea nr. 3037/2002, în măsura în care interzic instalarea în Grecia a tuturor jocurilor electrice, electromecanice și electronice, inclusiv a tuturor jocurilor pe calculator, în toate spațiile publice și private, cu excepția cazinourilor, precum și utilizarea jocurilor pe calculatoare în întreprinderile care furnizează servicii de internet, și condiționează funcționarea acestor întreprinderi de eliberarea unei autorizații speciale, trebuie considerate reglementări tehnice în sensul articolului 1 alineatul (11) din Directiva 98/34 (a se vedea în acest sens cauza C</w:t>
        <w:noBreakHyphen/>
        <w:t xml:space="preserve">267/03 Lindberg, Rec., 2005, p. I</w:t>
        <w:noBreakHyphen/>
        <w:t>3247).”</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Hotărârea din 19 iulie 2012</w:t>
        </w:r>
      </w:hyperlink>
      <w:r>
        <w:t xml:space="preserve">, Fortuna și alții, C-213/11, C-214/11 și C-217/11, punctele 24 și 25.</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O măsură de interzicere a utilizării aparatelor de jocuri în afara cazinourilor trebuie calificată drept „reglementare tehnică”.</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Curtea a statuat deja că măsurile care interzic utilizarea tuturor jocurilor electrice, electromecanice și electronice în toate spațiile publice și private, cu excepția cazinourilor, trebuie considerate reglementări tehnice în sensul articolului 1 alineatul (11) din Directiva 98/34 (Hotărârea din 2006 decembrie 10341, Comisia/Grecia, C-65/05, nepublicată încă în Repertoriu, punctul 61).</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În consecință, o măsură precum articolul 14 alineatul (1) din Legea privind jocurile de noroc, care permite numai cazinourilor să organizeze jocuri automate, trebuie calificată drept «reglementare tehnică» în sensul articolului 1 alineatul (11) din Directiva 98/34.”</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Hotărârea din 27 octombrie 2016</w:t>
        </w:r>
      </w:hyperlink>
      <w:r>
        <w:t xml:space="preserve">, James Elliott Construction, C-613/14, punctul 70.</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Dispozițiile naționale care stabilesc condiții contractuale implicite privind calitatea comercială, adecvarea pentru utilizare sau calitatea generală a produselor vândute nu constituie dispoziții de interdicție.</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reglementarea în discuție în litigiul principal nu intră în domeniul de aplicare al reglementărilor tehnice prevăzute la articolul 1 alineatul (11) din Directiva 98/34, în măsura în care, limitându-se să enunțe cerințe contractuale implicite, aceasta nu conține nicio interdicție, în sensul acestei directive, de fabricare, de import, de comercializare sau de utilizare a unui produs, de prestare sau de utilizare a unui serviciu sau de stabilire în calitate de prestator de servicii.”</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Hotărârea din 28 mai 2020</w:t>
        </w:r>
      </w:hyperlink>
      <w:r>
        <w:t xml:space="preserve">, ECO-WIND Construction, C-727/17, punctele 45-47.</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O reglementare care impune o distanță minimă pentru instalarea de turbine eoliene nu constituie o interdicție de fabricare, de import, de comercializare sau de utilizare a unui produs, cu excepția cazului în care aceasta implică o interdicție de facto a comercializării turbinelor eoliene, fără a lăsa loc niciunei utilizări a turbinelor eoliene în afara celei pur marginale.</w:t>
      </w:r>
    </w:p>
    <w:p w14:paraId="57350EE4" w14:textId="77777777">
      <w:pPr>
        <w:pStyle w:val="BodyText"/>
        <w:jc w:val="left"/>
      </w:pPr>
    </w:p>
    <w:p w14:paraId="671DACC6" w14:textId="1CB89713">
      <w:pPr>
        <w:pStyle w:val="P68B1DB1-BodyText19"/>
        <w:ind w:left="567"/>
        <w:rPr>
          <w:iCs/>
        </w:rPr>
      </w:pPr>
      <w:r>
        <w:t xml:space="preserve">„45. Această categorie presupune ca măsura în cauză să aibă un domeniu de aplicare care depășește în mod clar o limitare la anumite utilizări ale produsului în cauză și să nu se limiteze la o simplă limitare a utilizării sale (Hotărârea din 21 aprilie 2005, Lindberg, C-267/03, punctul 76, precum și Hotărârea din 19 iulie 2012, Fortuna și alții, C-213/11, C-214/11 și C-217/11, punctul 31).</w:t>
      </w:r>
    </w:p>
    <w:p w14:paraId="787A0A4F" w14:textId="77777777">
      <w:pPr>
        <w:pStyle w:val="P68B1DB1-BodyText19"/>
        <w:ind w:left="567"/>
        <w:rPr>
          <w:iCs/>
        </w:rPr>
      </w:pPr>
    </w:p>
    <w:p w14:paraId="7CEA657E" w14:textId="35F61E5B">
      <w:pPr>
        <w:pStyle w:val="P68B1DB1-BodyText19"/>
        <w:ind w:left="567"/>
        <w:rPr>
          <w:iCs/>
        </w:rPr>
      </w:pPr>
      <w:r>
        <w:t xml:space="preserve">46. Această categorie vizează în special măsurile naționale care nu lasă loc niciunei alte utilizări rezonabile a produsului în cauză decât una pur marginală (Hotărârea din 21 aprilie 2005, Lindberg, C-267/03, punctul 77, precum și Hotărârea din 19 iulie 2012, Fortuna și alții, C-213/11, C-214/11 și C-217/11, punctul 32).</w:t>
      </w:r>
    </w:p>
    <w:p w14:paraId="47448916" w14:textId="77777777">
      <w:pPr>
        <w:pStyle w:val="P68B1DB1-BodyText19"/>
        <w:ind w:left="567"/>
        <w:rPr>
          <w:iCs/>
        </w:rPr>
      </w:pPr>
    </w:p>
    <w:p w14:paraId="6508CA59" w14:textId="00D7F268">
      <w:pPr>
        <w:pStyle w:val="P68B1DB1-BodyText19"/>
        <w:ind w:left="567"/>
        <w:rPr>
          <w:iCs/>
        </w:rPr>
      </w:pPr>
      <w:r>
        <w:t xml:space="preserve">47. În speță, deși cerința ca instalarea unei turbine eoliene să fie supusă respectării condiției unei distanțe minime între această turbină eoliană și clădiri cu funcție rezidențială, impusă de reglementarea națională în discuție în litigiul principal, include, desigur, o interdicție de a instala o turbină eoliană la o distanță minimă de zece ori mai mică decât înălțimea totală a instalației planificate de orice clădire cu funcție rezidențială, trebuie arătat că această reglementare nu interzice totuși operatorilor economici să continue instalarea turbinelor eoliene și, prin urmare, să utilizeze și să comercializeze generatoare eoliene.”</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De Facto Reglementări tehnice</w:t>
      </w:r>
      <w:bookmarkEnd w:id="109"/>
      <w:bookmarkEnd w:id="110"/>
    </w:p>
    <w:p w14:paraId="297F85EC" w14:textId="77777777">
      <w:pPr>
        <w:pStyle w:val="BodyText"/>
      </w:pPr>
    </w:p>
    <w:p w14:paraId="6C908457" w14:textId="3B825828">
      <w:pPr>
        <w:pStyle w:val="P68B1DB1-BodyText11"/>
        <w:ind w:left="567"/>
        <w:rPr>
          <w:i/>
        </w:rPr>
      </w:pPr>
      <w:r>
        <w:t xml:space="preserve">„Reglementările tehnice de facto includ: </w:t>
      </w:r>
    </w:p>
    <w:p w14:paraId="277715A6" w14:textId="77777777">
      <w:pPr>
        <w:pStyle w:val="BodyText"/>
        <w:ind w:left="567"/>
        <w:rPr>
          <w:i/>
        </w:rPr>
      </w:pPr>
    </w:p>
    <w:p w14:paraId="28BCD2BD" w14:textId="757EEC79">
      <w:pPr>
        <w:pStyle w:val="P68B1DB1-BodyText11"/>
        <w:numPr>
          <w:ilvl w:val="0"/>
          <w:numId w:val="31"/>
        </w:numPr>
        <w:rPr>
          <w:i/>
        </w:rPr>
      </w:pPr>
      <w:r>
        <w:t xml:space="preserve">actele cu putere de lege sau actele administrative ale unui stat membru care fac referire fie la specificații tehnice sau la alte cerințe sau la norme cu privire la servicii, fie la coduri profesionale sau coduri de bune practici, care la rândul lor fac referire la specificații tehnice sau la alte cerințe sau la norme cu privire la servicii, a căror respectare conferă prezumția de conformitate cu obligațiile impuse de actele cu putere de lege sau actele administrative respective; </w:t>
      </w:r>
    </w:p>
    <w:p w14:paraId="32E4257D" w14:textId="77777777">
      <w:pPr>
        <w:pStyle w:val="BodyText"/>
        <w:ind w:left="1287"/>
        <w:rPr>
          <w:i/>
        </w:rPr>
      </w:pPr>
    </w:p>
    <w:p w14:paraId="5E0B6B62" w14:textId="2D5EF06C">
      <w:pPr>
        <w:pStyle w:val="P68B1DB1-BodyText11"/>
        <w:numPr>
          <w:ilvl w:val="0"/>
          <w:numId w:val="31"/>
        </w:numPr>
        <w:rPr>
          <w:i/>
        </w:rPr>
      </w:pPr>
      <w:r>
        <w:t xml:space="preserve">acordurile voluntare la care o autoritate publică este parte contractantă și care prevăd, în interesul general, respectarea specificațiilor tehnice sau a altor cerințe sau norme cu privire la servicii, cu excepția caietului de sarcini pentru achiziții publice; </w:t>
      </w:r>
    </w:p>
    <w:p w14:paraId="4BEF10A9" w14:textId="77777777">
      <w:pPr>
        <w:pStyle w:val="BodyText"/>
        <w:rPr>
          <w:i/>
        </w:rPr>
      </w:pPr>
    </w:p>
    <w:p w14:paraId="5C79F6B1" w14:textId="7967F579">
      <w:pPr>
        <w:pStyle w:val="P68B1DB1-BodyText11"/>
        <w:numPr>
          <w:ilvl w:val="0"/>
          <w:numId w:val="31"/>
        </w:numPr>
        <w:rPr>
          <w:i/>
        </w:rPr>
      </w:pPr>
      <w:r>
        <w:t xml:space="preserve">specificațiile tehnice sau alte cerințe sau norme referitoare la servicii în legătură cu măsuri fiscale sau financiare care afectează consumul de produse sau servicii prin încurajarea respectării acestor specificații tehnice sau a altor cerințe sau norme cu privire la servicii; specificațiile tehnice sau alte cerințe sau norme cu privire la servicii în legătură cu sistemele de asigurări sociale la nivel național nu sunt incluse. </w:t>
      </w:r>
    </w:p>
    <w:p w14:paraId="712A28B1" w14:textId="77777777">
      <w:pPr>
        <w:pStyle w:val="BodyText"/>
        <w:rPr>
          <w:i/>
        </w:rPr>
      </w:pPr>
    </w:p>
    <w:p w14:paraId="24545D3F" w14:textId="615DFC82">
      <w:pPr>
        <w:pStyle w:val="P68B1DB1-BodyText11"/>
        <w:ind w:left="567"/>
        <w:rPr>
          <w:i/>
        </w:rPr>
      </w:pPr>
      <w:r>
        <w:t xml:space="preserve">Aceasta cuprinde reglementări tehnice impuse de autoritățile desemnate de statele membre și care figurează pe o listă întocmită și actualizată, după caz, de către Comisie, în cadrul comitetului menționat la articolul 2.”</w:t>
      </w:r>
    </w:p>
    <w:p w14:paraId="5E87FB40" w14:textId="77777777">
      <w:pPr>
        <w:pStyle w:val="BodyText"/>
        <w:ind w:left="567"/>
        <w:rPr>
          <w:i/>
        </w:rPr>
      </w:pPr>
    </w:p>
    <w:p w14:paraId="5389ED96" w14:textId="0CBC1966">
      <w:pPr>
        <w:pStyle w:val="BodyText"/>
        <w:jc w:val="right"/>
      </w:pPr>
      <w:r>
        <w:t xml:space="preserve">[articolul 1 alineatul (1) litera (f) a doua și a treia teză din Directiva (UE) 2015/1535]</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Hotărârea din 20 martie 1997</w:t>
        </w:r>
      </w:hyperlink>
      <w:r>
        <w:t xml:space="preserve">, Bic Benelux, C-13/96, punctele 23-25.</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O cerință de marcare menită să informeze consumatorul cu privire la amprenta de mediu a anumitor produse și legată de o taxă, dar constituie o specificație tehnică. Aceasta nu poate fi considerată ca fiind exclusiv „legată de o măsură fiscală” și, prin urmare, nu se încadrează în definiția „reglementărilor tehnice de facto”.</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 pe de o parte, cerința de marcare în discuție în litigiul principal constituie, potrivit definiției de la articolul 1 alineatul (5) din Directiva 83/189, o reglementare tehnică de drept în măsura în care „respectarea sa [...] este obligatorie [...] în cazul comercializării” produsului în cauză și, potrivit definiției de la articolul 1 alineatul (1), este o specificație tehnică, întrucât actul legislativ definește „caracteristicile impuse unui produs, cum ar fi [...] cerințele aplicabile produsului în ceea ce privește [...] marcarea sau etichetarea”.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În al doilea rând, marcajul în cauză urmărește să informeze publicul, printre altele, cu privire la efectele produselor asupra mediului, iar guvernul belgian a confirmat importanța care trebuie acordată acestui aspect al normelor de marcare. Obiectivul taxei de mediu, care este de a proteja mediul, este astfel consolidat de marcajul care, la fel ca alte etichete de mediu, indiferent dacă este sau nu este legat de o taxă de mediu, reamintește consumatorilor efectele nocive ale produselor în cauză asupra mediului.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Întrucât cerința de marcare în discuție nu poate fi considerată în niciun caz o măsură de însoțire fiscală, aceasta nu constituie, prin urmare, o cerință legată de o măsură fiscală în sensul articolului 1 alineatul (9) al doilea paragraf a treia liniuță din Directiva 83/189, astfel cum a fost modificată prin Directiva 94/10.”</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Hotărârea din 10 iulie 2014,</w:t>
        </w:r>
      </w:hyperlink>
      <w:r>
        <w:rPr>
          <w:b/>
          <w:i/>
        </w:rPr>
        <w:t xml:space="preserve"> Ivansson și alții</w:t>
      </w:r>
      <w:r>
        <w:rPr>
          <w:sz w:val="25"/>
        </w:rPr>
        <w:t>,</w:t>
      </w:r>
      <w:r>
        <w:rPr>
          <w:b/>
          <w:i/>
        </w:rPr>
        <w:t xml:space="preserve"> C-307/13, punctele 30 și 31</w:t>
      </w:r>
      <w:r>
        <w:rPr>
          <w:sz w:val="25"/>
        </w:rPr>
        <w:t>.</w:t>
      </w:r>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O trimitere la norme administrative detaliate care conțin „specificații tehnice” sau „alte cerințe” poate conferi unui proiect de lege statutul de „reglementare tehnică de facto”.</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trebuie să se constate că, deși acest alineat </w:t>
      </w:r>
      <w:r>
        <w:rPr>
          <w:i w:val="0"/>
        </w:rPr>
        <w:t xml:space="preserve">[din dreptul național]</w:t>
      </w:r>
      <w:r>
        <w:t xml:space="preserve"> nu constituie ea însăși o reglementare tehnică, la al doilea paragraf, acesta face trimitere la dispoziții suplimentare privind creșterea găinilor care ar fi comunicate ulterior de către Consiliul pentru agricultură.</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O astfel de trimitere la norme administrative mai detaliate poate, în măsura în care poate fi considerată ca reprezentând ele însele «specificații tehnice» sau «alte cerințe», să confere articolului 9 din DSF statutul de «reglementare tehnică de facto», în conformitate cu articolul 1 alineatul (11) prima liniuță din Directiva 98/34.”</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Hotărârea din 11 iunie 2015</w:t>
        </w:r>
      </w:hyperlink>
      <w:r>
        <w:t xml:space="preserve">, Berlington Hungary și alții, C-98/14, punctele 95-97</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Dispozițiile naționale care multiplică cu cinci taxa datorată pentru aparatele de tip slot machine operate în sălile de jocuri și instituie de asemenea o taxă proporțională pentru această activitate nu constituie „reglementări tehnice de facto”, întrucât sunt dispoziții fiscale, iar nu „specificații tehnice legate de o normă fiscală” în sensul directivei.</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Potrivit articolului 1 alineatul (11) a treia liniuță din această directivă, „reglementările tehnice de facto”, în sensul acestei dispoziții, constau în „specificații tehnice sau alte cerințe sau norme cu privire la servicii care sunt legate de măsuri fiscale sau financiare care afectează consumul de produse sau servicii prin încurajarea respectării acestor specificații tehnice sau a altor cerințe sau norme cu privire la servicii”.</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Din această formulare rezultă că noțiunea „reglementări tehnice de facto” nu înseamnă măsurile fiscale înseși, ci specificațiile tehnice sau alte cerințe legate de acestea.</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Prin urmare, o reglementare fiscală precum cea în discuție în litigiul principal, care nu este însoțită de nicio specificație tehnică sau de nicio altă cerință pe care aceasta ar urmări să o asigure, nu poate fi calificată drept «reglementare tehnică de facto».”</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Hotărârea din 8 octombrie 2020</w:t>
        </w:r>
      </w:hyperlink>
      <w:r>
        <w:t xml:space="preserve">, Admiral Sportwetten și alții, punctele 38 și 41</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Legislația fiscală, care nu este însoțită de nicio „specificație tehnică” sau de nicio altă cerință pe care aceasta urmărește să o asigure, nu poate fi calificată drept „reglementare tehnică de facto”. Prin urmare, o reglementare fiscală națională care prevede impozitarea exploatării aparatelor de pariuri sportive nu constituie o „reglementare tehnică”.</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 în ceea ce privește reglementările tehnice de facto în sensul articolului 1 alineatul (1) litera (f) punctul (iii) din Directiva 2015/1535, Curtea a statuat deja că o reglementare fiscală, care nu este însoțită de nicio specificație tehnică sau de vreo altă cerință despre care se pretinde că ar urmări să o asigure, nu poate fi calificată drept «reglementare tehnică de facto» (a se vedea în acest sens Hotărârea din 11 iunie 2015, Berlington Hungary și alții, C 98/14</w:t>
        <w:noBreakHyphen/>
        <w:t xml:space="preserve">, punctul 97).”</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În consecință, având în vedere ansamblul considerațiilor care precedă, trebuie să se răspundă la prima întrebare că articolul 1 din Directiva 2015/1535 trebuie interpretat în sensul că o normă fiscală națională care prevede impozitarea exploatării terminalelor de pariuri nu constituie o «reglementare tehnică» în sensul acestui articol.”</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Hotărârea din 22 decembrie 2022</w:t>
        </w:r>
      </w:hyperlink>
      <w:r>
        <w:rPr>
          <w:rFonts w:ascii="Times New Roman" w:hAnsi="Times New Roman" w:cs="Times New Roman" w:eastAsia="Times New Roman"/>
          <w:b/>
          <w:i/>
          <w:szCs w:val="20"/>
        </w:rPr>
        <w:t xml:space="preserve">, Airbnb Ireland și Airbnb Payments UK, C</w:t>
        <w:noBreakHyphen/>
        <w:t xml:space="preserve">83/21, punctele 29 și 30</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O reglementare de natură fiscală nu poate, ca atare, să fie calificată drept „reglementare tehnică de facto”.</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În ceea ce privește, în al treilea rând, Directiva 2015/1535, trebuie arătat că aceasta vizează „Tratatul [FUE], în special articolele 114, 337 și 43”. Astfel, trebuie arătat de la bun început că excluderea prevăzută la articolul 114 alineatul (2) TFUE privind „dispozițiile fiscale” se aplică și în privința acestei directive, pentru motivele expuse la punctul 25 din prezenta hotărâre.</w:t>
      </w:r>
    </w:p>
    <w:p w14:paraId="5619063A" w14:textId="77777777">
      <w:pPr>
        <w:pStyle w:val="P68B1DB1-BodyText19"/>
        <w:ind w:left="567"/>
      </w:pPr>
    </w:p>
    <w:p w14:paraId="43BD732D" w14:textId="6B6E6B11">
      <w:pPr>
        <w:pStyle w:val="P68B1DB1-BodyText19"/>
        <w:ind w:left="567"/>
        <w:rPr>
          <w:iCs/>
        </w:rPr>
      </w:pPr>
      <w:r>
        <w:t xml:space="preserve">30. În plus, conținutul Directivei 2015/1535 confirmă indirect excluderea „dispozițiilor fiscale” din domeniul său de aplicare, întrucât modul de redactare a articolului 1 alineatul (1) litera (f) punctul (iii) din această directivă menționează, printre reglementările tehnice de facto, specificațiile tehnice sau alte cerințe sau norme cu privire la servicii „în legătură cu măsuri fiscale sau financiare”. Prin urmare, acestea nu sunt măsuri fiscale efective, ci numai măsuri legate de măsuri fiscale (a se vedea în acest sens Hotărârea din 8 octombrie 2020, Admiral Sportwetten și alții, C-711/19, punctul 38); prin urmare, acestea din urmă rămân, ca atare, în afara domeniului de aplicare al directivei respective.”</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Aspecte excluse</w:t>
      </w:r>
      <w:bookmarkEnd w:id="117"/>
      <w:bookmarkEnd w:id="118"/>
      <w:bookmarkEnd w:id="119"/>
    </w:p>
    <w:p w14:paraId="1278603B" w14:textId="77777777">
      <w:pPr>
        <w:pStyle w:val="BodyText"/>
        <w:rPr>
          <w:b/>
          <w:bCs/>
        </w:rPr>
      </w:pPr>
    </w:p>
    <w:p w14:paraId="1B32B976" w14:textId="77777777">
      <w:pPr>
        <w:pStyle w:val="P68B1DB1-BodyText11"/>
        <w:ind w:left="567"/>
      </w:pPr>
      <w:r>
        <w:t xml:space="preserve">„2. Prezenta directivă nu se aplică la: </w:t>
      </w:r>
    </w:p>
    <w:p w14:paraId="04019AF2" w14:textId="77777777">
      <w:pPr>
        <w:pStyle w:val="P68B1DB1-BodyText11"/>
        <w:ind w:left="1287" w:firstLine="153"/>
      </w:pPr>
      <w:r>
        <w:t xml:space="preserve">(a) servicii de radiodifuziune; </w:t>
      </w:r>
    </w:p>
    <w:p w14:paraId="1EADA741" w14:textId="108B47F0">
      <w:pPr>
        <w:pStyle w:val="P68B1DB1-BodyText11"/>
        <w:ind w:left="1440"/>
      </w:pPr>
      <w:r>
        <w:t xml:space="preserve">(b) serviciile de difuzare a programelor de televiziune care intră sub incidența articolului 1 alineatul (1) litera (e) din Directiva 2010/13/UE a Parlamentului European și a Consiliului (1). </w:t>
      </w:r>
    </w:p>
    <w:p w14:paraId="7DD31811" w14:textId="77777777">
      <w:pPr>
        <w:pStyle w:val="P68B1DB1-BodyText11"/>
        <w:ind w:left="567"/>
      </w:pPr>
    </w:p>
    <w:p w14:paraId="21C04911" w14:textId="0885ED27">
      <w:pPr>
        <w:pStyle w:val="P68B1DB1-BodyText11"/>
        <w:ind w:left="567"/>
      </w:pPr>
      <w:r>
        <w:t xml:space="preserve">3. Prezenta directivă nu se aplică normelor referitoare la aspecte reglementate de legislația Uniunii în domeniul serviciilor de telecomunicații, astfel cum sunt reglementate de Directiva 2002/21/CE a Parlamentului European și a Consiliului (2). </w:t>
      </w:r>
    </w:p>
    <w:p w14:paraId="14E66827" w14:textId="77777777">
      <w:pPr>
        <w:pStyle w:val="P68B1DB1-BodyText11"/>
        <w:ind w:left="567"/>
      </w:pPr>
    </w:p>
    <w:p w14:paraId="21D3AD3B" w14:textId="663656A4">
      <w:pPr>
        <w:pStyle w:val="P68B1DB1-BodyText11"/>
        <w:ind w:left="567"/>
      </w:pPr>
      <w:r>
        <w:t xml:space="preserve">4. Prezenta directivă nu se aplică normelor referitoare la aspecte reglementate de legislația Uniunii în domeniul serviciilor financiare, astfel cum sunt enumerate neexhaustiv în anexa II la prezenta directivă. </w:t>
      </w:r>
    </w:p>
    <w:p w14:paraId="0E58960E" w14:textId="77777777">
      <w:pPr>
        <w:pStyle w:val="P68B1DB1-BodyText11"/>
        <w:ind w:left="567"/>
      </w:pPr>
    </w:p>
    <w:p w14:paraId="66AEA247" w14:textId="77777777">
      <w:pPr>
        <w:pStyle w:val="P68B1DB1-BodyText11"/>
        <w:ind w:left="567"/>
      </w:pPr>
      <w:r>
        <w:t xml:space="preserve">5. Cu excepția articolului 5 alineatul (3), prezenta directivă nu se aplică normelor adoptate de către sau pentru piețele reglementate în sensul Directivei 2004/39/CE a Parlamentului European și a Consiliului (3) sau de către sau pentru alte piețe sau organisme care îndeplinesc funcții de compensare sau decontare pentru piețele respective.</w:t>
      </w:r>
    </w:p>
    <w:p w14:paraId="5D510CB9" w14:textId="77777777">
      <w:pPr>
        <w:pStyle w:val="P68B1DB1-BodyText11"/>
        <w:ind w:left="567"/>
      </w:pPr>
    </w:p>
    <w:p w14:paraId="70E3F74F" w14:textId="117D7E99">
      <w:pPr>
        <w:pStyle w:val="P68B1DB1-BodyText11"/>
        <w:ind w:left="567"/>
      </w:pPr>
      <w:r>
        <w:t xml:space="preserve">6. Prezenta directivă nu se aplică acelor măsuri pe care statele membre le consideră necesare în temeiul tratatelor pentru a asigura protecția persoanelor, în special a lucrătorilor, în cazul utilizării produselor, cu condiția ca aceste măsuri să nu afecteze produsele.</w:t>
      </w:r>
    </w:p>
    <w:p w14:paraId="24FE75EA" w14:textId="77777777">
      <w:pPr>
        <w:pStyle w:val="P68B1DB1-BodyText11"/>
        <w:ind w:left="567"/>
      </w:pPr>
    </w:p>
    <w:p w14:paraId="74938EC0" w14:textId="5965F3C9">
      <w:pPr>
        <w:pStyle w:val="BodyText"/>
        <w:ind w:left="1080"/>
        <w:jc w:val="right"/>
      </w:pPr>
      <w:r>
        <w:t xml:space="preserve">[Articolul 1 alineatul (2)-(6) din Directiva (UE) 2015/1535]</w:t>
      </w:r>
    </w:p>
    <w:p w14:paraId="2BAD670C" w14:textId="77777777">
      <w:pPr>
        <w:pStyle w:val="BodyText"/>
        <w:rPr>
          <w:i/>
          <w:iCs/>
          <w:sz w:val="20"/>
        </w:rPr>
      </w:pPr>
    </w:p>
    <w:p w14:paraId="0C974BBF" w14:textId="3B58908A">
      <w:pPr>
        <w:pStyle w:val="P68B1DB1-BodyText23"/>
        <w:ind w:left="567"/>
        <w:rPr>
          <w:iCs/>
        </w:rPr>
      </w:pPr>
      <w:r>
        <w:t xml:space="preserve">„«difuzare de televiziune» sau «difuzare de televiziune» (adică un serviciu media audiovizual liniar) înseamnă un serviciu mass-media audiovizual furnizat de un furnizor de servicii mass-media pentru vizionarea simultană a programelor pe baza unei grile de programe;”</w:t>
      </w:r>
    </w:p>
    <w:p w14:paraId="68D48BC5" w14:textId="77777777">
      <w:pPr>
        <w:pStyle w:val="BodyText"/>
        <w:ind w:left="567"/>
        <w:rPr>
          <w:i/>
          <w:iCs/>
          <w:szCs w:val="24"/>
        </w:rPr>
      </w:pPr>
    </w:p>
    <w:p w14:paraId="1E9F9AD6" w14:textId="648E8643">
      <w:pPr>
        <w:pStyle w:val="BodyText"/>
        <w:ind w:left="1080"/>
        <w:jc w:val="right"/>
      </w:pPr>
      <w:r>
        <w:t xml:space="preserve">[Articolul 1 alineatul (1) litera (e) din Directiva 2010/13/UE]</w:t>
      </w:r>
    </w:p>
    <w:p w14:paraId="13E3D11F" w14:textId="77777777">
      <w:pPr>
        <w:pStyle w:val="BodyText"/>
        <w:ind w:left="1080"/>
        <w:jc w:val="right"/>
      </w:pPr>
    </w:p>
    <w:p w14:paraId="6E0ADBB8" w14:textId="55100584">
      <w:pPr>
        <w:pStyle w:val="P68B1DB1-BodyText11"/>
        <w:jc w:val="center"/>
        <w:rPr>
          <w:i/>
        </w:rPr>
      </w:pPr>
      <w:r>
        <w:t xml:space="preserve">Lista indicativă a serviciilor financiare reglementate de articolul 1 alineatul (4)</w:t>
      </w:r>
    </w:p>
    <w:p w14:paraId="25F72A02" w14:textId="77777777">
      <w:pPr>
        <w:pStyle w:val="BodyText"/>
        <w:jc w:val="center"/>
        <w:rPr>
          <w:i/>
        </w:rPr>
      </w:pPr>
    </w:p>
    <w:p w14:paraId="319C26B1" w14:textId="77777777">
      <w:pPr>
        <w:pStyle w:val="P68B1DB1-BodyText11"/>
        <w:ind w:left="567"/>
        <w:rPr>
          <w:i/>
        </w:rPr>
      </w:pPr>
      <w:r>
        <w:t xml:space="preserve">— Servicii de investiții; </w:t>
      </w:r>
    </w:p>
    <w:p w14:paraId="4E853016" w14:textId="77777777">
      <w:pPr>
        <w:pStyle w:val="P68B1DB1-BodyText11"/>
        <w:ind w:left="567"/>
        <w:rPr>
          <w:i/>
        </w:rPr>
      </w:pPr>
      <w:r>
        <w:t xml:space="preserve">— operațiuni de asigurare și reasigurare; </w:t>
      </w:r>
    </w:p>
    <w:p w14:paraId="6692A963" w14:textId="77777777">
      <w:pPr>
        <w:pStyle w:val="P68B1DB1-BodyText11"/>
        <w:ind w:left="567"/>
        <w:rPr>
          <w:i/>
        </w:rPr>
      </w:pPr>
      <w:r>
        <w:t xml:space="preserve">— servicii bancare; </w:t>
      </w:r>
    </w:p>
    <w:p w14:paraId="23791C4C" w14:textId="77777777">
      <w:pPr>
        <w:pStyle w:val="P68B1DB1-BodyText11"/>
        <w:ind w:left="567"/>
        <w:rPr>
          <w:i/>
        </w:rPr>
      </w:pPr>
      <w:r>
        <w:t xml:space="preserve">— operațiuni legate de fondurile de pensii; </w:t>
      </w:r>
    </w:p>
    <w:p w14:paraId="783F6792" w14:textId="77777777">
      <w:pPr>
        <w:pStyle w:val="P68B1DB1-BodyText11"/>
        <w:ind w:left="567"/>
        <w:rPr>
          <w:i/>
        </w:rPr>
      </w:pPr>
      <w:r>
        <w:t xml:space="preserve">— servicii legate de tranzacțiile cu contracte futures sau opțiuni. </w:t>
      </w:r>
    </w:p>
    <w:p w14:paraId="2DCD1B55" w14:textId="77777777">
      <w:pPr>
        <w:pStyle w:val="BodyText"/>
        <w:ind w:left="567"/>
        <w:rPr>
          <w:i/>
        </w:rPr>
      </w:pPr>
    </w:p>
    <w:p w14:paraId="337555AF" w14:textId="77777777">
      <w:pPr>
        <w:pStyle w:val="P68B1DB1-BodyText11"/>
        <w:ind w:left="567"/>
        <w:rPr>
          <w:i/>
        </w:rPr>
      </w:pPr>
      <w:r>
        <w:t xml:space="preserve">Aceste servicii cuprind în special: </w:t>
      </w:r>
    </w:p>
    <w:p w14:paraId="3764E7FA" w14:textId="7CA8CD82">
      <w:pPr>
        <w:pStyle w:val="P68B1DB1-BodyText11"/>
        <w:ind w:left="567"/>
        <w:rPr>
          <w:i/>
        </w:rPr>
      </w:pPr>
      <w:r>
        <w:t xml:space="preserve">(a) serviciile de investiții menționate în anexa la Directiva 2004/39/CE; servicii prestate de întreprinderi de investiții colective; </w:t>
      </w:r>
    </w:p>
    <w:p w14:paraId="5E0AD7FB" w14:textId="67C20460">
      <w:pPr>
        <w:pStyle w:val="P68B1DB1-BodyText11"/>
        <w:ind w:left="567"/>
        <w:rPr>
          <w:i/>
        </w:rPr>
      </w:pPr>
      <w:r>
        <w:t xml:space="preserve">(b) serviciile reglementate de activitățile care fac obiectul recunoașterii reciproce menționate în anexa I la Directiva 2013/36/UE a Parlamentului European și a Consiliului (1); </w:t>
      </w:r>
    </w:p>
    <w:p w14:paraId="48C2F22B" w14:textId="3B1B8A48">
      <w:pPr>
        <w:pStyle w:val="P68B1DB1-BodyText11"/>
        <w:ind w:left="567"/>
        <w:rPr>
          <w:i/>
        </w:rPr>
      </w:pPr>
      <w:r>
        <w:t xml:space="preserve">(c) operațiunile care fac obiectul activităților de asigurare și reasigurare menționate în Directiva 2009/138/CE a Parlamentului European și a Consiliului (2).</w:t>
      </w:r>
    </w:p>
    <w:p w14:paraId="29E9A8E3" w14:textId="77777777">
      <w:pPr>
        <w:pStyle w:val="BodyText"/>
        <w:ind w:left="720"/>
        <w:rPr>
          <w:i/>
        </w:rPr>
      </w:pPr>
    </w:p>
    <w:p w14:paraId="79D13F1F" w14:textId="142C9AC5">
      <w:pPr>
        <w:pStyle w:val="BodyText"/>
        <w:ind w:left="1080"/>
        <w:jc w:val="right"/>
      </w:pPr>
      <w:r>
        <w:t xml:space="preserve">(Anexa II la Directiva (UE) 2015/1535)</w:t>
      </w:r>
    </w:p>
    <w:p w14:paraId="0C95D790" w14:textId="77777777">
      <w:pPr>
        <w:pStyle w:val="BodyText"/>
        <w:ind w:left="567"/>
        <w:rPr>
          <w:i/>
          <w:iCs/>
          <w:szCs w:val="24"/>
        </w:rPr>
      </w:pPr>
    </w:p>
    <w:p w14:paraId="7A47117F" w14:textId="7E196DE2">
      <w:pPr>
        <w:pStyle w:val="P68B1DB1-BodyText23"/>
        <w:ind w:left="567"/>
        <w:rPr>
          <w:iCs/>
        </w:rPr>
      </w:pPr>
      <w:r>
        <w:t xml:space="preserve">„«piață reglementată» înseamnă un sistem multilateral operat și/sau gestionat de un operator de piață, care reunește sau facilitează reunirea mai multor interese de vânzare și cumpărare de instrumente financiare ale terților – în cadrul sistemului și în conformitate cu normele sale nediscreționare – într-un mod care conduce la încheierea unui contract pentru instrumentele financiare admise la tranzacționare în temeiul normelor și/sau sistemelor sale și care este autorizat și funcționează în mod regulat și în conformitate cu titlul III din prezenta directivă;”</w:t>
      </w:r>
    </w:p>
    <w:p w14:paraId="326B89D5" w14:textId="77777777">
      <w:pPr>
        <w:pStyle w:val="BodyText"/>
        <w:ind w:left="567"/>
        <w:rPr>
          <w:i/>
          <w:iCs/>
          <w:szCs w:val="24"/>
        </w:rPr>
      </w:pPr>
    </w:p>
    <w:p w14:paraId="2EE59DAD" w14:textId="7FE2F68F">
      <w:pPr>
        <w:pStyle w:val="P68B1DB1-BodyText24"/>
        <w:ind w:left="567"/>
        <w:jc w:val="right"/>
      </w:pPr>
      <w:r>
        <w:t xml:space="preserve">[Articolul 4 alineatul (21) din Directiva 2014/65/UE, </w:t>
      </w:r>
    </w:p>
    <w:p w14:paraId="510D994F" w14:textId="6EE676DC">
      <w:pPr>
        <w:pStyle w:val="P68B1DB1-BodyText24"/>
        <w:ind w:left="567"/>
        <w:jc w:val="right"/>
      </w:pPr>
      <w:r>
        <w:t xml:space="preserve">reformarea Directivei 2004/39/CE)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Hotărârea din 2 iunie 2005</w:t>
        </w:r>
      </w:hyperlink>
      <w:r>
        <w:rPr>
          <w:rFonts w:ascii="Times New Roman" w:hAnsi="Times New Roman" w:cs="Times New Roman" w:eastAsia="Times New Roman"/>
          <w:b/>
          <w:i/>
          <w:szCs w:val="20"/>
        </w:rPr>
        <w:t xml:space="preserve">, Mediakabel BV, C-89/04, punctele 22 și 23.</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Un serviciu de difuzare a programelor de televiziune disponibil la cerere de către abonat, constând în filme a căror frecvență și moment sunt stabilite de furnizor, constituie un serviciu „aproape de video la cerere” care se încadrează în noțiunea de „servicii de difuzare a programelor de televiziune”. Această noțiune este definită în mod autonom de Directiva 2010/13/UE (fosta Directivă 89/552/CEE), independent de noțiunea de „serviciu al societății informaționale”.</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cu siguranță, domeniul de aplicare al noțiunii de „difuzare a programelor de televiziune” nu poate fi dedus prin excluderea noțiunii de „serviciu al societății informaționale”. Directiva 98/34, atât la articolul 1 alineatul (2), cât și în anexa V, se referă la serviciile care nu intră sub incidența noțiunii de „serviciu al societății informaționale” și care nu constituie, ca atare, servicii de difuzare a programelor de televiziune. Acesta este, printre altele, cazul serviciilor de radiodifuziune. De asemenea, serviciile de difuzare a programelor de televiziune nu pot fi limitate la serviciile „furnizate prin transmiterea datelor fără o cerere individuală de recepție simultană de către un număr nelimitat de receptoare individuale”, menționate la punctul 3 din anexa V la Directiva 98/34. Dacă s-ar urma această interpretare, servicii precum televiziunea disponibilă prin abonament, transmisă unui număr limitat de destinatari, ar fi excluse din noțiunea de „serviciu de difuzare a programelor de televiziune”, deși intră sub incidența acestei noțiuni, în temeiul criteriilor prevăzute la articolul 1 litera a) din Directiva 89/552.</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În sfârșit, la momentul adoptării Directivelor 98/34 și 98/48, legiuitorul comunitar nu a intenționat să modifice Directiva 89/552, care fusese ea însăși modificată cu mai puțin de un an înainte prin Directiva 97/36. Astfel, considerentul (20) al Directivei 98/48, care a modificat Directiva 98/34, prevede că Directiva 98/48 „nu aduce atingere domeniului de aplicare al Directivei 89/552”.</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Hotărârea din 12 septembrie 2019</w:t>
        </w:r>
      </w:hyperlink>
      <w:r>
        <w:t xml:space="preserve">, VG Media, C-299/17, punctul 38.</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„Normele tehnice” în domeniul proprietății intelectuale nu sunt excluse din domeniul de aplicare al directivei, spre deosebire de cele referitoare la serviciile de telecomunicații sau la serviciile financiare.</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t xml:space="preserve">38. [...] faptul că articolul 87 g alineatul (4) din UrhG face parte din legislația națională privind dreptul de autor sau drepturile conexe nu este de natură să repună în discuție această apreciere. Astfel, reglementările tehnice în materie de proprietate intelectuală nu sunt excluse în mod expres din domeniul de aplicare al articolului 1 alineatul (5) din Directiva 98/34, spre deosebire de cele care fac obiectul unei reglementări europene în materie de servicii de telecomunicații sau de servicii financiare. În plus, din Hotărârea din 8 noiembrie 2007, Schwibbert (C</w:t>
        <w:noBreakHyphen/>
        <w:t xml:space="preserve">20/05,), reiese că dispozițiile legislației naționale privind proprietatea intelectuală pot constitui o «reglementare tehnică» supusă notificării în temeiul articolului 8 alineatul (1) din această directivă.”</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 xml:space="preserve">Obligația de notificare</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Notificare în etapa de proiect</w:t>
      </w:r>
      <w:bookmarkEnd w:id="123"/>
      <w:bookmarkEnd w:id="124"/>
    </w:p>
    <w:p w14:paraId="27EBED2C" w14:textId="3CCBF668">
      <w:pPr>
        <w:pStyle w:val="BodyText"/>
        <w:rPr>
          <w:b/>
          <w:bCs/>
        </w:rPr>
      </w:pPr>
    </w:p>
    <w:p w14:paraId="58135D0C" w14:textId="021350D1">
      <w:pPr>
        <w:pStyle w:val="P68B1DB1-BodyText11"/>
        <w:ind w:left="567"/>
        <w:rPr>
          <w:iCs/>
        </w:rPr>
      </w:pPr>
      <w:r>
        <w:t xml:space="preserve">„Sub rezerva articolului 7, statele membre comunică de îndată Comisiei orice proiect de reglementare tehnică, cu excepția situației în care doar se transpune integral textul unui standard internațional sau european, caz în care este suficientă informația referitoare la standardul în cauză; de asemenea, acestea înaintează Comisiei o expunere a motivelor care fac necesară adoptarea unei astfel de reglementări tehnice, în cazul în care motivele respective nu au fost deja precizate în proiect.”</w:t>
      </w:r>
    </w:p>
    <w:p w14:paraId="79E57C28" w14:textId="77777777">
      <w:pPr>
        <w:pStyle w:val="BodyText"/>
        <w:ind w:left="567"/>
        <w:rPr>
          <w:i/>
          <w:iCs/>
        </w:rPr>
      </w:pPr>
    </w:p>
    <w:p w14:paraId="4348B9F9" w14:textId="1F348A6E">
      <w:pPr>
        <w:pStyle w:val="BodyText"/>
        <w:jc w:val="right"/>
      </w:pPr>
      <w:r>
        <w:t xml:space="preserve">[articolul 5 alineatul (1) prima teză din Directiva (UE) 2015/1535]</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Hotărârea din 2 august 1993</w:t>
        </w:r>
      </w:hyperlink>
      <w:r>
        <w:t xml:space="preserve">, Comisia/Italia, C-139/92, punctele 8 și 9</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Prin faptul că nu a notificat, în stadiul de proiect, un decret ministerial privind definirea și verificarea puterii maxime, precum și construirea și instalarea motoarelor pentru ambarcațiunile de agrement, Italia nu și-a îndeplinit obligațiile de notificare a proiectelor de reglementări tehnice.</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Guvernul italian nu contestă că nu a comunicat Comisiei decretul ministerial în cauză în stadiul de proiect.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Întrucât s-a stabilit că articolele 8 și 9 din directivă au fost încălcate, trebuie să se constate, în termenii solicitați de Comisie, existența unei neîndepliniri a obligațiilor.”</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Hotărârea din 14 iulie 1994</w:t>
        </w:r>
      </w:hyperlink>
      <w:r>
        <w:t xml:space="preserve">, Comisia/Țările de Jos, C-61/93, punctele 6 și 10.</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Prin adoptarea de decrete privind cerințele de rezistență pentru sticlele pentru băuturi răcoritoare și compoziția, clasificarea, ambalarea și etichetarea pesticidelor, fără a le notifica Comisiei în stadiul de proiect, Țările de Jos nu și-au îndeplinit obligațiile de notificare a proiectelor de reglementări tehnice.</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Într-o scrisoare din 17 noiembrie 1989, autoritățile neerlandeze au recunoscut că decretul din 16 ianuarie 1989 conținea standarde tehnice reglementate de Directiva 83/189 și că nu au notificat Comisiei proiectul de modificare. Cu toate acestea, acestea au subliniat că decretul a fost transmis Comisiei, anexat la o scrisoare din 22 mai 1989 prin care se furnizează acestei instituții informații cu privire la privatizarea autorităților competente în materie de măsuri și de măsuri.”</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Nu se contestă faptul că, în conformitate cu articolul 8 din directivă, proiectele de decrete din 16 ianuarie 1989, 24 august 1988 și 21 octombrie 1988 ar fi trebuit să fie notificate de îndată Comisiei în etapa de elaborare și că o astfel de notificare nu a fost transmisă.”</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Hotărârea din 14 iulie 1994</w:t>
        </w:r>
      </w:hyperlink>
      <w:r>
        <w:t xml:space="preserve">, Comisia/Țările de Jos, C-52/93, punctele 6 și 10.</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Prin modificarea regulamentului privind standardele de calitate pentru becurile de flori fără notificarea Comisiei în stadiul de proiect, Țările de Jos nu și-au îndeplinit obligațiile de notificare a proiectelor de reglementări tehnice.</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Prin scrisoarea din 4 noiembrie 1991, autoritățile neerlandeze au recunoscut că regulamentul în cauză este o reglementare tehnică în sensul Directivei 83/189 și că nu au notificat Comisiei proiectul de modificare.”</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Nu se contestă faptul că, în conformitate cu articolul 8 din directivă, proiectul de modificare XIII la Regulamentul PVS ar fi trebuit să fie notificat de îndată Comisiei și că o astfel de notificare nu a fost transmisă.”</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Hotărârea din 8 septembrie 2005</w:t>
        </w:r>
      </w:hyperlink>
      <w:r>
        <w:t xml:space="preserve">, Comisia/Portugalia, C-500/03, punctele 39-41</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Directiva impune statelor membre să notifice imediat Comisiei orice proiect de reglementare tehnică. Prin adoptarea unei reglementări tehnice fără notificarea Comisiei, Portugalia nu și-a îndeplinit obligațiile de notificare a proiectelor de reglementări tehnice.</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(Întrucât hotărârea este disponibilă numai în limbile franceză și portugheză, următorul text este o traducere.)</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Întrucât prezenta acțiune în constatarea neîndeplinirii obligațiilor se limitează la o cerere de constatare a neîndeplinirii procedurii oficiale de notificare prealabilă, este suficient să se arate, fără a fi necesar să se răspundă la celelalte argumente ale părților, că Curtea a statuat deja că articolul 8 alineatul (1) din Directiva 98/34 impune statelor membre să comunice imediat Comisiei orice proiect de reglementare tehnică (a se vedea în special în acest sens, în ceea ce privește dispoziții similare cu cele ale acestei directive, Hotărârea Tribunalului din 2 august 1993, Comisia/Italia, 139/92, Rec., p.</w:t>
        <w:noBreakHyphen/>
        <w:t xml:space="preserve">I 4707, punctul 3, și Hotărârea din 11 ianuarie 1996, Comisia/Țările de Jos, 273/94, Rec., p.</w:t>
        <w:noBreakHyphen/>
        <w:t xml:space="preserve">I-, punctul</w:t>
        <w:noBreakHyphen/>
        <w:t>31).</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Întrucât dispozițiile relevante ale Decretului nr. 783/98 constituie reglementări tehnice în sensul Directivei 98/34, astfel cum s-a arătat la punctul 31 din prezenta hotărâre, Republica Portugheză era obligată să le notifice sub formă de proiect în temeiul articolului 8 alineatul (1) din Directiva 98/34 (a se vedea în special în acest sens, în ceea ce privește dispoziții similare cu cele ale Directivei 98/34, Hotărârea din 7 mai 1998, Comisia/Belgia, 145/97,</w:t>
        <w:noBreakHyphen/>
        <w:t xml:space="preserve">Rec., p. I-2643</w:t>
        <w:noBreakHyphen/>
        <w:t xml:space="preserve">, punctul 13, și Hotărârea din 21 aprilie 2005, Lindberg, 267/03, </w:t>
        <w:noBreakHyphen/>
        <w:t xml:space="preserve">Rec., p. I-43, punctul).</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În consecință, trebuie să se constate că, prin adoptarea Ordinului nr. 783/98 fără să îl notifice Comisiei în stadiul de proiect, Republica Portugheză nu și-a îndeplinit obligațiile care îi revin în temeiul articolului 8 din Directiva 98/34.”</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Hotărârea din 26 octombrie 2006</w:t>
        </w:r>
      </w:hyperlink>
      <w:r>
        <w:t xml:space="preserve">, Comisia/Grecia, C-65/05, punctele 60-62.</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Directiva impune statelor membre să notifice imediat Comisiei orice proiect de reglementare tehnică. Prin faptul că nu a transmis o astfel de notificare înainte de adoptarea unei reglementări tehnice, Grecia nu și-a îndeplinit obligațiile care îi revin în temeiul prezentei directive.</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niciun element din Regulamentul nr. 1367/2006 nu permite să se considere că noțiunea „emisii în mediu” în sensul articolului 6 alineatul (1) prima teză din acest regulament trebuie să se limiteze la emisiile care provin de la anumite instalații industriale, precum fabricile și centralele electrice.</w:t>
      </w:r>
    </w:p>
    <w:p w14:paraId="4BFB9A72" w14:textId="77777777">
      <w:pPr>
        <w:pStyle w:val="P68B1DB1-BodyText25"/>
        <w:ind w:left="510"/>
      </w:pPr>
    </w:p>
    <w:p w14:paraId="0E60EA19" w14:textId="5C6F09B6">
      <w:pPr>
        <w:pStyle w:val="P68B1DB1-BodyText25"/>
        <w:ind w:left="510"/>
      </w:pPr>
      <w:r>
        <w:t xml:space="preserve">61. Această limitare nu poate să fie dedusă nici din Convenția de la Aarhus, de care trebuie să se țină seama în vederea interpretării Regulamentului nr. 1367/2006, din moment ce, după cum prevede articolul 1 din acesta, obiectul regulamentul amintit este de a contribui la executarea obligațiilor care decurg din această convenție prin stabilirea normelor de aplicare a dispozițiilor convenției menționate pentru instituțiile și organismele Uniunii.</w:t>
      </w:r>
    </w:p>
    <w:p w14:paraId="37017D07" w14:textId="77777777">
      <w:pPr>
        <w:pStyle w:val="P68B1DB1-BodyText25"/>
        <w:ind w:left="510"/>
      </w:pPr>
    </w:p>
    <w:p w14:paraId="36CD38D8" w14:textId="043FC15A">
      <w:pPr>
        <w:pStyle w:val="P68B1DB1-BodyText25"/>
        <w:ind w:left="510"/>
        <w:rPr>
          <w:iCs/>
        </w:rPr>
      </w:pPr>
      <w:r>
        <w:t xml:space="preserve">62. Dimpotrivă, după cum a subliniat Curtea la punctul 72 din Hotărârea pronunțată astăzi, Bayer CropScience și Stichting De Bijenstichting (C-442/14), o asemenea limitare ar fi contrară chiar modului de redactare a articolului 4 alineatul (4) primul paragraf litera (d) din Convenția de la Aarhus. Astfel, această dispoziție prevede că informațiile privind emisiile poluante relevante pentru protecția mediului trebuie dezvăluite. Informațiile privind emisiile care provin din alte surse decât instalațiile industriale, cum ar fi cele care rezultă din utilizarea produselor de protecție a plantelor pe plante sau pe sol, sunt la fel de relevante pentru protecția mediului ca informațiile referitoare la emisiile de origine industrială.”</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Notificări privind noi reglementări tehnice</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Hotărârea din 1 iunie 1994</w:t>
        </w:r>
      </w:hyperlink>
      <w:r>
        <w:t xml:space="preserve">, Comisia/Germania, C-317/92, punctele 25 și 26.</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Extinderea unei „reglementări tehnice” existente la produse noi face obiectul obligației de notificare, chiar dacă reglementarea tehnică inițială al cărei domeniu de aplicare este în curs de extindere a fost deja notificată Comisiei.</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Acest argument nu poate fi admis. Reglementarea germană în cauză constituie o nouă specificație tehnică în sensul articolului 1, citat anterior, întrucât instrumentele medicale sterile nereutilizabile pot fi comercializate sau utilizate de acum înainte în Germania numai dacă sunt îndeplinite anumite obligații a căror aplicare se limita anterior la etichetarea medicamentelor. Aplicarea, în privința unor produse determinate, a unei norme care nu privea anterior decât alte produse constituie, în ceea ce îl privește pe primul, un nou regulament și, prin urmare, trebuie notificată în conformitate cu directiva.</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Această constatare nu este repusă în discuție de faptul că, astfel cum susține guvernul german, extinderea domeniului de aplicare al normei se întemeiază pe o dispoziție de abilitare care a fost comunicată în prealabil Comisiei. Această măsură de abilitare, adoptată ca atare, nu necesită o notificare în temeiul articolului 8 menționat anterior, întrucât nu constituie o nouă specificație. Situația este diferită în ceea ce privește punerea în aplicare a acestei măsuri, care constituie un nou caiet de sarcini care trebuie notificat.”</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Hotărârea din 3 iunie 1999</w:t>
        </w:r>
      </w:hyperlink>
      <w:r>
        <w:rPr>
          <w:b/>
          <w:i/>
          <w:sz w:val="22"/>
          <w:szCs w:val="22"/>
        </w:rPr>
        <w:t xml:space="preserve">, Colim NV, C-33/189, punctul 22.</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O măsură națională care reproduce sau înlocuiește „reglementările tehnice” existente, care au fost deja notificate Comisiei, fără a adăuga specificații noi, nu constituie un proiect de „reglementare tehnică”.</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 obiectivul Directivei 83/189 este de a proteja, printr-un control preventiv, libera circulație a mărfurilor, care constituie unul dintre fundamentele Comunității (Hotărârea din 1997 iulie 1753, Bic Benelux, C-13/96, nepublicată încă în Repertoriu, punctul 19). Această monitorizare urmărește să elimine sau să reducă barierele din calea liberei circulații a mărfurilor care ar putea rezulta din reglementările tehnice pe care statele membre intenționează să le adopte. O măsură națională care reproduce sau înlocuiește, fără a adăuga specificații noi sau suplimentare, reglementările tehnice existente care, dacă sunt adoptate după intrarea în vigoare a Directivei 83/189, au fost notificate în mod corespunzător Comisiei, nu poate fi considerată un «proiect» de reglementare tehnică în sensul articolului 1 alineatul (6) din Directiva 83/189 și, în consecință, nu poate fi considerată ca fiind supusă obligației de notificare.”</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Hotărârea Lindberg din 21 aprilie 2005</w:t>
        </w:r>
      </w:hyperlink>
      <w:r>
        <w:t xml:space="preserve">, C-267/03, punctele 82 și 85.</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O normă care se limitează să reproducă sau să înlocuiască normele deja notificate fără a adăuga noi „reglementări tehnice” nu trebuie notificată.</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trebuie arătat mai întâi că o măsură națională care reproduce sau înlocuiește, fără a adăuga specificații noi sau suplimentare, reglementările tehnice existente care, dacă sunt adoptate după intrarea în vigoare a Directivei 83/189, au fost notificate în mod corespunzător Comisiei, nu poate fi considerată un „proiect” de reglementare tehnică în sensul articolului 1 alineatul (9) din Directiva 83/189 și nici, în consecință, supusă obligației de notificare (a se vedea Hotărârea Colim, citată anterior, punctul 22). În cazul de față, ar trebui luată în considerare data intrării în vigoare a Directivei 83/189 în ceea ce privește Regatul Suediei.”</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Având în vedere cele de mai sus, trebuie să se răspundă la a treia întrebare că redefinirea în legislația națională a unui serviciu legat de proiectarea unui produs, în special cea de exploatare a anumitor aparate de jocuri, astfel cum a procedat Legea din 1996, poate constitui o reglementare tehnică care trebuie notificată în temeiul Directivei 83/189, dacă această nouă reglementare nu se limitează să reproducă sau să înlocuiască, fără a adăuga specificații noi sau suplimentare, reglementările tehnice existente care, în cazul în care au fost adoptate după intrarea în vigoare a Directivei 83/189 în statul membru în cauză, au fost notificate în mod corespunzător Comisiei.”</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Hotărârea din 13 martie 2025</w:t>
        </w:r>
      </w:hyperlink>
      <w:r>
        <w:rPr>
          <w:rFonts w:ascii="Times New Roman" w:hAnsi="Times New Roman" w:cs="Times New Roman" w:eastAsia="Times New Roman"/>
          <w:b/>
          <w:i/>
          <w:szCs w:val="20"/>
        </w:rPr>
        <w:t xml:space="preserve">, Uniames UAB, C-120/24, punctele 57 și 58.</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Trebuie notificată o modificare a unui proiect de reglementare tehnică care extinde în mod substanțial domeniul său de aplicare. O modificare care introduce sancțiuni pentru noi comportamente trebuie privită ca o revizuire substanțială a unei reglementări tehnice.</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Din cererea de decizie preliminară reiese că articolul 10 alineatul (19) din Legea privind jocurile de noroc a „revizuit în mod substanțial” interdicția de a încuraja participarea la jocurile de noroc. În special, instanța de trimitere arată că comportamentul reproșat Uniames în temeiul legii în vigoare, care constă în publicarea pe site-ul internet al acestei societăți a unor informații referitoare la activitățile de jocuri de noroc pe care le oferă, nu putea fi sancționat în temeiul vechii Legi privind jocurile de noroc. Prin urmare, potrivit instanței de trimitere, acest articol 10 alineatul (19) a extins domeniul de aplicare al acestei interdicții.</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Rezultă astfel din indicațiile care figurează în cererea de decizie preliminară că articolul 10 alineatul (19) din Legea privind jocurile de noroc a adăugat cerințe noi sau suplimentare, în sensul jurisprudenței amintite la punctul 52 din prezenta hotărâre, în raport cu articolul 10 alineatul (19) din fosta Lege privind jocurile de noroc. Rezultă că, sub rezerva eventualelor verificări care trebuie efectuate de instanța de trimitere, modificarea care a dat naștere legii în vigoare ar fi trebuit să fie notificată în temeiul articolului 5 alineatul (1) primul paragraf din Directiva 2015/1535.”</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Notificarea textului integral</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Curte: Hotărârea din 16 septembrie 1997</w:t>
        </w:r>
      </w:hyperlink>
      <w:r>
        <w:t xml:space="preserve">, Comisia/Italia, C-279/94, punctele 38 și 42</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Un text care conține „reglementări tehnice” trebuie notificat în întregime, inclusiv măsuri care nu sunt „reglementări tehnice”, chiar dacă numai „reglementările tehnice” fac obiectul perioadei de așteptare.</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În ceea ce privește obligația guvernului italian de a comunica textul integral al Legii nr. 257/92, inclusiv dispozițiile care nu constituie reglementări tehnice, trebuie observat că, în conformitate cu articolul 8 alineatul (1) primul paragraf ultima teză din directivă, statele membre trebuie de asemenea să comunice Comisiei textul actelor cu putere de lege sau al normelor administrative de bază vizate în principal și direct, în cazul în care cunoașterea acestui text este necesară pentru evaluarea implicațiilor proiectului de reglementare tehnică.”</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Cu toate acestea, simplul fapt că toate dispozițiile Legii nr. 257/92 sunt notificate Comisiei nu împiedică Republica Italiană să intre în vigoare imediat și, prin urmare, fără a aștepta rezultatele procedurii de examinare prevăzute de directivă, dispozițiile care nu constituie reglementări tehnice.”</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Notificarea dispozițiilor de bază </w:t>
      </w:r>
      <w:bookmarkEnd w:id="139"/>
      <w:r>
        <w:t>vizate</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„Dacă este cazul și cu excepția cazului în care a fost deja trimis cu o comunicare prealabilă, statele membre comunică simultan Comisiei textul actelor cu putere de lege sau al normelor administrative de bază vizate în principal și direct, în cazul în care cunoașterea acestui text este necesară pentru evaluarea implicațiilor proiectului de reglementare tehnică.”</w:t>
      </w:r>
    </w:p>
    <w:p w14:paraId="3C018828" w14:textId="77777777">
      <w:pPr>
        <w:pStyle w:val="BodyText"/>
        <w:ind w:left="1440"/>
        <w:jc w:val="right"/>
        <w:rPr>
          <w:i/>
          <w:iCs/>
        </w:rPr>
      </w:pPr>
    </w:p>
    <w:p w14:paraId="21D14611" w14:textId="15758967">
      <w:pPr>
        <w:pStyle w:val="BodyText"/>
        <w:ind w:left="1440"/>
        <w:jc w:val="right"/>
      </w:pPr>
      <w:r>
        <w:t xml:space="preserve">[articolul 5 alineatul (1) a doua teză din Directiva (UE) 2015/1535]</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Hotărârea din 7 mai 1998</w:t>
        </w:r>
      </w:hyperlink>
      <w:r>
        <w:t xml:space="preserve">, Comisia/Belgia, C-145/97, punctele 11 și 12</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Statele membre trebuie să comunice nu numai proiectul de text care conține „reglementările tehnice”, ci și textul actelor cu putere de lege sau al normelor administrative de bază vizate în principal și direct. Scopul acestei obligații este de a permite Comisiei să dispună de cât mai multe informații posibil și, astfel, să își exercite în mod efectiv competențele care îi sunt conferite prin directivă.</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În al doilea rând, în ceea ce privește întinderea exactă a obligației de comunicare, articolul 8 alineatul (1) primul paragraf ultima teză din directivă prevede că statele membre comunică de asemenea textele actelor cu putere de lege și ale normelor administrative de bază vizate în principal și în mod direct, în cazul în care cunoașterea acestui text este necesară pentru evaluarea implicațiilor proiectului de reglementare tehnică.</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Astfel cum a precizat Curtea în hotărârea sa în cauza C-279/94, Comisia/Italia, Rec., 1997, p. I-4743, punctul 40, scopul acestei dispoziții este de a permite Comisiei să dispună de cât mai multe informații cu privire la orice proiect de regulament tehnic cu privire la conținutul, domeniul de aplicare și contextul său general, pentru a-i permite să își exercite cât mai eficient posibil competențele care îi sunt conferite prin directivă.”</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Renotificare</w:t>
      </w:r>
      <w:bookmarkEnd w:id="143"/>
      <w:r>
        <w:t xml:space="preserve"> în timpul perioadei de așteptare</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„Statele membre comunică din nou Comisiei proiectul de reglementare tehnică, în condițiile prevăzute la primul și al doilea paragraf din prezentul alineat, în cazul în care aduc modificări proiectului care au ca efect modificarea semnificativă a domeniului său de aplicare, scurtarea calendarului prevăzut inițial pentru punerea în aplicare, adăugarea de specificații sau cerințe sau transformarea acestora din urmă într-un mod mai restrictiv.”</w:t>
      </w:r>
    </w:p>
    <w:p w14:paraId="3E582DDB" w14:textId="77777777">
      <w:pPr>
        <w:pStyle w:val="BodyText"/>
        <w:ind w:left="1440"/>
        <w:jc w:val="right"/>
        <w:rPr>
          <w:i/>
          <w:iCs/>
        </w:rPr>
      </w:pPr>
    </w:p>
    <w:p w14:paraId="57E3F15D" w14:textId="51B7D3EF">
      <w:pPr>
        <w:pStyle w:val="BodyText"/>
        <w:ind w:left="1440"/>
        <w:jc w:val="right"/>
      </w:pPr>
      <w:r>
        <w:t xml:space="preserve">[articolul 5 alineatul (1) a treia teză din Directiva (UE) 2015/1535]</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Hotărârea din 15 aprilie 2010</w:t>
        </w:r>
      </w:hyperlink>
      <w:r>
        <w:t xml:space="preserve">, Sandström, C-433/05, punctele 47 și 48.</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Modificările aduse unui proiect de reglementare tehnică deja notificat Comisiei care se limitează la relaxarea condițiilor de utilizare a produsului în cauză nu constituie o modificare semnificativă care necesită o notificare suplimentară.</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având în vedere obiectivul Directivei 98/34, amintit la punctul 41 din prezenta hotărâre, modificările aduse unui proiect de reglementare tehnică deja notificat Comisiei în temeiul articolului 8 alineatul (1) primul paragraf din Directiva 98/34, care conțin, în ceea ce privește proiectul notificat, o simplă relaxare a condițiilor de utilizare a produsului în cauză și care, prin urmare, reduc impactul posibil al reglementării tehnice asupra comerțului, nu constituie o modificare semnificativă a proiectului în sensul articolului 8 alineatul (1) al treilea paragraf din această directivă. În consecință, astfel de modificări nu sunt supuse obligației de notificare prealabilă.</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Deși, în temeiul articolului 8 alineatul (3) din Directiva 98/34, statele membre comunică fără întârziere Comisiei textul definitiv al unei reglementări tehnice, necomunicarea unei modificări nesemnificative a unui astfel de regulament înainte de adoptarea sa nu afectează aplicabilitatea acestui regulament, în cazul în care nu există nicio obligație de notificare prealabilă.”</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Hotărârea din 31 ianuarie 2013</w:t>
        </w:r>
      </w:hyperlink>
      <w:r>
        <w:t xml:space="preserve">, Belgische Petroleum Unie și alții, C-26/11, punctele 56 și 57.</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Directiva nu impune renotificarea proiectului de legislație națională în cazul în care, după notificare, proiectul a fost modificat pentru a ține seama de observațiile Comisiei, iar proiectul modificat a fost comunicat ulterior Comisiei.</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 în aceste condiții, Regatul Belgiei s-a limitat să modifice dispozițiile proiectului de lege în conformitate cu o cerere a Comisiei de eliminare a unei bariere în calea comerțului, astfel încât, în temeiul articolului 10 alineatul (1) ultima liniuță din Directiva 98/34, obligația de notificare a Comisiei în temeiul articolului 8 alineatul (1) primul paragraf din această directivă nu se aplică proiectului de lege privind obligația de combinare.</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În aceste condiții, trebuie să se răspundă la a doua întrebare că articolul 8 din Directiva 98/34 coroborat cu articolul 10 alineatul (1) ultima liniuță din această directivă trebuie interpretat în sensul că nu impune notificarea unui proiect de reglementare națională care obligă societățile petroliere care introduc pe piață benzină și/sau motorină să introducă pe piață, în același an calendaristic, și anumite procente de biocarburanți, atunci când, după ce a fost notificat în temeiul articolului 8 alineatul (1) primul paragraf, proiectul a fost modificat pentru a ține seama de observațiile Comisiei cu privire la acesta, iar proiectul modificat a fost ulterior comunicat Comisiei.”</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Hotărârea din 10 iulie 2014,</w:t>
        </w:r>
      </w:hyperlink>
      <w:r>
        <w:rPr>
          <w:b/>
          <w:i/>
        </w:rPr>
        <w:t xml:space="preserve"> Ivansson și alții</w:t>
      </w:r>
      <w:r>
        <w:rPr>
          <w:b/>
          <w:i/>
        </w:rPr>
        <w:t>,</w:t>
      </w:r>
      <w:r>
        <w:rPr>
          <w:rFonts w:ascii="Open Sans" w:hAnsi="Open Sans" w:cs="Open Sans" w:eastAsiaTheme="minorHAnsi"/>
          <w:color w:val="000000"/>
          <w:sz w:val="18"/>
          <w:szCs w:val="18"/>
        </w:rPr>
        <w:t xml:space="preserve"> </w:t>
      </w:r>
      <w:r>
        <w:rPr>
          <w:b/>
          <w:i/>
        </w:rPr>
        <w:t xml:space="preserve">C-307/13, punctele 48-50</w:t>
      </w:r>
      <w:r>
        <w:rPr>
          <w:sz w:val="25"/>
        </w:rPr>
        <w:t>.</w:t>
      </w:r>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Orice modificare semnificativă a calendarului de punere în aplicare a unei măsuri naționale, inclusiv o reducere substanțială, trebuie comunicată Comisiei. Lipsa notificării face ca măsura să fie inaplicabilă și inaplicabilă persoanelor fizice.</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În această privință, trebuie amintit că Curtea a statuat că nerespectarea obligației de notificare constituie un viciu de procedură în adoptarea reglementărilor tehnice în cauză și face ca aceste reglementări tehnice să fie inaplicabile și, prin urmare, inopozabile particularilor (a se vedea în special Hotărârea CIA Security International, C-194/94, punctul 54, și Hotărârea Schwibbert, C-20/05, punctul 44). Particularii pot invoca această inaplicabilitate în fața instanței naționale care trebuie să refuze aplicarea unei reglementări tehnice naționale care nu a fost notificată în conformitate cu Directiva 98/34 (a se vedea în special Hotărârea Schwibbert, punctul 44 și jurisprudența citată).</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Rezultă că, în cazul în care comunicarea către Comisie a articolului 9 din DSF ar conține efectiv data de 1 mai 2003 ca dată de intrare în vigoare, iar scurtarea calendarului său de punere în aplicare până la 15 aprilie 2003 ar avea un caracter semnificativ, lipsa unei noi comunicări a acestei dispoziții naționale către Comisie ar face inopozabilă pârâtelor din litigiul principal.</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Prin urmare, trebuie să se răspundă la a doua întrebare că, în cazul în care scurtarea calendarului de intrare în vigoare a unei reglementări tehnice este supusă obligației de comunicare către Comisie, astfel cum este prevăzută la articolul 8 alineatul (1) al treilea paragraf din Directiva 98/34, lipsa unei astfel de comunicări ar determina inaplicabilitatea măsurii naționale menționate, astfel încât aceasta nu ar putea fi opozabilă particularilor.”</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Excepții de la obligația de notificare</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Transpunerea unui act european</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„Articolele 5 și 6 nu se aplică actelor cu putere de lege și actelor administrative ale statelor membre sau acordurilor voluntare prin care statele membre: </w:t>
      </w:r>
    </w:p>
    <w:p w14:paraId="2762B474" w14:textId="77777777">
      <w:pPr>
        <w:pStyle w:val="BodyText"/>
        <w:ind w:left="567"/>
        <w:rPr>
          <w:i/>
        </w:rPr>
      </w:pPr>
    </w:p>
    <w:p w14:paraId="753FC221" w14:textId="4E9C46C0">
      <w:pPr>
        <w:pStyle w:val="P68B1DB1-BodyText11"/>
        <w:ind w:left="1440"/>
        <w:rPr>
          <w:iCs/>
        </w:rPr>
      </w:pPr>
      <w:r>
        <w:t xml:space="preserve">(a) respectă actele obligatorii ale Uniunii care conduc la adoptarea de specificații tehnice sau de norme cu privire la servicii;”</w:t>
      </w:r>
    </w:p>
    <w:p w14:paraId="2A077376" w14:textId="77777777">
      <w:pPr>
        <w:pStyle w:val="BodyText"/>
        <w:ind w:left="567"/>
        <w:rPr>
          <w:i/>
          <w:iCs/>
        </w:rPr>
      </w:pPr>
    </w:p>
    <w:p w14:paraId="7AE538ED" w14:textId="4CFA3BCA">
      <w:pPr>
        <w:pStyle w:val="BodyText"/>
        <w:jc w:val="right"/>
      </w:pPr>
      <w:r>
        <w:t xml:space="preserve">[Articolul 7 alineatul (1) litera (a) din Directiva (UE) 2015/1535]</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Hotărârea din 17 septembrie 1996</w:t>
        </w:r>
      </w:hyperlink>
      <w:r>
        <w:t xml:space="preserve">, Comisia/Italia, C-289/94, punctele 43-45</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Pentru ca o măsură națională să poată fi considerată o măsură de transpunere exceptată de la notificare, trebuie să se stabilească o legătură directă cu un act comunitar obligatoriu.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Directiva 91/492 conține, la rândul său, dispoziții mult mai ample privind comercializarea nu numai a moluștelor bivalve, ci și a gasteropodelor marine, a tunicatelor și a echinodermelor. Aceasta stabilește noi cerințe pentru toate etapele de colectare, manipulare, depozitare, transport și distribuție a moluștelor și introduce, de asemenea, un sistem de înregistrare și marcare care să permită identificarea originii fiecărui lot în scopuri sanitare.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Pe de altă parte, lipsa unei legături directe între Directiva 91/492 și cele două decrete în cauză este confirmată de afirmația guvernului italian potrivit căreia această directivă a fost transpusă în ordinea juridică italiană prin Decretul legislativ nr. 530 din 30 decembrie 1992, menționat mai sus, care, după cum afirmă ea însăși, constituie singura măsură de punere în aplicare a Directivei 91/492 și cu privire la care Comisia a transmis, la 27 ianuarie 1993, un aviz detaliat prin care critică decretul menționat în măsura în care se aplica unei alte toxine (NSP) care nu este menționată în Directiva 91/492.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Întrucât nu constituie măsuri de transpunere a Directivei 91/492 de natură să justifice aplicarea articolului 10 din Directiva 83/189, Decretul nr. 257 din 1 august 1990 și Decretul din 1 septembrie 1990 trebuiau notificate Comisiei în temeiul articolului 8 din această din urmă directivă.”</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Hotărârea din 26 septembrie 2000</w:t>
        </w:r>
      </w:hyperlink>
      <w:r>
        <w:t xml:space="preserve">, Unilever, C-443/98, punctele 28 și 29.</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Atunci când statele membre dispun de o marjă largă de apreciere în transpunerea unei directive a Uniunii, măsurile naționale adoptate în acest sens nu pot fi considerate dispoziții naționale „conforme cu un act comunitar obligatoriu”.</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În al doilea rând, guvernul italian susține că legea atacată a fost scutită de obligația de notificare prevăzută la articolul 10 din Directiva 83/189, întrucât a fost adoptată în conformitate cu Directiva 79/112/CEE a Consiliului din 18 decembrie 1978 privind apropierea legislațiilor statelor membre referitoare la etichetarea și prezentarea produselor alimentare, precum și la publicitatea acestora destinate vânzării către consumatorul final (JO 1979, L 33, p. 1). Articolul 3 alineatul (1) punctul (7) din această directivă impune ca locul de origine sau de proveniență a produsului să fie indicat pe etichetă în cazurile în care omiterea unor astfel de informații ar putea induce în eroare consumatorii cu privire la originea sau proveniența reală a produsului alimentar.</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Această teză nu poate fi reținută. Astfel cum a subliniat Comisia, această dispoziție a Directivei 79/112, redactată în termeni generali, lasă statelor membre o marjă de manevră suficientă pentru a concluziona că normele naționale privind etichetarea referitoare la origine, precum cele adoptate în legea atacată, nu pot fi considerate dispoziții naționale conforme cu un act comunitar obligatoriu în sensul articolului 10 alineatul (1) prima liniuță din Directiva 83/189.”</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Hotărârea din 22 ianuarie 2000</w:t>
        </w:r>
      </w:hyperlink>
      <w:r>
        <w:t xml:space="preserve">, Canal Satélite Digital, C-390/99, punctul 48.</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Dispozițiile naționale de transpunere a măsurilor comunitare obligatorii care conțin „specificații tehnice” nu sunt supuse obligației de notificare, cu condiția să se limiteze strict la o astfel de transpunere.</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În ceea ce privește a doua parte a celei de a treia întrebări, referitoare la obligația, în temeiul articolului 8 din Directiva 83/189, de a comunica Comisiei orice proiect de reglementare tehnică, articolul 10 din această directivă arată că articolele 8 și 9 nu se aplică actelor cu putere de lege și actelor administrative ale statelor membre sau acordurilor voluntare încheiate de acestea, prin care statele membre se conformează unor măsuri comunitare obligatorii care conduc la adoptarea de specificații tehnice. Astfel, în măsura în care reglementarea națională în discuție în litigiul principal transpune Directiva 95/47 și numai în această măsură, nu va exista nicio obligație de notificare în temeiul Directivei 83/189.”</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Hotărârea din 8 septembrie 2005</w:t>
        </w:r>
      </w:hyperlink>
      <w:r>
        <w:t xml:space="preserve">, Comisia/Portugalia, C-500/03, punctele 34 și 35</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Dispozițiile naționale care stabilesc caracteristicile ambarcațiunilor de agrement nu pot beneficia de exceptarea de la notificare rezervată transpunerii, atunci când directiva invocată lasă statelor membre libertatea de a defini condițiile pe care le consideră necesare pentru protecția mediului, a configurației și a siguranței căilor navigabile.</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(Având în vedere că hotărârea este disponibilă exclusiv în limbile franceză și portugheză, următorul text este o traducere.)</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 Statele membre au dreptul, prevăzut la articolul 2 alineatul (2) din Directiva 94/25, să definească, la nivel național, condițiile pe care le consideră necesare în ceea ce privește navigația în anumite ape pentru a proteja mediul și structura căilor navigabile și pentru a asigura siguranța în aceste ape. Totuși, aceste dispoziții naționale nu pot fi considerate în niciun caz ca fiind adoptate în vederea respectării unui act comunitar obligatoriu.</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Rezultă că Regulamentul privind navigația în lagune, care introduce limite tehnice pentru ambarcațiunile de agrement în temeiul articolului 2 alineatul (2) din Directiva 94/25, nu intră în domeniul de aplicare al articolului 10 alineatul (1) prima liniuță din Directiva 98/34.”</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Utilizarea unei clauze de salvgardare</w:t>
      </w:r>
      <w:bookmarkEnd w:id="158"/>
      <w:bookmarkEnd w:id="159"/>
    </w:p>
    <w:p w14:paraId="19EB441C" w14:textId="77777777">
      <w:pPr>
        <w:pStyle w:val="BodyText"/>
        <w:ind w:left="567"/>
      </w:pPr>
    </w:p>
    <w:p w14:paraId="3421D751" w14:textId="45643AD7">
      <w:pPr>
        <w:pStyle w:val="P68B1DB1-BodyText11"/>
        <w:ind w:left="567"/>
        <w:rPr>
          <w:iCs/>
        </w:rPr>
      </w:pPr>
      <w:r>
        <w:t xml:space="preserve">„Articolele 5 și 6 </w:t>
      </w:r>
      <w:r>
        <w:rPr>
          <w:i w:val="0"/>
        </w:rPr>
        <w:t xml:space="preserve">[privind obligația de notificare și perioada de așteptare] </w:t>
      </w:r>
      <w:r>
        <w:t xml:space="preserve">nu se aplică actelor cu putere de lege și actelor administrative ale statelor membre sau acordurilor voluntare prin care statele membre: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(c) să utilizeze clauzele de salvgardare prevăzute în actele obligatorii ale Uniunii;”</w:t>
      </w:r>
    </w:p>
    <w:p w14:paraId="3AF0BFA4" w14:textId="77777777">
      <w:pPr>
        <w:pStyle w:val="P68B1DB1-BodyText11"/>
        <w:ind w:left="567"/>
        <w:rPr>
          <w:iCs/>
        </w:rPr>
      </w:pPr>
    </w:p>
    <w:p w14:paraId="6099E717" w14:textId="6C5840E7">
      <w:pPr>
        <w:pStyle w:val="BodyText"/>
        <w:jc w:val="right"/>
      </w:pPr>
      <w:r>
        <w:t xml:space="preserve">[Articolul 7 alineatul (1) litera (c) din Directiva (UE) 2015/1535]</w:t>
      </w:r>
    </w:p>
    <w:p w14:paraId="0B43480F" w14:textId="77777777">
      <w:pPr>
        <w:pStyle w:val="BodyText"/>
        <w:jc w:val="right"/>
      </w:pPr>
    </w:p>
    <w:p w14:paraId="2F300DBD" w14:textId="39C2EC6A">
      <w:pPr>
        <w:pStyle w:val="P68B1DB1-BodyText11"/>
        <w:ind w:left="567"/>
        <w:rPr>
          <w:iCs/>
        </w:rPr>
      </w:pPr>
      <w:r>
        <w:t xml:space="preserve">„Măsurile de armonizare prevăzute anterior includ, atunci când este cazul, o clauză de salvgardare care autorizează statele membre să adopte, din unul sau mai multe dintre motivele fără caracter economic prevăzute la articolul 36, măsuri provizorii care fac obiectul unei proceduri de control a Uniunii.”</w:t>
      </w:r>
    </w:p>
    <w:p w14:paraId="618BDE87" w14:textId="77777777">
      <w:pPr>
        <w:pStyle w:val="BodyText"/>
        <w:jc w:val="right"/>
      </w:pPr>
    </w:p>
    <w:p w14:paraId="4DE4DD33" w14:textId="77777777">
      <w:pPr>
        <w:pStyle w:val="BodyText"/>
        <w:jc w:val="right"/>
      </w:pPr>
      <w:r>
        <w:t xml:space="preserve">[Articolul 114 alineatul (10) din Tratatul privind funcționarea Uniunii Europene]</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Hotărârea din 8 septembrie 2005</w:t>
        </w:r>
      </w:hyperlink>
      <w:r>
        <w:t xml:space="preserve">, Comisia/Portugalia, C-500/03, punctele 34 și 35</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Dispozițiile naționale care creează măsuri permanente nu pot beneficia de exceptarea de la notificare rezervată pentru clauzele de salvgardare, deoarece, prin definiție, acestea din urmă includ doar măsuri provizorii.</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(Întrucât hotărârea este disponibilă numai în limbile franceză și portugheză, următorul text este o traducere.)</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Întrucât prezenta acțiune în constatarea neîndeplinirii obligațiilor se limitează la o cerere de constatare a neîndeplinirii procedurii oficiale de notificare prealabilă, este suficient să se arate, fără a fi necesar să se răspundă la celelalte argumente ale părților, că Curtea a statuat deja că articolul 8 alineatul (1) din Directiva 98/34 impune statelor membre să comunice imediat Comisiei orice proiect de reglementare tehnică (a se vedea în special în acest sens, în ceea ce privește dispoziții similare cu cele ale acestei directive, Hotărârea din 2 august 1993, Comisia/Italia, C-139/92, Rec., p. I-4707, punctul 3, și Hotărârea din 11 ianuarie 1996, Comisia/Țările de Jos, C-273/94, Rec., p. I-31, punctul 15).</w:t>
      </w:r>
    </w:p>
    <w:p w14:paraId="4A696586" w14:textId="77777777">
      <w:pPr>
        <w:pStyle w:val="BodyText"/>
        <w:ind w:left="567"/>
        <w:rPr>
          <w:i/>
          <w:iCs/>
          <w:sz w:val="20"/>
          <w:szCs w:val="16"/>
        </w:rPr>
      </w:pPr>
    </w:p>
    <w:p w14:paraId="7FC8797C" w14:textId="46BA7B1B">
      <w:pPr>
        <w:pStyle w:val="P68B1DB1-BodyText25"/>
        <w:ind w:left="567"/>
        <w:jc w:val="left"/>
      </w:pPr>
      <w:r>
        <w:t xml:space="preserve">40. Întrucât dispozițiile relevante ale Decretului nr. 783/98 constituie reglementări tehnice în sensul Directivei 98/34, astfel cum s-a arătat la punctul 31 din prezenta hotărâre, Republica Portugheză era obligată să le notifice sub formă de proiect în temeiul articolului 8 alineatul (1) din Directiva 98/34 (a se vedea în special în acest sens, în ceea ce privește dispoziții similare cu cele ale Directivei 98/34, Hotărârea din 7 mai 1998, Comisia/Belgia, C-145/97, Rec., p. I-2643, punctul 13, și Hotărârea din 21 aprilie 2005, Lindberg, C-267/03, Rec., p. I-43, punctul).”</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Hotărârea din 8 octombrie 2020</w:t>
        </w:r>
      </w:hyperlink>
      <w:r>
        <w:t xml:space="preserve">, Union des industries de la protection des plantes, C-514/19, punctele 46 și 47.</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(făcând trimitere </w:t>
      </w:r>
      <w:hyperlink r:id="rId93" w:history="1">
        <w:r>
          <w:rPr>
            <w:rStyle w:val="Hyperlink"/>
            <w:rFonts w:ascii="Times New Roman" w:hAnsi="Times New Roman" w:cs="Times New Roman" w:eastAsia="Times New Roman"/>
            <w:b/>
            <w:i/>
            <w:color w:val="0000FF"/>
            <w:szCs w:val="20"/>
          </w:rPr>
          <w:t xml:space="preserve">la Concluziile avocatului general Kokott</w:t>
        </w:r>
      </w:hyperlink>
      <w:r>
        <w:rPr>
          <w:rFonts w:ascii="Times New Roman" w:hAnsi="Times New Roman" w:cs="Times New Roman" w:eastAsia="Times New Roman"/>
          <w:b/>
          <w:i/>
          <w:szCs w:val="20"/>
        </w:rPr>
        <w:t xml:space="preserve">, punctul 58)</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O clauză care corespunde definiției de la articolul 114 din Tratatul privind funcționarea Uniunii Europene este o clauză de salvgardare, chiar dacă nu este menționată în actul care o prevede. Prin urmare, aceasta beneficiază de o derogare de la obligația de notificare.</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(Hotărârea Curții)</w:t>
      </w:r>
      <w:r>
        <w:rPr>
          <w:i/>
        </w:rPr>
        <w:t xml:space="preserve"> „46 [...] articolul 71 alineatul (1) din regulamentul respectiv trebuie tratat ca o clauză de salvgardare, astfel cum a arătat avocatul general la punctul 58 din concluzii.</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Diferența dintre procedurile prevăzute la articolul 5 din directiva menționată și, respectiv, la articolul 71 din regulamentul menționat este confirmată, așadar, de articolul 7 alineatul (1) litera (c) din directiva menționată, care prevede că articolele 5 și 6 din directiva menționată nu se aplică dispozițiilor statelor membre prin care acestea din urmă recurg la clauzele de salvgardare prevăzute de actele obligatorii ale Uniunii.”</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(avizul avocatului general Kokott)</w:t>
      </w:r>
      <w:r>
        <w:rPr>
          <w:i/>
        </w:rPr>
        <w:t xml:space="preserve"> </w:t>
      </w:r>
      <w:bookmarkStart w:id="163" w:name="point58"/>
      <w:r>
        <w:rPr>
          <w:i/>
        </w:rPr>
        <w:t>„</w:t>
      </w:r>
      <w:bookmarkEnd w:id="163"/>
      <w:r>
        <w:rPr>
          <w:i/>
        </w:rPr>
        <w:t xml:space="preserve">58.      Deși, spre deosebire de unele reglementări comparabile, articolul 71 din Regulamentul privind produsele fitosanitare nu este intitulat „Clauza de salvgardare”, conținutul acestei dispoziții corespunde definiției clauzelor de salvgardare prevăzute la articolul 114 alineatul (10) TFUE. Prin urmare, aceasta poate fi considerată, de asemenea, o clauză de salvgardare în sensul articolului 7 alineatul (1) litera (c) din Directiva privind notificarea.”</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Hotărârea din 9 martie 2023</w:t>
        </w:r>
      </w:hyperlink>
      <w:r>
        <w:rPr>
          <w:rFonts w:ascii="Times New Roman" w:hAnsi="Times New Roman" w:cs="Times New Roman" w:eastAsia="Times New Roman"/>
          <w:b/>
          <w:i/>
          <w:szCs w:val="20"/>
        </w:rPr>
        <w:t xml:space="preserve">, Vapo Atlantic</w:t>
        <w:noBreakHyphen/>
        <w:t xml:space="preserve">, C 604/21, punctele 55-57.</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O excepție de la obligația de notificare bazată pe o „clauză de salvgardare” este posibilă numai dacă actul de armonizare invocat conține în mod explicit o clauză care corespunde definiției prevăzute la articolul 114 din Tratatul privind funcționarea Uniunii Europene.</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Trebuie arătat că primele două paragrafe ale articolului 4 alineatul (1) din Directiva 2009/30 se limitează la a stabili statelor membre un termen pentru transpunerea acesteia, și anume cel târziu la 31 decembrie 2010, prin acte cu putere de lege sau acte administrative necesare în acest scop, impunându-le totodată să comunice de îndată Comisiei textul acestor măsuri. Al treilea paragraf al dispoziției menționate prevede la rândul său că, atunci când statele membre adoptă aceste măsuri, ele conțin o trimitere la Directiva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OR, niciun element din textul articolului 4 alineatul (1) din Directiva 2009/30 nu lasă să se înțeleagă că legiuitorul Uniunii a intenționat să introducă în aceasta o clauză de salvgardare, în sensul articolului 114 alineatul (10) TFUE, pe care statele membre ar fi putut să o utilizeze.</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În această privință, cea din urmă dispoziție prevede că măsurile de armonizare includ, atunci când este cazul, o clauză de salvgardare care autorizează statele membre să adopte, din unul sau mai multe dintre motivele fără caracter economic prevăzute la articolul 36 TFUE, măsuri provizorii care fac obiectul unei proceduri de control a Uniunii. Rezultă că o astfel de clauză de salvgardare trebuie să fie prevăzută în mod explicit de actul de armonizare. Articolul 4 alineatul (1) din Directiva 2009/30 nu prezintă aceste caracteristici și, prin urmare, nu poate constitui o astfel de clauză de salvgardare.”</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Modificare în conformitate cu o solicitare a Comisiei</w:t>
      </w:r>
      <w:bookmarkEnd w:id="169"/>
      <w:bookmarkEnd w:id="170"/>
    </w:p>
    <w:p w14:paraId="049085CF" w14:textId="77777777">
      <w:pPr>
        <w:pStyle w:val="BodyText"/>
        <w:jc w:val="left"/>
      </w:pPr>
    </w:p>
    <w:p w14:paraId="40F4BBF6" w14:textId="77777777">
      <w:pPr>
        <w:pStyle w:val="P68B1DB1-BodyText11"/>
        <w:ind w:left="567"/>
        <w:rPr>
          <w:iCs/>
        </w:rPr>
      </w:pPr>
      <w:r>
        <w:t xml:space="preserve">„Articolele 5 și 6 </w:t>
      </w:r>
      <w:r>
        <w:rPr>
          <w:i w:val="0"/>
        </w:rPr>
        <w:t xml:space="preserve">[privind obligația de notificare și perioada de așteptare] </w:t>
      </w:r>
      <w:r>
        <w:t xml:space="preserve">nu se aplică actelor cu putere de lege și actelor administrative ale statelor membre sau acordurilor voluntare prin care statele membre: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(f) se limitează la modificarea unei reglementări tehnice în sensul articolului 1 alineatul (1) litera (f), în conformitate cu o solicitare a Comisiei, în vederea eliminării unei bariere în calea comerțului sau, în cazul normelor cu privire la servicii, în calea liberei circulații a serviciilor sau a libertății de stabilire a operatorilor de servicii.”</w:t>
      </w:r>
    </w:p>
    <w:p w14:paraId="21F03EA5" w14:textId="77777777">
      <w:pPr>
        <w:pStyle w:val="BodyText"/>
        <w:jc w:val="center"/>
      </w:pPr>
    </w:p>
    <w:p w14:paraId="7883B4B7" w14:textId="369773F7">
      <w:pPr>
        <w:pStyle w:val="BodyText"/>
        <w:jc w:val="right"/>
      </w:pPr>
      <w:r>
        <w:t xml:space="preserve">[Articolul 7 alineatul (1) litera (f) din Directiva (UE) 2015/1535]</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Hotărârea din 31 ianuarie 2013</w:t>
        </w:r>
      </w:hyperlink>
      <w:r>
        <w:t xml:space="preserve">, Belgische Petroleum Unie și alții, C-26/11, punctele 56 și 57.</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Directiva nu impune notificarea unui proiect de legislație națională în cazul în care, după notificarea inițială, proiectul a fost modificat pentru a ține seama de observațiile Comisiei, iar versiunea modificată a fost comunicată ulterior Comisiei.</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 în aceste condiții, Regatul Belgiei s-a limitat să modifice dispozițiile proiectului de lege în conformitate cu o cerere a Comisiei de eliminare a unei bariere în calea comerțului, astfel încât, în temeiul articolului 10 alineatul (1) ultima liniuță din Directiva 98/34, obligația de notificare a Comisiei în temeiul articolului 8 alineatul (1) primul paragraf din această directivă nu se aplică proiectului de lege privind obligația de combinare.</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În aceste condiții, trebuie să se răspundă la a doua întrebare că articolul 8 din Directiva 98/34 coroborat cu articolul 10 alineatul (1) ultima liniuță din această directivă trebuie interpretat în sensul că nu impune notificarea unui proiect de reglementare națională care obligă societățile petroliere care introduc pe piață benzină și/sau motorină să introducă pe piață, în același an calendaristic, și anumite procente de biocarburanți, atunci când, după ce a fost notificat în temeiul articolului 8 alineatul (1) primul paragraf, proiectul a fost modificat pentru a ține seama de observațiile Comisiei cu privire la acesta, iar proiectul modificat a fost ulterior comunicat Comisiei.”</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Circumstanțe care nu constituie excepții</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Hotărârea din 11 ianuarie 1996</w:t>
        </w:r>
      </w:hyperlink>
      <w:r>
        <w:t xml:space="preserve">, Comisia/Țările de Jos, C-273/94, punctele 14 și 15.</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Obligația de notificare nu depinde de efectul prezumat al normei asupra schimburilor comerciale dintre statele membre.</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Această apreciere nu poate fi infirmată de argumentul guvernului neerlandez potrivit căruia ordinul în litigiu are ca efect încurajarea comercializării margarinei și că, prin urmare, respectă obiectivul principal al directivei, și anume eliminarea barierelor din calea comerțului intracomunitar cu mărfuri.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Statele membre au obligația de a comunica Comisiei orice proiect de reglementare tehnică în conformitate cu articolul 8 din directivă. O astfel de obligație nu poate fi supusă evaluării unilaterale de către statul membru care a elaborat regulamentul a efectelor pe care le poate avea asupra comerțului dintre statele membre.”</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Hotărârea din 16 iunie 1998</w:t>
        </w:r>
      </w:hyperlink>
      <w:r>
        <w:t xml:space="preserve">, Lemmens, C-226/97, punctele 18-20.</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Directiva se aplică „reglementărilor tehnice”, indiferent de motivul adoptării lor. Faptul că o măsură vizează dreptul penal nu îl scutește de obligația de notificare. Astfel, dispozițiile naționale care reglementează aparatul de analiză respiratorie utilizat de poliție pentru măsurarea alcoolului constituie o reglementare tehnică care ar fi trebuit notificată Comisiei înainte de adoptarea sa.</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La rândul său, guvernul francez susține că directiva nu se aplică produselor care, precum în speță, sunt destinate a fi utilizate în cadrul exercitării autorității publice și a fortiori în cadrul unor proceduri penale inițiate de statele membre.</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Aceste argumente nu pot fi acceptate. Deși, în principiu, legislația penală și normele de procedură penală țin de competența statelor membre, nu rezultă că acest domeniu de drept nu poate fi afectat de dreptul comunitar (a se vedea în acest sens cauza 186/87 Cowan, Rec., 1989, p. 195, punctul 19, și cauza 203/80 Casati, Rec., 1981, p. 2595, punctul 27).</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În speță, nu există niciun element în directivă care să sugereze că reglementările tehnice în sensul articolului 1 din aceasta sunt excluse de la obligația de notificare deoarece intră în domeniul de aplicare al dreptului penal sau că domeniul de aplicare al directivei este limitat la produsele destinate a fi utilizate altfel decât în legătură cu exercitarea autorității publice. Astfel cum a afirmat deja Curtea în cauza C-13/96 Bic Benelux, Rec., 1997, p. I-1753, punctul 19, o directivă se aplică reglementărilor tehnice indiferent de motivele pe baza cărora au fost adoptate.”</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Hotărârea din 21 aprilie 2005</w:t>
        </w:r>
      </w:hyperlink>
      <w:r>
        <w:t xml:space="preserve">, Lindberg, C-267/03, punctele 86, 91 și 92</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Valoarea produsului la care se referă o normă, dimensiunea pieței sale și efectul acestei norme asupra comerțului intracomunitar nu sunt criterii relevante pentru a stabili dacă o „reglementare tehnică” trebuie notificată.</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Prin intermediul celei de a patra întrebări, instanța de trimitere solicită Curții să se pronunțe cu privire la importanța, în scopul obligației de notificare prevăzute de Directiva 83/189, a următoarelor elemente:</w:t>
      </w:r>
    </w:p>
    <w:p w14:paraId="767A8711" w14:textId="77777777">
      <w:pPr>
        <w:pStyle w:val="P68B1DB1-P68B1DB1-ListParagraph226"/>
        <w:tabs>
          <w:tab w:val="left" w:pos="396"/>
          <w:tab w:val="left" w:pos="425"/>
        </w:tabs>
        <w:ind w:left="709"/>
      </w:pPr>
      <w:r>
        <w:t xml:space="preserve">Înlocuirea unei obligații de obținere a unei autorizații cu o interdicție prevăzută de dreptul național;</w:t>
      </w:r>
    </w:p>
    <w:p w14:paraId="559C82EC" w14:textId="77777777">
      <w:pPr>
        <w:pStyle w:val="P68B1DB1-P68B1DB1-ListParagraph226"/>
        <w:tabs>
          <w:tab w:val="left" w:pos="396"/>
          <w:tab w:val="left" w:pos="425"/>
        </w:tabs>
        <w:ind w:left="709"/>
      </w:pPr>
      <w:r>
        <w:t xml:space="preserve">— Valoarea mai mare sau mai mică a produsului/serviciului;</w:t>
      </w:r>
    </w:p>
    <w:p w14:paraId="7057795D" w14:textId="77777777">
      <w:pPr>
        <w:pStyle w:val="P68B1DB1-P68B1DB1-ListParagraph226"/>
        <w:tabs>
          <w:tab w:val="left" w:pos="396"/>
          <w:tab w:val="left" w:pos="425"/>
        </w:tabs>
        <w:ind w:left="709"/>
      </w:pPr>
      <w:r>
        <w:t xml:space="preserve">— Dimensiunea pieței produsului/serviciului sau</w:t>
      </w:r>
    </w:p>
    <w:p w14:paraId="7E4DCD6F" w14:textId="27AB1FF7">
      <w:pPr>
        <w:pStyle w:val="P68B1DB1-P68B1DB1-ListParagraph226"/>
        <w:tabs>
          <w:tab w:val="left" w:pos="396"/>
          <w:tab w:val="left" w:pos="425"/>
        </w:tabs>
        <w:ind w:left="709"/>
      </w:pPr>
      <w:r>
        <w:t xml:space="preserve">— Efectul unei noi dispoziții naționale asupra utilizării, care ar putea fi fie o interdicție totală de utilizare, fie o interdicție sau o restricție în cadrul mai multor domenii de utilizare posibile?”</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În ceea ce privește al doilea și al treilea element menționate în cea de a patra întrebare preliminară, trebuie arătat că, astfel cum s-a amintit la punctul 50 din prezenta hotărâre, Directiva 83/189 prevede o procedură de control preventiv pentru a verifica dacă un standard național care cuprinde o reglementare tehnică intră sub incidența dispozițiilor tratatului referitoare la libera circulație a mărfurilor și, în cazul unui răspuns afirmativ, pentru a examina dacă un astfel de standard este compatibil cu aceste dispoziții.</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Cu privire la acest aspect, s-a statuat la punctul 51 din prezenta hotărâre că efectele posibile ale reglementării tehnice asupra comerțului intracomunitar nu constituie un criteriu pentru definirea domeniului de aplicare al Directivei 83/189, în special în ceea ce privește obligația de notificare pe care o prevede.”</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Inaplicabilitate</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Inaplicabilitatea în caz de nenotificare</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Hotărârea din 30 aprilie 1996</w:t>
        </w:r>
      </w:hyperlink>
      <w:r>
        <w:t xml:space="preserve">, CIA Security International SA, C-194/94, punctele 48 și 55.</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Încălcarea obligației de notificare determină inaplicabilitatea „reglementărilor tehnice” în cauză, astfel încât acestea nu pot fi opozabile persoanelor fizice. Particularii pot invoca articolele 8 și 9 din Directiva 83/189 în fața unei instanțe naționale care trebuie să refuze aplicarea unei „reglementări tehnice” naționale care nu a fost notificată în conformitate cu această directivă.</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Pentru ca o astfel de consecință să rezulte dintr-o încălcare a obligațiilor prevăzute de Directiva 83/189, nu este necesară o dispoziție expresă în acest sens. Astfel cum s-a arătat mai sus, este cert că obiectivul directivei este de a proteja libera circulație a mărfurilor prin intermediul unui control preventiv și că obligația de notificare este esențială pentru realizarea unui astfel de control comunitar. Eficacitatea controlului comunitar va fi mult mai mare dacă directiva este interpretată în sensul că încălcarea obligației de notificare constituie un viciu procedural substanțial de natură să facă ca reglementările tehnice în cauză să nu fie aplicabile particularilor.”</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Prin urmare, trebuie să se răspundă la a cincea și la a șasea întrebare că articolele 8 și 9 din Directiva 83/189 trebuie interpretate în sensul că particularii le pot invoca în fața instanței naționale care trebuie să refuze aplicarea unei reglementări tehnice naționale care nu a fost notificată în conformitate cu directiva menționată.”</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Hotărârea din 16 iunie 1998</w:t>
        </w:r>
      </w:hyperlink>
      <w:r>
        <w:t xml:space="preserve">, Lemmens, C-226/97, punctele 34-37.</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Nerespectarea obligației de comunicare a unei reglementări tehnice referitoare la aparatele de analiză a respirației nu are ca efect să facă inopozabile persoanei acuzate de conducere în stare de ebrietate dovezile obținute cu ajutorul unui aparat de analiză a respirației autorizat în conformitate cu norme care nu au fost notificate.</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În cadrul unei proceduri penale precum cea din acțiunea principală, regulamentele aplicate inculpaților sunt cele care, pe de o parte, interzic și sancționează conducerea sub influența alcoolului și, pe de altă parte, impun unui conducător auto să își expulzeze respirația într-un aparat destinat să măsoare conținutul de alcool, rezultatul acestui test constituind un element de probă în cadrul unei proceduri penale. Astfel de reglementări diferă de cele care, întrucât nu au fost notificate Comisiei în conformitate cu directiva, nu sunt opozabile particularilor.</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Deși lipsa notificării reglementărilor tehnice, care constituie un viciu de procedură în adoptarea lor, determină inaplicabilitatea unor astfel de reglementări în măsura în care împiedică utilizarea sau comercializarea unui produs care nu este conform cu acestea, aceasta nu are ca efect să facă ilegală orice utilizare a unui produs care este în conformitate cu reglementările care nu au fost notificate.</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Utilizarea produsului de către autoritățile publice, într-un caz precum cel din speță, nu este de natură să creeze un obstacol în calea comerțului care ar fi putut fi evitat dacă ar fi fost urmată procedura de notificare.</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Prin urmare, trebuie să se răspundă la prima întrebare că directiva trebuie interpretată în sensul că încălcarea obligației de notificare a unei reglementări tehnice referitoare la un aparat de analiză a respirației, impusă la articolul 8 din aceasta, nu are ca efect imposibilitatea ca probele obținute prin intermediul unui astfel de aparat, autorizat în conformitate cu o reglementare care nu a fost notificată, să fie opozabile unei persoane însărcinate cu conducerea sub influența alcoolului.”</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Hotărârea din 6 iunie 2002</w:t>
        </w:r>
      </w:hyperlink>
      <w:r>
        <w:t xml:space="preserve">, Sapod Audic, C-159/00, punctele 52 și 53.</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Revine instanței naționale sarcina de a refuza aplicarea dispozițiilor care sunt inaplicabile din cauza lipsei notificării. Consecințele unei astfel de inaplicabilități sunt reglementate de dreptul național, cu condiția ca aceasta să nu fie mai puțin favorabilă decât pentru acțiuni similare interne și să nu facă imposibilă exercitarea drepturilor conferite de dreptul Uniunii.</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Cu toate acestea, trebuie arătat că problema consecințelor care trebuie deduse în cauza principală din inaplicabilitatea articolului 4 al doilea paragraf din Decretul nr. 92-377 în ceea ce privește severitatea sancțiunii în temeiul dreptului național aplicabil, precum nulitatea sau inopozabilitatea contractului dintre Sapod și Eco-Emballages, este o chestiune reglementată de dreptul național, în special în ceea ce privește normele și principiile de drept al contractelor care limitează sau ajustează sancțiunea menționată pentru a o face proporțională cu viciul specific constatat. Totuși, aceste norme și principii nu pot fi mai puțin favorabile decât cele aplicabile unor acțiuni similare de natură internă (principiul echivalenței) și nu pot fi formulate astfel încât să facă practic imposibilă exercitarea drepturilor conferite de ordinea juridică comunitară (principiul efectivității) (a se vedea în special Hotărârea din 1976 octombrie 1989, Rewe/Landwirtschaftskammer für das Saarland, 33/76, punctul 5, și Hotărârea din 2001 iunie 1395, Camorotto și Vignone, C-52/99 și C-53/99, nepublicată încă în Repertoriu, punctul 21).</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Prin urmare, trebuie să se răspundă la a doua parte a celei de a doua întrebări, în măsura în care privește Directiva 83/189, că, în cazul în care o dispoziție națională precum articolul 4 al doilea paragraf din Decretul nr. 92-377 ar trebui interpretată în sensul că impune aplicarea unei mărci sau a unei etichete, un particular poate invoca lipsa notificării acestei dispoziții naționale în conformitate cu articolul 8 din această directivă. În continuare, revine instanței naționale sarcina de a refuza aplicarea acestei dispoziții, problema consecințelor care trebuie deduse din inaplicabilitatea acestei dispoziții naționale în ceea ce privește severitatea sancțiunii în temeiul dreptului național aplicabil, precum nulitatea sau inopozabilitatea unui contract, fiind o chestiune reglementată de dreptul național. Totuși, această concluzie este supusă condiției ca normele de drept intern aplicabile să nu fie mai puțin favorabile decât cele aplicabile unor acțiuni similare de drept intern și să nu fie concepute astfel încât să facă imposibilă în practică exercitarea drepturilor conferite de ordinea juridică comunitară.”</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Hotărârea din 8 septembrie 2005</w:t>
        </w:r>
      </w:hyperlink>
      <w:r>
        <w:t xml:space="preserve">, Lidl Italia, C-303/04, punctele 22 și 23.</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Încălcarea obligației de notificare constituie un viciu substanțial de procedură de natură să facă inaplicabile „reglementările tehnice” în cauză și, prin urmare, opozabile particularilor.</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potrivit unei jurisprudențe constante, Directiva 98/34 urmărește să protejeze, prin intermediul unui control preventiv, libera circulație a mărfurilor, care constituie unul dintre fundamentele Comunității, și că acest control servește unui scop util în sensul că reglementările tehnice care intră în domeniul de aplicare al acestei directive pot constitui obstacole în calea comerțului cu mărfuri între statele membre, astfel de obstacole fiind admisibile numai dacă sunt necesare pentru îndeplinirea unor cerințe imperative de interes general (a se vedea în acest sens Hotărârea din 1996 iulie 2201, CIA Security International, C-194/94, nepublicată încă în Repertoriu, punctul 40, și Hotărârea din 1998 iulie 3711, Lemmens, C-226/97, nepublicată încă în Repertoriu, punctul 32).</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Întrucât obligația de notificare prevăzută, printre altele, la articolul 8 alineatul (1) primul paragraf din Directiva 98/34 este esențială pentru realizarea acestui control comunitar, eficacitatea unui astfel de control va fi cu atât mai mare dacă directiva menționată este interpretată în sensul că nerespectarea obligației de notificare constituie un viciu substanțial de procedură de natură să determine inaplicabilitatea reglementărilor tehnice în cauză și, prin urmare, inopozabilitatea față de particulari (Hotărârile CIA Security International, punctele 44, 48 și 54, și Lemmens, punctul 33).”</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Hotărârea din 31 ianuarie 2013</w:t>
        </w:r>
      </w:hyperlink>
      <w:r>
        <w:t xml:space="preserve">, Belgische Petroleum Unie și alții, C</w:t>
        <w:noBreakHyphen/>
        <w:t xml:space="preserve">26/11, punctul 50.</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Încălcarea obligației de notificare constituie un viciu substanțial de procedură de natură să facă inaplicabile „reglementările tehnice” în cauză și, prin urmare, opozabile particularilor.</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Întrucât obligația de notificare prevăzută la articolul 8 alineatul (1) primul paragraf din Directiva 98/34 este esențială pentru realizarea acestui control, eficacitatea unui astfel de control va fi cu atât mai mare dacă directiva menționată este interpretată în sensul că nerespectarea obligației de notificare constituie un viciu material de procedură de natură să determine inaplicabilitatea reglementărilor tehnice în cauză și, prin urmare, inopozabilitatea față de particulari (a se vedea Hotărârile citate anterior Lidl Italia, punctul 23, și Sandström, punctul 43).”</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Hotărârea din 2 februarie 2016</w:t>
        </w:r>
      </w:hyperlink>
      <w:r>
        <w:t xml:space="preserve">, Ince, C-336/14, punctele 67 și 68.</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Necomunicarea unei „reglementări tehnice” face ca aceasta să fie inaplicabilă și inaplicabilă persoanelor fizice. Acesta din urmă poate invoca articolul 8 din Directiva 98/34 în fața instanțelor naționale, care sunt, prin urmare, obligate să refuze aplicarea normei necomunicate.</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Cu titlu introductiv, trebuie amintit că încălcarea obligației de notificare prevăzute la articolul 8 alineatul (1) din Directiva 98/34 constituie un viciu de procedură în adoptarea reglementărilor tehnice în cauză și face ca aceste reglementări tehnice să fie inaplicabile și, prin urmare, inopozabile particularilor (a se vedea în special Hotărârea Ivansson și alții, C-307/13, punctul 48 și jurisprudența citată).</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În această privință, trebuie subliniat că, astfel cum a arătat domnul avocat general la punctul 60 din concluzii, chiar dacă articolul 8 alineatul (1) din această directivă impune ca întregul proiect de lege care conține reglementări tehnice să fie comunicat Comisiei (a se vedea în acest sens Hotărârea Comisia/Italia, C-279/94, punctele 40 și 41), inaplicabilitatea care rezultă din încălcarea acestei obligații nu se extinde la toate dispozițiile unei astfel de legi, ci numai la reglementările tehnice pe care le conține.”</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Ordonanța din 21 aprilie 2016</w:t>
        </w:r>
      </w:hyperlink>
      <w:r>
        <w:t xml:space="preserve">, Beca Engineering, C-285/15, punctul 37</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Necomunicarea unei „reglementări tehnice” face ca aceasta să fie inaplicabilă și inopozabilă particularilor, care pot invoca articolul 8 din Directiva 98/34 în fața instanțelor naționale, care, în consecință, sunt obligați să respingă aplicarea acesteia.</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(Întrucât ordinea este disponibilă numai în limbile franceză și italiană, următorul text este o traducere.)</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Potrivit unei jurisprudențe constante, nerespectarea obligației de notificare imediată a reglementărilor tehnice de către statele membre către Comisie, prevăzută la articolul 8 din Directiva 98/34, determină inaplicabilitatea reglementărilor tehnice în cauză, astfel încât acestea nu pot fi opozabile particularilor, iar aceștia din urmă se pot prevala astfel de articolul 8 din Directiva 98/34 în fața instanței naționale, care trebuie să refuze aplicarea unei reglementări tehnice naționale care nu a fost notificată în conformitate cu această directivă (a se vedea în acest sens Hotărârea din 30 aprilie 1996, CIA</w:t>
        <w:noBreakHyphen/>
        <w:t xml:space="preserve">Security International, 194/94, punctele 44 și 54; din 26 septembrie 2000, Unilever</w:t>
        <w:noBreakHyphen/>
        <w:t xml:space="preserve">, 443/98, punctul 49; și din 16 iulie 2015, UNIC și Uni.co.pel</w:t>
        <w:noBreakHyphen/>
        <w:t xml:space="preserve">, 95/14, punctul 29).”</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Hotărârea din 1 februarie 2017</w:t>
        </w:r>
      </w:hyperlink>
      <w:r>
        <w:t xml:space="preserve">, Município de Palmela, C</w:t>
        <w:noBreakHyphen/>
        <w:t xml:space="preserve">144/16, punctele 36 și 37.</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Inaplicabilitatea reglementărilor tehnice nenotificate se extinde numai la dispozițiile care se califică ca atare, și nu la întregul text în care sunt stabilite.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Pe de altă parte, nerespectarea unei astfel de obligații de notificare este sancționată prin inaplicabilitatea normelor tehnice care nu au fost notificate (a se vedea în acest sens, în ceea ce privește Directiva 83/189, Hotărârea din 30 aprilie 1996, CIA Security International, C-194/94, punctul 54, și, în ceea ce privește Directiva 98/34, Hotărârea din 4 februarie 2016, Ince, C-336/14, punctul 67 și jurisprudența citată).</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În ceea ce privește întinderea unei astfel de sancțiuni, chiar dacă articolul 8 alineatul (1) din Directiva 83/189 și articolul 8 alineatul (1) din Directiva 98/34 impun comunicarea către Comisie a întregului proiect de lege care conține reglementări tehnice, inaplicabilitatea care rezultă din încălcarea acestei obligații nu se extinde la toate dispozițiile unei astfel de legi, ci numai la reglementările tehnice pe care le conține (a se vedea în acest sens Hotărârea din 4 februarie 2016, Ince, C-336/14, punctul 68).”</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Hotărârea din 12 septembrie 2019</w:t>
        </w:r>
      </w:hyperlink>
      <w:r>
        <w:t xml:space="preserve">, VG Media, C-299/17, punctul 39.</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Inaplicabilitatea unei „reglementări tehnice” nenotificate poate fi invocată în cadrul unui litigiu între particulari.</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În măsura în care o reglementare precum cea în discuție în litigiul principal vizează în mod special serviciile societății informaționale, proiectul reglementării tehnice trebuie să facă obiectul unei notificări prealabile a Comisiei în temeiul articolului 8 alineatul (1) din Directiva 98/34. În caz contrar, potrivit unei jurisprudențe constante, inaplicabilitatea unei reglementări tehnice care nu a fost notificată în conformitate cu această dispoziție poate fi invocată în cadrul unui litigiu între particulari (Hotărârea din 27 octombrie 2016, James Elliott Construction</w:t>
        <w:noBreakHyphen/>
        <w:t xml:space="preserve">, C 613/14, punctul 64 și jurisprudența citată).”</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Inaplicabilitatea în cazul adoptării în timpul perioadei de așteptare</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Hotărârea din 26 septembrie 2000</w:t>
        </w:r>
      </w:hyperlink>
      <w:r>
        <w:t xml:space="preserve">, Unilever, C-443/98, punctele 44 și 49.</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Încălcarea obligației de a amâna adoptarea unei „reglementări tehnice” constituie un viciu de procedură substanțial, iar inaplicabilitatea rezultată poate fi invocată în cadrul procedurilor contencioase în materie de drept civil al contractelor.</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Deși, la punctul 48 din Hotărârea CIA Security, după ce a amintit că obiectivul Directivei 83/189 era de a proteja libera circulație a mărfurilor prin intermediul unui control preventiv și că obligația de notificare era esențială pentru realizarea unui astfel de control comunitar, Curtea a constatat că eficacitatea unui astfel de control ar fi cu atât mai mare dacă directiva ar fi interpretată în sensul că încălcarea obligației de notificare constituie un viciu substanțial de procedură de natură să determine inaplicabilitatea reglementărilor tehnice în cauză în privința particularilor, din considerațiile expuse la punctele 40-43 din prezenta hotărâre rezultă că încălcarea obligațiilor de amânare a adoptării prevăzute la articolul 9 din Directiva 83/189 constituie de asemenea un viciu substanțial de procedură de natură să determine inaplicabilitatea reglementărilor tehnice.”</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Astfel, din jurisprudența Curții rezultă că inaplicabilitatea unei reglementări tehnice care nu a fost notificată în conformitate cu articolul 8 din Directiva 83/189 poate fi invocată în cadrul unui litigiu între particulari pentru motivele expuse la punctele 40-43 din prezenta hotărâre. Situația este aceeași în ceea ce privește nerespectarea obligațiilor prevăzute la articolul 9 din directiva menționată și nu este necesar, în această privință, ca litigiile dintre particulari în materie de concurență neloială să fie tratate diferit, precum în cauza CIA Security International, de litigiile dintre particulari privind drepturi și obligații de natură contractuală, precum în litigiul principal.”</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Hotărârea din 16 iulie 2015</w:t>
        </w:r>
      </w:hyperlink>
      <w:r>
        <w:t xml:space="preserve">, UNIC și Uni.co.pel, C-95/14, punctele 29 și 30</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O „reglementare tehnică” nu poate fi aplicată dacă nu a fost notificată sau dacă, deși notificată, a fost adoptată și pusă în aplicare înainte de sfârșitul perioadei de așteptare. Nerespectarea acestui termen suspensiv constituie un viciu de procedură material care face ca „reglementarea tehnică” în cauză să fie inaplicabilă și inaplicabilă particularilor.</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În această privință, trebuie arătat că o reglementare tehnică nu poate fi aplicată dacă nu a fost notificată în conformitate cu articolul 8 alineatul (1) din Directiva 98/34 sau dacă, deși notificată, a fost adoptată și pusă în aplicare înainte de expirarea termenului suspensiv de trei luni impus de articolul 9 alineatul (1) din această directivă (a se vedea Hotărârea CIA Security International, C-194/94, punctele 41, 44 și 54, precum și Hotărârea Unilever, C-443/98, punctul 49).</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În consecință, în cauza principală, revine instanței de trimitere sarcina de a verifica dacă Legea nr. 8/2013 a intrat în vigoare fără a respecta perioada de așteptare prevăzută la articolul 9 din Directiva 98/34. În cazul unui răspuns afirmativ, nerespectarea acestui termen este un viciu esențial de procedură care este de natură să atragă inaplicabilitatea reglementării tehnice în discuție. Astfel cum a subliniat avocatul general la punctele 44-47 din concluzii, articolul 3 alineatul (2) din Legea nr. 8/2103 nu ar fi, în acest caz, opozabil particularilor.”</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Hotărârea din 21 decembrie 2023</w:t>
        </w:r>
      </w:hyperlink>
      <w:r>
        <w:rPr>
          <w:rFonts w:ascii="Times New Roman" w:hAnsi="Times New Roman" w:cs="Times New Roman" w:eastAsia="Times New Roman"/>
          <w:b/>
          <w:i/>
          <w:szCs w:val="20"/>
        </w:rPr>
        <w:t xml:space="preserve">, Papier Mettler Italia, C-86/22, punctele 48 și 51.</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Adoptarea unui proiect de „reglementare tehnică” la șase zile de la notificarea sa contravine directivei.</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Clauzele care condiționează intrarea în vigoare a legislației de absența unei reacții din partea Comisiei cu privire la legislația respectivă („clauze suspensive”) sunt contrare directivei, deoarece adoptarea unei astfel de legislații nu permite luarea în considerare a opiniilor altor state membre și încalcă principiul securității juridice.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Pe de altă parte, adoptarea decretului în discuție în litigiul principal în termen de șase zile de la notificarea sa către Comisie în temeiul articolului 8 alineatul (1) din directiva menționată încalcă de asemenea obligația prevăzută la articolul 9 alineatul (1) din acesta, potrivit căreia statele membre amână adoptarea unui «proiect de reglementare tehnică» cu trei luni de la data primirii de către Comisie a comunicării prevăzute la articolul 8 alineatul (1) din directiva menționată.”</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Pe de altă parte, guvernul menționat susține că intrarea în vigoare a decretului în discuție în litigiul principal ar fi fost condiționată, în temeiul articolului 6 din acesta, de „rezultatul favorabil” al procedurii de notificare inițiate la 12 martie 2013 în temeiul articolului 8 alineatul (1) din Directiva 98/34. OR, această procedură nu ar fi avut un astfel de rezultat din moment ce Comisia nu ar fi emis un aviz cu privire la respectivul decret. Acest argument trebuie respins, dat fiind că, pe de o parte, adoptarea și publicarea decretului menționat sunt, în sine, susceptibile să aibă anumite efecte asupra liberei circulații a mărfurilor în cauză; pe de altă parte, acestea nu au permis să se țină seama de observațiile și de avizele detaliate emise de Regatul Țărilor de Jos, de Regatul Suediei și de Regatul Unit al Marii Britanii și Irlandei de Nord; în al treilea rând, astfel cum a arătat avocatul general la punctul 52 din concluzii, acestea constituie o tehnică legislativă incompatibilă cu principiul securității juridice.”</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Clarificare cu privire la efectul inaplicabilității</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Hotărârea din 11 iunie 2015</w:t>
        </w:r>
      </w:hyperlink>
      <w:r>
        <w:t xml:space="preserve">, Berlington Hungary și alții, C-98/14, punctele 108 și 109.</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Obligațiile de notificare și de suspendare nu au ca obiect conferirea de drepturi persoanelor fizice. În consecință, încălcarea lor de către un stat membru nu conferă particularilor, în temeiul dreptului Uniunii, dreptul de a solicita despăgubiri din partea acestui stat membru pentru eventualele prejudicii rezultate.</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În această privință, reiese din jurisprudență că, deși Directiva 98/34 urmărește să asigure libera circulație a mărfurilor prin organizarea unui control preventiv a cărui eficacitate impune înlăturarea aplicării, în cadrul unui litigiu între particulari, a unei măsuri naționale adoptate cu încălcarea articolelor 8 și 9 din aceasta, directiva menționată nu definește nicidecum domeniul de aplicare material al normei juridice pe baza căreia instanța națională trebuie să soluționeze litigiul cu care este sesizată. Astfel, această directivă nu creează nici drepturi, nici obligații pentru particulari (Hotărârea Unilever, C-443/98, punctul 51).</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În aceste condiții, trebuie să se constate că prima dintre condițiile enumerate la alineatul (104) nu este îndeplinită, astfel încât particularii nu pot invoca încălcarea articolelor 8 și 9 din această directivă pentru a stabili răspunderea statului membru în cauză în temeiul dreptului Uniunii.”</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 xml:space="preserve">Procedura de constatare a neîndeplinirii obligațiilor</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Hotărârea din 4 iunie 2009</w:t>
        </w:r>
      </w:hyperlink>
      <w:r>
        <w:t xml:space="preserve">, Comisia/Grecia, C-109/08, punctele 14-17.</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O hotărâre a Curții prin care se constată o neîndeplinire a obligației de notificare trebuie executată imediat pentru a se asigura aplicarea uniformă a dreptului Uniunii. Existența unei astfel de neîndepliniri a obligațiilor în temeiul articolului 228 CE este apreciată la expirarea termenului stabilit în avizul motivat. În speță, întrucât Grecia nu a luat nicio măsură înainte de expirarea termenului acordat, aceasta nu și-a îndeplinit obligațiile care îi revin în temeiul articolului 228 alineatul (1) CE.</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Deși articolul 228 CE nu precizează termenul în care trebuie executată o hotărâre a Curții prin care se constată neîndeplinirea obligațiilor de către un stat membru, rezultă dintr-o jurisprudență constantă că importanța aplicării imediate și uniforme a dreptului comunitar impune ca procesul de executare să fie inițiat imediat și să se încheie cât mai curând posibil (a se vedea în special Hotărârea din 2008</w:t>
        <w:noBreakHyphen/>
        <w:t xml:space="preserve">decembrie 0000, Comisia/Franța, C-121/07, nepublicată încă în Repertoriu, punctul 21</w:t>
        <w:noBreakHyphen/>
        <w:t xml:space="preserve">și jurisprudența citată).</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În plus, data de referință pentru a aprecia existența unei neîndepliniri a obligațiilor în temeiul articolului 228 CE este data expirării termenului stabilit în avizul motivat emis în temeiul acestei dispoziții (a se vedea în special Hotărârea din 2007</w:t>
        <w:noBreakHyphen/>
        <w:t>iulie</w:t>
        <w:noBreakHyphen/>
        <w:t xml:space="preserve">6153, Comisia/Germania, 503/04, nepublicată încă în Repertoriu, punctul 19</w:t>
        <w:noBreakHyphen/>
        <w:t xml:space="preserve">și jurisprudența citată).</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În speță, trebuie să se constate că, la data expirării termenului de două luni stabilit în avizul motivat din 29 iunie 2007, Republica Elenă nu luase niciuna dintre măsurile necesare pentru executarea Hotărârii Comisia/Grecia (C</w:t>
        <w:noBreakHyphen/>
        <w:t xml:space="preserve">65/05), întrucât proiectul unei prime măsuri prin care se urmărea executarea acestei hotărâri a fost notificat Comisiei abia la 7 mai 2008.</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În aceste condiții, trebuie să se constate că, astfel cum recunoaște ea însăși, Republica Elenă nu și-a îndeplinit obligațiile care îi revin în temeiul articolului 228 alineatul (1) CE.”</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Compararea Directivei 2015/1535 cu Directiva 83/189/CEE se bazează pe actele inițiale nemodificate, în timp ce compararea Directivei 98/34/CE se bazează pe versiunea modificată prin Directiva 98/48/CE din 20 iulie 1998.</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Directiva (UE) 2015/1535 a Parlamentului European și a Consiliului din 9 septembrie 2015 referitoare la procedura de furnizare de informații în domeniul reglementărilor tehnice și al normelor privind serviciile societății informaționale (codificare).</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Directiva 98/34/CE a Parlamentului European și a Consiliului din 22 iunie 1998 de stabilire a unei proceduri pentru furnizarea de informații în domeniul standardelor și reglementărilor tehnice, astfel cum a fost modificată prin Directiva 98/48/CE din 20 iulie 1998 (inclusiv norme privind serviciile)</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Directiva 83/189/CEE a Consiliului din 28 martie 1983 de stabilire a unei proceduri pentru furnizarea de informații în domeniul standardelor și reglementărilor tehnice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ro"/>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